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600" w:lineRule="auto"/>
        <w:jc w:val="center"/>
        <w:textAlignment w:val="auto"/>
        <w:outlineLvl w:val="9"/>
        <w:rPr>
          <w:rFonts w:hint="eastAsia" w:ascii="宋体" w:hAnsi="宋体" w:eastAsia="宋体" w:cs="宋体"/>
          <w:b/>
          <w:bCs/>
          <w:color w:val="auto"/>
          <w:spacing w:val="0"/>
          <w:sz w:val="44"/>
          <w:szCs w:val="44"/>
          <w:highlight w:val="none"/>
          <w:lang w:eastAsia="zh-CN"/>
        </w:rPr>
      </w:pPr>
      <w:r>
        <w:rPr>
          <w:rFonts w:hint="eastAsia" w:ascii="宋体" w:hAnsi="宋体" w:eastAsia="宋体" w:cs="宋体"/>
          <w:b/>
          <w:bCs/>
          <w:color w:val="auto"/>
          <w:spacing w:val="0"/>
          <w:sz w:val="44"/>
          <w:szCs w:val="44"/>
          <w:highlight w:val="none"/>
          <w:lang w:eastAsia="zh-CN"/>
        </w:rPr>
        <w:t>禹州市教育体育局</w:t>
      </w:r>
    </w:p>
    <w:p>
      <w:pPr>
        <w:keepNext w:val="0"/>
        <w:keepLines w:val="0"/>
        <w:pageBreakBefore w:val="0"/>
        <w:kinsoku/>
        <w:wordWrap/>
        <w:overflowPunct/>
        <w:topLinePunct w:val="0"/>
        <w:autoSpaceDE/>
        <w:autoSpaceDN/>
        <w:bidi w:val="0"/>
        <w:adjustRightInd/>
        <w:snapToGrid/>
        <w:spacing w:line="600" w:lineRule="auto"/>
        <w:jc w:val="center"/>
        <w:textAlignment w:val="auto"/>
        <w:outlineLvl w:val="9"/>
        <w:rPr>
          <w:rFonts w:hint="eastAsia" w:ascii="宋体" w:hAnsi="宋体" w:eastAsia="宋体" w:cs="宋体"/>
          <w:b/>
          <w:bCs/>
          <w:color w:val="auto"/>
          <w:spacing w:val="-28"/>
          <w:sz w:val="44"/>
          <w:szCs w:val="44"/>
          <w:highlight w:val="none"/>
          <w:lang w:eastAsia="zh-CN"/>
        </w:rPr>
      </w:pPr>
      <w:r>
        <w:rPr>
          <w:rFonts w:hint="eastAsia" w:ascii="宋体" w:hAnsi="宋体" w:eastAsia="宋体" w:cs="宋体"/>
          <w:b/>
          <w:bCs/>
          <w:color w:val="auto"/>
          <w:spacing w:val="-28"/>
          <w:sz w:val="44"/>
          <w:szCs w:val="44"/>
          <w:highlight w:val="none"/>
          <w:lang w:eastAsia="zh-CN"/>
        </w:rPr>
        <w:t>禹州市实验学校维修改造项目（</w:t>
      </w:r>
      <w:r>
        <w:rPr>
          <w:rFonts w:hint="eastAsia" w:ascii="宋体" w:hAnsi="宋体" w:eastAsia="宋体" w:cs="宋体"/>
          <w:b/>
          <w:bCs/>
          <w:color w:val="auto"/>
          <w:spacing w:val="-28"/>
          <w:sz w:val="44"/>
          <w:szCs w:val="44"/>
          <w:highlight w:val="none"/>
          <w:lang w:val="en-US" w:eastAsia="zh-CN"/>
        </w:rPr>
        <w:t>不见面开标</w:t>
      </w:r>
      <w:r>
        <w:rPr>
          <w:rFonts w:hint="eastAsia" w:ascii="宋体" w:hAnsi="宋体" w:eastAsia="宋体" w:cs="宋体"/>
          <w:b/>
          <w:bCs/>
          <w:color w:val="auto"/>
          <w:spacing w:val="-28"/>
          <w:sz w:val="44"/>
          <w:szCs w:val="44"/>
          <w:highlight w:val="none"/>
          <w:lang w:eastAsia="zh-CN"/>
        </w:rPr>
        <w:t>）</w:t>
      </w:r>
    </w:p>
    <w:p>
      <w:pPr>
        <w:keepNext w:val="0"/>
        <w:keepLines w:val="0"/>
        <w:pageBreakBefore w:val="0"/>
        <w:kinsoku/>
        <w:wordWrap/>
        <w:overflowPunct/>
        <w:topLinePunct w:val="0"/>
        <w:autoSpaceDE/>
        <w:autoSpaceDN/>
        <w:bidi w:val="0"/>
        <w:adjustRightInd/>
        <w:snapToGrid/>
        <w:spacing w:line="600" w:lineRule="auto"/>
        <w:jc w:val="center"/>
        <w:textAlignment w:val="auto"/>
        <w:outlineLvl w:val="9"/>
        <w:rPr>
          <w:rFonts w:hint="eastAsia" w:ascii="宋体" w:hAnsi="宋体" w:eastAsia="宋体" w:cs="宋体"/>
          <w:b/>
          <w:bCs/>
          <w:color w:val="auto"/>
          <w:sz w:val="52"/>
          <w:szCs w:val="52"/>
          <w:highlight w:val="none"/>
        </w:rPr>
      </w:pPr>
      <w:r>
        <w:rPr>
          <w:rFonts w:hint="eastAsia" w:ascii="宋体" w:hAnsi="宋体" w:eastAsia="宋体" w:cs="宋体"/>
          <w:b/>
          <w:bCs/>
          <w:color w:val="auto"/>
          <w:kern w:val="0"/>
          <w:sz w:val="52"/>
          <w:szCs w:val="52"/>
          <w:highlight w:val="none"/>
          <w:lang w:val="en-US" w:eastAsia="zh-CN" w:bidi="ar"/>
        </w:rPr>
        <w:t>竞争性谈判文件</w:t>
      </w:r>
    </w:p>
    <w:p>
      <w:pPr>
        <w:keepNext w:val="0"/>
        <w:keepLines w:val="0"/>
        <w:pageBreakBefore w:val="0"/>
        <w:kinsoku/>
        <w:wordWrap/>
        <w:overflowPunct/>
        <w:topLinePunct w:val="0"/>
        <w:autoSpaceDE/>
        <w:autoSpaceDN/>
        <w:bidi w:val="0"/>
        <w:adjustRightInd/>
        <w:snapToGrid/>
        <w:textAlignment w:val="auto"/>
        <w:outlineLvl w:val="9"/>
        <w:rPr>
          <w:rFonts w:ascii="微软简隶书" w:eastAsia="微软简隶书"/>
          <w:color w:val="auto"/>
          <w:highlight w:val="none"/>
        </w:rPr>
      </w:pPr>
    </w:p>
    <w:p>
      <w:pPr>
        <w:keepNext w:val="0"/>
        <w:keepLines w:val="0"/>
        <w:pageBreakBefore w:val="0"/>
        <w:widowControl/>
        <w:suppressLineNumbers w:val="0"/>
        <w:kinsoku/>
        <w:wordWrap/>
        <w:overflowPunct/>
        <w:topLinePunct w:val="0"/>
        <w:autoSpaceDE/>
        <w:autoSpaceDN/>
        <w:bidi w:val="0"/>
        <w:adjustRightInd/>
        <w:snapToGrid/>
        <w:jc w:val="center"/>
        <w:textAlignment w:val="auto"/>
        <w:outlineLvl w:val="9"/>
        <w:rPr>
          <w:rFonts w:hint="default"/>
          <w:color w:val="auto"/>
          <w:highlight w:val="none"/>
          <w:lang w:val="en-US"/>
        </w:rPr>
      </w:pPr>
      <w:r>
        <w:rPr>
          <w:rFonts w:hint="eastAsia" w:ascii="宋体" w:hAnsi="宋体" w:eastAsia="宋体" w:cs="宋体"/>
          <w:b/>
          <w:bCs/>
          <w:color w:val="auto"/>
          <w:kern w:val="0"/>
          <w:sz w:val="28"/>
          <w:szCs w:val="28"/>
          <w:highlight w:val="none"/>
          <w:lang w:val="en-US" w:eastAsia="zh-CN" w:bidi="ar"/>
        </w:rPr>
        <w:t>项目编号：YZCG-DLT2024058</w:t>
      </w:r>
    </w:p>
    <w:p>
      <w:pPr>
        <w:rPr>
          <w:rFonts w:ascii="微软简隶书" w:eastAsia="微软简隶书"/>
          <w:color w:val="auto"/>
          <w:highlight w:val="none"/>
        </w:rPr>
      </w:pPr>
    </w:p>
    <w:p>
      <w:pPr>
        <w:rPr>
          <w:rFonts w:ascii="微软简隶书" w:eastAsia="微软简隶书"/>
          <w:color w:val="auto"/>
          <w:highlight w:val="none"/>
        </w:rPr>
      </w:pPr>
      <w:r>
        <w:rPr>
          <w:rFonts w:hint="eastAsia" w:ascii="宋体" w:hAnsi="宋体" w:eastAsia="宋体" w:cs="宋体"/>
          <w:b/>
          <w:color w:val="auto"/>
          <w:sz w:val="44"/>
          <w:szCs w:val="44"/>
          <w:highlight w:val="none"/>
        </w:rPr>
        <w:drawing>
          <wp:anchor distT="0" distB="0" distL="0" distR="0" simplePos="0" relativeHeight="251659264" behindDoc="0" locked="0" layoutInCell="1" allowOverlap="1">
            <wp:simplePos x="0" y="0"/>
            <wp:positionH relativeFrom="column">
              <wp:posOffset>2056765</wp:posOffset>
            </wp:positionH>
            <wp:positionV relativeFrom="paragraph">
              <wp:posOffset>182245</wp:posOffset>
            </wp:positionV>
            <wp:extent cx="1857375" cy="2430780"/>
            <wp:effectExtent l="0" t="0" r="9525" b="7620"/>
            <wp:wrapNone/>
            <wp:docPr id="2" name="图片 2" descr="6a6c3e06251c99f835b3e190392f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6a6c3e06251c99f835b3e190392f229"/>
                    <pic:cNvPicPr>
                      <a:picLocks noChangeAspect="1" noChangeArrowheads="1"/>
                    </pic:cNvPicPr>
                  </pic:nvPicPr>
                  <pic:blipFill>
                    <a:blip r:embed="rId7"/>
                    <a:srcRect/>
                    <a:stretch>
                      <a:fillRect/>
                    </a:stretch>
                  </pic:blipFill>
                  <pic:spPr>
                    <a:xfrm>
                      <a:off x="0" y="0"/>
                      <a:ext cx="1857353" cy="2430662"/>
                    </a:xfrm>
                    <a:prstGeom prst="rect">
                      <a:avLst/>
                    </a:prstGeom>
                    <a:noFill/>
                    <a:ln w="9525" cmpd="sng">
                      <a:noFill/>
                      <a:miter lim="800000"/>
                      <a:headEnd/>
                      <a:tailEnd/>
                    </a:ln>
                  </pic:spPr>
                </pic:pic>
              </a:graphicData>
            </a:graphic>
          </wp:anchor>
        </w:drawing>
      </w:r>
    </w:p>
    <w:p>
      <w:pPr>
        <w:rPr>
          <w:rFonts w:ascii="微软简隶书" w:eastAsia="微软简隶书"/>
          <w:color w:val="auto"/>
          <w:highlight w:val="none"/>
        </w:rPr>
      </w:pPr>
    </w:p>
    <w:p>
      <w:pPr>
        <w:rPr>
          <w:rFonts w:ascii="微软简隶书" w:eastAsia="微软简隶书"/>
          <w:color w:val="auto"/>
          <w:highlight w:val="none"/>
        </w:rPr>
      </w:pPr>
    </w:p>
    <w:p>
      <w:pPr>
        <w:rPr>
          <w:rFonts w:ascii="微软简隶书" w:eastAsia="微软简隶书"/>
          <w:color w:val="auto"/>
          <w:highlight w:val="none"/>
        </w:rPr>
      </w:pPr>
    </w:p>
    <w:p>
      <w:pPr>
        <w:rPr>
          <w:rFonts w:ascii="微软简隶书" w:eastAsia="微软简隶书"/>
          <w:color w:val="auto"/>
          <w:highlight w:val="none"/>
        </w:rPr>
      </w:pPr>
    </w:p>
    <w:p>
      <w:pPr>
        <w:rPr>
          <w:rFonts w:ascii="微软简隶书" w:eastAsia="微软简隶书"/>
          <w:color w:val="auto"/>
          <w:highlight w:val="none"/>
        </w:rPr>
      </w:pPr>
    </w:p>
    <w:p>
      <w:pPr>
        <w:pStyle w:val="30"/>
        <w:rPr>
          <w:rFonts w:ascii="微软简隶书" w:eastAsia="微软简隶书"/>
          <w:color w:val="auto"/>
          <w:highlight w:val="none"/>
        </w:rPr>
      </w:pPr>
    </w:p>
    <w:p>
      <w:pPr>
        <w:pStyle w:val="30"/>
        <w:rPr>
          <w:rFonts w:ascii="微软简隶书" w:eastAsia="微软简隶书"/>
          <w:color w:val="auto"/>
          <w:highlight w:val="none"/>
        </w:rPr>
      </w:pPr>
    </w:p>
    <w:p>
      <w:pPr>
        <w:pStyle w:val="30"/>
        <w:rPr>
          <w:rFonts w:ascii="微软简隶书" w:eastAsia="微软简隶书"/>
          <w:color w:val="auto"/>
          <w:highlight w:val="none"/>
        </w:rPr>
      </w:pPr>
    </w:p>
    <w:p>
      <w:pPr>
        <w:pStyle w:val="30"/>
        <w:rPr>
          <w:rFonts w:ascii="微软简隶书" w:eastAsia="微软简隶书"/>
          <w:color w:val="auto"/>
          <w:highlight w:val="none"/>
        </w:rPr>
      </w:pPr>
    </w:p>
    <w:p>
      <w:pPr>
        <w:pStyle w:val="30"/>
        <w:rPr>
          <w:rFonts w:ascii="微软简隶书" w:eastAsia="微软简隶书"/>
          <w:color w:val="auto"/>
          <w:highlight w:val="none"/>
        </w:rPr>
      </w:pPr>
    </w:p>
    <w:p>
      <w:pPr>
        <w:pStyle w:val="30"/>
        <w:rPr>
          <w:rFonts w:ascii="微软简隶书" w:eastAsia="微软简隶书"/>
          <w:color w:val="auto"/>
          <w:highlight w:val="none"/>
        </w:rPr>
      </w:pPr>
    </w:p>
    <w:p>
      <w:pPr>
        <w:pStyle w:val="30"/>
        <w:rPr>
          <w:rFonts w:ascii="微软简隶书" w:eastAsia="微软简隶书"/>
          <w:color w:val="auto"/>
          <w:highlight w:val="none"/>
        </w:rPr>
      </w:pPr>
    </w:p>
    <w:p>
      <w:pPr>
        <w:pStyle w:val="30"/>
        <w:rPr>
          <w:rFonts w:ascii="微软简隶书" w:eastAsia="微软简隶书"/>
          <w:color w:val="auto"/>
          <w:highlight w:val="none"/>
        </w:rPr>
      </w:pPr>
    </w:p>
    <w:p>
      <w:pPr>
        <w:pStyle w:val="30"/>
        <w:rPr>
          <w:rFonts w:ascii="微软简隶书" w:eastAsia="微软简隶书"/>
          <w:color w:val="auto"/>
          <w:highlight w:val="none"/>
        </w:rPr>
      </w:pPr>
    </w:p>
    <w:p>
      <w:pPr>
        <w:pStyle w:val="30"/>
        <w:ind w:left="0" w:leftChars="0" w:firstLine="0" w:firstLineChars="0"/>
        <w:rPr>
          <w:rFonts w:ascii="微软简隶书" w:eastAsia="微软简隶书"/>
          <w:color w:val="auto"/>
          <w:highlight w:val="none"/>
        </w:rPr>
      </w:pPr>
    </w:p>
    <w:p>
      <w:pPr>
        <w:rPr>
          <w:rFonts w:hint="eastAsia" w:asciiTheme="majorEastAsia" w:hAnsiTheme="majorEastAsia" w:eastAsiaTheme="majorEastAsia" w:cstheme="majorEastAsia"/>
          <w:b/>
          <w:bCs/>
          <w:color w:val="auto"/>
          <w:sz w:val="36"/>
          <w:szCs w:val="36"/>
          <w:highlight w:val="none"/>
        </w:rPr>
      </w:pPr>
      <w:r>
        <w:rPr>
          <w:rFonts w:hint="eastAsia" w:asciiTheme="majorEastAsia" w:hAnsiTheme="majorEastAsia" w:eastAsiaTheme="majorEastAsia" w:cstheme="majorEastAsia"/>
          <w:b/>
          <w:bCs/>
          <w:color w:val="auto"/>
          <w:sz w:val="36"/>
          <w:szCs w:val="36"/>
          <w:highlight w:val="none"/>
        </w:rPr>
        <w:t xml:space="preserve"> </w:t>
      </w:r>
    </w:p>
    <w:p>
      <w:pPr>
        <w:pStyle w:val="15"/>
        <w:ind w:left="0" w:leftChars="0" w:firstLine="0" w:firstLineChars="0"/>
        <w:rPr>
          <w:rFonts w:hint="default"/>
          <w:color w:val="auto"/>
          <w:highlight w:val="none"/>
          <w:lang w:val="en-US" w:eastAsia="zh-CN"/>
        </w:rPr>
      </w:pPr>
    </w:p>
    <w:p>
      <w:pPr>
        <w:rPr>
          <w:rFonts w:hint="default"/>
          <w:color w:val="auto"/>
          <w:highlight w:val="none"/>
          <w:lang w:val="en-US" w:eastAsia="zh-CN"/>
        </w:rPr>
      </w:pPr>
    </w:p>
    <w:p>
      <w:pPr>
        <w:ind w:firstLine="1084" w:firstLineChars="300"/>
        <w:rPr>
          <w:rFonts w:hint="eastAsia" w:asciiTheme="majorEastAsia" w:hAnsiTheme="majorEastAsia" w:eastAsiaTheme="majorEastAsia" w:cstheme="majorEastAsia"/>
          <w:b/>
          <w:bCs/>
          <w:color w:val="auto"/>
          <w:sz w:val="36"/>
          <w:szCs w:val="36"/>
          <w:highlight w:val="none"/>
          <w:lang w:val="zh-CN"/>
        </w:rPr>
      </w:pPr>
      <w:r>
        <w:rPr>
          <w:rFonts w:hint="eastAsia" w:asciiTheme="majorEastAsia" w:hAnsiTheme="majorEastAsia" w:eastAsiaTheme="majorEastAsia" w:cstheme="majorEastAsia"/>
          <w:b/>
          <w:bCs/>
          <w:color w:val="auto"/>
          <w:sz w:val="36"/>
          <w:szCs w:val="36"/>
          <w:highlight w:val="none"/>
        </w:rPr>
        <w:t>采</w:t>
      </w:r>
      <w:r>
        <w:rPr>
          <w:rFonts w:hint="eastAsia" w:asciiTheme="majorEastAsia" w:hAnsiTheme="majorEastAsia" w:eastAsiaTheme="majorEastAsia" w:cstheme="majorEastAsia"/>
          <w:b/>
          <w:bCs/>
          <w:color w:val="auto"/>
          <w:sz w:val="36"/>
          <w:szCs w:val="36"/>
          <w:highlight w:val="none"/>
          <w:lang w:val="en-US" w:eastAsia="zh-CN"/>
        </w:rPr>
        <w:t xml:space="preserve"> </w:t>
      </w:r>
      <w:r>
        <w:rPr>
          <w:rFonts w:hint="eastAsia" w:asciiTheme="majorEastAsia" w:hAnsiTheme="majorEastAsia" w:eastAsiaTheme="majorEastAsia" w:cstheme="majorEastAsia"/>
          <w:b/>
          <w:bCs/>
          <w:color w:val="auto"/>
          <w:sz w:val="36"/>
          <w:szCs w:val="36"/>
          <w:highlight w:val="none"/>
        </w:rPr>
        <w:t>购</w:t>
      </w:r>
      <w:r>
        <w:rPr>
          <w:rFonts w:hint="eastAsia" w:asciiTheme="majorEastAsia" w:hAnsiTheme="majorEastAsia" w:eastAsiaTheme="majorEastAsia" w:cstheme="majorEastAsia"/>
          <w:b/>
          <w:bCs/>
          <w:color w:val="auto"/>
          <w:sz w:val="36"/>
          <w:szCs w:val="36"/>
          <w:highlight w:val="none"/>
          <w:lang w:val="en-US" w:eastAsia="zh-CN"/>
        </w:rPr>
        <w:t xml:space="preserve">  </w:t>
      </w:r>
      <w:r>
        <w:rPr>
          <w:rFonts w:hint="eastAsia" w:asciiTheme="majorEastAsia" w:hAnsiTheme="majorEastAsia" w:eastAsiaTheme="majorEastAsia" w:cstheme="majorEastAsia"/>
          <w:b/>
          <w:bCs/>
          <w:color w:val="auto"/>
          <w:sz w:val="36"/>
          <w:szCs w:val="36"/>
          <w:highlight w:val="none"/>
        </w:rPr>
        <w:t>单</w:t>
      </w:r>
      <w:r>
        <w:rPr>
          <w:rFonts w:hint="eastAsia" w:asciiTheme="majorEastAsia" w:hAnsiTheme="majorEastAsia" w:eastAsiaTheme="majorEastAsia" w:cstheme="majorEastAsia"/>
          <w:b/>
          <w:bCs/>
          <w:color w:val="auto"/>
          <w:sz w:val="36"/>
          <w:szCs w:val="36"/>
          <w:highlight w:val="none"/>
          <w:lang w:val="en-US" w:eastAsia="zh-CN"/>
        </w:rPr>
        <w:t xml:space="preserve"> </w:t>
      </w:r>
      <w:r>
        <w:rPr>
          <w:rFonts w:hint="eastAsia" w:asciiTheme="majorEastAsia" w:hAnsiTheme="majorEastAsia" w:eastAsiaTheme="majorEastAsia" w:cstheme="majorEastAsia"/>
          <w:b/>
          <w:bCs/>
          <w:color w:val="auto"/>
          <w:sz w:val="36"/>
          <w:szCs w:val="36"/>
          <w:highlight w:val="none"/>
        </w:rPr>
        <w:t>位：</w:t>
      </w:r>
      <w:r>
        <w:rPr>
          <w:rFonts w:hint="eastAsia" w:asciiTheme="majorEastAsia" w:hAnsiTheme="majorEastAsia" w:eastAsiaTheme="majorEastAsia" w:cstheme="majorEastAsia"/>
          <w:b/>
          <w:bCs/>
          <w:color w:val="auto"/>
          <w:sz w:val="36"/>
          <w:szCs w:val="36"/>
          <w:highlight w:val="none"/>
          <w:lang w:val="zh-CN"/>
        </w:rPr>
        <w:t>禹州市</w:t>
      </w:r>
      <w:r>
        <w:rPr>
          <w:rFonts w:hint="eastAsia" w:asciiTheme="majorEastAsia" w:hAnsiTheme="majorEastAsia" w:eastAsiaTheme="majorEastAsia" w:cstheme="majorEastAsia"/>
          <w:b/>
          <w:bCs/>
          <w:color w:val="auto"/>
          <w:sz w:val="36"/>
          <w:szCs w:val="36"/>
          <w:highlight w:val="none"/>
          <w:lang w:val="en-US" w:eastAsia="zh-CN"/>
        </w:rPr>
        <w:t>教育体育</w:t>
      </w:r>
      <w:r>
        <w:rPr>
          <w:rFonts w:hint="eastAsia" w:asciiTheme="majorEastAsia" w:hAnsiTheme="majorEastAsia" w:eastAsiaTheme="majorEastAsia" w:cstheme="majorEastAsia"/>
          <w:b/>
          <w:bCs/>
          <w:color w:val="auto"/>
          <w:sz w:val="36"/>
          <w:szCs w:val="36"/>
          <w:highlight w:val="none"/>
          <w:lang w:val="zh-CN"/>
        </w:rPr>
        <w:t>局</w:t>
      </w:r>
    </w:p>
    <w:p>
      <w:pPr>
        <w:ind w:firstLine="1084" w:firstLineChars="300"/>
        <w:rPr>
          <w:rFonts w:hint="eastAsia" w:asciiTheme="majorEastAsia" w:hAnsiTheme="majorEastAsia" w:eastAsiaTheme="majorEastAsia" w:cstheme="majorEastAsia"/>
          <w:b/>
          <w:bCs/>
          <w:color w:val="auto"/>
          <w:w w:val="80"/>
          <w:sz w:val="36"/>
          <w:szCs w:val="36"/>
          <w:highlight w:val="none"/>
        </w:rPr>
      </w:pPr>
      <w:r>
        <w:rPr>
          <w:rFonts w:hint="eastAsia" w:asciiTheme="majorEastAsia" w:hAnsiTheme="majorEastAsia" w:eastAsiaTheme="majorEastAsia" w:cstheme="majorEastAsia"/>
          <w:b/>
          <w:bCs/>
          <w:color w:val="auto"/>
          <w:sz w:val="36"/>
          <w:szCs w:val="36"/>
          <w:highlight w:val="none"/>
          <w:lang w:val="en-US" w:eastAsia="zh-CN"/>
        </w:rPr>
        <w:t>采购监督部门：</w:t>
      </w:r>
      <w:r>
        <w:rPr>
          <w:rFonts w:hint="eastAsia" w:asciiTheme="majorEastAsia" w:hAnsiTheme="majorEastAsia" w:eastAsiaTheme="majorEastAsia" w:cstheme="majorEastAsia"/>
          <w:b/>
          <w:bCs/>
          <w:color w:val="auto"/>
          <w:w w:val="80"/>
          <w:sz w:val="36"/>
          <w:szCs w:val="36"/>
          <w:highlight w:val="none"/>
          <w:lang w:val="en-US" w:eastAsia="zh-CN"/>
        </w:rPr>
        <w:t>禹州市政府采购监督管理办公室</w:t>
      </w:r>
    </w:p>
    <w:p>
      <w:pPr>
        <w:ind w:firstLine="1084" w:firstLineChars="300"/>
        <w:outlineLvl w:val="0"/>
        <w:rPr>
          <w:rFonts w:asciiTheme="majorEastAsia" w:hAnsiTheme="majorEastAsia" w:eastAsiaTheme="majorEastAsia" w:cstheme="majorEastAsia"/>
          <w:b/>
          <w:bCs/>
          <w:color w:val="auto"/>
          <w:sz w:val="36"/>
          <w:szCs w:val="36"/>
          <w:highlight w:val="none"/>
        </w:rPr>
      </w:pPr>
      <w:r>
        <w:rPr>
          <w:rFonts w:hint="eastAsia" w:asciiTheme="majorEastAsia" w:hAnsiTheme="majorEastAsia" w:eastAsiaTheme="majorEastAsia" w:cstheme="majorEastAsia"/>
          <w:b/>
          <w:bCs/>
          <w:color w:val="auto"/>
          <w:sz w:val="36"/>
          <w:szCs w:val="36"/>
          <w:highlight w:val="none"/>
        </w:rPr>
        <w:t>代</w:t>
      </w:r>
      <w:r>
        <w:rPr>
          <w:rFonts w:hint="eastAsia" w:asciiTheme="majorEastAsia" w:hAnsiTheme="majorEastAsia" w:eastAsiaTheme="majorEastAsia" w:cstheme="majorEastAsia"/>
          <w:b/>
          <w:bCs/>
          <w:color w:val="auto"/>
          <w:sz w:val="36"/>
          <w:szCs w:val="36"/>
          <w:highlight w:val="none"/>
          <w:lang w:val="en-US" w:eastAsia="zh-CN"/>
        </w:rPr>
        <w:t xml:space="preserve"> </w:t>
      </w:r>
      <w:r>
        <w:rPr>
          <w:rFonts w:hint="eastAsia" w:asciiTheme="majorEastAsia" w:hAnsiTheme="majorEastAsia" w:eastAsiaTheme="majorEastAsia" w:cstheme="majorEastAsia"/>
          <w:b/>
          <w:bCs/>
          <w:color w:val="auto"/>
          <w:sz w:val="36"/>
          <w:szCs w:val="36"/>
          <w:highlight w:val="none"/>
        </w:rPr>
        <w:t>理</w:t>
      </w:r>
      <w:r>
        <w:rPr>
          <w:rFonts w:hint="eastAsia" w:asciiTheme="majorEastAsia" w:hAnsiTheme="majorEastAsia" w:eastAsiaTheme="majorEastAsia" w:cstheme="majorEastAsia"/>
          <w:b/>
          <w:bCs/>
          <w:color w:val="auto"/>
          <w:sz w:val="36"/>
          <w:szCs w:val="36"/>
          <w:highlight w:val="none"/>
          <w:lang w:val="en-US" w:eastAsia="zh-CN"/>
        </w:rPr>
        <w:t xml:space="preserve">  </w:t>
      </w:r>
      <w:r>
        <w:rPr>
          <w:rFonts w:hint="eastAsia" w:asciiTheme="majorEastAsia" w:hAnsiTheme="majorEastAsia" w:eastAsiaTheme="majorEastAsia" w:cstheme="majorEastAsia"/>
          <w:b/>
          <w:bCs/>
          <w:color w:val="auto"/>
          <w:sz w:val="36"/>
          <w:szCs w:val="36"/>
          <w:highlight w:val="none"/>
        </w:rPr>
        <w:t>机</w:t>
      </w:r>
      <w:r>
        <w:rPr>
          <w:rFonts w:hint="eastAsia" w:asciiTheme="majorEastAsia" w:hAnsiTheme="majorEastAsia" w:eastAsiaTheme="majorEastAsia" w:cstheme="majorEastAsia"/>
          <w:b/>
          <w:bCs/>
          <w:color w:val="auto"/>
          <w:sz w:val="36"/>
          <w:szCs w:val="36"/>
          <w:highlight w:val="none"/>
          <w:lang w:val="en-US" w:eastAsia="zh-CN"/>
        </w:rPr>
        <w:t xml:space="preserve"> </w:t>
      </w:r>
      <w:r>
        <w:rPr>
          <w:rFonts w:hint="eastAsia" w:asciiTheme="majorEastAsia" w:hAnsiTheme="majorEastAsia" w:eastAsiaTheme="majorEastAsia" w:cstheme="majorEastAsia"/>
          <w:b/>
          <w:bCs/>
          <w:color w:val="auto"/>
          <w:sz w:val="36"/>
          <w:szCs w:val="36"/>
          <w:highlight w:val="none"/>
        </w:rPr>
        <w:t>构：</w:t>
      </w:r>
      <w:r>
        <w:rPr>
          <w:rFonts w:hint="eastAsia" w:asciiTheme="majorEastAsia" w:hAnsiTheme="majorEastAsia" w:eastAsiaTheme="majorEastAsia" w:cstheme="majorEastAsia"/>
          <w:b/>
          <w:bCs/>
          <w:color w:val="auto"/>
          <w:sz w:val="36"/>
          <w:szCs w:val="36"/>
          <w:highlight w:val="none"/>
          <w:lang w:eastAsia="zh-CN"/>
        </w:rPr>
        <w:t>宏翔建设工程管理有限公司</w:t>
      </w:r>
    </w:p>
    <w:p>
      <w:pPr>
        <w:keepNext w:val="0"/>
        <w:keepLines w:val="0"/>
        <w:widowControl/>
        <w:suppressLineNumbers w:val="0"/>
        <w:jc w:val="center"/>
        <w:rPr>
          <w:rFonts w:hint="eastAsia" w:ascii="宋体" w:hAnsi="宋体" w:eastAsia="宋体" w:cs="宋体"/>
          <w:b/>
          <w:bCs/>
          <w:color w:val="auto"/>
          <w:sz w:val="40"/>
          <w:szCs w:val="40"/>
          <w:highlight w:val="none"/>
          <w:lang w:val="en-US" w:eastAsia="zh-CN"/>
        </w:rPr>
        <w:sectPr>
          <w:headerReference r:id="rId3" w:type="default"/>
          <w:pgSz w:w="11906" w:h="16838"/>
          <w:pgMar w:top="2098" w:right="1474" w:bottom="1928" w:left="1588" w:header="851" w:footer="992" w:gutter="0"/>
          <w:pgNumType w:fmt="decimal"/>
          <w:cols w:space="425" w:num="1"/>
          <w:docGrid w:type="lines" w:linePitch="312" w:charSpace="0"/>
        </w:sectPr>
      </w:pPr>
      <w:r>
        <w:rPr>
          <w:rFonts w:hint="eastAsia" w:asciiTheme="majorEastAsia" w:hAnsiTheme="majorEastAsia" w:eastAsiaTheme="majorEastAsia" w:cstheme="majorEastAsia"/>
          <w:b/>
          <w:bCs/>
          <w:color w:val="auto"/>
          <w:sz w:val="36"/>
          <w:szCs w:val="36"/>
          <w:highlight w:val="none"/>
          <w:lang w:eastAsia="zh-CN"/>
        </w:rPr>
        <w:t>二</w:t>
      </w:r>
      <w:r>
        <w:rPr>
          <w:rFonts w:hint="eastAsia" w:ascii="宋体" w:hAnsi="宋体" w:eastAsia="宋体" w:cs="宋体"/>
          <w:b/>
          <w:bCs/>
          <w:color w:val="auto"/>
          <w:kern w:val="0"/>
          <w:sz w:val="31"/>
          <w:szCs w:val="31"/>
          <w:highlight w:val="none"/>
          <w:lang w:val="en-US" w:eastAsia="zh-CN" w:bidi="ar"/>
        </w:rPr>
        <w:t>〇二四年七月</w:t>
      </w:r>
    </w:p>
    <w:p>
      <w:pPr>
        <w:keepNext w:val="0"/>
        <w:keepLines w:val="0"/>
        <w:pageBreakBefore w:val="0"/>
        <w:widowControl/>
        <w:kinsoku/>
        <w:wordWrap/>
        <w:overflowPunct/>
        <w:topLinePunct w:val="0"/>
        <w:autoSpaceDE/>
        <w:autoSpaceDN/>
        <w:bidi w:val="0"/>
        <w:adjustRightInd/>
        <w:snapToGrid/>
        <w:jc w:val="center"/>
        <w:textAlignment w:val="auto"/>
        <w:outlineLvl w:val="0"/>
        <w:rPr>
          <w:rFonts w:cs="黑体" w:asciiTheme="minorEastAsia" w:hAnsiTheme="minorEastAsia"/>
          <w:b/>
          <w:bCs/>
          <w:color w:val="auto"/>
          <w:sz w:val="36"/>
          <w:szCs w:val="36"/>
          <w:highlight w:val="none"/>
          <w:lang w:val="zh-CN"/>
        </w:rPr>
      </w:pPr>
      <w:r>
        <w:rPr>
          <w:rFonts w:hint="eastAsia" w:cs="黑体" w:asciiTheme="minorEastAsia" w:hAnsiTheme="minorEastAsia"/>
          <w:b/>
          <w:bCs/>
          <w:color w:val="auto"/>
          <w:sz w:val="36"/>
          <w:szCs w:val="36"/>
          <w:highlight w:val="none"/>
          <w:lang w:val="zh-CN"/>
        </w:rPr>
        <w:t>目    录</w:t>
      </w:r>
    </w:p>
    <w:p>
      <w:pPr>
        <w:autoSpaceDE w:val="0"/>
        <w:autoSpaceDN w:val="0"/>
        <w:adjustRightInd w:val="0"/>
        <w:spacing w:line="700" w:lineRule="exact"/>
        <w:ind w:firstLine="551"/>
        <w:rPr>
          <w:rFonts w:asciiTheme="majorEastAsia" w:hAnsiTheme="majorEastAsia" w:eastAsiaTheme="majorEastAsia" w:cstheme="majorEastAsia"/>
          <w:b/>
          <w:bCs/>
          <w:color w:val="auto"/>
          <w:sz w:val="32"/>
          <w:szCs w:val="32"/>
          <w:highlight w:val="none"/>
          <w:lang w:val="zh-CN"/>
        </w:rPr>
      </w:pP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9"/>
        <w:rPr>
          <w:b/>
          <w:bCs/>
          <w:color w:val="auto"/>
          <w:sz w:val="28"/>
          <w:szCs w:val="28"/>
          <w:highlight w:val="none"/>
          <w:lang w:val="zh-CN"/>
        </w:rPr>
      </w:pPr>
      <w:r>
        <w:rPr>
          <w:rFonts w:hint="eastAsia"/>
          <w:b/>
          <w:bCs/>
          <w:color w:val="auto"/>
          <w:sz w:val="28"/>
          <w:szCs w:val="28"/>
          <w:highlight w:val="none"/>
          <w:lang w:val="zh-CN"/>
        </w:rPr>
        <w:t>第一章 谈判邀请</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b/>
          <w:bCs/>
          <w:color w:val="auto"/>
          <w:sz w:val="28"/>
          <w:szCs w:val="28"/>
          <w:highlight w:val="none"/>
          <w:lang w:val="zh-CN"/>
        </w:rPr>
      </w:pPr>
      <w:r>
        <w:rPr>
          <w:rFonts w:hint="eastAsia"/>
          <w:b/>
          <w:bCs/>
          <w:color w:val="auto"/>
          <w:sz w:val="28"/>
          <w:szCs w:val="28"/>
          <w:highlight w:val="none"/>
          <w:lang w:val="zh-CN"/>
        </w:rPr>
        <w:t>第二章 采购需求</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b/>
          <w:bCs/>
          <w:color w:val="auto"/>
          <w:sz w:val="28"/>
          <w:szCs w:val="28"/>
          <w:highlight w:val="none"/>
        </w:rPr>
      </w:pPr>
      <w:r>
        <w:rPr>
          <w:rFonts w:hint="eastAsia"/>
          <w:b/>
          <w:bCs/>
          <w:color w:val="auto"/>
          <w:sz w:val="28"/>
          <w:szCs w:val="28"/>
          <w:highlight w:val="none"/>
          <w:lang w:val="zh-CN"/>
        </w:rPr>
        <w:t xml:space="preserve">第三章 </w:t>
      </w:r>
      <w:r>
        <w:rPr>
          <w:rFonts w:hint="eastAsia"/>
          <w:b/>
          <w:bCs/>
          <w:color w:val="auto"/>
          <w:sz w:val="28"/>
          <w:szCs w:val="28"/>
          <w:highlight w:val="none"/>
        </w:rPr>
        <w:t>供应商须知前附表</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b/>
          <w:bCs/>
          <w:color w:val="auto"/>
          <w:sz w:val="28"/>
          <w:szCs w:val="28"/>
          <w:highlight w:val="none"/>
        </w:rPr>
      </w:pPr>
      <w:r>
        <w:rPr>
          <w:rFonts w:hint="eastAsia"/>
          <w:b/>
          <w:bCs/>
          <w:color w:val="auto"/>
          <w:sz w:val="28"/>
          <w:szCs w:val="28"/>
          <w:highlight w:val="none"/>
          <w:lang w:val="zh-CN"/>
        </w:rPr>
        <w:t xml:space="preserve">第四章 </w:t>
      </w:r>
      <w:r>
        <w:rPr>
          <w:rFonts w:hint="eastAsia"/>
          <w:b/>
          <w:bCs/>
          <w:color w:val="auto"/>
          <w:sz w:val="28"/>
          <w:szCs w:val="28"/>
          <w:highlight w:val="none"/>
        </w:rPr>
        <w:t>供应商须知</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color w:val="auto"/>
          <w:sz w:val="28"/>
          <w:szCs w:val="28"/>
          <w:highlight w:val="none"/>
          <w:lang w:val="zh-CN"/>
        </w:rPr>
      </w:pPr>
      <w:r>
        <w:rPr>
          <w:rFonts w:hint="eastAsia"/>
          <w:color w:val="auto"/>
          <w:sz w:val="28"/>
          <w:szCs w:val="28"/>
          <w:highlight w:val="none"/>
          <w:lang w:val="zh-CN"/>
        </w:rPr>
        <w:t>一、概念释义</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color w:val="auto"/>
          <w:sz w:val="28"/>
          <w:szCs w:val="28"/>
          <w:highlight w:val="none"/>
          <w:lang w:val="zh-CN"/>
        </w:rPr>
      </w:pPr>
      <w:r>
        <w:rPr>
          <w:rFonts w:hint="eastAsia"/>
          <w:color w:val="auto"/>
          <w:sz w:val="28"/>
          <w:szCs w:val="28"/>
          <w:highlight w:val="none"/>
          <w:lang w:val="zh-CN"/>
        </w:rPr>
        <w:t>二、谈判文件说明</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color w:val="auto"/>
          <w:sz w:val="28"/>
          <w:szCs w:val="28"/>
          <w:highlight w:val="none"/>
          <w:lang w:val="zh-CN"/>
        </w:rPr>
      </w:pPr>
      <w:r>
        <w:rPr>
          <w:rFonts w:hint="eastAsia"/>
          <w:color w:val="auto"/>
          <w:sz w:val="28"/>
          <w:szCs w:val="28"/>
          <w:highlight w:val="none"/>
          <w:lang w:val="zh-CN"/>
        </w:rPr>
        <w:t>三、响应文件的编制</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color w:val="auto"/>
          <w:sz w:val="28"/>
          <w:szCs w:val="28"/>
          <w:highlight w:val="none"/>
          <w:lang w:val="zh-CN"/>
        </w:rPr>
      </w:pPr>
      <w:r>
        <w:rPr>
          <w:rFonts w:hint="eastAsia"/>
          <w:color w:val="auto"/>
          <w:sz w:val="28"/>
          <w:szCs w:val="28"/>
          <w:highlight w:val="none"/>
          <w:lang w:val="zh-CN"/>
        </w:rPr>
        <w:t>四、响应文件的提交</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color w:val="auto"/>
          <w:sz w:val="28"/>
          <w:szCs w:val="28"/>
          <w:highlight w:val="none"/>
          <w:lang w:val="zh-CN"/>
        </w:rPr>
      </w:pPr>
      <w:r>
        <w:rPr>
          <w:rFonts w:hint="eastAsia"/>
          <w:color w:val="auto"/>
          <w:sz w:val="28"/>
          <w:szCs w:val="28"/>
          <w:highlight w:val="none"/>
          <w:lang w:val="zh-CN"/>
        </w:rPr>
        <w:t>五、谈判和评审</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color w:val="auto"/>
          <w:sz w:val="28"/>
          <w:szCs w:val="28"/>
          <w:highlight w:val="none"/>
          <w:lang w:val="zh-CN"/>
        </w:rPr>
      </w:pPr>
      <w:r>
        <w:rPr>
          <w:rFonts w:hint="eastAsia"/>
          <w:color w:val="auto"/>
          <w:sz w:val="28"/>
          <w:szCs w:val="28"/>
          <w:highlight w:val="none"/>
          <w:lang w:val="zh-CN"/>
        </w:rPr>
        <w:t>六、确认成交供应商和授予合同</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b/>
          <w:bCs/>
          <w:color w:val="auto"/>
          <w:sz w:val="28"/>
          <w:szCs w:val="28"/>
          <w:highlight w:val="none"/>
          <w:lang w:val="zh-CN"/>
        </w:rPr>
      </w:pPr>
      <w:r>
        <w:rPr>
          <w:rFonts w:hint="eastAsia"/>
          <w:b/>
          <w:bCs/>
          <w:color w:val="auto"/>
          <w:sz w:val="28"/>
          <w:szCs w:val="28"/>
          <w:highlight w:val="none"/>
          <w:lang w:val="zh-CN"/>
        </w:rPr>
        <w:t xml:space="preserve">第五章 </w:t>
      </w:r>
      <w:r>
        <w:rPr>
          <w:rFonts w:hint="eastAsia"/>
          <w:b/>
          <w:bCs/>
          <w:color w:val="auto"/>
          <w:sz w:val="28"/>
          <w:szCs w:val="28"/>
          <w:highlight w:val="none"/>
        </w:rPr>
        <w:t>政府采购政策功能</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b/>
          <w:bCs/>
          <w:color w:val="auto"/>
          <w:sz w:val="28"/>
          <w:szCs w:val="28"/>
          <w:highlight w:val="none"/>
          <w:lang w:val="zh-CN"/>
        </w:rPr>
      </w:pPr>
      <w:r>
        <w:rPr>
          <w:rFonts w:hint="eastAsia"/>
          <w:b/>
          <w:bCs/>
          <w:color w:val="auto"/>
          <w:sz w:val="28"/>
          <w:szCs w:val="28"/>
          <w:highlight w:val="none"/>
          <w:lang w:val="zh-CN"/>
        </w:rPr>
        <w:t xml:space="preserve">第六章 </w:t>
      </w:r>
      <w:r>
        <w:rPr>
          <w:rFonts w:hint="eastAsia"/>
          <w:b/>
          <w:bCs/>
          <w:color w:val="auto"/>
          <w:sz w:val="28"/>
          <w:szCs w:val="28"/>
          <w:highlight w:val="none"/>
        </w:rPr>
        <w:t>对响应文件审查与评审</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b/>
          <w:bCs/>
          <w:color w:val="auto"/>
          <w:sz w:val="28"/>
          <w:szCs w:val="28"/>
          <w:highlight w:val="none"/>
          <w:lang w:val="zh-CN"/>
        </w:rPr>
      </w:pPr>
      <w:r>
        <w:rPr>
          <w:rFonts w:hint="eastAsia"/>
          <w:b/>
          <w:bCs/>
          <w:color w:val="auto"/>
          <w:sz w:val="28"/>
          <w:szCs w:val="28"/>
          <w:highlight w:val="none"/>
          <w:lang w:val="zh-CN"/>
        </w:rPr>
        <w:t>第七章 拟签订的合同文本</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b/>
          <w:bCs/>
          <w:color w:val="auto"/>
          <w:sz w:val="28"/>
          <w:szCs w:val="28"/>
          <w:highlight w:val="none"/>
          <w:lang w:val="zh-CN"/>
        </w:rPr>
      </w:pPr>
      <w:r>
        <w:rPr>
          <w:rFonts w:hint="eastAsia"/>
          <w:b/>
          <w:bCs/>
          <w:color w:val="auto"/>
          <w:sz w:val="28"/>
          <w:szCs w:val="28"/>
          <w:highlight w:val="none"/>
          <w:lang w:val="zh-CN"/>
        </w:rPr>
        <w:t>第八章 响应文件有关格式</w:t>
      </w:r>
    </w:p>
    <w:p>
      <w:pPr>
        <w:autoSpaceDE w:val="0"/>
        <w:autoSpaceDN w:val="0"/>
        <w:adjustRightInd w:val="0"/>
        <w:spacing w:line="700" w:lineRule="exact"/>
        <w:ind w:firstLine="551"/>
        <w:rPr>
          <w:rFonts w:asciiTheme="majorEastAsia" w:hAnsiTheme="majorEastAsia" w:eastAsiaTheme="majorEastAsia" w:cstheme="majorEastAsia"/>
          <w:b/>
          <w:color w:val="auto"/>
          <w:kern w:val="0"/>
          <w:sz w:val="32"/>
          <w:szCs w:val="32"/>
          <w:highlight w:val="none"/>
        </w:rPr>
      </w:pPr>
    </w:p>
    <w:p>
      <w:pPr>
        <w:widowControl/>
        <w:jc w:val="left"/>
        <w:rPr>
          <w:rFonts w:ascii="宋体" w:hAnsi="宋体" w:eastAsia="宋体" w:cs="宋体"/>
          <w:b/>
          <w:color w:val="auto"/>
          <w:sz w:val="36"/>
          <w:szCs w:val="36"/>
          <w:highlight w:val="none"/>
          <w:shd w:val="clear" w:color="auto" w:fill="FFFFFF"/>
        </w:rPr>
      </w:pPr>
      <w:r>
        <w:rPr>
          <w:rFonts w:ascii="宋体" w:hAnsi="宋体" w:cs="宋体"/>
          <w:b/>
          <w:color w:val="auto"/>
          <w:sz w:val="36"/>
          <w:szCs w:val="36"/>
          <w:highlight w:val="none"/>
          <w:shd w:val="clear" w:color="auto" w:fill="FFFFFF"/>
        </w:rPr>
        <w:br w:type="page"/>
      </w:r>
    </w:p>
    <w:p>
      <w:pPr>
        <w:pStyle w:val="2"/>
        <w:keepNext/>
        <w:keepLines/>
        <w:pageBreakBefore w:val="0"/>
        <w:widowControl w:val="0"/>
        <w:kinsoku/>
        <w:wordWrap/>
        <w:overflowPunct/>
        <w:topLinePunct w:val="0"/>
        <w:autoSpaceDE/>
        <w:autoSpaceDN/>
        <w:bidi w:val="0"/>
        <w:adjustRightInd w:val="0"/>
        <w:snapToGrid/>
        <w:spacing w:before="0" w:after="0" w:line="360" w:lineRule="auto"/>
        <w:ind w:firstLine="0"/>
        <w:jc w:val="center"/>
        <w:textAlignment w:val="baseline"/>
        <w:outlineLvl w:val="0"/>
        <w:rPr>
          <w:rFonts w:hint="eastAsia"/>
          <w:color w:val="auto"/>
          <w:sz w:val="32"/>
          <w:szCs w:val="32"/>
          <w:highlight w:val="none"/>
        </w:rPr>
      </w:pPr>
      <w:r>
        <w:rPr>
          <w:rFonts w:hint="eastAsia"/>
          <w:color w:val="auto"/>
          <w:sz w:val="32"/>
          <w:szCs w:val="32"/>
          <w:highlight w:val="none"/>
          <w:lang w:val="en-US" w:eastAsia="zh-CN"/>
        </w:rPr>
        <w:t xml:space="preserve"> </w:t>
      </w:r>
      <w:r>
        <w:rPr>
          <w:rFonts w:hint="eastAsia"/>
          <w:color w:val="auto"/>
          <w:sz w:val="32"/>
          <w:szCs w:val="32"/>
          <w:highlight w:val="none"/>
        </w:rPr>
        <w:t>谈判邀请</w:t>
      </w:r>
    </w:p>
    <w:p>
      <w:pPr>
        <w:keepNext w:val="0"/>
        <w:keepLines w:val="0"/>
        <w:pageBreakBefore w:val="0"/>
        <w:kinsoku/>
        <w:wordWrap/>
        <w:overflowPunct/>
        <w:topLinePunct w:val="0"/>
        <w:autoSpaceDE/>
        <w:autoSpaceDN/>
        <w:bidi w:val="0"/>
        <w:adjustRightInd/>
        <w:snapToGrid/>
        <w:spacing w:line="360" w:lineRule="auto"/>
        <w:ind w:leftChars="0"/>
        <w:jc w:val="left"/>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Cs w:val="21"/>
          <w:highlight w:val="none"/>
          <w:shd w:val="clear" w:color="auto" w:fill="FFFFFF"/>
        </w:rPr>
        <w:t xml:space="preserve">  </w:t>
      </w:r>
      <w:r>
        <w:rPr>
          <w:rFonts w:hint="eastAsia" w:ascii="宋体" w:hAnsi="宋体" w:eastAsia="宋体" w:cs="宋体"/>
          <w:color w:val="auto"/>
          <w:sz w:val="24"/>
          <w:szCs w:val="24"/>
          <w:highlight w:val="none"/>
          <w:shd w:val="clear" w:color="auto" w:fill="FFFFFF"/>
        </w:rPr>
        <w:t xml:space="preserve">  </w:t>
      </w:r>
      <w:r>
        <w:rPr>
          <w:rFonts w:hint="eastAsia" w:ascii="宋体" w:hAnsi="宋体" w:eastAsia="宋体" w:cs="宋体"/>
          <w:color w:val="auto"/>
          <w:sz w:val="24"/>
          <w:szCs w:val="24"/>
          <w:highlight w:val="none"/>
          <w:shd w:val="clear" w:color="auto" w:fill="FFFFFF"/>
          <w:lang w:eastAsia="zh-CN"/>
        </w:rPr>
        <w:t>宏翔建设工程管理有限公司</w:t>
      </w:r>
      <w:r>
        <w:rPr>
          <w:rFonts w:hint="eastAsia" w:ascii="宋体" w:hAnsi="宋体" w:eastAsia="宋体" w:cs="宋体"/>
          <w:color w:val="auto"/>
          <w:sz w:val="24"/>
          <w:szCs w:val="24"/>
          <w:highlight w:val="none"/>
          <w:shd w:val="clear" w:color="auto" w:fill="FFFFFF"/>
        </w:rPr>
        <w:t>受禹州市教育体育局的委托，就“</w:t>
      </w:r>
      <w:r>
        <w:rPr>
          <w:rFonts w:hint="eastAsia" w:ascii="宋体" w:hAnsi="宋体" w:eastAsia="宋体" w:cs="宋体"/>
          <w:color w:val="auto"/>
          <w:sz w:val="24"/>
          <w:szCs w:val="24"/>
          <w:highlight w:val="none"/>
          <w:shd w:val="clear" w:color="auto" w:fill="FFFFFF"/>
          <w:lang w:eastAsia="zh-CN"/>
        </w:rPr>
        <w:t>禹州市教育体育局禹州市实验学校维修改造项目</w:t>
      </w:r>
      <w:r>
        <w:rPr>
          <w:rFonts w:hint="eastAsia" w:ascii="宋体" w:hAnsi="宋体" w:eastAsia="宋体" w:cs="宋体"/>
          <w:color w:val="auto"/>
          <w:sz w:val="24"/>
          <w:szCs w:val="24"/>
          <w:highlight w:val="none"/>
          <w:shd w:val="clear" w:color="auto" w:fill="FFFFFF"/>
        </w:rPr>
        <w:t>（不见面开标）”进行竞争性谈判</w:t>
      </w:r>
      <w:r>
        <w:rPr>
          <w:rFonts w:hint="eastAsia" w:ascii="宋体" w:hAnsi="宋体" w:eastAsia="宋体" w:cs="宋体"/>
          <w:color w:val="auto"/>
          <w:sz w:val="24"/>
          <w:szCs w:val="24"/>
          <w:highlight w:val="none"/>
          <w:shd w:val="clear" w:color="auto" w:fill="FFFFFF"/>
          <w:lang w:eastAsia="zh-CN"/>
        </w:rPr>
        <w:t>采购</w:t>
      </w:r>
      <w:r>
        <w:rPr>
          <w:rFonts w:hint="eastAsia" w:ascii="宋体" w:hAnsi="宋体" w:eastAsia="宋体" w:cs="宋体"/>
          <w:color w:val="auto"/>
          <w:sz w:val="24"/>
          <w:szCs w:val="24"/>
          <w:highlight w:val="none"/>
          <w:shd w:val="clear" w:color="auto" w:fill="FFFFFF"/>
        </w:rPr>
        <w:t>，欢迎合格的投标人前来投标。</w:t>
      </w:r>
    </w:p>
    <w:p>
      <w:pPr>
        <w:keepNext w:val="0"/>
        <w:keepLines w:val="0"/>
        <w:pageBreakBefore w:val="0"/>
        <w:widowControl/>
        <w:numPr>
          <w:ilvl w:val="0"/>
          <w:numId w:val="4"/>
        </w:numPr>
        <w:shd w:val="clear" w:color="auto" w:fill="FFFFFF"/>
        <w:kinsoku/>
        <w:wordWrap/>
        <w:overflowPunct/>
        <w:topLinePunct w:val="0"/>
        <w:autoSpaceDE/>
        <w:autoSpaceDN/>
        <w:bidi w:val="0"/>
        <w:adjustRightInd/>
        <w:snapToGrid/>
        <w:spacing w:line="360" w:lineRule="auto"/>
        <w:ind w:leftChars="0" w:firstLine="482"/>
        <w:jc w:val="left"/>
        <w:textAlignment w:val="auto"/>
        <w:outlineLvl w:val="2"/>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项目基本情况</w:t>
      </w:r>
    </w:p>
    <w:p>
      <w:pPr>
        <w:keepNext w:val="0"/>
        <w:keepLines w:val="0"/>
        <w:pageBreakBefore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sz w:val="24"/>
          <w:szCs w:val="24"/>
          <w:highlight w:val="none"/>
          <w:shd w:val="clear" w:color="auto" w:fill="FFFFFF"/>
          <w:lang w:val="en-US" w:eastAsia="zh-CN"/>
        </w:rPr>
        <w:t>1.</w:t>
      </w:r>
      <w:r>
        <w:rPr>
          <w:rFonts w:hint="eastAsia" w:ascii="宋体" w:hAnsi="宋体" w:eastAsia="宋体" w:cs="宋体"/>
          <w:color w:val="auto"/>
          <w:sz w:val="24"/>
          <w:szCs w:val="24"/>
          <w:highlight w:val="none"/>
          <w:shd w:val="clear" w:color="auto" w:fill="FFFFFF"/>
        </w:rPr>
        <w:t>采购编号：</w:t>
      </w:r>
      <w:r>
        <w:rPr>
          <w:rFonts w:hint="eastAsia" w:ascii="宋体" w:hAnsi="宋体" w:eastAsia="宋体" w:cs="宋体"/>
          <w:color w:val="auto"/>
          <w:kern w:val="0"/>
          <w:sz w:val="24"/>
          <w:szCs w:val="24"/>
          <w:highlight w:val="none"/>
          <w:lang w:val="en-US" w:eastAsia="zh-CN" w:bidi="ar"/>
        </w:rPr>
        <w:t>YZCG-DLT2024058</w:t>
      </w:r>
    </w:p>
    <w:p>
      <w:pPr>
        <w:keepNext w:val="0"/>
        <w:keepLines w:val="0"/>
        <w:pageBreakBefore w:val="0"/>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rPr>
        <w:t>2</w:t>
      </w:r>
      <w:r>
        <w:rPr>
          <w:rFonts w:hint="eastAsia" w:ascii="宋体" w:hAnsi="宋体" w:eastAsia="宋体" w:cs="宋体"/>
          <w:color w:val="auto"/>
          <w:sz w:val="24"/>
          <w:szCs w:val="24"/>
          <w:highlight w:val="none"/>
          <w:shd w:val="clear" w:color="auto" w:fill="FFFFFF"/>
          <w:lang w:val="en-US" w:eastAsia="zh-CN"/>
        </w:rPr>
        <w:t>.</w:t>
      </w:r>
      <w:r>
        <w:rPr>
          <w:rFonts w:hint="eastAsia" w:ascii="宋体" w:hAnsi="宋体" w:eastAsia="宋体" w:cs="宋体"/>
          <w:color w:val="auto"/>
          <w:sz w:val="24"/>
          <w:szCs w:val="24"/>
          <w:highlight w:val="none"/>
          <w:shd w:val="clear" w:color="auto" w:fill="FFFFFF"/>
        </w:rPr>
        <w:t>项目名称：</w:t>
      </w:r>
      <w:r>
        <w:rPr>
          <w:rFonts w:hint="eastAsia" w:ascii="宋体" w:hAnsi="宋体" w:eastAsia="宋体" w:cs="宋体"/>
          <w:color w:val="auto"/>
          <w:sz w:val="24"/>
          <w:szCs w:val="24"/>
          <w:highlight w:val="none"/>
          <w:shd w:val="clear" w:color="auto" w:fill="FFFFFF"/>
          <w:lang w:eastAsia="zh-CN"/>
        </w:rPr>
        <w:t>禹州市教育体育局禹州市实验学校维修改造项目</w:t>
      </w:r>
      <w:r>
        <w:rPr>
          <w:rFonts w:hint="eastAsia" w:ascii="宋体" w:hAnsi="宋体" w:eastAsia="宋体" w:cs="宋体"/>
          <w:color w:val="auto"/>
          <w:sz w:val="24"/>
          <w:szCs w:val="24"/>
          <w:highlight w:val="none"/>
          <w:shd w:val="clear" w:color="auto" w:fill="FFFFFF"/>
        </w:rPr>
        <w:t>（不见面开标）</w:t>
      </w:r>
    </w:p>
    <w:p>
      <w:pPr>
        <w:keepNext w:val="0"/>
        <w:keepLines w:val="0"/>
        <w:pageBreakBefore w:val="0"/>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3.</w:t>
      </w:r>
      <w:r>
        <w:rPr>
          <w:rFonts w:hint="eastAsia" w:ascii="宋体" w:hAnsi="宋体" w:eastAsia="宋体" w:cs="宋体"/>
          <w:color w:val="auto"/>
          <w:sz w:val="24"/>
          <w:szCs w:val="24"/>
          <w:highlight w:val="none"/>
          <w:shd w:val="clear" w:color="auto" w:fill="FFFFFF"/>
          <w:lang w:eastAsia="zh-CN"/>
        </w:rPr>
        <w:t>采购方式</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color w:val="auto"/>
          <w:sz w:val="24"/>
          <w:szCs w:val="24"/>
          <w:highlight w:val="none"/>
          <w:shd w:val="clear" w:color="auto" w:fill="FFFFFF"/>
          <w:lang w:eastAsia="zh-CN"/>
        </w:rPr>
        <w:t>竞争性谈判</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leftChars="0" w:firstLine="480" w:firstLineChars="200"/>
        <w:jc w:val="left"/>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4.</w:t>
      </w:r>
      <w:r>
        <w:rPr>
          <w:rFonts w:hint="eastAsia" w:ascii="宋体" w:hAnsi="宋体" w:eastAsia="宋体" w:cs="宋体"/>
          <w:color w:val="auto"/>
          <w:sz w:val="24"/>
          <w:szCs w:val="24"/>
          <w:highlight w:val="none"/>
          <w:shd w:val="clear" w:color="auto" w:fill="FFFFFF"/>
        </w:rPr>
        <w:t>预算</w:t>
      </w:r>
      <w:r>
        <w:rPr>
          <w:rFonts w:hint="eastAsia" w:ascii="宋体" w:hAnsi="宋体" w:eastAsia="宋体" w:cs="宋体"/>
          <w:color w:val="auto"/>
          <w:sz w:val="24"/>
          <w:szCs w:val="24"/>
          <w:highlight w:val="none"/>
          <w:shd w:val="clear" w:color="auto" w:fill="FFFFFF"/>
          <w:lang w:eastAsia="zh-CN"/>
        </w:rPr>
        <w:t>金额</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color w:val="auto"/>
          <w:sz w:val="24"/>
          <w:szCs w:val="24"/>
          <w:highlight w:val="none"/>
          <w:shd w:val="clear" w:color="auto" w:fill="FFFFFF"/>
          <w:lang w:val="en-US" w:eastAsia="zh-CN"/>
        </w:rPr>
        <w:t>990284.52</w:t>
      </w:r>
      <w:r>
        <w:rPr>
          <w:rFonts w:hint="eastAsia" w:ascii="宋体" w:hAnsi="宋体" w:eastAsia="宋体" w:cs="宋体"/>
          <w:color w:val="auto"/>
          <w:sz w:val="24"/>
          <w:szCs w:val="24"/>
          <w:highlight w:val="none"/>
          <w:shd w:val="clear" w:color="auto" w:fill="FFFFFF"/>
        </w:rPr>
        <w:t>元</w:t>
      </w:r>
    </w:p>
    <w:p>
      <w:pPr>
        <w:pStyle w:val="30"/>
        <w:keepNext w:val="0"/>
        <w:keepLines w:val="0"/>
        <w:pageBreakBefore w:val="0"/>
        <w:widowControl w:val="0"/>
        <w:kinsoku/>
        <w:wordWrap/>
        <w:overflowPunct/>
        <w:topLinePunct w:val="0"/>
        <w:autoSpaceDE/>
        <w:autoSpaceDN/>
        <w:bidi w:val="0"/>
        <w:adjustRightInd/>
        <w:snapToGrid/>
        <w:spacing w:line="360" w:lineRule="auto"/>
        <w:ind w:leftChars="0"/>
        <w:textAlignment w:val="auto"/>
        <w:outlineLvl w:val="9"/>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 xml:space="preserve">  最高限价：990284.52</w:t>
      </w:r>
      <w:r>
        <w:rPr>
          <w:rFonts w:hint="eastAsia" w:ascii="宋体" w:hAnsi="宋体" w:eastAsia="宋体" w:cs="宋体"/>
          <w:color w:val="auto"/>
          <w:sz w:val="24"/>
          <w:szCs w:val="24"/>
          <w:highlight w:val="none"/>
          <w:shd w:val="clear" w:color="auto" w:fill="FFFFFF"/>
        </w:rPr>
        <w:t>元</w:t>
      </w:r>
    </w:p>
    <w:p>
      <w:pPr>
        <w:keepNext w:val="0"/>
        <w:keepLines w:val="0"/>
        <w:pageBreakBefore w:val="0"/>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rPr>
        <w:t>5</w:t>
      </w:r>
      <w:r>
        <w:rPr>
          <w:rFonts w:hint="eastAsia" w:ascii="宋体" w:hAnsi="宋体" w:eastAsia="宋体" w:cs="宋体"/>
          <w:color w:val="auto"/>
          <w:sz w:val="24"/>
          <w:szCs w:val="24"/>
          <w:highlight w:val="none"/>
          <w:shd w:val="clear" w:color="auto" w:fill="FFFFFF"/>
          <w:lang w:val="en-US" w:eastAsia="zh-CN"/>
        </w:rPr>
        <w:t>.采购需求：禹州市教育体育局禹州市实验学校维修改造项目</w:t>
      </w:r>
      <w:r>
        <w:rPr>
          <w:rFonts w:hint="eastAsia" w:ascii="宋体" w:hAnsi="宋体" w:eastAsia="宋体" w:cs="宋体"/>
          <w:color w:val="auto"/>
          <w:sz w:val="24"/>
          <w:szCs w:val="24"/>
          <w:highlight w:val="none"/>
          <w:shd w:val="clear" w:color="auto" w:fill="FFFFFF"/>
          <w:lang w:eastAsia="zh-CN"/>
        </w:rPr>
        <w:t>施工</w:t>
      </w:r>
      <w:r>
        <w:rPr>
          <w:rFonts w:hint="eastAsia" w:ascii="宋体" w:hAnsi="宋体" w:eastAsia="宋体" w:cs="宋体"/>
          <w:color w:val="auto"/>
          <w:sz w:val="24"/>
          <w:szCs w:val="24"/>
          <w:highlight w:val="none"/>
          <w:shd w:val="clear" w:color="auto" w:fill="FFFFFF"/>
          <w:lang w:val="en-US" w:eastAsia="zh-CN"/>
        </w:rPr>
        <w:t>，共划分一个标段,具体内容详见本项目竞争性谈判文件。</w:t>
      </w:r>
    </w:p>
    <w:p>
      <w:pPr>
        <w:keepNext w:val="0"/>
        <w:keepLines w:val="0"/>
        <w:pageBreakBefore w:val="0"/>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6.交付（实施）的时间（期限）：自合同签订后</w:t>
      </w:r>
      <w:r>
        <w:rPr>
          <w:rFonts w:hint="eastAsia" w:ascii="宋体" w:hAnsi="宋体" w:eastAsia="宋体" w:cs="宋体"/>
          <w:color w:val="auto"/>
          <w:sz w:val="24"/>
          <w:szCs w:val="24"/>
          <w:highlight w:val="none"/>
          <w:u w:val="single"/>
          <w:shd w:val="clear" w:color="auto" w:fill="FFFFFF"/>
          <w:lang w:val="en-US" w:eastAsia="zh-CN"/>
        </w:rPr>
        <w:t xml:space="preserve"> 2 </w:t>
      </w:r>
      <w:r>
        <w:rPr>
          <w:rFonts w:hint="eastAsia" w:ascii="宋体" w:hAnsi="宋体" w:eastAsia="宋体" w:cs="宋体"/>
          <w:color w:val="auto"/>
          <w:sz w:val="24"/>
          <w:szCs w:val="24"/>
          <w:highlight w:val="none"/>
          <w:shd w:val="clear" w:color="auto" w:fill="FFFFFF"/>
          <w:lang w:val="en-US" w:eastAsia="zh-CN"/>
        </w:rPr>
        <w:t>个月。</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leftChars="0" w:firstLine="480" w:firstLineChars="200"/>
        <w:jc w:val="left"/>
        <w:textAlignment w:val="auto"/>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7.质量目标：合格（符合国家现行的验收规范和标准）。</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leftChars="0" w:firstLine="480" w:firstLineChars="200"/>
        <w:jc w:val="left"/>
        <w:textAlignment w:val="auto"/>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8.本项目是否接受联合体投标：否</w:t>
      </w:r>
    </w:p>
    <w:p>
      <w:pPr>
        <w:keepNext w:val="0"/>
        <w:keepLines w:val="0"/>
        <w:pageBreakBefore w:val="0"/>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9.是否接受进口产品：否</w:t>
      </w:r>
    </w:p>
    <w:p>
      <w:pPr>
        <w:keepNext w:val="0"/>
        <w:keepLines w:val="0"/>
        <w:pageBreakBefore w:val="0"/>
        <w:kinsoku/>
        <w:wordWrap/>
        <w:overflowPunct/>
        <w:topLinePunct w:val="0"/>
        <w:autoSpaceDE/>
        <w:autoSpaceDN/>
        <w:bidi w:val="0"/>
        <w:adjustRightInd/>
        <w:snapToGrid/>
        <w:spacing w:line="360" w:lineRule="auto"/>
        <w:ind w:leftChars="0" w:firstLine="480" w:firstLineChars="200"/>
        <w:textAlignment w:val="auto"/>
        <w:rPr>
          <w:rFonts w:hint="default"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10.是否专门面向中小企业：是</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leftChars="0" w:firstLine="482" w:firstLineChars="200"/>
        <w:jc w:val="left"/>
        <w:textAlignment w:val="auto"/>
        <w:outlineLvl w:val="2"/>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eastAsia="zh-CN"/>
        </w:rPr>
        <w:t>二</w:t>
      </w:r>
      <w:r>
        <w:rPr>
          <w:rFonts w:hint="eastAsia" w:ascii="宋体" w:hAnsi="宋体" w:eastAsia="宋体" w:cs="宋体"/>
          <w:b/>
          <w:color w:val="auto"/>
          <w:kern w:val="0"/>
          <w:sz w:val="24"/>
          <w:szCs w:val="24"/>
          <w:highlight w:val="none"/>
        </w:rPr>
        <w:t>、</w:t>
      </w:r>
      <w:r>
        <w:rPr>
          <w:rFonts w:hint="eastAsia" w:ascii="宋体" w:hAnsi="宋体" w:eastAsia="宋体" w:cs="宋体"/>
          <w:b/>
          <w:color w:val="auto"/>
          <w:kern w:val="0"/>
          <w:sz w:val="24"/>
          <w:szCs w:val="24"/>
          <w:highlight w:val="none"/>
          <w:lang w:eastAsia="zh-CN"/>
        </w:rPr>
        <w:t>申请人</w:t>
      </w:r>
      <w:r>
        <w:rPr>
          <w:rFonts w:hint="eastAsia" w:ascii="宋体" w:hAnsi="宋体" w:eastAsia="宋体" w:cs="宋体"/>
          <w:b/>
          <w:color w:val="auto"/>
          <w:kern w:val="0"/>
          <w:sz w:val="24"/>
          <w:szCs w:val="24"/>
          <w:highlight w:val="none"/>
        </w:rPr>
        <w:t>资格要求</w:t>
      </w:r>
    </w:p>
    <w:p>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 xml:space="preserve">1.满足《中华人民共和国政府采购法》第二十二条规定； </w:t>
      </w:r>
    </w:p>
    <w:p>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2.落实政府采购政策满足的资格要求：本项目落实节约能源、保护环境、扶持不</w:t>
      </w:r>
    </w:p>
    <w:p>
      <w:pPr>
        <w:keepNext w:val="0"/>
        <w:keepLines w:val="0"/>
        <w:pageBreakBefore w:val="0"/>
        <w:widowControl w:val="0"/>
        <w:kinsoku/>
        <w:wordWrap/>
        <w:overflowPunct/>
        <w:topLinePunct w:val="0"/>
        <w:autoSpaceDE/>
        <w:autoSpaceDN/>
        <w:bidi w:val="0"/>
        <w:adjustRightInd/>
        <w:snapToGrid/>
        <w:spacing w:line="360" w:lineRule="auto"/>
        <w:ind w:leftChars="0"/>
        <w:textAlignment w:val="auto"/>
        <w:outlineLvl w:val="9"/>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发达地区和少数民族地区、促进中小企业、监狱企业发展等政府采购政策。</w:t>
      </w:r>
    </w:p>
    <w:p>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 xml:space="preserve">3.本项目的特定资格要求： </w:t>
      </w:r>
    </w:p>
    <w:p>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3.1 供应商须具备建设行政主管部门核发的建筑工程施工总承包叁级及以上资质，并具有有效的安全生产许可证。</w:t>
      </w:r>
    </w:p>
    <w:p>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 xml:space="preserve">3.2 拟派项目经理须具有建筑工程专业贰级及以上注册建造师执业资格和有效的安全生产考核合格证书，且未担任其他在施建设项目的项目经理。 </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leftChars="0" w:firstLine="482"/>
        <w:jc w:val="left"/>
        <w:textAlignment w:val="auto"/>
        <w:outlineLvl w:val="2"/>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eastAsia="zh-CN"/>
        </w:rPr>
        <w:t>三</w:t>
      </w:r>
      <w:r>
        <w:rPr>
          <w:rFonts w:hint="eastAsia" w:ascii="宋体" w:hAnsi="宋体" w:eastAsia="宋体" w:cs="宋体"/>
          <w:b/>
          <w:color w:val="auto"/>
          <w:kern w:val="0"/>
          <w:sz w:val="24"/>
          <w:szCs w:val="24"/>
          <w:highlight w:val="none"/>
        </w:rPr>
        <w:t>、获取谈判文件的方式</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1. 获取谈判文件时间：自公告发布之日起，至响应文件提交截止之日止。</w:t>
      </w:r>
    </w:p>
    <w:p>
      <w:pPr>
        <w:keepNext w:val="0"/>
        <w:keepLines w:val="0"/>
        <w:pageBreakBefore w:val="0"/>
        <w:numPr>
          <w:ilvl w:val="0"/>
          <w:numId w:val="5"/>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谈判响应截止时间前登录《全国公共资源交易平台（河南省·许昌市）》“投标人/供应商登录”入口</w:t>
      </w:r>
      <w:r>
        <w:rPr>
          <w:rFonts w:hint="eastAsia" w:ascii="宋体" w:hAnsi="宋体" w:eastAsia="宋体" w:cs="宋体"/>
          <w:color w:val="auto"/>
          <w:sz w:val="24"/>
          <w:szCs w:val="24"/>
          <w:highlight w:val="none"/>
          <w:shd w:val="clear" w:color="auto" w:fill="FFFFFF"/>
          <w:lang w:val="en-US" w:eastAsia="zh-CN"/>
        </w:rPr>
        <w:fldChar w:fldCharType="begin"/>
      </w:r>
      <w:r>
        <w:rPr>
          <w:rFonts w:hint="eastAsia" w:ascii="宋体" w:hAnsi="宋体" w:eastAsia="宋体" w:cs="宋体"/>
          <w:color w:val="auto"/>
          <w:sz w:val="24"/>
          <w:szCs w:val="24"/>
          <w:highlight w:val="none"/>
          <w:shd w:val="clear" w:color="auto" w:fill="FFFFFF"/>
          <w:lang w:val="en-US" w:eastAsia="zh-CN"/>
        </w:rPr>
        <w:instrText xml:space="preserve"> HYPERLINK "（一）持CA数字认证证书，登录《全国公共资源交易平台（河南省·许昌市）》" </w:instrText>
      </w:r>
      <w:r>
        <w:rPr>
          <w:rFonts w:hint="eastAsia" w:ascii="宋体" w:hAnsi="宋体" w:eastAsia="宋体" w:cs="宋体"/>
          <w:color w:val="auto"/>
          <w:sz w:val="24"/>
          <w:szCs w:val="24"/>
          <w:highlight w:val="none"/>
          <w:shd w:val="clear" w:color="auto" w:fill="FFFFFF"/>
          <w:lang w:val="en-US" w:eastAsia="zh-CN"/>
        </w:rPr>
        <w:fldChar w:fldCharType="separate"/>
      </w:r>
      <w:r>
        <w:rPr>
          <w:rFonts w:hint="eastAsia" w:ascii="宋体" w:hAnsi="宋体" w:eastAsia="宋体" w:cs="宋体"/>
          <w:color w:val="auto"/>
          <w:sz w:val="24"/>
          <w:szCs w:val="24"/>
          <w:highlight w:val="none"/>
          <w:shd w:val="clear" w:color="auto" w:fill="FFFFFF"/>
          <w:lang w:val="en-US" w:eastAsia="zh-CN"/>
        </w:rPr>
        <w:t>（http://ggzy.xuchang.gov.cn:8088/ggzy/）</w:t>
      </w:r>
      <w:r>
        <w:rPr>
          <w:rFonts w:hint="eastAsia" w:ascii="宋体" w:hAnsi="宋体" w:eastAsia="宋体" w:cs="宋体"/>
          <w:color w:val="auto"/>
          <w:sz w:val="24"/>
          <w:szCs w:val="24"/>
          <w:highlight w:val="none"/>
          <w:shd w:val="clear" w:color="auto" w:fill="FFFFFF"/>
          <w:lang w:val="en-US" w:eastAsia="zh-CN"/>
        </w:rPr>
        <w:fldChar w:fldCharType="end"/>
      </w:r>
      <w:r>
        <w:rPr>
          <w:rFonts w:hint="eastAsia" w:ascii="宋体" w:hAnsi="宋体" w:eastAsia="宋体" w:cs="宋体"/>
          <w:color w:val="auto"/>
          <w:sz w:val="24"/>
          <w:szCs w:val="24"/>
          <w:highlight w:val="none"/>
          <w:shd w:val="clear" w:color="auto" w:fill="FFFFFF"/>
          <w:lang w:val="en-US" w:eastAsia="zh-CN"/>
        </w:rPr>
        <w:t>自行免费下载。</w:t>
      </w:r>
    </w:p>
    <w:p>
      <w:pPr>
        <w:keepNext w:val="0"/>
        <w:keepLines w:val="0"/>
        <w:pageBreakBefore w:val="0"/>
        <w:numPr>
          <w:ilvl w:val="0"/>
          <w:numId w:val="5"/>
        </w:numPr>
        <w:kinsoku/>
        <w:wordWrap/>
        <w:overflowPunct/>
        <w:topLinePunct w:val="0"/>
        <w:autoSpaceDE/>
        <w:autoSpaceDN/>
        <w:bidi w:val="0"/>
        <w:adjustRightInd/>
        <w:snapToGrid/>
        <w:spacing w:line="360" w:lineRule="auto"/>
        <w:ind w:left="0" w:leftChars="0" w:firstLine="480" w:firstLineChars="200"/>
        <w:textAlignment w:val="auto"/>
        <w:rPr>
          <w:rFonts w:hint="default" w:ascii="宋体" w:hAnsi="宋体" w:eastAsia="宋体" w:cs="宋体"/>
          <w:b w:val="0"/>
          <w:bCs w:val="0"/>
          <w:color w:val="auto"/>
          <w:kern w:val="2"/>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rPr>
        <w:t>谈判文件售价：0元。</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leftChars="0" w:firstLine="482" w:firstLineChars="200"/>
        <w:jc w:val="left"/>
        <w:textAlignment w:val="auto"/>
        <w:outlineLvl w:val="2"/>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eastAsia="zh-CN"/>
        </w:rPr>
        <w:t>四</w:t>
      </w:r>
      <w:r>
        <w:rPr>
          <w:rFonts w:hint="eastAsia" w:ascii="宋体" w:hAnsi="宋体" w:eastAsia="宋体" w:cs="宋体"/>
          <w:b/>
          <w:bCs/>
          <w:color w:val="auto"/>
          <w:kern w:val="0"/>
          <w:sz w:val="24"/>
          <w:szCs w:val="24"/>
          <w:highlight w:val="none"/>
        </w:rPr>
        <w:t>、响应文件提交</w:t>
      </w:r>
    </w:p>
    <w:p>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color w:val="auto"/>
          <w:sz w:val="24"/>
          <w:szCs w:val="24"/>
          <w:highlight w:val="none"/>
          <w:lang w:val="en-US" w:eastAsia="zh-CN"/>
        </w:rPr>
      </w:pPr>
      <w:r>
        <w:rPr>
          <w:rFonts w:hint="eastAsia" w:ascii="宋体" w:hAnsi="宋体" w:eastAsia="宋体" w:cs="宋体"/>
          <w:color w:val="auto"/>
          <w:sz w:val="24"/>
          <w:szCs w:val="24"/>
          <w:highlight w:val="none"/>
          <w:shd w:val="clear" w:color="auto" w:fill="FFFFFF"/>
          <w:lang w:val="en-US" w:eastAsia="zh-CN"/>
        </w:rPr>
        <w:t>1.提交截止时间：2024年08月08日08时30分（北京时间）。</w:t>
      </w:r>
    </w:p>
    <w:p>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2.提交地点：本项目采用网上响应，请符合响应条件的供应商使用CA数字证书加密上传响应文件。</w:t>
      </w:r>
    </w:p>
    <w:p>
      <w:pPr>
        <w:pStyle w:val="23"/>
        <w:keepNext w:val="0"/>
        <w:keepLines w:val="0"/>
        <w:pageBreakBefore w:val="0"/>
        <w:widowControl/>
        <w:shd w:val="clear" w:color="auto" w:fill="FFFFFF"/>
        <w:kinsoku/>
        <w:wordWrap/>
        <w:overflowPunct/>
        <w:topLinePunct w:val="0"/>
        <w:autoSpaceDE/>
        <w:autoSpaceDN/>
        <w:bidi w:val="0"/>
        <w:adjustRightInd/>
        <w:snapToGrid/>
        <w:spacing w:line="360" w:lineRule="auto"/>
        <w:ind w:leftChars="0" w:firstLine="420"/>
        <w:contextualSpacing/>
        <w:jc w:val="left"/>
        <w:textAlignment w:val="auto"/>
        <w:outlineLvl w:val="2"/>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lang w:eastAsia="zh-CN"/>
        </w:rPr>
        <w:t>五</w:t>
      </w:r>
      <w:r>
        <w:rPr>
          <w:rFonts w:hint="eastAsia" w:ascii="宋体" w:hAnsi="宋体" w:eastAsia="宋体" w:cs="宋体"/>
          <w:b/>
          <w:bCs/>
          <w:color w:val="auto"/>
          <w:sz w:val="24"/>
          <w:szCs w:val="24"/>
          <w:highlight w:val="none"/>
          <w:shd w:val="clear" w:color="auto" w:fill="FFFFFF"/>
        </w:rPr>
        <w:t>、谈判响应文件开启</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1.开启时间：2024年08月08日08时30分（北京时间）。</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2.开启地点：</w:t>
      </w:r>
      <w:r>
        <w:rPr>
          <w:rFonts w:hint="eastAsia" w:ascii="宋体" w:hAnsi="宋体" w:eastAsia="宋体" w:cs="宋体"/>
          <w:strike w:val="0"/>
          <w:dstrike w:val="0"/>
          <w:color w:val="auto"/>
          <w:sz w:val="24"/>
          <w:szCs w:val="24"/>
          <w:highlight w:val="none"/>
          <w:shd w:val="clear" w:color="auto" w:fill="FFFFFF"/>
          <w:lang w:val="en-US" w:eastAsia="zh-CN"/>
        </w:rPr>
        <w:t>本项目采用“不见面”网上开启方式，请响应供应商使用CA数字证书登录全国公共资源交易平台（河南省·许昌市）——进入公共资源交易系统</w:t>
      </w:r>
      <w:r>
        <w:rPr>
          <w:rFonts w:hint="eastAsia" w:ascii="宋体" w:hAnsi="宋体" w:eastAsia="宋体" w:cs="宋体"/>
          <w:strike w:val="0"/>
          <w:dstrike w:val="0"/>
          <w:color w:val="auto"/>
          <w:sz w:val="24"/>
          <w:szCs w:val="24"/>
          <w:highlight w:val="none"/>
          <w:shd w:val="clear" w:color="auto" w:fill="FFFFFF"/>
          <w:lang w:val="en-US" w:eastAsia="zh-CN"/>
        </w:rPr>
        <w:fldChar w:fldCharType="begin"/>
      </w:r>
      <w:r>
        <w:rPr>
          <w:rFonts w:hint="eastAsia" w:ascii="宋体" w:hAnsi="宋体" w:eastAsia="宋体" w:cs="宋体"/>
          <w:strike w:val="0"/>
          <w:dstrike w:val="0"/>
          <w:color w:val="auto"/>
          <w:sz w:val="24"/>
          <w:szCs w:val="24"/>
          <w:highlight w:val="none"/>
          <w:shd w:val="clear" w:color="auto" w:fill="FFFFFF"/>
          <w:lang w:val="en-US" w:eastAsia="zh-CN"/>
        </w:rPr>
        <w:instrText xml:space="preserve"> HYPERLINK "（一）持CA数字认证证书，登录《全国公共资源交易平台（河南省·许昌市）》" </w:instrText>
      </w:r>
      <w:r>
        <w:rPr>
          <w:rFonts w:hint="eastAsia" w:ascii="宋体" w:hAnsi="宋体" w:eastAsia="宋体" w:cs="宋体"/>
          <w:strike w:val="0"/>
          <w:dstrike w:val="0"/>
          <w:color w:val="auto"/>
          <w:sz w:val="24"/>
          <w:szCs w:val="24"/>
          <w:highlight w:val="none"/>
          <w:shd w:val="clear" w:color="auto" w:fill="FFFFFF"/>
          <w:lang w:val="en-US" w:eastAsia="zh-CN"/>
        </w:rPr>
        <w:fldChar w:fldCharType="separate"/>
      </w:r>
      <w:r>
        <w:rPr>
          <w:rFonts w:hint="eastAsia" w:ascii="宋体" w:hAnsi="宋体" w:eastAsia="宋体" w:cs="宋体"/>
          <w:strike w:val="0"/>
          <w:dstrike w:val="0"/>
          <w:color w:val="auto"/>
          <w:sz w:val="24"/>
          <w:szCs w:val="24"/>
          <w:highlight w:val="none"/>
          <w:shd w:val="clear" w:color="auto" w:fill="FFFFFF"/>
          <w:lang w:val="en-US" w:eastAsia="zh-CN"/>
        </w:rPr>
        <w:t>（http://ggzy.xuchang.gov.cn:8088/ggzy/）</w:t>
      </w:r>
      <w:r>
        <w:rPr>
          <w:rFonts w:hint="eastAsia" w:ascii="宋体" w:hAnsi="宋体" w:eastAsia="宋体" w:cs="宋体"/>
          <w:strike w:val="0"/>
          <w:dstrike w:val="0"/>
          <w:color w:val="auto"/>
          <w:sz w:val="24"/>
          <w:szCs w:val="24"/>
          <w:highlight w:val="none"/>
          <w:shd w:val="clear" w:color="auto" w:fill="FFFFFF"/>
          <w:lang w:val="en-US" w:eastAsia="zh-CN"/>
        </w:rPr>
        <w:fldChar w:fldCharType="end"/>
      </w:r>
      <w:r>
        <w:rPr>
          <w:rFonts w:hint="eastAsia" w:ascii="宋体" w:hAnsi="宋体" w:eastAsia="宋体" w:cs="宋体"/>
          <w:strike w:val="0"/>
          <w:dstrike w:val="0"/>
          <w:color w:val="auto"/>
          <w:sz w:val="24"/>
          <w:szCs w:val="24"/>
          <w:highlight w:val="none"/>
          <w:shd w:val="clear" w:color="auto" w:fill="FFFFFF"/>
          <w:lang w:val="en-US" w:eastAsia="zh-CN"/>
        </w:rPr>
        <w:t>——点击“项目信息——项目名称”——在系统操作导航栏点击“开标——不见面开标大厅”，在规定的开启时间内进行解密开启。</w:t>
      </w:r>
    </w:p>
    <w:p>
      <w:pPr>
        <w:keepNext w:val="0"/>
        <w:keepLines w:val="0"/>
        <w:pageBreakBefore w:val="0"/>
        <w:kinsoku/>
        <w:wordWrap/>
        <w:overflowPunct/>
        <w:topLinePunct w:val="0"/>
        <w:autoSpaceDE/>
        <w:autoSpaceDN/>
        <w:bidi w:val="0"/>
        <w:adjustRightInd/>
        <w:snapToGrid/>
        <w:spacing w:line="360" w:lineRule="auto"/>
        <w:ind w:leftChars="0" w:firstLine="482" w:firstLineChars="200"/>
        <w:textAlignment w:val="auto"/>
        <w:outlineLvl w:val="2"/>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b/>
          <w:bCs/>
          <w:color w:val="auto"/>
          <w:sz w:val="24"/>
          <w:szCs w:val="24"/>
          <w:highlight w:val="none"/>
          <w:shd w:val="clear" w:color="auto" w:fill="FFFFFF"/>
          <w:lang w:val="en-US" w:eastAsia="zh-CN"/>
        </w:rPr>
        <w:t xml:space="preserve">六、发布公告的媒介及采购公告期限 </w:t>
      </w:r>
    </w:p>
    <w:p>
      <w:pPr>
        <w:keepNext w:val="0"/>
        <w:keepLines w:val="0"/>
        <w:pageBreakBefore w:val="0"/>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本次谈判公告同时在</w:t>
      </w:r>
      <w:r>
        <w:rPr>
          <w:rFonts w:hint="eastAsia" w:ascii="宋体" w:hAnsi="宋体" w:eastAsia="宋体" w:cs="宋体"/>
          <w:color w:val="auto"/>
          <w:w w:val="100"/>
          <w:sz w:val="24"/>
          <w:szCs w:val="24"/>
          <w:highlight w:val="none"/>
          <w:shd w:val="clear" w:color="auto" w:fill="FFFFFF"/>
          <w:lang w:val="en-US" w:eastAsia="zh-CN"/>
        </w:rPr>
        <w:t>《中国政府采购网》《河南省政府采购网》</w:t>
      </w:r>
      <w:r>
        <w:rPr>
          <w:rFonts w:hint="eastAsia" w:ascii="宋体" w:hAnsi="宋体" w:eastAsia="宋体" w:cs="宋体"/>
          <w:color w:val="auto"/>
          <w:sz w:val="24"/>
          <w:szCs w:val="24"/>
          <w:highlight w:val="none"/>
          <w:shd w:val="clear" w:color="auto" w:fill="FFFFFF"/>
          <w:lang w:val="en-US" w:eastAsia="zh-CN"/>
        </w:rPr>
        <w:t>《全国公共资源交易平台（河南省·许昌市）》发布。</w:t>
      </w:r>
    </w:p>
    <w:p>
      <w:pPr>
        <w:keepNext w:val="0"/>
        <w:keepLines w:val="0"/>
        <w:pageBreakBefore w:val="0"/>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公告期限：自本公告发布之日起三个工作日。</w:t>
      </w:r>
    </w:p>
    <w:p>
      <w:pPr>
        <w:keepNext w:val="0"/>
        <w:keepLines w:val="0"/>
        <w:pageBreakBefore w:val="0"/>
        <w:kinsoku/>
        <w:wordWrap/>
        <w:overflowPunct/>
        <w:topLinePunct w:val="0"/>
        <w:autoSpaceDE/>
        <w:autoSpaceDN/>
        <w:bidi w:val="0"/>
        <w:adjustRightInd/>
        <w:snapToGrid/>
        <w:spacing w:line="360" w:lineRule="auto"/>
        <w:ind w:leftChars="0" w:firstLine="482" w:firstLineChars="200"/>
        <w:textAlignment w:val="auto"/>
        <w:outlineLvl w:val="2"/>
        <w:rPr>
          <w:rFonts w:hint="eastAsia" w:ascii="宋体" w:hAnsi="宋体" w:eastAsia="宋体" w:cs="宋体"/>
          <w:b/>
          <w:bCs/>
          <w:color w:val="auto"/>
          <w:sz w:val="24"/>
          <w:szCs w:val="24"/>
          <w:highlight w:val="none"/>
          <w:shd w:val="clear" w:color="auto" w:fill="FFFFFF"/>
          <w:lang w:val="en-US" w:eastAsia="zh-CN"/>
        </w:rPr>
      </w:pPr>
      <w:r>
        <w:rPr>
          <w:rFonts w:hint="eastAsia" w:ascii="宋体" w:hAnsi="宋体" w:eastAsia="宋体" w:cs="宋体"/>
          <w:b/>
          <w:bCs/>
          <w:color w:val="auto"/>
          <w:sz w:val="24"/>
          <w:szCs w:val="24"/>
          <w:highlight w:val="none"/>
          <w:shd w:val="clear" w:color="auto" w:fill="FFFFFF"/>
          <w:lang w:val="en-US" w:eastAsia="zh-CN"/>
        </w:rPr>
        <w:t>七、采购单位及代理机构信息</w:t>
      </w:r>
    </w:p>
    <w:p>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采购人信息</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名  称：禹州市教育体育局</w:t>
      </w:r>
    </w:p>
    <w:p>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地  址：禹州市禹王大道</w:t>
      </w:r>
    </w:p>
    <w:p>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联系人：连先生  </w:t>
      </w:r>
    </w:p>
    <w:p>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联系电话：0374-8880080</w:t>
      </w:r>
    </w:p>
    <w:p>
      <w:pPr>
        <w:pStyle w:val="30"/>
        <w:keepNext w:val="0"/>
        <w:keepLines w:val="0"/>
        <w:pageBreakBefore w:val="0"/>
        <w:widowControl w:val="0"/>
        <w:kinsoku/>
        <w:wordWrap/>
        <w:overflowPunct/>
        <w:topLinePunct w:val="0"/>
        <w:autoSpaceDE/>
        <w:autoSpaceDN/>
        <w:bidi w:val="0"/>
        <w:adjustRightInd/>
        <w:snapToGrid/>
        <w:spacing w:line="360" w:lineRule="auto"/>
        <w:ind w:leftChars="0"/>
        <w:textAlignment w:val="auto"/>
        <w:outlineLvl w:val="9"/>
        <w:rPr>
          <w:rFonts w:hint="eastAsia"/>
          <w:color w:val="auto"/>
          <w:sz w:val="24"/>
          <w:szCs w:val="24"/>
          <w:highlight w:val="none"/>
          <w:lang w:val="en-US" w:eastAsia="zh-CN"/>
        </w:rPr>
      </w:pPr>
    </w:p>
    <w:p>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采购代理机构信息</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名  称：宏翔建设工程管理有限公司</w:t>
      </w:r>
    </w:p>
    <w:p>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地  址：河南省郑州市金水区纬五路12-1号供销大厦518室</w:t>
      </w:r>
    </w:p>
    <w:p>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联系人：张女士    </w:t>
      </w:r>
    </w:p>
    <w:p>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联系电话：13673373571</w:t>
      </w:r>
    </w:p>
    <w:p>
      <w:pPr>
        <w:pStyle w:val="30"/>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outlineLvl w:val="9"/>
        <w:rPr>
          <w:rFonts w:hint="eastAsia"/>
          <w:color w:val="auto"/>
          <w:sz w:val="24"/>
          <w:szCs w:val="24"/>
          <w:highlight w:val="none"/>
          <w:lang w:val="en-US" w:eastAsia="zh-CN"/>
        </w:rPr>
      </w:pPr>
    </w:p>
    <w:p>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监督单位</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名    称：禹州市政府采购监督管理办公室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联系方式：0374-8112523</w:t>
      </w:r>
    </w:p>
    <w:p>
      <w:pPr>
        <w:keepNext w:val="0"/>
        <w:keepLines w:val="0"/>
        <w:pageBreakBefore w:val="0"/>
        <w:kinsoku/>
        <w:wordWrap/>
        <w:overflowPunct/>
        <w:topLinePunct w:val="0"/>
        <w:autoSpaceDE/>
        <w:autoSpaceDN/>
        <w:bidi w:val="0"/>
        <w:adjustRightInd/>
        <w:snapToGrid/>
        <w:spacing w:line="360" w:lineRule="auto"/>
        <w:ind w:leftChars="0"/>
        <w:textAlignment w:val="auto"/>
        <w:rPr>
          <w:rFonts w:hint="eastAsia"/>
          <w:color w:val="auto"/>
          <w:highlight w:val="none"/>
        </w:rPr>
      </w:pPr>
    </w:p>
    <w:p>
      <w:pPr>
        <w:pStyle w:val="11"/>
        <w:rPr>
          <w:rFonts w:hint="eastAsia"/>
          <w:color w:val="auto"/>
          <w:highlight w:val="none"/>
        </w:rPr>
      </w:pPr>
    </w:p>
    <w:p>
      <w:pPr>
        <w:rPr>
          <w:rFonts w:hint="eastAsia"/>
          <w:color w:val="auto"/>
          <w:highlight w:val="none"/>
        </w:rPr>
      </w:pPr>
    </w:p>
    <w:p>
      <w:pPr>
        <w:keepNext w:val="0"/>
        <w:keepLines w:val="0"/>
        <w:pageBreakBefore w:val="0"/>
        <w:widowControl w:val="0"/>
        <w:shd w:val="clear"/>
        <w:kinsoku/>
        <w:wordWrap/>
        <w:overflowPunct/>
        <w:topLinePunct w:val="0"/>
        <w:bidi w:val="0"/>
        <w:adjustRightInd/>
        <w:snapToGrid/>
        <w:spacing w:line="360" w:lineRule="auto"/>
        <w:ind w:left="0" w:leftChars="0"/>
        <w:jc w:val="left"/>
        <w:textAlignment w:val="auto"/>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温馨提示：</w:t>
      </w:r>
    </w:p>
    <w:p>
      <w:pPr>
        <w:keepNext w:val="0"/>
        <w:keepLines w:val="0"/>
        <w:pageBreakBefore w:val="0"/>
        <w:widowControl w:val="0"/>
        <w:shd w:val="clear"/>
        <w:tabs>
          <w:tab w:val="left" w:pos="7095"/>
        </w:tabs>
        <w:kinsoku/>
        <w:wordWrap/>
        <w:overflowPunct/>
        <w:topLinePunct w:val="0"/>
        <w:bidi w:val="0"/>
        <w:adjustRightInd/>
        <w:snapToGrid/>
        <w:spacing w:line="360" w:lineRule="auto"/>
        <w:ind w:left="0" w:leftChars="0" w:firstLine="482" w:firstLineChars="200"/>
        <w:contextualSpacing/>
        <w:textAlignment w:val="auto"/>
        <w:rPr>
          <w:rFonts w:hAnsi="宋体"/>
          <w:b/>
          <w:color w:val="auto"/>
          <w:sz w:val="24"/>
          <w:szCs w:val="24"/>
          <w:highlight w:val="none"/>
        </w:rPr>
      </w:pPr>
      <w:r>
        <w:rPr>
          <w:rFonts w:hint="eastAsia" w:hAnsi="宋体"/>
          <w:b/>
          <w:color w:val="auto"/>
          <w:sz w:val="24"/>
          <w:szCs w:val="24"/>
          <w:highlight w:val="none"/>
        </w:rPr>
        <w:t>本项目为全流程电子化交易项目，请认真阅读谈判文件，并注意以下事项。</w:t>
      </w:r>
    </w:p>
    <w:p>
      <w:pPr>
        <w:keepNext w:val="0"/>
        <w:keepLines w:val="0"/>
        <w:pageBreakBefore w:val="0"/>
        <w:widowControl w:val="0"/>
        <w:shd w:val="clear"/>
        <w:tabs>
          <w:tab w:val="left" w:pos="7095"/>
        </w:tabs>
        <w:kinsoku/>
        <w:wordWrap/>
        <w:overflowPunct/>
        <w:topLinePunct w:val="0"/>
        <w:autoSpaceDE/>
        <w:autoSpaceDN/>
        <w:bidi w:val="0"/>
        <w:adjustRightInd/>
        <w:snapToGrid/>
        <w:spacing w:line="360" w:lineRule="auto"/>
        <w:ind w:left="0" w:leftChars="0" w:firstLine="482" w:firstLineChars="200"/>
        <w:contextualSpacing/>
        <w:textAlignment w:val="auto"/>
        <w:outlineLvl w:val="9"/>
        <w:rPr>
          <w:rFonts w:hAnsi="宋体"/>
          <w:b/>
          <w:color w:val="auto"/>
          <w:sz w:val="24"/>
          <w:szCs w:val="24"/>
          <w:highlight w:val="none"/>
        </w:rPr>
      </w:pPr>
      <w:r>
        <w:rPr>
          <w:rFonts w:hint="eastAsia" w:asciiTheme="minorEastAsia" w:hAnsiTheme="minorEastAsia"/>
          <w:b/>
          <w:color w:val="auto"/>
          <w:sz w:val="24"/>
          <w:szCs w:val="24"/>
          <w:highlight w:val="none"/>
        </w:rPr>
        <w:t>1.</w:t>
      </w:r>
      <w:r>
        <w:rPr>
          <w:rFonts w:hint="eastAsia" w:hAnsi="宋体"/>
          <w:b/>
          <w:color w:val="auto"/>
          <w:sz w:val="24"/>
          <w:szCs w:val="24"/>
          <w:highlight w:val="none"/>
        </w:rPr>
        <w:t>供应商应按谈判文件规定编制、提交、解密电子响应文件。</w:t>
      </w:r>
    </w:p>
    <w:p>
      <w:pPr>
        <w:keepNext w:val="0"/>
        <w:keepLines w:val="0"/>
        <w:pageBreakBefore w:val="0"/>
        <w:widowControl w:val="0"/>
        <w:shd w:val="clear"/>
        <w:tabs>
          <w:tab w:val="left" w:pos="7095"/>
        </w:tabs>
        <w:kinsoku/>
        <w:wordWrap/>
        <w:overflowPunct/>
        <w:topLinePunct w:val="0"/>
        <w:autoSpaceDE/>
        <w:autoSpaceDN/>
        <w:bidi w:val="0"/>
        <w:adjustRightInd/>
        <w:snapToGrid/>
        <w:spacing w:line="360" w:lineRule="auto"/>
        <w:ind w:left="0" w:leftChars="0" w:firstLine="482" w:firstLineChars="200"/>
        <w:contextualSpacing/>
        <w:textAlignment w:val="auto"/>
        <w:outlineLvl w:val="9"/>
        <w:rPr>
          <w:rFonts w:hAnsi="宋体"/>
          <w:b/>
          <w:color w:val="auto"/>
          <w:sz w:val="24"/>
          <w:szCs w:val="24"/>
          <w:highlight w:val="none"/>
        </w:rPr>
      </w:pPr>
      <w:r>
        <w:rPr>
          <w:rFonts w:hint="eastAsia" w:asciiTheme="minorEastAsia" w:hAnsiTheme="minorEastAsia"/>
          <w:b/>
          <w:color w:val="auto"/>
          <w:sz w:val="24"/>
          <w:szCs w:val="24"/>
          <w:highlight w:val="none"/>
        </w:rPr>
        <w:t>2</w:t>
      </w:r>
      <w:r>
        <w:rPr>
          <w:rFonts w:asciiTheme="minorEastAsia" w:hAnsiTheme="minorEastAsia"/>
          <w:b/>
          <w:color w:val="auto"/>
          <w:sz w:val="24"/>
          <w:szCs w:val="24"/>
          <w:highlight w:val="none"/>
        </w:rPr>
        <w:t>.</w:t>
      </w:r>
      <w:r>
        <w:rPr>
          <w:rFonts w:hint="eastAsia" w:hAnsi="宋体"/>
          <w:b/>
          <w:color w:val="auto"/>
          <w:sz w:val="24"/>
          <w:szCs w:val="24"/>
          <w:highlight w:val="none"/>
        </w:rPr>
        <w:t>电子文件下载、制作、提交期间和远程不见面谈判（</w:t>
      </w:r>
      <w:r>
        <w:rPr>
          <w:rFonts w:hint="eastAsia" w:hAnsi="宋体"/>
          <w:color w:val="auto"/>
          <w:sz w:val="24"/>
          <w:szCs w:val="24"/>
          <w:highlight w:val="none"/>
        </w:rPr>
        <w:t>电子响应文件的解密</w:t>
      </w:r>
      <w:r>
        <w:rPr>
          <w:rFonts w:hint="eastAsia" w:hAnsi="宋体"/>
          <w:b/>
          <w:color w:val="auto"/>
          <w:sz w:val="24"/>
          <w:szCs w:val="24"/>
          <w:highlight w:val="none"/>
        </w:rPr>
        <w:t>）环节，供应商须使用同一个</w:t>
      </w:r>
      <w:r>
        <w:rPr>
          <w:rFonts w:hAnsi="宋体"/>
          <w:b/>
          <w:color w:val="auto"/>
          <w:sz w:val="24"/>
          <w:szCs w:val="24"/>
          <w:highlight w:val="none"/>
        </w:rPr>
        <w:t>CA数字证书</w:t>
      </w:r>
      <w:r>
        <w:rPr>
          <w:rFonts w:hint="eastAsia" w:hAnsi="宋体"/>
          <w:b/>
          <w:color w:val="auto"/>
          <w:sz w:val="24"/>
          <w:szCs w:val="24"/>
          <w:highlight w:val="none"/>
        </w:rPr>
        <w:t>（证书须在有效期内并可正常使用）</w:t>
      </w:r>
      <w:r>
        <w:rPr>
          <w:rFonts w:hAnsi="宋体"/>
          <w:b/>
          <w:color w:val="auto"/>
          <w:sz w:val="24"/>
          <w:szCs w:val="24"/>
          <w:highlight w:val="none"/>
        </w:rPr>
        <w:t>。</w:t>
      </w:r>
    </w:p>
    <w:p>
      <w:pPr>
        <w:keepNext w:val="0"/>
        <w:keepLines w:val="0"/>
        <w:pageBreakBefore w:val="0"/>
        <w:widowControl w:val="0"/>
        <w:shd w:val="clear"/>
        <w:tabs>
          <w:tab w:val="left" w:pos="7095"/>
        </w:tabs>
        <w:kinsoku/>
        <w:wordWrap/>
        <w:overflowPunct/>
        <w:topLinePunct w:val="0"/>
        <w:autoSpaceDE/>
        <w:autoSpaceDN/>
        <w:bidi w:val="0"/>
        <w:adjustRightInd/>
        <w:snapToGrid/>
        <w:spacing w:line="360" w:lineRule="auto"/>
        <w:ind w:left="0" w:leftChars="0" w:firstLine="482" w:firstLineChars="200"/>
        <w:contextualSpacing/>
        <w:textAlignment w:val="auto"/>
        <w:outlineLvl w:val="9"/>
        <w:rPr>
          <w:rFonts w:hAnsi="宋体"/>
          <w:b/>
          <w:color w:val="auto"/>
          <w:sz w:val="24"/>
          <w:szCs w:val="24"/>
          <w:highlight w:val="none"/>
        </w:rPr>
      </w:pPr>
      <w:r>
        <w:rPr>
          <w:rFonts w:asciiTheme="minorEastAsia" w:hAnsiTheme="minorEastAsia"/>
          <w:b/>
          <w:color w:val="auto"/>
          <w:sz w:val="24"/>
          <w:szCs w:val="24"/>
          <w:highlight w:val="none"/>
        </w:rPr>
        <w:t>3</w:t>
      </w:r>
      <w:r>
        <w:rPr>
          <w:rFonts w:hint="eastAsia" w:asciiTheme="minorEastAsia" w:hAnsiTheme="minorEastAsia"/>
          <w:b/>
          <w:color w:val="auto"/>
          <w:sz w:val="24"/>
          <w:szCs w:val="24"/>
          <w:highlight w:val="none"/>
        </w:rPr>
        <w:t>.</w:t>
      </w:r>
      <w:r>
        <w:rPr>
          <w:rFonts w:hint="eastAsia" w:hAnsi="宋体"/>
          <w:b/>
          <w:color w:val="auto"/>
          <w:sz w:val="24"/>
          <w:szCs w:val="24"/>
          <w:highlight w:val="none"/>
        </w:rPr>
        <w:t>电子响应文件的制作</w:t>
      </w:r>
    </w:p>
    <w:p>
      <w:pPr>
        <w:keepNext w:val="0"/>
        <w:keepLines w:val="0"/>
        <w:pageBreakBefore w:val="0"/>
        <w:widowControl w:val="0"/>
        <w:shd w:val="clear"/>
        <w:tabs>
          <w:tab w:val="left" w:pos="7095"/>
        </w:tabs>
        <w:kinsoku/>
        <w:wordWrap/>
        <w:overflowPunct/>
        <w:topLinePunct w:val="0"/>
        <w:autoSpaceDE/>
        <w:autoSpaceDN/>
        <w:bidi w:val="0"/>
        <w:adjustRightInd/>
        <w:snapToGrid/>
        <w:spacing w:line="360" w:lineRule="auto"/>
        <w:ind w:left="0" w:leftChars="0" w:firstLine="480" w:firstLineChars="200"/>
        <w:contextualSpacing/>
        <w:textAlignment w:val="auto"/>
        <w:outlineLvl w:val="9"/>
        <w:rPr>
          <w:rFonts w:hAnsi="宋体"/>
          <w:color w:val="auto"/>
          <w:sz w:val="24"/>
          <w:szCs w:val="24"/>
          <w:highlight w:val="none"/>
        </w:rPr>
      </w:pPr>
      <w:r>
        <w:rPr>
          <w:rFonts w:asciiTheme="minorEastAsia" w:hAnsiTheme="minorEastAsia"/>
          <w:color w:val="auto"/>
          <w:sz w:val="24"/>
          <w:szCs w:val="24"/>
          <w:highlight w:val="none"/>
        </w:rPr>
        <w:t>3</w:t>
      </w:r>
      <w:r>
        <w:rPr>
          <w:rFonts w:hint="eastAsia" w:asciiTheme="minorEastAsia" w:hAnsiTheme="minorEastAsia"/>
          <w:color w:val="auto"/>
          <w:sz w:val="24"/>
          <w:szCs w:val="24"/>
          <w:highlight w:val="none"/>
        </w:rPr>
        <w:t>.1</w:t>
      </w:r>
      <w:r>
        <w:rPr>
          <w:rFonts w:hint="eastAsia" w:hAnsi="宋体"/>
          <w:color w:val="auto"/>
          <w:sz w:val="24"/>
          <w:szCs w:val="24"/>
          <w:highlight w:val="none"/>
        </w:rPr>
        <w:t>供应商登录《全国公共资源交易平台</w:t>
      </w:r>
      <w:r>
        <w:rPr>
          <w:rFonts w:hint="eastAsia" w:hAnsi="宋体"/>
          <w:color w:val="auto"/>
          <w:sz w:val="24"/>
          <w:szCs w:val="24"/>
          <w:highlight w:val="none"/>
          <w:lang w:eastAsia="zh-CN"/>
        </w:rPr>
        <w:t>（</w:t>
      </w:r>
      <w:r>
        <w:rPr>
          <w:rFonts w:hint="eastAsia" w:hAnsi="宋体"/>
          <w:color w:val="auto"/>
          <w:sz w:val="24"/>
          <w:szCs w:val="24"/>
          <w:highlight w:val="none"/>
        </w:rPr>
        <w:t>河南省</w:t>
      </w:r>
      <w:r>
        <w:rPr>
          <w:rFonts w:hint="eastAsia" w:ascii="MS Mincho" w:hAnsi="MS Mincho" w:eastAsia="MS Mincho" w:cs="MS Mincho"/>
          <w:color w:val="auto"/>
          <w:sz w:val="24"/>
          <w:szCs w:val="24"/>
          <w:highlight w:val="none"/>
        </w:rPr>
        <w:t>▪</w:t>
      </w:r>
      <w:r>
        <w:rPr>
          <w:rFonts w:hint="eastAsia" w:ascii="宋体" w:hAnsi="宋体" w:eastAsia="宋体" w:cs="宋体"/>
          <w:color w:val="auto"/>
          <w:sz w:val="24"/>
          <w:szCs w:val="24"/>
          <w:highlight w:val="none"/>
        </w:rPr>
        <w:t>许昌市</w:t>
      </w:r>
      <w:r>
        <w:rPr>
          <w:rFonts w:hint="eastAsia" w:ascii="宋体" w:hAnsi="宋体" w:eastAsia="宋体" w:cs="宋体"/>
          <w:color w:val="auto"/>
          <w:sz w:val="24"/>
          <w:szCs w:val="24"/>
          <w:highlight w:val="none"/>
          <w:lang w:eastAsia="zh-CN"/>
        </w:rPr>
        <w:t>）</w:t>
      </w:r>
      <w:r>
        <w:rPr>
          <w:rFonts w:hint="eastAsia" w:hAnsi="宋体"/>
          <w:color w:val="auto"/>
          <w:sz w:val="24"/>
          <w:szCs w:val="24"/>
          <w:highlight w:val="none"/>
        </w:rPr>
        <w:t>》公共资源交易系统（</w:t>
      </w:r>
      <w:r>
        <w:rPr>
          <w:rFonts w:hint="eastAsia"/>
          <w:color w:val="auto"/>
          <w:sz w:val="24"/>
          <w:szCs w:val="24"/>
          <w:highlight w:val="none"/>
        </w:rPr>
        <w:t>http://ggzy.xuchang.gov.cn:8088/ggzy/</w:t>
      </w:r>
      <w:r>
        <w:rPr>
          <w:rFonts w:hint="eastAsia" w:hAnsi="宋体"/>
          <w:color w:val="auto"/>
          <w:sz w:val="24"/>
          <w:szCs w:val="24"/>
          <w:highlight w:val="none"/>
        </w:rPr>
        <w:t>）下载“许昌投标文件制作系统SEARUN 最新版本”，按谈判文件要求制作电子响应文件。</w:t>
      </w:r>
    </w:p>
    <w:p>
      <w:pPr>
        <w:keepNext w:val="0"/>
        <w:keepLines w:val="0"/>
        <w:pageBreakBefore w:val="0"/>
        <w:widowControl w:val="0"/>
        <w:shd w:val="clear"/>
        <w:tabs>
          <w:tab w:val="left" w:pos="7095"/>
        </w:tabs>
        <w:kinsoku/>
        <w:wordWrap/>
        <w:overflowPunct/>
        <w:topLinePunct w:val="0"/>
        <w:autoSpaceDE/>
        <w:autoSpaceDN/>
        <w:bidi w:val="0"/>
        <w:adjustRightInd/>
        <w:snapToGrid/>
        <w:spacing w:line="360" w:lineRule="auto"/>
        <w:ind w:left="0" w:leftChars="0" w:firstLine="480" w:firstLineChars="200"/>
        <w:contextualSpacing/>
        <w:textAlignment w:val="auto"/>
        <w:outlineLvl w:val="9"/>
        <w:rPr>
          <w:rFonts w:hAnsi="宋体"/>
          <w:color w:val="auto"/>
          <w:sz w:val="24"/>
          <w:szCs w:val="24"/>
          <w:highlight w:val="none"/>
        </w:rPr>
      </w:pPr>
      <w:r>
        <w:rPr>
          <w:rFonts w:hint="eastAsia" w:hAnsi="宋体"/>
          <w:color w:val="auto"/>
          <w:sz w:val="24"/>
          <w:szCs w:val="24"/>
          <w:highlight w:val="none"/>
        </w:rPr>
        <w:t>电子响应文件的制作，参考《全国公共资源交易平台</w:t>
      </w:r>
      <w:r>
        <w:rPr>
          <w:rFonts w:hint="eastAsia" w:hAnsi="宋体"/>
          <w:color w:val="auto"/>
          <w:sz w:val="24"/>
          <w:szCs w:val="24"/>
          <w:highlight w:val="none"/>
          <w:lang w:eastAsia="zh-CN"/>
        </w:rPr>
        <w:t>（</w:t>
      </w:r>
      <w:r>
        <w:rPr>
          <w:rFonts w:hint="eastAsia" w:hAnsi="宋体"/>
          <w:color w:val="auto"/>
          <w:sz w:val="24"/>
          <w:szCs w:val="24"/>
          <w:highlight w:val="none"/>
        </w:rPr>
        <w:t>河南省</w:t>
      </w:r>
      <w:r>
        <w:rPr>
          <w:rFonts w:hint="eastAsia" w:ascii="MS Mincho" w:hAnsi="MS Mincho" w:eastAsia="MS Mincho" w:cs="MS Mincho"/>
          <w:color w:val="auto"/>
          <w:sz w:val="24"/>
          <w:szCs w:val="24"/>
          <w:highlight w:val="none"/>
        </w:rPr>
        <w:t>▪</w:t>
      </w:r>
      <w:r>
        <w:rPr>
          <w:rFonts w:hint="eastAsia" w:ascii="宋体" w:hAnsi="宋体" w:eastAsia="宋体" w:cs="宋体"/>
          <w:color w:val="auto"/>
          <w:sz w:val="24"/>
          <w:szCs w:val="24"/>
          <w:highlight w:val="none"/>
        </w:rPr>
        <w:t>许昌市</w:t>
      </w:r>
      <w:r>
        <w:rPr>
          <w:rFonts w:hint="eastAsia" w:ascii="宋体" w:hAnsi="宋体" w:eastAsia="宋体" w:cs="宋体"/>
          <w:color w:val="auto"/>
          <w:sz w:val="24"/>
          <w:szCs w:val="24"/>
          <w:highlight w:val="none"/>
          <w:lang w:eastAsia="zh-CN"/>
        </w:rPr>
        <w:t>）</w:t>
      </w:r>
      <w:r>
        <w:rPr>
          <w:rFonts w:hint="eastAsia" w:hAnsi="宋体"/>
          <w:color w:val="auto"/>
          <w:sz w:val="24"/>
          <w:szCs w:val="24"/>
          <w:highlight w:val="none"/>
        </w:rPr>
        <w:t>》公共资源交易系统——组件下载——交易系统操作手册（投标人、供应商）。</w:t>
      </w:r>
    </w:p>
    <w:p>
      <w:pPr>
        <w:keepNext w:val="0"/>
        <w:keepLines w:val="0"/>
        <w:pageBreakBefore w:val="0"/>
        <w:widowControl w:val="0"/>
        <w:shd w:val="clear"/>
        <w:tabs>
          <w:tab w:val="left" w:pos="7095"/>
        </w:tabs>
        <w:kinsoku/>
        <w:wordWrap/>
        <w:overflowPunct/>
        <w:topLinePunct w:val="0"/>
        <w:autoSpaceDE/>
        <w:autoSpaceDN/>
        <w:bidi w:val="0"/>
        <w:adjustRightInd/>
        <w:snapToGrid/>
        <w:spacing w:line="360" w:lineRule="auto"/>
        <w:ind w:left="0" w:leftChars="0" w:firstLine="480" w:firstLineChars="200"/>
        <w:contextualSpacing/>
        <w:textAlignment w:val="auto"/>
        <w:outlineLvl w:val="9"/>
        <w:rPr>
          <w:rFonts w:hAnsi="宋体"/>
          <w:color w:val="auto"/>
          <w:sz w:val="24"/>
          <w:szCs w:val="24"/>
          <w:highlight w:val="none"/>
        </w:rPr>
      </w:pPr>
      <w:r>
        <w:rPr>
          <w:rFonts w:asciiTheme="minorEastAsia" w:hAnsiTheme="minorEastAsia"/>
          <w:color w:val="auto"/>
          <w:sz w:val="24"/>
          <w:szCs w:val="24"/>
          <w:highlight w:val="none"/>
        </w:rPr>
        <w:t>3</w:t>
      </w:r>
      <w:r>
        <w:rPr>
          <w:rFonts w:hint="eastAsia" w:asciiTheme="minorEastAsia" w:hAnsiTheme="minorEastAsia"/>
          <w:color w:val="auto"/>
          <w:sz w:val="24"/>
          <w:szCs w:val="24"/>
          <w:highlight w:val="none"/>
        </w:rPr>
        <w:t>.</w:t>
      </w:r>
      <w:r>
        <w:rPr>
          <w:rFonts w:asciiTheme="minorEastAsia" w:hAnsiTheme="minorEastAsia"/>
          <w:color w:val="auto"/>
          <w:sz w:val="24"/>
          <w:szCs w:val="24"/>
          <w:highlight w:val="none"/>
        </w:rPr>
        <w:t>2</w:t>
      </w:r>
      <w:r>
        <w:rPr>
          <w:rFonts w:hint="eastAsia" w:hAnsi="宋体"/>
          <w:color w:val="auto"/>
          <w:sz w:val="24"/>
          <w:szCs w:val="24"/>
          <w:highlight w:val="none"/>
        </w:rPr>
        <w:t>供应商须将谈判文件要求的资质、业绩、荣誉及相关人员证明材料等资料原件扫描件（或图片）制作到所提交的电子响应文件中。</w:t>
      </w:r>
    </w:p>
    <w:p>
      <w:pPr>
        <w:keepNext w:val="0"/>
        <w:keepLines w:val="0"/>
        <w:pageBreakBefore w:val="0"/>
        <w:widowControl w:val="0"/>
        <w:shd w:val="clear"/>
        <w:tabs>
          <w:tab w:val="left" w:pos="7095"/>
        </w:tabs>
        <w:kinsoku/>
        <w:wordWrap/>
        <w:overflowPunct/>
        <w:topLinePunct w:val="0"/>
        <w:autoSpaceDE/>
        <w:autoSpaceDN/>
        <w:bidi w:val="0"/>
        <w:adjustRightInd/>
        <w:snapToGrid/>
        <w:spacing w:line="360" w:lineRule="auto"/>
        <w:ind w:left="0" w:leftChars="0" w:firstLine="480" w:firstLineChars="200"/>
        <w:contextualSpacing/>
        <w:textAlignment w:val="auto"/>
        <w:outlineLvl w:val="9"/>
        <w:rPr>
          <w:rFonts w:hAnsi="宋体"/>
          <w:color w:val="auto"/>
          <w:sz w:val="24"/>
          <w:szCs w:val="24"/>
          <w:highlight w:val="none"/>
        </w:rPr>
      </w:pPr>
      <w:r>
        <w:rPr>
          <w:rFonts w:asciiTheme="minorEastAsia" w:hAnsiTheme="minorEastAsia"/>
          <w:color w:val="auto"/>
          <w:sz w:val="24"/>
          <w:szCs w:val="24"/>
          <w:highlight w:val="none"/>
        </w:rPr>
        <w:t>3.3</w:t>
      </w:r>
      <w:r>
        <w:rPr>
          <w:rFonts w:hint="eastAsia" w:hAnsi="宋体"/>
          <w:color w:val="auto"/>
          <w:sz w:val="24"/>
          <w:szCs w:val="24"/>
          <w:highlight w:val="none"/>
        </w:rPr>
        <w:t>供应商对同一项目多个标段进行响应的，应分别下载所投标段的谈判文件，按标段制作电子响应文件，并</w:t>
      </w:r>
      <w:r>
        <w:rPr>
          <w:rFonts w:hAnsi="宋体"/>
          <w:color w:val="auto"/>
          <w:sz w:val="24"/>
          <w:szCs w:val="24"/>
          <w:highlight w:val="none"/>
        </w:rPr>
        <w:t>按</w:t>
      </w:r>
      <w:r>
        <w:rPr>
          <w:rFonts w:hint="eastAsia" w:hAnsi="宋体"/>
          <w:color w:val="auto"/>
          <w:sz w:val="24"/>
          <w:szCs w:val="24"/>
          <w:highlight w:val="none"/>
        </w:rPr>
        <w:t>谈判</w:t>
      </w:r>
      <w:r>
        <w:rPr>
          <w:rFonts w:hAnsi="宋体"/>
          <w:color w:val="auto"/>
          <w:sz w:val="24"/>
          <w:szCs w:val="24"/>
          <w:highlight w:val="none"/>
        </w:rPr>
        <w:t>文件要求在相应位置加盖</w:t>
      </w:r>
      <w:r>
        <w:rPr>
          <w:rFonts w:hint="eastAsia" w:hAnsi="宋体"/>
          <w:color w:val="auto"/>
          <w:sz w:val="24"/>
          <w:szCs w:val="24"/>
          <w:highlight w:val="none"/>
        </w:rPr>
        <w:t>供应商</w:t>
      </w:r>
      <w:r>
        <w:rPr>
          <w:rFonts w:hAnsi="宋体"/>
          <w:color w:val="auto"/>
          <w:sz w:val="24"/>
          <w:szCs w:val="24"/>
          <w:highlight w:val="none"/>
        </w:rPr>
        <w:t>电子印章</w:t>
      </w:r>
      <w:r>
        <w:rPr>
          <w:rFonts w:hint="eastAsia" w:hAnsi="宋体"/>
          <w:color w:val="auto"/>
          <w:sz w:val="24"/>
          <w:szCs w:val="24"/>
          <w:highlight w:val="none"/>
        </w:rPr>
        <w:t>和法人电子印章。</w:t>
      </w:r>
    </w:p>
    <w:p>
      <w:pPr>
        <w:keepNext w:val="0"/>
        <w:keepLines w:val="0"/>
        <w:pageBreakBefore w:val="0"/>
        <w:widowControl w:val="0"/>
        <w:shd w:val="clear"/>
        <w:tabs>
          <w:tab w:val="left" w:pos="7095"/>
        </w:tabs>
        <w:kinsoku/>
        <w:wordWrap/>
        <w:overflowPunct/>
        <w:topLinePunct w:val="0"/>
        <w:autoSpaceDE/>
        <w:autoSpaceDN/>
        <w:bidi w:val="0"/>
        <w:adjustRightInd/>
        <w:snapToGrid/>
        <w:spacing w:line="360" w:lineRule="auto"/>
        <w:ind w:left="0" w:leftChars="0" w:firstLine="360" w:firstLineChars="150"/>
        <w:contextualSpacing/>
        <w:textAlignment w:val="auto"/>
        <w:outlineLvl w:val="9"/>
        <w:rPr>
          <w:rFonts w:hAnsi="宋体"/>
          <w:color w:val="auto"/>
          <w:sz w:val="24"/>
          <w:szCs w:val="24"/>
          <w:highlight w:val="none"/>
        </w:rPr>
      </w:pPr>
      <w:r>
        <w:rPr>
          <w:rFonts w:hint="eastAsia" w:hAnsi="宋体"/>
          <w:color w:val="auto"/>
          <w:sz w:val="24"/>
          <w:szCs w:val="24"/>
          <w:highlight w:val="none"/>
        </w:rPr>
        <w:t>一个标段对应生成一个文件夹（xxxx项目xx标段）</w:t>
      </w:r>
      <w:r>
        <w:rPr>
          <w:rFonts w:hint="eastAsia" w:hAnsi="宋体"/>
          <w:color w:val="auto"/>
          <w:sz w:val="24"/>
          <w:szCs w:val="24"/>
          <w:highlight w:val="none"/>
          <w:lang w:eastAsia="zh-CN"/>
        </w:rPr>
        <w:t>，</w:t>
      </w:r>
      <w:r>
        <w:rPr>
          <w:rFonts w:hint="eastAsia" w:hAnsi="宋体"/>
          <w:color w:val="auto"/>
          <w:sz w:val="24"/>
          <w:szCs w:val="24"/>
          <w:highlight w:val="none"/>
        </w:rPr>
        <w:t>其中后缀名为“</w:t>
      </w:r>
      <w:r>
        <w:rPr>
          <w:rFonts w:hAnsi="宋体"/>
          <w:color w:val="auto"/>
          <w:sz w:val="24"/>
          <w:szCs w:val="24"/>
          <w:highlight w:val="none"/>
        </w:rPr>
        <w:t>.file</w:t>
      </w:r>
      <w:r>
        <w:rPr>
          <w:rFonts w:hint="eastAsia" w:hAnsi="宋体"/>
          <w:color w:val="auto"/>
          <w:sz w:val="24"/>
          <w:szCs w:val="24"/>
          <w:highlight w:val="none"/>
        </w:rPr>
        <w:t>”的文件用于电子投标使用。</w:t>
      </w:r>
    </w:p>
    <w:p>
      <w:pPr>
        <w:keepNext w:val="0"/>
        <w:keepLines w:val="0"/>
        <w:pageBreakBefore w:val="0"/>
        <w:widowControl w:val="0"/>
        <w:shd w:val="clear"/>
        <w:tabs>
          <w:tab w:val="left" w:pos="7095"/>
        </w:tabs>
        <w:kinsoku/>
        <w:wordWrap/>
        <w:overflowPunct/>
        <w:topLinePunct w:val="0"/>
        <w:autoSpaceDE/>
        <w:autoSpaceDN/>
        <w:bidi w:val="0"/>
        <w:adjustRightInd/>
        <w:snapToGrid/>
        <w:spacing w:line="360" w:lineRule="auto"/>
        <w:ind w:left="0" w:leftChars="0" w:firstLine="482" w:firstLineChars="200"/>
        <w:contextualSpacing/>
        <w:textAlignment w:val="auto"/>
        <w:outlineLvl w:val="9"/>
        <w:rPr>
          <w:rFonts w:hAnsi="宋体"/>
          <w:b/>
          <w:color w:val="auto"/>
          <w:sz w:val="24"/>
          <w:szCs w:val="24"/>
          <w:highlight w:val="none"/>
        </w:rPr>
      </w:pPr>
      <w:r>
        <w:rPr>
          <w:rFonts w:asciiTheme="minorEastAsia" w:hAnsiTheme="minorEastAsia"/>
          <w:b/>
          <w:color w:val="auto"/>
          <w:sz w:val="24"/>
          <w:szCs w:val="24"/>
          <w:highlight w:val="none"/>
        </w:rPr>
        <w:t>4</w:t>
      </w:r>
      <w:r>
        <w:rPr>
          <w:rFonts w:hint="eastAsia" w:asciiTheme="minorEastAsia" w:hAnsiTheme="minorEastAsia"/>
          <w:b/>
          <w:color w:val="auto"/>
          <w:sz w:val="24"/>
          <w:szCs w:val="24"/>
          <w:highlight w:val="none"/>
        </w:rPr>
        <w:t>.加密</w:t>
      </w:r>
      <w:r>
        <w:rPr>
          <w:rFonts w:hint="eastAsia" w:hAnsi="宋体"/>
          <w:b/>
          <w:color w:val="auto"/>
          <w:sz w:val="24"/>
          <w:szCs w:val="24"/>
          <w:highlight w:val="none"/>
        </w:rPr>
        <w:t>电子响应文件的提交</w:t>
      </w:r>
    </w:p>
    <w:p>
      <w:pPr>
        <w:keepNext w:val="0"/>
        <w:keepLines w:val="0"/>
        <w:pageBreakBefore w:val="0"/>
        <w:widowControl w:val="0"/>
        <w:shd w:val="clear"/>
        <w:tabs>
          <w:tab w:val="left" w:pos="7095"/>
        </w:tabs>
        <w:kinsoku/>
        <w:wordWrap/>
        <w:overflowPunct/>
        <w:topLinePunct w:val="0"/>
        <w:autoSpaceDE/>
        <w:autoSpaceDN/>
        <w:bidi w:val="0"/>
        <w:adjustRightInd/>
        <w:snapToGrid/>
        <w:spacing w:line="360" w:lineRule="auto"/>
        <w:ind w:left="0" w:leftChars="0" w:firstLine="480" w:firstLineChars="200"/>
        <w:contextualSpacing/>
        <w:textAlignment w:val="auto"/>
        <w:outlineLvl w:val="9"/>
        <w:rPr>
          <w:rFonts w:hAnsi="宋体"/>
          <w:color w:val="auto"/>
          <w:sz w:val="24"/>
          <w:szCs w:val="24"/>
          <w:highlight w:val="none"/>
        </w:rPr>
      </w:pPr>
      <w:r>
        <w:rPr>
          <w:rFonts w:asciiTheme="minorEastAsia" w:hAnsiTheme="minorEastAsia"/>
          <w:color w:val="auto"/>
          <w:sz w:val="24"/>
          <w:szCs w:val="24"/>
          <w:highlight w:val="none"/>
        </w:rPr>
        <w:t>4</w:t>
      </w:r>
      <w:r>
        <w:rPr>
          <w:rFonts w:hint="eastAsia" w:asciiTheme="minorEastAsia" w:hAnsiTheme="minorEastAsia"/>
          <w:color w:val="auto"/>
          <w:sz w:val="24"/>
          <w:szCs w:val="24"/>
          <w:highlight w:val="none"/>
        </w:rPr>
        <w:t>.1加密</w:t>
      </w:r>
      <w:r>
        <w:rPr>
          <w:rFonts w:hint="eastAsia" w:hAnsi="宋体"/>
          <w:color w:val="auto"/>
          <w:sz w:val="24"/>
          <w:szCs w:val="24"/>
          <w:highlight w:val="none"/>
        </w:rPr>
        <w:t>电子响应文件应按规定在谈判响应截止时间（谈判时间）之前成功提交至《全国公共资源交易平台</w:t>
      </w:r>
      <w:r>
        <w:rPr>
          <w:rFonts w:hint="eastAsia" w:hAnsi="宋体"/>
          <w:color w:val="auto"/>
          <w:sz w:val="24"/>
          <w:szCs w:val="24"/>
          <w:highlight w:val="none"/>
          <w:lang w:eastAsia="zh-CN"/>
        </w:rPr>
        <w:t>（</w:t>
      </w:r>
      <w:r>
        <w:rPr>
          <w:rFonts w:hint="eastAsia" w:hAnsi="宋体"/>
          <w:color w:val="auto"/>
          <w:sz w:val="24"/>
          <w:szCs w:val="24"/>
          <w:highlight w:val="none"/>
        </w:rPr>
        <w:t>河南省</w:t>
      </w:r>
      <w:r>
        <w:rPr>
          <w:rFonts w:hint="eastAsia" w:ascii="MS Mincho" w:hAnsi="MS Mincho" w:eastAsia="MS Mincho" w:cs="MS Mincho"/>
          <w:color w:val="auto"/>
          <w:sz w:val="24"/>
          <w:szCs w:val="24"/>
          <w:highlight w:val="none"/>
        </w:rPr>
        <w:t>▪</w:t>
      </w:r>
      <w:r>
        <w:rPr>
          <w:rFonts w:hint="eastAsia" w:ascii="宋体" w:hAnsi="宋体" w:eastAsia="宋体" w:cs="宋体"/>
          <w:color w:val="auto"/>
          <w:sz w:val="24"/>
          <w:szCs w:val="24"/>
          <w:highlight w:val="none"/>
        </w:rPr>
        <w:t>许昌市</w:t>
      </w:r>
      <w:r>
        <w:rPr>
          <w:rFonts w:hint="eastAsia" w:ascii="宋体" w:hAnsi="宋体" w:eastAsia="宋体" w:cs="宋体"/>
          <w:color w:val="auto"/>
          <w:sz w:val="24"/>
          <w:szCs w:val="24"/>
          <w:highlight w:val="none"/>
          <w:lang w:eastAsia="zh-CN"/>
        </w:rPr>
        <w:t>）</w:t>
      </w:r>
      <w:r>
        <w:rPr>
          <w:rFonts w:hint="eastAsia" w:hAnsi="宋体"/>
          <w:color w:val="auto"/>
          <w:sz w:val="24"/>
          <w:szCs w:val="24"/>
          <w:highlight w:val="none"/>
        </w:rPr>
        <w:t>》公共资源交易系统（</w:t>
      </w:r>
      <w:r>
        <w:rPr>
          <w:rFonts w:hint="eastAsia"/>
          <w:color w:val="auto"/>
          <w:sz w:val="24"/>
          <w:szCs w:val="24"/>
          <w:highlight w:val="none"/>
        </w:rPr>
        <w:t>http://ggzy.xuchang.gov.cn:8088/ggzy/</w:t>
      </w:r>
      <w:r>
        <w:rPr>
          <w:rFonts w:hint="eastAsia" w:hAnsi="宋体"/>
          <w:color w:val="auto"/>
          <w:sz w:val="24"/>
          <w:szCs w:val="24"/>
          <w:highlight w:val="none"/>
        </w:rPr>
        <w:t>）。</w:t>
      </w:r>
    </w:p>
    <w:p>
      <w:pPr>
        <w:keepNext w:val="0"/>
        <w:keepLines w:val="0"/>
        <w:pageBreakBefore w:val="0"/>
        <w:widowControl w:val="0"/>
        <w:shd w:val="clear"/>
        <w:tabs>
          <w:tab w:val="left" w:pos="7095"/>
        </w:tabs>
        <w:kinsoku/>
        <w:wordWrap/>
        <w:overflowPunct/>
        <w:topLinePunct w:val="0"/>
        <w:autoSpaceDE/>
        <w:autoSpaceDN/>
        <w:bidi w:val="0"/>
        <w:adjustRightInd/>
        <w:snapToGrid/>
        <w:spacing w:line="360" w:lineRule="auto"/>
        <w:ind w:left="0" w:leftChars="0" w:firstLine="480" w:firstLineChars="200"/>
        <w:contextualSpacing/>
        <w:textAlignment w:val="auto"/>
        <w:outlineLvl w:val="9"/>
        <w:rPr>
          <w:rFonts w:hAnsi="宋体"/>
          <w:color w:val="auto"/>
          <w:sz w:val="24"/>
          <w:szCs w:val="24"/>
          <w:highlight w:val="none"/>
        </w:rPr>
      </w:pPr>
      <w:r>
        <w:rPr>
          <w:rFonts w:hint="eastAsia" w:hAnsi="宋体"/>
          <w:color w:val="auto"/>
          <w:sz w:val="24"/>
          <w:szCs w:val="24"/>
          <w:highlight w:val="none"/>
        </w:rPr>
        <w:t>供应商应充分考虑并预留技术处理和上传数据所需时间。</w:t>
      </w:r>
    </w:p>
    <w:p>
      <w:pPr>
        <w:keepNext w:val="0"/>
        <w:keepLines w:val="0"/>
        <w:pageBreakBefore w:val="0"/>
        <w:widowControl w:val="0"/>
        <w:shd w:val="clear"/>
        <w:tabs>
          <w:tab w:val="left" w:pos="7095"/>
        </w:tabs>
        <w:kinsoku/>
        <w:wordWrap/>
        <w:overflowPunct/>
        <w:topLinePunct w:val="0"/>
        <w:autoSpaceDE/>
        <w:autoSpaceDN/>
        <w:bidi w:val="0"/>
        <w:adjustRightInd/>
        <w:snapToGrid/>
        <w:spacing w:line="360" w:lineRule="auto"/>
        <w:ind w:left="0" w:leftChars="0" w:firstLine="480" w:firstLineChars="200"/>
        <w:contextualSpacing/>
        <w:textAlignment w:val="auto"/>
        <w:outlineLvl w:val="9"/>
        <w:rPr>
          <w:rFonts w:hAnsi="宋体"/>
          <w:color w:val="auto"/>
          <w:sz w:val="24"/>
          <w:szCs w:val="24"/>
          <w:highlight w:val="none"/>
        </w:rPr>
      </w:pPr>
      <w:r>
        <w:rPr>
          <w:rFonts w:asciiTheme="minorEastAsia" w:hAnsiTheme="minorEastAsia"/>
          <w:color w:val="auto"/>
          <w:sz w:val="24"/>
          <w:szCs w:val="24"/>
          <w:highlight w:val="none"/>
        </w:rPr>
        <w:t>4.</w:t>
      </w:r>
      <w:r>
        <w:rPr>
          <w:rFonts w:hint="eastAsia" w:asciiTheme="minorEastAsia" w:hAnsiTheme="minorEastAsia"/>
          <w:color w:val="auto"/>
          <w:sz w:val="24"/>
          <w:szCs w:val="24"/>
          <w:highlight w:val="none"/>
        </w:rPr>
        <w:t xml:space="preserve">2 </w:t>
      </w:r>
      <w:r>
        <w:rPr>
          <w:rFonts w:hint="eastAsia" w:hAnsi="宋体"/>
          <w:color w:val="auto"/>
          <w:sz w:val="24"/>
          <w:szCs w:val="24"/>
          <w:highlight w:val="none"/>
        </w:rPr>
        <w:t>供应商对同一项目多个标段进行响应的，加密电子响应文件应按标段分别提交。</w:t>
      </w:r>
    </w:p>
    <w:p>
      <w:pPr>
        <w:keepNext w:val="0"/>
        <w:keepLines w:val="0"/>
        <w:pageBreakBefore w:val="0"/>
        <w:widowControl w:val="0"/>
        <w:shd w:val="clear"/>
        <w:tabs>
          <w:tab w:val="left" w:pos="7095"/>
        </w:tabs>
        <w:kinsoku/>
        <w:wordWrap/>
        <w:overflowPunct/>
        <w:topLinePunct w:val="0"/>
        <w:autoSpaceDE/>
        <w:autoSpaceDN/>
        <w:bidi w:val="0"/>
        <w:adjustRightInd/>
        <w:snapToGrid/>
        <w:spacing w:line="360" w:lineRule="auto"/>
        <w:ind w:left="0" w:leftChars="0" w:firstLine="480" w:firstLineChars="200"/>
        <w:contextualSpacing/>
        <w:textAlignment w:val="auto"/>
        <w:outlineLvl w:val="9"/>
        <w:rPr>
          <w:rFonts w:hAnsi="宋体"/>
          <w:color w:val="auto"/>
          <w:sz w:val="24"/>
          <w:szCs w:val="24"/>
          <w:highlight w:val="none"/>
        </w:rPr>
      </w:pPr>
      <w:r>
        <w:rPr>
          <w:rFonts w:asciiTheme="minorEastAsia" w:hAnsiTheme="minorEastAsia"/>
          <w:color w:val="auto"/>
          <w:sz w:val="24"/>
          <w:szCs w:val="24"/>
          <w:highlight w:val="none"/>
        </w:rPr>
        <w:t>4</w:t>
      </w:r>
      <w:r>
        <w:rPr>
          <w:rFonts w:hint="eastAsia" w:asciiTheme="minorEastAsia" w:hAnsiTheme="minorEastAsia"/>
          <w:color w:val="auto"/>
          <w:sz w:val="24"/>
          <w:szCs w:val="24"/>
          <w:highlight w:val="none"/>
        </w:rPr>
        <w:t>.</w:t>
      </w:r>
      <w:r>
        <w:rPr>
          <w:rFonts w:asciiTheme="minorEastAsia" w:hAnsiTheme="minorEastAsia"/>
          <w:color w:val="auto"/>
          <w:sz w:val="24"/>
          <w:szCs w:val="24"/>
          <w:highlight w:val="none"/>
        </w:rPr>
        <w:t>3</w:t>
      </w:r>
      <w:r>
        <w:rPr>
          <w:rFonts w:hint="eastAsia" w:asciiTheme="minorEastAsia" w:hAnsiTheme="minorEastAsia"/>
          <w:color w:val="auto"/>
          <w:sz w:val="24"/>
          <w:szCs w:val="24"/>
          <w:highlight w:val="none"/>
        </w:rPr>
        <w:t xml:space="preserve"> 加密</w:t>
      </w:r>
      <w:r>
        <w:rPr>
          <w:rFonts w:hint="eastAsia" w:hAnsi="宋体"/>
          <w:color w:val="auto"/>
          <w:sz w:val="24"/>
          <w:szCs w:val="24"/>
          <w:highlight w:val="none"/>
        </w:rPr>
        <w:t>电子响应文件成功提交后，《全国公共资源交易平台</w:t>
      </w:r>
      <w:r>
        <w:rPr>
          <w:rFonts w:hint="eastAsia" w:hAnsi="宋体"/>
          <w:color w:val="auto"/>
          <w:sz w:val="24"/>
          <w:szCs w:val="24"/>
          <w:highlight w:val="none"/>
          <w:lang w:eastAsia="zh-CN"/>
        </w:rPr>
        <w:t>（</w:t>
      </w:r>
      <w:r>
        <w:rPr>
          <w:rFonts w:hint="eastAsia" w:hAnsi="宋体"/>
          <w:color w:val="auto"/>
          <w:sz w:val="24"/>
          <w:szCs w:val="24"/>
          <w:highlight w:val="none"/>
        </w:rPr>
        <w:t>河南省</w:t>
      </w:r>
      <w:r>
        <w:rPr>
          <w:rFonts w:hint="eastAsia" w:ascii="MS Mincho" w:hAnsi="MS Mincho" w:eastAsia="MS Mincho" w:cs="MS Mincho"/>
          <w:color w:val="auto"/>
          <w:sz w:val="24"/>
          <w:szCs w:val="24"/>
          <w:highlight w:val="none"/>
        </w:rPr>
        <w:t>▪</w:t>
      </w:r>
      <w:r>
        <w:rPr>
          <w:rFonts w:hint="eastAsia" w:ascii="宋体" w:hAnsi="宋体" w:eastAsia="宋体" w:cs="宋体"/>
          <w:color w:val="auto"/>
          <w:sz w:val="24"/>
          <w:szCs w:val="24"/>
          <w:highlight w:val="none"/>
        </w:rPr>
        <w:t>许昌市</w:t>
      </w:r>
      <w:r>
        <w:rPr>
          <w:rFonts w:hint="eastAsia" w:ascii="宋体" w:hAnsi="宋体" w:eastAsia="宋体" w:cs="宋体"/>
          <w:color w:val="auto"/>
          <w:sz w:val="24"/>
          <w:szCs w:val="24"/>
          <w:highlight w:val="none"/>
          <w:lang w:eastAsia="zh-CN"/>
        </w:rPr>
        <w:t>）</w:t>
      </w:r>
      <w:r>
        <w:rPr>
          <w:rFonts w:hint="eastAsia" w:hAnsi="宋体"/>
          <w:color w:val="auto"/>
          <w:sz w:val="24"/>
          <w:szCs w:val="24"/>
          <w:highlight w:val="none"/>
        </w:rPr>
        <w:t>》公共资源交易系统（</w:t>
      </w:r>
      <w:r>
        <w:rPr>
          <w:rFonts w:hint="eastAsia"/>
          <w:color w:val="auto"/>
          <w:sz w:val="24"/>
          <w:szCs w:val="24"/>
          <w:highlight w:val="none"/>
        </w:rPr>
        <w:t>http://ggzy.xuchang.gov.cn:8088/ggzy/</w:t>
      </w:r>
      <w:r>
        <w:rPr>
          <w:rFonts w:hint="eastAsia" w:hAnsi="宋体"/>
          <w:color w:val="auto"/>
          <w:sz w:val="24"/>
          <w:szCs w:val="24"/>
          <w:highlight w:val="none"/>
        </w:rPr>
        <w:t>）</w:t>
      </w:r>
      <w:r>
        <w:rPr>
          <w:rFonts w:hint="eastAsia" w:cs="仿宋_GB2312" w:asciiTheme="minorEastAsia" w:hAnsiTheme="minorEastAsia"/>
          <w:color w:val="auto"/>
          <w:sz w:val="24"/>
          <w:szCs w:val="24"/>
          <w:highlight w:val="none"/>
        </w:rPr>
        <w:t>生成“投标文件提交回执单”。</w:t>
      </w:r>
    </w:p>
    <w:p>
      <w:pPr>
        <w:keepNext w:val="0"/>
        <w:keepLines w:val="0"/>
        <w:pageBreakBefore w:val="0"/>
        <w:widowControl w:val="0"/>
        <w:shd w:val="clear"/>
        <w:tabs>
          <w:tab w:val="left" w:pos="7095"/>
        </w:tabs>
        <w:kinsoku/>
        <w:wordWrap/>
        <w:overflowPunct/>
        <w:topLinePunct w:val="0"/>
        <w:autoSpaceDE/>
        <w:autoSpaceDN/>
        <w:bidi w:val="0"/>
        <w:adjustRightInd/>
        <w:snapToGrid/>
        <w:spacing w:line="360" w:lineRule="auto"/>
        <w:ind w:left="0" w:leftChars="0" w:firstLine="482" w:firstLineChars="200"/>
        <w:contextualSpacing/>
        <w:textAlignment w:val="auto"/>
        <w:outlineLvl w:val="9"/>
        <w:rPr>
          <w:rFonts w:hAnsi="宋体"/>
          <w:b/>
          <w:color w:val="auto"/>
          <w:sz w:val="24"/>
          <w:szCs w:val="24"/>
          <w:highlight w:val="none"/>
        </w:rPr>
      </w:pPr>
      <w:r>
        <w:rPr>
          <w:rFonts w:hint="eastAsia" w:asciiTheme="minorEastAsia" w:hAnsiTheme="minorEastAsia"/>
          <w:b/>
          <w:color w:val="auto"/>
          <w:sz w:val="24"/>
          <w:szCs w:val="24"/>
          <w:highlight w:val="none"/>
        </w:rPr>
        <w:t>5.远程不见面谈判（</w:t>
      </w:r>
      <w:r>
        <w:rPr>
          <w:rFonts w:hint="eastAsia" w:hAnsi="宋体"/>
          <w:b/>
          <w:color w:val="auto"/>
          <w:sz w:val="24"/>
          <w:szCs w:val="24"/>
          <w:highlight w:val="none"/>
        </w:rPr>
        <w:t>电子响应文件的解密</w:t>
      </w:r>
      <w:r>
        <w:rPr>
          <w:rFonts w:hint="eastAsia" w:asciiTheme="minorEastAsia" w:hAnsiTheme="minorEastAsia"/>
          <w:b/>
          <w:color w:val="auto"/>
          <w:sz w:val="24"/>
          <w:szCs w:val="24"/>
          <w:highlight w:val="none"/>
        </w:rPr>
        <w:t>）</w:t>
      </w:r>
    </w:p>
    <w:p>
      <w:pPr>
        <w:keepNext w:val="0"/>
        <w:keepLines w:val="0"/>
        <w:pageBreakBefore w:val="0"/>
        <w:widowControl w:val="0"/>
        <w:shd w:val="clear"/>
        <w:tabs>
          <w:tab w:val="left" w:pos="7095"/>
        </w:tabs>
        <w:kinsoku/>
        <w:wordWrap/>
        <w:overflowPunct/>
        <w:topLinePunct w:val="0"/>
        <w:bidi w:val="0"/>
        <w:adjustRightInd/>
        <w:snapToGrid/>
        <w:spacing w:line="360" w:lineRule="auto"/>
        <w:ind w:left="0" w:leftChars="0" w:firstLine="420"/>
        <w:contextualSpacing/>
        <w:textAlignment w:val="auto"/>
        <w:rPr>
          <w:rFonts w:hAnsi="宋体"/>
          <w:color w:val="auto"/>
          <w:sz w:val="24"/>
          <w:szCs w:val="24"/>
          <w:highlight w:val="none"/>
        </w:rPr>
      </w:pPr>
      <w:r>
        <w:rPr>
          <w:rFonts w:hint="eastAsia" w:asciiTheme="minorEastAsia" w:hAnsiTheme="minorEastAsia"/>
          <w:color w:val="auto"/>
          <w:sz w:val="24"/>
          <w:szCs w:val="24"/>
          <w:highlight w:val="none"/>
        </w:rPr>
        <w:t>5</w:t>
      </w:r>
      <w:r>
        <w:rPr>
          <w:rFonts w:asciiTheme="minorEastAsia" w:hAnsiTheme="minorEastAsia"/>
          <w:color w:val="auto"/>
          <w:sz w:val="24"/>
          <w:szCs w:val="24"/>
          <w:highlight w:val="none"/>
        </w:rPr>
        <w:t>.</w:t>
      </w:r>
      <w:r>
        <w:rPr>
          <w:rFonts w:hint="eastAsia" w:asciiTheme="minorEastAsia" w:hAnsiTheme="minorEastAsia"/>
          <w:color w:val="auto"/>
          <w:sz w:val="24"/>
          <w:szCs w:val="24"/>
          <w:highlight w:val="none"/>
        </w:rPr>
        <w:t>1</w:t>
      </w:r>
      <w:r>
        <w:rPr>
          <w:rFonts w:hint="eastAsia" w:hAnsi="宋体"/>
          <w:color w:val="auto"/>
          <w:sz w:val="24"/>
          <w:szCs w:val="24"/>
          <w:highlight w:val="none"/>
        </w:rPr>
        <w:t>供应商应熟悉《许昌市不见面操作手册》，并提前设置不见面开标浏览器（设置流程详见《许昌市不见面操作手册》）。</w:t>
      </w:r>
    </w:p>
    <w:p>
      <w:pPr>
        <w:keepNext w:val="0"/>
        <w:keepLines w:val="0"/>
        <w:pageBreakBefore w:val="0"/>
        <w:widowControl w:val="0"/>
        <w:shd w:val="clear"/>
        <w:tabs>
          <w:tab w:val="left" w:pos="7095"/>
        </w:tabs>
        <w:kinsoku/>
        <w:wordWrap/>
        <w:overflowPunct/>
        <w:topLinePunct w:val="0"/>
        <w:bidi w:val="0"/>
        <w:adjustRightInd/>
        <w:snapToGrid/>
        <w:spacing w:line="360" w:lineRule="auto"/>
        <w:ind w:left="0" w:leftChars="0" w:firstLine="420"/>
        <w:contextualSpacing/>
        <w:textAlignment w:val="auto"/>
        <w:rPr>
          <w:rFonts w:hAnsi="宋体"/>
          <w:color w:val="auto"/>
          <w:sz w:val="24"/>
          <w:szCs w:val="24"/>
          <w:highlight w:val="none"/>
        </w:rPr>
      </w:pPr>
      <w:r>
        <w:rPr>
          <w:rFonts w:hint="eastAsia" w:asciiTheme="minorEastAsia" w:hAnsiTheme="minorEastAsia"/>
          <w:color w:val="auto"/>
          <w:sz w:val="24"/>
          <w:szCs w:val="24"/>
          <w:highlight w:val="none"/>
        </w:rPr>
        <w:t xml:space="preserve">5.2 </w:t>
      </w:r>
      <w:r>
        <w:rPr>
          <w:rFonts w:hint="eastAsia" w:hAnsi="宋体"/>
          <w:color w:val="auto"/>
          <w:sz w:val="24"/>
          <w:szCs w:val="24"/>
          <w:highlight w:val="none"/>
        </w:rPr>
        <w:t>《许昌市不见面操作手册》下载路径：全国公共资源交易平台（河南省·许昌市）—“资料下载”栏目。</w:t>
      </w:r>
    </w:p>
    <w:p>
      <w:pPr>
        <w:keepNext w:val="0"/>
        <w:keepLines w:val="0"/>
        <w:pageBreakBefore w:val="0"/>
        <w:widowControl w:val="0"/>
        <w:shd w:val="clear"/>
        <w:tabs>
          <w:tab w:val="left" w:pos="7095"/>
        </w:tabs>
        <w:kinsoku/>
        <w:wordWrap/>
        <w:overflowPunct/>
        <w:topLinePunct w:val="0"/>
        <w:bidi w:val="0"/>
        <w:adjustRightInd/>
        <w:snapToGrid/>
        <w:spacing w:line="360" w:lineRule="auto"/>
        <w:ind w:left="0" w:leftChars="0" w:firstLine="420"/>
        <w:contextualSpacing/>
        <w:textAlignment w:val="auto"/>
        <w:rPr>
          <w:rFonts w:hAnsi="宋体"/>
          <w:color w:val="auto"/>
          <w:sz w:val="24"/>
          <w:szCs w:val="24"/>
          <w:highlight w:val="none"/>
        </w:rPr>
      </w:pPr>
      <w:r>
        <w:rPr>
          <w:rFonts w:hint="eastAsia" w:asciiTheme="minorEastAsia" w:hAnsiTheme="minorEastAsia"/>
          <w:color w:val="auto"/>
          <w:sz w:val="24"/>
          <w:szCs w:val="24"/>
          <w:highlight w:val="none"/>
        </w:rPr>
        <w:t>5.</w:t>
      </w:r>
      <w:r>
        <w:rPr>
          <w:rFonts w:asciiTheme="minorEastAsia" w:hAnsiTheme="minorEastAsia"/>
          <w:color w:val="auto"/>
          <w:sz w:val="24"/>
          <w:szCs w:val="24"/>
          <w:highlight w:val="none"/>
        </w:rPr>
        <w:t>3</w:t>
      </w:r>
      <w:r>
        <w:rPr>
          <w:rFonts w:hint="eastAsia" w:cs="仿宋_GB2312" w:asciiTheme="minorEastAsia" w:hAnsiTheme="minorEastAsia"/>
          <w:color w:val="auto"/>
          <w:sz w:val="24"/>
          <w:szCs w:val="24"/>
          <w:highlight w:val="none"/>
        </w:rPr>
        <w:t>谈判响应截止时间前供应商应登录本项目不见面开标大厅，按照谈判文件规定的时间准时参加线上响应文件开启。</w:t>
      </w:r>
    </w:p>
    <w:p>
      <w:pPr>
        <w:keepNext w:val="0"/>
        <w:keepLines w:val="0"/>
        <w:pageBreakBefore w:val="0"/>
        <w:widowControl w:val="0"/>
        <w:shd w:val="clear"/>
        <w:tabs>
          <w:tab w:val="left" w:pos="7095"/>
        </w:tabs>
        <w:kinsoku/>
        <w:wordWrap/>
        <w:overflowPunct/>
        <w:topLinePunct w:val="0"/>
        <w:bidi w:val="0"/>
        <w:adjustRightInd/>
        <w:snapToGrid/>
        <w:spacing w:line="360" w:lineRule="auto"/>
        <w:ind w:left="0" w:leftChars="0" w:firstLine="480" w:firstLineChars="200"/>
        <w:contextualSpacing/>
        <w:textAlignment w:val="auto"/>
        <w:rPr>
          <w:rFonts w:hAnsi="宋体"/>
          <w:color w:val="auto"/>
          <w:sz w:val="24"/>
          <w:szCs w:val="24"/>
          <w:highlight w:val="none"/>
        </w:rPr>
      </w:pPr>
      <w:r>
        <w:rPr>
          <w:rFonts w:hint="eastAsia" w:asciiTheme="minorEastAsia" w:hAnsiTheme="minorEastAsia"/>
          <w:color w:val="auto"/>
          <w:sz w:val="24"/>
          <w:szCs w:val="24"/>
          <w:highlight w:val="none"/>
        </w:rPr>
        <w:t>5.4</w:t>
      </w:r>
      <w:r>
        <w:rPr>
          <w:rFonts w:hint="eastAsia" w:hAnsi="宋体"/>
          <w:color w:val="auto"/>
          <w:sz w:val="24"/>
          <w:szCs w:val="24"/>
          <w:highlight w:val="none"/>
        </w:rPr>
        <w:t>供应商对线上响应文件开启过程和开标记录如有疑义，可在本项目不见面开标大厅“文字互动”对话框或“新增质疑”处在线提出询问。</w:t>
      </w:r>
    </w:p>
    <w:p>
      <w:pPr>
        <w:keepNext w:val="0"/>
        <w:keepLines w:val="0"/>
        <w:pageBreakBefore w:val="0"/>
        <w:widowControl w:val="0"/>
        <w:shd w:val="clear"/>
        <w:tabs>
          <w:tab w:val="left" w:pos="7095"/>
        </w:tabs>
        <w:kinsoku/>
        <w:wordWrap/>
        <w:overflowPunct/>
        <w:topLinePunct w:val="0"/>
        <w:bidi w:val="0"/>
        <w:adjustRightInd/>
        <w:snapToGrid/>
        <w:spacing w:line="360" w:lineRule="auto"/>
        <w:ind w:left="0" w:leftChars="0" w:firstLine="480" w:firstLineChars="200"/>
        <w:contextualSpacing/>
        <w:textAlignment w:val="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5.5根据采购代理机构在“文字互动”对话框的通知，供应商选择功能栏“解密环节”按钮进行电子响应文件解密（供应商解密应自采购代理机构点击“开标”按钮后120分钟内完成）。供应商未在规定时间内解密或</w:t>
      </w:r>
      <w:r>
        <w:rPr>
          <w:rFonts w:hint="eastAsia" w:cs="宋体" w:asciiTheme="minorEastAsia" w:hAnsiTheme="minorEastAsia"/>
          <w:color w:val="auto"/>
          <w:kern w:val="0"/>
          <w:sz w:val="24"/>
          <w:szCs w:val="24"/>
          <w:highlight w:val="none"/>
        </w:rPr>
        <w:t>因供应商原因解密失败的，其响应文件将被拒绝。</w:t>
      </w:r>
    </w:p>
    <w:p>
      <w:pPr>
        <w:keepNext w:val="0"/>
        <w:keepLines w:val="0"/>
        <w:pageBreakBefore w:val="0"/>
        <w:widowControl w:val="0"/>
        <w:shd w:val="clear"/>
        <w:tabs>
          <w:tab w:val="left" w:pos="7095"/>
        </w:tabs>
        <w:kinsoku/>
        <w:wordWrap/>
        <w:overflowPunct/>
        <w:topLinePunct w:val="0"/>
        <w:bidi w:val="0"/>
        <w:adjustRightInd/>
        <w:snapToGrid/>
        <w:spacing w:line="360" w:lineRule="auto"/>
        <w:ind w:left="0" w:leftChars="0" w:firstLine="480" w:firstLineChars="200"/>
        <w:contextualSpacing/>
        <w:textAlignment w:val="auto"/>
        <w:rPr>
          <w:rFonts w:hAnsi="宋体"/>
          <w:color w:val="auto"/>
          <w:sz w:val="24"/>
          <w:szCs w:val="24"/>
          <w:highlight w:val="none"/>
        </w:rPr>
      </w:pPr>
      <w:r>
        <w:rPr>
          <w:rFonts w:hint="eastAsia" w:asciiTheme="minorEastAsia" w:hAnsiTheme="minorEastAsia"/>
          <w:color w:val="auto"/>
          <w:sz w:val="24"/>
          <w:szCs w:val="24"/>
          <w:highlight w:val="none"/>
        </w:rPr>
        <w:t>5.6项目远程</w:t>
      </w:r>
      <w:r>
        <w:rPr>
          <w:rFonts w:hint="eastAsia" w:hAnsi="宋体"/>
          <w:color w:val="auto"/>
          <w:sz w:val="24"/>
          <w:szCs w:val="24"/>
          <w:highlight w:val="none"/>
        </w:rPr>
        <w:t>不见面响应文件开启活动结束时，供应商应在《开标记录表》上进行电子签章。供应商未签章的，视同认可线上响应文件开启结果。</w:t>
      </w:r>
    </w:p>
    <w:p>
      <w:pPr>
        <w:keepNext w:val="0"/>
        <w:keepLines w:val="0"/>
        <w:pageBreakBefore w:val="0"/>
        <w:widowControl w:val="0"/>
        <w:shd w:val="clear"/>
        <w:tabs>
          <w:tab w:val="left" w:pos="7095"/>
        </w:tabs>
        <w:kinsoku/>
        <w:wordWrap/>
        <w:overflowPunct/>
        <w:topLinePunct w:val="0"/>
        <w:autoSpaceDE/>
        <w:autoSpaceDN/>
        <w:bidi w:val="0"/>
        <w:adjustRightInd/>
        <w:snapToGrid/>
        <w:spacing w:line="360" w:lineRule="auto"/>
        <w:ind w:left="0" w:leftChars="0" w:firstLine="420"/>
        <w:contextualSpacing/>
        <w:textAlignment w:val="auto"/>
        <w:outlineLvl w:val="9"/>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6.评审依据</w:t>
      </w:r>
    </w:p>
    <w:p>
      <w:pPr>
        <w:keepNext w:val="0"/>
        <w:keepLines w:val="0"/>
        <w:pageBreakBefore w:val="0"/>
        <w:widowControl w:val="0"/>
        <w:shd w:val="clear"/>
        <w:tabs>
          <w:tab w:val="left" w:pos="7095"/>
        </w:tabs>
        <w:kinsoku/>
        <w:wordWrap/>
        <w:overflowPunct/>
        <w:topLinePunct w:val="0"/>
        <w:bidi w:val="0"/>
        <w:adjustRightInd/>
        <w:snapToGrid/>
        <w:spacing w:line="360" w:lineRule="auto"/>
        <w:ind w:left="0" w:leftChars="0" w:firstLine="420"/>
        <w:contextualSpacing/>
        <w:textAlignment w:val="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6.1全流程电子化交易（不见面谈判）项目，谈判小组以成功上传、解密的电子响应文件为依据评审。</w:t>
      </w:r>
    </w:p>
    <w:p>
      <w:pPr>
        <w:keepNext w:val="0"/>
        <w:keepLines w:val="0"/>
        <w:pageBreakBefore w:val="0"/>
        <w:widowControl w:val="0"/>
        <w:shd w:val="clear"/>
        <w:tabs>
          <w:tab w:val="left" w:pos="7095"/>
        </w:tabs>
        <w:kinsoku/>
        <w:wordWrap/>
        <w:overflowPunct/>
        <w:topLinePunct w:val="0"/>
        <w:bidi w:val="0"/>
        <w:adjustRightInd/>
        <w:snapToGrid/>
        <w:spacing w:line="360" w:lineRule="auto"/>
        <w:ind w:left="0" w:leftChars="0" w:firstLine="420"/>
        <w:contextualSpacing/>
        <w:textAlignment w:val="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6.2 评审期间，供应商应保持通讯手机畅通，并根据谈判小组要求在规定时间内提供：</w:t>
      </w:r>
    </w:p>
    <w:p>
      <w:pPr>
        <w:keepNext w:val="0"/>
        <w:keepLines w:val="0"/>
        <w:pageBreakBefore w:val="0"/>
        <w:widowControl w:val="0"/>
        <w:shd w:val="clear"/>
        <w:tabs>
          <w:tab w:val="left" w:pos="7095"/>
        </w:tabs>
        <w:kinsoku/>
        <w:wordWrap/>
        <w:overflowPunct/>
        <w:topLinePunct w:val="0"/>
        <w:bidi w:val="0"/>
        <w:adjustRightInd/>
        <w:snapToGrid/>
        <w:spacing w:line="360" w:lineRule="auto"/>
        <w:ind w:left="0" w:leftChars="0" w:firstLine="420"/>
        <w:contextualSpacing/>
        <w:textAlignment w:val="auto"/>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val="en-US" w:eastAsia="zh-CN"/>
        </w:rPr>
        <w:t>6.2.1</w:t>
      </w:r>
      <w:r>
        <w:rPr>
          <w:rFonts w:hint="eastAsia" w:asciiTheme="minorEastAsia" w:hAnsiTheme="minorEastAsia"/>
          <w:color w:val="auto"/>
          <w:sz w:val="24"/>
          <w:szCs w:val="24"/>
          <w:highlight w:val="none"/>
        </w:rPr>
        <w:t>最后报价（加盖公章，或者由法定代表人或其授权的代表签字）；</w:t>
      </w:r>
    </w:p>
    <w:p>
      <w:pPr>
        <w:keepNext w:val="0"/>
        <w:keepLines w:val="0"/>
        <w:pageBreakBefore w:val="0"/>
        <w:widowControl w:val="0"/>
        <w:shd w:val="clear"/>
        <w:kinsoku/>
        <w:wordWrap/>
        <w:overflowPunct/>
        <w:topLinePunct w:val="0"/>
        <w:autoSpaceDE w:val="0"/>
        <w:autoSpaceDN w:val="0"/>
        <w:bidi w:val="0"/>
        <w:adjustRightInd/>
        <w:snapToGrid/>
        <w:spacing w:line="360" w:lineRule="auto"/>
        <w:ind w:left="0" w:leftChars="0" w:firstLine="480" w:firstLineChars="200"/>
        <w:contextualSpacing/>
        <w:textAlignment w:val="auto"/>
        <w:rPr>
          <w:rFonts w:ascii="ˎ̥" w:hAnsi="ˎ̥"/>
          <w:color w:val="auto"/>
          <w:sz w:val="24"/>
          <w:szCs w:val="24"/>
          <w:highlight w:val="none"/>
        </w:rPr>
      </w:pPr>
      <w:r>
        <w:rPr>
          <w:rFonts w:hint="eastAsia" w:ascii="ˎ̥" w:hAnsi="ˎ̥"/>
          <w:color w:val="auto"/>
          <w:sz w:val="24"/>
          <w:szCs w:val="24"/>
          <w:highlight w:val="none"/>
        </w:rPr>
        <w:t>提交方式：供应商须使用</w:t>
      </w:r>
      <w:r>
        <w:rPr>
          <w:rFonts w:ascii="ˎ̥" w:hAnsi="ˎ̥"/>
          <w:color w:val="auto"/>
          <w:sz w:val="24"/>
          <w:szCs w:val="24"/>
          <w:highlight w:val="none"/>
        </w:rPr>
        <w:t>CA数字证书</w:t>
      </w:r>
      <w:r>
        <w:rPr>
          <w:rFonts w:hint="eastAsia" w:ascii="ˎ̥" w:hAnsi="ˎ̥"/>
          <w:color w:val="auto"/>
          <w:sz w:val="24"/>
          <w:szCs w:val="24"/>
          <w:highlight w:val="none"/>
        </w:rPr>
        <w:t>登录</w:t>
      </w:r>
      <w:r>
        <w:rPr>
          <w:rFonts w:hint="eastAsia" w:hAnsi="宋体"/>
          <w:color w:val="auto"/>
          <w:sz w:val="24"/>
          <w:szCs w:val="24"/>
          <w:highlight w:val="none"/>
        </w:rPr>
        <w:t>《全国公共资源交易平台</w:t>
      </w:r>
      <w:r>
        <w:rPr>
          <w:rFonts w:hint="eastAsia" w:hAnsi="宋体"/>
          <w:color w:val="auto"/>
          <w:sz w:val="24"/>
          <w:szCs w:val="24"/>
          <w:highlight w:val="none"/>
          <w:lang w:eastAsia="zh-CN"/>
        </w:rPr>
        <w:t>（</w:t>
      </w:r>
      <w:r>
        <w:rPr>
          <w:rFonts w:hint="eastAsia" w:hAnsi="宋体"/>
          <w:color w:val="auto"/>
          <w:sz w:val="24"/>
          <w:szCs w:val="24"/>
          <w:highlight w:val="none"/>
        </w:rPr>
        <w:t>河南省</w:t>
      </w:r>
      <w:r>
        <w:rPr>
          <w:rFonts w:hint="eastAsia" w:ascii="MS Mincho" w:hAnsi="MS Mincho" w:eastAsia="MS Mincho" w:cs="MS Mincho"/>
          <w:color w:val="auto"/>
          <w:sz w:val="24"/>
          <w:szCs w:val="24"/>
          <w:highlight w:val="none"/>
        </w:rPr>
        <w:t>▪</w:t>
      </w:r>
      <w:r>
        <w:rPr>
          <w:rFonts w:hint="eastAsia" w:ascii="宋体" w:hAnsi="宋体" w:eastAsia="宋体" w:cs="宋体"/>
          <w:color w:val="auto"/>
          <w:sz w:val="24"/>
          <w:szCs w:val="24"/>
          <w:highlight w:val="none"/>
        </w:rPr>
        <w:t>许昌市</w:t>
      </w:r>
      <w:r>
        <w:rPr>
          <w:rFonts w:hint="eastAsia" w:ascii="宋体" w:hAnsi="宋体" w:eastAsia="宋体" w:cs="宋体"/>
          <w:color w:val="auto"/>
          <w:sz w:val="24"/>
          <w:szCs w:val="24"/>
          <w:highlight w:val="none"/>
          <w:lang w:eastAsia="zh-CN"/>
        </w:rPr>
        <w:t>）</w:t>
      </w:r>
      <w:r>
        <w:rPr>
          <w:rFonts w:hint="eastAsia" w:hAnsi="宋体"/>
          <w:color w:val="auto"/>
          <w:sz w:val="24"/>
          <w:szCs w:val="24"/>
          <w:highlight w:val="none"/>
        </w:rPr>
        <w:t>》公共资源交易系统（</w:t>
      </w:r>
      <w:r>
        <w:rPr>
          <w:color w:val="auto"/>
          <w:sz w:val="24"/>
          <w:szCs w:val="24"/>
          <w:highlight w:val="none"/>
        </w:rPr>
        <w:t>http://ggzy.xuchang.gov.cn:8088/ggzy/</w:t>
      </w:r>
      <w:r>
        <w:rPr>
          <w:rFonts w:hint="eastAsia" w:hAnsi="宋体"/>
          <w:color w:val="auto"/>
          <w:sz w:val="24"/>
          <w:szCs w:val="24"/>
          <w:highlight w:val="none"/>
        </w:rPr>
        <w:t>）进行最后报价，</w:t>
      </w:r>
      <w:r>
        <w:rPr>
          <w:rFonts w:hint="eastAsia" w:ascii="ˎ̥" w:hAnsi="ˎ̥"/>
          <w:color w:val="auto"/>
          <w:sz w:val="24"/>
          <w:szCs w:val="24"/>
          <w:highlight w:val="none"/>
        </w:rPr>
        <w:t>最后报价应包括：</w:t>
      </w:r>
      <w:r>
        <w:rPr>
          <w:rFonts w:hint="eastAsia" w:asciiTheme="minorEastAsia" w:hAnsiTheme="minorEastAsia"/>
          <w:color w:val="auto"/>
          <w:sz w:val="24"/>
          <w:szCs w:val="24"/>
          <w:highlight w:val="none"/>
        </w:rPr>
        <w:t>①总报价</w:t>
      </w:r>
      <w:r>
        <w:rPr>
          <w:rFonts w:hint="eastAsia" w:ascii="宋体" w:hAnsi="宋体" w:eastAsia="宋体"/>
          <w:color w:val="auto"/>
          <w:sz w:val="24"/>
          <w:szCs w:val="24"/>
          <w:highlight w:val="none"/>
        </w:rPr>
        <w:t>②</w:t>
      </w:r>
      <w:r>
        <w:rPr>
          <w:rFonts w:hint="eastAsia" w:ascii="ˎ̥" w:hAnsi="ˎ̥"/>
          <w:color w:val="auto"/>
          <w:sz w:val="24"/>
          <w:szCs w:val="24"/>
          <w:highlight w:val="none"/>
        </w:rPr>
        <w:t>分项报价。</w:t>
      </w:r>
    </w:p>
    <w:p>
      <w:pPr>
        <w:keepNext w:val="0"/>
        <w:keepLines w:val="0"/>
        <w:pageBreakBefore w:val="0"/>
        <w:widowControl w:val="0"/>
        <w:shd w:val="clear"/>
        <w:tabs>
          <w:tab w:val="left" w:pos="7095"/>
        </w:tabs>
        <w:kinsoku/>
        <w:wordWrap/>
        <w:overflowPunct/>
        <w:topLinePunct w:val="0"/>
        <w:bidi w:val="0"/>
        <w:adjustRightInd/>
        <w:snapToGrid/>
        <w:spacing w:line="360" w:lineRule="auto"/>
        <w:ind w:left="0" w:leftChars="0" w:firstLine="420"/>
        <w:contextualSpacing/>
        <w:textAlignment w:val="auto"/>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注：</w:t>
      </w:r>
    </w:p>
    <w:p>
      <w:pPr>
        <w:keepNext w:val="0"/>
        <w:keepLines w:val="0"/>
        <w:pageBreakBefore w:val="0"/>
        <w:widowControl w:val="0"/>
        <w:shd w:val="clear"/>
        <w:tabs>
          <w:tab w:val="left" w:pos="7095"/>
        </w:tabs>
        <w:kinsoku/>
        <w:wordWrap/>
        <w:overflowPunct/>
        <w:topLinePunct w:val="0"/>
        <w:bidi w:val="0"/>
        <w:adjustRightInd/>
        <w:snapToGrid/>
        <w:spacing w:line="360" w:lineRule="auto"/>
        <w:ind w:left="0" w:leftChars="0" w:firstLine="420"/>
        <w:contextualSpacing/>
        <w:textAlignment w:val="auto"/>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lang w:val="en-US" w:eastAsia="zh-CN"/>
        </w:rPr>
        <w:t>A .</w:t>
      </w:r>
      <w:r>
        <w:rPr>
          <w:rFonts w:hint="eastAsia" w:asciiTheme="minorEastAsia" w:hAnsiTheme="minorEastAsia"/>
          <w:color w:val="auto"/>
          <w:sz w:val="24"/>
          <w:szCs w:val="24"/>
          <w:highlight w:val="none"/>
        </w:rPr>
        <w:t>在谈判小组规定时间内，供应商未提交最后报价</w:t>
      </w:r>
      <w:r>
        <w:rPr>
          <w:rFonts w:hint="eastAsia" w:asciiTheme="minorEastAsia" w:hAnsiTheme="minorEastAsia"/>
          <w:color w:val="auto"/>
          <w:sz w:val="24"/>
          <w:szCs w:val="24"/>
          <w:highlight w:val="none"/>
          <w:lang w:eastAsia="zh-CN"/>
        </w:rPr>
        <w:t>的，</w:t>
      </w:r>
      <w:r>
        <w:rPr>
          <w:rFonts w:hint="eastAsia" w:asciiTheme="minorEastAsia" w:hAnsiTheme="minorEastAsia"/>
          <w:color w:val="auto"/>
          <w:sz w:val="24"/>
          <w:szCs w:val="24"/>
          <w:highlight w:val="none"/>
        </w:rPr>
        <w:t>则以其</w:t>
      </w:r>
      <w:r>
        <w:rPr>
          <w:rFonts w:hint="eastAsia" w:asciiTheme="minorEastAsia" w:hAnsiTheme="minorEastAsia"/>
          <w:color w:val="auto"/>
          <w:sz w:val="24"/>
          <w:szCs w:val="24"/>
          <w:highlight w:val="none"/>
          <w:lang w:eastAsia="zh-CN"/>
        </w:rPr>
        <w:t>前</w:t>
      </w:r>
      <w:r>
        <w:rPr>
          <w:rFonts w:hint="eastAsia" w:asciiTheme="minorEastAsia" w:hAnsiTheme="minorEastAsia"/>
          <w:color w:val="auto"/>
          <w:sz w:val="24"/>
          <w:szCs w:val="24"/>
          <w:highlight w:val="none"/>
        </w:rPr>
        <w:t>次提交</w:t>
      </w:r>
      <w:r>
        <w:rPr>
          <w:rFonts w:hint="eastAsia" w:asciiTheme="minorEastAsia" w:hAnsiTheme="minorEastAsia"/>
          <w:color w:val="auto"/>
          <w:sz w:val="24"/>
          <w:szCs w:val="24"/>
          <w:highlight w:val="none"/>
          <w:lang w:eastAsia="zh-CN"/>
        </w:rPr>
        <w:t>的</w:t>
      </w:r>
      <w:r>
        <w:rPr>
          <w:rFonts w:hint="eastAsia" w:asciiTheme="minorEastAsia" w:hAnsiTheme="minorEastAsia"/>
          <w:color w:val="auto"/>
          <w:sz w:val="24"/>
          <w:szCs w:val="24"/>
          <w:highlight w:val="none"/>
        </w:rPr>
        <w:t>响应文件报价为最后报价。</w:t>
      </w:r>
    </w:p>
    <w:p>
      <w:pPr>
        <w:keepNext w:val="0"/>
        <w:keepLines w:val="0"/>
        <w:pageBreakBefore w:val="0"/>
        <w:widowControl w:val="0"/>
        <w:shd w:val="clear"/>
        <w:tabs>
          <w:tab w:val="left" w:pos="7095"/>
        </w:tabs>
        <w:kinsoku/>
        <w:wordWrap/>
        <w:overflowPunct/>
        <w:topLinePunct w:val="0"/>
        <w:bidi w:val="0"/>
        <w:adjustRightInd/>
        <w:snapToGrid/>
        <w:spacing w:line="360" w:lineRule="auto"/>
        <w:ind w:left="0" w:leftChars="0" w:firstLine="420"/>
        <w:contextualSpacing/>
        <w:textAlignment w:val="auto"/>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val="en-US" w:eastAsia="zh-CN"/>
        </w:rPr>
        <w:t>B .</w:t>
      </w:r>
      <w:r>
        <w:rPr>
          <w:rFonts w:hint="eastAsia" w:asciiTheme="minorEastAsia" w:hAnsiTheme="minorEastAsia"/>
          <w:color w:val="auto"/>
          <w:sz w:val="24"/>
          <w:szCs w:val="24"/>
          <w:highlight w:val="none"/>
        </w:rPr>
        <w:t>谈判文件第二章“采购需求”中“采购清单”以工程量清单</w:t>
      </w:r>
      <w:r>
        <w:rPr>
          <w:rFonts w:hint="eastAsia" w:asciiTheme="minorEastAsia" w:hAnsiTheme="minorEastAsia"/>
          <w:color w:val="auto"/>
          <w:sz w:val="24"/>
          <w:szCs w:val="24"/>
          <w:highlight w:val="none"/>
          <w:lang w:eastAsia="zh-CN"/>
        </w:rPr>
        <w:t>形式</w:t>
      </w:r>
      <w:r>
        <w:rPr>
          <w:rFonts w:hint="eastAsia" w:asciiTheme="minorEastAsia" w:hAnsiTheme="minorEastAsia"/>
          <w:color w:val="auto"/>
          <w:sz w:val="24"/>
          <w:szCs w:val="24"/>
          <w:highlight w:val="none"/>
        </w:rPr>
        <w:t>提供的，供应商应以工程量清单</w:t>
      </w:r>
      <w:r>
        <w:rPr>
          <w:rFonts w:hint="eastAsia" w:asciiTheme="minorEastAsia" w:hAnsiTheme="minorEastAsia"/>
          <w:color w:val="auto"/>
          <w:sz w:val="24"/>
          <w:szCs w:val="24"/>
          <w:highlight w:val="none"/>
          <w:lang w:eastAsia="zh-CN"/>
        </w:rPr>
        <w:t>形式</w:t>
      </w:r>
      <w:r>
        <w:rPr>
          <w:rFonts w:hint="eastAsia" w:asciiTheme="minorEastAsia" w:hAnsiTheme="minorEastAsia"/>
          <w:color w:val="auto"/>
          <w:sz w:val="24"/>
          <w:szCs w:val="24"/>
          <w:highlight w:val="none"/>
        </w:rPr>
        <w:t>提交最后报价。</w:t>
      </w:r>
    </w:p>
    <w:p>
      <w:pPr>
        <w:keepNext w:val="0"/>
        <w:keepLines w:val="0"/>
        <w:pageBreakBefore w:val="0"/>
        <w:widowControl w:val="0"/>
        <w:shd w:val="clear"/>
        <w:tabs>
          <w:tab w:val="left" w:pos="7095"/>
        </w:tabs>
        <w:kinsoku/>
        <w:wordWrap/>
        <w:overflowPunct/>
        <w:topLinePunct w:val="0"/>
        <w:bidi w:val="0"/>
        <w:adjustRightInd/>
        <w:snapToGrid/>
        <w:spacing w:line="360" w:lineRule="auto"/>
        <w:ind w:left="0" w:leftChars="0" w:firstLine="480" w:firstLineChars="200"/>
        <w:contextualSpacing/>
        <w:textAlignment w:val="auto"/>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val="en-US" w:eastAsia="zh-CN"/>
        </w:rPr>
        <w:t>C.</w:t>
      </w:r>
      <w:r>
        <w:rPr>
          <w:rFonts w:hint="eastAsia" w:asciiTheme="minorEastAsia" w:hAnsiTheme="minorEastAsia"/>
          <w:color w:val="auto"/>
          <w:sz w:val="24"/>
          <w:szCs w:val="24"/>
          <w:highlight w:val="none"/>
        </w:rPr>
        <w:t>供应商</w:t>
      </w:r>
      <w:r>
        <w:rPr>
          <w:rFonts w:hint="eastAsia" w:asciiTheme="minorEastAsia" w:hAnsiTheme="minorEastAsia"/>
          <w:color w:val="auto"/>
          <w:sz w:val="24"/>
          <w:szCs w:val="24"/>
          <w:highlight w:val="none"/>
          <w:lang w:eastAsia="zh-CN"/>
        </w:rPr>
        <w:t>可</w:t>
      </w:r>
      <w:r>
        <w:rPr>
          <w:rFonts w:hint="eastAsia" w:asciiTheme="minorEastAsia" w:hAnsiTheme="minorEastAsia"/>
          <w:color w:val="auto"/>
          <w:sz w:val="24"/>
          <w:szCs w:val="24"/>
          <w:highlight w:val="none"/>
        </w:rPr>
        <w:t>根据项目情况，提前准备分项报价。</w:t>
      </w:r>
    </w:p>
    <w:p>
      <w:pPr>
        <w:keepNext w:val="0"/>
        <w:keepLines w:val="0"/>
        <w:pageBreakBefore w:val="0"/>
        <w:widowControl w:val="0"/>
        <w:shd w:val="clear"/>
        <w:tabs>
          <w:tab w:val="left" w:pos="7095"/>
        </w:tabs>
        <w:kinsoku/>
        <w:wordWrap/>
        <w:overflowPunct/>
        <w:topLinePunct w:val="0"/>
        <w:bidi w:val="0"/>
        <w:adjustRightInd/>
        <w:snapToGrid/>
        <w:spacing w:line="360" w:lineRule="auto"/>
        <w:ind w:left="0" w:leftChars="0" w:firstLine="480" w:firstLineChars="200"/>
        <w:contextualSpacing/>
        <w:textAlignment w:val="auto"/>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val="en-US" w:eastAsia="zh-CN"/>
        </w:rPr>
        <w:t xml:space="preserve">6.2.2 </w:t>
      </w:r>
      <w:r>
        <w:rPr>
          <w:rFonts w:hint="eastAsia" w:asciiTheme="minorEastAsia" w:hAnsiTheme="minorEastAsia"/>
          <w:color w:val="auto"/>
          <w:sz w:val="24"/>
          <w:szCs w:val="24"/>
          <w:highlight w:val="none"/>
        </w:rPr>
        <w:t>谈判小组如要求供应商提供“澄清、说明或者更正”</w:t>
      </w:r>
      <w:r>
        <w:rPr>
          <w:rFonts w:hint="eastAsia" w:asciiTheme="minorEastAsia" w:hAnsiTheme="minorEastAsia"/>
          <w:color w:val="auto"/>
          <w:sz w:val="24"/>
          <w:szCs w:val="24"/>
          <w:highlight w:val="none"/>
          <w:lang w:eastAsia="zh-CN"/>
        </w:rPr>
        <w:t>、</w:t>
      </w:r>
      <w:r>
        <w:rPr>
          <w:rFonts w:hint="eastAsia" w:asciiTheme="minorEastAsia" w:hAnsiTheme="minorEastAsia"/>
          <w:color w:val="auto"/>
          <w:sz w:val="24"/>
          <w:szCs w:val="24"/>
          <w:highlight w:val="none"/>
        </w:rPr>
        <w:t>“按照谈判文件的变动情况和谈判小组的要求重新提交响应文件”</w:t>
      </w:r>
      <w:r>
        <w:rPr>
          <w:rFonts w:hint="eastAsia" w:asciiTheme="minorEastAsia" w:hAnsiTheme="minorEastAsia"/>
          <w:color w:val="auto"/>
          <w:sz w:val="24"/>
          <w:szCs w:val="24"/>
          <w:highlight w:val="none"/>
          <w:lang w:eastAsia="zh-CN"/>
        </w:rPr>
        <w:t>等</w:t>
      </w:r>
      <w:r>
        <w:rPr>
          <w:rFonts w:hint="eastAsia" w:asciiTheme="minorEastAsia" w:hAnsiTheme="minorEastAsia"/>
          <w:color w:val="auto"/>
          <w:sz w:val="24"/>
          <w:szCs w:val="24"/>
          <w:highlight w:val="none"/>
        </w:rPr>
        <w:t>，供应商提供的书面材料应加盖公章，或者由法定代表人或其授权的代表签字后通过电子邮件形式</w:t>
      </w:r>
      <w:r>
        <w:rPr>
          <w:rFonts w:hint="eastAsia" w:asciiTheme="minorEastAsia" w:hAnsiTheme="minorEastAsia"/>
          <w:color w:val="auto"/>
          <w:sz w:val="24"/>
          <w:szCs w:val="24"/>
          <w:highlight w:val="none"/>
          <w:lang w:eastAsia="zh-CN"/>
        </w:rPr>
        <w:t>在规定时间内发至采购代理机构邮箱</w:t>
      </w:r>
      <w:r>
        <w:rPr>
          <w:rFonts w:hint="eastAsia" w:asciiTheme="minorEastAsia" w:hAnsiTheme="minorEastAsia"/>
          <w:color w:val="auto"/>
          <w:sz w:val="24"/>
          <w:szCs w:val="24"/>
          <w:highlight w:val="none"/>
        </w:rPr>
        <w:t>。</w:t>
      </w:r>
    </w:p>
    <w:p>
      <w:pPr>
        <w:keepNext w:val="0"/>
        <w:keepLines w:val="0"/>
        <w:pageBreakBefore w:val="0"/>
        <w:widowControl w:val="0"/>
        <w:kinsoku/>
        <w:wordWrap/>
        <w:overflowPunct/>
        <w:topLinePunct w:val="0"/>
        <w:bidi w:val="0"/>
        <w:adjustRightInd/>
        <w:snapToGrid/>
        <w:spacing w:line="360" w:lineRule="auto"/>
        <w:ind w:left="0" w:leftChars="0" w:firstLine="2168" w:firstLineChars="900"/>
        <w:jc w:val="both"/>
        <w:textAlignment w:val="auto"/>
        <w:rPr>
          <w:rFonts w:hint="eastAsia" w:ascii="宋体" w:hAnsi="宋体" w:eastAsia="宋体" w:cs="宋体"/>
          <w:b/>
          <w:color w:val="auto"/>
          <w:kern w:val="0"/>
          <w:sz w:val="24"/>
          <w:szCs w:val="24"/>
          <w:highlight w:val="none"/>
        </w:rPr>
      </w:pPr>
    </w:p>
    <w:p>
      <w:pPr>
        <w:pStyle w:val="30"/>
        <w:keepNext w:val="0"/>
        <w:keepLines w:val="0"/>
        <w:pageBreakBefore w:val="0"/>
        <w:widowControl w:val="0"/>
        <w:kinsoku/>
        <w:wordWrap/>
        <w:overflowPunct/>
        <w:topLinePunct w:val="0"/>
        <w:bidi w:val="0"/>
        <w:adjustRightInd/>
        <w:snapToGrid/>
        <w:spacing w:line="360" w:lineRule="auto"/>
        <w:ind w:left="0" w:leftChars="0"/>
        <w:textAlignment w:val="auto"/>
        <w:rPr>
          <w:rFonts w:hint="eastAsia" w:ascii="宋体" w:hAnsi="宋体" w:eastAsia="宋体" w:cs="宋体"/>
          <w:b/>
          <w:color w:val="auto"/>
          <w:kern w:val="0"/>
          <w:sz w:val="24"/>
          <w:szCs w:val="24"/>
          <w:highlight w:val="none"/>
        </w:rPr>
      </w:pPr>
    </w:p>
    <w:p>
      <w:pPr>
        <w:pStyle w:val="30"/>
        <w:keepNext w:val="0"/>
        <w:keepLines w:val="0"/>
        <w:pageBreakBefore w:val="0"/>
        <w:widowControl w:val="0"/>
        <w:kinsoku/>
        <w:wordWrap/>
        <w:overflowPunct/>
        <w:topLinePunct w:val="0"/>
        <w:bidi w:val="0"/>
        <w:adjustRightInd/>
        <w:snapToGrid/>
        <w:spacing w:line="360" w:lineRule="auto"/>
        <w:ind w:left="0" w:leftChars="0"/>
        <w:textAlignment w:val="auto"/>
        <w:rPr>
          <w:rFonts w:hint="eastAsia" w:ascii="宋体" w:hAnsi="宋体" w:eastAsia="宋体" w:cs="宋体"/>
          <w:b/>
          <w:color w:val="auto"/>
          <w:kern w:val="0"/>
          <w:sz w:val="24"/>
          <w:szCs w:val="24"/>
          <w:highlight w:val="none"/>
        </w:rPr>
      </w:pPr>
    </w:p>
    <w:p>
      <w:pPr>
        <w:pStyle w:val="30"/>
        <w:rPr>
          <w:rFonts w:hint="eastAsia" w:ascii="宋体" w:hAnsi="宋体" w:eastAsia="宋体" w:cs="宋体"/>
          <w:b/>
          <w:color w:val="auto"/>
          <w:kern w:val="0"/>
          <w:sz w:val="24"/>
          <w:szCs w:val="24"/>
          <w:highlight w:val="none"/>
        </w:rPr>
      </w:pPr>
    </w:p>
    <w:p>
      <w:pPr>
        <w:pStyle w:val="30"/>
        <w:rPr>
          <w:rFonts w:hint="eastAsia" w:ascii="宋体" w:hAnsi="宋体" w:eastAsia="宋体" w:cs="宋体"/>
          <w:b/>
          <w:color w:val="auto"/>
          <w:kern w:val="0"/>
          <w:sz w:val="24"/>
          <w:szCs w:val="24"/>
          <w:highlight w:val="none"/>
        </w:rPr>
      </w:pPr>
    </w:p>
    <w:p>
      <w:pPr>
        <w:pStyle w:val="30"/>
        <w:rPr>
          <w:rFonts w:hint="eastAsia" w:ascii="宋体" w:hAnsi="宋体" w:eastAsia="宋体" w:cs="宋体"/>
          <w:b/>
          <w:color w:val="auto"/>
          <w:kern w:val="0"/>
          <w:sz w:val="24"/>
          <w:szCs w:val="24"/>
          <w:highlight w:val="none"/>
        </w:rPr>
      </w:pPr>
    </w:p>
    <w:p>
      <w:pPr>
        <w:pStyle w:val="30"/>
        <w:rPr>
          <w:rFonts w:hint="eastAsia" w:ascii="宋体" w:hAnsi="宋体" w:eastAsia="宋体" w:cs="宋体"/>
          <w:b/>
          <w:color w:val="auto"/>
          <w:kern w:val="0"/>
          <w:sz w:val="24"/>
          <w:szCs w:val="24"/>
          <w:highlight w:val="none"/>
        </w:rPr>
      </w:pPr>
    </w:p>
    <w:p>
      <w:pPr>
        <w:pStyle w:val="30"/>
        <w:rPr>
          <w:rFonts w:hint="eastAsia" w:ascii="宋体" w:hAnsi="宋体" w:eastAsia="宋体" w:cs="宋体"/>
          <w:b/>
          <w:color w:val="auto"/>
          <w:kern w:val="0"/>
          <w:sz w:val="24"/>
          <w:szCs w:val="24"/>
          <w:highlight w:val="none"/>
        </w:rPr>
      </w:pPr>
    </w:p>
    <w:p>
      <w:pPr>
        <w:pStyle w:val="30"/>
        <w:ind w:left="0" w:leftChars="0" w:firstLine="0" w:firstLineChars="0"/>
        <w:rPr>
          <w:rFonts w:hint="eastAsia" w:ascii="宋体" w:hAnsi="宋体" w:eastAsia="宋体" w:cs="宋体"/>
          <w:b/>
          <w:color w:val="auto"/>
          <w:kern w:val="0"/>
          <w:sz w:val="24"/>
          <w:szCs w:val="24"/>
          <w:highlight w:val="none"/>
        </w:rPr>
      </w:pPr>
    </w:p>
    <w:p>
      <w:pPr>
        <w:pStyle w:val="2"/>
        <w:keepNext/>
        <w:keepLines/>
        <w:pageBreakBefore w:val="0"/>
        <w:widowControl w:val="0"/>
        <w:kinsoku/>
        <w:wordWrap/>
        <w:overflowPunct/>
        <w:topLinePunct w:val="0"/>
        <w:autoSpaceDE/>
        <w:autoSpaceDN/>
        <w:bidi w:val="0"/>
        <w:adjustRightInd w:val="0"/>
        <w:snapToGrid/>
        <w:spacing w:before="0" w:after="0" w:line="360" w:lineRule="auto"/>
        <w:ind w:firstLine="0"/>
        <w:jc w:val="center"/>
        <w:textAlignment w:val="baseline"/>
        <w:outlineLvl w:val="0"/>
        <w:rPr>
          <w:rFonts w:hint="eastAsia"/>
          <w:color w:val="auto"/>
          <w:sz w:val="32"/>
          <w:szCs w:val="32"/>
          <w:highlight w:val="none"/>
          <w:lang w:val="en-US" w:eastAsia="zh-CN"/>
        </w:rPr>
      </w:pPr>
      <w:r>
        <w:rPr>
          <w:rFonts w:hint="eastAsia"/>
          <w:color w:val="auto"/>
          <w:sz w:val="32"/>
          <w:szCs w:val="32"/>
          <w:highlight w:val="none"/>
          <w:lang w:val="en-US" w:eastAsia="zh-CN"/>
        </w:rPr>
        <w:t xml:space="preserve"> 采购需求</w:t>
      </w:r>
    </w:p>
    <w:p>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outlineLvl w:val="1"/>
        <w:rPr>
          <w:rFonts w:hint="eastAsia"/>
          <w:b/>
          <w:bCs/>
          <w:color w:val="auto"/>
          <w:sz w:val="24"/>
          <w:szCs w:val="24"/>
          <w:highlight w:val="none"/>
          <w:lang w:val="zh-CN" w:eastAsia="zh-CN"/>
        </w:rPr>
      </w:pPr>
      <w:r>
        <w:rPr>
          <w:rFonts w:hint="eastAsia"/>
          <w:b/>
          <w:bCs/>
          <w:color w:val="auto"/>
          <w:sz w:val="24"/>
          <w:szCs w:val="24"/>
          <w:highlight w:val="none"/>
          <w:lang w:val="zh-CN"/>
        </w:rPr>
        <w:t>一、</w:t>
      </w:r>
      <w:r>
        <w:rPr>
          <w:rFonts w:hint="eastAsia"/>
          <w:b/>
          <w:bCs/>
          <w:color w:val="auto"/>
          <w:sz w:val="24"/>
          <w:szCs w:val="24"/>
          <w:highlight w:val="none"/>
          <w:lang w:val="zh-CN" w:eastAsia="zh-CN"/>
        </w:rPr>
        <w:t>本项目需要实现的功能或目标</w:t>
      </w:r>
    </w:p>
    <w:p>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color w:val="auto"/>
          <w:kern w:val="0"/>
          <w:sz w:val="24"/>
          <w:szCs w:val="24"/>
          <w:highlight w:val="none"/>
          <w:lang w:val="en-US"/>
        </w:rPr>
      </w:pPr>
      <w:r>
        <w:rPr>
          <w:rFonts w:hint="eastAsia" w:ascii="宋体" w:hAnsi="宋体" w:eastAsia="宋体" w:cs="宋体"/>
          <w:color w:val="auto"/>
          <w:sz w:val="24"/>
          <w:szCs w:val="24"/>
          <w:highlight w:val="none"/>
          <w:shd w:val="clear" w:color="auto" w:fill="FFFFFF"/>
          <w:lang w:eastAsia="zh-CN"/>
        </w:rPr>
        <w:t>为禹州市教育体育局禹州市实验学校维修改造项目优选一名合格的施工单位，并为本项目提供施工建设服务</w:t>
      </w:r>
      <w:r>
        <w:rPr>
          <w:rFonts w:hint="eastAsia" w:ascii="宋体" w:hAnsi="宋体" w:eastAsia="宋体" w:cs="宋体"/>
          <w:color w:val="auto"/>
          <w:kern w:val="0"/>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outlineLvl w:val="1"/>
        <w:rPr>
          <w:rFonts w:hint="eastAsia"/>
          <w:b/>
          <w:bCs/>
          <w:color w:val="auto"/>
          <w:sz w:val="24"/>
          <w:szCs w:val="24"/>
          <w:highlight w:val="none"/>
          <w:lang w:val="en-US" w:eastAsia="zh-CN"/>
        </w:rPr>
      </w:pPr>
      <w:r>
        <w:rPr>
          <w:rFonts w:hint="eastAsia"/>
          <w:b/>
          <w:bCs/>
          <w:color w:val="auto"/>
          <w:sz w:val="24"/>
          <w:szCs w:val="24"/>
          <w:highlight w:val="none"/>
          <w:lang w:val="zh-CN"/>
        </w:rPr>
        <w:t>二、采购内容</w:t>
      </w: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360" w:lineRule="auto"/>
        <w:ind w:left="0" w:leftChars="0" w:firstLine="480" w:firstLineChars="200"/>
        <w:contextualSpacing/>
        <w:jc w:val="left"/>
        <w:textAlignment w:val="auto"/>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详见本谈判文件附件（</w:t>
      </w:r>
      <w:r>
        <w:rPr>
          <w:rFonts w:hint="eastAsia" w:ascii="宋体" w:hAnsi="宋体" w:eastAsia="宋体" w:cs="宋体"/>
          <w:color w:val="auto"/>
          <w:sz w:val="24"/>
          <w:szCs w:val="24"/>
          <w:highlight w:val="none"/>
          <w:shd w:val="clear" w:color="auto" w:fill="FFFFFF"/>
          <w:lang w:eastAsia="zh-CN"/>
        </w:rPr>
        <w:t>禹州市教育体育局禹州市实验学校维修改造项目</w:t>
      </w:r>
      <w:r>
        <w:rPr>
          <w:rFonts w:hint="eastAsia" w:ascii="宋体" w:hAnsi="宋体" w:eastAsia="宋体" w:cs="宋体"/>
          <w:color w:val="auto"/>
          <w:sz w:val="24"/>
          <w:szCs w:val="24"/>
          <w:highlight w:val="none"/>
          <w:shd w:val="clear" w:color="auto" w:fill="FFFFFF"/>
          <w:lang w:val="en-US" w:eastAsia="zh-CN"/>
        </w:rPr>
        <w:t>工程</w:t>
      </w:r>
      <w:r>
        <w:rPr>
          <w:rFonts w:hint="eastAsia" w:ascii="宋体" w:hAnsi="宋体" w:eastAsia="宋体" w:cs="宋体"/>
          <w:color w:val="auto"/>
          <w:kern w:val="0"/>
          <w:sz w:val="24"/>
          <w:szCs w:val="24"/>
          <w:highlight w:val="none"/>
          <w:lang w:val="en-US" w:eastAsia="zh-CN"/>
        </w:rPr>
        <w:t>量清单及图纸）</w:t>
      </w:r>
    </w:p>
    <w:p>
      <w:pPr>
        <w:pStyle w:val="30"/>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2" w:firstLineChars="200"/>
        <w:textAlignment w:val="auto"/>
        <w:outlineLvl w:val="9"/>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注：若图纸、工程量清单不一致时，以工程量清单为准。</w:t>
      </w:r>
    </w:p>
    <w:p>
      <w:pPr>
        <w:pStyle w:val="30"/>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2" w:firstLineChars="200"/>
        <w:textAlignment w:val="auto"/>
        <w:outlineLvl w:val="9"/>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本采购清单中所列技术规格或主要参数为最低要求，不允许负偏离，否则将承担其响应被视为非实质性响应的风险。</w:t>
      </w:r>
    </w:p>
    <w:p>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outlineLvl w:val="1"/>
        <w:rPr>
          <w:rFonts w:hint="eastAsia"/>
          <w:b/>
          <w:bCs/>
          <w:color w:val="auto"/>
          <w:sz w:val="24"/>
          <w:szCs w:val="24"/>
          <w:highlight w:val="none"/>
          <w:lang w:val="zh-CN"/>
        </w:rPr>
      </w:pPr>
      <w:r>
        <w:rPr>
          <w:rFonts w:hint="eastAsia"/>
          <w:b/>
          <w:bCs/>
          <w:color w:val="auto"/>
          <w:sz w:val="24"/>
          <w:szCs w:val="24"/>
          <w:highlight w:val="none"/>
          <w:lang w:val="en-US" w:eastAsia="zh-CN"/>
        </w:rPr>
        <w:t xml:space="preserve">三、技术要求 </w:t>
      </w:r>
    </w:p>
    <w:p>
      <w:pPr>
        <w:keepNext w:val="0"/>
        <w:keepLines w:val="0"/>
        <w:pageBreakBefore w:val="0"/>
        <w:widowControl/>
        <w:suppressLineNumbers w:val="0"/>
        <w:kinsoku/>
        <w:wordWrap/>
        <w:overflowPunct/>
        <w:topLinePunct w:val="0"/>
        <w:autoSpaceDE/>
        <w:autoSpaceDN/>
        <w:bidi w:val="0"/>
        <w:adjustRightInd/>
        <w:snapToGrid/>
        <w:spacing w:line="360" w:lineRule="auto"/>
        <w:ind w:left="0" w:firstLine="482" w:firstLineChars="200"/>
        <w:jc w:val="left"/>
        <w:textAlignment w:val="auto"/>
        <w:outlineLvl w:val="9"/>
        <w:rPr>
          <w:color w:val="auto"/>
          <w:sz w:val="24"/>
          <w:szCs w:val="24"/>
          <w:highlight w:val="none"/>
        </w:rPr>
      </w:pPr>
      <w:r>
        <w:rPr>
          <w:rFonts w:hint="eastAsia" w:ascii="宋体" w:hAnsi="宋体" w:eastAsia="宋体" w:cs="宋体"/>
          <w:b/>
          <w:bCs/>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 xml:space="preserve">1.响应报价编制依据及要求 </w:t>
      </w:r>
    </w:p>
    <w:p>
      <w:pPr>
        <w:keepNext w:val="0"/>
        <w:keepLines w:val="0"/>
        <w:pageBreakBefore w:val="0"/>
        <w:numPr>
          <w:ilvl w:val="0"/>
          <w:numId w:val="7"/>
        </w:numPr>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《建设</w:t>
      </w:r>
      <w:r>
        <w:rPr>
          <w:rFonts w:hint="eastAsia" w:ascii="宋体" w:hAnsi="宋体" w:eastAsia="宋体" w:cs="宋体"/>
          <w:color w:val="auto"/>
          <w:sz w:val="24"/>
          <w:szCs w:val="24"/>
          <w:highlight w:val="none"/>
          <w:lang w:eastAsia="zh-CN"/>
        </w:rPr>
        <w:t>工程工程</w:t>
      </w:r>
      <w:r>
        <w:rPr>
          <w:rFonts w:hint="eastAsia" w:ascii="宋体" w:hAnsi="宋体" w:eastAsia="宋体" w:cs="宋体"/>
          <w:color w:val="auto"/>
          <w:sz w:val="24"/>
          <w:szCs w:val="24"/>
          <w:highlight w:val="none"/>
        </w:rPr>
        <w:t>量清单计价规范》（GB50500-2013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、《河南省房屋建筑与装饰工程预算定额》（HA 01-31-2016）和</w:t>
      </w:r>
      <w:r>
        <w:rPr>
          <w:rFonts w:hint="eastAsia" w:ascii="宋体" w:hAnsi="宋体" w:eastAsia="宋体" w:cs="宋体"/>
          <w:color w:val="auto"/>
          <w:spacing w:val="2"/>
          <w:kern w:val="0"/>
          <w:sz w:val="24"/>
          <w:szCs w:val="24"/>
          <w:highlight w:val="none"/>
          <w:lang w:bidi="ar"/>
        </w:rPr>
        <w:t>《河南省通用安装工程预算定额》(HA</w:t>
      </w:r>
      <w:r>
        <w:rPr>
          <w:rFonts w:hint="eastAsia" w:ascii="宋体" w:hAnsi="宋体" w:eastAsia="宋体" w:cs="宋体"/>
          <w:color w:val="auto"/>
          <w:spacing w:val="2"/>
          <w:kern w:val="0"/>
          <w:sz w:val="24"/>
          <w:szCs w:val="24"/>
          <w:highlight w:val="none"/>
          <w:lang w:val="en-US" w:eastAsia="zh-CN" w:bidi="ar"/>
        </w:rPr>
        <w:t xml:space="preserve"> </w:t>
      </w:r>
      <w:r>
        <w:rPr>
          <w:rFonts w:hint="eastAsia" w:ascii="宋体" w:hAnsi="宋体" w:eastAsia="宋体" w:cs="宋体"/>
          <w:color w:val="auto"/>
          <w:spacing w:val="2"/>
          <w:kern w:val="0"/>
          <w:sz w:val="24"/>
          <w:szCs w:val="24"/>
          <w:highlight w:val="none"/>
          <w:lang w:bidi="ar"/>
        </w:rPr>
        <w:t>02-31-2016)</w:t>
      </w:r>
      <w:r>
        <w:rPr>
          <w:rFonts w:hint="eastAsia" w:ascii="宋体" w:hAnsi="宋体" w:eastAsia="宋体" w:cs="宋体"/>
          <w:color w:val="auto"/>
          <w:sz w:val="24"/>
          <w:szCs w:val="24"/>
          <w:highlight w:val="none"/>
        </w:rPr>
        <w:t>；</w:t>
      </w:r>
    </w:p>
    <w:p>
      <w:pPr>
        <w:keepNext w:val="0"/>
        <w:keepLines w:val="0"/>
        <w:pageBreakBefore w:val="0"/>
        <w:numPr>
          <w:ilvl w:val="0"/>
          <w:numId w:val="7"/>
        </w:numPr>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国家或省级、行业建设主管部门颁发的计价办法</w:t>
      </w:r>
      <w:r>
        <w:rPr>
          <w:rFonts w:hint="eastAsia" w:ascii="宋体" w:hAnsi="宋体" w:eastAsia="宋体" w:cs="宋体"/>
          <w:color w:val="auto"/>
          <w:sz w:val="24"/>
          <w:szCs w:val="24"/>
          <w:highlight w:val="none"/>
          <w:lang w:eastAsia="zh-CN"/>
        </w:rPr>
        <w:t>及相关文件</w:t>
      </w:r>
      <w:r>
        <w:rPr>
          <w:rFonts w:hint="eastAsia" w:ascii="宋体" w:hAnsi="宋体" w:eastAsia="宋体" w:cs="宋体"/>
          <w:color w:val="auto"/>
          <w:sz w:val="24"/>
          <w:szCs w:val="24"/>
          <w:highlight w:val="none"/>
        </w:rPr>
        <w:t>；</w:t>
      </w:r>
    </w:p>
    <w:p>
      <w:pPr>
        <w:keepNext w:val="0"/>
        <w:keepLines w:val="0"/>
        <w:pageBreakBefore w:val="0"/>
        <w:numPr>
          <w:ilvl w:val="0"/>
          <w:numId w:val="7"/>
        </w:numPr>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竞争性谈判</w:t>
      </w:r>
      <w:r>
        <w:rPr>
          <w:rFonts w:hint="eastAsia" w:ascii="宋体" w:hAnsi="宋体" w:eastAsia="宋体" w:cs="宋体"/>
          <w:color w:val="auto"/>
          <w:sz w:val="24"/>
          <w:szCs w:val="24"/>
          <w:highlight w:val="none"/>
        </w:rPr>
        <w:t>文件、工程量清单及其补充通知、答疑纪要；</w:t>
      </w:r>
    </w:p>
    <w:p>
      <w:pPr>
        <w:keepNext w:val="0"/>
        <w:keepLines w:val="0"/>
        <w:pageBreakBefore w:val="0"/>
        <w:numPr>
          <w:ilvl w:val="0"/>
          <w:numId w:val="7"/>
        </w:numPr>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建设工程设计文件及相关资料；</w:t>
      </w:r>
    </w:p>
    <w:p>
      <w:pPr>
        <w:keepNext w:val="0"/>
        <w:keepLines w:val="0"/>
        <w:pageBreakBefore w:val="0"/>
        <w:numPr>
          <w:ilvl w:val="0"/>
          <w:numId w:val="7"/>
        </w:numPr>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与建设项目相关的标准、规范等技术资料；</w:t>
      </w:r>
    </w:p>
    <w:p>
      <w:pPr>
        <w:keepNext w:val="0"/>
        <w:keepLines w:val="0"/>
        <w:pageBreakBefore w:val="0"/>
        <w:kinsoku/>
        <w:wordWrap/>
        <w:overflowPunct/>
        <w:topLinePunct w:val="0"/>
        <w:autoSpaceDE/>
        <w:autoSpaceDN/>
        <w:bidi w:val="0"/>
        <w:adjustRightInd/>
        <w:snapToGrid/>
        <w:spacing w:line="360" w:lineRule="auto"/>
        <w:ind w:left="0" w:firstLine="488" w:firstLineChars="200"/>
        <w:textAlignment w:val="auto"/>
        <w:outlineLvl w:val="9"/>
        <w:rPr>
          <w:rFonts w:hint="eastAsia" w:ascii="宋体" w:hAnsi="宋体" w:eastAsia="宋体" w:cs="宋体"/>
          <w:b w:val="0"/>
          <w:bCs w:val="0"/>
          <w:color w:val="auto"/>
          <w:spacing w:val="2"/>
          <w:kern w:val="0"/>
          <w:sz w:val="24"/>
          <w:szCs w:val="24"/>
          <w:highlight w:val="none"/>
          <w:lang w:val="en-US" w:eastAsia="zh-CN" w:bidi="ar"/>
        </w:rPr>
      </w:pPr>
      <w:r>
        <w:rPr>
          <w:rFonts w:hint="eastAsia" w:ascii="宋体" w:hAnsi="宋体" w:eastAsia="宋体" w:cs="宋体"/>
          <w:b w:val="0"/>
          <w:bCs w:val="0"/>
          <w:color w:val="auto"/>
          <w:spacing w:val="2"/>
          <w:kern w:val="0"/>
          <w:sz w:val="24"/>
          <w:szCs w:val="24"/>
          <w:highlight w:val="none"/>
          <w:lang w:val="en-US" w:eastAsia="zh-CN" w:bidi="ar"/>
        </w:rPr>
        <w:t>供应商应依据上述文件规定并结合施工现场情况、工程特点及企业自身的技术与管理水平，以及供应商自己拟定的施工组织设计或施工方案自主报价，但供应商不得以低于其企业成本报价竞标。</w:t>
      </w:r>
    </w:p>
    <w:p>
      <w:pPr>
        <w:keepNext w:val="0"/>
        <w:keepLines w:val="0"/>
        <w:pageBreakBefore w:val="0"/>
        <w:kinsoku/>
        <w:wordWrap/>
        <w:overflowPunct/>
        <w:topLinePunct w:val="0"/>
        <w:autoSpaceDE/>
        <w:autoSpaceDN/>
        <w:bidi w:val="0"/>
        <w:adjustRightInd/>
        <w:snapToGrid/>
        <w:spacing w:line="360" w:lineRule="auto"/>
        <w:ind w:left="0" w:firstLine="488" w:firstLineChars="200"/>
        <w:textAlignment w:val="auto"/>
        <w:outlineLvl w:val="9"/>
        <w:rPr>
          <w:rFonts w:hint="default"/>
          <w:color w:val="auto"/>
          <w:sz w:val="24"/>
          <w:szCs w:val="24"/>
          <w:highlight w:val="none"/>
          <w:lang w:val="en-US" w:eastAsia="zh-CN"/>
        </w:rPr>
      </w:pPr>
      <w:r>
        <w:rPr>
          <w:rFonts w:hint="eastAsia" w:ascii="宋体" w:hAnsi="宋体" w:eastAsia="宋体" w:cs="宋体"/>
          <w:b w:val="0"/>
          <w:bCs w:val="0"/>
          <w:color w:val="auto"/>
          <w:spacing w:val="2"/>
          <w:kern w:val="0"/>
          <w:sz w:val="24"/>
          <w:szCs w:val="24"/>
          <w:highlight w:val="none"/>
          <w:lang w:val="en-US" w:eastAsia="zh-CN" w:bidi="ar"/>
        </w:rPr>
        <w:t>供应商的响应报价应为完成本项目竞</w:t>
      </w:r>
      <w:r>
        <w:rPr>
          <w:rFonts w:hint="eastAsia" w:ascii="宋体" w:hAnsi="宋体" w:eastAsia="宋体" w:cs="宋体"/>
          <w:color w:val="auto"/>
          <w:sz w:val="24"/>
          <w:szCs w:val="24"/>
          <w:highlight w:val="none"/>
          <w:lang w:eastAsia="zh-CN"/>
        </w:rPr>
        <w:t>争性谈判</w:t>
      </w:r>
      <w:r>
        <w:rPr>
          <w:rFonts w:hint="eastAsia" w:ascii="宋体" w:hAnsi="宋体" w:eastAsia="宋体" w:cs="宋体"/>
          <w:color w:val="auto"/>
          <w:sz w:val="24"/>
          <w:szCs w:val="24"/>
          <w:highlight w:val="none"/>
        </w:rPr>
        <w:t>文件、设计图纸</w:t>
      </w:r>
      <w:r>
        <w:rPr>
          <w:rFonts w:hint="eastAsia" w:ascii="宋体" w:hAnsi="宋体" w:eastAsia="宋体" w:cs="宋体"/>
          <w:color w:val="auto"/>
          <w:sz w:val="24"/>
          <w:szCs w:val="24"/>
          <w:highlight w:val="none"/>
          <w:lang w:eastAsia="zh-CN"/>
        </w:rPr>
        <w:t>、工程量清单</w:t>
      </w:r>
      <w:r>
        <w:rPr>
          <w:rFonts w:hint="eastAsia" w:ascii="宋体" w:hAnsi="宋体" w:eastAsia="宋体" w:cs="宋体"/>
          <w:color w:val="auto"/>
          <w:sz w:val="24"/>
          <w:szCs w:val="24"/>
          <w:highlight w:val="none"/>
        </w:rPr>
        <w:t>所列项目的全部工作内容</w:t>
      </w:r>
      <w:r>
        <w:rPr>
          <w:rFonts w:hint="eastAsia" w:ascii="宋体" w:hAnsi="宋体" w:eastAsia="宋体" w:cs="宋体"/>
          <w:color w:val="auto"/>
          <w:sz w:val="24"/>
          <w:szCs w:val="24"/>
          <w:highlight w:val="none"/>
          <w:lang w:eastAsia="zh-CN"/>
        </w:rPr>
        <w:t>并验收合格</w:t>
      </w:r>
      <w:r>
        <w:rPr>
          <w:rFonts w:hint="eastAsia" w:ascii="宋体" w:hAnsi="宋体" w:eastAsia="宋体" w:cs="宋体"/>
          <w:color w:val="auto"/>
          <w:sz w:val="24"/>
          <w:szCs w:val="24"/>
          <w:highlight w:val="none"/>
        </w:rPr>
        <w:t>所需要的</w:t>
      </w:r>
      <w:r>
        <w:rPr>
          <w:rFonts w:hint="eastAsia" w:ascii="宋体" w:hAnsi="宋体" w:eastAsia="宋体" w:cs="宋体"/>
          <w:color w:val="auto"/>
          <w:sz w:val="24"/>
          <w:szCs w:val="24"/>
          <w:highlight w:val="none"/>
          <w:lang w:eastAsia="zh-CN"/>
        </w:rPr>
        <w:t>全部</w:t>
      </w:r>
      <w:r>
        <w:rPr>
          <w:rFonts w:hint="eastAsia" w:ascii="宋体" w:hAnsi="宋体" w:eastAsia="宋体" w:cs="宋体"/>
          <w:color w:val="auto"/>
          <w:sz w:val="24"/>
          <w:szCs w:val="24"/>
          <w:highlight w:val="none"/>
        </w:rPr>
        <w:t>费用。在实际施工过程中发生的为保证工程质量和进度等所采取的施工方案和技术措施、管理措施，</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人均视为</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已将此费用计入本次报价当中</w:t>
      </w:r>
      <w:r>
        <w:rPr>
          <w:rFonts w:hint="eastAsia" w:ascii="宋体" w:hAnsi="宋体" w:eastAsia="宋体" w:cs="宋体"/>
          <w:color w:val="auto"/>
          <w:sz w:val="24"/>
          <w:szCs w:val="24"/>
          <w:highlight w:val="none"/>
          <w:lang w:eastAsia="zh-CN"/>
        </w:rPr>
        <w:t>。</w:t>
      </w:r>
    </w:p>
    <w:p>
      <w:pPr>
        <w:keepNext w:val="0"/>
        <w:keepLines w:val="0"/>
        <w:pageBreakBefore w:val="0"/>
        <w:widowControl/>
        <w:suppressLineNumbers w:val="0"/>
        <w:kinsoku/>
        <w:wordWrap/>
        <w:overflowPunct/>
        <w:topLinePunct w:val="0"/>
        <w:autoSpaceDE/>
        <w:autoSpaceDN/>
        <w:bidi w:val="0"/>
        <w:adjustRightInd/>
        <w:snapToGrid/>
        <w:spacing w:line="360" w:lineRule="auto"/>
        <w:ind w:left="0" w:firstLine="482" w:firstLineChars="200"/>
        <w:jc w:val="left"/>
        <w:textAlignment w:val="auto"/>
        <w:outlineLvl w:val="9"/>
        <w:rPr>
          <w:color w:val="auto"/>
          <w:sz w:val="24"/>
          <w:szCs w:val="24"/>
          <w:highlight w:val="none"/>
        </w:rPr>
      </w:pPr>
      <w:r>
        <w:rPr>
          <w:rFonts w:hint="eastAsia" w:ascii="宋体" w:hAnsi="宋体" w:eastAsia="宋体" w:cs="宋体"/>
          <w:b/>
          <w:bCs/>
          <w:color w:val="auto"/>
          <w:kern w:val="0"/>
          <w:sz w:val="24"/>
          <w:szCs w:val="24"/>
          <w:highlight w:val="none"/>
          <w:lang w:val="en-US" w:eastAsia="zh-CN" w:bidi="ar"/>
        </w:rPr>
        <w:t xml:space="preserve">★2.技术标准和要求 </w:t>
      </w:r>
    </w:p>
    <w:p>
      <w:pPr>
        <w:keepNext w:val="0"/>
        <w:keepLines w:val="0"/>
        <w:pageBreakBefore w:val="0"/>
        <w:widowControl/>
        <w:suppressLineNumbers w:val="0"/>
        <w:kinsoku/>
        <w:wordWrap/>
        <w:overflowPunct/>
        <w:topLinePunct w:val="0"/>
        <w:autoSpaceDE/>
        <w:autoSpaceDN/>
        <w:bidi w:val="0"/>
        <w:adjustRightInd/>
        <w:snapToGrid/>
        <w:spacing w:line="360" w:lineRule="auto"/>
        <w:ind w:left="0" w:firstLine="480" w:firstLineChars="200"/>
        <w:jc w:val="left"/>
        <w:textAlignment w:val="auto"/>
        <w:outlineLvl w:val="9"/>
        <w:rPr>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（1）本工程技术标准和要求以本工程施工图纸和适用的国家、行业以及地方现行的规范、标准和规程为准。 </w:t>
      </w:r>
    </w:p>
    <w:p>
      <w:pPr>
        <w:keepNext w:val="0"/>
        <w:keepLines w:val="0"/>
        <w:pageBreakBefore w:val="0"/>
        <w:widowControl/>
        <w:suppressLineNumbers w:val="0"/>
        <w:kinsoku/>
        <w:wordWrap/>
        <w:overflowPunct/>
        <w:topLinePunct w:val="0"/>
        <w:autoSpaceDE/>
        <w:autoSpaceDN/>
        <w:bidi w:val="0"/>
        <w:adjustRightInd/>
        <w:snapToGrid/>
        <w:spacing w:line="360" w:lineRule="auto"/>
        <w:ind w:left="0" w:firstLine="480" w:firstLineChars="200"/>
        <w:jc w:val="left"/>
        <w:textAlignment w:val="auto"/>
        <w:outlineLvl w:val="9"/>
        <w:rPr>
          <w:color w:val="auto"/>
          <w:sz w:val="24"/>
          <w:szCs w:val="24"/>
          <w:highlight w:val="none"/>
        </w:rPr>
      </w:pPr>
      <w:r>
        <w:rPr>
          <w:rFonts w:hint="eastAsia" w:ascii="宋体" w:hAnsi="宋体" w:eastAsia="宋体" w:cs="宋体"/>
          <w:color w:val="auto"/>
          <w:kern w:val="0"/>
          <w:sz w:val="24"/>
          <w:szCs w:val="24"/>
          <w:highlight w:val="none"/>
          <w:lang w:val="en-US" w:eastAsia="zh-CN" w:bidi="ar"/>
        </w:rPr>
        <w:t>（2）施工工地扬尘污染整治标准按照河南省住房和城乡建设厅以及许昌市现行的相关文件执行。</w:t>
      </w:r>
    </w:p>
    <w:p>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outlineLvl w:val="1"/>
        <w:rPr>
          <w:rFonts w:hint="eastAsia"/>
          <w:b/>
          <w:bCs/>
          <w:color w:val="auto"/>
          <w:sz w:val="24"/>
          <w:szCs w:val="24"/>
          <w:highlight w:val="none"/>
          <w:lang w:val="zh-CN" w:eastAsia="zh-CN"/>
        </w:rPr>
      </w:pPr>
      <w:r>
        <w:rPr>
          <w:rFonts w:hint="eastAsia"/>
          <w:b/>
          <w:bCs/>
          <w:color w:val="auto"/>
          <w:sz w:val="24"/>
          <w:szCs w:val="24"/>
          <w:highlight w:val="none"/>
          <w:lang w:val="en-US" w:eastAsia="zh-CN"/>
        </w:rPr>
        <w:t xml:space="preserve">★四、商务要求 </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480" w:firstLineChars="200"/>
        <w:contextualSpacing/>
        <w:jc w:val="left"/>
        <w:textAlignment w:val="auto"/>
        <w:outlineLvl w:val="9"/>
        <w:rPr>
          <w:rFonts w:hint="eastAsia" w:ascii="宋体" w:hAnsi="宋体" w:eastAsia="宋体" w:cs="宋体"/>
          <w:b w:val="0"/>
          <w:bCs/>
          <w:color w:val="auto"/>
          <w:kern w:val="0"/>
          <w:sz w:val="24"/>
          <w:szCs w:val="24"/>
          <w:highlight w:val="none"/>
          <w:lang w:val="zh-CN"/>
        </w:rPr>
      </w:pPr>
      <w:r>
        <w:rPr>
          <w:rFonts w:hint="eastAsia" w:ascii="宋体" w:hAnsi="宋体" w:eastAsia="宋体" w:cs="宋体"/>
          <w:b w:val="0"/>
          <w:bCs/>
          <w:color w:val="auto"/>
          <w:kern w:val="0"/>
          <w:sz w:val="24"/>
          <w:szCs w:val="24"/>
          <w:highlight w:val="none"/>
          <w:lang w:val="zh-CN" w:eastAsia="zh-CN"/>
        </w:rPr>
        <w:t>1</w:t>
      </w:r>
      <w:r>
        <w:rPr>
          <w:rFonts w:hint="eastAsia" w:ascii="宋体" w:hAnsi="宋体" w:eastAsia="宋体" w:cs="宋体"/>
          <w:b w:val="0"/>
          <w:bCs/>
          <w:color w:val="auto"/>
          <w:kern w:val="0"/>
          <w:sz w:val="24"/>
          <w:szCs w:val="24"/>
          <w:highlight w:val="none"/>
          <w:lang w:val="en-US" w:eastAsia="zh-CN"/>
        </w:rPr>
        <w:t>.交付（实施）的时间（期限）</w:t>
      </w:r>
      <w:r>
        <w:rPr>
          <w:rFonts w:hint="eastAsia" w:ascii="宋体" w:hAnsi="宋体" w:eastAsia="宋体" w:cs="宋体"/>
          <w:b w:val="0"/>
          <w:bCs/>
          <w:color w:val="auto"/>
          <w:kern w:val="0"/>
          <w:sz w:val="24"/>
          <w:szCs w:val="24"/>
          <w:highlight w:val="none"/>
          <w:lang w:val="zh-CN" w:eastAsia="zh-CN"/>
        </w:rPr>
        <w:t>：自合同签订后</w:t>
      </w:r>
      <w:r>
        <w:rPr>
          <w:rFonts w:hint="eastAsia" w:ascii="宋体" w:hAnsi="宋体" w:eastAsia="宋体" w:cs="宋体"/>
          <w:b w:val="0"/>
          <w:bCs/>
          <w:color w:val="auto"/>
          <w:kern w:val="0"/>
          <w:sz w:val="24"/>
          <w:szCs w:val="24"/>
          <w:highlight w:val="none"/>
          <w:u w:val="single"/>
          <w:lang w:val="en-US" w:eastAsia="zh-CN"/>
        </w:rPr>
        <w:t xml:space="preserve"> 2</w:t>
      </w:r>
      <w:r>
        <w:rPr>
          <w:rFonts w:hint="eastAsia" w:ascii="宋体" w:hAnsi="宋体" w:eastAsia="宋体" w:cs="宋体"/>
          <w:b w:val="0"/>
          <w:bCs/>
          <w:color w:val="auto"/>
          <w:kern w:val="0"/>
          <w:sz w:val="24"/>
          <w:szCs w:val="24"/>
          <w:highlight w:val="none"/>
          <w:u w:val="single"/>
          <w:lang w:val="zh-CN" w:eastAsia="zh-CN"/>
        </w:rPr>
        <w:t xml:space="preserve"> </w:t>
      </w:r>
      <w:r>
        <w:rPr>
          <w:rFonts w:hint="eastAsia" w:ascii="宋体" w:hAnsi="宋体" w:eastAsia="宋体" w:cs="宋体"/>
          <w:b w:val="0"/>
          <w:bCs/>
          <w:color w:val="auto"/>
          <w:kern w:val="0"/>
          <w:sz w:val="24"/>
          <w:szCs w:val="24"/>
          <w:highlight w:val="none"/>
          <w:lang w:val="zh-CN" w:eastAsia="zh-CN"/>
        </w:rPr>
        <w:t xml:space="preserve">个月。 </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480" w:firstLineChars="200"/>
        <w:contextualSpacing/>
        <w:jc w:val="left"/>
        <w:textAlignment w:val="auto"/>
        <w:outlineLvl w:val="9"/>
        <w:rPr>
          <w:rFonts w:hint="eastAsia" w:ascii="宋体" w:hAnsi="宋体" w:eastAsia="宋体" w:cs="宋体"/>
          <w:b w:val="0"/>
          <w:bCs/>
          <w:color w:val="auto"/>
          <w:kern w:val="0"/>
          <w:sz w:val="24"/>
          <w:szCs w:val="24"/>
          <w:highlight w:val="none"/>
          <w:lang w:val="zh-CN"/>
        </w:rPr>
      </w:pPr>
      <w:r>
        <w:rPr>
          <w:rFonts w:hint="eastAsia" w:ascii="宋体" w:hAnsi="宋体" w:eastAsia="宋体" w:cs="宋体"/>
          <w:b w:val="0"/>
          <w:bCs/>
          <w:color w:val="auto"/>
          <w:kern w:val="0"/>
          <w:sz w:val="24"/>
          <w:szCs w:val="24"/>
          <w:highlight w:val="none"/>
          <w:lang w:val="zh-CN" w:eastAsia="zh-CN"/>
        </w:rPr>
        <w:t>2</w:t>
      </w:r>
      <w:r>
        <w:rPr>
          <w:rFonts w:hint="eastAsia" w:ascii="宋体" w:hAnsi="宋体" w:eastAsia="宋体" w:cs="宋体"/>
          <w:b w:val="0"/>
          <w:bCs/>
          <w:color w:val="auto"/>
          <w:kern w:val="0"/>
          <w:sz w:val="24"/>
          <w:szCs w:val="24"/>
          <w:highlight w:val="none"/>
          <w:lang w:val="en-US" w:eastAsia="zh-CN"/>
        </w:rPr>
        <w:t>.</w:t>
      </w:r>
      <w:r>
        <w:rPr>
          <w:rFonts w:hint="eastAsia" w:ascii="宋体" w:hAnsi="宋体" w:eastAsia="宋体" w:cs="宋体"/>
          <w:b w:val="0"/>
          <w:bCs/>
          <w:color w:val="auto"/>
          <w:kern w:val="0"/>
          <w:sz w:val="24"/>
          <w:szCs w:val="24"/>
          <w:highlight w:val="none"/>
          <w:lang w:val="zh-CN" w:eastAsia="zh-CN"/>
        </w:rPr>
        <w:t xml:space="preserve">质量要求：合格（符合国家现行的验收规范和标准）。 </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480" w:firstLineChars="200"/>
        <w:contextualSpacing/>
        <w:jc w:val="left"/>
        <w:textAlignment w:val="auto"/>
        <w:outlineLvl w:val="9"/>
        <w:rPr>
          <w:rFonts w:hint="eastAsia" w:ascii="宋体" w:hAnsi="宋体" w:eastAsia="宋体" w:cs="宋体"/>
          <w:b w:val="0"/>
          <w:bCs/>
          <w:color w:val="auto"/>
          <w:kern w:val="0"/>
          <w:sz w:val="24"/>
          <w:szCs w:val="24"/>
          <w:highlight w:val="none"/>
          <w:lang w:val="zh-CN" w:eastAsia="zh-CN"/>
        </w:rPr>
      </w:pPr>
      <w:r>
        <w:rPr>
          <w:rFonts w:hint="eastAsia" w:ascii="宋体" w:hAnsi="宋体" w:eastAsia="宋体" w:cs="宋体"/>
          <w:b w:val="0"/>
          <w:bCs/>
          <w:color w:val="auto"/>
          <w:kern w:val="0"/>
          <w:sz w:val="24"/>
          <w:szCs w:val="24"/>
          <w:highlight w:val="none"/>
          <w:lang w:val="zh-CN" w:eastAsia="zh-CN"/>
        </w:rPr>
        <w:t>3</w:t>
      </w:r>
      <w:r>
        <w:rPr>
          <w:rFonts w:hint="eastAsia" w:ascii="宋体" w:hAnsi="宋体" w:eastAsia="宋体" w:cs="宋体"/>
          <w:b w:val="0"/>
          <w:bCs/>
          <w:color w:val="auto"/>
          <w:kern w:val="0"/>
          <w:sz w:val="24"/>
          <w:szCs w:val="24"/>
          <w:highlight w:val="none"/>
          <w:lang w:val="en-US" w:eastAsia="zh-CN"/>
        </w:rPr>
        <w:t>.</w:t>
      </w:r>
      <w:r>
        <w:rPr>
          <w:rFonts w:hint="eastAsia" w:ascii="宋体" w:hAnsi="宋体" w:eastAsia="宋体" w:cs="宋体"/>
          <w:b w:val="0"/>
          <w:bCs/>
          <w:color w:val="auto"/>
          <w:kern w:val="0"/>
          <w:sz w:val="24"/>
          <w:szCs w:val="24"/>
          <w:highlight w:val="none"/>
          <w:lang w:val="zh-CN" w:eastAsia="zh-CN"/>
        </w:rPr>
        <w:t>履约地点：</w:t>
      </w:r>
      <w:r>
        <w:rPr>
          <w:rFonts w:hint="eastAsia" w:ascii="宋体" w:hAnsi="宋体" w:eastAsia="宋体" w:cs="宋体"/>
          <w:color w:val="auto"/>
          <w:sz w:val="24"/>
          <w:szCs w:val="24"/>
          <w:highlight w:val="none"/>
          <w:shd w:val="clear" w:color="auto" w:fill="FFFFFF"/>
          <w:lang w:eastAsia="zh-CN"/>
        </w:rPr>
        <w:t>禹州市实验学校院内</w:t>
      </w:r>
      <w:r>
        <w:rPr>
          <w:rFonts w:hint="eastAsia" w:ascii="宋体" w:hAnsi="宋体" w:eastAsia="宋体" w:cs="宋体"/>
          <w:b w:val="0"/>
          <w:bCs/>
          <w:color w:val="auto"/>
          <w:kern w:val="0"/>
          <w:sz w:val="24"/>
          <w:szCs w:val="24"/>
          <w:highlight w:val="none"/>
          <w:lang w:val="zh-CN" w:eastAsia="zh-CN"/>
        </w:rPr>
        <w:t>。</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480" w:firstLineChars="200"/>
        <w:contextualSpacing/>
        <w:jc w:val="left"/>
        <w:textAlignment w:val="auto"/>
        <w:outlineLvl w:val="9"/>
        <w:rPr>
          <w:rFonts w:hint="eastAsia" w:ascii="宋体" w:hAnsi="宋体" w:eastAsia="宋体" w:cs="宋体"/>
          <w:b w:val="0"/>
          <w:bCs/>
          <w:color w:val="auto"/>
          <w:kern w:val="0"/>
          <w:sz w:val="24"/>
          <w:szCs w:val="24"/>
          <w:highlight w:val="none"/>
          <w:lang w:val="zh-CN"/>
        </w:rPr>
      </w:pPr>
      <w:r>
        <w:rPr>
          <w:rFonts w:hint="eastAsia" w:ascii="宋体" w:hAnsi="宋体" w:eastAsia="宋体" w:cs="宋体"/>
          <w:b w:val="0"/>
          <w:bCs/>
          <w:color w:val="auto"/>
          <w:kern w:val="0"/>
          <w:sz w:val="24"/>
          <w:szCs w:val="24"/>
          <w:highlight w:val="none"/>
          <w:lang w:val="en-US" w:eastAsia="zh-CN"/>
        </w:rPr>
        <w:t>4.</w:t>
      </w:r>
      <w:r>
        <w:rPr>
          <w:rFonts w:hint="eastAsia" w:ascii="宋体" w:hAnsi="宋体" w:eastAsia="宋体" w:cs="宋体"/>
          <w:b w:val="0"/>
          <w:bCs/>
          <w:color w:val="auto"/>
          <w:kern w:val="0"/>
          <w:sz w:val="24"/>
          <w:szCs w:val="24"/>
          <w:highlight w:val="none"/>
          <w:lang w:val="zh-CN" w:eastAsia="zh-CN"/>
        </w:rPr>
        <w:t>谈判响应供应商在成交后未经业主允许，不得更换项目负责人及主要技术人员；如果合同执行期间，现场技术人员不能胜任本职工作的，业主有权要求其更换，更换后的人员水平不低于被替换人员水平，且不得影响工程进展</w:t>
      </w:r>
      <w:r>
        <w:rPr>
          <w:rFonts w:hint="eastAsia" w:ascii="宋体" w:hAnsi="宋体" w:eastAsia="宋体" w:cs="宋体"/>
          <w:b w:val="0"/>
          <w:bCs/>
          <w:color w:val="auto"/>
          <w:kern w:val="0"/>
          <w:sz w:val="24"/>
          <w:szCs w:val="24"/>
          <w:highlight w:val="none"/>
          <w:lang w:val="en-US" w:eastAsia="zh-CN"/>
        </w:rPr>
        <w:t>,保证工程按时完工</w:t>
      </w:r>
      <w:r>
        <w:rPr>
          <w:rFonts w:hint="eastAsia" w:ascii="宋体" w:hAnsi="宋体" w:eastAsia="宋体" w:cs="宋体"/>
          <w:b w:val="0"/>
          <w:bCs/>
          <w:color w:val="auto"/>
          <w:kern w:val="0"/>
          <w:sz w:val="24"/>
          <w:szCs w:val="24"/>
          <w:highlight w:val="none"/>
          <w:lang w:val="zh-CN" w:eastAsia="zh-CN"/>
        </w:rPr>
        <w:t xml:space="preserve">。投标供应商须响应此要求。 </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480" w:firstLineChars="200"/>
        <w:contextualSpacing/>
        <w:jc w:val="left"/>
        <w:textAlignment w:val="auto"/>
        <w:outlineLvl w:val="9"/>
        <w:rPr>
          <w:rFonts w:hint="eastAsia" w:ascii="宋体" w:hAnsi="宋体" w:eastAsia="宋体" w:cs="宋体"/>
          <w:b w:val="0"/>
          <w:bCs/>
          <w:color w:val="auto"/>
          <w:kern w:val="0"/>
          <w:sz w:val="24"/>
          <w:szCs w:val="24"/>
          <w:highlight w:val="none"/>
          <w:lang w:val="zh-CN" w:eastAsia="zh-CN"/>
        </w:rPr>
      </w:pPr>
      <w:r>
        <w:rPr>
          <w:rFonts w:hint="eastAsia" w:ascii="宋体" w:hAnsi="宋体" w:eastAsia="宋体" w:cs="宋体"/>
          <w:b w:val="0"/>
          <w:bCs/>
          <w:color w:val="auto"/>
          <w:kern w:val="0"/>
          <w:sz w:val="24"/>
          <w:szCs w:val="24"/>
          <w:highlight w:val="none"/>
          <w:lang w:val="en-US" w:eastAsia="zh-CN"/>
        </w:rPr>
        <w:t>5.</w:t>
      </w:r>
      <w:r>
        <w:rPr>
          <w:rFonts w:hint="eastAsia" w:ascii="宋体" w:hAnsi="宋体" w:eastAsia="宋体" w:cs="宋体"/>
          <w:b w:val="0"/>
          <w:bCs/>
          <w:color w:val="auto"/>
          <w:kern w:val="0"/>
          <w:sz w:val="24"/>
          <w:szCs w:val="24"/>
          <w:highlight w:val="none"/>
          <w:lang w:val="zh-CN" w:eastAsia="zh-CN"/>
        </w:rPr>
        <w:t>采购资金支付</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480" w:firstLineChars="200"/>
        <w:contextualSpacing/>
        <w:jc w:val="left"/>
        <w:textAlignment w:val="auto"/>
        <w:outlineLvl w:val="9"/>
        <w:rPr>
          <w:rFonts w:hint="default" w:ascii="宋体" w:hAnsi="宋体" w:eastAsia="宋体" w:cs="宋体"/>
          <w:b w:val="0"/>
          <w:bCs/>
          <w:color w:val="auto"/>
          <w:kern w:val="0"/>
          <w:sz w:val="24"/>
          <w:szCs w:val="24"/>
          <w:highlight w:val="none"/>
          <w:lang w:val="en-US" w:eastAsia="zh-CN"/>
        </w:rPr>
      </w:pPr>
      <w:r>
        <w:rPr>
          <w:rFonts w:hint="eastAsia" w:ascii="宋体" w:hAnsi="宋体" w:eastAsia="宋体" w:cs="宋体"/>
          <w:b w:val="0"/>
          <w:bCs/>
          <w:color w:val="auto"/>
          <w:kern w:val="0"/>
          <w:sz w:val="24"/>
          <w:szCs w:val="24"/>
          <w:highlight w:val="none"/>
          <w:lang w:val="zh-CN" w:eastAsia="zh-CN"/>
        </w:rPr>
        <w:t>采购单位</w:t>
      </w:r>
      <w:r>
        <w:rPr>
          <w:rFonts w:hint="eastAsia" w:ascii="宋体" w:hAnsi="宋体" w:eastAsia="宋体" w:cs="宋体"/>
          <w:b w:val="0"/>
          <w:bCs/>
          <w:strike w:val="0"/>
          <w:dstrike w:val="0"/>
          <w:color w:val="auto"/>
          <w:kern w:val="0"/>
          <w:sz w:val="24"/>
          <w:szCs w:val="24"/>
          <w:highlight w:val="none"/>
          <w:lang w:val="zh-CN" w:eastAsia="zh-CN"/>
        </w:rPr>
        <w:t>设定</w:t>
      </w:r>
      <w:r>
        <w:rPr>
          <w:rFonts w:hint="eastAsia" w:ascii="宋体" w:hAnsi="宋体" w:eastAsia="宋体" w:cs="宋体"/>
          <w:b w:val="0"/>
          <w:bCs/>
          <w:color w:val="auto"/>
          <w:kern w:val="0"/>
          <w:sz w:val="24"/>
          <w:szCs w:val="24"/>
          <w:highlight w:val="none"/>
          <w:lang w:val="zh-CN" w:eastAsia="zh-CN"/>
        </w:rPr>
        <w:t>“分批分次”付款方式，首付款比例不低于合同金额的 50%；对于中小企业，首付款比例不低于合同金额的70%；采购单位采购“货物类及需要供应商垫资”的项目，在合同履约前向中标成交供应商预付不低于合同金额 40%的启动资金；对于中小企业，预付不低于合同金额 60%的启动资金。</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480" w:firstLineChars="200"/>
        <w:contextualSpacing/>
        <w:jc w:val="left"/>
        <w:textAlignment w:val="auto"/>
        <w:outlineLvl w:val="9"/>
        <w:rPr>
          <w:rFonts w:hint="eastAsia" w:ascii="宋体" w:hAnsi="宋体" w:eastAsia="宋体" w:cs="宋体"/>
          <w:b w:val="0"/>
          <w:bCs/>
          <w:color w:val="auto"/>
          <w:kern w:val="0"/>
          <w:sz w:val="24"/>
          <w:szCs w:val="24"/>
          <w:highlight w:val="none"/>
          <w:lang w:val="zh-CN" w:eastAsia="zh-CN"/>
        </w:rPr>
      </w:pPr>
      <w:r>
        <w:rPr>
          <w:rFonts w:hint="eastAsia" w:ascii="宋体" w:hAnsi="宋体" w:eastAsia="宋体" w:cs="宋体"/>
          <w:b w:val="0"/>
          <w:bCs/>
          <w:color w:val="auto"/>
          <w:kern w:val="0"/>
          <w:sz w:val="24"/>
          <w:szCs w:val="24"/>
          <w:highlight w:val="none"/>
          <w:lang w:val="zh-CN" w:eastAsia="zh-CN"/>
        </w:rPr>
        <w:t>（1）支付方式：银行转账；</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480" w:firstLineChars="200"/>
        <w:contextualSpacing/>
        <w:jc w:val="left"/>
        <w:textAlignment w:val="auto"/>
        <w:outlineLvl w:val="9"/>
        <w:rPr>
          <w:rFonts w:hint="eastAsia" w:ascii="宋体" w:hAnsi="宋体" w:eastAsia="宋体" w:cs="宋体"/>
          <w:b w:val="0"/>
          <w:bCs/>
          <w:color w:val="auto"/>
          <w:kern w:val="0"/>
          <w:sz w:val="24"/>
          <w:szCs w:val="24"/>
          <w:highlight w:val="none"/>
          <w:lang w:val="zh-CN"/>
        </w:rPr>
      </w:pPr>
      <w:r>
        <w:rPr>
          <w:rFonts w:hint="eastAsia" w:ascii="宋体" w:hAnsi="宋体" w:eastAsia="宋体" w:cs="宋体"/>
          <w:b w:val="0"/>
          <w:bCs/>
          <w:color w:val="auto"/>
          <w:kern w:val="0"/>
          <w:sz w:val="24"/>
          <w:szCs w:val="24"/>
          <w:highlight w:val="none"/>
          <w:lang w:val="zh-CN" w:eastAsia="zh-CN"/>
        </w:rPr>
        <w:t xml:space="preserve">（2）支付时间及条件：项目完工验收合格后按政府采购资金拨付程序执行，以最终采购人与成交人签订的采购合同为准。 </w:t>
      </w:r>
    </w:p>
    <w:p>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outlineLvl w:val="1"/>
        <w:rPr>
          <w:rFonts w:hint="eastAsia"/>
          <w:b/>
          <w:bCs/>
          <w:color w:val="auto"/>
          <w:sz w:val="24"/>
          <w:szCs w:val="24"/>
          <w:highlight w:val="none"/>
          <w:lang w:val="zh-CN" w:eastAsia="zh-CN"/>
        </w:rPr>
      </w:pPr>
      <w:r>
        <w:rPr>
          <w:rFonts w:hint="eastAsia"/>
          <w:b/>
          <w:bCs/>
          <w:color w:val="auto"/>
          <w:sz w:val="24"/>
          <w:szCs w:val="24"/>
          <w:highlight w:val="none"/>
          <w:lang w:val="zh-CN" w:eastAsia="zh-CN"/>
        </w:rPr>
        <w:t>五、采购标的的其他技术、服务等要求</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480" w:firstLineChars="200"/>
        <w:contextualSpacing/>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1.供应商应就本项目完整投标，否则为无效响应。 </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480" w:firstLineChars="200"/>
        <w:contextualSpacing/>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2.供应商须有合理的技术方案，且技术方案需技术负责人审核并电子签字。否则为无效投标。 </w:t>
      </w: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360" w:lineRule="auto"/>
        <w:ind w:left="0" w:firstLine="480" w:firstLineChars="200"/>
        <w:contextualSpacing/>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在成交后的现场施工过程中，成交供应商所派驻的项目负责人、技术负责人等相关施工人员，必须与响应文件中拟派人员一致，否则采购人有权单方终止合同，由此对采购人造成损失的，成交供应商将予以赔偿。 </w:t>
      </w:r>
    </w:p>
    <w:p>
      <w:pPr>
        <w:keepNext w:val="0"/>
        <w:keepLines w:val="0"/>
        <w:pageBreakBefore w:val="0"/>
        <w:widowControl/>
        <w:shd w:val="clear" w:color="auto" w:fill="FFFFFF"/>
        <w:kinsoku/>
        <w:overflowPunct/>
        <w:autoSpaceDE/>
        <w:autoSpaceDN/>
        <w:bidi w:val="0"/>
        <w:adjustRightInd/>
        <w:snapToGrid/>
        <w:spacing w:line="360" w:lineRule="auto"/>
        <w:ind w:left="0"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4.在本项目实施过程中发生的一切与本项目相关的安全事故及责任均由成交供应商承担，采购人不承担任何责任及费用。 </w:t>
      </w:r>
    </w:p>
    <w:p>
      <w:pPr>
        <w:keepNext w:val="0"/>
        <w:keepLines w:val="0"/>
        <w:pageBreakBefore w:val="0"/>
        <w:widowControl/>
        <w:shd w:val="clear" w:color="auto" w:fill="FFFFFF"/>
        <w:kinsoku/>
        <w:overflowPunct/>
        <w:autoSpaceDE/>
        <w:autoSpaceDN/>
        <w:bidi w:val="0"/>
        <w:adjustRightInd/>
        <w:snapToGrid/>
        <w:spacing w:line="360" w:lineRule="auto"/>
        <w:ind w:left="0"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5.成交供应商未达到作业计划标准及工作违规或引起纠纷、被上级部门处罚等不良后果，造成重大经济损失或服务严重失误，采购人有权终止本合同，并追究成交供应商的经济责任。 </w:t>
      </w:r>
    </w:p>
    <w:p>
      <w:pPr>
        <w:keepNext w:val="0"/>
        <w:keepLines w:val="0"/>
        <w:pageBreakBefore w:val="0"/>
        <w:widowControl/>
        <w:shd w:val="clear" w:color="auto" w:fill="FFFFFF"/>
        <w:kinsoku/>
        <w:overflowPunct/>
        <w:autoSpaceDE/>
        <w:autoSpaceDN/>
        <w:bidi w:val="0"/>
        <w:adjustRightInd/>
        <w:snapToGrid/>
        <w:spacing w:line="360" w:lineRule="auto"/>
        <w:ind w:left="0"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6.本次招标某些技术标准与国家所要求的标准不统一或有不兼容的地方，均以国家强制性标准或最新出台的标准为准。 </w:t>
      </w:r>
    </w:p>
    <w:p>
      <w:pPr>
        <w:keepNext w:val="0"/>
        <w:keepLines w:val="0"/>
        <w:pageBreakBefore w:val="0"/>
        <w:widowControl/>
        <w:shd w:val="clear" w:color="auto" w:fill="FFFFFF"/>
        <w:kinsoku/>
        <w:overflowPunct/>
        <w:autoSpaceDE/>
        <w:autoSpaceDN/>
        <w:bidi w:val="0"/>
        <w:adjustRightInd/>
        <w:snapToGrid/>
        <w:spacing w:line="360" w:lineRule="auto"/>
        <w:ind w:left="0"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7.如果未在谈判文件中要求提供其相关行业标准或国家强制性标准的，则投标供应商有责任给予补充说明。</w:t>
      </w:r>
    </w:p>
    <w:p>
      <w:pPr>
        <w:keepNext w:val="0"/>
        <w:keepLines w:val="0"/>
        <w:pageBreakBefore w:val="0"/>
        <w:widowControl/>
        <w:shd w:val="clear" w:color="auto" w:fill="FFFFFF"/>
        <w:kinsoku/>
        <w:overflowPunct/>
        <w:autoSpaceDE/>
        <w:autoSpaceDN/>
        <w:bidi w:val="0"/>
        <w:adjustRightInd/>
        <w:snapToGrid/>
        <w:spacing w:line="360" w:lineRule="auto"/>
        <w:ind w:left="0" w:firstLine="480" w:firstLineChars="200"/>
        <w:contextualSpacing/>
        <w:jc w:val="left"/>
        <w:textAlignment w:val="auto"/>
        <w:rPr>
          <w:rFonts w:hint="eastAsia" w:ascii="宋体" w:hAnsi="宋体" w:eastAsia="宋体" w:cs="宋体"/>
          <w:b/>
          <w:color w:val="auto"/>
          <w:kern w:val="0"/>
          <w:sz w:val="24"/>
          <w:szCs w:val="24"/>
          <w:highlight w:val="none"/>
          <w:lang w:val="zh-CN"/>
        </w:rPr>
      </w:pPr>
      <w:r>
        <w:rPr>
          <w:rFonts w:hint="eastAsia" w:ascii="宋体" w:hAnsi="宋体" w:eastAsia="宋体" w:cs="宋体"/>
          <w:color w:val="auto"/>
          <w:sz w:val="24"/>
          <w:szCs w:val="24"/>
          <w:highlight w:val="none"/>
          <w:lang w:val="en-US" w:eastAsia="zh-CN"/>
        </w:rPr>
        <w:t>8.成交供应商在接到成交通知时，须向采购代理机构发送响应报价及分项报价一览表（包含主要成交标的的名称、规格型号、数量、单价、服务要求等）电子文档，并同时电话告知采购代理机构。联系电话：13673373571，邮箱地址：hongxiangjianshe1@126.com</w:t>
      </w:r>
    </w:p>
    <w:p>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outlineLvl w:val="1"/>
        <w:rPr>
          <w:rFonts w:hint="eastAsia"/>
          <w:b/>
          <w:bCs/>
          <w:color w:val="auto"/>
          <w:sz w:val="24"/>
          <w:szCs w:val="24"/>
          <w:highlight w:val="none"/>
          <w:lang w:val="zh-CN" w:eastAsia="zh-CN"/>
        </w:rPr>
      </w:pPr>
      <w:r>
        <w:rPr>
          <w:rFonts w:hint="eastAsia"/>
          <w:b/>
          <w:bCs/>
          <w:color w:val="auto"/>
          <w:sz w:val="24"/>
          <w:szCs w:val="24"/>
          <w:highlight w:val="none"/>
          <w:lang w:val="zh-CN" w:eastAsia="zh-CN"/>
        </w:rPr>
        <w:t>六、验收标准</w:t>
      </w:r>
    </w:p>
    <w:p>
      <w:pPr>
        <w:pStyle w:val="23"/>
        <w:keepNext w:val="0"/>
        <w:keepLines w:val="0"/>
        <w:pageBreakBefore w:val="0"/>
        <w:widowControl/>
        <w:shd w:val="clear" w:color="auto" w:fill="FFFFFF"/>
        <w:kinsoku/>
        <w:overflowPunct/>
        <w:autoSpaceDE/>
        <w:autoSpaceDN/>
        <w:bidi w:val="0"/>
        <w:adjustRightInd/>
        <w:snapToGrid/>
        <w:spacing w:line="360" w:lineRule="auto"/>
        <w:ind w:left="0" w:firstLine="480" w:firstLineChars="200"/>
        <w:contextualSpacing/>
        <w:jc w:val="left"/>
        <w:textAlignment w:val="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lang w:val="zh-CN"/>
        </w:rPr>
        <w:t>由采购人成立验收小组,按照采购合同的约定对中标人履约情况进行验收。验收时,按照采购合同的约定对每一项技术、服务、安全标准的履约情况进行确认。验收结束后由验收小组出具验收报告,列明各项标准的验收情况及项目总体评价,由验收双方共同签署。</w:t>
      </w:r>
      <w:r>
        <w:rPr>
          <w:rFonts w:hint="eastAsia" w:ascii="宋体" w:hAnsi="宋体" w:eastAsia="宋体" w:cs="宋体"/>
          <w:color w:val="auto"/>
          <w:kern w:val="0"/>
          <w:sz w:val="24"/>
          <w:szCs w:val="24"/>
          <w:highlight w:val="none"/>
          <w:lang w:val="zh-CN" w:eastAsia="zh-CN"/>
        </w:rPr>
        <w:t xml:space="preserve">采购人也可委托国家认可的具有专业资质的第三方机构参与验收，并公示验收结果。 </w:t>
      </w:r>
    </w:p>
    <w:p>
      <w:pPr>
        <w:keepNext w:val="0"/>
        <w:keepLines w:val="0"/>
        <w:pageBreakBefore w:val="0"/>
        <w:kinsoku/>
        <w:wordWrap w:val="0"/>
        <w:overflowPunct/>
        <w:topLinePunct/>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rPr>
        <w:t>按照采购标的相关国家标准规范验收；</w:t>
      </w:r>
    </w:p>
    <w:p>
      <w:pPr>
        <w:keepNext w:val="0"/>
        <w:keepLines w:val="0"/>
        <w:pageBreakBefore w:val="0"/>
        <w:kinsoku/>
        <w:wordWrap w:val="0"/>
        <w:overflowPunct/>
        <w:topLinePunct/>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rPr>
        <w:t>按照谈判文件要求、响应文件响应和承诺验收。</w:t>
      </w:r>
    </w:p>
    <w:p>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outlineLvl w:val="1"/>
        <w:rPr>
          <w:rFonts w:hint="eastAsia"/>
          <w:b/>
          <w:bCs/>
          <w:color w:val="auto"/>
          <w:sz w:val="24"/>
          <w:szCs w:val="24"/>
          <w:highlight w:val="none"/>
          <w:lang w:val="zh-CN" w:eastAsia="zh-CN"/>
        </w:rPr>
      </w:pPr>
      <w:r>
        <w:rPr>
          <w:rFonts w:hint="eastAsia"/>
          <w:b/>
          <w:bCs/>
          <w:color w:val="auto"/>
          <w:sz w:val="24"/>
          <w:szCs w:val="24"/>
          <w:highlight w:val="none"/>
          <w:lang w:val="zh-CN" w:eastAsia="zh-CN"/>
        </w:rPr>
        <w:t>七、本项目预算金额：</w:t>
      </w:r>
      <w:r>
        <w:rPr>
          <w:rFonts w:hint="eastAsia"/>
          <w:b/>
          <w:bCs/>
          <w:color w:val="auto"/>
          <w:sz w:val="24"/>
          <w:szCs w:val="24"/>
          <w:highlight w:val="none"/>
          <w:lang w:val="en-US" w:eastAsia="zh-CN"/>
        </w:rPr>
        <w:t>990284.52</w:t>
      </w:r>
      <w:r>
        <w:rPr>
          <w:rFonts w:hint="eastAsia" w:ascii="宋体" w:hAnsi="宋体" w:eastAsia="宋体" w:cs="宋体"/>
          <w:color w:val="auto"/>
          <w:sz w:val="24"/>
          <w:szCs w:val="24"/>
          <w:highlight w:val="none"/>
          <w:shd w:val="clear" w:color="auto" w:fill="FFFFFF"/>
        </w:rPr>
        <w:t>元</w:t>
      </w:r>
      <w:r>
        <w:rPr>
          <w:rFonts w:hint="eastAsia"/>
          <w:b/>
          <w:bCs/>
          <w:color w:val="auto"/>
          <w:sz w:val="24"/>
          <w:szCs w:val="24"/>
          <w:highlight w:val="none"/>
          <w:lang w:val="zh-CN" w:eastAsia="zh-CN"/>
        </w:rPr>
        <w:t>；最高限价：</w:t>
      </w:r>
      <w:r>
        <w:rPr>
          <w:rFonts w:hint="eastAsia"/>
          <w:b/>
          <w:bCs/>
          <w:color w:val="auto"/>
          <w:sz w:val="24"/>
          <w:szCs w:val="24"/>
          <w:highlight w:val="none"/>
          <w:lang w:val="en-US" w:eastAsia="zh-CN"/>
        </w:rPr>
        <w:t>990284.52</w:t>
      </w:r>
      <w:r>
        <w:rPr>
          <w:rFonts w:hint="eastAsia" w:ascii="宋体" w:hAnsi="宋体" w:eastAsia="宋体" w:cs="宋体"/>
          <w:color w:val="auto"/>
          <w:sz w:val="24"/>
          <w:szCs w:val="24"/>
          <w:highlight w:val="none"/>
          <w:shd w:val="clear" w:color="auto" w:fill="FFFFFF"/>
        </w:rPr>
        <w:t>元</w:t>
      </w:r>
      <w:r>
        <w:rPr>
          <w:rFonts w:hint="eastAsia"/>
          <w:b/>
          <w:bCs/>
          <w:color w:val="auto"/>
          <w:sz w:val="24"/>
          <w:szCs w:val="24"/>
          <w:highlight w:val="none"/>
          <w:lang w:val="zh-CN" w:eastAsia="zh-CN"/>
        </w:rPr>
        <w:t xml:space="preserve">。超出预算金额和最高限价的报价按无效标处理。 </w:t>
      </w:r>
    </w:p>
    <w:p>
      <w:pPr>
        <w:keepNext w:val="0"/>
        <w:keepLines w:val="0"/>
        <w:pageBreakBefore w:val="0"/>
        <w:widowControl/>
        <w:shd w:val="clear" w:color="auto" w:fill="FFFFFF"/>
        <w:kinsoku/>
        <w:overflowPunct/>
        <w:autoSpaceDE/>
        <w:autoSpaceDN/>
        <w:bidi w:val="0"/>
        <w:adjustRightInd/>
        <w:snapToGrid/>
        <w:spacing w:line="360" w:lineRule="auto"/>
        <w:ind w:left="0" w:firstLine="480" w:firstLineChars="200"/>
        <w:contextualSpacing/>
        <w:jc w:val="left"/>
        <w:textAlignment w:val="auto"/>
        <w:rPr>
          <w:rFonts w:hint="eastAsia" w:ascii="宋体" w:hAnsi="宋体" w:eastAsia="宋体" w:cs="宋体"/>
          <w:color w:val="auto"/>
          <w:kern w:val="0"/>
          <w:sz w:val="24"/>
          <w:szCs w:val="24"/>
          <w:highlight w:val="none"/>
        </w:rPr>
      </w:pPr>
    </w:p>
    <w:p>
      <w:pPr>
        <w:widowControl/>
        <w:shd w:val="clear" w:color="auto" w:fill="FFFFFF"/>
        <w:spacing w:line="360" w:lineRule="auto"/>
        <w:ind w:firstLine="480" w:firstLineChars="200"/>
        <w:contextualSpacing/>
        <w:jc w:val="left"/>
        <w:rPr>
          <w:rFonts w:hint="eastAsia" w:ascii="宋体" w:hAnsi="宋体" w:eastAsia="宋体" w:cs="宋体"/>
          <w:color w:val="auto"/>
          <w:kern w:val="0"/>
          <w:sz w:val="24"/>
          <w:szCs w:val="24"/>
          <w:highlight w:val="none"/>
        </w:rPr>
      </w:pPr>
    </w:p>
    <w:p>
      <w:pPr>
        <w:widowControl/>
        <w:jc w:val="left"/>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4"/>
          <w:szCs w:val="24"/>
          <w:highlight w:val="none"/>
        </w:rPr>
        <w:br w:type="page"/>
      </w:r>
    </w:p>
    <w:p>
      <w:pPr>
        <w:pStyle w:val="2"/>
        <w:keepNext/>
        <w:keepLines/>
        <w:pageBreakBefore w:val="0"/>
        <w:widowControl w:val="0"/>
        <w:kinsoku/>
        <w:wordWrap/>
        <w:overflowPunct/>
        <w:topLinePunct w:val="0"/>
        <w:autoSpaceDE/>
        <w:autoSpaceDN/>
        <w:bidi w:val="0"/>
        <w:adjustRightInd w:val="0"/>
        <w:snapToGrid/>
        <w:spacing w:before="0" w:after="0" w:line="360" w:lineRule="auto"/>
        <w:ind w:firstLine="0"/>
        <w:jc w:val="center"/>
        <w:textAlignment w:val="baseline"/>
        <w:outlineLvl w:val="0"/>
        <w:rPr>
          <w:rFonts w:hint="eastAsia"/>
          <w:color w:val="auto"/>
          <w:sz w:val="32"/>
          <w:szCs w:val="32"/>
          <w:highlight w:val="none"/>
          <w:lang w:val="en-US" w:eastAsia="zh-CN"/>
        </w:rPr>
      </w:pPr>
      <w:bookmarkStart w:id="4" w:name="_GoBack"/>
      <w:bookmarkEnd w:id="4"/>
      <w:r>
        <w:rPr>
          <w:rFonts w:hint="eastAsia"/>
          <w:color w:val="auto"/>
          <w:sz w:val="32"/>
          <w:szCs w:val="32"/>
          <w:highlight w:val="none"/>
          <w:lang w:val="en-US" w:eastAsia="zh-CN"/>
        </w:rPr>
        <w:t xml:space="preserve"> 供应商须知前附表</w:t>
      </w:r>
    </w:p>
    <w:p>
      <w:pPr>
        <w:autoSpaceDE w:val="0"/>
        <w:autoSpaceDN w:val="0"/>
        <w:adjustRightInd w:val="0"/>
        <w:spacing w:line="360" w:lineRule="auto"/>
        <w:ind w:right="-11" w:firstLine="482" w:firstLineChars="200"/>
        <w:jc w:val="left"/>
        <w:rPr>
          <w:rFonts w:hint="eastAsia" w:ascii="宋体" w:hAnsi="宋体" w:eastAsia="宋体" w:cs="宋体"/>
          <w:b/>
          <w:color w:val="auto"/>
          <w:kern w:val="0"/>
          <w:sz w:val="24"/>
          <w:szCs w:val="24"/>
          <w:highlight w:val="none"/>
        </w:rPr>
      </w:pPr>
      <w:r>
        <w:rPr>
          <w:rFonts w:hint="eastAsia" w:ascii="宋体" w:hAnsi="宋体" w:eastAsia="宋体" w:cs="宋体"/>
          <w:b/>
          <w:color w:val="auto"/>
          <w:sz w:val="24"/>
          <w:szCs w:val="24"/>
          <w:highlight w:val="none"/>
        </w:rPr>
        <w:t>谈判文件中凡标有★条款均为实质性要求条款，响应文件须完全响应，未实质响应的，按照无效响应处理。</w:t>
      </w:r>
    </w:p>
    <w:tbl>
      <w:tblPr>
        <w:tblStyle w:val="25"/>
        <w:tblW w:w="97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6"/>
        <w:gridCol w:w="2242"/>
        <w:gridCol w:w="67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2242"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条款名称</w:t>
            </w:r>
          </w:p>
        </w:tc>
        <w:tc>
          <w:tcPr>
            <w:tcW w:w="6741"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说明和要求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242"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采购项目</w:t>
            </w:r>
          </w:p>
        </w:tc>
        <w:tc>
          <w:tcPr>
            <w:tcW w:w="6741" w:type="dxa"/>
          </w:tcPr>
          <w:p>
            <w:pPr>
              <w:pageBreakBefore w:val="0"/>
              <w:kinsoku/>
              <w:wordWrap/>
              <w:overflowPunct/>
              <w:topLinePunct w:val="0"/>
              <w:autoSpaceDE w:val="0"/>
              <w:autoSpaceDN w:val="0"/>
              <w:bidi w:val="0"/>
              <w:adjustRightInd w:val="0"/>
              <w:snapToGrid/>
              <w:spacing w:line="360" w:lineRule="auto"/>
              <w:ind w:right="0"/>
              <w:jc w:val="lef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项目名称：禹州市教育体育局禹州市实验学校维修改造项目（</w:t>
            </w:r>
            <w:r>
              <w:rPr>
                <w:rFonts w:hint="eastAsia" w:ascii="宋体" w:hAnsi="宋体" w:eastAsia="宋体" w:cs="宋体"/>
                <w:color w:val="auto"/>
                <w:sz w:val="24"/>
                <w:szCs w:val="24"/>
                <w:highlight w:val="none"/>
                <w:lang w:val="en-US" w:eastAsia="zh-CN"/>
              </w:rPr>
              <w:t>不见面开标</w:t>
            </w:r>
            <w:r>
              <w:rPr>
                <w:rFonts w:hint="eastAsia" w:ascii="宋体" w:hAnsi="宋体" w:eastAsia="宋体" w:cs="宋体"/>
                <w:color w:val="auto"/>
                <w:sz w:val="24"/>
                <w:szCs w:val="24"/>
                <w:highlight w:val="none"/>
                <w:lang w:val="zh-CN" w:eastAsia="zh-CN"/>
              </w:rPr>
              <w:t>）</w:t>
            </w:r>
          </w:p>
          <w:p>
            <w:pPr>
              <w:keepNext w:val="0"/>
              <w:keepLines w:val="0"/>
              <w:pageBreakBefore w:val="0"/>
              <w:widowControl/>
              <w:suppressLineNumbers w:val="0"/>
              <w:kinsoku/>
              <w:wordWrap/>
              <w:overflowPunct/>
              <w:topLinePunct w:val="0"/>
              <w:bidi w:val="0"/>
              <w:snapToGrid/>
              <w:spacing w:line="360" w:lineRule="auto"/>
              <w:ind w:right="0"/>
              <w:jc w:val="left"/>
              <w:rPr>
                <w:color w:val="auto"/>
                <w:sz w:val="24"/>
                <w:szCs w:val="24"/>
                <w:highlight w:val="none"/>
              </w:rPr>
            </w:pPr>
            <w:r>
              <w:rPr>
                <w:rFonts w:hint="eastAsia" w:ascii="宋体" w:hAnsi="宋体" w:eastAsia="宋体" w:cs="宋体"/>
                <w:color w:val="auto"/>
                <w:sz w:val="24"/>
                <w:szCs w:val="24"/>
                <w:highlight w:val="none"/>
                <w:lang w:val="zh-CN" w:eastAsia="zh-CN"/>
              </w:rPr>
              <w:t>采购编号：</w:t>
            </w:r>
            <w:r>
              <w:rPr>
                <w:rFonts w:hint="eastAsia" w:ascii="宋体" w:hAnsi="宋体" w:eastAsia="宋体" w:cs="宋体"/>
                <w:color w:val="auto"/>
                <w:kern w:val="0"/>
                <w:sz w:val="24"/>
                <w:szCs w:val="24"/>
                <w:highlight w:val="none"/>
                <w:lang w:val="en-US" w:eastAsia="zh-CN" w:bidi="ar"/>
              </w:rPr>
              <w:t xml:space="preserve">YZCG-DLT2024058 </w:t>
            </w:r>
          </w:p>
          <w:p>
            <w:pPr>
              <w:pageBreakBefore w:val="0"/>
              <w:kinsoku/>
              <w:wordWrap/>
              <w:overflowPunct/>
              <w:topLinePunct w:val="0"/>
              <w:autoSpaceDE w:val="0"/>
              <w:autoSpaceDN w:val="0"/>
              <w:bidi w:val="0"/>
              <w:adjustRightInd w:val="0"/>
              <w:snapToGrid/>
              <w:spacing w:line="360" w:lineRule="auto"/>
              <w:ind w:right="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采购需求：</w:t>
            </w:r>
            <w:r>
              <w:rPr>
                <w:rFonts w:hint="eastAsia" w:ascii="宋体" w:hAnsi="宋体" w:eastAsia="宋体" w:cs="宋体"/>
                <w:color w:val="auto"/>
                <w:sz w:val="24"/>
                <w:szCs w:val="24"/>
                <w:highlight w:val="none"/>
                <w:lang w:val="zh-CN" w:eastAsia="zh-CN"/>
              </w:rPr>
              <w:t>禹州市教育体育局禹州市实验学校维修改造项目</w:t>
            </w:r>
            <w:r>
              <w:rPr>
                <w:rFonts w:hint="eastAsia" w:ascii="宋体" w:hAnsi="宋体" w:eastAsia="宋体" w:cs="宋体"/>
                <w:color w:val="auto"/>
                <w:sz w:val="24"/>
                <w:szCs w:val="24"/>
                <w:highlight w:val="none"/>
                <w:shd w:val="clear" w:color="auto" w:fill="FFFFFF"/>
                <w:lang w:eastAsia="zh-CN"/>
              </w:rPr>
              <w:t>施工，具体内容详见竞争性谈判文件</w:t>
            </w:r>
          </w:p>
          <w:p>
            <w:pPr>
              <w:pageBreakBefore w:val="0"/>
              <w:kinsoku/>
              <w:wordWrap/>
              <w:overflowPunct/>
              <w:topLinePunct w:val="0"/>
              <w:autoSpaceDE w:val="0"/>
              <w:autoSpaceDN w:val="0"/>
              <w:bidi w:val="0"/>
              <w:adjustRightInd w:val="0"/>
              <w:snapToGrid/>
              <w:spacing w:line="360" w:lineRule="auto"/>
              <w:ind w:right="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交付（实施）的时间（期限）</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自合同签订后</w:t>
            </w:r>
            <w:r>
              <w:rPr>
                <w:rFonts w:hint="eastAsia" w:ascii="宋体" w:hAnsi="宋体" w:eastAsia="宋体" w:cs="宋体"/>
                <w:color w:val="auto"/>
                <w:sz w:val="24"/>
                <w:szCs w:val="24"/>
                <w:highlight w:val="none"/>
                <w:lang w:val="en-US" w:eastAsia="zh-CN"/>
              </w:rPr>
              <w:t>2个月</w:t>
            </w:r>
          </w:p>
          <w:p>
            <w:pPr>
              <w:pStyle w:val="11"/>
              <w:ind w:left="0" w:leftChars="0" w:firstLine="0" w:firstLineChars="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质量目标：</w:t>
            </w:r>
            <w:r>
              <w:rPr>
                <w:rFonts w:hint="eastAsia" w:ascii="宋体" w:hAnsi="宋体" w:eastAsia="宋体" w:cs="宋体"/>
                <w:color w:val="auto"/>
                <w:sz w:val="24"/>
                <w:szCs w:val="24"/>
                <w:highlight w:val="none"/>
                <w:shd w:val="clear" w:color="auto" w:fill="FFFFFF"/>
                <w:lang w:val="en-US" w:eastAsia="zh-CN"/>
              </w:rPr>
              <w:t>合格（符合国家现行的验收规范和标准）</w:t>
            </w:r>
          </w:p>
          <w:p>
            <w:pPr>
              <w:pStyle w:val="3"/>
              <w:keepNext/>
              <w:keepLines/>
              <w:pageBreakBefore w:val="0"/>
              <w:widowControl w:val="0"/>
              <w:numPr>
                <w:ilvl w:val="1"/>
                <w:numId w:val="0"/>
              </w:numPr>
              <w:kinsoku/>
              <w:wordWrap/>
              <w:overflowPunct/>
              <w:topLinePunct w:val="0"/>
              <w:autoSpaceDE/>
              <w:autoSpaceDN/>
              <w:bidi w:val="0"/>
              <w:adjustRightInd w:val="0"/>
              <w:snapToGrid/>
              <w:spacing w:before="0" w:after="0" w:line="360" w:lineRule="auto"/>
              <w:ind w:right="0"/>
              <w:textAlignment w:val="baseline"/>
              <w:rPr>
                <w:rFonts w:hint="default"/>
                <w:color w:val="auto"/>
                <w:sz w:val="24"/>
                <w:szCs w:val="24"/>
                <w:highlight w:val="none"/>
                <w:lang w:val="en-US" w:eastAsia="zh-CN"/>
              </w:rPr>
            </w:pPr>
            <w:r>
              <w:rPr>
                <w:rFonts w:hint="eastAsia" w:ascii="宋体" w:hAnsi="宋体" w:eastAsia="宋体" w:cs="宋体"/>
                <w:b w:val="0"/>
                <w:bCs w:val="0"/>
                <w:color w:val="auto"/>
                <w:kern w:val="2"/>
                <w:sz w:val="24"/>
                <w:szCs w:val="24"/>
                <w:highlight w:val="none"/>
                <w:shd w:val="clear" w:color="auto" w:fill="FFFFFF"/>
                <w:lang w:val="en-US" w:eastAsia="zh-CN" w:bidi="ar-SA"/>
              </w:rPr>
              <w:t>履约地点：禹州市</w:t>
            </w:r>
            <w:r>
              <w:rPr>
                <w:rFonts w:hint="eastAsia" w:ascii="宋体" w:hAnsi="宋体" w:eastAsia="宋体" w:cs="宋体"/>
                <w:b w:val="0"/>
                <w:bCs w:val="0"/>
                <w:color w:val="auto"/>
                <w:sz w:val="24"/>
                <w:szCs w:val="24"/>
                <w:highlight w:val="none"/>
                <w:lang w:val="zh-CN" w:eastAsia="zh-CN"/>
              </w:rPr>
              <w:t>郭连镇寇寨小学院内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7"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242"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w:t>
            </w:r>
          </w:p>
        </w:tc>
        <w:tc>
          <w:tcPr>
            <w:tcW w:w="6741" w:type="dxa"/>
            <w:vAlign w:val="center"/>
          </w:tcPr>
          <w:p>
            <w:pPr>
              <w:pageBreakBefore w:val="0"/>
              <w:widowControl/>
              <w:shd w:val="clear" w:color="auto" w:fill="FFFFFF"/>
              <w:kinsoku/>
              <w:wordWrap/>
              <w:overflowPunct/>
              <w:topLinePunct w:val="0"/>
              <w:bidi w:val="0"/>
              <w:snapToGrid/>
              <w:spacing w:line="360" w:lineRule="auto"/>
              <w:ind w:right="0"/>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采购单位：禹州市</w:t>
            </w:r>
            <w:r>
              <w:rPr>
                <w:rFonts w:hint="eastAsia" w:ascii="宋体" w:hAnsi="宋体" w:eastAsia="宋体" w:cs="宋体"/>
                <w:color w:val="auto"/>
                <w:sz w:val="24"/>
                <w:szCs w:val="24"/>
                <w:highlight w:val="none"/>
                <w:shd w:val="clear" w:color="auto" w:fill="FFFFFF"/>
                <w:lang w:val="en-US" w:eastAsia="zh-CN"/>
              </w:rPr>
              <w:t>教育体育</w:t>
            </w:r>
            <w:r>
              <w:rPr>
                <w:rFonts w:hint="eastAsia" w:ascii="宋体" w:hAnsi="宋体" w:eastAsia="宋体" w:cs="宋体"/>
                <w:color w:val="auto"/>
                <w:sz w:val="24"/>
                <w:szCs w:val="24"/>
                <w:highlight w:val="none"/>
                <w:shd w:val="clear" w:color="auto" w:fill="FFFFFF"/>
              </w:rPr>
              <w:t>局</w:t>
            </w:r>
          </w:p>
          <w:p>
            <w:pPr>
              <w:pageBreakBefore w:val="0"/>
              <w:widowControl/>
              <w:shd w:val="clear" w:color="auto" w:fill="FFFFFF"/>
              <w:kinsoku/>
              <w:wordWrap/>
              <w:overflowPunct/>
              <w:topLinePunct w:val="0"/>
              <w:bidi w:val="0"/>
              <w:snapToGrid/>
              <w:spacing w:line="360" w:lineRule="auto"/>
              <w:ind w:right="0"/>
              <w:jc w:val="left"/>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rPr>
              <w:t>地址：禹州市</w:t>
            </w:r>
            <w:r>
              <w:rPr>
                <w:rFonts w:hint="eastAsia" w:ascii="宋体" w:hAnsi="宋体" w:eastAsia="宋体" w:cs="宋体"/>
                <w:color w:val="auto"/>
                <w:sz w:val="24"/>
                <w:szCs w:val="24"/>
                <w:highlight w:val="none"/>
                <w:shd w:val="clear" w:color="auto" w:fill="FFFFFF"/>
                <w:lang w:val="en-US" w:eastAsia="zh-CN"/>
              </w:rPr>
              <w:t>禹王大道</w:t>
            </w:r>
          </w:p>
          <w:p>
            <w:pPr>
              <w:pageBreakBefore w:val="0"/>
              <w:widowControl/>
              <w:shd w:val="clear" w:color="auto" w:fill="FFFFFF"/>
              <w:kinsoku/>
              <w:wordWrap/>
              <w:overflowPunct/>
              <w:topLinePunct w:val="0"/>
              <w:bidi w:val="0"/>
              <w:snapToGrid/>
              <w:spacing w:line="360" w:lineRule="auto"/>
              <w:ind w:right="0"/>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联系人：</w:t>
            </w:r>
            <w:r>
              <w:rPr>
                <w:rFonts w:hint="eastAsia" w:ascii="宋体" w:hAnsi="宋体" w:eastAsia="宋体" w:cs="宋体"/>
                <w:color w:val="auto"/>
                <w:sz w:val="24"/>
                <w:szCs w:val="24"/>
                <w:highlight w:val="none"/>
                <w:shd w:val="clear" w:color="auto" w:fill="FFFFFF"/>
                <w:lang w:val="en-US" w:eastAsia="zh-CN"/>
              </w:rPr>
              <w:t>连</w:t>
            </w:r>
            <w:r>
              <w:rPr>
                <w:rFonts w:hint="eastAsia" w:ascii="宋体" w:hAnsi="宋体" w:eastAsia="宋体" w:cs="宋体"/>
                <w:color w:val="auto"/>
                <w:sz w:val="24"/>
                <w:szCs w:val="24"/>
                <w:highlight w:val="none"/>
                <w:shd w:val="clear" w:color="auto" w:fill="FFFFFF"/>
              </w:rPr>
              <w:t>先生  联系电话：0374-</w:t>
            </w:r>
            <w:r>
              <w:rPr>
                <w:rFonts w:hint="eastAsia" w:ascii="宋体" w:hAnsi="宋体" w:eastAsia="宋体" w:cs="宋体"/>
                <w:color w:val="auto"/>
                <w:sz w:val="24"/>
                <w:szCs w:val="24"/>
                <w:highlight w:val="none"/>
                <w:shd w:val="clear" w:color="auto" w:fill="FFFFFF"/>
                <w:lang w:val="en-US" w:eastAsia="zh-CN"/>
              </w:rPr>
              <w:t>8880080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242"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w:t>
            </w:r>
            <w:r>
              <w:rPr>
                <w:rFonts w:hint="eastAsia" w:ascii="宋体" w:hAnsi="宋体" w:eastAsia="宋体" w:cs="宋体"/>
                <w:color w:val="auto"/>
                <w:sz w:val="24"/>
                <w:szCs w:val="24"/>
                <w:highlight w:val="none"/>
                <w:lang w:eastAsia="zh-CN"/>
              </w:rPr>
              <w:t>代理</w:t>
            </w:r>
            <w:r>
              <w:rPr>
                <w:rFonts w:hint="eastAsia" w:ascii="宋体" w:hAnsi="宋体" w:eastAsia="宋体" w:cs="宋体"/>
                <w:color w:val="auto"/>
                <w:sz w:val="24"/>
                <w:szCs w:val="24"/>
                <w:highlight w:val="none"/>
              </w:rPr>
              <w:t>机构</w:t>
            </w:r>
          </w:p>
        </w:tc>
        <w:tc>
          <w:tcPr>
            <w:tcW w:w="6741" w:type="dxa"/>
            <w:vAlign w:val="center"/>
          </w:tcPr>
          <w:p>
            <w:pPr>
              <w:pageBreakBefore w:val="0"/>
              <w:kinsoku/>
              <w:wordWrap/>
              <w:overflowPunct/>
              <w:topLinePunct w:val="0"/>
              <w:autoSpaceDE w:val="0"/>
              <w:autoSpaceDN w:val="0"/>
              <w:bidi w:val="0"/>
              <w:adjustRightInd w:val="0"/>
              <w:snapToGrid/>
              <w:spacing w:line="360" w:lineRule="auto"/>
              <w:ind w:right="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lang w:eastAsia="zh-CN"/>
              </w:rPr>
              <w:t>宏翔建设工程管理有限公司</w:t>
            </w:r>
          </w:p>
          <w:p>
            <w:pPr>
              <w:pageBreakBefore w:val="0"/>
              <w:kinsoku/>
              <w:wordWrap/>
              <w:overflowPunct/>
              <w:topLinePunct w:val="0"/>
              <w:autoSpaceDE w:val="0"/>
              <w:autoSpaceDN w:val="0"/>
              <w:bidi w:val="0"/>
              <w:adjustRightInd w:val="0"/>
              <w:snapToGrid/>
              <w:spacing w:line="360" w:lineRule="auto"/>
              <w:ind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shd w:val="clear" w:color="auto" w:fill="FFFFFF"/>
                <w:lang w:eastAsia="zh-CN"/>
              </w:rPr>
              <w:t>河南省郑州市金水区纬五路</w:t>
            </w:r>
            <w:r>
              <w:rPr>
                <w:rFonts w:hint="eastAsia" w:ascii="宋体" w:hAnsi="宋体" w:eastAsia="宋体" w:cs="宋体"/>
                <w:color w:val="auto"/>
                <w:sz w:val="24"/>
                <w:szCs w:val="24"/>
                <w:highlight w:val="none"/>
                <w:shd w:val="clear" w:color="auto" w:fill="FFFFFF"/>
                <w:lang w:val="en-US" w:eastAsia="zh-CN"/>
              </w:rPr>
              <w:t>12-1号供销大厦518室</w:t>
            </w:r>
          </w:p>
          <w:p>
            <w:pPr>
              <w:pageBreakBefore w:val="0"/>
              <w:kinsoku/>
              <w:wordWrap/>
              <w:overflowPunct/>
              <w:topLinePunct w:val="0"/>
              <w:autoSpaceDE w:val="0"/>
              <w:autoSpaceDN w:val="0"/>
              <w:bidi w:val="0"/>
              <w:adjustRightInd w:val="0"/>
              <w:snapToGrid/>
              <w:spacing w:line="360" w:lineRule="auto"/>
              <w:ind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联系人：张女士    联系电话：13673373571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2242"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rPr>
              <w:t>供应商资格</w:t>
            </w:r>
          </w:p>
        </w:tc>
        <w:tc>
          <w:tcPr>
            <w:tcW w:w="6741" w:type="dxa"/>
            <w:vAlign w:val="center"/>
          </w:tcPr>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一、中小企业或者残疾人福利性单位声明函</w:t>
            </w:r>
          </w:p>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1</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zh-CN"/>
              </w:rPr>
              <w:t>中小企业出具《中小企业声明函》</w:t>
            </w:r>
          </w:p>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2</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zh-CN"/>
              </w:rPr>
              <w:t>残疾人福利性单位出具《残疾人福利企业声明函》</w:t>
            </w:r>
          </w:p>
          <w:p>
            <w:pPr>
              <w:keepNext w:val="0"/>
              <w:keepLines w:val="0"/>
              <w:pageBreakBefore w:val="0"/>
              <w:widowControl/>
              <w:suppressLineNumbers w:val="0"/>
              <w:kinsoku/>
              <w:wordWrap/>
              <w:overflowPunct/>
              <w:topLinePunct w:val="0"/>
              <w:bidi w:val="0"/>
              <w:snapToGrid/>
              <w:spacing w:line="360" w:lineRule="auto"/>
              <w:ind w:right="0"/>
              <w:jc w:val="left"/>
              <w:rPr>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3.监狱企业提供由省级以上监狱管理局、戒毒管理局(含新疆 </w:t>
            </w:r>
          </w:p>
          <w:p>
            <w:pPr>
              <w:keepNext w:val="0"/>
              <w:keepLines w:val="0"/>
              <w:pageBreakBefore w:val="0"/>
              <w:widowControl/>
              <w:suppressLineNumbers w:val="0"/>
              <w:kinsoku/>
              <w:wordWrap/>
              <w:overflowPunct/>
              <w:topLinePunct w:val="0"/>
              <w:bidi w:val="0"/>
              <w:snapToGrid/>
              <w:spacing w:line="360" w:lineRule="auto"/>
              <w:ind w:right="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生产建设兵团）出具的属于监狱企业的证明文件 </w:t>
            </w:r>
          </w:p>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b/>
                <w:bCs w:val="0"/>
                <w:color w:val="auto"/>
                <w:sz w:val="24"/>
                <w:szCs w:val="24"/>
                <w:highlight w:val="none"/>
                <w:lang w:val="zh-CN"/>
              </w:rPr>
            </w:pPr>
            <w:r>
              <w:rPr>
                <w:rFonts w:hint="eastAsia" w:ascii="宋体" w:hAnsi="宋体" w:eastAsia="宋体" w:cs="宋体"/>
                <w:b/>
                <w:bCs w:val="0"/>
                <w:color w:val="auto"/>
                <w:sz w:val="24"/>
                <w:szCs w:val="24"/>
                <w:highlight w:val="none"/>
                <w:lang w:val="zh-CN"/>
              </w:rPr>
              <w:t>二、符合《政府采购法》第二十二条规定</w:t>
            </w:r>
          </w:p>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1．具有独立承担民事责任的能力；</w:t>
            </w:r>
          </w:p>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2．具有良好的商业信誉和健全的财务会计制度；</w:t>
            </w:r>
          </w:p>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3．具有履行合同所必需的设备和专业技术能力；</w:t>
            </w:r>
          </w:p>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4．具有依法缴纳税收和社会保障资金的良好记录；</w:t>
            </w:r>
          </w:p>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5．参加政府采购活动前三年内，在经营活动中没有重大违法记录；</w:t>
            </w:r>
          </w:p>
          <w:p>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outlineLvl w:val="9"/>
              <w:rPr>
                <w:rFonts w:hint="eastAsia"/>
                <w:color w:val="auto"/>
                <w:sz w:val="24"/>
                <w:szCs w:val="24"/>
                <w:highlight w:val="none"/>
                <w:lang w:val="zh-CN"/>
              </w:rPr>
            </w:pPr>
            <w:r>
              <w:rPr>
                <w:rFonts w:hint="eastAsia" w:ascii="宋体" w:hAnsi="宋体" w:eastAsia="宋体" w:cs="宋体"/>
                <w:bCs/>
                <w:color w:val="auto"/>
                <w:sz w:val="24"/>
                <w:szCs w:val="24"/>
                <w:highlight w:val="none"/>
                <w:lang w:val="zh-CN" w:eastAsia="zh-CN"/>
              </w:rPr>
              <w:t>6.</w:t>
            </w:r>
            <w:r>
              <w:rPr>
                <w:rFonts w:hint="eastAsia" w:ascii="宋体" w:hAnsi="宋体" w:eastAsia="宋体" w:cs="宋体"/>
                <w:color w:val="auto"/>
                <w:sz w:val="24"/>
                <w:szCs w:val="24"/>
                <w:highlight w:val="none"/>
                <w:shd w:val="clear" w:color="auto" w:fill="FFFFFF"/>
                <w:lang w:val="en-US" w:eastAsia="zh-CN"/>
              </w:rPr>
              <w:t>未被列入“信用中国”网站（www.creditchina.gov.cn）失信被执行人、重大税收违法失信主体的供应商；“中国政府采购网”网站（www.ccgp.gov.cn）政府采购严重违法失信行为记录名单的供应商；“中国社会组织政务服务平台”网站 （</w:t>
            </w:r>
            <w:r>
              <w:rPr>
                <w:rFonts w:hint="eastAsia" w:ascii="宋体" w:hAnsi="宋体" w:eastAsia="宋体" w:cs="宋体"/>
                <w:b w:val="0"/>
                <w:bCs w:val="0"/>
                <w:color w:val="auto"/>
                <w:sz w:val="24"/>
                <w:szCs w:val="24"/>
                <w:highlight w:val="none"/>
                <w:lang w:val="zh-CN" w:eastAsia="zh-CN"/>
              </w:rPr>
              <w:t>https://chinanpo.mca.gov.cn</w:t>
            </w:r>
            <w:r>
              <w:rPr>
                <w:rFonts w:hint="eastAsia" w:ascii="宋体" w:hAnsi="宋体" w:eastAsia="宋体" w:cs="宋体"/>
                <w:color w:val="auto"/>
                <w:sz w:val="24"/>
                <w:szCs w:val="24"/>
                <w:highlight w:val="none"/>
                <w:shd w:val="clear" w:color="auto" w:fill="FFFFFF"/>
                <w:lang w:val="en-US" w:eastAsia="zh-CN"/>
              </w:rPr>
              <w:t xml:space="preserve">）严重违法失信名单的社会组织的供应商。 </w:t>
            </w:r>
          </w:p>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注：</w:t>
            </w:r>
          </w:p>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1</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zh-CN"/>
              </w:rPr>
              <w:t>供应商在投标时，提供《禹州市政府采购供应商信用承诺函》（详见谈判文件第八章3.</w:t>
            </w: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lang w:val="zh-CN"/>
              </w:rPr>
              <w:t>格式），无需再提交上述证明材料。</w:t>
            </w:r>
          </w:p>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2</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zh-CN"/>
              </w:rPr>
              <w:t>采购人有权在签订合同前要求成交供应商提供相关证明材料以核实成交供应商承诺事项的真实性。</w:t>
            </w:r>
          </w:p>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3</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zh-CN" w:eastAsia="zh-CN"/>
              </w:rPr>
              <w:t>供应商对信用承诺内容的真实性、合法性、有效性负责。如作出虚假信用承诺，视同为“提供虚假材料谋取中标”的违法行为。</w:t>
            </w:r>
          </w:p>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b/>
                <w:bCs w:val="0"/>
                <w:color w:val="auto"/>
                <w:sz w:val="24"/>
                <w:szCs w:val="24"/>
                <w:highlight w:val="none"/>
                <w:lang w:val="zh-CN" w:eastAsia="zh-CN"/>
              </w:rPr>
            </w:pPr>
            <w:r>
              <w:rPr>
                <w:rFonts w:hint="eastAsia" w:ascii="宋体" w:hAnsi="宋体" w:eastAsia="宋体" w:cs="宋体"/>
                <w:b/>
                <w:bCs w:val="0"/>
                <w:color w:val="auto"/>
                <w:sz w:val="24"/>
                <w:szCs w:val="24"/>
                <w:highlight w:val="none"/>
                <w:lang w:val="zh-CN" w:eastAsia="zh-CN"/>
              </w:rPr>
              <w:t>三、供应商应具备的特定资格要求</w:t>
            </w:r>
          </w:p>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val="zh-CN" w:eastAsia="zh-CN"/>
              </w:rPr>
              <w:t>供应商须具备建设行政主管部门核发的建筑工程施工总承包叁级及以上资质，并具有有效的安全生产许可证。</w:t>
            </w:r>
          </w:p>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val="zh-CN" w:eastAsia="zh-CN"/>
              </w:rPr>
              <w:t>拟派项目经理须具有建筑工程专业贰级及以上注册建造师执业资格和有效的安全生产考核合格证书，且未担任其他在施建设项目的项目经理。</w:t>
            </w:r>
          </w:p>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b/>
                <w:bCs w:val="0"/>
                <w:color w:val="auto"/>
                <w:sz w:val="24"/>
                <w:szCs w:val="24"/>
                <w:highlight w:val="none"/>
                <w:lang w:val="zh-CN" w:eastAsia="zh-CN"/>
              </w:rPr>
            </w:pPr>
            <w:r>
              <w:rPr>
                <w:rFonts w:hint="eastAsia" w:ascii="宋体" w:hAnsi="宋体" w:eastAsia="宋体" w:cs="宋体"/>
                <w:b/>
                <w:bCs w:val="0"/>
                <w:color w:val="auto"/>
                <w:sz w:val="24"/>
                <w:szCs w:val="24"/>
                <w:highlight w:val="none"/>
                <w:lang w:val="en-US" w:eastAsia="zh-CN"/>
              </w:rPr>
              <w:t xml:space="preserve">四、单位负责人为同一人或者存在直接控股、管理关系的不同 </w:t>
            </w:r>
          </w:p>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供应商，不得参加同一合同项下的政府采购活动。 </w:t>
            </w:r>
          </w:p>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b/>
                <w:bCs w:val="0"/>
                <w:color w:val="auto"/>
                <w:sz w:val="24"/>
                <w:szCs w:val="24"/>
                <w:highlight w:val="none"/>
                <w:lang w:val="zh-CN" w:eastAsia="zh-CN"/>
              </w:rPr>
            </w:pPr>
            <w:r>
              <w:rPr>
                <w:rFonts w:hint="eastAsia" w:ascii="宋体" w:hAnsi="宋体" w:eastAsia="宋体" w:cs="宋体"/>
                <w:b/>
                <w:bCs w:val="0"/>
                <w:color w:val="auto"/>
                <w:sz w:val="24"/>
                <w:szCs w:val="24"/>
                <w:highlight w:val="none"/>
                <w:lang w:val="en-US" w:eastAsia="zh-CN"/>
              </w:rPr>
              <w:t xml:space="preserve">五、为本项目提供整体设计、规范编制或者项目管理、监理、 </w:t>
            </w:r>
          </w:p>
          <w:p>
            <w:pPr>
              <w:pageBreakBefore w:val="0"/>
              <w:kinsoku/>
              <w:wordWrap/>
              <w:overflowPunct/>
              <w:topLinePunct w:val="0"/>
              <w:autoSpaceDE w:val="0"/>
              <w:autoSpaceDN w:val="0"/>
              <w:bidi w:val="0"/>
              <w:adjustRightInd w:val="0"/>
              <w:snapToGrid/>
              <w:spacing w:line="360" w:lineRule="auto"/>
              <w:ind w:right="0"/>
              <w:rPr>
                <w:rFonts w:hint="eastAsia"/>
                <w:color w:val="auto"/>
                <w:sz w:val="24"/>
                <w:szCs w:val="24"/>
                <w:highlight w:val="none"/>
                <w:lang w:val="zh-CN"/>
              </w:rPr>
            </w:pPr>
            <w:r>
              <w:rPr>
                <w:rFonts w:hint="eastAsia" w:ascii="宋体" w:hAnsi="宋体" w:eastAsia="宋体" w:cs="宋体"/>
                <w:b/>
                <w:bCs w:val="0"/>
                <w:color w:val="auto"/>
                <w:sz w:val="24"/>
                <w:szCs w:val="24"/>
                <w:highlight w:val="none"/>
                <w:lang w:val="en-US" w:eastAsia="zh-CN"/>
              </w:rPr>
              <w:t xml:space="preserve">检测等服务的供应商不得参加本项目响应。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2242"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bCs/>
                <w:color w:val="auto"/>
                <w:sz w:val="24"/>
                <w:szCs w:val="24"/>
                <w:highlight w:val="none"/>
                <w:lang w:val="zh-CN"/>
              </w:rPr>
            </w:pPr>
            <w:r>
              <w:rPr>
                <w:rFonts w:hint="eastAsia" w:ascii="宋体" w:hAnsi="宋体" w:eastAsia="宋体" w:cs="宋体"/>
                <w:b/>
                <w:color w:val="auto"/>
                <w:sz w:val="24"/>
                <w:szCs w:val="24"/>
                <w:highlight w:val="none"/>
              </w:rPr>
              <w:t>★</w:t>
            </w:r>
            <w:r>
              <w:rPr>
                <w:rFonts w:hint="eastAsia" w:ascii="宋体" w:hAnsi="宋体" w:eastAsia="宋体" w:cs="宋体"/>
                <w:bCs/>
                <w:color w:val="auto"/>
                <w:sz w:val="24"/>
                <w:szCs w:val="24"/>
                <w:highlight w:val="none"/>
                <w:lang w:val="zh-CN"/>
              </w:rPr>
              <w:t>联合体响应</w:t>
            </w:r>
          </w:p>
        </w:tc>
        <w:tc>
          <w:tcPr>
            <w:tcW w:w="6741" w:type="dxa"/>
            <w:vAlign w:val="center"/>
          </w:tcPr>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bCs/>
                <w:color w:val="auto"/>
                <w:sz w:val="24"/>
                <w:szCs w:val="24"/>
                <w:highlight w:val="none"/>
                <w:lang w:val="zh-CN"/>
              </w:rPr>
            </w:pPr>
            <w:r>
              <w:rPr>
                <w:rFonts w:hint="eastAsia" w:ascii="宋体" w:hAnsi="宋体" w:eastAsia="宋体" w:cs="宋体"/>
                <w:color w:val="auto"/>
                <w:kern w:val="0"/>
                <w:sz w:val="24"/>
                <w:szCs w:val="24"/>
                <w:highlight w:val="none"/>
              </w:rPr>
              <w:t>本项目</w:t>
            </w:r>
            <w:r>
              <w:rPr>
                <w:rFonts w:hint="eastAsia" w:ascii="宋体" w:hAnsi="宋体" w:eastAsia="宋体" w:cs="宋体"/>
                <w:b/>
                <w:color w:val="auto"/>
                <w:kern w:val="0"/>
                <w:sz w:val="24"/>
                <w:szCs w:val="24"/>
                <w:highlight w:val="none"/>
                <w:lang w:val="zh-CN"/>
              </w:rPr>
              <w:fldChar w:fldCharType="begin"/>
            </w:r>
            <w:r>
              <w:rPr>
                <w:rFonts w:hint="eastAsia" w:ascii="宋体" w:hAnsi="宋体" w:eastAsia="宋体" w:cs="宋体"/>
                <w:b/>
                <w:color w:val="auto"/>
                <w:kern w:val="0"/>
                <w:sz w:val="24"/>
                <w:szCs w:val="24"/>
                <w:highlight w:val="none"/>
                <w:lang w:val="zh-CN"/>
              </w:rPr>
              <w:instrText xml:space="preserve">eq \o\ac(</w:instrText>
            </w:r>
            <w:r>
              <w:rPr>
                <w:rFonts w:hint="eastAsia" w:ascii="宋体" w:hAnsi="宋体" w:eastAsia="宋体" w:cs="宋体"/>
                <w:b/>
                <w:color w:val="auto"/>
                <w:kern w:val="0"/>
                <w:position w:val="-4"/>
                <w:sz w:val="36"/>
                <w:szCs w:val="24"/>
                <w:highlight w:val="none"/>
                <w:lang w:val="zh-CN"/>
              </w:rPr>
              <w:instrText xml:space="preserve">□</w:instrText>
            </w:r>
            <w:r>
              <w:rPr>
                <w:rFonts w:hint="eastAsia" w:ascii="宋体" w:hAnsi="宋体" w:eastAsia="宋体" w:cs="宋体"/>
                <w:b/>
                <w:color w:val="auto"/>
                <w:kern w:val="0"/>
                <w:position w:val="0"/>
                <w:sz w:val="24"/>
                <w:szCs w:val="24"/>
                <w:highlight w:val="none"/>
                <w:lang w:val="zh-CN"/>
              </w:rPr>
              <w:instrText xml:space="preserve">,√)</w:instrText>
            </w:r>
            <w:r>
              <w:rPr>
                <w:rFonts w:hint="eastAsia" w:ascii="宋体" w:hAnsi="宋体" w:eastAsia="宋体" w:cs="宋体"/>
                <w:b/>
                <w:color w:val="auto"/>
                <w:kern w:val="0"/>
                <w:sz w:val="24"/>
                <w:szCs w:val="24"/>
                <w:highlight w:val="none"/>
                <w:lang w:val="zh-CN"/>
              </w:rPr>
              <w:fldChar w:fldCharType="end"/>
            </w:r>
            <w:r>
              <w:rPr>
                <w:rFonts w:hint="eastAsia" w:ascii="宋体" w:hAnsi="宋体" w:eastAsia="宋体" w:cs="宋体"/>
                <w:color w:val="auto"/>
                <w:kern w:val="0"/>
                <w:sz w:val="24"/>
                <w:szCs w:val="24"/>
                <w:highlight w:val="none"/>
              </w:rPr>
              <w:t>不接受</w:t>
            </w:r>
            <w:r>
              <w:rPr>
                <w:rFonts w:hint="eastAsia" w:ascii="宋体" w:hAnsi="宋体" w:eastAsia="宋体" w:cs="宋体"/>
                <w:bCs/>
                <w:color w:val="auto"/>
                <w:sz w:val="24"/>
                <w:szCs w:val="24"/>
                <w:highlight w:val="none"/>
                <w:lang w:val="zh-CN"/>
              </w:rPr>
              <w:t>□接受</w:t>
            </w:r>
            <w:r>
              <w:rPr>
                <w:rFonts w:hint="eastAsia" w:ascii="宋体" w:hAnsi="宋体" w:eastAsia="宋体" w:cs="宋体"/>
                <w:color w:val="auto"/>
                <w:kern w:val="0"/>
                <w:sz w:val="24"/>
                <w:szCs w:val="24"/>
                <w:highlight w:val="none"/>
              </w:rPr>
              <w:t>联合体响应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2242"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bCs/>
                <w:color w:val="auto"/>
                <w:sz w:val="24"/>
                <w:szCs w:val="24"/>
                <w:highlight w:val="none"/>
                <w:lang w:val="zh-CN"/>
              </w:rPr>
            </w:pPr>
            <w:r>
              <w:rPr>
                <w:rFonts w:hint="eastAsia" w:ascii="宋体" w:hAnsi="宋体" w:eastAsia="宋体" w:cs="宋体"/>
                <w:b/>
                <w:color w:val="auto"/>
                <w:sz w:val="24"/>
                <w:szCs w:val="24"/>
                <w:highlight w:val="none"/>
              </w:rPr>
              <w:t>★</w:t>
            </w:r>
            <w:r>
              <w:rPr>
                <w:rFonts w:hint="eastAsia" w:ascii="宋体" w:hAnsi="宋体" w:eastAsia="宋体" w:cs="宋体"/>
                <w:bCs/>
                <w:color w:val="auto"/>
                <w:sz w:val="24"/>
                <w:szCs w:val="24"/>
                <w:highlight w:val="none"/>
                <w:lang w:val="zh-CN"/>
              </w:rPr>
              <w:t>预算金额</w:t>
            </w:r>
          </w:p>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（最高限价）</w:t>
            </w:r>
          </w:p>
        </w:tc>
        <w:tc>
          <w:tcPr>
            <w:tcW w:w="6741" w:type="dxa"/>
            <w:vAlign w:val="center"/>
          </w:tcPr>
          <w:p>
            <w:pPr>
              <w:pageBreakBefore w:val="0"/>
              <w:widowControl/>
              <w:shd w:val="clear" w:color="auto" w:fill="FFFFFF"/>
              <w:kinsoku/>
              <w:wordWrap/>
              <w:overflowPunct/>
              <w:topLinePunct w:val="0"/>
              <w:bidi w:val="0"/>
              <w:snapToGrid/>
              <w:spacing w:line="360" w:lineRule="auto"/>
              <w:ind w:right="0"/>
              <w:jc w:val="left"/>
              <w:rPr>
                <w:rFonts w:hint="eastAsia" w:ascii="宋体" w:hAnsi="宋体" w:eastAsia="宋体" w:cs="宋体"/>
                <w:color w:val="auto"/>
                <w:kern w:val="0"/>
                <w:sz w:val="24"/>
                <w:szCs w:val="24"/>
                <w:highlight w:val="none"/>
                <w:lang w:val="zh-CN"/>
              </w:rPr>
            </w:pPr>
            <w:r>
              <w:rPr>
                <w:rFonts w:hint="eastAsia" w:ascii="宋体" w:hAnsi="宋体" w:eastAsia="宋体" w:cs="宋体"/>
                <w:color w:val="auto"/>
                <w:sz w:val="24"/>
                <w:szCs w:val="24"/>
                <w:highlight w:val="none"/>
                <w:shd w:val="clear" w:color="auto" w:fill="FFFFFF"/>
                <w:lang w:val="en-US" w:eastAsia="zh-CN"/>
              </w:rPr>
              <w:t>990284.52</w:t>
            </w:r>
            <w:r>
              <w:rPr>
                <w:rFonts w:hint="eastAsia" w:ascii="宋体" w:hAnsi="宋体" w:eastAsia="宋体" w:cs="宋体"/>
                <w:color w:val="auto"/>
                <w:sz w:val="24"/>
                <w:szCs w:val="24"/>
                <w:highlight w:val="none"/>
                <w:shd w:val="clear" w:color="auto" w:fill="FFFFFF"/>
              </w:rPr>
              <w:t>元</w:t>
            </w:r>
            <w:r>
              <w:rPr>
                <w:rFonts w:hint="eastAsia" w:ascii="宋体" w:hAnsi="宋体" w:eastAsia="宋体" w:cs="宋体"/>
                <w:color w:val="auto"/>
                <w:kern w:val="0"/>
                <w:sz w:val="24"/>
                <w:szCs w:val="24"/>
                <w:highlight w:val="none"/>
                <w:lang w:val="zh-CN"/>
              </w:rPr>
              <w:t>。</w:t>
            </w:r>
          </w:p>
          <w:p>
            <w:pPr>
              <w:pageBreakBefore w:val="0"/>
              <w:widowControl/>
              <w:shd w:val="clear" w:color="auto" w:fill="FFFFFF"/>
              <w:kinsoku/>
              <w:wordWrap/>
              <w:overflowPunct/>
              <w:topLinePunct w:val="0"/>
              <w:bidi w:val="0"/>
              <w:snapToGrid/>
              <w:spacing w:line="360" w:lineRule="auto"/>
              <w:ind w:right="0"/>
              <w:jc w:val="left"/>
              <w:rPr>
                <w:rFonts w:hint="eastAsia" w:ascii="宋体" w:hAnsi="宋体" w:eastAsia="宋体" w:cs="宋体"/>
                <w:bCs/>
                <w:color w:val="auto"/>
                <w:sz w:val="24"/>
                <w:szCs w:val="24"/>
                <w:highlight w:val="none"/>
                <w:lang w:val="zh-CN"/>
              </w:rPr>
            </w:pPr>
            <w:r>
              <w:rPr>
                <w:rFonts w:hint="eastAsia" w:ascii="宋体" w:hAnsi="宋体" w:eastAsia="宋体" w:cs="宋体"/>
                <w:b/>
                <w:bCs w:val="0"/>
                <w:color w:val="auto"/>
                <w:sz w:val="24"/>
                <w:szCs w:val="24"/>
                <w:highlight w:val="none"/>
                <w:lang w:val="zh-CN"/>
              </w:rPr>
              <w:t>超出预算金额（最高限价）的响应无效。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2242"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现场考察</w:t>
            </w:r>
          </w:p>
        </w:tc>
        <w:tc>
          <w:tcPr>
            <w:tcW w:w="6741" w:type="dxa"/>
            <w:vAlign w:val="center"/>
          </w:tcPr>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color w:val="auto"/>
                <w:kern w:val="0"/>
                <w:sz w:val="24"/>
                <w:szCs w:val="24"/>
                <w:highlight w:val="none"/>
                <w:lang w:val="zh-CN"/>
              </w:rPr>
            </w:pPr>
            <w:r>
              <w:rPr>
                <w:rFonts w:hint="eastAsia" w:ascii="宋体" w:hAnsi="宋体" w:eastAsia="宋体" w:cs="宋体"/>
                <w:b/>
                <w:color w:val="auto"/>
                <w:kern w:val="0"/>
                <w:sz w:val="24"/>
                <w:szCs w:val="24"/>
                <w:highlight w:val="none"/>
                <w:lang w:val="zh-CN"/>
              </w:rPr>
              <w:fldChar w:fldCharType="begin"/>
            </w:r>
            <w:r>
              <w:rPr>
                <w:rFonts w:hint="eastAsia" w:ascii="宋体" w:hAnsi="宋体" w:eastAsia="宋体" w:cs="宋体"/>
                <w:b/>
                <w:color w:val="auto"/>
                <w:kern w:val="0"/>
                <w:sz w:val="24"/>
                <w:szCs w:val="24"/>
                <w:highlight w:val="none"/>
                <w:lang w:val="zh-CN"/>
              </w:rPr>
              <w:instrText xml:space="preserve">eq \o\ac(</w:instrText>
            </w:r>
            <w:r>
              <w:rPr>
                <w:rFonts w:hint="eastAsia" w:ascii="宋体" w:hAnsi="宋体" w:eastAsia="宋体" w:cs="宋体"/>
                <w:b/>
                <w:color w:val="auto"/>
                <w:kern w:val="0"/>
                <w:position w:val="-4"/>
                <w:sz w:val="36"/>
                <w:szCs w:val="24"/>
                <w:highlight w:val="none"/>
                <w:lang w:val="zh-CN"/>
              </w:rPr>
              <w:instrText xml:space="preserve">□</w:instrText>
            </w:r>
            <w:r>
              <w:rPr>
                <w:rFonts w:hint="eastAsia" w:ascii="宋体" w:hAnsi="宋体" w:eastAsia="宋体" w:cs="宋体"/>
                <w:b/>
                <w:color w:val="auto"/>
                <w:kern w:val="0"/>
                <w:position w:val="0"/>
                <w:sz w:val="24"/>
                <w:szCs w:val="24"/>
                <w:highlight w:val="none"/>
                <w:lang w:val="zh-CN"/>
              </w:rPr>
              <w:instrText xml:space="preserve">,√)</w:instrText>
            </w:r>
            <w:r>
              <w:rPr>
                <w:rFonts w:hint="eastAsia" w:ascii="宋体" w:hAnsi="宋体" w:eastAsia="宋体" w:cs="宋体"/>
                <w:b/>
                <w:color w:val="auto"/>
                <w:kern w:val="0"/>
                <w:sz w:val="24"/>
                <w:szCs w:val="24"/>
                <w:highlight w:val="none"/>
                <w:lang w:val="zh-CN"/>
              </w:rPr>
              <w:fldChar w:fldCharType="end"/>
            </w:r>
            <w:r>
              <w:rPr>
                <w:rFonts w:hint="eastAsia" w:ascii="宋体" w:hAnsi="宋体" w:eastAsia="宋体" w:cs="宋体"/>
                <w:bCs/>
                <w:color w:val="auto"/>
                <w:sz w:val="24"/>
                <w:szCs w:val="24"/>
                <w:highlight w:val="none"/>
                <w:lang w:val="zh-CN"/>
              </w:rPr>
              <w:t>不组织</w:t>
            </w:r>
          </w:p>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bCs/>
                <w:color w:val="auto"/>
                <w:sz w:val="24"/>
                <w:szCs w:val="24"/>
                <w:highlight w:val="none"/>
                <w:lang w:val="zh-CN"/>
              </w:rPr>
            </w:pPr>
            <w:r>
              <w:rPr>
                <w:rFonts w:hint="eastAsia" w:ascii="宋体" w:hAnsi="宋体" w:eastAsia="宋体" w:cs="宋体"/>
                <w:b/>
                <w:bCs/>
                <w:color w:val="auto"/>
                <w:sz w:val="24"/>
                <w:szCs w:val="24"/>
                <w:highlight w:val="none"/>
                <w:lang w:val="zh-CN"/>
              </w:rPr>
              <w:t>□</w:t>
            </w:r>
            <w:r>
              <w:rPr>
                <w:rFonts w:hint="eastAsia" w:ascii="宋体" w:hAnsi="宋体" w:eastAsia="宋体" w:cs="宋体"/>
                <w:bCs/>
                <w:color w:val="auto"/>
                <w:sz w:val="24"/>
                <w:szCs w:val="24"/>
                <w:highlight w:val="none"/>
                <w:lang w:val="zh-CN"/>
              </w:rPr>
              <w:t>组织，时间：      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2242"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谈判前答疑会</w:t>
            </w:r>
          </w:p>
        </w:tc>
        <w:tc>
          <w:tcPr>
            <w:tcW w:w="6741" w:type="dxa"/>
            <w:vAlign w:val="center"/>
          </w:tcPr>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color w:val="auto"/>
                <w:kern w:val="0"/>
                <w:sz w:val="24"/>
                <w:szCs w:val="24"/>
                <w:highlight w:val="none"/>
                <w:lang w:val="zh-CN"/>
              </w:rPr>
            </w:pPr>
            <w:r>
              <w:rPr>
                <w:rFonts w:hint="eastAsia" w:ascii="宋体" w:hAnsi="宋体" w:eastAsia="宋体" w:cs="宋体"/>
                <w:b/>
                <w:color w:val="auto"/>
                <w:kern w:val="0"/>
                <w:sz w:val="24"/>
                <w:szCs w:val="24"/>
                <w:highlight w:val="none"/>
                <w:lang w:val="zh-CN"/>
              </w:rPr>
              <w:fldChar w:fldCharType="begin"/>
            </w:r>
            <w:r>
              <w:rPr>
                <w:rFonts w:hint="eastAsia" w:ascii="宋体" w:hAnsi="宋体" w:eastAsia="宋体" w:cs="宋体"/>
                <w:b/>
                <w:color w:val="auto"/>
                <w:kern w:val="0"/>
                <w:sz w:val="24"/>
                <w:szCs w:val="24"/>
                <w:highlight w:val="none"/>
                <w:lang w:val="zh-CN"/>
              </w:rPr>
              <w:instrText xml:space="preserve">eq \o\ac(</w:instrText>
            </w:r>
            <w:r>
              <w:rPr>
                <w:rFonts w:hint="eastAsia" w:ascii="宋体" w:hAnsi="宋体" w:eastAsia="宋体" w:cs="宋体"/>
                <w:b/>
                <w:color w:val="auto"/>
                <w:kern w:val="0"/>
                <w:position w:val="-4"/>
                <w:sz w:val="36"/>
                <w:szCs w:val="24"/>
                <w:highlight w:val="none"/>
                <w:lang w:val="zh-CN"/>
              </w:rPr>
              <w:instrText xml:space="preserve">□</w:instrText>
            </w:r>
            <w:r>
              <w:rPr>
                <w:rFonts w:hint="eastAsia" w:ascii="宋体" w:hAnsi="宋体" w:eastAsia="宋体" w:cs="宋体"/>
                <w:b/>
                <w:color w:val="auto"/>
                <w:kern w:val="0"/>
                <w:position w:val="0"/>
                <w:sz w:val="24"/>
                <w:szCs w:val="24"/>
                <w:highlight w:val="none"/>
                <w:lang w:val="zh-CN"/>
              </w:rPr>
              <w:instrText xml:space="preserve">,√)</w:instrText>
            </w:r>
            <w:r>
              <w:rPr>
                <w:rFonts w:hint="eastAsia" w:ascii="宋体" w:hAnsi="宋体" w:eastAsia="宋体" w:cs="宋体"/>
                <w:b/>
                <w:color w:val="auto"/>
                <w:kern w:val="0"/>
                <w:sz w:val="24"/>
                <w:szCs w:val="24"/>
                <w:highlight w:val="none"/>
                <w:lang w:val="zh-CN"/>
              </w:rPr>
              <w:fldChar w:fldCharType="end"/>
            </w:r>
            <w:r>
              <w:rPr>
                <w:rFonts w:hint="eastAsia" w:ascii="宋体" w:hAnsi="宋体" w:eastAsia="宋体" w:cs="宋体"/>
                <w:bCs/>
                <w:color w:val="auto"/>
                <w:sz w:val="24"/>
                <w:szCs w:val="24"/>
                <w:highlight w:val="none"/>
                <w:lang w:val="zh-CN"/>
              </w:rPr>
              <w:t>不召开</w:t>
            </w:r>
          </w:p>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□召开，时间：      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2242"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进口产品参与</w:t>
            </w:r>
          </w:p>
        </w:tc>
        <w:tc>
          <w:tcPr>
            <w:tcW w:w="6741" w:type="dxa"/>
            <w:vAlign w:val="center"/>
          </w:tcPr>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color w:val="auto"/>
                <w:sz w:val="24"/>
                <w:szCs w:val="24"/>
                <w:highlight w:val="none"/>
              </w:rPr>
            </w:pPr>
            <w:r>
              <w:rPr>
                <w:rFonts w:hint="eastAsia" w:ascii="宋体" w:hAnsi="宋体" w:eastAsia="宋体" w:cs="宋体"/>
                <w:b/>
                <w:color w:val="auto"/>
                <w:kern w:val="0"/>
                <w:sz w:val="24"/>
                <w:szCs w:val="24"/>
                <w:highlight w:val="none"/>
                <w:lang w:val="zh-CN"/>
              </w:rPr>
              <w:fldChar w:fldCharType="begin"/>
            </w:r>
            <w:r>
              <w:rPr>
                <w:rFonts w:hint="eastAsia" w:ascii="宋体" w:hAnsi="宋体" w:eastAsia="宋体" w:cs="宋体"/>
                <w:b/>
                <w:color w:val="auto"/>
                <w:kern w:val="0"/>
                <w:sz w:val="24"/>
                <w:szCs w:val="24"/>
                <w:highlight w:val="none"/>
                <w:lang w:val="zh-CN"/>
              </w:rPr>
              <w:instrText xml:space="preserve">eq \o\ac(</w:instrText>
            </w:r>
            <w:r>
              <w:rPr>
                <w:rFonts w:hint="eastAsia" w:ascii="宋体" w:hAnsi="宋体" w:eastAsia="宋体" w:cs="宋体"/>
                <w:b/>
                <w:color w:val="auto"/>
                <w:kern w:val="0"/>
                <w:position w:val="-4"/>
                <w:sz w:val="36"/>
                <w:szCs w:val="24"/>
                <w:highlight w:val="none"/>
                <w:lang w:val="zh-CN"/>
              </w:rPr>
              <w:instrText xml:space="preserve">□</w:instrText>
            </w:r>
            <w:r>
              <w:rPr>
                <w:rFonts w:hint="eastAsia" w:ascii="宋体" w:hAnsi="宋体" w:eastAsia="宋体" w:cs="宋体"/>
                <w:b/>
                <w:color w:val="auto"/>
                <w:kern w:val="0"/>
                <w:position w:val="0"/>
                <w:sz w:val="24"/>
                <w:szCs w:val="24"/>
                <w:highlight w:val="none"/>
                <w:lang w:val="zh-CN"/>
              </w:rPr>
              <w:instrText xml:space="preserve">,√)</w:instrText>
            </w:r>
            <w:r>
              <w:rPr>
                <w:rFonts w:hint="eastAsia" w:ascii="宋体" w:hAnsi="宋体" w:eastAsia="宋体" w:cs="宋体"/>
                <w:b/>
                <w:color w:val="auto"/>
                <w:kern w:val="0"/>
                <w:sz w:val="24"/>
                <w:szCs w:val="24"/>
                <w:highlight w:val="none"/>
                <w:lang w:val="zh-CN"/>
              </w:rPr>
              <w:fldChar w:fldCharType="end"/>
            </w:r>
            <w:r>
              <w:rPr>
                <w:rFonts w:hint="eastAsia" w:ascii="宋体" w:hAnsi="宋体" w:eastAsia="宋体" w:cs="宋体"/>
                <w:bCs/>
                <w:color w:val="auto"/>
                <w:sz w:val="24"/>
                <w:szCs w:val="24"/>
                <w:highlight w:val="none"/>
                <w:lang w:val="zh-CN"/>
              </w:rPr>
              <w:t xml:space="preserve">不允许    </w:t>
            </w:r>
            <w:r>
              <w:rPr>
                <w:rFonts w:hint="eastAsia" w:ascii="宋体" w:hAnsi="宋体" w:eastAsia="宋体" w:cs="宋体"/>
                <w:b/>
                <w:bCs/>
                <w:color w:val="auto"/>
                <w:sz w:val="24"/>
                <w:szCs w:val="24"/>
                <w:highlight w:val="none"/>
                <w:lang w:val="zh-CN"/>
              </w:rPr>
              <w:t>□</w:t>
            </w:r>
            <w:r>
              <w:rPr>
                <w:rFonts w:hint="eastAsia" w:ascii="宋体" w:hAnsi="宋体" w:eastAsia="宋体" w:cs="宋体"/>
                <w:color w:val="auto"/>
                <w:sz w:val="24"/>
                <w:szCs w:val="24"/>
                <w:highlight w:val="none"/>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2242"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rPr>
              <w:t>谈判有效期</w:t>
            </w:r>
          </w:p>
        </w:tc>
        <w:tc>
          <w:tcPr>
            <w:tcW w:w="6741" w:type="dxa"/>
            <w:vAlign w:val="center"/>
          </w:tcPr>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90天（自</w:t>
            </w:r>
            <w:r>
              <w:rPr>
                <w:rFonts w:hint="eastAsia" w:ascii="宋体" w:hAnsi="宋体" w:eastAsia="宋体" w:cs="宋体"/>
                <w:color w:val="auto"/>
                <w:kern w:val="0"/>
                <w:sz w:val="24"/>
                <w:szCs w:val="24"/>
                <w:highlight w:val="none"/>
              </w:rPr>
              <w:t>提交谈判响应文件的截止之日起算</w:t>
            </w:r>
            <w:r>
              <w:rPr>
                <w:rFonts w:hint="eastAsia" w:ascii="宋体" w:hAnsi="宋体" w:eastAsia="宋体" w:cs="宋体"/>
                <w:color w:val="auto"/>
                <w:sz w:val="24"/>
                <w:szCs w:val="24"/>
                <w:highlight w:val="none"/>
              </w:rPr>
              <w:t>）</w:t>
            </w:r>
          </w:p>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成交供应商谈判有效期延至合同验收之日，</w:t>
            </w:r>
            <w:r>
              <w:rPr>
                <w:rFonts w:hint="eastAsia" w:ascii="宋体" w:hAnsi="宋体" w:eastAsia="宋体" w:cs="宋体"/>
                <w:color w:val="auto"/>
                <w:kern w:val="0"/>
                <w:sz w:val="24"/>
                <w:szCs w:val="24"/>
                <w:highlight w:val="none"/>
              </w:rPr>
              <w:t>成交供应商全部合同义务履行完毕为止。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2242" w:type="dxa"/>
            <w:vAlign w:val="center"/>
          </w:tcPr>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zh-CN"/>
              </w:rPr>
              <w:t>成交供应商将本项目非主体、非关键性工作分包</w:t>
            </w:r>
          </w:p>
        </w:tc>
        <w:tc>
          <w:tcPr>
            <w:tcW w:w="6741" w:type="dxa"/>
            <w:vAlign w:val="center"/>
          </w:tcPr>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color w:val="auto"/>
                <w:sz w:val="24"/>
                <w:szCs w:val="24"/>
                <w:highlight w:val="none"/>
              </w:rPr>
            </w:pPr>
            <w:r>
              <w:rPr>
                <w:rFonts w:hint="eastAsia" w:ascii="宋体" w:hAnsi="宋体" w:eastAsia="宋体" w:cs="宋体"/>
                <w:b/>
                <w:color w:val="auto"/>
                <w:kern w:val="0"/>
                <w:sz w:val="24"/>
                <w:szCs w:val="24"/>
                <w:highlight w:val="none"/>
                <w:lang w:val="zh-CN"/>
              </w:rPr>
              <w:fldChar w:fldCharType="begin"/>
            </w:r>
            <w:r>
              <w:rPr>
                <w:rFonts w:hint="eastAsia" w:ascii="宋体" w:hAnsi="宋体" w:eastAsia="宋体" w:cs="宋体"/>
                <w:b/>
                <w:color w:val="auto"/>
                <w:kern w:val="0"/>
                <w:sz w:val="24"/>
                <w:szCs w:val="24"/>
                <w:highlight w:val="none"/>
                <w:lang w:val="zh-CN"/>
              </w:rPr>
              <w:instrText xml:space="preserve">eq \o\ac(</w:instrText>
            </w:r>
            <w:r>
              <w:rPr>
                <w:rFonts w:hint="eastAsia" w:ascii="宋体" w:hAnsi="宋体" w:eastAsia="宋体" w:cs="宋体"/>
                <w:b/>
                <w:color w:val="auto"/>
                <w:kern w:val="0"/>
                <w:position w:val="-4"/>
                <w:sz w:val="36"/>
                <w:szCs w:val="24"/>
                <w:highlight w:val="none"/>
                <w:lang w:val="zh-CN"/>
              </w:rPr>
              <w:instrText xml:space="preserve">□</w:instrText>
            </w:r>
            <w:r>
              <w:rPr>
                <w:rFonts w:hint="eastAsia" w:ascii="宋体" w:hAnsi="宋体" w:eastAsia="宋体" w:cs="宋体"/>
                <w:b/>
                <w:color w:val="auto"/>
                <w:kern w:val="0"/>
                <w:position w:val="0"/>
                <w:sz w:val="24"/>
                <w:szCs w:val="24"/>
                <w:highlight w:val="none"/>
                <w:lang w:val="zh-CN"/>
              </w:rPr>
              <w:instrText xml:space="preserve">,√)</w:instrText>
            </w:r>
            <w:r>
              <w:rPr>
                <w:rFonts w:hint="eastAsia" w:ascii="宋体" w:hAnsi="宋体" w:eastAsia="宋体" w:cs="宋体"/>
                <w:b/>
                <w:color w:val="auto"/>
                <w:kern w:val="0"/>
                <w:sz w:val="24"/>
                <w:szCs w:val="24"/>
                <w:highlight w:val="none"/>
                <w:lang w:val="zh-CN"/>
              </w:rPr>
              <w:fldChar w:fldCharType="end"/>
            </w:r>
            <w:r>
              <w:rPr>
                <w:rFonts w:hint="eastAsia" w:ascii="宋体" w:hAnsi="宋体" w:eastAsia="宋体" w:cs="宋体"/>
                <w:bCs/>
                <w:color w:val="auto"/>
                <w:sz w:val="24"/>
                <w:szCs w:val="24"/>
                <w:highlight w:val="none"/>
                <w:lang w:val="zh-CN"/>
              </w:rPr>
              <w:t xml:space="preserve">不允许   </w:t>
            </w:r>
            <w:r>
              <w:rPr>
                <w:rFonts w:hint="eastAsia" w:ascii="宋体" w:hAnsi="宋体" w:eastAsia="宋体" w:cs="宋体"/>
                <w:b/>
                <w:bCs/>
                <w:color w:val="auto"/>
                <w:sz w:val="24"/>
                <w:szCs w:val="24"/>
                <w:highlight w:val="none"/>
                <w:lang w:val="zh-CN"/>
              </w:rPr>
              <w:t>□</w:t>
            </w:r>
            <w:r>
              <w:rPr>
                <w:rFonts w:hint="eastAsia" w:ascii="宋体" w:hAnsi="宋体" w:eastAsia="宋体" w:cs="宋体"/>
                <w:color w:val="auto"/>
                <w:sz w:val="24"/>
                <w:szCs w:val="24"/>
                <w:highlight w:val="none"/>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2242"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bCs/>
                <w:color w:val="auto"/>
                <w:sz w:val="24"/>
                <w:szCs w:val="24"/>
                <w:highlight w:val="none"/>
                <w:lang w:val="zh-CN"/>
              </w:rPr>
            </w:pPr>
            <w:r>
              <w:rPr>
                <w:rFonts w:hint="eastAsia" w:ascii="宋体" w:hAnsi="宋体" w:eastAsia="宋体" w:cs="宋体"/>
                <w:color w:val="auto"/>
                <w:sz w:val="24"/>
                <w:szCs w:val="24"/>
                <w:highlight w:val="none"/>
                <w:shd w:val="clear" w:color="auto" w:fill="FFFFFF"/>
              </w:rPr>
              <w:t>响应文件提交截止、</w:t>
            </w:r>
            <w:r>
              <w:rPr>
                <w:rFonts w:hint="eastAsia" w:ascii="宋体" w:hAnsi="宋体" w:eastAsia="宋体" w:cs="宋体"/>
                <w:bCs/>
                <w:color w:val="auto"/>
                <w:sz w:val="24"/>
                <w:szCs w:val="24"/>
                <w:highlight w:val="none"/>
                <w:lang w:val="zh-CN"/>
              </w:rPr>
              <w:t>谈判响应截止及谈判时间</w:t>
            </w:r>
          </w:p>
        </w:tc>
        <w:tc>
          <w:tcPr>
            <w:tcW w:w="6741" w:type="dxa"/>
            <w:vAlign w:val="center"/>
          </w:tcPr>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bCs/>
                <w:color w:val="auto"/>
                <w:sz w:val="24"/>
                <w:szCs w:val="24"/>
                <w:highlight w:val="none"/>
                <w:lang w:val="zh-CN"/>
              </w:rPr>
            </w:pPr>
            <w:r>
              <w:rPr>
                <w:rFonts w:hint="eastAsia" w:ascii="宋体" w:hAnsi="宋体" w:eastAsia="宋体" w:cs="宋体"/>
                <w:color w:val="auto"/>
                <w:sz w:val="24"/>
                <w:szCs w:val="24"/>
                <w:highlight w:val="none"/>
                <w:shd w:val="clear" w:color="auto" w:fill="FFFFFF"/>
                <w:lang w:val="en-US" w:eastAsia="zh-CN"/>
              </w:rPr>
              <w:t>2024年08月08日08时30分</w:t>
            </w:r>
            <w:r>
              <w:rPr>
                <w:rFonts w:hint="eastAsia" w:ascii="宋体" w:hAnsi="宋体" w:eastAsia="宋体" w:cs="宋体"/>
                <w:bCs/>
                <w:color w:val="auto"/>
                <w:sz w:val="24"/>
                <w:szCs w:val="24"/>
                <w:highlight w:val="none"/>
                <w:lang w:val="zh-CN"/>
              </w:rPr>
              <w:t>（北京时间）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p>
        </w:tc>
        <w:tc>
          <w:tcPr>
            <w:tcW w:w="2242"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w:t>
            </w:r>
          </w:p>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开启地点</w:t>
            </w:r>
          </w:p>
        </w:tc>
        <w:tc>
          <w:tcPr>
            <w:tcW w:w="6741" w:type="dxa"/>
            <w:vAlign w:val="center"/>
          </w:tcPr>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bCs/>
                <w:color w:val="auto"/>
                <w:sz w:val="24"/>
                <w:szCs w:val="24"/>
                <w:highlight w:val="none"/>
                <w:lang w:val="zh-CN"/>
              </w:rPr>
            </w:pPr>
            <w:r>
              <w:rPr>
                <w:rFonts w:hint="eastAsia" w:ascii="宋体" w:hAnsi="宋体" w:eastAsia="宋体" w:cs="宋体"/>
                <w:color w:val="auto"/>
                <w:sz w:val="24"/>
                <w:szCs w:val="24"/>
                <w:highlight w:val="none"/>
              </w:rPr>
              <w:t>禹州市公共资源交易中心开标</w:t>
            </w:r>
            <w:r>
              <w:rPr>
                <w:rFonts w:hint="eastAsia" w:ascii="宋体" w:hAnsi="宋体" w:eastAsia="宋体" w:cs="宋体"/>
                <w:color w:val="auto"/>
                <w:sz w:val="24"/>
                <w:szCs w:val="24"/>
                <w:highlight w:val="none"/>
                <w:lang w:val="en-US" w:eastAsia="zh-CN"/>
              </w:rPr>
              <w:t>二室</w:t>
            </w:r>
            <w:r>
              <w:rPr>
                <w:rFonts w:hint="eastAsia" w:ascii="宋体" w:hAnsi="宋体" w:eastAsia="宋体" w:cs="宋体"/>
                <w:color w:val="auto"/>
                <w:sz w:val="24"/>
                <w:szCs w:val="24"/>
                <w:highlight w:val="none"/>
              </w:rPr>
              <w:t>（地址：禹州市行政服务中心楼九楼）（</w:t>
            </w:r>
            <w:r>
              <w:rPr>
                <w:rFonts w:hint="eastAsia" w:ascii="宋体" w:hAnsi="宋体" w:eastAsia="宋体" w:cs="宋体"/>
                <w:b/>
                <w:color w:val="auto"/>
                <w:sz w:val="24"/>
                <w:szCs w:val="24"/>
                <w:highlight w:val="none"/>
              </w:rPr>
              <w:t>本项目采用远程不见面谈判，供应商无须到达现场</w:t>
            </w:r>
            <w:r>
              <w:rPr>
                <w:rFonts w:hint="eastAsia" w:ascii="宋体" w:hAnsi="宋体" w:eastAsia="宋体" w:cs="宋体"/>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p>
        </w:tc>
        <w:tc>
          <w:tcPr>
            <w:tcW w:w="2242"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bCs/>
                <w:color w:val="auto"/>
                <w:sz w:val="24"/>
                <w:szCs w:val="24"/>
                <w:highlight w:val="none"/>
                <w:lang w:val="zh-CN"/>
              </w:rPr>
            </w:pPr>
            <w:r>
              <w:rPr>
                <w:rFonts w:hint="eastAsia" w:ascii="宋体" w:hAnsi="宋体" w:eastAsia="宋体" w:cs="宋体"/>
                <w:color w:val="auto"/>
                <w:kern w:val="0"/>
                <w:sz w:val="24"/>
                <w:szCs w:val="24"/>
                <w:highlight w:val="none"/>
              </w:rPr>
              <w:t>谈判保证金</w:t>
            </w:r>
          </w:p>
        </w:tc>
        <w:tc>
          <w:tcPr>
            <w:tcW w:w="6741" w:type="dxa"/>
            <w:vAlign w:val="center"/>
          </w:tcPr>
          <w:p>
            <w:pPr>
              <w:pageBreakBefore w:val="0"/>
              <w:tabs>
                <w:tab w:val="left" w:pos="1260"/>
              </w:tabs>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本项目不收取。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p>
        </w:tc>
        <w:tc>
          <w:tcPr>
            <w:tcW w:w="2242"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公告发布</w:t>
            </w:r>
          </w:p>
        </w:tc>
        <w:tc>
          <w:tcPr>
            <w:tcW w:w="6741" w:type="dxa"/>
            <w:tcBorders>
              <w:top w:val="single" w:color="auto" w:sz="4" w:space="0"/>
            </w:tcBorders>
            <w:vAlign w:val="center"/>
          </w:tcPr>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bCs/>
                <w:color w:val="auto"/>
                <w:sz w:val="24"/>
                <w:szCs w:val="24"/>
                <w:highlight w:val="none"/>
                <w:lang w:val="zh-CN"/>
              </w:rPr>
            </w:pPr>
            <w:r>
              <w:rPr>
                <w:rFonts w:hint="eastAsia" w:ascii="宋体" w:hAnsi="宋体" w:eastAsia="宋体" w:cs="宋体"/>
                <w:color w:val="auto"/>
                <w:sz w:val="24"/>
                <w:szCs w:val="24"/>
                <w:highlight w:val="none"/>
              </w:rPr>
              <w:t>谈判公告、成交公告、变更（更正）公告、现场勘察答复等相关信息同时在以下网站发布：</w:t>
            </w:r>
            <w:r>
              <w:rPr>
                <w:rFonts w:hint="eastAsia" w:ascii="宋体" w:hAnsi="宋体" w:eastAsia="宋体" w:cs="宋体"/>
                <w:color w:val="auto"/>
                <w:sz w:val="24"/>
                <w:szCs w:val="24"/>
                <w:highlight w:val="none"/>
                <w:lang w:eastAsia="zh-CN"/>
              </w:rPr>
              <w:t>《中国</w:t>
            </w:r>
            <w:r>
              <w:rPr>
                <w:rFonts w:hint="eastAsia" w:ascii="宋体" w:hAnsi="宋体" w:eastAsia="宋体" w:cs="宋体"/>
                <w:color w:val="auto"/>
                <w:sz w:val="24"/>
                <w:szCs w:val="24"/>
                <w:highlight w:val="none"/>
              </w:rPr>
              <w:t>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《河南省政府采购网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全国公共资源交易平台（河南省·许昌市）》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w:t>
            </w:r>
          </w:p>
        </w:tc>
        <w:tc>
          <w:tcPr>
            <w:tcW w:w="2242"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采购人澄清或修改</w:t>
            </w:r>
          </w:p>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谈判文件时间</w:t>
            </w:r>
          </w:p>
        </w:tc>
        <w:tc>
          <w:tcPr>
            <w:tcW w:w="6741" w:type="dxa"/>
            <w:vAlign w:val="center"/>
          </w:tcPr>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谈判响应截止时间3个工作日前（</w:t>
            </w:r>
            <w:r>
              <w:rPr>
                <w:rFonts w:hint="eastAsia" w:ascii="宋体" w:hAnsi="宋体" w:eastAsia="宋体" w:cs="宋体"/>
                <w:color w:val="auto"/>
                <w:sz w:val="24"/>
                <w:szCs w:val="24"/>
                <w:highlight w:val="none"/>
                <w:lang w:val="zh-CN"/>
              </w:rPr>
              <w:t>澄清内容可能影响谈判响应文件编制的）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w:t>
            </w:r>
          </w:p>
        </w:tc>
        <w:tc>
          <w:tcPr>
            <w:tcW w:w="2242"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供应商对采购文件</w:t>
            </w:r>
          </w:p>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质疑截止时间</w:t>
            </w:r>
          </w:p>
        </w:tc>
        <w:tc>
          <w:tcPr>
            <w:tcW w:w="6741" w:type="dxa"/>
            <w:vAlign w:val="center"/>
          </w:tcPr>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同响应截止时间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6"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w:t>
            </w:r>
          </w:p>
        </w:tc>
        <w:tc>
          <w:tcPr>
            <w:tcW w:w="2242"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响应文件份数</w:t>
            </w:r>
          </w:p>
        </w:tc>
        <w:tc>
          <w:tcPr>
            <w:tcW w:w="6741" w:type="dxa"/>
            <w:vAlign w:val="center"/>
          </w:tcPr>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fldChar w:fldCharType="begin"/>
            </w:r>
            <w:r>
              <w:rPr>
                <w:rFonts w:hint="eastAsia" w:ascii="宋体" w:hAnsi="宋体" w:eastAsia="宋体" w:cs="宋体"/>
                <w:b/>
                <w:color w:val="auto"/>
                <w:sz w:val="24"/>
                <w:szCs w:val="24"/>
                <w:highlight w:val="none"/>
              </w:rPr>
              <w:instrText xml:space="preserve">eq \o\ac(</w:instrText>
            </w:r>
            <w:r>
              <w:rPr>
                <w:rFonts w:hint="eastAsia" w:ascii="宋体" w:hAnsi="宋体" w:eastAsia="宋体" w:cs="宋体"/>
                <w:b/>
                <w:color w:val="auto"/>
                <w:position w:val="-4"/>
                <w:sz w:val="36"/>
                <w:szCs w:val="24"/>
                <w:highlight w:val="none"/>
              </w:rPr>
              <w:instrText xml:space="preserve">□</w:instrText>
            </w:r>
            <w:r>
              <w:rPr>
                <w:rFonts w:hint="eastAsia" w:ascii="宋体" w:hAnsi="宋体" w:eastAsia="宋体" w:cs="宋体"/>
                <w:b/>
                <w:color w:val="auto"/>
                <w:position w:val="0"/>
                <w:sz w:val="24"/>
                <w:szCs w:val="24"/>
                <w:highlight w:val="none"/>
              </w:rPr>
              <w:instrText xml:space="preserve">,√)</w:instrText>
            </w:r>
            <w:r>
              <w:rPr>
                <w:rFonts w:hint="eastAsia" w:ascii="宋体" w:hAnsi="宋体" w:eastAsia="宋体" w:cs="宋体"/>
                <w:b/>
                <w:color w:val="auto"/>
                <w:sz w:val="24"/>
                <w:szCs w:val="24"/>
                <w:highlight w:val="none"/>
              </w:rPr>
              <w:fldChar w:fldCharType="end"/>
            </w:r>
            <w:r>
              <w:rPr>
                <w:rFonts w:hint="eastAsia" w:ascii="宋体" w:hAnsi="宋体" w:eastAsia="宋体" w:cs="宋体"/>
                <w:color w:val="auto"/>
                <w:sz w:val="24"/>
                <w:szCs w:val="24"/>
                <w:highlight w:val="none"/>
              </w:rPr>
              <w:t>电子响应文件：成功上传至《全国公共资源交易平台（河南省·许昌市）》公共资源交易系统加密电子响应文件1份</w:t>
            </w:r>
            <w:r>
              <w:rPr>
                <w:rFonts w:hint="eastAsia" w:ascii="宋体" w:hAnsi="宋体" w:eastAsia="宋体" w:cs="宋体"/>
                <w:color w:val="auto"/>
                <w:sz w:val="24"/>
                <w:szCs w:val="24"/>
                <w:highlight w:val="none"/>
                <w:lang w:val="zh-CN"/>
              </w:rPr>
              <w:t>（文件格式为：XXX公司XXX项目编号.file）。</w:t>
            </w:r>
          </w:p>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zh-CN"/>
              </w:rPr>
              <w:t>□</w:t>
            </w:r>
            <w:r>
              <w:rPr>
                <w:rFonts w:hint="eastAsia" w:ascii="宋体" w:hAnsi="宋体" w:eastAsia="宋体" w:cs="宋体"/>
                <w:color w:val="auto"/>
                <w:sz w:val="24"/>
                <w:szCs w:val="24"/>
                <w:highlight w:val="none"/>
              </w:rPr>
              <w:t>纸质响应文件：正本</w:t>
            </w:r>
            <w:r>
              <w:rPr>
                <w:rFonts w:hint="eastAsia" w:ascii="宋体" w:hAnsi="宋体" w:eastAsia="宋体" w:cs="宋体"/>
                <w:b/>
                <w:color w:val="auto"/>
                <w:sz w:val="24"/>
                <w:szCs w:val="24"/>
                <w:highlight w:val="none"/>
              </w:rPr>
              <w:t>一</w:t>
            </w:r>
            <w:r>
              <w:rPr>
                <w:rFonts w:hint="eastAsia" w:ascii="宋体" w:hAnsi="宋体" w:eastAsia="宋体" w:cs="宋体"/>
                <w:color w:val="auto"/>
                <w:sz w:val="24"/>
                <w:szCs w:val="24"/>
                <w:highlight w:val="none"/>
              </w:rPr>
              <w:t>份，副本一份。使用格式为“投标文件（供打印）.PDF”的文件</w:t>
            </w:r>
          </w:p>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bCs/>
                <w:color w:val="auto"/>
                <w:sz w:val="24"/>
                <w:szCs w:val="24"/>
                <w:highlight w:val="none"/>
                <w:lang w:val="zh-CN"/>
              </w:rPr>
            </w:pPr>
            <w:r>
              <w:rPr>
                <w:rFonts w:hint="eastAsia" w:ascii="宋体" w:hAnsi="宋体" w:eastAsia="宋体" w:cs="宋体"/>
                <w:color w:val="auto"/>
                <w:sz w:val="24"/>
                <w:szCs w:val="24"/>
                <w:highlight w:val="none"/>
              </w:rPr>
              <w:t>电子响应文件和纸质响应文件的内容、格式、水印码、签章应一致。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w:t>
            </w:r>
          </w:p>
        </w:tc>
        <w:tc>
          <w:tcPr>
            <w:tcW w:w="2242"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响应文件的</w:t>
            </w:r>
          </w:p>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签署盖章</w:t>
            </w:r>
          </w:p>
        </w:tc>
        <w:tc>
          <w:tcPr>
            <w:tcW w:w="6741" w:type="dxa"/>
            <w:vAlign w:val="center"/>
          </w:tcPr>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fldChar w:fldCharType="begin"/>
            </w:r>
            <w:r>
              <w:rPr>
                <w:rFonts w:hint="eastAsia" w:ascii="宋体" w:hAnsi="宋体" w:eastAsia="宋体" w:cs="宋体"/>
                <w:b/>
                <w:color w:val="auto"/>
                <w:sz w:val="24"/>
                <w:szCs w:val="24"/>
                <w:highlight w:val="none"/>
              </w:rPr>
              <w:instrText xml:space="preserve">eq \o\ac(</w:instrText>
            </w:r>
            <w:r>
              <w:rPr>
                <w:rFonts w:hint="eastAsia" w:ascii="宋体" w:hAnsi="宋体" w:eastAsia="宋体" w:cs="宋体"/>
                <w:b/>
                <w:color w:val="auto"/>
                <w:position w:val="-4"/>
                <w:sz w:val="36"/>
                <w:szCs w:val="24"/>
                <w:highlight w:val="none"/>
              </w:rPr>
              <w:instrText xml:space="preserve">□</w:instrText>
            </w:r>
            <w:r>
              <w:rPr>
                <w:rFonts w:hint="eastAsia" w:ascii="宋体" w:hAnsi="宋体" w:eastAsia="宋体" w:cs="宋体"/>
                <w:b/>
                <w:color w:val="auto"/>
                <w:position w:val="0"/>
                <w:sz w:val="24"/>
                <w:szCs w:val="24"/>
                <w:highlight w:val="none"/>
              </w:rPr>
              <w:instrText xml:space="preserve">,√)</w:instrText>
            </w:r>
            <w:r>
              <w:rPr>
                <w:rFonts w:hint="eastAsia" w:ascii="宋体" w:hAnsi="宋体" w:eastAsia="宋体" w:cs="宋体"/>
                <w:b/>
                <w:color w:val="auto"/>
                <w:sz w:val="24"/>
                <w:szCs w:val="24"/>
                <w:highlight w:val="none"/>
              </w:rPr>
              <w:fldChar w:fldCharType="end"/>
            </w:r>
            <w:r>
              <w:rPr>
                <w:rFonts w:hint="eastAsia" w:ascii="宋体" w:hAnsi="宋体" w:eastAsia="宋体" w:cs="宋体"/>
                <w:color w:val="auto"/>
                <w:sz w:val="24"/>
                <w:szCs w:val="24"/>
                <w:highlight w:val="none"/>
              </w:rPr>
              <w:t>电子响应文件：按谈判文件要求加盖供应商电子印章和法人电子印章。</w:t>
            </w:r>
          </w:p>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zh-CN"/>
              </w:rPr>
              <w:t>□</w:t>
            </w:r>
            <w:r>
              <w:rPr>
                <w:rFonts w:hint="eastAsia" w:ascii="宋体" w:hAnsi="宋体" w:eastAsia="宋体" w:cs="宋体"/>
                <w:color w:val="auto"/>
                <w:sz w:val="24"/>
                <w:szCs w:val="24"/>
                <w:highlight w:val="none"/>
              </w:rPr>
              <w:t>纸质响应文件：响应文件封面加盖供应商公章（响应文件是指供应商电子响应文件制作完成后生成的后缀名为“.PDF”的文件打印的纸质响应文件）。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w:t>
            </w:r>
          </w:p>
        </w:tc>
        <w:tc>
          <w:tcPr>
            <w:tcW w:w="2242"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谈判小组组建</w:t>
            </w:r>
          </w:p>
        </w:tc>
        <w:tc>
          <w:tcPr>
            <w:tcW w:w="6741" w:type="dxa"/>
            <w:vAlign w:val="center"/>
          </w:tcPr>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color w:val="auto"/>
                <w:sz w:val="24"/>
                <w:szCs w:val="24"/>
                <w:highlight w:val="none"/>
                <w:lang w:val="zh-CN"/>
              </w:rPr>
            </w:pPr>
            <w:r>
              <w:rPr>
                <w:rFonts w:hint="eastAsia" w:ascii="宋体" w:hAnsi="宋体" w:eastAsia="宋体" w:cs="宋体"/>
                <w:b/>
                <w:color w:val="auto"/>
                <w:sz w:val="24"/>
                <w:szCs w:val="24"/>
                <w:highlight w:val="none"/>
              </w:rPr>
              <w:fldChar w:fldCharType="begin"/>
            </w:r>
            <w:r>
              <w:rPr>
                <w:rFonts w:hint="eastAsia" w:ascii="宋体" w:hAnsi="宋体" w:eastAsia="宋体" w:cs="宋体"/>
                <w:b/>
                <w:color w:val="auto"/>
                <w:sz w:val="24"/>
                <w:szCs w:val="24"/>
                <w:highlight w:val="none"/>
              </w:rPr>
              <w:instrText xml:space="preserve">eq \o\ac(</w:instrText>
            </w:r>
            <w:r>
              <w:rPr>
                <w:rFonts w:hint="eastAsia" w:ascii="宋体" w:hAnsi="宋体" w:eastAsia="宋体" w:cs="宋体"/>
                <w:b/>
                <w:color w:val="auto"/>
                <w:position w:val="-4"/>
                <w:sz w:val="36"/>
                <w:szCs w:val="24"/>
                <w:highlight w:val="none"/>
              </w:rPr>
              <w:instrText xml:space="preserve">□</w:instrText>
            </w:r>
            <w:r>
              <w:rPr>
                <w:rFonts w:hint="eastAsia" w:ascii="宋体" w:hAnsi="宋体" w:eastAsia="宋体" w:cs="宋体"/>
                <w:b/>
                <w:color w:val="auto"/>
                <w:position w:val="0"/>
                <w:sz w:val="24"/>
                <w:szCs w:val="24"/>
                <w:highlight w:val="none"/>
              </w:rPr>
              <w:instrText xml:space="preserve">,√)</w:instrText>
            </w:r>
            <w:r>
              <w:rPr>
                <w:rFonts w:hint="eastAsia" w:ascii="宋体" w:hAnsi="宋体" w:eastAsia="宋体" w:cs="宋体"/>
                <w:b/>
                <w:color w:val="auto"/>
                <w:sz w:val="24"/>
                <w:szCs w:val="24"/>
                <w:highlight w:val="none"/>
              </w:rPr>
              <w:fldChar w:fldCharType="end"/>
            </w:r>
            <w:r>
              <w:rPr>
                <w:rFonts w:hint="eastAsia" w:ascii="宋体" w:hAnsi="宋体" w:eastAsia="宋体" w:cs="宋体"/>
                <w:color w:val="auto"/>
                <w:sz w:val="24"/>
                <w:szCs w:val="24"/>
                <w:highlight w:val="none"/>
                <w:lang w:val="zh-CN"/>
              </w:rPr>
              <w:t>由采购人代表和评审专家组成，其中评审专家的人数不少于谈判小组成员总数的三分之二。评审专家从政府采购评审专家库中随机抽取。</w:t>
            </w:r>
          </w:p>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□由评审专家组成。评审专家从政府采购评审专家库中随机抽取。</w:t>
            </w:r>
          </w:p>
          <w:p>
            <w:pPr>
              <w:pStyle w:val="11"/>
              <w:spacing w:line="360" w:lineRule="auto"/>
              <w:ind w:left="0" w:leftChars="0" w:firstLine="0" w:firstLineChars="0"/>
              <w:rPr>
                <w:rFonts w:hint="eastAsia"/>
                <w:color w:val="auto"/>
                <w:highlight w:val="none"/>
                <w:lang w:val="zh-CN"/>
              </w:rPr>
            </w:pPr>
            <w:r>
              <w:rPr>
                <w:rFonts w:hint="eastAsia" w:ascii="宋体" w:hAnsi="宋体" w:eastAsia="宋体" w:cs="宋体"/>
                <w:b/>
                <w:bCs/>
                <w:color w:val="auto"/>
                <w:sz w:val="24"/>
                <w:szCs w:val="24"/>
                <w:highlight w:val="none"/>
                <w:u w:val="wave"/>
                <w:lang w:val="zh-CN"/>
              </w:rPr>
              <w:t>为进一步优化营商环境</w:t>
            </w:r>
            <w:r>
              <w:rPr>
                <w:rFonts w:hint="eastAsia" w:ascii="宋体" w:hAnsi="宋体" w:cs="宋体"/>
                <w:b/>
                <w:bCs/>
                <w:color w:val="auto"/>
                <w:sz w:val="24"/>
                <w:szCs w:val="24"/>
                <w:highlight w:val="none"/>
                <w:u w:val="wave"/>
                <w:lang w:val="zh-CN"/>
              </w:rPr>
              <w:t>、</w:t>
            </w:r>
            <w:r>
              <w:rPr>
                <w:rFonts w:hint="eastAsia" w:ascii="宋体" w:hAnsi="宋体" w:eastAsia="宋体" w:cs="宋体"/>
                <w:b/>
                <w:bCs/>
                <w:color w:val="auto"/>
                <w:sz w:val="24"/>
                <w:szCs w:val="24"/>
                <w:highlight w:val="none"/>
                <w:u w:val="wave"/>
                <w:lang w:val="zh-CN"/>
              </w:rPr>
              <w:t>加快政府采购实施进度，采购人委托评审委员会在推荐的中标（成交）候选人名单中直接按顺序确定中标（成交）人。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p>
        </w:tc>
        <w:tc>
          <w:tcPr>
            <w:tcW w:w="2242"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评审方法</w:t>
            </w:r>
          </w:p>
        </w:tc>
        <w:tc>
          <w:tcPr>
            <w:tcW w:w="6741" w:type="dxa"/>
            <w:vAlign w:val="center"/>
          </w:tcPr>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按照</w:t>
            </w:r>
            <w:r>
              <w:rPr>
                <w:rFonts w:hint="eastAsia" w:ascii="宋体" w:hAnsi="宋体" w:eastAsia="宋体" w:cs="宋体"/>
                <w:color w:val="auto"/>
                <w:sz w:val="24"/>
                <w:szCs w:val="24"/>
                <w:highlight w:val="none"/>
              </w:rPr>
              <w:t>质量和服务均能满足谈判文件实质性响应要求且最后报价最低的原则确定成交供应商。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w:t>
            </w:r>
          </w:p>
        </w:tc>
        <w:tc>
          <w:tcPr>
            <w:tcW w:w="2242"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中小企业有关政策</w:t>
            </w:r>
          </w:p>
        </w:tc>
        <w:tc>
          <w:tcPr>
            <w:tcW w:w="6741" w:type="dxa"/>
            <w:vAlign w:val="center"/>
          </w:tcPr>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本项目属于专门面向中小企业采购的项目</w:t>
            </w:r>
            <w:r>
              <w:rPr>
                <w:rFonts w:hint="eastAsia" w:ascii="宋体" w:hAnsi="宋体" w:eastAsia="宋体" w:cs="宋体"/>
                <w:color w:val="auto"/>
                <w:sz w:val="24"/>
                <w:szCs w:val="24"/>
                <w:highlight w:val="none"/>
                <w:lang w:eastAsia="zh-CN"/>
              </w:rPr>
              <w:t>（不再执行价格评审优惠的扶持政策）</w:t>
            </w:r>
            <w:r>
              <w:rPr>
                <w:rFonts w:hint="eastAsia" w:ascii="宋体" w:hAnsi="宋体" w:eastAsia="宋体" w:cs="宋体"/>
                <w:color w:val="auto"/>
                <w:sz w:val="24"/>
                <w:szCs w:val="24"/>
                <w:highlight w:val="none"/>
              </w:rPr>
              <w:t>；本次采购标的对应的中小企业划分标准所属行业：</w:t>
            </w:r>
            <w:r>
              <w:rPr>
                <w:rFonts w:hint="eastAsia" w:ascii="宋体" w:hAnsi="宋体" w:eastAsia="宋体" w:cs="宋体"/>
                <w:color w:val="auto"/>
                <w:sz w:val="24"/>
                <w:szCs w:val="24"/>
                <w:highlight w:val="none"/>
                <w:u w:val="single"/>
              </w:rPr>
              <w:t>建筑业</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根据工信部等部委发布的《关于印发中小企业划型标准规定的通知》（工信部联企业〔2011〕300号），按照本次采购标的所属行业的划型标准，符合条件的中小企业应按照</w:t>
            </w:r>
            <w:r>
              <w:rPr>
                <w:rFonts w:hint="eastAsia" w:ascii="宋体" w:hAnsi="宋体" w:eastAsia="宋体" w:cs="宋体"/>
                <w:color w:val="auto"/>
                <w:sz w:val="24"/>
                <w:szCs w:val="24"/>
                <w:highlight w:val="none"/>
                <w:lang w:eastAsia="zh-CN"/>
              </w:rPr>
              <w:t>谈判文件</w:t>
            </w:r>
            <w:r>
              <w:rPr>
                <w:rFonts w:hint="eastAsia" w:ascii="宋体" w:hAnsi="宋体" w:eastAsia="宋体" w:cs="宋体"/>
                <w:color w:val="auto"/>
                <w:sz w:val="24"/>
                <w:szCs w:val="24"/>
                <w:highlight w:val="none"/>
              </w:rPr>
              <w:t>格式要求提供《中小企业声明函》，否则不得享受相关中小企业扶持政策。</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提供由省级以上监狱管理局、戒毒管理局（含新疆生产建设兵团）出具的属于监狱企业证明文件的，视同为小型和微型企业。</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符合享受政府采购支持政策的残疾人福利性单位条件且提供《残疾人福利性单位声明函》的，视同为小型和微型企业。</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享受政府采购支持政策的残疾人福利性单位应当同时满足以下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条件：</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（一）安置的残疾人占本单位在职职工人数的比例不低于25%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（含25%），并且安置的残疾人人数不少于10人（含10人）；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（二）依法与安置的每位残疾人签订了一年以上（含一年）的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劳动合同或服务协议；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（三）为安置的每位残疾人按月足额缴纳了基本养老保险、基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本医疗保险、失业保险、工伤保险和生育保险等社会保险费；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（四）通过银行等金融机构向安置的每位残疾人，按月支付了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不低于单位所在区县适用的经省级人民政府批准的月最低工资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标准的工资；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（五）提供本单位制造的货物、承担的工程或者服务（以下简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称产品），或者提供其他残疾人福利性单位制造的货物（不包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括使用非残疾人福利性单位注册商标的货物）。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前款所称残疾人是指法定劳动年龄内，持有《中华人民共和国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残疾人证》或者《中华人民共和国残疾军人证（1至8级）》的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自然人，包括具有劳动条件和劳动意愿的精神残疾人。在职职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工人数是指与残疾人福利性单位建立劳动关系并依法签订劳动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合同或者服务协议的雇员人数。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5.小型和微型企业不包括民办非企业单位。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6.符合中小企业划分标准的个体工商户，在政府采购活动中视 </w:t>
            </w:r>
          </w:p>
          <w:p>
            <w:pPr>
              <w:pageBreakBefore w:val="0"/>
              <w:kinsoku/>
              <w:wordWrap/>
              <w:overflowPunct/>
              <w:topLinePunct w:val="0"/>
              <w:autoSpaceDE w:val="0"/>
              <w:autoSpaceDN w:val="0"/>
              <w:bidi w:val="0"/>
              <w:adjustRightInd w:val="0"/>
              <w:snapToGrid/>
              <w:spacing w:line="360" w:lineRule="auto"/>
              <w:ind w:right="0"/>
              <w:contextualSpacing/>
              <w:rPr>
                <w:rFonts w:hint="eastAsia"/>
                <w:color w:val="auto"/>
                <w:sz w:val="24"/>
                <w:szCs w:val="24"/>
                <w:highlight w:val="none"/>
                <w:lang w:val="zh-CN"/>
              </w:rPr>
            </w:pPr>
            <w:r>
              <w:rPr>
                <w:rFonts w:hint="eastAsia" w:ascii="宋体" w:hAnsi="宋体" w:eastAsia="宋体" w:cs="宋体"/>
                <w:color w:val="auto"/>
                <w:sz w:val="24"/>
                <w:szCs w:val="24"/>
                <w:highlight w:val="none"/>
                <w:lang w:val="en-US" w:eastAsia="zh-CN"/>
              </w:rPr>
              <w:t>同中小企业。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w:t>
            </w:r>
          </w:p>
        </w:tc>
        <w:tc>
          <w:tcPr>
            <w:tcW w:w="2242" w:type="dxa"/>
            <w:vAlign w:val="center"/>
          </w:tcPr>
          <w:p>
            <w:pPr>
              <w:keepNext w:val="0"/>
              <w:keepLines w:val="0"/>
              <w:pageBreakBefore w:val="0"/>
              <w:widowControl/>
              <w:suppressLineNumbers w:val="0"/>
              <w:kinsoku/>
              <w:wordWrap/>
              <w:overflowPunct/>
              <w:topLinePunct w:val="0"/>
              <w:bidi w:val="0"/>
              <w:snapToGrid/>
              <w:spacing w:line="360" w:lineRule="auto"/>
              <w:ind w:right="0"/>
              <w:jc w:val="left"/>
              <w:rPr>
                <w:rFonts w:hint="eastAsia" w:ascii="宋体" w:hAnsi="宋体" w:eastAsia="宋体" w:cs="宋体"/>
                <w:bCs/>
                <w:color w:val="auto"/>
                <w:sz w:val="24"/>
                <w:szCs w:val="24"/>
                <w:highlight w:val="none"/>
                <w:lang w:val="zh-CN"/>
              </w:rPr>
            </w:pPr>
            <w:r>
              <w:rPr>
                <w:rFonts w:hint="eastAsia" w:ascii="宋体" w:hAnsi="宋体" w:eastAsia="宋体" w:cs="宋体"/>
                <w:color w:val="auto"/>
                <w:kern w:val="0"/>
                <w:sz w:val="24"/>
                <w:szCs w:val="24"/>
                <w:highlight w:val="none"/>
                <w:lang w:val="en-US" w:eastAsia="zh-CN" w:bidi="ar"/>
              </w:rPr>
              <w:t>节能环保要求</w:t>
            </w:r>
          </w:p>
        </w:tc>
        <w:tc>
          <w:tcPr>
            <w:tcW w:w="6741" w:type="dxa"/>
            <w:vAlign w:val="center"/>
          </w:tcPr>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执行《财政部 发展改革委 生态环境部 市场监管总局关于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调整优化节能产品、环境标志产品政府采购执行机制的通知》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（财库〔2019〕9号）、关于印发节能产品政府采购品目清单的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通知（财库〔2019〕19号）、关于印发环境标志产品政府采购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品目清单的通知（财库〔2019〕18号）、市场监管总局关于发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布参与实施政府采购节能产品、环境标志产品认证机构名录的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公告（2019年第16号），本次投标产品类别属于政府强制采购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产品类别的，须按照要求提供依据国家确定的认证机构出具的、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处于有效期之内的节能产品、环境标志产品认证证书，否则投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标无效；属于政府优先采购产品类别的，须按照要求提供依据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国家确定的认证机构出具的、处于有效期之内的节能产品、环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境标志产品认证证书，否则不予认定。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w:t>
            </w:r>
          </w:p>
        </w:tc>
        <w:tc>
          <w:tcPr>
            <w:tcW w:w="2242" w:type="dxa"/>
            <w:vAlign w:val="center"/>
          </w:tcPr>
          <w:p>
            <w:pPr>
              <w:keepNext w:val="0"/>
              <w:keepLines w:val="0"/>
              <w:pageBreakBefore w:val="0"/>
              <w:widowControl/>
              <w:suppressLineNumbers w:val="0"/>
              <w:kinsoku/>
              <w:wordWrap/>
              <w:overflowPunct/>
              <w:topLinePunct w:val="0"/>
              <w:bidi w:val="0"/>
              <w:snapToGrid/>
              <w:spacing w:line="360" w:lineRule="auto"/>
              <w:ind w:right="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信息安全要求</w:t>
            </w:r>
          </w:p>
        </w:tc>
        <w:tc>
          <w:tcPr>
            <w:tcW w:w="6741" w:type="dxa"/>
            <w:vAlign w:val="center"/>
          </w:tcPr>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按照《关于信息安全产品实施政府采购的通知》（财库【2010】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48号）要求：信息安全产品，需提供由中国信息安全认证中心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按国家标准认证颁发的有效认证证书。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w:t>
            </w:r>
          </w:p>
        </w:tc>
        <w:tc>
          <w:tcPr>
            <w:tcW w:w="2242" w:type="dxa"/>
            <w:vAlign w:val="center"/>
          </w:tcPr>
          <w:p>
            <w:pPr>
              <w:keepNext w:val="0"/>
              <w:keepLines w:val="0"/>
              <w:pageBreakBefore w:val="0"/>
              <w:widowControl/>
              <w:suppressLineNumbers w:val="0"/>
              <w:kinsoku/>
              <w:wordWrap/>
              <w:overflowPunct/>
              <w:topLinePunct w:val="0"/>
              <w:bidi w:val="0"/>
              <w:snapToGrid/>
              <w:spacing w:line="360" w:lineRule="auto"/>
              <w:ind w:right="0"/>
              <w:jc w:val="left"/>
              <w:rPr>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加快推广绿色建材 </w:t>
            </w:r>
          </w:p>
          <w:p>
            <w:pPr>
              <w:keepNext w:val="0"/>
              <w:keepLines w:val="0"/>
              <w:pageBreakBefore w:val="0"/>
              <w:widowControl/>
              <w:suppressLineNumbers w:val="0"/>
              <w:kinsoku/>
              <w:wordWrap/>
              <w:overflowPunct/>
              <w:topLinePunct w:val="0"/>
              <w:bidi w:val="0"/>
              <w:snapToGrid/>
              <w:spacing w:line="360" w:lineRule="auto"/>
              <w:ind w:right="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发展应用 </w:t>
            </w:r>
          </w:p>
        </w:tc>
        <w:tc>
          <w:tcPr>
            <w:tcW w:w="6741" w:type="dxa"/>
            <w:vAlign w:val="center"/>
          </w:tcPr>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根据财政部、住房和城乡建设部《关于政府采购支持绿色建材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促进建筑品质提升试点工作的通知》（财库〔2020〕31号）要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求，该项目应优先使用可循环利用建材、高强度高耐久建材、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绿色部品部件、绿色装修装饰材料、节水节能建材等绿色建材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产品。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w:t>
            </w:r>
          </w:p>
        </w:tc>
        <w:tc>
          <w:tcPr>
            <w:tcW w:w="2242" w:type="dxa"/>
            <w:vAlign w:val="center"/>
          </w:tcPr>
          <w:p>
            <w:pPr>
              <w:keepNext w:val="0"/>
              <w:keepLines w:val="0"/>
              <w:pageBreakBefore w:val="0"/>
              <w:widowControl/>
              <w:suppressLineNumbers w:val="0"/>
              <w:kinsoku/>
              <w:wordWrap/>
              <w:overflowPunct/>
              <w:topLinePunct w:val="0"/>
              <w:bidi w:val="0"/>
              <w:snapToGrid/>
              <w:spacing w:line="360" w:lineRule="auto"/>
              <w:ind w:right="0" w:firstLine="720" w:firstLineChars="300"/>
              <w:jc w:val="left"/>
              <w:rPr>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授权函 </w:t>
            </w:r>
          </w:p>
          <w:p>
            <w:pPr>
              <w:keepNext w:val="0"/>
              <w:keepLines w:val="0"/>
              <w:pageBreakBefore w:val="0"/>
              <w:widowControl/>
              <w:suppressLineNumbers w:val="0"/>
              <w:kinsoku/>
              <w:wordWrap/>
              <w:overflowPunct/>
              <w:topLinePunct w:val="0"/>
              <w:bidi w:val="0"/>
              <w:snapToGrid/>
              <w:spacing w:line="360" w:lineRule="auto"/>
              <w:ind w:right="0"/>
              <w:jc w:val="left"/>
              <w:rPr>
                <w:rFonts w:hint="eastAsia" w:ascii="宋体" w:hAnsi="宋体" w:eastAsia="宋体" w:cs="宋体"/>
                <w:color w:val="auto"/>
                <w:kern w:val="0"/>
                <w:sz w:val="24"/>
                <w:szCs w:val="24"/>
                <w:highlight w:val="none"/>
                <w:lang w:val="en-US" w:eastAsia="zh-CN" w:bidi="ar"/>
              </w:rPr>
            </w:pPr>
          </w:p>
        </w:tc>
        <w:tc>
          <w:tcPr>
            <w:tcW w:w="6741" w:type="dxa"/>
            <w:vAlign w:val="center"/>
          </w:tcPr>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采购单位委派代表参加谈判小组的，须向采购代理机构出具授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权函。除授权代表外，采购单位委派纪检监察人员对谈判过程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实施监督的须进入禹州市公共资源交易中心九楼电子监督室，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并向采购代理机构出具授权函，且不得超过2人。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w:t>
            </w:r>
          </w:p>
        </w:tc>
        <w:tc>
          <w:tcPr>
            <w:tcW w:w="2242"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履约保证金</w:t>
            </w:r>
          </w:p>
        </w:tc>
        <w:tc>
          <w:tcPr>
            <w:tcW w:w="6741" w:type="dxa"/>
            <w:vAlign w:val="center"/>
          </w:tcPr>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bCs/>
                <w:color w:val="auto"/>
                <w:sz w:val="24"/>
                <w:szCs w:val="24"/>
                <w:highlight w:val="none"/>
                <w:lang w:val="zh-CN"/>
              </w:rPr>
            </w:pPr>
            <w:r>
              <w:rPr>
                <w:rFonts w:hint="eastAsia" w:ascii="宋体" w:hAnsi="宋体" w:eastAsia="宋体" w:cs="宋体"/>
                <w:b/>
                <w:color w:val="auto"/>
                <w:kern w:val="0"/>
                <w:sz w:val="24"/>
                <w:szCs w:val="24"/>
                <w:highlight w:val="none"/>
                <w:lang w:val="zh-CN"/>
              </w:rPr>
              <w:fldChar w:fldCharType="begin"/>
            </w:r>
            <w:r>
              <w:rPr>
                <w:rFonts w:hint="eastAsia" w:ascii="宋体" w:hAnsi="宋体" w:eastAsia="宋体" w:cs="宋体"/>
                <w:b/>
                <w:color w:val="auto"/>
                <w:kern w:val="0"/>
                <w:sz w:val="24"/>
                <w:szCs w:val="24"/>
                <w:highlight w:val="none"/>
                <w:lang w:val="zh-CN"/>
              </w:rPr>
              <w:instrText xml:space="preserve">eq \o\ac(</w:instrText>
            </w:r>
            <w:r>
              <w:rPr>
                <w:rFonts w:hint="eastAsia" w:ascii="宋体" w:hAnsi="宋体" w:eastAsia="宋体" w:cs="宋体"/>
                <w:b/>
                <w:color w:val="auto"/>
                <w:kern w:val="0"/>
                <w:position w:val="-4"/>
                <w:sz w:val="36"/>
                <w:szCs w:val="24"/>
                <w:highlight w:val="none"/>
                <w:lang w:val="zh-CN"/>
              </w:rPr>
              <w:instrText xml:space="preserve">□</w:instrText>
            </w:r>
            <w:r>
              <w:rPr>
                <w:rFonts w:hint="eastAsia" w:ascii="宋体" w:hAnsi="宋体" w:eastAsia="宋体" w:cs="宋体"/>
                <w:b/>
                <w:color w:val="auto"/>
                <w:kern w:val="0"/>
                <w:position w:val="0"/>
                <w:sz w:val="24"/>
                <w:szCs w:val="24"/>
                <w:highlight w:val="none"/>
                <w:lang w:val="zh-CN"/>
              </w:rPr>
              <w:instrText xml:space="preserve">,√)</w:instrText>
            </w:r>
            <w:r>
              <w:rPr>
                <w:rFonts w:hint="eastAsia" w:ascii="宋体" w:hAnsi="宋体" w:eastAsia="宋体" w:cs="宋体"/>
                <w:b/>
                <w:color w:val="auto"/>
                <w:kern w:val="0"/>
                <w:sz w:val="24"/>
                <w:szCs w:val="24"/>
                <w:highlight w:val="none"/>
                <w:lang w:val="zh-CN"/>
              </w:rPr>
              <w:fldChar w:fldCharType="end"/>
            </w:r>
            <w:r>
              <w:rPr>
                <w:rFonts w:hint="eastAsia" w:ascii="宋体" w:hAnsi="宋体" w:eastAsia="宋体" w:cs="宋体"/>
                <w:bCs/>
                <w:color w:val="auto"/>
                <w:sz w:val="24"/>
                <w:szCs w:val="24"/>
                <w:highlight w:val="none"/>
                <w:lang w:val="zh-CN"/>
              </w:rPr>
              <w:t>无要求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w:t>
            </w:r>
          </w:p>
        </w:tc>
        <w:tc>
          <w:tcPr>
            <w:tcW w:w="2242"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代理服务费</w:t>
            </w:r>
          </w:p>
        </w:tc>
        <w:tc>
          <w:tcPr>
            <w:tcW w:w="6741" w:type="dxa"/>
            <w:vAlign w:val="center"/>
          </w:tcPr>
          <w:p>
            <w:pPr>
              <w:keepNext w:val="0"/>
              <w:keepLines w:val="0"/>
              <w:pageBreakBefore w:val="0"/>
              <w:widowControl/>
              <w:suppressLineNumbers w:val="0"/>
              <w:kinsoku/>
              <w:wordWrap/>
              <w:overflowPunct/>
              <w:topLinePunct w:val="0"/>
              <w:bidi w:val="0"/>
              <w:snapToGrid/>
              <w:spacing w:line="360" w:lineRule="auto"/>
              <w:ind w:right="0"/>
              <w:jc w:val="left"/>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en-US" w:eastAsia="zh-CN" w:bidi="ar"/>
              </w:rPr>
              <w:t>☑</w:t>
            </w:r>
            <w:r>
              <w:rPr>
                <w:rFonts w:hint="eastAsia" w:ascii="宋体" w:hAnsi="宋体" w:eastAsia="宋体" w:cs="宋体"/>
                <w:color w:val="auto"/>
                <w:sz w:val="24"/>
                <w:szCs w:val="24"/>
                <w:highlight w:val="none"/>
                <w:lang w:val="en-US" w:eastAsia="zh-CN"/>
              </w:rPr>
              <w:t xml:space="preserve">收取成交人。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收取标准:以成交金额为基数参照《河南省招标代理服务收费指 </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bCs/>
                <w:color w:val="auto"/>
                <w:sz w:val="24"/>
                <w:szCs w:val="24"/>
                <w:highlight w:val="none"/>
                <w:lang w:val="zh-CN"/>
              </w:rPr>
            </w:pPr>
            <w:r>
              <w:rPr>
                <w:rFonts w:hint="eastAsia" w:ascii="宋体" w:hAnsi="宋体" w:eastAsia="宋体" w:cs="宋体"/>
                <w:color w:val="auto"/>
                <w:sz w:val="24"/>
                <w:szCs w:val="24"/>
                <w:highlight w:val="none"/>
                <w:lang w:val="en-US" w:eastAsia="zh-CN"/>
              </w:rPr>
              <w:t>导意见》（豫招协[2023]002号）文件中所属类别的收费标准计算。支付方式：一次性以支票、银行转账或现金的形式支付。</w:t>
            </w:r>
            <w:r>
              <w:rPr>
                <w:rFonts w:hint="eastAsia" w:ascii="宋体" w:hAnsi="宋体" w:eastAsia="宋体" w:cs="宋体"/>
                <w:color w:val="auto"/>
                <w:kern w:val="0"/>
                <w:sz w:val="24"/>
                <w:szCs w:val="24"/>
                <w:highlight w:val="none"/>
                <w:lang w:val="en-US" w:eastAsia="zh-CN" w:bidi="ar"/>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w:t>
            </w:r>
          </w:p>
        </w:tc>
        <w:tc>
          <w:tcPr>
            <w:tcW w:w="2242" w:type="dxa"/>
            <w:vAlign w:val="center"/>
          </w:tcPr>
          <w:p>
            <w:pPr>
              <w:keepNext w:val="0"/>
              <w:keepLines w:val="0"/>
              <w:pageBreakBefore w:val="0"/>
              <w:widowControl/>
              <w:suppressLineNumbers w:val="0"/>
              <w:kinsoku/>
              <w:wordWrap/>
              <w:overflowPunct/>
              <w:topLinePunct w:val="0"/>
              <w:bidi w:val="0"/>
              <w:snapToGrid/>
              <w:spacing w:line="360" w:lineRule="auto"/>
              <w:ind w:right="0"/>
              <w:jc w:val="left"/>
              <w:rPr>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成交供应商需提交 </w:t>
            </w:r>
          </w:p>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的资料</w:t>
            </w:r>
          </w:p>
        </w:tc>
        <w:tc>
          <w:tcPr>
            <w:tcW w:w="6741" w:type="dxa"/>
            <w:vAlign w:val="center"/>
          </w:tcPr>
          <w:p>
            <w:pPr>
              <w:keepNext w:val="0"/>
              <w:keepLines w:val="0"/>
              <w:pageBreakBefore w:val="0"/>
              <w:widowControl/>
              <w:suppressLineNumbers w:val="0"/>
              <w:kinsoku/>
              <w:wordWrap/>
              <w:overflowPunct/>
              <w:topLinePunct w:val="0"/>
              <w:bidi w:val="0"/>
              <w:snapToGrid/>
              <w:spacing w:line="360" w:lineRule="auto"/>
              <w:ind w:right="0"/>
              <w:jc w:val="left"/>
              <w:rPr>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成交供应商在接到成交通知时，须向采购代理机构发送响应报价及分项报价一览表（包含主要成交标的的名称、规格型号、 </w:t>
            </w:r>
          </w:p>
          <w:p>
            <w:pPr>
              <w:keepNext w:val="0"/>
              <w:keepLines w:val="0"/>
              <w:pageBreakBefore w:val="0"/>
              <w:widowControl/>
              <w:suppressLineNumbers w:val="0"/>
              <w:kinsoku/>
              <w:wordWrap/>
              <w:overflowPunct/>
              <w:topLinePunct w:val="0"/>
              <w:bidi w:val="0"/>
              <w:snapToGrid/>
              <w:spacing w:line="360" w:lineRule="auto"/>
              <w:ind w:right="0"/>
              <w:jc w:val="left"/>
              <w:rPr>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数量、单价、服务要求等）电子文档，并同时电话告知采购代 </w:t>
            </w:r>
          </w:p>
          <w:p>
            <w:pPr>
              <w:keepNext w:val="0"/>
              <w:keepLines w:val="0"/>
              <w:pageBreakBefore w:val="0"/>
              <w:widowControl/>
              <w:suppressLineNumbers w:val="0"/>
              <w:kinsoku/>
              <w:wordWrap/>
              <w:overflowPunct/>
              <w:topLinePunct w:val="0"/>
              <w:bidi w:val="0"/>
              <w:snapToGrid/>
              <w:spacing w:line="360" w:lineRule="auto"/>
              <w:ind w:right="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
              </w:rPr>
              <w:t>理机构。代理机构联系电话：13673373571，邮箱地址：</w:t>
            </w:r>
            <w:r>
              <w:rPr>
                <w:rFonts w:hint="eastAsia" w:ascii="宋体" w:hAnsi="宋体" w:eastAsia="宋体" w:cs="宋体"/>
                <w:color w:val="auto"/>
                <w:sz w:val="24"/>
                <w:szCs w:val="24"/>
                <w:highlight w:val="none"/>
                <w:lang w:val="en-US" w:eastAsia="zh-CN"/>
              </w:rPr>
              <w:t>hongxiangjianshe1</w:t>
            </w: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lang w:val="en-US" w:eastAsia="zh-CN"/>
              </w:rPr>
              <w:t>26</w:t>
            </w:r>
            <w:r>
              <w:rPr>
                <w:rFonts w:hint="eastAsia" w:ascii="宋体" w:hAnsi="宋体" w:eastAsia="宋体" w:cs="宋体"/>
                <w:color w:val="auto"/>
                <w:sz w:val="24"/>
                <w:szCs w:val="24"/>
                <w:highlight w:val="none"/>
                <w:lang w:val="zh-CN"/>
              </w:rPr>
              <w:t>.co</w:t>
            </w:r>
            <w:r>
              <w:rPr>
                <w:rFonts w:hint="eastAsia" w:ascii="宋体" w:hAnsi="宋体" w:eastAsia="宋体" w:cs="宋体"/>
                <w:color w:val="auto"/>
                <w:sz w:val="24"/>
                <w:szCs w:val="24"/>
                <w:highlight w:val="none"/>
                <w:lang w:val="en-US" w:eastAsia="zh-CN"/>
              </w:rPr>
              <w:t>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9"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30</w:t>
            </w:r>
          </w:p>
        </w:tc>
        <w:tc>
          <w:tcPr>
            <w:tcW w:w="2242"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电子化采购模式</w:t>
            </w:r>
          </w:p>
        </w:tc>
        <w:tc>
          <w:tcPr>
            <w:tcW w:w="6741" w:type="dxa"/>
            <w:vAlign w:val="center"/>
          </w:tcPr>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zh-CN"/>
              </w:rPr>
            </w:pPr>
            <w:r>
              <w:rPr>
                <w:rFonts w:hint="eastAsia" w:ascii="宋体" w:hAnsi="宋体" w:eastAsia="宋体" w:cs="宋体"/>
                <w:b/>
                <w:color w:val="auto"/>
                <w:kern w:val="0"/>
                <w:sz w:val="24"/>
                <w:szCs w:val="24"/>
                <w:highlight w:val="none"/>
                <w:lang w:val="zh-CN"/>
              </w:rPr>
              <w:fldChar w:fldCharType="begin"/>
            </w:r>
            <w:r>
              <w:rPr>
                <w:rFonts w:hint="eastAsia" w:ascii="宋体" w:hAnsi="宋体" w:eastAsia="宋体" w:cs="宋体"/>
                <w:b/>
                <w:color w:val="auto"/>
                <w:kern w:val="0"/>
                <w:sz w:val="24"/>
                <w:szCs w:val="24"/>
                <w:highlight w:val="none"/>
                <w:lang w:val="zh-CN"/>
              </w:rPr>
              <w:instrText xml:space="preserve">eq \o\ac(</w:instrText>
            </w:r>
            <w:r>
              <w:rPr>
                <w:rFonts w:hint="eastAsia" w:ascii="宋体" w:hAnsi="宋体" w:eastAsia="宋体" w:cs="宋体"/>
                <w:b/>
                <w:color w:val="auto"/>
                <w:kern w:val="0"/>
                <w:position w:val="-4"/>
                <w:sz w:val="36"/>
                <w:szCs w:val="24"/>
                <w:highlight w:val="none"/>
                <w:lang w:val="zh-CN"/>
              </w:rPr>
              <w:instrText xml:space="preserve">□</w:instrText>
            </w:r>
            <w:r>
              <w:rPr>
                <w:rFonts w:hint="eastAsia" w:ascii="宋体" w:hAnsi="宋体" w:eastAsia="宋体" w:cs="宋体"/>
                <w:b/>
                <w:color w:val="auto"/>
                <w:kern w:val="0"/>
                <w:position w:val="0"/>
                <w:sz w:val="24"/>
                <w:szCs w:val="24"/>
                <w:highlight w:val="none"/>
                <w:lang w:val="zh-CN"/>
              </w:rPr>
              <w:instrText xml:space="preserve">,√)</w:instrText>
            </w:r>
            <w:r>
              <w:rPr>
                <w:rFonts w:hint="eastAsia" w:ascii="宋体" w:hAnsi="宋体" w:eastAsia="宋体" w:cs="宋体"/>
                <w:b/>
                <w:color w:val="auto"/>
                <w:kern w:val="0"/>
                <w:sz w:val="24"/>
                <w:szCs w:val="24"/>
                <w:highlight w:val="none"/>
                <w:lang w:val="zh-CN"/>
              </w:rPr>
              <w:fldChar w:fldCharType="end"/>
            </w:r>
            <w:r>
              <w:rPr>
                <w:rFonts w:hint="eastAsia" w:ascii="宋体" w:hAnsi="宋体" w:eastAsia="宋体" w:cs="宋体"/>
                <w:bCs/>
                <w:color w:val="auto"/>
                <w:sz w:val="24"/>
                <w:szCs w:val="24"/>
                <w:highlight w:val="none"/>
                <w:lang w:val="zh-CN"/>
              </w:rPr>
              <w:t>是。</w:t>
            </w:r>
            <w:r>
              <w:rPr>
                <w:rFonts w:hint="eastAsia" w:ascii="宋体" w:hAnsi="宋体" w:eastAsia="宋体" w:cs="宋体"/>
                <w:color w:val="auto"/>
                <w:sz w:val="24"/>
                <w:szCs w:val="24"/>
                <w:highlight w:val="none"/>
                <w:lang w:val="zh-CN"/>
              </w:rPr>
              <w:t>供应商投标时须成功上传、解密电子投标文件。供应商资质、业绩、荣誉及相关人员证明材料等资料原件不再提交（本谈判文件第六章另有要求提供原件的除外）。</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bCs/>
                <w:color w:val="auto"/>
                <w:sz w:val="24"/>
                <w:szCs w:val="24"/>
                <w:highlight w:val="none"/>
                <w:lang w:val="zh-CN"/>
              </w:rPr>
            </w:pPr>
            <w:r>
              <w:rPr>
                <w:rFonts w:hint="eastAsia" w:ascii="宋体" w:hAnsi="宋体" w:eastAsia="宋体" w:cs="宋体"/>
                <w:color w:val="auto"/>
                <w:sz w:val="24"/>
                <w:szCs w:val="24"/>
                <w:highlight w:val="none"/>
                <w:lang w:val="zh-CN"/>
              </w:rPr>
              <w:t>□否。供应商投标时须提供纸质响应文件。供应商资质、业绩、荣誉及相关人员证明材料等资料原件根据谈判文件要求提供。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w:t>
            </w:r>
          </w:p>
        </w:tc>
        <w:tc>
          <w:tcPr>
            <w:tcW w:w="2242"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最后报价</w:t>
            </w:r>
          </w:p>
        </w:tc>
        <w:tc>
          <w:tcPr>
            <w:tcW w:w="6741" w:type="dxa"/>
            <w:vAlign w:val="center"/>
          </w:tcPr>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根据谈判小组要求，供应商须使用CA数字证书登录《全国公共资源交易平台(河南省▪许昌市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》公共资源交易系统（http://ggzy.xuchang.gov.cn:8088/ggzy/）进行最后报价，最后报价应包括：①总报价②分项报价。</w:t>
            </w:r>
          </w:p>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注：</w:t>
            </w:r>
          </w:p>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A .</w:t>
            </w:r>
            <w:r>
              <w:rPr>
                <w:rFonts w:hint="eastAsia" w:ascii="宋体" w:hAnsi="宋体" w:eastAsia="宋体" w:cs="宋体"/>
                <w:color w:val="auto"/>
                <w:sz w:val="24"/>
                <w:szCs w:val="24"/>
                <w:highlight w:val="none"/>
                <w:lang w:val="zh-CN"/>
              </w:rPr>
              <w:t>谈判小组要求供应商提交最后一次报价时，供应商未在谈判小组规定时间内提交最后报价的，以其前次提交响应文件报价为最后报价。</w:t>
            </w:r>
          </w:p>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B .</w:t>
            </w:r>
            <w:r>
              <w:rPr>
                <w:rFonts w:hint="eastAsia" w:ascii="宋体" w:hAnsi="宋体" w:eastAsia="宋体" w:cs="宋体"/>
                <w:color w:val="auto"/>
                <w:sz w:val="24"/>
                <w:szCs w:val="24"/>
                <w:highlight w:val="none"/>
                <w:lang w:val="zh-CN"/>
              </w:rPr>
              <w:t>采购文件第二章“采购需求”中“采购清单”以工程量清单形式提供的，供应商应以工程量清单形式提交最后报价。</w:t>
            </w:r>
          </w:p>
          <w:p>
            <w:pPr>
              <w:pageBreakBefore w:val="0"/>
              <w:kinsoku/>
              <w:wordWrap/>
              <w:overflowPunct/>
              <w:topLinePunct w:val="0"/>
              <w:autoSpaceDE w:val="0"/>
              <w:autoSpaceDN w:val="0"/>
              <w:bidi w:val="0"/>
              <w:adjustRightInd w:val="0"/>
              <w:snapToGrid/>
              <w:spacing w:line="360" w:lineRule="auto"/>
              <w:ind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C.</w:t>
            </w:r>
            <w:r>
              <w:rPr>
                <w:rFonts w:hint="eastAsia" w:ascii="宋体" w:hAnsi="宋体" w:eastAsia="宋体" w:cs="宋体"/>
                <w:color w:val="auto"/>
                <w:sz w:val="24"/>
                <w:szCs w:val="24"/>
                <w:highlight w:val="none"/>
                <w:lang w:val="zh-CN"/>
              </w:rPr>
              <w:t>供应商可根据项目情况，提前准备分项报价。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6"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w:t>
            </w:r>
          </w:p>
        </w:tc>
        <w:tc>
          <w:tcPr>
            <w:tcW w:w="2242"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特别提示</w:t>
            </w:r>
          </w:p>
        </w:tc>
        <w:tc>
          <w:tcPr>
            <w:tcW w:w="6741" w:type="dxa"/>
            <w:vAlign w:val="center"/>
          </w:tcPr>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按照《关于推进全流程电子化交易和在线监管工作有关问题的通知》（许公管办</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2019</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3号）规定：</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同供应商电子投标文件制作硬件特征码（网卡MAC地址、CPU序号、硬盘序列号）均一致时，视为‘不同投标人的投标文件由同一单位或者个人编制’或‘不同投标人委托同一单位或者个人办理响应事宜’，其投标无效。</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b/>
                <w:color w:val="auto"/>
                <w:kern w:val="0"/>
                <w:sz w:val="24"/>
                <w:szCs w:val="24"/>
                <w:highlight w:val="none"/>
                <w:lang w:val="zh-CN"/>
              </w:rPr>
            </w:pPr>
            <w:r>
              <w:rPr>
                <w:rFonts w:hint="eastAsia" w:ascii="宋体" w:hAnsi="宋体" w:eastAsia="宋体" w:cs="宋体"/>
                <w:color w:val="auto"/>
                <w:sz w:val="24"/>
                <w:szCs w:val="24"/>
                <w:highlight w:val="none"/>
              </w:rPr>
              <w:t>评审专家应严格按照要求查看“硬件特征码”相关信息并进行评审，在评审报告中显示“不同投标人电子投标文件制作硬件特征码”是否雷同的分析及判定结果。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796"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w:t>
            </w:r>
          </w:p>
        </w:tc>
        <w:tc>
          <w:tcPr>
            <w:tcW w:w="2242" w:type="dxa"/>
            <w:vAlign w:val="center"/>
          </w:tcPr>
          <w:p>
            <w:pPr>
              <w:pageBreakBefore w:val="0"/>
              <w:kinsoku/>
              <w:wordWrap/>
              <w:overflowPunct/>
              <w:topLinePunct w:val="0"/>
              <w:autoSpaceDE w:val="0"/>
              <w:autoSpaceDN w:val="0"/>
              <w:bidi w:val="0"/>
              <w:adjustRightInd w:val="0"/>
              <w:snapToGrid/>
              <w:spacing w:line="360" w:lineRule="auto"/>
              <w:ind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供应商资格</w:t>
            </w:r>
          </w:p>
        </w:tc>
        <w:tc>
          <w:tcPr>
            <w:tcW w:w="6741" w:type="dxa"/>
            <w:vAlign w:val="center"/>
          </w:tcPr>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供应商在成交后，应将由《禹州市政府采购供应商信用承诺函》替代的证明材料提交采购人核验，经核验无误后，发出成交通知书。</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b/>
                <w:bCs/>
                <w:color w:val="auto"/>
                <w:sz w:val="24"/>
                <w:szCs w:val="24"/>
                <w:highlight w:val="none"/>
                <w:lang w:val="zh-CN"/>
              </w:rPr>
            </w:pPr>
            <w:r>
              <w:rPr>
                <w:rFonts w:hint="eastAsia" w:ascii="宋体" w:hAnsi="宋体" w:eastAsia="宋体" w:cs="宋体"/>
                <w:color w:val="auto"/>
                <w:sz w:val="24"/>
                <w:szCs w:val="24"/>
                <w:highlight w:val="none"/>
                <w:lang w:val="zh-CN"/>
              </w:rPr>
              <w:t>一</w:t>
            </w:r>
            <w:r>
              <w:rPr>
                <w:rFonts w:hint="eastAsia" w:ascii="宋体" w:hAnsi="宋体" w:eastAsia="宋体" w:cs="宋体"/>
                <w:b/>
                <w:bCs/>
                <w:color w:val="auto"/>
                <w:sz w:val="24"/>
                <w:szCs w:val="24"/>
                <w:highlight w:val="none"/>
                <w:lang w:val="zh-CN"/>
              </w:rPr>
              <w:t>、法人或者其他组织的营业执照等证明文件，自然人的身份证明</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zh-CN"/>
              </w:rPr>
              <w:t>企业法人营业执照或营业执照。（企业提供）</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zh-CN"/>
              </w:rPr>
              <w:t>事业单位法人证书。（事业单位提供）</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zh-CN"/>
              </w:rPr>
              <w:t>执业许可证。（非企业专业服务机构提供）</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zh-CN"/>
              </w:rPr>
              <w:t>个体工商户营业执照。（个体工商户提供）</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5</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zh-CN"/>
              </w:rPr>
              <w:t>自然人身份证明。（自然人提供）</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6</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zh-CN"/>
              </w:rPr>
              <w:t>民办非企业单位登记证书。（民办非企业单位提供）</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二、财务状况报告相关材料</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（1）供应商是法人（法人包括企业法人、机关法人、事业单位法人和社会团体法人），提供本单位：</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①202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年度经审计的财务报告，包括资产负债表、利润表、现金流量表、所有者权益变动表及其附注；</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②基本开户银行出具的资信证明；</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③财政部门认可的政府采购专业担保机构的证明文件和担保机构出具的投标担保函。</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注：仅需提供序号</w:t>
            </w:r>
            <w:r>
              <w:rPr>
                <w:rFonts w:hint="eastAsia" w:ascii="宋体" w:hAnsi="宋体" w:eastAsia="宋体" w:cs="宋体"/>
                <w:color w:val="auto"/>
                <w:sz w:val="24"/>
                <w:szCs w:val="24"/>
                <w:highlight w:val="none"/>
              </w:rPr>
              <w:t>①～③其中之一即可。</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（2）供应商（其他组织和自然人）提供本单位：</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①202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年度经审计的财务报告，包括资产负债表、利润表、现金流量表、所有者权益变动表及其附注；</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②银行出具的资信证明；</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③财政部门认可的政府采购专业担保机构的证明文件和担保机构出具的投标担保函。</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注：仅需提供序号</w:t>
            </w:r>
            <w:r>
              <w:rPr>
                <w:rFonts w:hint="eastAsia" w:ascii="宋体" w:hAnsi="宋体" w:eastAsia="宋体" w:cs="宋体"/>
                <w:color w:val="auto"/>
                <w:sz w:val="24"/>
                <w:szCs w:val="24"/>
                <w:highlight w:val="none"/>
              </w:rPr>
              <w:t>①～③其中之一即可。</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rPr>
              <w:t>三、依法缴纳税收相关材料</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参加本次政府采购项目谈判响应截止时间前一年内任意一个月缴纳税收凭据（依法免税的供应商，应提供相应文件证明依法免税）。</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四、依法缴纳社会保障资金的证明材料</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参加本次政府采购项目谈判响应截止时间前一年内任意一个月缴纳社会保险凭据（依法不需要缴纳社会保障资金的供应商，应提供相应文件证明依法不需要缴纳社会保障资金）。</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五、履行合同所必需的设备和专业技术能力的证明材料</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①相关设备的购置发票、专业技术人员职称证书、用工合同等；</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②供应商具备履行合同</w:t>
            </w:r>
            <w:r>
              <w:rPr>
                <w:rFonts w:hint="eastAsia" w:ascii="宋体" w:hAnsi="宋体" w:eastAsia="宋体" w:cs="宋体"/>
                <w:color w:val="auto"/>
                <w:sz w:val="24"/>
                <w:szCs w:val="24"/>
                <w:highlight w:val="none"/>
                <w:lang w:eastAsia="zh-CN"/>
              </w:rPr>
              <w:t>所必需的</w:t>
            </w:r>
            <w:r>
              <w:rPr>
                <w:rFonts w:hint="eastAsia" w:ascii="宋体" w:hAnsi="宋体" w:eastAsia="宋体" w:cs="宋体"/>
                <w:color w:val="auto"/>
                <w:sz w:val="24"/>
                <w:szCs w:val="24"/>
                <w:highlight w:val="none"/>
              </w:rPr>
              <w:t>设备和专业技术能力承诺函或声明（承诺函或声明格式自拟）。</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注：仅需提供序号</w:t>
            </w:r>
            <w:r>
              <w:rPr>
                <w:rFonts w:hint="eastAsia" w:ascii="宋体" w:hAnsi="宋体" w:eastAsia="宋体" w:cs="宋体"/>
                <w:color w:val="auto"/>
                <w:sz w:val="24"/>
                <w:szCs w:val="24"/>
                <w:highlight w:val="none"/>
              </w:rPr>
              <w:t>①～②其中之一即可。</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rPr>
              <w:t>六、</w:t>
            </w:r>
            <w:r>
              <w:rPr>
                <w:rFonts w:hint="eastAsia" w:ascii="宋体" w:hAnsi="宋体" w:eastAsia="宋体" w:cs="宋体"/>
                <w:b/>
                <w:bCs/>
                <w:color w:val="auto"/>
                <w:sz w:val="24"/>
                <w:szCs w:val="24"/>
                <w:highlight w:val="none"/>
                <w:lang w:val="zh-CN"/>
              </w:rPr>
              <w:t>参加政府采购活动前3年内在经营活动中没有重大违法记录的声明</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供应商“参加政府采购活动前3年内在经营活动中没有重大违法记录的书面声明”。重大违法记录，是指供应商因违法经营受到刑事处罚或者责令停产停业、吊销许可证或者执照、较大数额罚款等行政处罚。</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zh-CN"/>
              </w:rPr>
              <w:t>七、</w:t>
            </w:r>
            <w:r>
              <w:rPr>
                <w:rFonts w:hint="eastAsia" w:ascii="宋体" w:hAnsi="宋体" w:eastAsia="宋体" w:cs="宋体"/>
                <w:b/>
                <w:bCs/>
                <w:color w:val="auto"/>
                <w:sz w:val="24"/>
                <w:szCs w:val="24"/>
                <w:highlight w:val="none"/>
                <w:lang w:val="zh-CN" w:eastAsia="zh-CN"/>
              </w:rPr>
              <w:t>未被列入“信用中国”网站（www.creditchina.gov.cn）失信被执行人、重大税收违法失信主体的供应商；“中国政府采购网”网站（www.ccgp.gov.cn）政府采购严重违法失信行为记录名单的供应商；“中国社会组织政务服务平台”网站 （https://chinanpo.mca.gov.cn）严重违法失信名单的社会组织的供应商</w:t>
            </w:r>
            <w:r>
              <w:rPr>
                <w:rFonts w:hint="eastAsia" w:ascii="宋体" w:hAnsi="宋体" w:eastAsia="宋体" w:cs="宋体"/>
                <w:color w:val="auto"/>
                <w:sz w:val="24"/>
                <w:szCs w:val="24"/>
                <w:highlight w:val="none"/>
              </w:rPr>
              <w:t>（联合体形式投标的，联合体成员存在不良信用记录，视同联合体存在不良信用记录）。</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1、查询渠道：</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①“信用中国”网站（</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"http://www.creditchina.gov.cn"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②“中国政府采购网”（www.ccgp.gov.cn）</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③“中国社会组织政务服务平台”网站（https://chinanpo.mca.gov.cn）（仅查询社会组织）；</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2、截止时间：同</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截止时间；</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3、信用信息的使用原则：经采购人认定的被列入失信被执行人、</w:t>
            </w:r>
            <w:r>
              <w:rPr>
                <w:rFonts w:hint="eastAsia" w:ascii="宋体" w:hAnsi="宋体" w:eastAsia="宋体" w:cs="宋体"/>
                <w:color w:val="auto"/>
                <w:sz w:val="24"/>
                <w:szCs w:val="24"/>
                <w:highlight w:val="none"/>
                <w:lang w:eastAsia="zh-CN"/>
              </w:rPr>
              <w:t>重大</w:t>
            </w:r>
            <w:r>
              <w:rPr>
                <w:rFonts w:hint="eastAsia" w:ascii="宋体" w:hAnsi="宋体" w:eastAsia="宋体" w:cs="宋体"/>
                <w:color w:val="auto"/>
                <w:sz w:val="24"/>
                <w:szCs w:val="24"/>
                <w:highlight w:val="none"/>
              </w:rPr>
              <w:t>税收违法黑名单、政府采购严重违法失信行为记录名单的投标人、严重违法失信社会组织，将拒绝其参与本次政府采购活动。</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八、供应商应具备的特定资格要求：</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须具备</w:t>
            </w:r>
            <w:r>
              <w:rPr>
                <w:rFonts w:hint="eastAsia" w:ascii="宋体" w:hAnsi="宋体" w:eastAsia="宋体" w:cs="宋体"/>
                <w:color w:val="auto"/>
                <w:sz w:val="24"/>
                <w:szCs w:val="24"/>
                <w:highlight w:val="none"/>
                <w:lang w:eastAsia="zh-CN"/>
              </w:rPr>
              <w:t>建设行政主管部门核</w:t>
            </w:r>
            <w:r>
              <w:rPr>
                <w:rFonts w:hint="eastAsia" w:ascii="宋体" w:hAnsi="宋体" w:eastAsia="宋体" w:cs="宋体"/>
                <w:color w:val="auto"/>
                <w:sz w:val="24"/>
                <w:szCs w:val="24"/>
                <w:highlight w:val="none"/>
                <w:lang w:val="en-US" w:eastAsia="zh-CN"/>
              </w:rPr>
              <w:t>发的</w:t>
            </w:r>
            <w:r>
              <w:rPr>
                <w:rFonts w:hint="eastAsia" w:ascii="宋体" w:hAnsi="宋体" w:eastAsia="宋体" w:cs="宋体"/>
                <w:color w:val="auto"/>
                <w:sz w:val="24"/>
                <w:szCs w:val="24"/>
                <w:highlight w:val="none"/>
              </w:rPr>
              <w:t>建筑工程施工总承包叁级及以上资质，且具有有效安全生产许可证；</w:t>
            </w:r>
          </w:p>
          <w:p>
            <w:pPr>
              <w:pageBreakBefore w:val="0"/>
              <w:kinsoku/>
              <w:wordWrap/>
              <w:overflowPunct/>
              <w:topLinePunct w:val="0"/>
              <w:autoSpaceDE w:val="0"/>
              <w:autoSpaceDN w:val="0"/>
              <w:bidi w:val="0"/>
              <w:adjustRightInd w:val="0"/>
              <w:snapToGrid/>
              <w:spacing w:line="360" w:lineRule="auto"/>
              <w:ind w:right="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拟派项目经理</w:t>
            </w:r>
            <w:r>
              <w:rPr>
                <w:rFonts w:hint="eastAsia" w:ascii="宋体" w:hAnsi="宋体" w:eastAsia="宋体" w:cs="宋体"/>
                <w:color w:val="auto"/>
                <w:sz w:val="24"/>
                <w:szCs w:val="24"/>
                <w:highlight w:val="none"/>
                <w:lang w:eastAsia="zh-CN"/>
              </w:rPr>
              <w:t>须</w:t>
            </w:r>
            <w:r>
              <w:rPr>
                <w:rFonts w:hint="eastAsia" w:ascii="宋体" w:hAnsi="宋体" w:eastAsia="宋体" w:cs="宋体"/>
                <w:color w:val="auto"/>
                <w:sz w:val="24"/>
                <w:szCs w:val="24"/>
                <w:highlight w:val="none"/>
              </w:rPr>
              <w:t>具有建筑工程专业二级及以上注册建造师执业资格并具有有效的安全生产考核合格证,且未担任其他在施建设工程项目的项目经理</w:t>
            </w:r>
            <w:r>
              <w:rPr>
                <w:rFonts w:hint="eastAsia" w:ascii="宋体" w:hAnsi="宋体" w:eastAsia="宋体" w:cs="宋体"/>
                <w:color w:val="auto"/>
                <w:sz w:val="24"/>
                <w:szCs w:val="24"/>
                <w:highlight w:val="none"/>
                <w:lang w:eastAsia="zh-CN"/>
              </w:rPr>
              <w:t>。</w:t>
            </w:r>
          </w:p>
        </w:tc>
      </w:tr>
    </w:tbl>
    <w:p>
      <w:pPr>
        <w:rPr>
          <w:rFonts w:hint="eastAsia"/>
          <w:color w:val="auto"/>
          <w:highlight w:val="none"/>
          <w:lang w:val="en-US" w:eastAsia="zh-CN"/>
        </w:rPr>
      </w:pPr>
    </w:p>
    <w:p>
      <w:pPr>
        <w:rPr>
          <w:rFonts w:hint="eastAsia"/>
          <w:color w:val="auto"/>
          <w:highlight w:val="none"/>
          <w:lang w:val="en-US" w:eastAsia="zh-CN"/>
        </w:rPr>
      </w:pPr>
    </w:p>
    <w:p>
      <w:pPr>
        <w:rPr>
          <w:rFonts w:hint="eastAsia"/>
          <w:color w:val="auto"/>
          <w:highlight w:val="none"/>
          <w:lang w:val="en-US" w:eastAsia="zh-CN"/>
        </w:rPr>
      </w:pPr>
    </w:p>
    <w:p>
      <w:pPr>
        <w:rPr>
          <w:rFonts w:hint="eastAsia"/>
          <w:color w:val="auto"/>
          <w:highlight w:val="none"/>
          <w:lang w:val="en-US" w:eastAsia="zh-CN"/>
        </w:rPr>
      </w:pPr>
    </w:p>
    <w:p>
      <w:pPr>
        <w:rPr>
          <w:rFonts w:hint="eastAsia"/>
          <w:color w:val="auto"/>
          <w:highlight w:val="none"/>
          <w:lang w:val="en-US" w:eastAsia="zh-CN"/>
        </w:rPr>
      </w:pPr>
    </w:p>
    <w:p>
      <w:pPr>
        <w:rPr>
          <w:rFonts w:hint="eastAsia"/>
          <w:color w:val="auto"/>
          <w:highlight w:val="none"/>
          <w:lang w:val="en-US" w:eastAsia="zh-CN"/>
        </w:rPr>
      </w:pPr>
    </w:p>
    <w:p>
      <w:pPr>
        <w:rPr>
          <w:rFonts w:hint="eastAsia"/>
          <w:color w:val="auto"/>
          <w:highlight w:val="none"/>
          <w:lang w:val="en-US" w:eastAsia="zh-CN"/>
        </w:rPr>
      </w:pPr>
    </w:p>
    <w:p>
      <w:pPr>
        <w:rPr>
          <w:rFonts w:hint="eastAsia"/>
          <w:color w:val="auto"/>
          <w:highlight w:val="none"/>
          <w:lang w:val="en-US" w:eastAsia="zh-CN"/>
        </w:rPr>
      </w:pPr>
    </w:p>
    <w:p>
      <w:pPr>
        <w:rPr>
          <w:rFonts w:hint="eastAsia"/>
          <w:color w:val="auto"/>
          <w:highlight w:val="none"/>
          <w:lang w:val="en-US" w:eastAsia="zh-CN"/>
        </w:rPr>
      </w:pPr>
    </w:p>
    <w:p>
      <w:pPr>
        <w:rPr>
          <w:rFonts w:hint="eastAsia"/>
          <w:color w:val="auto"/>
          <w:highlight w:val="none"/>
          <w:lang w:val="en-US" w:eastAsia="zh-CN"/>
        </w:rPr>
      </w:pPr>
    </w:p>
    <w:p>
      <w:pPr>
        <w:rPr>
          <w:rFonts w:hint="eastAsia"/>
          <w:color w:val="auto"/>
          <w:highlight w:val="none"/>
          <w:lang w:val="en-US" w:eastAsia="zh-CN"/>
        </w:rPr>
      </w:pPr>
    </w:p>
    <w:p>
      <w:pPr>
        <w:rPr>
          <w:rFonts w:hint="eastAsia"/>
          <w:color w:val="auto"/>
          <w:highlight w:val="none"/>
          <w:lang w:val="en-US" w:eastAsia="zh-CN"/>
        </w:rPr>
      </w:pPr>
    </w:p>
    <w:p>
      <w:pPr>
        <w:rPr>
          <w:rFonts w:hint="eastAsia"/>
          <w:color w:val="auto"/>
          <w:highlight w:val="none"/>
          <w:lang w:val="en-US" w:eastAsia="zh-CN"/>
        </w:rPr>
      </w:pPr>
    </w:p>
    <w:p>
      <w:pPr>
        <w:rPr>
          <w:rFonts w:hint="eastAsia"/>
          <w:color w:val="auto"/>
          <w:highlight w:val="none"/>
          <w:lang w:val="en-US" w:eastAsia="zh-CN"/>
        </w:rPr>
      </w:pPr>
    </w:p>
    <w:p>
      <w:pPr>
        <w:rPr>
          <w:rFonts w:hint="eastAsia"/>
          <w:color w:val="auto"/>
          <w:highlight w:val="none"/>
          <w:lang w:val="en-US" w:eastAsia="zh-CN"/>
        </w:rPr>
      </w:pPr>
    </w:p>
    <w:p>
      <w:pPr>
        <w:rPr>
          <w:rFonts w:hint="eastAsia"/>
          <w:color w:val="auto"/>
          <w:highlight w:val="none"/>
          <w:lang w:val="en-US" w:eastAsia="zh-CN"/>
        </w:rPr>
      </w:pPr>
    </w:p>
    <w:p>
      <w:pPr>
        <w:rPr>
          <w:rFonts w:hint="eastAsia"/>
          <w:color w:val="auto"/>
          <w:highlight w:val="none"/>
          <w:lang w:val="en-US" w:eastAsia="zh-CN"/>
        </w:rPr>
      </w:pPr>
    </w:p>
    <w:p>
      <w:pPr>
        <w:rPr>
          <w:rFonts w:hint="eastAsia"/>
          <w:color w:val="auto"/>
          <w:highlight w:val="none"/>
          <w:lang w:val="en-US" w:eastAsia="zh-CN"/>
        </w:rPr>
      </w:pPr>
    </w:p>
    <w:p>
      <w:pPr>
        <w:rPr>
          <w:rFonts w:hint="eastAsia"/>
          <w:color w:val="auto"/>
          <w:highlight w:val="none"/>
          <w:lang w:val="en-US" w:eastAsia="zh-CN"/>
        </w:rPr>
      </w:pPr>
    </w:p>
    <w:p>
      <w:pPr>
        <w:rPr>
          <w:rFonts w:hint="eastAsia"/>
          <w:color w:val="auto"/>
          <w:highlight w:val="none"/>
          <w:lang w:val="en-US" w:eastAsia="zh-CN"/>
        </w:rPr>
      </w:pPr>
    </w:p>
    <w:p>
      <w:pPr>
        <w:rPr>
          <w:rFonts w:hint="eastAsia"/>
          <w:color w:val="auto"/>
          <w:highlight w:val="none"/>
          <w:lang w:val="en-US" w:eastAsia="zh-CN"/>
        </w:rPr>
      </w:pPr>
    </w:p>
    <w:p>
      <w:pPr>
        <w:rPr>
          <w:rFonts w:hint="eastAsia"/>
          <w:color w:val="auto"/>
          <w:highlight w:val="none"/>
          <w:lang w:val="en-US" w:eastAsia="zh-CN"/>
        </w:rPr>
      </w:pPr>
    </w:p>
    <w:p>
      <w:pPr>
        <w:rPr>
          <w:rFonts w:hint="eastAsia"/>
          <w:color w:val="auto"/>
          <w:highlight w:val="none"/>
          <w:lang w:val="en-US" w:eastAsia="zh-CN"/>
        </w:rPr>
      </w:pPr>
    </w:p>
    <w:p>
      <w:pPr>
        <w:rPr>
          <w:rFonts w:hint="eastAsia"/>
          <w:color w:val="auto"/>
          <w:highlight w:val="none"/>
          <w:lang w:val="en-US" w:eastAsia="zh-CN"/>
        </w:rPr>
      </w:pPr>
    </w:p>
    <w:p>
      <w:pPr>
        <w:rPr>
          <w:rFonts w:hint="eastAsia"/>
          <w:color w:val="auto"/>
          <w:highlight w:val="none"/>
          <w:lang w:val="en-US" w:eastAsia="zh-CN"/>
        </w:rPr>
      </w:pPr>
    </w:p>
    <w:p>
      <w:pPr>
        <w:rPr>
          <w:rFonts w:hint="eastAsia"/>
          <w:color w:val="auto"/>
          <w:highlight w:val="none"/>
          <w:lang w:val="en-US" w:eastAsia="zh-CN"/>
        </w:rPr>
      </w:pPr>
    </w:p>
    <w:p>
      <w:pPr>
        <w:rPr>
          <w:rFonts w:hint="eastAsia"/>
          <w:color w:val="auto"/>
          <w:highlight w:val="none"/>
          <w:lang w:val="en-US" w:eastAsia="zh-CN"/>
        </w:rPr>
      </w:pPr>
    </w:p>
    <w:p>
      <w:pPr>
        <w:rPr>
          <w:rFonts w:hint="eastAsia"/>
          <w:color w:val="auto"/>
          <w:highlight w:val="none"/>
          <w:lang w:val="en-US" w:eastAsia="zh-CN"/>
        </w:rPr>
      </w:pPr>
    </w:p>
    <w:p>
      <w:pPr>
        <w:rPr>
          <w:rFonts w:hint="eastAsia"/>
          <w:color w:val="auto"/>
          <w:highlight w:val="none"/>
          <w:lang w:val="en-US" w:eastAsia="zh-CN"/>
        </w:rPr>
      </w:pPr>
    </w:p>
    <w:p>
      <w:pPr>
        <w:rPr>
          <w:rFonts w:hint="eastAsia"/>
          <w:color w:val="auto"/>
          <w:highlight w:val="none"/>
          <w:lang w:val="en-US" w:eastAsia="zh-CN"/>
        </w:rPr>
      </w:pPr>
    </w:p>
    <w:p>
      <w:pPr>
        <w:rPr>
          <w:rFonts w:hint="eastAsia"/>
          <w:color w:val="auto"/>
          <w:highlight w:val="none"/>
          <w:lang w:val="en-US" w:eastAsia="zh-CN"/>
        </w:rPr>
      </w:pPr>
    </w:p>
    <w:p>
      <w:pPr>
        <w:rPr>
          <w:rFonts w:hint="eastAsia"/>
          <w:color w:val="auto"/>
          <w:highlight w:val="none"/>
          <w:lang w:val="en-US" w:eastAsia="zh-CN"/>
        </w:rPr>
      </w:pPr>
    </w:p>
    <w:p>
      <w:pPr>
        <w:rPr>
          <w:rFonts w:hint="eastAsia"/>
          <w:color w:val="auto"/>
          <w:highlight w:val="none"/>
          <w:lang w:val="en-US" w:eastAsia="zh-CN"/>
        </w:rPr>
      </w:pPr>
    </w:p>
    <w:p>
      <w:pPr>
        <w:rPr>
          <w:rFonts w:hint="eastAsia"/>
          <w:color w:val="auto"/>
          <w:highlight w:val="none"/>
          <w:lang w:val="en-US" w:eastAsia="zh-CN"/>
        </w:rPr>
      </w:pPr>
    </w:p>
    <w:p>
      <w:pPr>
        <w:pStyle w:val="2"/>
        <w:keepNext/>
        <w:keepLines/>
        <w:pageBreakBefore w:val="0"/>
        <w:widowControl w:val="0"/>
        <w:kinsoku/>
        <w:wordWrap/>
        <w:overflowPunct/>
        <w:topLinePunct w:val="0"/>
        <w:autoSpaceDE/>
        <w:autoSpaceDN/>
        <w:bidi w:val="0"/>
        <w:adjustRightInd w:val="0"/>
        <w:snapToGrid/>
        <w:spacing w:before="0" w:after="0" w:line="360" w:lineRule="auto"/>
        <w:ind w:firstLine="0"/>
        <w:jc w:val="center"/>
        <w:textAlignment w:val="baseline"/>
        <w:outlineLvl w:val="0"/>
        <w:rPr>
          <w:rFonts w:hint="eastAsia"/>
          <w:color w:val="auto"/>
          <w:sz w:val="32"/>
          <w:szCs w:val="32"/>
          <w:highlight w:val="none"/>
          <w:lang w:val="en-US" w:eastAsia="zh-CN"/>
        </w:rPr>
      </w:pPr>
      <w:r>
        <w:rPr>
          <w:rFonts w:hint="eastAsia"/>
          <w:color w:val="auto"/>
          <w:sz w:val="32"/>
          <w:szCs w:val="32"/>
          <w:highlight w:val="none"/>
          <w:lang w:val="en-US" w:eastAsia="zh-CN"/>
        </w:rPr>
        <w:t xml:space="preserve"> 供应商须知</w:t>
      </w:r>
    </w:p>
    <w:p>
      <w:pPr>
        <w:keepNext w:val="0"/>
        <w:keepLines w:val="0"/>
        <w:pageBreakBefore w:val="0"/>
        <w:widowControl w:val="0"/>
        <w:tabs>
          <w:tab w:val="left" w:pos="1260"/>
        </w:tabs>
        <w:kinsoku/>
        <w:wordWrap/>
        <w:overflowPunct/>
        <w:topLinePunct w:val="0"/>
        <w:autoSpaceDE w:val="0"/>
        <w:autoSpaceDN w:val="0"/>
        <w:bidi w:val="0"/>
        <w:adjustRightInd w:val="0"/>
        <w:snapToGrid/>
        <w:spacing w:line="360" w:lineRule="auto"/>
        <w:contextualSpacing/>
        <w:jc w:val="center"/>
        <w:textAlignment w:val="auto"/>
        <w:outlineLvl w:val="1"/>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一、概念释义</w:t>
      </w:r>
    </w:p>
    <w:p>
      <w:pPr>
        <w:keepNext w:val="0"/>
        <w:keepLines w:val="0"/>
        <w:pageBreakBefore w:val="0"/>
        <w:widowControl w:val="0"/>
        <w:kinsoku/>
        <w:overflowPunct/>
        <w:bidi w:val="0"/>
        <w:snapToGrid/>
        <w:spacing w:line="360" w:lineRule="auto"/>
        <w:ind w:left="0" w:leftChars="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适用范围</w:t>
      </w:r>
    </w:p>
    <w:p>
      <w:pPr>
        <w:pStyle w:val="50"/>
        <w:keepNext w:val="0"/>
        <w:keepLines w:val="0"/>
        <w:pageBreakBefore w:val="0"/>
        <w:widowControl w:val="0"/>
        <w:numPr>
          <w:ilvl w:val="0"/>
          <w:numId w:val="8"/>
        </w:numPr>
        <w:kinsoku/>
        <w:overflowPunct/>
        <w:autoSpaceDE w:val="0"/>
        <w:autoSpaceDN w:val="0"/>
        <w:bidi w:val="0"/>
        <w:snapToGrid/>
        <w:spacing w:line="360" w:lineRule="auto"/>
        <w:ind w:left="0" w:leftChars="0" w:firstLine="480" w:firstLineChars="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本谈判文件仅适用于本次“采购邀请”</w:t>
      </w:r>
      <w:r>
        <w:rPr>
          <w:rFonts w:hint="eastAsia" w:ascii="宋体" w:hAnsi="宋体" w:eastAsia="宋体" w:cs="宋体"/>
          <w:color w:val="auto"/>
          <w:sz w:val="24"/>
          <w:szCs w:val="24"/>
          <w:highlight w:val="none"/>
        </w:rPr>
        <w:t>和“供应商须知前附表”中所述采购项目的采购。</w:t>
      </w:r>
    </w:p>
    <w:p>
      <w:pPr>
        <w:pStyle w:val="50"/>
        <w:keepNext w:val="0"/>
        <w:keepLines w:val="0"/>
        <w:pageBreakBefore w:val="0"/>
        <w:widowControl w:val="0"/>
        <w:numPr>
          <w:ilvl w:val="0"/>
          <w:numId w:val="8"/>
        </w:numPr>
        <w:kinsoku/>
        <w:overflowPunct/>
        <w:autoSpaceDE w:val="0"/>
        <w:autoSpaceDN w:val="0"/>
        <w:bidi w:val="0"/>
        <w:snapToGrid/>
        <w:spacing w:line="360" w:lineRule="auto"/>
        <w:ind w:left="0" w:leftChars="0" w:firstLine="480" w:firstLineChars="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本谈判文件解释权属于“采购邀请”</w:t>
      </w:r>
      <w:r>
        <w:rPr>
          <w:rFonts w:hint="eastAsia" w:ascii="宋体" w:hAnsi="宋体" w:eastAsia="宋体" w:cs="宋体"/>
          <w:color w:val="auto"/>
          <w:sz w:val="24"/>
          <w:szCs w:val="24"/>
          <w:highlight w:val="none"/>
        </w:rPr>
        <w:t>和“供应商须知前附表”</w:t>
      </w:r>
      <w:r>
        <w:rPr>
          <w:rFonts w:hint="eastAsia" w:ascii="宋体" w:hAnsi="宋体" w:eastAsia="宋体" w:cs="宋体"/>
          <w:color w:val="auto"/>
          <w:kern w:val="0"/>
          <w:sz w:val="24"/>
          <w:szCs w:val="24"/>
          <w:highlight w:val="none"/>
        </w:rPr>
        <w:t>所述的采购人、</w:t>
      </w:r>
      <w:r>
        <w:rPr>
          <w:rFonts w:hint="eastAsia" w:ascii="宋体" w:hAnsi="宋体" w:eastAsia="宋体" w:cs="宋体"/>
          <w:color w:val="auto"/>
          <w:kern w:val="0"/>
          <w:sz w:val="24"/>
          <w:szCs w:val="24"/>
          <w:highlight w:val="none"/>
          <w:lang w:eastAsia="zh-CN"/>
        </w:rPr>
        <w:t>采购代理机构</w:t>
      </w:r>
      <w:r>
        <w:rPr>
          <w:rFonts w:hint="eastAsia" w:ascii="宋体" w:hAnsi="宋体" w:eastAsia="宋体" w:cs="宋体"/>
          <w:color w:val="auto"/>
          <w:kern w:val="0"/>
          <w:sz w:val="24"/>
          <w:szCs w:val="24"/>
          <w:highlight w:val="none"/>
        </w:rPr>
        <w:t>。</w:t>
      </w:r>
    </w:p>
    <w:p>
      <w:pPr>
        <w:keepNext w:val="0"/>
        <w:keepLines w:val="0"/>
        <w:pageBreakBefore w:val="0"/>
        <w:widowControl w:val="0"/>
        <w:kinsoku/>
        <w:overflowPunct/>
        <w:bidi w:val="0"/>
        <w:snapToGrid/>
        <w:spacing w:line="360" w:lineRule="auto"/>
        <w:ind w:left="0" w:leftChars="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2.定义</w:t>
      </w:r>
    </w:p>
    <w:p>
      <w:pPr>
        <w:pStyle w:val="50"/>
        <w:keepNext w:val="0"/>
        <w:keepLines w:val="0"/>
        <w:pageBreakBefore w:val="0"/>
        <w:widowControl w:val="0"/>
        <w:numPr>
          <w:ilvl w:val="0"/>
          <w:numId w:val="9"/>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“采购项目”：系指“供应商须知前附表”中所述的采购项目。</w:t>
      </w:r>
    </w:p>
    <w:p>
      <w:pPr>
        <w:pStyle w:val="50"/>
        <w:keepNext w:val="0"/>
        <w:keepLines w:val="0"/>
        <w:pageBreakBefore w:val="0"/>
        <w:widowControl w:val="0"/>
        <w:numPr>
          <w:ilvl w:val="0"/>
          <w:numId w:val="9"/>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“采购人、</w:t>
      </w:r>
      <w:r>
        <w:rPr>
          <w:rFonts w:hint="eastAsia" w:ascii="宋体" w:hAnsi="宋体" w:eastAsia="宋体" w:cs="宋体"/>
          <w:color w:val="auto"/>
          <w:kern w:val="0"/>
          <w:sz w:val="24"/>
          <w:szCs w:val="24"/>
          <w:highlight w:val="none"/>
          <w:lang w:eastAsia="zh-CN"/>
        </w:rPr>
        <w:t>采购代理机构</w:t>
      </w:r>
      <w:r>
        <w:rPr>
          <w:rFonts w:hint="eastAsia" w:ascii="宋体" w:hAnsi="宋体" w:eastAsia="宋体" w:cs="宋体"/>
          <w:color w:val="auto"/>
          <w:kern w:val="0"/>
          <w:sz w:val="24"/>
          <w:szCs w:val="24"/>
          <w:highlight w:val="none"/>
        </w:rPr>
        <w:t>”：系指“供应商须知前附表”中所述的组织本次采购的</w:t>
      </w:r>
      <w:r>
        <w:rPr>
          <w:rFonts w:hint="eastAsia" w:ascii="宋体" w:hAnsi="宋体" w:eastAsia="宋体" w:cs="宋体"/>
          <w:color w:val="auto"/>
          <w:kern w:val="0"/>
          <w:sz w:val="24"/>
          <w:szCs w:val="24"/>
          <w:highlight w:val="none"/>
          <w:lang w:eastAsia="zh-CN"/>
        </w:rPr>
        <w:t>采购代理机构</w:t>
      </w:r>
      <w:r>
        <w:rPr>
          <w:rFonts w:hint="eastAsia" w:ascii="宋体" w:hAnsi="宋体" w:eastAsia="宋体" w:cs="宋体"/>
          <w:color w:val="auto"/>
          <w:kern w:val="0"/>
          <w:sz w:val="24"/>
          <w:szCs w:val="24"/>
          <w:highlight w:val="none"/>
        </w:rPr>
        <w:t>和采购人。</w:t>
      </w:r>
    </w:p>
    <w:p>
      <w:pPr>
        <w:pStyle w:val="50"/>
        <w:keepNext w:val="0"/>
        <w:keepLines w:val="0"/>
        <w:pageBreakBefore w:val="0"/>
        <w:widowControl w:val="0"/>
        <w:numPr>
          <w:ilvl w:val="0"/>
          <w:numId w:val="9"/>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“供应商”系指从采购人、</w:t>
      </w:r>
      <w:r>
        <w:rPr>
          <w:rFonts w:hint="eastAsia" w:ascii="宋体" w:hAnsi="宋体" w:eastAsia="宋体" w:cs="宋体"/>
          <w:color w:val="auto"/>
          <w:kern w:val="0"/>
          <w:sz w:val="24"/>
          <w:szCs w:val="24"/>
          <w:highlight w:val="none"/>
          <w:lang w:eastAsia="zh-CN"/>
        </w:rPr>
        <w:t>采购代理机构</w:t>
      </w:r>
      <w:r>
        <w:rPr>
          <w:rFonts w:hint="eastAsia" w:ascii="宋体" w:hAnsi="宋体" w:eastAsia="宋体" w:cs="宋体"/>
          <w:color w:val="auto"/>
          <w:kern w:val="0"/>
          <w:sz w:val="24"/>
          <w:szCs w:val="24"/>
          <w:highlight w:val="none"/>
        </w:rPr>
        <w:t>处按规定获取谈判文件，并按照谈判文件向采购人、</w:t>
      </w:r>
      <w:r>
        <w:rPr>
          <w:rFonts w:hint="eastAsia" w:ascii="宋体" w:hAnsi="宋体" w:eastAsia="宋体" w:cs="宋体"/>
          <w:color w:val="auto"/>
          <w:kern w:val="0"/>
          <w:sz w:val="24"/>
          <w:szCs w:val="24"/>
          <w:highlight w:val="none"/>
          <w:lang w:eastAsia="zh-CN"/>
        </w:rPr>
        <w:t>采购代理机构</w:t>
      </w:r>
      <w:r>
        <w:rPr>
          <w:rFonts w:hint="eastAsia" w:ascii="宋体" w:hAnsi="宋体" w:eastAsia="宋体" w:cs="宋体"/>
          <w:color w:val="auto"/>
          <w:kern w:val="0"/>
          <w:sz w:val="24"/>
          <w:szCs w:val="24"/>
          <w:highlight w:val="none"/>
        </w:rPr>
        <w:t>提交响应文件的供应商。</w:t>
      </w:r>
    </w:p>
    <w:p>
      <w:pPr>
        <w:pStyle w:val="50"/>
        <w:keepNext w:val="0"/>
        <w:keepLines w:val="0"/>
        <w:pageBreakBefore w:val="0"/>
        <w:widowControl w:val="0"/>
        <w:numPr>
          <w:ilvl w:val="0"/>
          <w:numId w:val="9"/>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“成交供应商”系指成交的供应商。</w:t>
      </w:r>
    </w:p>
    <w:p>
      <w:pPr>
        <w:pStyle w:val="50"/>
        <w:keepNext w:val="0"/>
        <w:keepLines w:val="0"/>
        <w:pageBreakBefore w:val="0"/>
        <w:widowControl w:val="0"/>
        <w:numPr>
          <w:ilvl w:val="0"/>
          <w:numId w:val="9"/>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“甲方”系指采购人。</w:t>
      </w:r>
    </w:p>
    <w:p>
      <w:pPr>
        <w:pStyle w:val="50"/>
        <w:keepNext w:val="0"/>
        <w:keepLines w:val="0"/>
        <w:pageBreakBefore w:val="0"/>
        <w:widowControl w:val="0"/>
        <w:numPr>
          <w:ilvl w:val="0"/>
          <w:numId w:val="9"/>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“乙方”系指成交并向采购人提供服务的供应商。</w:t>
      </w:r>
    </w:p>
    <w:p>
      <w:pPr>
        <w:pStyle w:val="50"/>
        <w:keepNext w:val="0"/>
        <w:keepLines w:val="0"/>
        <w:pageBreakBefore w:val="0"/>
        <w:widowControl w:val="0"/>
        <w:numPr>
          <w:ilvl w:val="0"/>
          <w:numId w:val="9"/>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“服务”系指谈判文件规定的供应商为完成采购项目所需承担的全部义务。</w:t>
      </w:r>
    </w:p>
    <w:p>
      <w:pPr>
        <w:pStyle w:val="50"/>
        <w:keepNext w:val="0"/>
        <w:keepLines w:val="0"/>
        <w:pageBreakBefore w:val="0"/>
        <w:widowControl w:val="0"/>
        <w:numPr>
          <w:ilvl w:val="0"/>
          <w:numId w:val="9"/>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“进口产品”：是指通过中国海关报关验放进入中国境内且产自关境外的产品，包括已经进入中国境内的进口产品。详见《政府采购进口产品管理办法》(财库[2007]119号</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、《关于政府采购进口产品管理有关问题的通知》（财办库</w:t>
      </w:r>
      <w:r>
        <w:rPr>
          <w:rFonts w:hint="eastAsia" w:ascii="宋体" w:hAnsi="宋体" w:eastAsia="宋体" w:cs="宋体"/>
          <w:color w:val="auto"/>
          <w:kern w:val="0"/>
          <w:sz w:val="24"/>
          <w:szCs w:val="24"/>
          <w:highlight w:val="none"/>
          <w:lang w:eastAsia="zh-CN"/>
        </w:rPr>
        <w:t>〔2008〕</w:t>
      </w:r>
      <w:r>
        <w:rPr>
          <w:rFonts w:hint="eastAsia" w:ascii="宋体" w:hAnsi="宋体" w:eastAsia="宋体" w:cs="宋体"/>
          <w:color w:val="auto"/>
          <w:kern w:val="0"/>
          <w:sz w:val="24"/>
          <w:szCs w:val="24"/>
          <w:highlight w:val="none"/>
        </w:rPr>
        <w:t>248号）。</w:t>
      </w:r>
    </w:p>
    <w:p>
      <w:pPr>
        <w:pStyle w:val="50"/>
        <w:keepNext w:val="0"/>
        <w:keepLines w:val="0"/>
        <w:pageBreakBefore w:val="0"/>
        <w:widowControl w:val="0"/>
        <w:numPr>
          <w:ilvl w:val="0"/>
          <w:numId w:val="9"/>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谈判文件列明不允许或未列明允许进口产品参加响应的，均视为拒绝进口产品参加响应。</w:t>
      </w:r>
    </w:p>
    <w:p>
      <w:pPr>
        <w:pStyle w:val="50"/>
        <w:keepNext w:val="0"/>
        <w:keepLines w:val="0"/>
        <w:pageBreakBefore w:val="0"/>
        <w:widowControl w:val="0"/>
        <w:numPr>
          <w:ilvl w:val="0"/>
          <w:numId w:val="9"/>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如响应文件中已说明，经财政部门审核同意，允许部分或全部产品采购进口产品，供应商既可提供本国产品，也可以提供进口产品。</w:t>
      </w:r>
    </w:p>
    <w:p>
      <w:pPr>
        <w:pStyle w:val="50"/>
        <w:keepNext w:val="0"/>
        <w:keepLines w:val="0"/>
        <w:pageBreakBefore w:val="0"/>
        <w:widowControl w:val="0"/>
        <w:numPr>
          <w:ilvl w:val="0"/>
          <w:numId w:val="9"/>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谈判文件中凡标有“★”的条款均系实质性要求条款。</w:t>
      </w:r>
    </w:p>
    <w:p>
      <w:pPr>
        <w:pStyle w:val="50"/>
        <w:keepNext w:val="0"/>
        <w:keepLines w:val="0"/>
        <w:pageBreakBefore w:val="0"/>
        <w:widowControl w:val="0"/>
        <w:kinsoku/>
        <w:wordWrap/>
        <w:overflowPunct/>
        <w:topLinePunct w:val="0"/>
        <w:autoSpaceDE w:val="0"/>
        <w:autoSpaceDN w:val="0"/>
        <w:bidi w:val="0"/>
        <w:adjustRightInd/>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3.合格的供应商</w:t>
      </w:r>
    </w:p>
    <w:p>
      <w:pPr>
        <w:pStyle w:val="50"/>
        <w:keepNext w:val="0"/>
        <w:keepLines w:val="0"/>
        <w:pageBreakBefore w:val="0"/>
        <w:widowControl w:val="0"/>
        <w:numPr>
          <w:ilvl w:val="0"/>
          <w:numId w:val="10"/>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在中华人民共和国境内注册，具有本项目生产、制造、供应或实施能力，符合、承认并承诺履行本谈判文件各项规定的法人、其他组织或者自然人。</w:t>
      </w:r>
    </w:p>
    <w:p>
      <w:pPr>
        <w:pStyle w:val="50"/>
        <w:keepNext w:val="0"/>
        <w:keepLines w:val="0"/>
        <w:pageBreakBefore w:val="0"/>
        <w:widowControl w:val="0"/>
        <w:numPr>
          <w:ilvl w:val="0"/>
          <w:numId w:val="10"/>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符合本项目“投标邀请”和“供应商须知前附表”中规定的合格供应商所必须具备的条件。</w:t>
      </w:r>
    </w:p>
    <w:p>
      <w:pPr>
        <w:pStyle w:val="50"/>
        <w:keepNext w:val="0"/>
        <w:keepLines w:val="0"/>
        <w:pageBreakBefore w:val="0"/>
        <w:widowControl w:val="0"/>
        <w:numPr>
          <w:ilvl w:val="0"/>
          <w:numId w:val="10"/>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按照财政部《关于在政府采购活动中查询及使用信用记录有关问题的通知》（财库〔2016〕125号）要求，政府采购活动中查询及使用供应商信用记录的具体要求为：供应商未被列入失信被执行人、税收违法黑名单、政府采购严重违法失信行为记录名单、严重违法失信社会组织名单（联合体形式投标的，联合体成员存在不良信用记录，视同联合体存在不良信用记录）。</w:t>
      </w:r>
    </w:p>
    <w:p>
      <w:pPr>
        <w:pStyle w:val="50"/>
        <w:keepNext w:val="0"/>
        <w:keepLines w:val="0"/>
        <w:pageBreakBefore w:val="0"/>
        <w:widowControl w:val="0"/>
        <w:numPr>
          <w:ilvl w:val="0"/>
          <w:numId w:val="11"/>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查询渠道：“信用中国”网站（www.creditchina.gov.cn）、“中国政府采购网”（www.ccgp.gov.cn）、“中国社会组织政务服务平台”网站（</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"http://www.chinanpo.gov.cn" </w:instrText>
      </w:r>
      <w:r>
        <w:rPr>
          <w:rFonts w:hint="eastAsia" w:ascii="宋体" w:hAnsi="宋体" w:eastAsia="宋体" w:cs="宋体"/>
          <w:color w:val="auto"/>
          <w:sz w:val="24"/>
          <w:szCs w:val="24"/>
          <w:highlight w:val="none"/>
        </w:rPr>
        <w:fldChar w:fldCharType="separate"/>
      </w:r>
      <w:r>
        <w:rPr>
          <w:rStyle w:val="29"/>
          <w:rFonts w:hint="eastAsia" w:ascii="宋体" w:hAnsi="宋体" w:eastAsia="宋体" w:cs="宋体"/>
          <w:color w:val="auto"/>
          <w:sz w:val="24"/>
          <w:szCs w:val="24"/>
          <w:highlight w:val="none"/>
        </w:rPr>
        <w:t>https://chinanpo.mca.gov.cn</w:t>
      </w:r>
      <w:r>
        <w:rPr>
          <w:rStyle w:val="29"/>
          <w:rFonts w:hint="eastAsia" w:ascii="宋体" w:hAnsi="宋体" w:eastAsia="宋体" w:cs="宋体"/>
          <w:color w:val="auto"/>
          <w:sz w:val="24"/>
          <w:szCs w:val="24"/>
          <w:highlight w:val="none"/>
        </w:rPr>
        <w:fldChar w:fldCharType="end"/>
      </w:r>
      <w:r>
        <w:rPr>
          <w:rFonts w:hint="eastAsia" w:ascii="宋体" w:hAnsi="宋体" w:eastAsia="宋体" w:cs="宋体"/>
          <w:color w:val="auto"/>
          <w:kern w:val="0"/>
          <w:sz w:val="24"/>
          <w:szCs w:val="24"/>
          <w:highlight w:val="none"/>
        </w:rPr>
        <w:t>）；</w:t>
      </w:r>
    </w:p>
    <w:p>
      <w:pPr>
        <w:pStyle w:val="50"/>
        <w:keepNext w:val="0"/>
        <w:keepLines w:val="0"/>
        <w:pageBreakBefore w:val="0"/>
        <w:widowControl w:val="0"/>
        <w:numPr>
          <w:ilvl w:val="0"/>
          <w:numId w:val="11"/>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截止时间：同谈判响应截止时间；</w:t>
      </w:r>
    </w:p>
    <w:p>
      <w:pPr>
        <w:pStyle w:val="50"/>
        <w:keepNext w:val="0"/>
        <w:keepLines w:val="0"/>
        <w:pageBreakBefore w:val="0"/>
        <w:widowControl w:val="0"/>
        <w:numPr>
          <w:ilvl w:val="0"/>
          <w:numId w:val="11"/>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信用信息查询记录和证据留存具体方式：经</w:t>
      </w:r>
      <w:r>
        <w:rPr>
          <w:rFonts w:hint="eastAsia" w:ascii="宋体" w:hAnsi="宋体" w:eastAsia="宋体" w:cs="宋体"/>
          <w:color w:val="auto"/>
          <w:kern w:val="0"/>
          <w:sz w:val="24"/>
          <w:szCs w:val="24"/>
          <w:highlight w:val="none"/>
          <w:lang w:eastAsia="zh-CN"/>
        </w:rPr>
        <w:t>采购人</w:t>
      </w:r>
      <w:r>
        <w:rPr>
          <w:rFonts w:hint="eastAsia" w:ascii="宋体" w:hAnsi="宋体" w:eastAsia="宋体" w:cs="宋体"/>
          <w:color w:val="auto"/>
          <w:kern w:val="0"/>
          <w:sz w:val="24"/>
          <w:szCs w:val="24"/>
          <w:highlight w:val="none"/>
        </w:rPr>
        <w:t>确认的查询结果网页截图作为查询记录和证据，与其他采购文件一并保存；</w:t>
      </w:r>
    </w:p>
    <w:p>
      <w:pPr>
        <w:pStyle w:val="50"/>
        <w:keepNext w:val="0"/>
        <w:keepLines w:val="0"/>
        <w:pageBreakBefore w:val="0"/>
        <w:widowControl w:val="0"/>
        <w:numPr>
          <w:ilvl w:val="0"/>
          <w:numId w:val="11"/>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信用信息的使用原则：经</w:t>
      </w:r>
      <w:r>
        <w:rPr>
          <w:rFonts w:hint="eastAsia" w:ascii="宋体" w:hAnsi="宋体" w:eastAsia="宋体" w:cs="宋体"/>
          <w:color w:val="auto"/>
          <w:kern w:val="0"/>
          <w:sz w:val="24"/>
          <w:szCs w:val="24"/>
          <w:highlight w:val="none"/>
          <w:lang w:eastAsia="zh-CN"/>
        </w:rPr>
        <w:t>采购人</w:t>
      </w:r>
      <w:r>
        <w:rPr>
          <w:rFonts w:hint="eastAsia" w:ascii="宋体" w:hAnsi="宋体" w:eastAsia="宋体" w:cs="宋体"/>
          <w:color w:val="auto"/>
          <w:kern w:val="0"/>
          <w:sz w:val="24"/>
          <w:szCs w:val="24"/>
          <w:highlight w:val="none"/>
        </w:rPr>
        <w:t>认定的被列入失信被执行人、</w:t>
      </w:r>
      <w:r>
        <w:rPr>
          <w:rFonts w:hint="eastAsia" w:ascii="宋体" w:hAnsi="宋体" w:eastAsia="宋体" w:cs="宋体"/>
          <w:color w:val="auto"/>
          <w:kern w:val="0"/>
          <w:sz w:val="24"/>
          <w:szCs w:val="24"/>
          <w:highlight w:val="none"/>
          <w:lang w:eastAsia="zh-CN"/>
        </w:rPr>
        <w:t>重大</w:t>
      </w:r>
      <w:r>
        <w:rPr>
          <w:rFonts w:hint="eastAsia" w:ascii="宋体" w:hAnsi="宋体" w:eastAsia="宋体" w:cs="宋体"/>
          <w:color w:val="auto"/>
          <w:kern w:val="0"/>
          <w:sz w:val="24"/>
          <w:szCs w:val="24"/>
          <w:highlight w:val="none"/>
        </w:rPr>
        <w:t>税收违法黑名单、</w:t>
      </w:r>
      <w:r>
        <w:rPr>
          <w:rFonts w:hint="eastAsia" w:ascii="宋体" w:hAnsi="宋体" w:eastAsia="宋体" w:cs="宋体"/>
          <w:color w:val="auto"/>
          <w:sz w:val="24"/>
          <w:szCs w:val="24"/>
          <w:highlight w:val="none"/>
          <w:shd w:val="clear" w:color="auto" w:fill="FFFFFF"/>
        </w:rPr>
        <w:t>政府采购严重违法失信行为记录名单、</w:t>
      </w:r>
      <w:r>
        <w:rPr>
          <w:rFonts w:hint="eastAsia" w:ascii="宋体" w:hAnsi="宋体" w:eastAsia="宋体" w:cs="宋体"/>
          <w:color w:val="auto"/>
          <w:kern w:val="0"/>
          <w:sz w:val="24"/>
          <w:szCs w:val="24"/>
          <w:highlight w:val="none"/>
        </w:rPr>
        <w:t>严重违法失信社会组织名单的供应商，将拒绝其参与本次政府采购活动。</w:t>
      </w:r>
    </w:p>
    <w:p>
      <w:pPr>
        <w:pStyle w:val="50"/>
        <w:keepNext w:val="0"/>
        <w:keepLines w:val="0"/>
        <w:pageBreakBefore w:val="0"/>
        <w:widowControl w:val="0"/>
        <w:numPr>
          <w:ilvl w:val="0"/>
          <w:numId w:val="11"/>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供应商无须提供</w:t>
      </w:r>
      <w:r>
        <w:rPr>
          <w:rFonts w:hint="eastAsia" w:ascii="宋体" w:hAnsi="宋体" w:eastAsia="宋体" w:cs="宋体"/>
          <w:bCs/>
          <w:color w:val="auto"/>
          <w:sz w:val="24"/>
          <w:szCs w:val="24"/>
          <w:highlight w:val="none"/>
        </w:rPr>
        <w:t>信用记录查询结果网页截屏。</w:t>
      </w:r>
      <w:r>
        <w:rPr>
          <w:rFonts w:hint="eastAsia" w:ascii="宋体" w:hAnsi="宋体" w:eastAsia="宋体" w:cs="宋体"/>
          <w:color w:val="auto"/>
          <w:kern w:val="0"/>
          <w:sz w:val="24"/>
          <w:szCs w:val="24"/>
          <w:highlight w:val="none"/>
        </w:rPr>
        <w:t>供应商不良信用记录以</w:t>
      </w:r>
      <w:r>
        <w:rPr>
          <w:rFonts w:hint="eastAsia" w:ascii="宋体" w:hAnsi="宋体" w:eastAsia="宋体" w:cs="宋体"/>
          <w:color w:val="auto"/>
          <w:kern w:val="0"/>
          <w:sz w:val="24"/>
          <w:szCs w:val="24"/>
          <w:highlight w:val="none"/>
          <w:lang w:eastAsia="zh-CN"/>
        </w:rPr>
        <w:t>采购人</w:t>
      </w:r>
      <w:r>
        <w:rPr>
          <w:rFonts w:hint="eastAsia" w:ascii="宋体" w:hAnsi="宋体" w:eastAsia="宋体" w:cs="宋体"/>
          <w:color w:val="auto"/>
          <w:kern w:val="0"/>
          <w:sz w:val="24"/>
          <w:szCs w:val="24"/>
          <w:highlight w:val="none"/>
        </w:rPr>
        <w:t>查询结果为准，</w:t>
      </w:r>
      <w:r>
        <w:rPr>
          <w:rFonts w:hint="eastAsia" w:ascii="宋体" w:hAnsi="宋体" w:eastAsia="宋体" w:cs="宋体"/>
          <w:color w:val="auto"/>
          <w:kern w:val="0"/>
          <w:sz w:val="24"/>
          <w:szCs w:val="24"/>
          <w:highlight w:val="none"/>
          <w:lang w:eastAsia="zh-CN"/>
        </w:rPr>
        <w:t>采购人</w:t>
      </w:r>
      <w:r>
        <w:rPr>
          <w:rFonts w:hint="eastAsia" w:ascii="宋体" w:hAnsi="宋体" w:eastAsia="宋体" w:cs="宋体"/>
          <w:color w:val="auto"/>
          <w:kern w:val="0"/>
          <w:sz w:val="24"/>
          <w:szCs w:val="24"/>
          <w:highlight w:val="none"/>
        </w:rPr>
        <w:t>查询之后，网站信息发生的任何变更不再作为评审依据，供应商自行提供的与网站信息不一致的其他证明材料亦不作为评审依据。</w:t>
      </w:r>
    </w:p>
    <w:p>
      <w:pPr>
        <w:pStyle w:val="50"/>
        <w:keepNext w:val="0"/>
        <w:keepLines w:val="0"/>
        <w:pageBreakBefore w:val="0"/>
        <w:widowControl w:val="0"/>
        <w:numPr>
          <w:ilvl w:val="0"/>
          <w:numId w:val="12"/>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单位负责人为同一人或者存在直接控股、管理关系的不同供应商，不得同时参加本项目响应。违反规定的，相关响应均无效。</w:t>
      </w:r>
    </w:p>
    <w:p>
      <w:pPr>
        <w:pStyle w:val="50"/>
        <w:keepNext w:val="0"/>
        <w:keepLines w:val="0"/>
        <w:pageBreakBefore w:val="0"/>
        <w:widowControl w:val="0"/>
        <w:numPr>
          <w:ilvl w:val="0"/>
          <w:numId w:val="12"/>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为采购项目提供整体设计、规范编制或者项目管理、监理、检测等服务的供应商，不得再参加该采购项目的其他采购活动。</w:t>
      </w:r>
    </w:p>
    <w:p>
      <w:pPr>
        <w:pStyle w:val="50"/>
        <w:keepNext w:val="0"/>
        <w:keepLines w:val="0"/>
        <w:pageBreakBefore w:val="0"/>
        <w:widowControl w:val="0"/>
        <w:numPr>
          <w:ilvl w:val="0"/>
          <w:numId w:val="12"/>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“投标邀请”和“供应商须知前附表”规定接受联合体投标的，除应符合本章第3.1项和3.2项要求外，还应遵守以下规定：</w:t>
      </w:r>
    </w:p>
    <w:p>
      <w:pPr>
        <w:pStyle w:val="50"/>
        <w:keepNext w:val="0"/>
        <w:keepLines w:val="0"/>
        <w:pageBreakBefore w:val="0"/>
        <w:widowControl w:val="0"/>
        <w:numPr>
          <w:ilvl w:val="0"/>
          <w:numId w:val="13"/>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在响应文件中向采购人提交联合体协议书，明确联合体各方承担的工作和义务；</w:t>
      </w:r>
    </w:p>
    <w:p>
      <w:pPr>
        <w:pStyle w:val="50"/>
        <w:keepNext w:val="0"/>
        <w:keepLines w:val="0"/>
        <w:pageBreakBefore w:val="0"/>
        <w:widowControl w:val="0"/>
        <w:numPr>
          <w:ilvl w:val="0"/>
          <w:numId w:val="13"/>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联合体中有同类资质的供应商按联合体分工承担相同工作的，应当按照资质等级较低的供应商确定资质等级；</w:t>
      </w:r>
    </w:p>
    <w:p>
      <w:pPr>
        <w:pStyle w:val="50"/>
        <w:keepNext w:val="0"/>
        <w:keepLines w:val="0"/>
        <w:pageBreakBefore w:val="0"/>
        <w:widowControl w:val="0"/>
        <w:numPr>
          <w:ilvl w:val="0"/>
          <w:numId w:val="13"/>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招标人根据采购项目的特殊要求规定供应商特定条件的，联合体各方中至少应当有一方符合采购规定的特定条件；</w:t>
      </w:r>
    </w:p>
    <w:p>
      <w:pPr>
        <w:pStyle w:val="50"/>
        <w:keepNext w:val="0"/>
        <w:keepLines w:val="0"/>
        <w:pageBreakBefore w:val="0"/>
        <w:widowControl w:val="0"/>
        <w:numPr>
          <w:ilvl w:val="0"/>
          <w:numId w:val="13"/>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联合体各方不得再单独参加或者与其他供应商另外组成联合体参加同一合同项下的政府采购活动；</w:t>
      </w:r>
    </w:p>
    <w:p>
      <w:pPr>
        <w:pStyle w:val="50"/>
        <w:keepNext w:val="0"/>
        <w:keepLines w:val="0"/>
        <w:pageBreakBefore w:val="0"/>
        <w:widowControl w:val="0"/>
        <w:numPr>
          <w:ilvl w:val="0"/>
          <w:numId w:val="13"/>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联合体各方应当共同与采购人签订采购合同，就采购合同约定的事项对采购人</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"https://baike.baidu.com/item/%E6%89%BF%E6%8B%85%E8%BF%9E%E5%B8%A6%E8%B4%A3%E4%BB%BB"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kern w:val="0"/>
          <w:sz w:val="24"/>
          <w:szCs w:val="24"/>
          <w:highlight w:val="none"/>
        </w:rPr>
        <w:t>承担连带责任</w:t>
      </w:r>
      <w:r>
        <w:rPr>
          <w:rFonts w:hint="eastAsia" w:ascii="宋体" w:hAnsi="宋体" w:eastAsia="宋体" w:cs="宋体"/>
          <w:color w:val="auto"/>
          <w:kern w:val="0"/>
          <w:sz w:val="24"/>
          <w:szCs w:val="24"/>
          <w:highlight w:val="none"/>
        </w:rPr>
        <w:fldChar w:fldCharType="end"/>
      </w:r>
      <w:r>
        <w:rPr>
          <w:rFonts w:hint="eastAsia" w:ascii="宋体" w:hAnsi="宋体" w:eastAsia="宋体" w:cs="宋体"/>
          <w:color w:val="auto"/>
          <w:sz w:val="24"/>
          <w:szCs w:val="24"/>
          <w:highlight w:val="none"/>
        </w:rPr>
        <w:t>。</w:t>
      </w:r>
    </w:p>
    <w:p>
      <w:pPr>
        <w:pStyle w:val="50"/>
        <w:keepNext w:val="0"/>
        <w:keepLines w:val="0"/>
        <w:pageBreakBefore w:val="0"/>
        <w:widowControl w:val="0"/>
        <w:numPr>
          <w:ilvl w:val="0"/>
          <w:numId w:val="14"/>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法律、行政法规规定的其他条件。</w:t>
      </w:r>
    </w:p>
    <w:p>
      <w:pPr>
        <w:pStyle w:val="5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val="en-US" w:eastAsia="zh-CN"/>
        </w:rPr>
        <w:t>4.</w:t>
      </w:r>
      <w:r>
        <w:rPr>
          <w:rFonts w:hint="eastAsia" w:ascii="宋体" w:hAnsi="宋体" w:eastAsia="宋体" w:cs="宋体"/>
          <w:b/>
          <w:color w:val="auto"/>
          <w:kern w:val="0"/>
          <w:sz w:val="24"/>
          <w:szCs w:val="24"/>
          <w:highlight w:val="none"/>
        </w:rPr>
        <w:t>合格的货物和服务</w:t>
      </w:r>
    </w:p>
    <w:p>
      <w:pPr>
        <w:pStyle w:val="50"/>
        <w:keepNext w:val="0"/>
        <w:keepLines w:val="0"/>
        <w:pageBreakBefore w:val="0"/>
        <w:widowControl w:val="0"/>
        <w:numPr>
          <w:ilvl w:val="0"/>
          <w:numId w:val="15"/>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提供的货物应当符合谈判文件的要求，并且其质量完全符合国家标准、行业标准或地方标准，均有标准的以高（严格）者为准。没有国家标准、行业标准和企业标准的，按照通常标准或者符合采购目的的特定标准确定。</w:t>
      </w:r>
    </w:p>
    <w:p>
      <w:pPr>
        <w:pStyle w:val="50"/>
        <w:keepNext w:val="0"/>
        <w:keepLines w:val="0"/>
        <w:pageBreakBefore w:val="0"/>
        <w:widowControl w:val="0"/>
        <w:numPr>
          <w:ilvl w:val="0"/>
          <w:numId w:val="15"/>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供应商所提供的服务应当没有侵犯任何第三方的知识产权、技术秘密等合法权利。</w:t>
      </w:r>
    </w:p>
    <w:p>
      <w:pPr>
        <w:pStyle w:val="50"/>
        <w:keepNext w:val="0"/>
        <w:keepLines w:val="0"/>
        <w:pageBreakBefore w:val="0"/>
        <w:widowControl w:val="0"/>
        <w:numPr>
          <w:ilvl w:val="0"/>
          <w:numId w:val="15"/>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根据《财政部、发展改革委、生态环境部、市场监管总局关于调整优化节能产品、环境标志产品政府采购执行机制的通知》（财库〔2019〕9号）要求，采购属于政府强制采购产品的，该产品必须具有国家确定的认证机构出具的、处于有效期之内的节能产品认证证书，否则其投标将被拒绝。</w:t>
      </w:r>
    </w:p>
    <w:p>
      <w:pPr>
        <w:pStyle w:val="50"/>
        <w:keepNext w:val="0"/>
        <w:keepLines w:val="0"/>
        <w:pageBreakBefore w:val="0"/>
        <w:widowControl w:val="0"/>
        <w:numPr>
          <w:ilvl w:val="0"/>
          <w:numId w:val="15"/>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根据财政部、工业和信息化部、国家质检总局、国家认监委联合发布</w:t>
      </w:r>
      <w:bookmarkStart w:id="0" w:name="baidusnap0"/>
      <w:bookmarkEnd w:id="0"/>
      <w:r>
        <w:rPr>
          <w:rFonts w:hint="eastAsia" w:ascii="宋体" w:hAnsi="宋体" w:eastAsia="宋体" w:cs="宋体"/>
          <w:color w:val="auto"/>
          <w:kern w:val="0"/>
          <w:sz w:val="24"/>
          <w:szCs w:val="24"/>
          <w:highlight w:val="none"/>
        </w:rPr>
        <w:t>《关于信息安全产品实施政府采购的通知》（财库[2010]48号）要求，供应商所投产品如被列入《信息安全产品强制性认证目录》，则该产品应具备中国信息安全认证中心颁发的《</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"http://www.cnca.gov.cn/cnca/zwxx/ggxx/images/2010/07/19/A6C32D2A507AC2A38326896013A67542.doc"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kern w:val="0"/>
          <w:sz w:val="24"/>
          <w:szCs w:val="24"/>
          <w:highlight w:val="none"/>
        </w:rPr>
        <w:t>中国国家信息安全产品认证证书</w:t>
      </w:r>
      <w:r>
        <w:rPr>
          <w:rFonts w:hint="eastAsia" w:ascii="宋体" w:hAnsi="宋体" w:eastAsia="宋体" w:cs="宋体"/>
          <w:color w:val="auto"/>
          <w:kern w:val="0"/>
          <w:sz w:val="24"/>
          <w:szCs w:val="24"/>
          <w:highlight w:val="none"/>
        </w:rPr>
        <w:fldChar w:fldCharType="end"/>
      </w:r>
      <w:r>
        <w:rPr>
          <w:rFonts w:hint="eastAsia" w:ascii="宋体" w:hAnsi="宋体" w:eastAsia="宋体" w:cs="宋体"/>
          <w:color w:val="auto"/>
          <w:kern w:val="0"/>
          <w:sz w:val="24"/>
          <w:szCs w:val="24"/>
          <w:highlight w:val="none"/>
        </w:rPr>
        <w:t>》。供应商不能提供超出此目录范畴外的替代品。</w:t>
      </w:r>
    </w:p>
    <w:p>
      <w:pPr>
        <w:pStyle w:val="5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val="en-US" w:eastAsia="zh-CN"/>
        </w:rPr>
        <w:t>5.</w:t>
      </w:r>
      <w:r>
        <w:rPr>
          <w:rFonts w:hint="eastAsia" w:ascii="宋体" w:hAnsi="宋体" w:eastAsia="宋体" w:cs="宋体"/>
          <w:b/>
          <w:color w:val="auto"/>
          <w:kern w:val="0"/>
          <w:sz w:val="24"/>
          <w:szCs w:val="24"/>
          <w:highlight w:val="none"/>
        </w:rPr>
        <w:t>谈判费用</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contextualSpacing/>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不论采购的结果如何，供应商均应自行承担所有与谈判有关的全部费用，采购人、</w:t>
      </w:r>
      <w:r>
        <w:rPr>
          <w:rFonts w:hint="eastAsia" w:ascii="宋体" w:hAnsi="宋体" w:eastAsia="宋体" w:cs="宋体"/>
          <w:color w:val="auto"/>
          <w:kern w:val="0"/>
          <w:sz w:val="24"/>
          <w:szCs w:val="24"/>
          <w:highlight w:val="none"/>
          <w:lang w:eastAsia="zh-CN"/>
        </w:rPr>
        <w:t>采购代理机构</w:t>
      </w:r>
      <w:r>
        <w:rPr>
          <w:rFonts w:hint="eastAsia" w:ascii="宋体" w:hAnsi="宋体" w:eastAsia="宋体" w:cs="宋体"/>
          <w:color w:val="auto"/>
          <w:kern w:val="0"/>
          <w:sz w:val="24"/>
          <w:szCs w:val="24"/>
          <w:highlight w:val="none"/>
        </w:rPr>
        <w:t>在任何情况下均无义务和责任承担这些费用。</w:t>
      </w:r>
    </w:p>
    <w:p>
      <w:pPr>
        <w:pStyle w:val="5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val="en-US" w:eastAsia="zh-CN"/>
        </w:rPr>
        <w:t>6.</w:t>
      </w:r>
      <w:r>
        <w:rPr>
          <w:rFonts w:hint="eastAsia" w:ascii="宋体" w:hAnsi="宋体" w:eastAsia="宋体" w:cs="宋体"/>
          <w:b/>
          <w:color w:val="auto"/>
          <w:kern w:val="0"/>
          <w:sz w:val="24"/>
          <w:szCs w:val="24"/>
          <w:highlight w:val="none"/>
        </w:rPr>
        <w:t>信息发布</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contextualSpacing/>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本采购项目需要公开的有关信息，包括谈判公告、谈判文件澄清或修改公告、成交公告以及延长响应文件提交截止时间等与采购活动有关的通知，采购人、</w:t>
      </w:r>
      <w:r>
        <w:rPr>
          <w:rFonts w:hint="eastAsia" w:ascii="宋体" w:hAnsi="宋体" w:eastAsia="宋体" w:cs="宋体"/>
          <w:color w:val="auto"/>
          <w:kern w:val="0"/>
          <w:sz w:val="24"/>
          <w:szCs w:val="24"/>
          <w:highlight w:val="none"/>
          <w:lang w:eastAsia="zh-CN"/>
        </w:rPr>
        <w:t>采购代理机构</w:t>
      </w:r>
      <w:r>
        <w:rPr>
          <w:rFonts w:hint="eastAsia" w:ascii="宋体" w:hAnsi="宋体" w:eastAsia="宋体" w:cs="宋体"/>
          <w:color w:val="auto"/>
          <w:kern w:val="0"/>
          <w:sz w:val="24"/>
          <w:szCs w:val="24"/>
          <w:highlight w:val="none"/>
        </w:rPr>
        <w:t>均将通过在</w:t>
      </w:r>
      <w:r>
        <w:rPr>
          <w:rFonts w:hint="eastAsia" w:ascii="宋体" w:hAnsi="宋体" w:eastAsia="宋体" w:cs="宋体"/>
          <w:color w:val="auto"/>
          <w:kern w:val="0"/>
          <w:sz w:val="24"/>
          <w:szCs w:val="24"/>
          <w:highlight w:val="none"/>
          <w:lang w:eastAsia="zh-CN"/>
        </w:rPr>
        <w:t>《中国</w:t>
      </w:r>
      <w:r>
        <w:rPr>
          <w:rFonts w:hint="eastAsia" w:ascii="宋体" w:hAnsi="宋体" w:eastAsia="宋体" w:cs="宋体"/>
          <w:color w:val="auto"/>
          <w:kern w:val="0"/>
          <w:sz w:val="24"/>
          <w:szCs w:val="24"/>
          <w:highlight w:val="none"/>
        </w:rPr>
        <w:t>政府采购网》</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河南省政府采购网</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和《全国公共资源交易平台（河南省·许昌市）》公开发布。供应商在参与本采购项目采购活动期间，请及时关注以上媒体上的相关信息，供应商因没有及时关注而未能如期获取相关信息，及因此所产生的一切后果和责任，由供应商自行承担，采购人、</w:t>
      </w:r>
      <w:r>
        <w:rPr>
          <w:rFonts w:hint="eastAsia" w:ascii="宋体" w:hAnsi="宋体" w:eastAsia="宋体" w:cs="宋体"/>
          <w:color w:val="auto"/>
          <w:kern w:val="0"/>
          <w:sz w:val="24"/>
          <w:szCs w:val="24"/>
          <w:highlight w:val="none"/>
          <w:lang w:eastAsia="zh-CN"/>
        </w:rPr>
        <w:t>采购代理机构</w:t>
      </w:r>
      <w:r>
        <w:rPr>
          <w:rFonts w:hint="eastAsia" w:ascii="宋体" w:hAnsi="宋体" w:eastAsia="宋体" w:cs="宋体"/>
          <w:color w:val="auto"/>
          <w:kern w:val="0"/>
          <w:sz w:val="24"/>
          <w:szCs w:val="24"/>
          <w:highlight w:val="none"/>
        </w:rPr>
        <w:t>在任何情况下均不对此承担任何责任。</w:t>
      </w:r>
    </w:p>
    <w:p>
      <w:pPr>
        <w:pStyle w:val="5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val="en-US" w:eastAsia="zh-CN"/>
        </w:rPr>
        <w:t>7.</w:t>
      </w:r>
      <w:r>
        <w:rPr>
          <w:rFonts w:hint="eastAsia" w:ascii="宋体" w:hAnsi="宋体" w:eastAsia="宋体" w:cs="宋体"/>
          <w:b/>
          <w:color w:val="auto"/>
          <w:kern w:val="0"/>
          <w:sz w:val="24"/>
          <w:szCs w:val="24"/>
          <w:highlight w:val="none"/>
        </w:rPr>
        <w:t>代理费用</w:t>
      </w:r>
    </w:p>
    <w:p>
      <w:pPr>
        <w:pStyle w:val="50"/>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详见供应商须知前附表。</w:t>
      </w:r>
    </w:p>
    <w:p>
      <w:pPr>
        <w:pStyle w:val="5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val="en-US" w:eastAsia="zh-CN"/>
        </w:rPr>
        <w:t xml:space="preserve">8. </w:t>
      </w:r>
      <w:r>
        <w:rPr>
          <w:rFonts w:hint="eastAsia" w:ascii="宋体" w:hAnsi="宋体" w:eastAsia="宋体" w:cs="宋体"/>
          <w:b/>
          <w:color w:val="auto"/>
          <w:kern w:val="0"/>
          <w:sz w:val="24"/>
          <w:szCs w:val="24"/>
          <w:highlight w:val="none"/>
        </w:rPr>
        <w:t>其他</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contextualSpacing/>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本“供应商须知”的条款如与“采购邀请</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采购需求</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供应商须知前附表”和“对响应文件审查与评审”就同一内容的表述不一致的，以“采购邀请</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 xml:space="preserve"> 采购需求</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供应商须知前附表”和“对响应文件审查与评审”中规定的内容为准。</w:t>
      </w:r>
    </w:p>
    <w:p>
      <w:pPr>
        <w:keepNext w:val="0"/>
        <w:keepLines w:val="0"/>
        <w:pageBreakBefore w:val="0"/>
        <w:widowControl w:val="0"/>
        <w:tabs>
          <w:tab w:val="left" w:pos="1260"/>
        </w:tabs>
        <w:kinsoku/>
        <w:wordWrap/>
        <w:overflowPunct/>
        <w:topLinePunct w:val="0"/>
        <w:autoSpaceDE w:val="0"/>
        <w:autoSpaceDN w:val="0"/>
        <w:bidi w:val="0"/>
        <w:adjustRightInd w:val="0"/>
        <w:snapToGrid/>
        <w:spacing w:line="360" w:lineRule="auto"/>
        <w:ind w:left="0" w:leftChars="0"/>
        <w:contextualSpacing/>
        <w:jc w:val="center"/>
        <w:textAlignment w:val="auto"/>
        <w:outlineLvl w:val="1"/>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二、谈判文件说明</w:t>
      </w:r>
    </w:p>
    <w:p>
      <w:pPr>
        <w:pStyle w:val="5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val="en-US" w:eastAsia="zh-CN"/>
        </w:rPr>
        <w:t>9.</w:t>
      </w:r>
      <w:r>
        <w:rPr>
          <w:rFonts w:hint="eastAsia" w:ascii="宋体" w:hAnsi="宋体" w:eastAsia="宋体" w:cs="宋体"/>
          <w:b/>
          <w:color w:val="auto"/>
          <w:kern w:val="0"/>
          <w:sz w:val="24"/>
          <w:szCs w:val="24"/>
          <w:highlight w:val="none"/>
        </w:rPr>
        <w:t>谈判文件构成</w:t>
      </w:r>
    </w:p>
    <w:p>
      <w:pPr>
        <w:pStyle w:val="50"/>
        <w:keepNext w:val="0"/>
        <w:keepLines w:val="0"/>
        <w:pageBreakBefore w:val="0"/>
        <w:widowControl w:val="0"/>
        <w:numPr>
          <w:ilvl w:val="0"/>
          <w:numId w:val="16"/>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谈判文件由以下部分组成：</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（1）采购邀请（竞争性谈判公告）</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（2）采购需求</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（3）供应商须知前附表</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（4）供应商须知</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（5）政府采购政策功能</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（6）对响应文件审查与评审</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（7）拟签订的合同文本</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（8）响应文件有关格式</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（9）本项目谈判文件的澄清、答复、修改、补充内容（如有的话）</w:t>
      </w:r>
    </w:p>
    <w:p>
      <w:pPr>
        <w:pStyle w:val="50"/>
        <w:keepNext w:val="0"/>
        <w:keepLines w:val="0"/>
        <w:pageBreakBefore w:val="0"/>
        <w:widowControl w:val="0"/>
        <w:numPr>
          <w:ilvl w:val="0"/>
          <w:numId w:val="16"/>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应认真阅读、并充分理解谈判文件的全部内容（包括所有的补充、修改内容、重要事项、格式、条款和技术规范、参数及要求等），按谈判文件要求和规定编制响应文件，并保证所提供的全部资料的真实性，否则有可能导致响应被拒绝，其风险由供应商自行承担</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eastAsia="zh-CN"/>
        </w:rPr>
        <w:t>针对以上要求，</w:t>
      </w:r>
      <w:r>
        <w:rPr>
          <w:rFonts w:hint="eastAsia" w:ascii="宋体" w:hAnsi="宋体" w:eastAsia="宋体" w:cs="宋体"/>
          <w:color w:val="auto"/>
          <w:kern w:val="0"/>
          <w:sz w:val="24"/>
          <w:szCs w:val="24"/>
          <w:highlight w:val="none"/>
        </w:rPr>
        <w:t>响应文件须</w:t>
      </w:r>
      <w:r>
        <w:rPr>
          <w:rFonts w:hint="eastAsia" w:ascii="宋体" w:hAnsi="宋体" w:eastAsia="宋体" w:cs="宋体"/>
          <w:color w:val="auto"/>
          <w:kern w:val="0"/>
          <w:sz w:val="24"/>
          <w:szCs w:val="24"/>
          <w:highlight w:val="none"/>
          <w:lang w:eastAsia="zh-CN"/>
        </w:rPr>
        <w:t>单独</w:t>
      </w:r>
      <w:r>
        <w:rPr>
          <w:rFonts w:hint="eastAsia" w:ascii="宋体" w:hAnsi="宋体" w:eastAsia="宋体" w:cs="宋体"/>
          <w:color w:val="auto"/>
          <w:kern w:val="0"/>
          <w:sz w:val="24"/>
          <w:szCs w:val="24"/>
          <w:highlight w:val="none"/>
        </w:rPr>
        <w:t>提供</w:t>
      </w:r>
      <w:r>
        <w:rPr>
          <w:rFonts w:hint="eastAsia" w:ascii="宋体" w:hAnsi="宋体" w:eastAsia="宋体" w:cs="宋体"/>
          <w:color w:val="auto"/>
          <w:kern w:val="0"/>
          <w:sz w:val="24"/>
          <w:szCs w:val="24"/>
          <w:highlight w:val="none"/>
          <w:lang w:eastAsia="zh-CN"/>
        </w:rPr>
        <w:t>响应承诺，</w:t>
      </w:r>
      <w:r>
        <w:rPr>
          <w:rFonts w:hint="eastAsia" w:ascii="宋体" w:hAnsi="宋体" w:eastAsia="宋体" w:cs="宋体"/>
          <w:color w:val="auto"/>
          <w:kern w:val="0"/>
          <w:sz w:val="24"/>
          <w:szCs w:val="24"/>
          <w:highlight w:val="none"/>
        </w:rPr>
        <w:t>否则将否决其投标。</w:t>
      </w:r>
    </w:p>
    <w:p>
      <w:pPr>
        <w:pStyle w:val="50"/>
        <w:keepNext w:val="0"/>
        <w:keepLines w:val="0"/>
        <w:pageBreakBefore w:val="0"/>
        <w:widowControl w:val="0"/>
        <w:numPr>
          <w:ilvl w:val="0"/>
          <w:numId w:val="16"/>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应认真了解本次采购的具体工作要求、工作范围以及职责，了解一切可能影响响应报价的资料。一经成交，不得以不完全了解项目要求、项目情况等为借口而提出额外补偿等要求，否则，由此引起的一切后果由成交供应商负责。</w:t>
      </w:r>
      <w:r>
        <w:rPr>
          <w:rFonts w:hint="eastAsia" w:ascii="宋体" w:hAnsi="宋体" w:eastAsia="宋体" w:cs="宋体"/>
          <w:color w:val="auto"/>
          <w:kern w:val="0"/>
          <w:sz w:val="24"/>
          <w:szCs w:val="24"/>
          <w:highlight w:val="none"/>
          <w:lang w:eastAsia="zh-CN"/>
        </w:rPr>
        <w:t>针对以上要求，</w:t>
      </w:r>
      <w:r>
        <w:rPr>
          <w:rFonts w:hint="eastAsia" w:ascii="宋体" w:hAnsi="宋体" w:eastAsia="宋体" w:cs="宋体"/>
          <w:color w:val="auto"/>
          <w:kern w:val="0"/>
          <w:sz w:val="24"/>
          <w:szCs w:val="24"/>
          <w:highlight w:val="none"/>
        </w:rPr>
        <w:t>响应文件须单独提供</w:t>
      </w:r>
      <w:r>
        <w:rPr>
          <w:rFonts w:hint="eastAsia" w:ascii="宋体" w:hAnsi="宋体" w:eastAsia="宋体" w:cs="宋体"/>
          <w:color w:val="auto"/>
          <w:kern w:val="0"/>
          <w:sz w:val="24"/>
          <w:szCs w:val="24"/>
          <w:highlight w:val="none"/>
          <w:lang w:eastAsia="zh-CN"/>
        </w:rPr>
        <w:t>响应承诺</w:t>
      </w:r>
      <w:r>
        <w:rPr>
          <w:rFonts w:hint="eastAsia" w:ascii="宋体" w:hAnsi="宋体" w:eastAsia="宋体" w:cs="宋体"/>
          <w:color w:val="auto"/>
          <w:kern w:val="0"/>
          <w:sz w:val="24"/>
          <w:szCs w:val="24"/>
          <w:highlight w:val="none"/>
        </w:rPr>
        <w:t>，并由单位法定代表人（单位负责人）签字，否则将否决其投标。</w:t>
      </w:r>
    </w:p>
    <w:p>
      <w:pPr>
        <w:pStyle w:val="5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val="en-US" w:eastAsia="zh-CN"/>
        </w:rPr>
        <w:t>10.</w:t>
      </w:r>
      <w:r>
        <w:rPr>
          <w:rFonts w:hint="eastAsia" w:ascii="宋体" w:hAnsi="宋体" w:eastAsia="宋体" w:cs="宋体"/>
          <w:b/>
          <w:color w:val="auto"/>
          <w:kern w:val="0"/>
          <w:sz w:val="24"/>
          <w:szCs w:val="24"/>
          <w:highlight w:val="none"/>
        </w:rPr>
        <w:t>谈判文件的澄清或修改</w:t>
      </w:r>
    </w:p>
    <w:p>
      <w:pPr>
        <w:pStyle w:val="50"/>
        <w:keepNext w:val="0"/>
        <w:keepLines w:val="0"/>
        <w:pageBreakBefore w:val="0"/>
        <w:widowControl w:val="0"/>
        <w:numPr>
          <w:ilvl w:val="0"/>
          <w:numId w:val="17"/>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在谈判响应截止期前，无论出于何种原因，采购人可主动地或在解答供应商提出的澄清问题时对谈判文件进行修改。</w:t>
      </w:r>
    </w:p>
    <w:p>
      <w:pPr>
        <w:pStyle w:val="50"/>
        <w:keepNext w:val="0"/>
        <w:keepLines w:val="0"/>
        <w:pageBreakBefore w:val="0"/>
        <w:widowControl w:val="0"/>
        <w:numPr>
          <w:ilvl w:val="0"/>
          <w:numId w:val="17"/>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采购人、采购</w:t>
      </w:r>
      <w:r>
        <w:rPr>
          <w:rFonts w:hint="eastAsia" w:ascii="宋体" w:hAnsi="宋体" w:eastAsia="宋体" w:cs="宋体"/>
          <w:color w:val="auto"/>
          <w:kern w:val="0"/>
          <w:sz w:val="24"/>
          <w:szCs w:val="24"/>
          <w:highlight w:val="none"/>
          <w:lang w:eastAsia="zh-CN"/>
        </w:rPr>
        <w:t>代理</w:t>
      </w:r>
      <w:r>
        <w:rPr>
          <w:rFonts w:hint="eastAsia" w:ascii="宋体" w:hAnsi="宋体" w:eastAsia="宋体" w:cs="宋体"/>
          <w:color w:val="auto"/>
          <w:kern w:val="0"/>
          <w:sz w:val="24"/>
          <w:szCs w:val="24"/>
          <w:highlight w:val="none"/>
        </w:rPr>
        <w:t>机构可以对已发出的谈判文件进行必要的澄清或者修改。澄清或者修改的内容可能影响响应文件编制的，采购人将在响应文件提交截止之日3个工作日前，在财政部门指定的政府采购信息发布媒体和《全国公共资源交易平台（河南省·许昌市）》发布更正公告。</w:t>
      </w:r>
    </w:p>
    <w:p>
      <w:pPr>
        <w:pStyle w:val="50"/>
        <w:keepNext w:val="0"/>
        <w:keepLines w:val="0"/>
        <w:pageBreakBefore w:val="0"/>
        <w:widowControl w:val="0"/>
        <w:numPr>
          <w:ilvl w:val="0"/>
          <w:numId w:val="17"/>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澄清或修改公告的内容为谈判文件的组成部分，并对供应商具有约束力。当谈判文件与澄清或修改公告就同一内容的表述不一致时，以最后发出的文件内容为准。</w:t>
      </w:r>
    </w:p>
    <w:p>
      <w:pPr>
        <w:pStyle w:val="50"/>
        <w:keepNext w:val="0"/>
        <w:keepLines w:val="0"/>
        <w:pageBreakBefore w:val="0"/>
        <w:widowControl w:val="0"/>
        <w:numPr>
          <w:ilvl w:val="0"/>
          <w:numId w:val="17"/>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如果澄清或者修改发出的时间距规定的谈判响应截止时间不足3个工作日的，采购人、</w:t>
      </w:r>
      <w:r>
        <w:rPr>
          <w:rFonts w:hint="eastAsia" w:ascii="宋体" w:hAnsi="宋体" w:eastAsia="宋体" w:cs="宋体"/>
          <w:color w:val="auto"/>
          <w:kern w:val="0"/>
          <w:sz w:val="24"/>
          <w:szCs w:val="24"/>
          <w:highlight w:val="none"/>
          <w:lang w:eastAsia="zh-CN"/>
        </w:rPr>
        <w:t>采购代理</w:t>
      </w:r>
      <w:r>
        <w:rPr>
          <w:rFonts w:hint="eastAsia" w:ascii="宋体" w:hAnsi="宋体" w:eastAsia="宋体" w:cs="宋体"/>
          <w:color w:val="auto"/>
          <w:kern w:val="0"/>
          <w:sz w:val="24"/>
          <w:szCs w:val="24"/>
          <w:highlight w:val="none"/>
        </w:rPr>
        <w:t>机构将顺延提交响应文件的截止时间。</w:t>
      </w:r>
    </w:p>
    <w:p>
      <w:pPr>
        <w:keepNext w:val="0"/>
        <w:keepLines w:val="0"/>
        <w:pageBreakBefore w:val="0"/>
        <w:widowControl w:val="0"/>
        <w:tabs>
          <w:tab w:val="left" w:pos="1260"/>
        </w:tabs>
        <w:kinsoku/>
        <w:wordWrap/>
        <w:overflowPunct/>
        <w:topLinePunct w:val="0"/>
        <w:autoSpaceDE w:val="0"/>
        <w:autoSpaceDN w:val="0"/>
        <w:bidi w:val="0"/>
        <w:adjustRightInd/>
        <w:snapToGrid/>
        <w:spacing w:line="360" w:lineRule="auto"/>
        <w:ind w:left="0" w:leftChars="0" w:firstLine="0" w:firstLineChars="0"/>
        <w:contextualSpacing/>
        <w:jc w:val="center"/>
        <w:textAlignment w:val="auto"/>
        <w:outlineLvl w:val="1"/>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三、响应文件的编制</w:t>
      </w:r>
    </w:p>
    <w:p>
      <w:pPr>
        <w:pStyle w:val="5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val="en-US" w:eastAsia="zh-CN"/>
        </w:rPr>
        <w:t>11.</w:t>
      </w:r>
      <w:r>
        <w:rPr>
          <w:rFonts w:hint="eastAsia" w:ascii="宋体" w:hAnsi="宋体" w:eastAsia="宋体" w:cs="宋体"/>
          <w:b/>
          <w:color w:val="auto"/>
          <w:kern w:val="0"/>
          <w:sz w:val="24"/>
          <w:szCs w:val="24"/>
          <w:highlight w:val="none"/>
        </w:rPr>
        <w:t>响应文件的语言及计量单位</w:t>
      </w:r>
    </w:p>
    <w:p>
      <w:pPr>
        <w:pStyle w:val="50"/>
        <w:keepNext w:val="0"/>
        <w:keepLines w:val="0"/>
        <w:pageBreakBefore w:val="0"/>
        <w:widowControl w:val="0"/>
        <w:numPr>
          <w:ilvl w:val="0"/>
          <w:numId w:val="18"/>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供应商提交的响应文件以及供应商与采购人、</w:t>
      </w:r>
      <w:r>
        <w:rPr>
          <w:rFonts w:hint="eastAsia" w:ascii="宋体" w:hAnsi="宋体" w:eastAsia="宋体" w:cs="宋体"/>
          <w:color w:val="auto"/>
          <w:kern w:val="0"/>
          <w:sz w:val="24"/>
          <w:szCs w:val="24"/>
          <w:highlight w:val="none"/>
          <w:lang w:eastAsia="zh-CN"/>
        </w:rPr>
        <w:t>采购代理</w:t>
      </w:r>
      <w:r>
        <w:rPr>
          <w:rFonts w:hint="eastAsia" w:ascii="宋体" w:hAnsi="宋体" w:eastAsia="宋体" w:cs="宋体"/>
          <w:color w:val="auto"/>
          <w:kern w:val="0"/>
          <w:sz w:val="24"/>
          <w:szCs w:val="24"/>
          <w:highlight w:val="none"/>
        </w:rPr>
        <w:t>机构就有关采购事宜的所有来往书面文件均应使用中文。除签名、盖章、专用名称等特殊情形外，以中文以外的文字表述的响应文件视同未提供。</w:t>
      </w:r>
    </w:p>
    <w:p>
      <w:pPr>
        <w:pStyle w:val="50"/>
        <w:keepNext w:val="0"/>
        <w:keepLines w:val="0"/>
        <w:pageBreakBefore w:val="0"/>
        <w:widowControl w:val="0"/>
        <w:numPr>
          <w:ilvl w:val="0"/>
          <w:numId w:val="18"/>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响应文件计量单位，谈判文件已有明确规定的，使用谈判文件规定的计量单位；谈判文件没有规定的，一律采用中华人民共和国法定计量单位。</w:t>
      </w:r>
    </w:p>
    <w:p>
      <w:pPr>
        <w:pStyle w:val="5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val="en-US" w:eastAsia="zh-CN"/>
        </w:rPr>
        <w:t>12.</w:t>
      </w:r>
      <w:r>
        <w:rPr>
          <w:rFonts w:hint="eastAsia" w:ascii="宋体" w:hAnsi="宋体" w:eastAsia="宋体" w:cs="宋体"/>
          <w:b/>
          <w:color w:val="auto"/>
          <w:kern w:val="0"/>
          <w:sz w:val="24"/>
          <w:szCs w:val="24"/>
          <w:highlight w:val="none"/>
        </w:rPr>
        <w:t>报价</w:t>
      </w:r>
    </w:p>
    <w:p>
      <w:pPr>
        <w:pStyle w:val="50"/>
        <w:keepNext w:val="0"/>
        <w:keepLines w:val="0"/>
        <w:pageBreakBefore w:val="0"/>
        <w:widowControl w:val="0"/>
        <w:numPr>
          <w:ilvl w:val="0"/>
          <w:numId w:val="19"/>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本次谈判项目的报价均以人民币为计算单位。</w:t>
      </w:r>
    </w:p>
    <w:p>
      <w:pPr>
        <w:pStyle w:val="50"/>
        <w:keepNext w:val="0"/>
        <w:keepLines w:val="0"/>
        <w:pageBreakBefore w:val="0"/>
        <w:widowControl w:val="0"/>
        <w:numPr>
          <w:ilvl w:val="0"/>
          <w:numId w:val="19"/>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采购人不得向供应商索要或者接受其给予的赠品、回扣或者与采购无关的其他商品、服务。</w:t>
      </w:r>
    </w:p>
    <w:p>
      <w:pPr>
        <w:pStyle w:val="50"/>
        <w:keepNext w:val="0"/>
        <w:keepLines w:val="0"/>
        <w:pageBreakBefore w:val="0"/>
        <w:widowControl w:val="0"/>
        <w:numPr>
          <w:ilvl w:val="0"/>
          <w:numId w:val="19"/>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供应商应对项目要求的全部内容进行报价，少报漏报将导致其响应为非实质性响应予以拒绝。</w:t>
      </w:r>
    </w:p>
    <w:p>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outlineLvl w:val="9"/>
        <w:rPr>
          <w:rFonts w:hint="default"/>
          <w:color w:val="auto"/>
          <w:sz w:val="24"/>
          <w:szCs w:val="24"/>
          <w:highlight w:val="none"/>
          <w:lang w:val="en-US" w:eastAsia="zh-CN"/>
        </w:rPr>
      </w:pPr>
      <w:r>
        <w:rPr>
          <w:rFonts w:hint="eastAsia" w:ascii="宋体" w:hAnsi="宋体" w:eastAsia="宋体" w:cs="宋体"/>
          <w:color w:val="auto"/>
          <w:kern w:val="0"/>
          <w:sz w:val="24"/>
          <w:szCs w:val="24"/>
          <w:highlight w:val="none"/>
        </w:rPr>
        <w:t>供应商应当按照国家相关规定，结合自身服务水平和</w:t>
      </w:r>
      <w:r>
        <w:rPr>
          <w:rFonts w:hint="eastAsia" w:ascii="宋体" w:hAnsi="宋体" w:eastAsia="宋体" w:cs="宋体"/>
          <w:color w:val="auto"/>
          <w:kern w:val="0"/>
          <w:sz w:val="24"/>
          <w:szCs w:val="24"/>
          <w:highlight w:val="none"/>
          <w:lang w:eastAsia="zh-CN"/>
        </w:rPr>
        <w:t>技术、经济实力</w:t>
      </w:r>
      <w:r>
        <w:rPr>
          <w:rFonts w:hint="eastAsia" w:ascii="宋体" w:hAnsi="宋体" w:eastAsia="宋体" w:cs="宋体"/>
          <w:color w:val="auto"/>
          <w:kern w:val="0"/>
          <w:sz w:val="24"/>
          <w:szCs w:val="24"/>
          <w:highlight w:val="none"/>
        </w:rPr>
        <w:t>进行报价。响应报价应是履行合同的最终价格，除“采购需求”中另有说明外，</w:t>
      </w:r>
      <w:r>
        <w:rPr>
          <w:rFonts w:hint="eastAsia" w:ascii="宋体" w:hAnsi="宋体" w:eastAsia="宋体" w:cs="宋体"/>
          <w:b w:val="0"/>
          <w:bCs w:val="0"/>
          <w:color w:val="auto"/>
          <w:spacing w:val="2"/>
          <w:kern w:val="0"/>
          <w:sz w:val="24"/>
          <w:szCs w:val="24"/>
          <w:highlight w:val="none"/>
          <w:lang w:val="en-US" w:eastAsia="zh-CN" w:bidi="ar"/>
        </w:rPr>
        <w:t>供应商的响应报价应为完成本项目竞</w:t>
      </w:r>
      <w:r>
        <w:rPr>
          <w:rFonts w:hint="eastAsia" w:ascii="宋体" w:hAnsi="宋体" w:eastAsia="宋体" w:cs="宋体"/>
          <w:color w:val="auto"/>
          <w:sz w:val="24"/>
          <w:szCs w:val="24"/>
          <w:highlight w:val="none"/>
          <w:lang w:eastAsia="zh-CN"/>
        </w:rPr>
        <w:t>争性谈判</w:t>
      </w:r>
      <w:r>
        <w:rPr>
          <w:rFonts w:hint="eastAsia" w:ascii="宋体" w:hAnsi="宋体" w:eastAsia="宋体" w:cs="宋体"/>
          <w:color w:val="auto"/>
          <w:sz w:val="24"/>
          <w:szCs w:val="24"/>
          <w:highlight w:val="none"/>
        </w:rPr>
        <w:t>文件、设计图纸</w:t>
      </w:r>
      <w:r>
        <w:rPr>
          <w:rFonts w:hint="eastAsia" w:ascii="宋体" w:hAnsi="宋体" w:eastAsia="宋体" w:cs="宋体"/>
          <w:color w:val="auto"/>
          <w:sz w:val="24"/>
          <w:szCs w:val="24"/>
          <w:highlight w:val="none"/>
          <w:lang w:eastAsia="zh-CN"/>
        </w:rPr>
        <w:t>、工程量清单</w:t>
      </w:r>
      <w:r>
        <w:rPr>
          <w:rFonts w:hint="eastAsia" w:ascii="宋体" w:hAnsi="宋体" w:eastAsia="宋体" w:cs="宋体"/>
          <w:color w:val="auto"/>
          <w:sz w:val="24"/>
          <w:szCs w:val="24"/>
          <w:highlight w:val="none"/>
        </w:rPr>
        <w:t>所列项目的全部工作内容</w:t>
      </w:r>
      <w:r>
        <w:rPr>
          <w:rFonts w:hint="eastAsia" w:ascii="宋体" w:hAnsi="宋体" w:eastAsia="宋体" w:cs="宋体"/>
          <w:color w:val="auto"/>
          <w:sz w:val="24"/>
          <w:szCs w:val="24"/>
          <w:highlight w:val="none"/>
          <w:lang w:eastAsia="zh-CN"/>
        </w:rPr>
        <w:t>并验收合格</w:t>
      </w:r>
      <w:r>
        <w:rPr>
          <w:rFonts w:hint="eastAsia" w:ascii="宋体" w:hAnsi="宋体" w:eastAsia="宋体" w:cs="宋体"/>
          <w:color w:val="auto"/>
          <w:sz w:val="24"/>
          <w:szCs w:val="24"/>
          <w:highlight w:val="none"/>
        </w:rPr>
        <w:t>所需要的</w:t>
      </w:r>
      <w:r>
        <w:rPr>
          <w:rFonts w:hint="eastAsia" w:ascii="宋体" w:hAnsi="宋体" w:eastAsia="宋体" w:cs="宋体"/>
          <w:color w:val="auto"/>
          <w:sz w:val="24"/>
          <w:szCs w:val="24"/>
          <w:highlight w:val="none"/>
          <w:lang w:eastAsia="zh-CN"/>
        </w:rPr>
        <w:t>全部</w:t>
      </w:r>
      <w:r>
        <w:rPr>
          <w:rFonts w:hint="eastAsia" w:ascii="宋体" w:hAnsi="宋体" w:eastAsia="宋体" w:cs="宋体"/>
          <w:color w:val="auto"/>
          <w:sz w:val="24"/>
          <w:szCs w:val="24"/>
          <w:highlight w:val="none"/>
        </w:rPr>
        <w:t>费用。在实际施工过程中发生的为保证工程质量和进度等所采取的施工方案和技术措施、管理措施，</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人均视为</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已将此费用计入本次报价当中</w:t>
      </w:r>
      <w:r>
        <w:rPr>
          <w:rFonts w:hint="eastAsia" w:ascii="宋体" w:hAnsi="宋体" w:eastAsia="宋体" w:cs="宋体"/>
          <w:color w:val="auto"/>
          <w:sz w:val="24"/>
          <w:szCs w:val="24"/>
          <w:highlight w:val="none"/>
          <w:lang w:eastAsia="zh-CN"/>
        </w:rPr>
        <w:t>。</w:t>
      </w:r>
    </w:p>
    <w:p>
      <w:pPr>
        <w:pStyle w:val="50"/>
        <w:keepNext w:val="0"/>
        <w:keepLines w:val="0"/>
        <w:pageBreakBefore w:val="0"/>
        <w:widowControl w:val="0"/>
        <w:numPr>
          <w:ilvl w:val="0"/>
          <w:numId w:val="19"/>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须单独承诺响应报价包含</w:t>
      </w:r>
      <w:r>
        <w:rPr>
          <w:rFonts w:hint="eastAsia" w:ascii="宋体" w:hAnsi="宋体" w:eastAsia="宋体" w:cs="宋体"/>
          <w:color w:val="auto"/>
          <w:kern w:val="0"/>
          <w:sz w:val="24"/>
          <w:szCs w:val="24"/>
          <w:highlight w:val="none"/>
          <w:lang w:eastAsia="zh-CN"/>
        </w:rPr>
        <w:t>以上所述的全部</w:t>
      </w:r>
      <w:r>
        <w:rPr>
          <w:rFonts w:hint="eastAsia" w:ascii="宋体" w:hAnsi="宋体" w:eastAsia="宋体" w:cs="宋体"/>
          <w:color w:val="auto"/>
          <w:kern w:val="0"/>
          <w:sz w:val="24"/>
          <w:szCs w:val="24"/>
          <w:highlight w:val="none"/>
        </w:rPr>
        <w:t>费用，</w:t>
      </w:r>
      <w:r>
        <w:rPr>
          <w:rFonts w:hint="eastAsia" w:ascii="宋体" w:hAnsi="宋体" w:eastAsia="宋体" w:cs="宋体"/>
          <w:color w:val="auto"/>
          <w:kern w:val="0"/>
          <w:sz w:val="24"/>
          <w:szCs w:val="24"/>
          <w:highlight w:val="none"/>
          <w:lang w:eastAsia="zh-CN"/>
        </w:rPr>
        <w:t>并</w:t>
      </w:r>
      <w:r>
        <w:rPr>
          <w:rFonts w:hint="eastAsia" w:ascii="宋体" w:hAnsi="宋体" w:eastAsia="宋体" w:cs="宋体"/>
          <w:color w:val="auto"/>
          <w:kern w:val="0"/>
          <w:sz w:val="24"/>
          <w:szCs w:val="24"/>
          <w:highlight w:val="none"/>
        </w:rPr>
        <w:t>对在施工过程中的一切安全问题负</w:t>
      </w:r>
      <w:r>
        <w:rPr>
          <w:rFonts w:hint="eastAsia" w:ascii="宋体" w:hAnsi="宋体" w:eastAsia="宋体" w:cs="宋体"/>
          <w:color w:val="auto"/>
          <w:kern w:val="0"/>
          <w:sz w:val="24"/>
          <w:szCs w:val="24"/>
          <w:highlight w:val="none"/>
          <w:lang w:eastAsia="zh-CN"/>
        </w:rPr>
        <w:t>全</w:t>
      </w:r>
      <w:r>
        <w:rPr>
          <w:rFonts w:hint="eastAsia" w:ascii="宋体" w:hAnsi="宋体" w:eastAsia="宋体" w:cs="宋体"/>
          <w:color w:val="auto"/>
          <w:kern w:val="0"/>
          <w:sz w:val="24"/>
          <w:szCs w:val="24"/>
          <w:highlight w:val="none"/>
        </w:rPr>
        <w:t>责</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否则</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该供应商的响应文件将被视为非实质性响应予以拒绝。</w:t>
      </w:r>
    </w:p>
    <w:p>
      <w:pPr>
        <w:pStyle w:val="50"/>
        <w:keepNext w:val="0"/>
        <w:keepLines w:val="0"/>
        <w:pageBreakBefore w:val="0"/>
        <w:widowControl w:val="0"/>
        <w:numPr>
          <w:ilvl w:val="0"/>
          <w:numId w:val="19"/>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报价不得高于本项目预算金额，且不低于成本价。供应商的响应报价高于预算金额（项目控制金额上限）的，该供应商的响应文件将被视为非实质性响应予以拒绝。</w:t>
      </w:r>
    </w:p>
    <w:p>
      <w:pPr>
        <w:pStyle w:val="50"/>
        <w:keepNext w:val="0"/>
        <w:keepLines w:val="0"/>
        <w:pageBreakBefore w:val="0"/>
        <w:widowControl w:val="0"/>
        <w:numPr>
          <w:ilvl w:val="0"/>
          <w:numId w:val="19"/>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最低报价</w:t>
      </w:r>
      <w:r>
        <w:rPr>
          <w:rFonts w:hint="eastAsia" w:ascii="宋体" w:hAnsi="宋体" w:eastAsia="宋体" w:cs="宋体"/>
          <w:color w:val="auto"/>
          <w:kern w:val="0"/>
          <w:sz w:val="24"/>
          <w:szCs w:val="24"/>
          <w:highlight w:val="none"/>
          <w:lang w:eastAsia="zh-CN"/>
        </w:rPr>
        <w:t>不能作为</w:t>
      </w:r>
      <w:r>
        <w:rPr>
          <w:rFonts w:hint="eastAsia" w:ascii="宋体" w:hAnsi="宋体" w:eastAsia="宋体" w:cs="宋体"/>
          <w:color w:val="auto"/>
          <w:kern w:val="0"/>
          <w:sz w:val="24"/>
          <w:szCs w:val="24"/>
          <w:highlight w:val="none"/>
        </w:rPr>
        <w:t>成交的保证。</w:t>
      </w:r>
    </w:p>
    <w:p>
      <w:pPr>
        <w:pStyle w:val="5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val="en-US" w:eastAsia="zh-CN"/>
        </w:rPr>
        <w:t>13.</w:t>
      </w:r>
      <w:r>
        <w:rPr>
          <w:rFonts w:hint="eastAsia" w:ascii="宋体" w:hAnsi="宋体" w:eastAsia="宋体" w:cs="宋体"/>
          <w:b/>
          <w:color w:val="auto"/>
          <w:kern w:val="0"/>
          <w:sz w:val="24"/>
          <w:szCs w:val="24"/>
          <w:highlight w:val="none"/>
        </w:rPr>
        <w:t>响应文件有效期</w:t>
      </w:r>
    </w:p>
    <w:p>
      <w:pPr>
        <w:pStyle w:val="50"/>
        <w:keepNext w:val="0"/>
        <w:keepLines w:val="0"/>
        <w:pageBreakBefore w:val="0"/>
        <w:widowControl w:val="0"/>
        <w:numPr>
          <w:ilvl w:val="0"/>
          <w:numId w:val="20"/>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响应文件有效期从提交响应文件的截止之日起算。本项目响应文件有效期详见供应商须知前附表。响应文件中承诺的有效期应当不少于“供应商须知前附表”载明的响应文件有效期。响应文件有效期比谈判文件规定短的属于非实质性响应，将被认定为报价无效。</w:t>
      </w:r>
    </w:p>
    <w:p>
      <w:pPr>
        <w:pStyle w:val="50"/>
        <w:keepNext w:val="0"/>
        <w:keepLines w:val="0"/>
        <w:pageBreakBefore w:val="0"/>
        <w:widowControl w:val="0"/>
        <w:numPr>
          <w:ilvl w:val="0"/>
          <w:numId w:val="20"/>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采购人可根据实际情况，在原报价有效期截止之前，征询供应商是否同意延长响应文件的有效期，供应商同意延长的须作出书面答复。在延长的报价有效期内，供应商将不会被要求和允许修正其报价。</w:t>
      </w:r>
    </w:p>
    <w:p>
      <w:pPr>
        <w:pStyle w:val="50"/>
        <w:keepNext w:val="0"/>
        <w:keepLines w:val="0"/>
        <w:pageBreakBefore w:val="0"/>
        <w:widowControl w:val="0"/>
        <w:numPr>
          <w:ilvl w:val="0"/>
          <w:numId w:val="20"/>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成交供应商的响应文件作为项目合同的附件，其有效期至成交供应商全部合同义务履行完毕为止。</w:t>
      </w:r>
    </w:p>
    <w:p>
      <w:pPr>
        <w:pStyle w:val="5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val="en-US" w:eastAsia="zh-CN"/>
        </w:rPr>
        <w:t>14.</w:t>
      </w:r>
      <w:r>
        <w:rPr>
          <w:rFonts w:hint="eastAsia" w:ascii="宋体" w:hAnsi="宋体" w:eastAsia="宋体" w:cs="宋体"/>
          <w:b/>
          <w:color w:val="auto"/>
          <w:kern w:val="0"/>
          <w:sz w:val="24"/>
          <w:szCs w:val="24"/>
          <w:highlight w:val="none"/>
        </w:rPr>
        <w:t>响应文件构成</w:t>
      </w:r>
    </w:p>
    <w:p>
      <w:pPr>
        <w:pStyle w:val="50"/>
        <w:keepNext w:val="0"/>
        <w:keepLines w:val="0"/>
        <w:pageBreakBefore w:val="0"/>
        <w:widowControl w:val="0"/>
        <w:numPr>
          <w:ilvl w:val="0"/>
          <w:numId w:val="21"/>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响应文件的构成应符合法律法规及谈判文件的要求。</w:t>
      </w:r>
    </w:p>
    <w:p>
      <w:pPr>
        <w:pStyle w:val="50"/>
        <w:keepNext w:val="0"/>
        <w:keepLines w:val="0"/>
        <w:pageBreakBefore w:val="0"/>
        <w:widowControl w:val="0"/>
        <w:numPr>
          <w:ilvl w:val="0"/>
          <w:numId w:val="21"/>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供应商应当按照谈判文件的要求编制响应文件。响应文件应当对谈判文件提出的要求和条件作出明确响应且须承诺在合同履行期限内完成施工，并保证验收合格，否则将拒绝其响应文件。</w:t>
      </w:r>
    </w:p>
    <w:p>
      <w:pPr>
        <w:pStyle w:val="50"/>
        <w:keepNext w:val="0"/>
        <w:keepLines w:val="0"/>
        <w:pageBreakBefore w:val="0"/>
        <w:widowControl w:val="0"/>
        <w:numPr>
          <w:ilvl w:val="0"/>
          <w:numId w:val="21"/>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响应文件由资格证明材料、符合性证明材料、</w:t>
      </w:r>
      <w:r>
        <w:rPr>
          <w:rFonts w:hint="eastAsia" w:ascii="宋体" w:hAnsi="宋体" w:eastAsia="宋体" w:cs="宋体"/>
          <w:color w:val="auto"/>
          <w:kern w:val="0"/>
          <w:sz w:val="24"/>
          <w:szCs w:val="24"/>
          <w:highlight w:val="none"/>
          <w:lang w:eastAsia="zh-CN"/>
        </w:rPr>
        <w:t>其他材料</w:t>
      </w:r>
      <w:r>
        <w:rPr>
          <w:rFonts w:hint="eastAsia" w:ascii="宋体" w:hAnsi="宋体" w:eastAsia="宋体" w:cs="宋体"/>
          <w:color w:val="auto"/>
          <w:kern w:val="0"/>
          <w:sz w:val="24"/>
          <w:szCs w:val="24"/>
          <w:highlight w:val="none"/>
        </w:rPr>
        <w:t>等组成。</w:t>
      </w:r>
    </w:p>
    <w:p>
      <w:pPr>
        <w:pStyle w:val="50"/>
        <w:keepNext w:val="0"/>
        <w:keepLines w:val="0"/>
        <w:pageBreakBefore w:val="0"/>
        <w:widowControl w:val="0"/>
        <w:numPr>
          <w:ilvl w:val="0"/>
          <w:numId w:val="21"/>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供应商根据谈判文件的规定和采购项目的实际情况，拟在成交后将成交项目的非主体、非关键性工作分包的，应当在响应文件中载明分包承担主体，分包承担主体应当具备相应资质条件且不得再次分包</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否则将拒绝其响应文件。</w:t>
      </w:r>
    </w:p>
    <w:p>
      <w:pPr>
        <w:pStyle w:val="50"/>
        <w:keepNext w:val="0"/>
        <w:keepLines w:val="0"/>
        <w:pageBreakBefore w:val="0"/>
        <w:widowControl w:val="0"/>
        <w:numPr>
          <w:ilvl w:val="0"/>
          <w:numId w:val="21"/>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供应商登录许昌公共资源交易系统下载“许昌投标文件制作系统SEARUN 最新版本”，按谈判文件要求根据所响应标段制作电子响应文件。 一个标段对应生成一个文件夹（xxxx项目xx标段）,后缀名为“.file”的文件用于电子响应使用。</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电子响应文件制作技术咨询：</w:t>
      </w:r>
      <w:r>
        <w:rPr>
          <w:rFonts w:hint="eastAsia" w:ascii="宋体" w:hAnsi="宋体" w:eastAsia="宋体" w:cs="宋体"/>
          <w:b/>
          <w:color w:val="auto"/>
          <w:kern w:val="0"/>
          <w:sz w:val="24"/>
          <w:szCs w:val="24"/>
          <w:highlight w:val="none"/>
        </w:rPr>
        <w:t>0374-2961598</w:t>
      </w:r>
      <w:r>
        <w:rPr>
          <w:rFonts w:hint="eastAsia" w:ascii="宋体" w:hAnsi="宋体" w:eastAsia="宋体" w:cs="宋体"/>
          <w:color w:val="auto"/>
          <w:kern w:val="0"/>
          <w:sz w:val="24"/>
          <w:szCs w:val="24"/>
          <w:highlight w:val="none"/>
        </w:rPr>
        <w:t>。</w:t>
      </w:r>
    </w:p>
    <w:p>
      <w:pPr>
        <w:pStyle w:val="5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val="en-US" w:eastAsia="zh-CN"/>
        </w:rPr>
        <w:t>15.</w:t>
      </w:r>
      <w:r>
        <w:rPr>
          <w:rFonts w:hint="eastAsia" w:ascii="宋体" w:hAnsi="宋体" w:eastAsia="宋体" w:cs="宋体"/>
          <w:b/>
          <w:color w:val="auto"/>
          <w:kern w:val="0"/>
          <w:sz w:val="24"/>
          <w:szCs w:val="24"/>
          <w:highlight w:val="none"/>
        </w:rPr>
        <w:t>响应文件格式</w:t>
      </w:r>
    </w:p>
    <w:p>
      <w:pPr>
        <w:pStyle w:val="50"/>
        <w:keepNext w:val="0"/>
        <w:keepLines w:val="0"/>
        <w:pageBreakBefore w:val="0"/>
        <w:widowControl w:val="0"/>
        <w:numPr>
          <w:ilvl w:val="0"/>
          <w:numId w:val="22"/>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为便于评审及规范统一，建议响应文件参照谈判文件第八部分（响应文件有关格式）的内容要求、编排顺序和格式要求，以A4幅面编上唯一的连贯页码，并在响应文件封面上注明：所投项目名称、项目编号、供应商名称、日期等字样。</w:t>
      </w:r>
    </w:p>
    <w:p>
      <w:pPr>
        <w:pStyle w:val="50"/>
        <w:keepNext w:val="0"/>
        <w:keepLines w:val="0"/>
        <w:pageBreakBefore w:val="0"/>
        <w:widowControl w:val="0"/>
        <w:numPr>
          <w:ilvl w:val="0"/>
          <w:numId w:val="22"/>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b/>
          <w:color w:val="auto"/>
          <w:kern w:val="0"/>
          <w:sz w:val="24"/>
          <w:szCs w:val="24"/>
          <w:highlight w:val="none"/>
        </w:rPr>
      </w:pPr>
      <w:r>
        <w:rPr>
          <w:rFonts w:hint="eastAsia" w:ascii="宋体" w:hAnsi="宋体" w:eastAsia="宋体" w:cs="宋体"/>
          <w:color w:val="auto"/>
          <w:kern w:val="0"/>
          <w:sz w:val="24"/>
          <w:szCs w:val="24"/>
          <w:highlight w:val="none"/>
        </w:rPr>
        <w:t>谈判文件未提供标准格式的供应商可自行拟定。</w:t>
      </w:r>
    </w:p>
    <w:p>
      <w:pPr>
        <w:pStyle w:val="5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val="en-US" w:eastAsia="zh-CN"/>
        </w:rPr>
        <w:t>16.</w:t>
      </w:r>
      <w:r>
        <w:rPr>
          <w:rFonts w:hint="eastAsia" w:ascii="宋体" w:hAnsi="宋体" w:eastAsia="宋体" w:cs="宋体"/>
          <w:b/>
          <w:color w:val="auto"/>
          <w:kern w:val="0"/>
          <w:sz w:val="24"/>
          <w:szCs w:val="24"/>
          <w:highlight w:val="none"/>
        </w:rPr>
        <w:t>谈判保证金</w:t>
      </w:r>
    </w:p>
    <w:p>
      <w:pPr>
        <w:pStyle w:val="50"/>
        <w:keepNext w:val="0"/>
        <w:keepLines w:val="0"/>
        <w:pageBreakBefore w:val="0"/>
        <w:widowControl w:val="0"/>
        <w:numPr>
          <w:ilvl w:val="0"/>
          <w:numId w:val="23"/>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本项目不收取谈判保证金。</w:t>
      </w:r>
    </w:p>
    <w:p>
      <w:pPr>
        <w:pStyle w:val="5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val="en-US" w:eastAsia="zh-CN"/>
        </w:rPr>
        <w:t>17.</w:t>
      </w:r>
      <w:r>
        <w:rPr>
          <w:rFonts w:hint="eastAsia" w:ascii="宋体" w:hAnsi="宋体" w:eastAsia="宋体" w:cs="宋体"/>
          <w:b/>
          <w:color w:val="auto"/>
          <w:kern w:val="0"/>
          <w:sz w:val="24"/>
          <w:szCs w:val="24"/>
          <w:highlight w:val="none"/>
        </w:rPr>
        <w:t>谈判文件的数量和签署盖章</w:t>
      </w:r>
    </w:p>
    <w:p>
      <w:pPr>
        <w:pStyle w:val="50"/>
        <w:keepNext w:val="0"/>
        <w:keepLines w:val="0"/>
        <w:pageBreakBefore w:val="0"/>
        <w:widowControl w:val="0"/>
        <w:numPr>
          <w:ilvl w:val="0"/>
          <w:numId w:val="24"/>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供应商应提交响应文件份数见“供应商须知前附表”。</w:t>
      </w:r>
    </w:p>
    <w:p>
      <w:pPr>
        <w:pStyle w:val="50"/>
        <w:keepNext w:val="0"/>
        <w:keepLines w:val="0"/>
        <w:pageBreakBefore w:val="0"/>
        <w:widowControl w:val="0"/>
        <w:numPr>
          <w:ilvl w:val="0"/>
          <w:numId w:val="24"/>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kern w:val="0"/>
          <w:sz w:val="24"/>
          <w:szCs w:val="24"/>
          <w:highlight w:val="none"/>
        </w:rPr>
        <w:t>在谈判文件中已明示需盖章及签名之处，电子响应文件应按谈判文件要求加盖供应商电子印章和法人电子印章或授权代表电子印章。</w:t>
      </w:r>
    </w:p>
    <w:p>
      <w:pPr>
        <w:keepNext w:val="0"/>
        <w:keepLines w:val="0"/>
        <w:pageBreakBefore w:val="0"/>
        <w:widowControl w:val="0"/>
        <w:tabs>
          <w:tab w:val="left" w:pos="1260"/>
        </w:tabs>
        <w:kinsoku/>
        <w:wordWrap/>
        <w:overflowPunct/>
        <w:topLinePunct w:val="0"/>
        <w:autoSpaceDE w:val="0"/>
        <w:autoSpaceDN w:val="0"/>
        <w:bidi w:val="0"/>
        <w:adjustRightInd/>
        <w:snapToGrid/>
        <w:spacing w:line="360" w:lineRule="auto"/>
        <w:ind w:left="0" w:leftChars="0" w:firstLine="0" w:firstLineChars="0"/>
        <w:contextualSpacing/>
        <w:jc w:val="center"/>
        <w:textAlignment w:val="auto"/>
        <w:outlineLvl w:val="1"/>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四、响应文件的提交</w:t>
      </w:r>
    </w:p>
    <w:p>
      <w:pPr>
        <w:pStyle w:val="5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val="en-US" w:eastAsia="zh-CN"/>
        </w:rPr>
        <w:t>18.</w:t>
      </w:r>
      <w:r>
        <w:rPr>
          <w:rFonts w:hint="eastAsia" w:ascii="宋体" w:hAnsi="宋体" w:eastAsia="宋体" w:cs="宋体"/>
          <w:b/>
          <w:color w:val="auto"/>
          <w:kern w:val="0"/>
          <w:sz w:val="24"/>
          <w:szCs w:val="24"/>
          <w:highlight w:val="none"/>
        </w:rPr>
        <w:t>谈判响应截止时间</w:t>
      </w:r>
    </w:p>
    <w:p>
      <w:pPr>
        <w:pStyle w:val="50"/>
        <w:keepNext w:val="0"/>
        <w:keepLines w:val="0"/>
        <w:pageBreakBefore w:val="0"/>
        <w:widowControl w:val="0"/>
        <w:numPr>
          <w:ilvl w:val="0"/>
          <w:numId w:val="25"/>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供应商必须在“采购邀请”和“供应商须知前附表”中规定的响应截止时间前，将</w:t>
      </w:r>
      <w:r>
        <w:rPr>
          <w:rFonts w:hint="eastAsia" w:ascii="宋体" w:hAnsi="宋体" w:eastAsia="宋体" w:cs="宋体"/>
          <w:color w:val="auto"/>
          <w:sz w:val="24"/>
          <w:szCs w:val="24"/>
          <w:highlight w:val="none"/>
        </w:rPr>
        <w:t>加密电子响应文件（.file格式）通过《全国公共资源交易平台(河南省▪许昌市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》公共资源交易系统成功上传</w:t>
      </w:r>
      <w:r>
        <w:rPr>
          <w:rFonts w:hint="eastAsia" w:ascii="宋体" w:hAnsi="宋体" w:eastAsia="宋体" w:cs="宋体"/>
          <w:color w:val="auto"/>
          <w:kern w:val="0"/>
          <w:sz w:val="24"/>
          <w:szCs w:val="24"/>
          <w:highlight w:val="none"/>
        </w:rPr>
        <w:t>。</w:t>
      </w:r>
      <w:r>
        <w:rPr>
          <w:rFonts w:hint="eastAsia" w:ascii="宋体" w:hAnsi="宋体" w:eastAsia="宋体" w:cs="宋体"/>
          <w:color w:val="auto"/>
          <w:sz w:val="24"/>
          <w:szCs w:val="24"/>
          <w:highlight w:val="none"/>
        </w:rPr>
        <w:t>在提交截止时间以后上传的响应文件，</w:t>
      </w:r>
      <w:r>
        <w:rPr>
          <w:rFonts w:hint="eastAsia" w:ascii="宋体" w:hAnsi="宋体" w:eastAsia="宋体" w:cs="宋体"/>
          <w:color w:val="auto"/>
          <w:kern w:val="0"/>
          <w:sz w:val="24"/>
          <w:szCs w:val="24"/>
          <w:highlight w:val="none"/>
        </w:rPr>
        <w:t>采购人、</w:t>
      </w:r>
      <w:r>
        <w:rPr>
          <w:rFonts w:hint="eastAsia" w:ascii="宋体" w:hAnsi="宋体" w:eastAsia="宋体" w:cs="宋体"/>
          <w:color w:val="auto"/>
          <w:kern w:val="0"/>
          <w:sz w:val="24"/>
          <w:szCs w:val="24"/>
          <w:highlight w:val="none"/>
          <w:lang w:eastAsia="zh-CN"/>
        </w:rPr>
        <w:t>采购代理机构</w:t>
      </w:r>
      <w:r>
        <w:rPr>
          <w:rFonts w:hint="eastAsia" w:ascii="宋体" w:hAnsi="宋体" w:eastAsia="宋体" w:cs="宋体"/>
          <w:color w:val="auto"/>
          <w:sz w:val="24"/>
          <w:szCs w:val="24"/>
          <w:highlight w:val="none"/>
        </w:rPr>
        <w:t>将予以拒绝。</w:t>
      </w:r>
    </w:p>
    <w:p>
      <w:pPr>
        <w:pStyle w:val="50"/>
        <w:keepNext w:val="0"/>
        <w:keepLines w:val="0"/>
        <w:pageBreakBefore w:val="0"/>
        <w:widowControl w:val="0"/>
        <w:numPr>
          <w:ilvl w:val="0"/>
          <w:numId w:val="25"/>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采购人、</w:t>
      </w:r>
      <w:r>
        <w:rPr>
          <w:rFonts w:hint="eastAsia" w:ascii="宋体" w:hAnsi="宋体" w:eastAsia="宋体" w:cs="宋体"/>
          <w:color w:val="auto"/>
          <w:kern w:val="0"/>
          <w:sz w:val="24"/>
          <w:szCs w:val="24"/>
          <w:highlight w:val="none"/>
          <w:lang w:eastAsia="zh-CN"/>
        </w:rPr>
        <w:t>采购代理机构</w:t>
      </w:r>
      <w:r>
        <w:rPr>
          <w:rFonts w:hint="eastAsia" w:ascii="宋体" w:hAnsi="宋体" w:eastAsia="宋体" w:cs="宋体"/>
          <w:color w:val="auto"/>
          <w:kern w:val="0"/>
          <w:sz w:val="24"/>
          <w:szCs w:val="24"/>
          <w:highlight w:val="none"/>
        </w:rPr>
        <w:t>可以按本须知第10条规定，通过修改谈判文件自行决定酌情延长谈判响应截止期。在此情况下，采购人和供应商受谈判响应截止期制约的所有权利和义务均应延长至新的截止日期和时间。供应商按采购人修改通知规定的时间递交响应文件。</w:t>
      </w:r>
    </w:p>
    <w:p>
      <w:pPr>
        <w:pStyle w:val="5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val="en-US" w:eastAsia="zh-CN"/>
        </w:rPr>
        <w:t>19.</w:t>
      </w:r>
      <w:r>
        <w:rPr>
          <w:rFonts w:hint="eastAsia" w:ascii="宋体" w:hAnsi="宋体" w:eastAsia="宋体" w:cs="宋体"/>
          <w:b/>
          <w:color w:val="auto"/>
          <w:kern w:val="0"/>
          <w:sz w:val="24"/>
          <w:szCs w:val="24"/>
          <w:highlight w:val="none"/>
        </w:rPr>
        <w:t>迟交的响应文件</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SA"/>
        </w:rPr>
        <w:t>谈判响应文件截止时间之后上传的响应文件，采购人、采购代理机构将拒绝接收。</w:t>
      </w:r>
    </w:p>
    <w:p>
      <w:pPr>
        <w:pStyle w:val="5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val="en-US" w:eastAsia="zh-CN"/>
        </w:rPr>
        <w:t>20.</w:t>
      </w:r>
      <w:r>
        <w:rPr>
          <w:rFonts w:hint="eastAsia" w:ascii="宋体" w:hAnsi="宋体" w:eastAsia="宋体" w:cs="宋体"/>
          <w:b/>
          <w:color w:val="auto"/>
          <w:kern w:val="0"/>
          <w:sz w:val="24"/>
          <w:szCs w:val="24"/>
          <w:highlight w:val="none"/>
        </w:rPr>
        <w:t>响应文件的修改和撤回</w:t>
      </w:r>
    </w:p>
    <w:p>
      <w:pPr>
        <w:pStyle w:val="50"/>
        <w:keepNext w:val="0"/>
        <w:keepLines w:val="0"/>
        <w:pageBreakBefore w:val="0"/>
        <w:widowControl w:val="0"/>
        <w:numPr>
          <w:ilvl w:val="0"/>
          <w:numId w:val="26"/>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供应商在谈判响应截止时间前，对所提交的响应文件进行补充、修改或者撤回的，须书面通知采购人和</w:t>
      </w:r>
      <w:r>
        <w:rPr>
          <w:rFonts w:hint="eastAsia" w:ascii="宋体" w:hAnsi="宋体" w:eastAsia="宋体" w:cs="宋体"/>
          <w:color w:val="auto"/>
          <w:kern w:val="0"/>
          <w:sz w:val="24"/>
          <w:szCs w:val="24"/>
          <w:highlight w:val="none"/>
          <w:lang w:eastAsia="zh-CN"/>
        </w:rPr>
        <w:t>采购代理机构</w:t>
      </w:r>
      <w:r>
        <w:rPr>
          <w:rFonts w:hint="eastAsia" w:ascii="宋体" w:hAnsi="宋体" w:eastAsia="宋体" w:cs="宋体"/>
          <w:color w:val="auto"/>
          <w:kern w:val="0"/>
          <w:sz w:val="24"/>
          <w:szCs w:val="24"/>
          <w:highlight w:val="none"/>
        </w:rPr>
        <w:t>。</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供应商应当在谈判响应截止时间前完成电子响应文件的提交，可以补充、修改或撤回。谈判响应截止时间前未完成电子响应文件提交的，视为撤回响应文件。</w:t>
      </w:r>
    </w:p>
    <w:p>
      <w:pPr>
        <w:pStyle w:val="50"/>
        <w:keepNext w:val="0"/>
        <w:keepLines w:val="0"/>
        <w:pageBreakBefore w:val="0"/>
        <w:widowControl w:val="0"/>
        <w:numPr>
          <w:ilvl w:val="0"/>
          <w:numId w:val="26"/>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供应商补充、修改的内容并作为响应文件的组成部分。补充或修改应当按谈判文件要求签署、盖章、提交，并应注明“修改”或“补充”字样。</w:t>
      </w:r>
    </w:p>
    <w:p>
      <w:pPr>
        <w:pStyle w:val="5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482"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b/>
          <w:color w:val="auto"/>
          <w:kern w:val="0"/>
          <w:sz w:val="24"/>
          <w:szCs w:val="24"/>
          <w:highlight w:val="none"/>
          <w:lang w:val="en-US" w:eastAsia="zh-CN"/>
        </w:rPr>
        <w:t>21.</w:t>
      </w:r>
      <w:r>
        <w:rPr>
          <w:rFonts w:hint="eastAsia" w:ascii="宋体" w:hAnsi="宋体" w:eastAsia="宋体" w:cs="宋体"/>
          <w:b/>
          <w:color w:val="auto"/>
          <w:kern w:val="0"/>
          <w:sz w:val="24"/>
          <w:szCs w:val="24"/>
          <w:highlight w:val="none"/>
        </w:rPr>
        <w:t>除供应商须知前附表另有规定外，供应商所提交的电子响应文件不予退还。</w:t>
      </w:r>
    </w:p>
    <w:p>
      <w:pPr>
        <w:keepNext w:val="0"/>
        <w:keepLines w:val="0"/>
        <w:pageBreakBefore w:val="0"/>
        <w:widowControl w:val="0"/>
        <w:tabs>
          <w:tab w:val="left" w:pos="1260"/>
        </w:tabs>
        <w:kinsoku/>
        <w:wordWrap/>
        <w:overflowPunct/>
        <w:topLinePunct w:val="0"/>
        <w:autoSpaceDE w:val="0"/>
        <w:autoSpaceDN w:val="0"/>
        <w:bidi w:val="0"/>
        <w:adjustRightInd/>
        <w:snapToGrid/>
        <w:spacing w:line="360" w:lineRule="auto"/>
        <w:ind w:left="0" w:leftChars="0" w:firstLine="0" w:firstLineChars="0"/>
        <w:contextualSpacing/>
        <w:jc w:val="center"/>
        <w:textAlignment w:val="auto"/>
        <w:outlineLvl w:val="1"/>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五、谈判和评审</w:t>
      </w:r>
    </w:p>
    <w:p>
      <w:pPr>
        <w:pStyle w:val="5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val="en-US" w:eastAsia="zh-CN"/>
        </w:rPr>
        <w:t xml:space="preserve">22. </w:t>
      </w:r>
      <w:r>
        <w:rPr>
          <w:rFonts w:hint="eastAsia" w:ascii="宋体" w:hAnsi="宋体" w:eastAsia="宋体" w:cs="宋体"/>
          <w:b/>
          <w:color w:val="auto"/>
          <w:kern w:val="0"/>
          <w:sz w:val="24"/>
          <w:szCs w:val="24"/>
          <w:highlight w:val="none"/>
        </w:rPr>
        <w:t>响应文件解密</w:t>
      </w:r>
    </w:p>
    <w:p>
      <w:pPr>
        <w:pStyle w:val="50"/>
        <w:keepNext w:val="0"/>
        <w:keepLines w:val="0"/>
        <w:pageBreakBefore w:val="0"/>
        <w:widowControl w:val="0"/>
        <w:numPr>
          <w:ilvl w:val="1"/>
          <w:numId w:val="27"/>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采购人将按谈判文件规定的</w:t>
      </w:r>
      <w:r>
        <w:rPr>
          <w:rFonts w:hint="eastAsia" w:ascii="宋体" w:hAnsi="宋体" w:eastAsia="宋体" w:cs="宋体"/>
          <w:color w:val="auto"/>
          <w:sz w:val="24"/>
          <w:szCs w:val="24"/>
          <w:highlight w:val="none"/>
        </w:rPr>
        <w:t>谈判响应截止时间</w:t>
      </w:r>
      <w:r>
        <w:rPr>
          <w:rFonts w:hint="eastAsia" w:ascii="宋体" w:hAnsi="宋体" w:eastAsia="宋体" w:cs="宋体"/>
          <w:color w:val="auto"/>
          <w:kern w:val="0"/>
          <w:sz w:val="24"/>
          <w:szCs w:val="24"/>
          <w:highlight w:val="none"/>
        </w:rPr>
        <w:t>和地点解密电子响应文件。由代理机构主持，供应商</w:t>
      </w:r>
      <w:r>
        <w:rPr>
          <w:rFonts w:hint="eastAsia" w:ascii="宋体" w:hAnsi="宋体" w:eastAsia="宋体" w:cs="宋体"/>
          <w:color w:val="auto"/>
          <w:kern w:val="0"/>
          <w:sz w:val="24"/>
          <w:szCs w:val="24"/>
          <w:highlight w:val="none"/>
          <w:lang w:eastAsia="zh-CN"/>
        </w:rPr>
        <w:t>无须</w:t>
      </w:r>
      <w:r>
        <w:rPr>
          <w:rFonts w:hint="eastAsia" w:ascii="宋体" w:hAnsi="宋体" w:eastAsia="宋体" w:cs="宋体"/>
          <w:color w:val="auto"/>
          <w:kern w:val="0"/>
          <w:sz w:val="24"/>
          <w:szCs w:val="24"/>
          <w:highlight w:val="none"/>
        </w:rPr>
        <w:t>到</w:t>
      </w:r>
      <w:r>
        <w:rPr>
          <w:rFonts w:hint="eastAsia" w:ascii="宋体" w:hAnsi="宋体" w:eastAsia="宋体" w:cs="宋体"/>
          <w:color w:val="auto"/>
          <w:kern w:val="0"/>
          <w:sz w:val="24"/>
          <w:szCs w:val="24"/>
          <w:highlight w:val="none"/>
          <w:lang w:eastAsia="zh-CN"/>
        </w:rPr>
        <w:t>开标</w:t>
      </w:r>
      <w:r>
        <w:rPr>
          <w:rFonts w:hint="eastAsia" w:ascii="宋体" w:hAnsi="宋体" w:eastAsia="宋体" w:cs="宋体"/>
          <w:color w:val="auto"/>
          <w:kern w:val="0"/>
          <w:sz w:val="24"/>
          <w:szCs w:val="24"/>
          <w:highlight w:val="none"/>
        </w:rPr>
        <w:t>现场。</w:t>
      </w:r>
    </w:p>
    <w:p>
      <w:pPr>
        <w:pStyle w:val="50"/>
        <w:keepNext w:val="0"/>
        <w:keepLines w:val="0"/>
        <w:pageBreakBefore w:val="0"/>
        <w:widowControl w:val="0"/>
        <w:numPr>
          <w:ilvl w:val="1"/>
          <w:numId w:val="27"/>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谈判响应截止时间</w:t>
      </w:r>
      <w:r>
        <w:rPr>
          <w:rFonts w:hint="eastAsia" w:ascii="宋体" w:hAnsi="宋体" w:eastAsia="宋体" w:cs="宋体"/>
          <w:color w:val="auto"/>
          <w:sz w:val="24"/>
          <w:szCs w:val="24"/>
          <w:highlight w:val="none"/>
          <w:lang w:eastAsia="zh-CN"/>
        </w:rPr>
        <w:t>止</w:t>
      </w:r>
      <w:r>
        <w:rPr>
          <w:rFonts w:hint="eastAsia" w:ascii="宋体" w:hAnsi="宋体" w:eastAsia="宋体" w:cs="宋体"/>
          <w:color w:val="auto"/>
          <w:kern w:val="0"/>
          <w:sz w:val="24"/>
          <w:szCs w:val="24"/>
          <w:highlight w:val="none"/>
        </w:rPr>
        <w:t>，由代理机构开通远程不见面开标大厅及开启“文字互动”等功能；供应商、代理机构进行电子响应文件的解密。解密后</w:t>
      </w:r>
      <w:r>
        <w:rPr>
          <w:rFonts w:hint="eastAsia" w:ascii="宋体" w:hAnsi="宋体" w:eastAsia="宋体" w:cs="宋体"/>
          <w:color w:val="auto"/>
          <w:sz w:val="24"/>
          <w:szCs w:val="24"/>
          <w:highlight w:val="none"/>
        </w:rPr>
        <w:t>供应商选择功能栏“开标记录”按钮可查看</w:t>
      </w:r>
      <w:r>
        <w:rPr>
          <w:rFonts w:hint="eastAsia" w:ascii="宋体" w:hAnsi="宋体" w:eastAsia="宋体" w:cs="宋体"/>
          <w:color w:val="auto"/>
          <w:kern w:val="0"/>
          <w:sz w:val="24"/>
          <w:szCs w:val="24"/>
          <w:highlight w:val="none"/>
        </w:rPr>
        <w:t>供应商名称、修改和撤回投标的通知（如有的话）和</w:t>
      </w:r>
      <w:r>
        <w:rPr>
          <w:rFonts w:hint="eastAsia" w:ascii="宋体" w:hAnsi="宋体" w:eastAsia="宋体" w:cs="宋体"/>
          <w:color w:val="auto"/>
          <w:kern w:val="0"/>
          <w:sz w:val="24"/>
          <w:szCs w:val="24"/>
          <w:highlight w:val="none"/>
          <w:lang w:eastAsia="zh-CN"/>
        </w:rPr>
        <w:t>谈判</w:t>
      </w:r>
      <w:r>
        <w:rPr>
          <w:rFonts w:hint="eastAsia" w:ascii="宋体" w:hAnsi="宋体" w:eastAsia="宋体" w:cs="宋体"/>
          <w:color w:val="auto"/>
          <w:kern w:val="0"/>
          <w:sz w:val="24"/>
          <w:szCs w:val="24"/>
          <w:highlight w:val="none"/>
        </w:rPr>
        <w:t>文件规定的需要宣布的其他内容。</w:t>
      </w:r>
    </w:p>
    <w:p>
      <w:pPr>
        <w:pStyle w:val="50"/>
        <w:keepNext w:val="0"/>
        <w:keepLines w:val="0"/>
        <w:pageBreakBefore w:val="0"/>
        <w:widowControl w:val="0"/>
        <w:numPr>
          <w:ilvl w:val="0"/>
          <w:numId w:val="28"/>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电子响应文件的解密：全流程电子化交易项目电子响应文件采用双重加密。解密需分段进行两次解密。</w:t>
      </w:r>
    </w:p>
    <w:p>
      <w:pPr>
        <w:pStyle w:val="50"/>
        <w:keepNext w:val="0"/>
        <w:keepLines w:val="0"/>
        <w:pageBreakBefore w:val="0"/>
        <w:widowControl w:val="0"/>
        <w:numPr>
          <w:ilvl w:val="0"/>
          <w:numId w:val="29"/>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供应商解密：供应商使用本单位CA数字证书进行远程解密。</w:t>
      </w:r>
    </w:p>
    <w:p>
      <w:pPr>
        <w:pStyle w:val="50"/>
        <w:keepNext w:val="0"/>
        <w:keepLines w:val="0"/>
        <w:pageBreakBefore w:val="0"/>
        <w:widowControl w:val="0"/>
        <w:numPr>
          <w:ilvl w:val="0"/>
          <w:numId w:val="29"/>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采购</w:t>
      </w:r>
      <w:r>
        <w:rPr>
          <w:rFonts w:hint="eastAsia" w:ascii="宋体" w:hAnsi="宋体" w:eastAsia="宋体" w:cs="宋体"/>
          <w:color w:val="auto"/>
          <w:kern w:val="0"/>
          <w:sz w:val="24"/>
          <w:szCs w:val="24"/>
          <w:highlight w:val="none"/>
          <w:lang w:eastAsia="zh-CN"/>
        </w:rPr>
        <w:t>代理</w:t>
      </w:r>
      <w:r>
        <w:rPr>
          <w:rFonts w:hint="eastAsia" w:ascii="宋体" w:hAnsi="宋体" w:eastAsia="宋体" w:cs="宋体"/>
          <w:color w:val="auto"/>
          <w:kern w:val="0"/>
          <w:sz w:val="24"/>
          <w:szCs w:val="24"/>
          <w:highlight w:val="none"/>
        </w:rPr>
        <w:t>机构解密：</w:t>
      </w:r>
      <w:r>
        <w:rPr>
          <w:rFonts w:hint="eastAsia" w:ascii="宋体" w:hAnsi="宋体" w:eastAsia="宋体" w:cs="宋体"/>
          <w:color w:val="auto"/>
          <w:kern w:val="0"/>
          <w:sz w:val="24"/>
          <w:szCs w:val="24"/>
          <w:highlight w:val="none"/>
          <w:lang w:eastAsia="zh-CN"/>
        </w:rPr>
        <w:t>采购代理机构</w:t>
      </w:r>
      <w:r>
        <w:rPr>
          <w:rFonts w:hint="eastAsia" w:ascii="宋体" w:hAnsi="宋体" w:eastAsia="宋体" w:cs="宋体"/>
          <w:color w:val="auto"/>
          <w:kern w:val="0"/>
          <w:sz w:val="24"/>
          <w:szCs w:val="24"/>
          <w:highlight w:val="none"/>
        </w:rPr>
        <w:t>按电子响应文件到达交易系统的先后顺序，使用本单位CA数字证书进行再次解密。</w:t>
      </w:r>
    </w:p>
    <w:p>
      <w:pPr>
        <w:pStyle w:val="50"/>
        <w:keepNext w:val="0"/>
        <w:keepLines w:val="0"/>
        <w:pageBreakBefore w:val="0"/>
        <w:widowControl w:val="0"/>
        <w:numPr>
          <w:ilvl w:val="0"/>
          <w:numId w:val="29"/>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供应商未在规定时间内解密或</w:t>
      </w:r>
      <w:r>
        <w:rPr>
          <w:rFonts w:hint="eastAsia" w:ascii="宋体" w:hAnsi="宋体" w:eastAsia="宋体" w:cs="宋体"/>
          <w:color w:val="auto"/>
          <w:kern w:val="0"/>
          <w:sz w:val="24"/>
          <w:szCs w:val="24"/>
          <w:highlight w:val="none"/>
        </w:rPr>
        <w:t>因供应商原因解密失败的，其响应文件将被拒绝。</w:t>
      </w:r>
    </w:p>
    <w:p>
      <w:pPr>
        <w:pStyle w:val="50"/>
        <w:keepNext w:val="0"/>
        <w:keepLines w:val="0"/>
        <w:pageBreakBefore w:val="0"/>
        <w:widowControl w:val="0"/>
        <w:numPr>
          <w:ilvl w:val="1"/>
          <w:numId w:val="27"/>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供应商不足3家的，本项目谈判活动终止（如符合《《政府采购非招标采购方式管理办法》》（财政部令第74号）第二十七条第二款中的</w:t>
      </w:r>
      <w:r>
        <w:rPr>
          <w:rFonts w:hint="eastAsia" w:ascii="宋体" w:hAnsi="宋体" w:eastAsia="宋体" w:cs="宋体"/>
          <w:color w:val="auto"/>
          <w:sz w:val="24"/>
          <w:szCs w:val="24"/>
          <w:highlight w:val="none"/>
          <w:shd w:val="clear" w:color="auto" w:fill="FFFFFF"/>
        </w:rPr>
        <w:t>情形的，</w:t>
      </w:r>
      <w:r>
        <w:rPr>
          <w:rFonts w:hint="eastAsia" w:ascii="宋体" w:hAnsi="宋体" w:eastAsia="宋体" w:cs="宋体"/>
          <w:color w:val="auto"/>
          <w:kern w:val="0"/>
          <w:sz w:val="24"/>
          <w:szCs w:val="24"/>
          <w:highlight w:val="none"/>
        </w:rPr>
        <w:t>供应商最低数量可以为两家）。</w:t>
      </w:r>
    </w:p>
    <w:p>
      <w:pPr>
        <w:pStyle w:val="50"/>
        <w:keepNext w:val="0"/>
        <w:keepLines w:val="0"/>
        <w:pageBreakBefore w:val="0"/>
        <w:widowControl w:val="0"/>
        <w:numPr>
          <w:ilvl w:val="1"/>
          <w:numId w:val="27"/>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响应文件解密过程由采购</w:t>
      </w:r>
      <w:r>
        <w:rPr>
          <w:rFonts w:hint="eastAsia" w:ascii="宋体" w:hAnsi="宋体" w:eastAsia="宋体" w:cs="宋体"/>
          <w:color w:val="auto"/>
          <w:kern w:val="0"/>
          <w:sz w:val="24"/>
          <w:szCs w:val="24"/>
          <w:highlight w:val="none"/>
          <w:lang w:eastAsia="zh-CN"/>
        </w:rPr>
        <w:t>代理</w:t>
      </w:r>
      <w:r>
        <w:rPr>
          <w:rFonts w:hint="eastAsia" w:ascii="宋体" w:hAnsi="宋体" w:eastAsia="宋体" w:cs="宋体"/>
          <w:color w:val="auto"/>
          <w:kern w:val="0"/>
          <w:sz w:val="24"/>
          <w:szCs w:val="24"/>
          <w:highlight w:val="none"/>
        </w:rPr>
        <w:t>机构负责记录。</w:t>
      </w:r>
    </w:p>
    <w:p>
      <w:pPr>
        <w:pStyle w:val="50"/>
        <w:keepNext w:val="0"/>
        <w:keepLines w:val="0"/>
        <w:pageBreakBefore w:val="0"/>
        <w:widowControl w:val="0"/>
        <w:numPr>
          <w:ilvl w:val="1"/>
          <w:numId w:val="27"/>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供应商对解密过程和记录有疑义，以及认为采购人、采购</w:t>
      </w:r>
      <w:r>
        <w:rPr>
          <w:rFonts w:hint="eastAsia" w:ascii="宋体" w:hAnsi="宋体" w:eastAsia="宋体" w:cs="宋体"/>
          <w:color w:val="auto"/>
          <w:kern w:val="0"/>
          <w:sz w:val="24"/>
          <w:szCs w:val="24"/>
          <w:highlight w:val="none"/>
          <w:lang w:eastAsia="zh-CN"/>
        </w:rPr>
        <w:t>代理</w:t>
      </w:r>
      <w:r>
        <w:rPr>
          <w:rFonts w:hint="eastAsia" w:ascii="宋体" w:hAnsi="宋体" w:eastAsia="宋体" w:cs="宋体"/>
          <w:color w:val="auto"/>
          <w:kern w:val="0"/>
          <w:sz w:val="24"/>
          <w:szCs w:val="24"/>
          <w:highlight w:val="none"/>
        </w:rPr>
        <w:t>机构相关工作人员有需要回避的情形的，应当场提出询问或者回避申请。采购人、采购代理机构对供应商提出的询问或者回避申请应当及时处理。</w:t>
      </w:r>
    </w:p>
    <w:p>
      <w:pPr>
        <w:pStyle w:val="50"/>
        <w:keepNext w:val="0"/>
        <w:keepLines w:val="0"/>
        <w:pageBreakBefore w:val="0"/>
        <w:widowControl w:val="0"/>
        <w:numPr>
          <w:ilvl w:val="1"/>
          <w:numId w:val="27"/>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响应文件解密活动结束时，供应商应在《开标记录表》上进行电子签章。供应商未签章的，视同认可解密结果。</w:t>
      </w:r>
    </w:p>
    <w:p>
      <w:pPr>
        <w:pStyle w:val="5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lang w:val="en-US" w:eastAsia="zh-CN"/>
        </w:rPr>
      </w:pPr>
      <w:r>
        <w:rPr>
          <w:rFonts w:hint="eastAsia" w:ascii="宋体" w:hAnsi="宋体" w:eastAsia="宋体" w:cs="宋体"/>
          <w:b/>
          <w:color w:val="auto"/>
          <w:kern w:val="0"/>
          <w:sz w:val="24"/>
          <w:szCs w:val="24"/>
          <w:highlight w:val="none"/>
          <w:lang w:val="en-US" w:eastAsia="zh-CN"/>
        </w:rPr>
        <w:t>23.谈判小组组成</w:t>
      </w:r>
    </w:p>
    <w:p>
      <w:pPr>
        <w:pStyle w:val="50"/>
        <w:keepNext w:val="0"/>
        <w:keepLines w:val="0"/>
        <w:pageBreakBefore w:val="0"/>
        <w:widowControl w:val="0"/>
        <w:numPr>
          <w:ilvl w:val="0"/>
          <w:numId w:val="30"/>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采购人将依法组建谈判小组，谈判小组</w:t>
      </w:r>
      <w:r>
        <w:rPr>
          <w:rFonts w:hint="eastAsia" w:ascii="宋体" w:hAnsi="宋体" w:eastAsia="宋体" w:cs="宋体"/>
          <w:color w:val="auto"/>
          <w:sz w:val="24"/>
          <w:szCs w:val="24"/>
          <w:highlight w:val="none"/>
        </w:rPr>
        <w:t>由采购人代表和评审专家共3人以上单数组成，其中评审专家人数不得少于竞争性谈判小组成员总数</w:t>
      </w:r>
      <w:r>
        <w:rPr>
          <w:rFonts w:hint="eastAsia" w:ascii="宋体" w:hAnsi="宋体" w:eastAsia="宋体" w:cs="宋体"/>
          <w:color w:val="auto"/>
          <w:kern w:val="0"/>
          <w:sz w:val="24"/>
          <w:szCs w:val="24"/>
          <w:highlight w:val="none"/>
        </w:rPr>
        <w:t>的三分之二。评审专家依法从政府采购评审专家库中随机抽取。</w:t>
      </w:r>
    </w:p>
    <w:p>
      <w:pPr>
        <w:pStyle w:val="50"/>
        <w:keepNext w:val="0"/>
        <w:keepLines w:val="0"/>
        <w:pageBreakBefore w:val="0"/>
        <w:widowControl w:val="0"/>
        <w:numPr>
          <w:ilvl w:val="0"/>
          <w:numId w:val="31"/>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采购人将依法组建谈判小组，谈判小组由评审专家组成，成员人数应当为</w:t>
      </w:r>
      <w:r>
        <w:rPr>
          <w:rFonts w:hint="eastAsia" w:ascii="宋体" w:hAnsi="宋体" w:eastAsia="宋体" w:cs="宋体"/>
          <w:color w:val="auto"/>
          <w:sz w:val="24"/>
          <w:szCs w:val="24"/>
          <w:highlight w:val="none"/>
        </w:rPr>
        <w:t>3人以上单数组成</w:t>
      </w:r>
      <w:r>
        <w:rPr>
          <w:rFonts w:hint="eastAsia" w:ascii="宋体" w:hAnsi="宋体" w:eastAsia="宋体" w:cs="宋体"/>
          <w:color w:val="auto"/>
          <w:kern w:val="0"/>
          <w:sz w:val="24"/>
          <w:szCs w:val="24"/>
          <w:highlight w:val="none"/>
        </w:rPr>
        <w:t>。评审专家依法从政府采购评审专家库中随机抽取。</w:t>
      </w:r>
    </w:p>
    <w:p>
      <w:pPr>
        <w:pStyle w:val="50"/>
        <w:keepNext w:val="0"/>
        <w:keepLines w:val="0"/>
        <w:pageBreakBefore w:val="0"/>
        <w:widowControl w:val="0"/>
        <w:numPr>
          <w:ilvl w:val="0"/>
          <w:numId w:val="31"/>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vanish/>
          <w:color w:val="auto"/>
          <w:sz w:val="24"/>
          <w:szCs w:val="24"/>
          <w:highlight w:val="none"/>
        </w:rPr>
      </w:pPr>
      <w:r>
        <w:rPr>
          <w:rFonts w:hint="eastAsia" w:ascii="宋体" w:hAnsi="宋体" w:eastAsia="宋体" w:cs="宋体"/>
          <w:color w:val="auto"/>
          <w:sz w:val="24"/>
          <w:szCs w:val="24"/>
          <w:highlight w:val="none"/>
        </w:rPr>
        <w:t>达到公开招标数额标准的货物或者服务采购项目，或者达到招标规模标准的政府采购工程，竞争性谈判小组应当由5人以上单数组成。</w:t>
      </w:r>
    </w:p>
    <w:p>
      <w:pPr>
        <w:pStyle w:val="50"/>
        <w:keepNext w:val="0"/>
        <w:keepLines w:val="0"/>
        <w:pageBreakBefore w:val="0"/>
        <w:widowControl w:val="0"/>
        <w:numPr>
          <w:ilvl w:val="0"/>
          <w:numId w:val="30"/>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采购人不得以评审专家身份参加本部门或本单位采购项目的评审</w:t>
      </w:r>
      <w:r>
        <w:rPr>
          <w:rFonts w:hint="eastAsia" w:ascii="宋体" w:hAnsi="宋体" w:eastAsia="宋体" w:cs="宋体"/>
          <w:color w:val="auto"/>
          <w:kern w:val="0"/>
          <w:sz w:val="24"/>
          <w:szCs w:val="24"/>
          <w:highlight w:val="none"/>
        </w:rPr>
        <w:t>。</w:t>
      </w:r>
    </w:p>
    <w:p>
      <w:pPr>
        <w:pStyle w:val="50"/>
        <w:keepNext w:val="0"/>
        <w:keepLines w:val="0"/>
        <w:pageBreakBefore w:val="0"/>
        <w:widowControl w:val="0"/>
        <w:numPr>
          <w:ilvl w:val="0"/>
          <w:numId w:val="30"/>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谈判小组成员与供应商存在下列利害关系之一的,应当回避：</w:t>
      </w:r>
    </w:p>
    <w:p>
      <w:pPr>
        <w:pStyle w:val="50"/>
        <w:keepNext w:val="0"/>
        <w:keepLines w:val="0"/>
        <w:pageBreakBefore w:val="0"/>
        <w:widowControl w:val="0"/>
        <w:numPr>
          <w:ilvl w:val="0"/>
          <w:numId w:val="32"/>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参加采购活动前三年内,与供应商存在劳动关系,或者担任过供应商的董事、监事,或者是供应商的控股股东或实际控制人；</w:t>
      </w:r>
    </w:p>
    <w:p>
      <w:pPr>
        <w:pStyle w:val="50"/>
        <w:keepNext w:val="0"/>
        <w:keepLines w:val="0"/>
        <w:pageBreakBefore w:val="0"/>
        <w:widowControl w:val="0"/>
        <w:numPr>
          <w:ilvl w:val="0"/>
          <w:numId w:val="32"/>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与供应商的法定代表人或者负责人有夫妻、直系血亲、三代以内旁系血亲或者近姻亲关系；</w:t>
      </w:r>
    </w:p>
    <w:p>
      <w:pPr>
        <w:pStyle w:val="50"/>
        <w:keepNext w:val="0"/>
        <w:keepLines w:val="0"/>
        <w:pageBreakBefore w:val="0"/>
        <w:widowControl w:val="0"/>
        <w:numPr>
          <w:ilvl w:val="0"/>
          <w:numId w:val="32"/>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vanish/>
          <w:color w:val="auto"/>
          <w:kern w:val="0"/>
          <w:sz w:val="24"/>
          <w:szCs w:val="24"/>
          <w:highlight w:val="none"/>
        </w:rPr>
      </w:pPr>
      <w:r>
        <w:rPr>
          <w:rFonts w:hint="eastAsia" w:ascii="宋体" w:hAnsi="宋体" w:eastAsia="宋体" w:cs="宋体"/>
          <w:color w:val="auto"/>
          <w:sz w:val="24"/>
          <w:szCs w:val="24"/>
          <w:highlight w:val="none"/>
        </w:rPr>
        <w:t>与供应商有其他可能影响政府采购活动公平、公正进行的关系。</w:t>
      </w:r>
    </w:p>
    <w:p>
      <w:pPr>
        <w:pStyle w:val="50"/>
        <w:keepNext w:val="0"/>
        <w:keepLines w:val="0"/>
        <w:pageBreakBefore w:val="0"/>
        <w:widowControl w:val="0"/>
        <w:numPr>
          <w:ilvl w:val="0"/>
          <w:numId w:val="30"/>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评审专家发现本人与参加采购活动的供应商有利害关系的,应当主动提出回避。采购人或者</w:t>
      </w:r>
      <w:r>
        <w:rPr>
          <w:rFonts w:hint="eastAsia" w:ascii="宋体" w:hAnsi="宋体" w:eastAsia="宋体" w:cs="宋体"/>
          <w:color w:val="auto"/>
          <w:kern w:val="0"/>
          <w:sz w:val="24"/>
          <w:szCs w:val="24"/>
          <w:highlight w:val="none"/>
          <w:lang w:eastAsia="zh-CN"/>
        </w:rPr>
        <w:t>采购代理机构</w:t>
      </w:r>
      <w:r>
        <w:rPr>
          <w:rFonts w:hint="eastAsia" w:ascii="宋体" w:hAnsi="宋体" w:eastAsia="宋体" w:cs="宋体"/>
          <w:color w:val="auto"/>
          <w:kern w:val="0"/>
          <w:sz w:val="24"/>
          <w:szCs w:val="24"/>
          <w:highlight w:val="none"/>
        </w:rPr>
        <w:t>发现评审专家与参加采购活动的供应商有利害关系的,应当要求其回避。</w:t>
      </w:r>
    </w:p>
    <w:p>
      <w:pPr>
        <w:pStyle w:val="50"/>
        <w:keepNext w:val="0"/>
        <w:keepLines w:val="0"/>
        <w:pageBreakBefore w:val="0"/>
        <w:widowControl w:val="0"/>
        <w:numPr>
          <w:ilvl w:val="0"/>
          <w:numId w:val="30"/>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采购人不得担任谈判小组组长。</w:t>
      </w:r>
    </w:p>
    <w:p>
      <w:pPr>
        <w:pStyle w:val="50"/>
        <w:keepNext w:val="0"/>
        <w:keepLines w:val="0"/>
        <w:pageBreakBefore w:val="0"/>
        <w:widowControl w:val="0"/>
        <w:numPr>
          <w:ilvl w:val="0"/>
          <w:numId w:val="30"/>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谈判小组成员名单在成交结果公告前应当保密。</w:t>
      </w:r>
    </w:p>
    <w:p>
      <w:pPr>
        <w:pStyle w:val="5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val="en-US" w:eastAsia="zh-CN"/>
        </w:rPr>
        <w:t>24.</w:t>
      </w:r>
      <w:r>
        <w:rPr>
          <w:rFonts w:hint="eastAsia" w:ascii="宋体" w:hAnsi="宋体" w:eastAsia="宋体" w:cs="宋体"/>
          <w:b/>
          <w:color w:val="auto"/>
          <w:kern w:val="0"/>
          <w:sz w:val="24"/>
          <w:szCs w:val="24"/>
          <w:highlight w:val="none"/>
        </w:rPr>
        <w:t>资格审查和符合性审查</w:t>
      </w:r>
    </w:p>
    <w:p>
      <w:pPr>
        <w:pStyle w:val="50"/>
        <w:keepNext w:val="0"/>
        <w:keepLines w:val="0"/>
        <w:pageBreakBefore w:val="0"/>
        <w:widowControl w:val="0"/>
        <w:numPr>
          <w:ilvl w:val="0"/>
          <w:numId w:val="33"/>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资格审查：谈判小组依据有关法律法规和谈判文件的规定对供应商的资格进行审查。</w:t>
      </w:r>
    </w:p>
    <w:p>
      <w:pPr>
        <w:pStyle w:val="5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 xml:space="preserve">24. 2 </w:t>
      </w:r>
      <w:r>
        <w:rPr>
          <w:rFonts w:hint="eastAsia" w:ascii="宋体" w:hAnsi="宋体" w:eastAsia="宋体" w:cs="宋体"/>
          <w:color w:val="auto"/>
          <w:kern w:val="0"/>
          <w:sz w:val="24"/>
          <w:szCs w:val="24"/>
          <w:highlight w:val="none"/>
        </w:rPr>
        <w:t>符合性审查：依据谈判文件的规定，从响应文件的有效性、完整性和对谈判文件的响应程度进行审查，以确定是否对谈判文件的全部实质性要求作出响应。</w:t>
      </w:r>
      <w:r>
        <w:rPr>
          <w:rFonts w:hint="eastAsia" w:ascii="宋体" w:hAnsi="宋体" w:eastAsia="宋体" w:cs="宋体"/>
          <w:color w:val="auto"/>
          <w:kern w:val="0"/>
          <w:sz w:val="24"/>
          <w:szCs w:val="24"/>
          <w:highlight w:val="none"/>
          <w:lang w:val="en-US" w:eastAsia="zh-CN"/>
        </w:rPr>
        <w:t>为确保后期项目的实施，供应商的售后服务承诺须经单位法定代表人（单位负责人）签字确认，否则为无效响应。</w:t>
      </w:r>
    </w:p>
    <w:p>
      <w:pPr>
        <w:pStyle w:val="5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val="en-US" w:eastAsia="zh-CN"/>
        </w:rPr>
        <w:t>25.</w:t>
      </w:r>
      <w:r>
        <w:rPr>
          <w:rFonts w:hint="eastAsia" w:ascii="宋体" w:hAnsi="宋体" w:eastAsia="宋体" w:cs="宋体"/>
          <w:b/>
          <w:color w:val="auto"/>
          <w:kern w:val="0"/>
          <w:sz w:val="24"/>
          <w:szCs w:val="24"/>
          <w:highlight w:val="none"/>
        </w:rPr>
        <w:t>响应文件的澄清</w:t>
      </w:r>
    </w:p>
    <w:p>
      <w:pPr>
        <w:pStyle w:val="50"/>
        <w:keepNext w:val="0"/>
        <w:keepLines w:val="0"/>
        <w:pageBreakBefore w:val="0"/>
        <w:widowControl w:val="0"/>
        <w:numPr>
          <w:ilvl w:val="0"/>
          <w:numId w:val="34"/>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谈判小组在对响应文件的有效性、完整性和响应程度进行审查时，可以要求供应商对响应文件中含义不明确、同类问题表述不一致或者有明显文字和计算错误的内容等作出必要的澄清、说明或者更正</w:t>
      </w:r>
      <w:r>
        <w:rPr>
          <w:rFonts w:hint="eastAsia" w:ascii="宋体" w:hAnsi="宋体" w:eastAsia="宋体" w:cs="宋体"/>
          <w:color w:val="auto"/>
          <w:kern w:val="0"/>
          <w:sz w:val="24"/>
          <w:szCs w:val="24"/>
          <w:highlight w:val="none"/>
        </w:rPr>
        <w:t>。</w:t>
      </w:r>
      <w:r>
        <w:rPr>
          <w:rFonts w:hint="eastAsia" w:ascii="宋体" w:hAnsi="宋体" w:eastAsia="宋体" w:cs="宋体"/>
          <w:color w:val="auto"/>
          <w:sz w:val="24"/>
          <w:szCs w:val="24"/>
          <w:highlight w:val="none"/>
        </w:rPr>
        <w:t>供应商的澄清、说明或者更正不得超出响应文件的范围或者改变响应文件的实质性内容。</w:t>
      </w:r>
    </w:p>
    <w:p>
      <w:pPr>
        <w:pStyle w:val="50"/>
        <w:keepNext w:val="0"/>
        <w:keepLines w:val="0"/>
        <w:pageBreakBefore w:val="0"/>
        <w:widowControl w:val="0"/>
        <w:numPr>
          <w:ilvl w:val="0"/>
          <w:numId w:val="34"/>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供应商的澄清、说明或者更正应当采用书面</w:t>
      </w:r>
      <w:r>
        <w:rPr>
          <w:rFonts w:hint="eastAsia" w:ascii="宋体" w:hAnsi="宋体" w:eastAsia="宋体" w:cs="宋体"/>
          <w:color w:val="auto"/>
          <w:sz w:val="24"/>
          <w:szCs w:val="24"/>
          <w:highlight w:val="none"/>
        </w:rPr>
        <w:t>形式，供应商的澄清、说明或者更正应当由法定代表人或其授权代表签字或者加盖公章。由授权代表签字的，应当附法定代表人授权书。供应商为自然人的，应当由本人签字并附身份证明。供应商的澄清、说明或者补正不得超出</w:t>
      </w:r>
      <w:r>
        <w:rPr>
          <w:rFonts w:hint="eastAsia" w:ascii="宋体" w:hAnsi="宋体" w:eastAsia="宋体" w:cs="宋体"/>
          <w:color w:val="auto"/>
          <w:kern w:val="0"/>
          <w:sz w:val="24"/>
          <w:szCs w:val="24"/>
          <w:highlight w:val="none"/>
        </w:rPr>
        <w:t>投标文件的范围或者改变响应文件的实质性内容。</w:t>
      </w:r>
    </w:p>
    <w:p>
      <w:pPr>
        <w:pStyle w:val="50"/>
        <w:keepNext w:val="0"/>
        <w:keepLines w:val="0"/>
        <w:pageBreakBefore w:val="0"/>
        <w:widowControl w:val="0"/>
        <w:numPr>
          <w:ilvl w:val="0"/>
          <w:numId w:val="34"/>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供应商的澄清文件是其响应文件的组成部分。</w:t>
      </w:r>
    </w:p>
    <w:p>
      <w:pPr>
        <w:pStyle w:val="5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val="en-US" w:eastAsia="zh-CN"/>
        </w:rPr>
        <w:t>26.</w:t>
      </w:r>
      <w:r>
        <w:rPr>
          <w:rFonts w:hint="eastAsia" w:ascii="宋体" w:hAnsi="宋体" w:eastAsia="宋体" w:cs="宋体"/>
          <w:b/>
          <w:color w:val="auto"/>
          <w:kern w:val="0"/>
          <w:sz w:val="24"/>
          <w:szCs w:val="24"/>
          <w:highlight w:val="none"/>
        </w:rPr>
        <w:t>响应文件报价出现前后不一致的修正</w:t>
      </w:r>
    </w:p>
    <w:p>
      <w:pPr>
        <w:pStyle w:val="50"/>
        <w:keepNext w:val="0"/>
        <w:keepLines w:val="0"/>
        <w:pageBreakBefore w:val="0"/>
        <w:widowControl w:val="0"/>
        <w:numPr>
          <w:ilvl w:val="1"/>
          <w:numId w:val="35"/>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大写金额和小写金额不一致的，以大写金额为准；</w:t>
      </w:r>
    </w:p>
    <w:p>
      <w:pPr>
        <w:pStyle w:val="50"/>
        <w:keepNext w:val="0"/>
        <w:keepLines w:val="0"/>
        <w:pageBreakBefore w:val="0"/>
        <w:widowControl w:val="0"/>
        <w:numPr>
          <w:ilvl w:val="1"/>
          <w:numId w:val="35"/>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单价金额小数点或者百分比有明显错位的，以开标一览表的总价为准，并修改单价；</w:t>
      </w:r>
    </w:p>
    <w:p>
      <w:pPr>
        <w:pStyle w:val="50"/>
        <w:keepNext w:val="0"/>
        <w:keepLines w:val="0"/>
        <w:pageBreakBefore w:val="0"/>
        <w:widowControl w:val="0"/>
        <w:numPr>
          <w:ilvl w:val="1"/>
          <w:numId w:val="35"/>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总价金额与按单价汇总金额不一致的，以单价金额计算结果为准。同时出现两种以上不一致的，按照前款规定的顺序修正。修正后的报价按照“供应商须知”25.2规定经供应商确认后产生约束力，供应商不确认的，为无效报价。</w:t>
      </w:r>
    </w:p>
    <w:p>
      <w:pPr>
        <w:pStyle w:val="5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lang w:val="en-US" w:eastAsia="zh-CN"/>
        </w:rPr>
      </w:pPr>
      <w:r>
        <w:rPr>
          <w:rFonts w:hint="eastAsia" w:ascii="宋体" w:hAnsi="宋体" w:eastAsia="宋体" w:cs="宋体"/>
          <w:b/>
          <w:color w:val="auto"/>
          <w:kern w:val="0"/>
          <w:sz w:val="24"/>
          <w:szCs w:val="24"/>
          <w:highlight w:val="none"/>
          <w:lang w:val="en-US" w:eastAsia="zh-CN"/>
        </w:rPr>
        <w:t>27.响应无效情形</w:t>
      </w:r>
    </w:p>
    <w:p>
      <w:pPr>
        <w:pStyle w:val="5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 xml:space="preserve">27.1 </w:t>
      </w:r>
      <w:r>
        <w:rPr>
          <w:rFonts w:hint="eastAsia" w:ascii="宋体" w:hAnsi="宋体" w:eastAsia="宋体" w:cs="宋体"/>
          <w:color w:val="auto"/>
          <w:kern w:val="0"/>
          <w:sz w:val="24"/>
          <w:szCs w:val="24"/>
          <w:highlight w:val="none"/>
        </w:rPr>
        <w:t>响应文件属下列情况之一的，按照无效响应处理：</w:t>
      </w:r>
    </w:p>
    <w:p>
      <w:pPr>
        <w:pStyle w:val="50"/>
        <w:keepNext w:val="0"/>
        <w:keepLines w:val="0"/>
        <w:pageBreakBefore w:val="0"/>
        <w:widowControl w:val="0"/>
        <w:numPr>
          <w:ilvl w:val="0"/>
          <w:numId w:val="0"/>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 xml:space="preserve">27.1.1 </w:t>
      </w:r>
      <w:r>
        <w:rPr>
          <w:rFonts w:hint="eastAsia" w:ascii="宋体" w:hAnsi="宋体" w:eastAsia="宋体" w:cs="宋体"/>
          <w:color w:val="auto"/>
          <w:kern w:val="0"/>
          <w:sz w:val="24"/>
          <w:szCs w:val="24"/>
          <w:highlight w:val="none"/>
        </w:rPr>
        <w:t>未按照谈判文件的规定提交《禹州市政府采购供应商信用承诺函》的；</w:t>
      </w:r>
    </w:p>
    <w:p>
      <w:pPr>
        <w:pStyle w:val="50"/>
        <w:keepNext w:val="0"/>
        <w:keepLines w:val="0"/>
        <w:pageBreakBefore w:val="0"/>
        <w:widowControl w:val="0"/>
        <w:numPr>
          <w:ilvl w:val="0"/>
          <w:numId w:val="0"/>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 xml:space="preserve">27.1.2 </w:t>
      </w:r>
      <w:r>
        <w:rPr>
          <w:rFonts w:hint="eastAsia" w:ascii="宋体" w:hAnsi="宋体" w:eastAsia="宋体" w:cs="宋体"/>
          <w:color w:val="auto"/>
          <w:kern w:val="0"/>
          <w:sz w:val="24"/>
          <w:szCs w:val="24"/>
          <w:highlight w:val="none"/>
        </w:rPr>
        <w:t>响应文件未按谈判文件要求签署、盖章的；</w:t>
      </w:r>
    </w:p>
    <w:p>
      <w:pPr>
        <w:pStyle w:val="50"/>
        <w:keepNext w:val="0"/>
        <w:keepLines w:val="0"/>
        <w:pageBreakBefore w:val="0"/>
        <w:widowControl w:val="0"/>
        <w:numPr>
          <w:ilvl w:val="0"/>
          <w:numId w:val="0"/>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 xml:space="preserve">27.1.3 </w:t>
      </w:r>
      <w:r>
        <w:rPr>
          <w:rFonts w:hint="eastAsia" w:ascii="宋体" w:hAnsi="宋体" w:cs="宋体"/>
          <w:color w:val="auto"/>
          <w:kern w:val="0"/>
          <w:sz w:val="24"/>
          <w:szCs w:val="24"/>
          <w:highlight w:val="none"/>
        </w:rPr>
        <w:t>不具备谈判文件中规定的资格要求的；</w:t>
      </w:r>
    </w:p>
    <w:p>
      <w:pPr>
        <w:pStyle w:val="50"/>
        <w:keepNext w:val="0"/>
        <w:keepLines w:val="0"/>
        <w:pageBreakBefore w:val="0"/>
        <w:widowControl w:val="0"/>
        <w:numPr>
          <w:ilvl w:val="0"/>
          <w:numId w:val="0"/>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rPr>
        <w:t>2</w:t>
      </w:r>
      <w:r>
        <w:rPr>
          <w:rFonts w:ascii="宋体" w:hAnsi="宋体" w:cs="宋体"/>
          <w:color w:val="auto"/>
          <w:kern w:val="0"/>
          <w:sz w:val="24"/>
          <w:szCs w:val="24"/>
          <w:highlight w:val="none"/>
        </w:rPr>
        <w:t>7</w:t>
      </w:r>
      <w:r>
        <w:rPr>
          <w:rFonts w:hint="eastAsia" w:ascii="宋体" w:hAnsi="宋体" w:cs="宋体"/>
          <w:color w:val="auto"/>
          <w:kern w:val="0"/>
          <w:sz w:val="24"/>
          <w:szCs w:val="24"/>
          <w:highlight w:val="none"/>
        </w:rPr>
        <w:t>.1.4</w:t>
      </w:r>
      <w:r>
        <w:rPr>
          <w:rFonts w:hint="eastAsia" w:ascii="宋体" w:hAnsi="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报价超过谈判文件中规定的预算金额的；</w:t>
      </w:r>
    </w:p>
    <w:p>
      <w:pPr>
        <w:pStyle w:val="50"/>
        <w:keepNext w:val="0"/>
        <w:keepLines w:val="0"/>
        <w:pageBreakBefore w:val="0"/>
        <w:widowControl w:val="0"/>
        <w:numPr>
          <w:ilvl w:val="0"/>
          <w:numId w:val="0"/>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 xml:space="preserve">27.1.5 </w:t>
      </w:r>
      <w:r>
        <w:rPr>
          <w:rFonts w:hint="eastAsia" w:ascii="宋体" w:hAnsi="宋体" w:eastAsia="宋体" w:cs="宋体"/>
          <w:color w:val="auto"/>
          <w:kern w:val="0"/>
          <w:sz w:val="24"/>
          <w:szCs w:val="24"/>
          <w:highlight w:val="none"/>
        </w:rPr>
        <w:t>响应文件含有采购人不能接受的附加条件的。</w:t>
      </w:r>
    </w:p>
    <w:p>
      <w:pPr>
        <w:pStyle w:val="50"/>
        <w:keepNext w:val="0"/>
        <w:keepLines w:val="0"/>
        <w:pageBreakBefore w:val="0"/>
        <w:widowControl w:val="0"/>
        <w:numPr>
          <w:ilvl w:val="0"/>
          <w:numId w:val="0"/>
        </w:numPr>
        <w:kinsoku/>
        <w:wordWrap/>
        <w:overflowPunct/>
        <w:topLinePunct w:val="0"/>
        <w:autoSpaceDE w:val="0"/>
        <w:autoSpaceDN w:val="0"/>
        <w:bidi w:val="0"/>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SA"/>
        </w:rPr>
        <w:t xml:space="preserve">27.2 </w:t>
      </w:r>
      <w:r>
        <w:rPr>
          <w:rFonts w:hint="eastAsia" w:ascii="宋体" w:hAnsi="宋体" w:eastAsia="宋体" w:cs="宋体"/>
          <w:color w:val="auto"/>
          <w:kern w:val="0"/>
          <w:sz w:val="24"/>
          <w:szCs w:val="24"/>
          <w:highlight w:val="none"/>
        </w:rPr>
        <w:t>根据《河南省财政厅关于防范供应商串通投标促进政府采购公平竞争的通知》（豫财购﹝2021﹞6号）要求，参与同一个标段的供应商存在下列情形之一的，其投标文件无效：</w:t>
      </w:r>
    </w:p>
    <w:p>
      <w:pPr>
        <w:pStyle w:val="50"/>
        <w:keepNext w:val="0"/>
        <w:keepLines w:val="0"/>
        <w:pageBreakBefore w:val="0"/>
        <w:widowControl w:val="0"/>
        <w:numPr>
          <w:ilvl w:val="0"/>
          <w:numId w:val="36"/>
        </w:numPr>
        <w:kinsoku/>
        <w:wordWrap/>
        <w:overflowPunct/>
        <w:topLinePunct w:val="0"/>
        <w:autoSpaceDE w:val="0"/>
        <w:autoSpaceDN w:val="0"/>
        <w:bidi w:val="0"/>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不同供应商的电子响应文件上传计算机的网卡MAC地址、CPU序列号和硬盘序列号等硬件信息相同的；</w:t>
      </w:r>
    </w:p>
    <w:p>
      <w:pPr>
        <w:pStyle w:val="50"/>
        <w:keepNext w:val="0"/>
        <w:keepLines w:val="0"/>
        <w:pageBreakBefore w:val="0"/>
        <w:widowControl w:val="0"/>
        <w:numPr>
          <w:ilvl w:val="0"/>
          <w:numId w:val="0"/>
        </w:numPr>
        <w:kinsoku/>
        <w:wordWrap/>
        <w:overflowPunct/>
        <w:topLinePunct w:val="0"/>
        <w:autoSpaceDE w:val="0"/>
        <w:autoSpaceDN w:val="0"/>
        <w:bidi w:val="0"/>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 xml:space="preserve">27.2.2 </w:t>
      </w:r>
      <w:r>
        <w:rPr>
          <w:rFonts w:hint="eastAsia" w:ascii="宋体" w:hAnsi="宋体" w:eastAsia="宋体" w:cs="宋体"/>
          <w:color w:val="auto"/>
          <w:kern w:val="0"/>
          <w:sz w:val="24"/>
          <w:szCs w:val="24"/>
          <w:highlight w:val="none"/>
        </w:rPr>
        <w:t>不同供应商的响应文件由同一电子设备编制、打印加密或者上传；</w:t>
      </w:r>
    </w:p>
    <w:p>
      <w:pPr>
        <w:pStyle w:val="50"/>
        <w:keepNext w:val="0"/>
        <w:keepLines w:val="0"/>
        <w:pageBreakBefore w:val="0"/>
        <w:widowControl w:val="0"/>
        <w:numPr>
          <w:ilvl w:val="0"/>
          <w:numId w:val="0"/>
        </w:numPr>
        <w:kinsoku/>
        <w:wordWrap/>
        <w:overflowPunct/>
        <w:topLinePunct w:val="0"/>
        <w:autoSpaceDE w:val="0"/>
        <w:autoSpaceDN w:val="0"/>
        <w:bidi w:val="0"/>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 xml:space="preserve">27.2.3 </w:t>
      </w:r>
      <w:r>
        <w:rPr>
          <w:rFonts w:hint="eastAsia" w:ascii="宋体" w:hAnsi="宋体" w:eastAsia="宋体" w:cs="宋体"/>
          <w:color w:val="auto"/>
          <w:kern w:val="0"/>
          <w:sz w:val="24"/>
          <w:szCs w:val="24"/>
          <w:highlight w:val="none"/>
        </w:rPr>
        <w:t>不同供应商的响应文件由同一电子设备打印、复印；</w:t>
      </w:r>
    </w:p>
    <w:p>
      <w:pPr>
        <w:pStyle w:val="50"/>
        <w:keepNext w:val="0"/>
        <w:keepLines w:val="0"/>
        <w:pageBreakBefore w:val="0"/>
        <w:widowControl w:val="0"/>
        <w:numPr>
          <w:ilvl w:val="0"/>
          <w:numId w:val="0"/>
        </w:numPr>
        <w:kinsoku/>
        <w:wordWrap/>
        <w:overflowPunct/>
        <w:topLinePunct w:val="0"/>
        <w:autoSpaceDE w:val="0"/>
        <w:autoSpaceDN w:val="0"/>
        <w:bidi w:val="0"/>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 xml:space="preserve">27.2.4 </w:t>
      </w:r>
      <w:r>
        <w:rPr>
          <w:rFonts w:hint="eastAsia" w:ascii="宋体" w:hAnsi="宋体" w:eastAsia="宋体" w:cs="宋体"/>
          <w:color w:val="auto"/>
          <w:kern w:val="0"/>
          <w:sz w:val="24"/>
          <w:szCs w:val="24"/>
          <w:highlight w:val="none"/>
        </w:rPr>
        <w:t>不同供应商的响应文件由同一人送达或者分发，或者不同供应商联系人为同一人或不同联系人的联系电话一致的；</w:t>
      </w:r>
    </w:p>
    <w:p>
      <w:pPr>
        <w:pStyle w:val="50"/>
        <w:keepNext w:val="0"/>
        <w:keepLines w:val="0"/>
        <w:pageBreakBefore w:val="0"/>
        <w:widowControl w:val="0"/>
        <w:numPr>
          <w:ilvl w:val="0"/>
          <w:numId w:val="0"/>
        </w:numPr>
        <w:kinsoku/>
        <w:wordWrap/>
        <w:overflowPunct/>
        <w:topLinePunct w:val="0"/>
        <w:autoSpaceDE w:val="0"/>
        <w:autoSpaceDN w:val="0"/>
        <w:bidi w:val="0"/>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 xml:space="preserve">27.2.5 </w:t>
      </w:r>
      <w:r>
        <w:rPr>
          <w:rFonts w:hint="eastAsia" w:ascii="宋体" w:hAnsi="宋体" w:eastAsia="宋体" w:cs="宋体"/>
          <w:color w:val="auto"/>
          <w:kern w:val="0"/>
          <w:sz w:val="24"/>
          <w:szCs w:val="24"/>
          <w:highlight w:val="none"/>
        </w:rPr>
        <w:t>不同供应商的响应文件的内容存在两处以上细节错误一致；</w:t>
      </w:r>
    </w:p>
    <w:p>
      <w:pPr>
        <w:pStyle w:val="50"/>
        <w:keepNext w:val="0"/>
        <w:keepLines w:val="0"/>
        <w:pageBreakBefore w:val="0"/>
        <w:widowControl w:val="0"/>
        <w:numPr>
          <w:ilvl w:val="0"/>
          <w:numId w:val="0"/>
        </w:numPr>
        <w:kinsoku/>
        <w:wordWrap/>
        <w:overflowPunct/>
        <w:topLinePunct w:val="0"/>
        <w:autoSpaceDE w:val="0"/>
        <w:autoSpaceDN w:val="0"/>
        <w:bidi w:val="0"/>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 xml:space="preserve">27.2.6 </w:t>
      </w:r>
      <w:r>
        <w:rPr>
          <w:rFonts w:hint="eastAsia" w:ascii="宋体" w:hAnsi="宋体" w:eastAsia="宋体" w:cs="宋体"/>
          <w:color w:val="auto"/>
          <w:kern w:val="0"/>
          <w:sz w:val="24"/>
          <w:szCs w:val="24"/>
          <w:highlight w:val="none"/>
        </w:rPr>
        <w:t>不同供应商的法定代表人、委托代理人、项目经理、项目负责人等由同一个单位缴纳社会保险或者领取报酬的；</w:t>
      </w:r>
    </w:p>
    <w:p>
      <w:pPr>
        <w:pStyle w:val="50"/>
        <w:keepNext w:val="0"/>
        <w:keepLines w:val="0"/>
        <w:pageBreakBefore w:val="0"/>
        <w:widowControl w:val="0"/>
        <w:numPr>
          <w:ilvl w:val="0"/>
          <w:numId w:val="0"/>
        </w:numPr>
        <w:kinsoku/>
        <w:wordWrap/>
        <w:overflowPunct/>
        <w:topLinePunct w:val="0"/>
        <w:autoSpaceDE w:val="0"/>
        <w:autoSpaceDN w:val="0"/>
        <w:bidi w:val="0"/>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 xml:space="preserve">27.2.7 </w:t>
      </w:r>
      <w:r>
        <w:rPr>
          <w:rFonts w:hint="eastAsia" w:ascii="宋体" w:hAnsi="宋体" w:eastAsia="宋体" w:cs="宋体"/>
          <w:color w:val="auto"/>
          <w:kern w:val="0"/>
          <w:sz w:val="24"/>
          <w:szCs w:val="24"/>
          <w:highlight w:val="none"/>
        </w:rPr>
        <w:t>不同供应商响应文件中法定代表人或者负责人签字出自同一人之手；</w:t>
      </w:r>
    </w:p>
    <w:p>
      <w:pPr>
        <w:pStyle w:val="50"/>
        <w:keepNext w:val="0"/>
        <w:keepLines w:val="0"/>
        <w:pageBreakBefore w:val="0"/>
        <w:widowControl w:val="0"/>
        <w:numPr>
          <w:ilvl w:val="0"/>
          <w:numId w:val="0"/>
        </w:numPr>
        <w:kinsoku/>
        <w:wordWrap/>
        <w:overflowPunct/>
        <w:topLinePunct w:val="0"/>
        <w:autoSpaceDE w:val="0"/>
        <w:autoSpaceDN w:val="0"/>
        <w:bidi w:val="0"/>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27.2.8 其他</w:t>
      </w:r>
      <w:r>
        <w:rPr>
          <w:rFonts w:hint="eastAsia" w:ascii="宋体" w:hAnsi="宋体" w:eastAsia="宋体" w:cs="宋体"/>
          <w:color w:val="auto"/>
          <w:kern w:val="0"/>
          <w:sz w:val="24"/>
          <w:szCs w:val="24"/>
          <w:highlight w:val="none"/>
        </w:rPr>
        <w:t>涉嫌串通的情形。</w:t>
      </w:r>
    </w:p>
    <w:p>
      <w:pPr>
        <w:pStyle w:val="50"/>
        <w:keepNext w:val="0"/>
        <w:keepLines w:val="0"/>
        <w:pageBreakBefore w:val="0"/>
        <w:widowControl w:val="0"/>
        <w:numPr>
          <w:ilvl w:val="0"/>
          <w:numId w:val="0"/>
        </w:numPr>
        <w:kinsoku/>
        <w:wordWrap/>
        <w:overflowPunct/>
        <w:topLinePunct w:val="0"/>
        <w:autoSpaceDE w:val="0"/>
        <w:autoSpaceDN w:val="0"/>
        <w:bidi w:val="0"/>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SA"/>
        </w:rPr>
        <w:t xml:space="preserve">27. 3 </w:t>
      </w:r>
      <w:r>
        <w:rPr>
          <w:rFonts w:hint="eastAsia" w:ascii="宋体" w:hAnsi="宋体" w:eastAsia="宋体" w:cs="宋体"/>
          <w:color w:val="auto"/>
          <w:kern w:val="0"/>
          <w:sz w:val="24"/>
          <w:szCs w:val="24"/>
          <w:highlight w:val="none"/>
        </w:rPr>
        <w:t>有下列情形之一的，视为供应商串通谈判，其响应无效：</w:t>
      </w:r>
    </w:p>
    <w:p>
      <w:pPr>
        <w:pStyle w:val="50"/>
        <w:keepNext w:val="0"/>
        <w:keepLines w:val="0"/>
        <w:pageBreakBefore w:val="0"/>
        <w:widowControl w:val="0"/>
        <w:numPr>
          <w:ilvl w:val="0"/>
          <w:numId w:val="37"/>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不同供应商的响应文件由同一单位或者个人编制；</w:t>
      </w:r>
    </w:p>
    <w:p>
      <w:pPr>
        <w:pStyle w:val="50"/>
        <w:keepNext w:val="0"/>
        <w:keepLines w:val="0"/>
        <w:pageBreakBefore w:val="0"/>
        <w:widowControl w:val="0"/>
        <w:numPr>
          <w:ilvl w:val="0"/>
          <w:numId w:val="0"/>
        </w:numPr>
        <w:kinsoku/>
        <w:wordWrap/>
        <w:overflowPunct/>
        <w:topLinePunct w:val="0"/>
        <w:autoSpaceDE w:val="0"/>
        <w:autoSpaceDN w:val="0"/>
        <w:bidi w:val="0"/>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 xml:space="preserve">27.3.2 </w:t>
      </w:r>
      <w:r>
        <w:rPr>
          <w:rFonts w:hint="eastAsia" w:ascii="宋体" w:hAnsi="宋体" w:eastAsia="宋体" w:cs="宋体"/>
          <w:color w:val="auto"/>
          <w:kern w:val="0"/>
          <w:sz w:val="24"/>
          <w:szCs w:val="24"/>
          <w:highlight w:val="none"/>
        </w:rPr>
        <w:t>不同供应商委托同一单位或者个人办理响应事宜；</w:t>
      </w:r>
    </w:p>
    <w:p>
      <w:pPr>
        <w:pStyle w:val="50"/>
        <w:keepNext w:val="0"/>
        <w:keepLines w:val="0"/>
        <w:pageBreakBefore w:val="0"/>
        <w:widowControl w:val="0"/>
        <w:numPr>
          <w:ilvl w:val="0"/>
          <w:numId w:val="0"/>
        </w:numPr>
        <w:kinsoku/>
        <w:wordWrap/>
        <w:overflowPunct/>
        <w:topLinePunct w:val="0"/>
        <w:autoSpaceDE w:val="0"/>
        <w:autoSpaceDN w:val="0"/>
        <w:bidi w:val="0"/>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 xml:space="preserve">27.3.3 </w:t>
      </w:r>
      <w:r>
        <w:rPr>
          <w:rFonts w:hint="eastAsia" w:ascii="宋体" w:hAnsi="宋体" w:eastAsia="宋体" w:cs="宋体"/>
          <w:color w:val="auto"/>
          <w:kern w:val="0"/>
          <w:sz w:val="24"/>
          <w:szCs w:val="24"/>
          <w:highlight w:val="none"/>
        </w:rPr>
        <w:t>不同供应商的响应文件载明的项目管理成员或者联系人员为同一人；</w:t>
      </w:r>
    </w:p>
    <w:p>
      <w:pPr>
        <w:pStyle w:val="50"/>
        <w:keepNext w:val="0"/>
        <w:keepLines w:val="0"/>
        <w:pageBreakBefore w:val="0"/>
        <w:widowControl w:val="0"/>
        <w:numPr>
          <w:ilvl w:val="0"/>
          <w:numId w:val="0"/>
        </w:numPr>
        <w:kinsoku/>
        <w:wordWrap/>
        <w:overflowPunct/>
        <w:topLinePunct w:val="0"/>
        <w:autoSpaceDE w:val="0"/>
        <w:autoSpaceDN w:val="0"/>
        <w:bidi w:val="0"/>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 xml:space="preserve">27.3.4 </w:t>
      </w:r>
      <w:r>
        <w:rPr>
          <w:rFonts w:hint="eastAsia" w:ascii="宋体" w:hAnsi="宋体" w:eastAsia="宋体" w:cs="宋体"/>
          <w:color w:val="auto"/>
          <w:kern w:val="0"/>
          <w:sz w:val="24"/>
          <w:szCs w:val="24"/>
          <w:highlight w:val="none"/>
        </w:rPr>
        <w:t>不同供应商的响应文件异常一致或者投标报价呈规律性差异；</w:t>
      </w:r>
    </w:p>
    <w:p>
      <w:pPr>
        <w:pStyle w:val="50"/>
        <w:keepNext w:val="0"/>
        <w:keepLines w:val="0"/>
        <w:pageBreakBefore w:val="0"/>
        <w:widowControl w:val="0"/>
        <w:numPr>
          <w:ilvl w:val="0"/>
          <w:numId w:val="0"/>
        </w:numPr>
        <w:kinsoku/>
        <w:wordWrap/>
        <w:overflowPunct/>
        <w:topLinePunct w:val="0"/>
        <w:autoSpaceDE w:val="0"/>
        <w:autoSpaceDN w:val="0"/>
        <w:bidi w:val="0"/>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 xml:space="preserve">27.3.5 </w:t>
      </w:r>
      <w:r>
        <w:rPr>
          <w:rFonts w:hint="eastAsia" w:ascii="宋体" w:hAnsi="宋体" w:eastAsia="宋体" w:cs="宋体"/>
          <w:color w:val="auto"/>
          <w:kern w:val="0"/>
          <w:sz w:val="24"/>
          <w:szCs w:val="24"/>
          <w:highlight w:val="none"/>
        </w:rPr>
        <w:t>不同供应商的响应文件相互混装。</w:t>
      </w:r>
    </w:p>
    <w:p>
      <w:pPr>
        <w:pStyle w:val="50"/>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0" w:leftChars="0" w:firstLine="480" w:firstLineChars="200"/>
        <w:contextualSpacing/>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 xml:space="preserve">27.4 </w:t>
      </w:r>
      <w:r>
        <w:rPr>
          <w:rFonts w:hint="eastAsia" w:ascii="宋体" w:hAnsi="宋体" w:eastAsia="宋体" w:cs="宋体"/>
          <w:color w:val="auto"/>
          <w:kern w:val="0"/>
          <w:sz w:val="24"/>
          <w:szCs w:val="24"/>
          <w:highlight w:val="none"/>
        </w:rPr>
        <w:t>谈判小组认为供应商的报价明显低于其他通过符合性审查供应商的报价，有可能影响产品质量或者不能诚信履约的，应当要求其在谈判现场合理的时间内提供书面说明，必要时提交相关证明材料；供应商不能证明其报价合理性的，谈判小组应当将其作为无效响应处理。</w:t>
      </w:r>
    </w:p>
    <w:p>
      <w:pPr>
        <w:pStyle w:val="50"/>
        <w:keepNext w:val="0"/>
        <w:keepLines w:val="0"/>
        <w:pageBreakBefore w:val="0"/>
        <w:widowControl w:val="0"/>
        <w:numPr>
          <w:ilvl w:val="0"/>
          <w:numId w:val="0"/>
        </w:numPr>
        <w:kinsoku/>
        <w:wordWrap/>
        <w:overflowPunct/>
        <w:topLinePunct w:val="0"/>
        <w:autoSpaceDE w:val="0"/>
        <w:autoSpaceDN w:val="0"/>
        <w:bidi w:val="0"/>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SA"/>
        </w:rPr>
        <w:t xml:space="preserve">27.5 </w:t>
      </w:r>
      <w:r>
        <w:rPr>
          <w:rFonts w:hint="eastAsia" w:ascii="宋体" w:hAnsi="宋体" w:eastAsia="宋体" w:cs="宋体"/>
          <w:color w:val="auto"/>
          <w:kern w:val="0"/>
          <w:sz w:val="24"/>
          <w:szCs w:val="24"/>
          <w:highlight w:val="none"/>
        </w:rPr>
        <w:t>按照《关于推进全流程电子化交易和在线监管工作有关问题的通知》（许公</w:t>
      </w:r>
      <w:r>
        <w:rPr>
          <w:rFonts w:hint="eastAsia" w:ascii="宋体" w:hAnsi="宋体" w:eastAsia="宋体" w:cs="宋体"/>
          <w:color w:val="auto"/>
          <w:kern w:val="0"/>
          <w:sz w:val="24"/>
          <w:szCs w:val="24"/>
          <w:highlight w:val="none"/>
          <w:lang w:eastAsia="zh-CN"/>
        </w:rPr>
        <w:t>管</w:t>
      </w:r>
      <w:r>
        <w:rPr>
          <w:rFonts w:hint="eastAsia" w:ascii="宋体" w:hAnsi="宋体" w:eastAsia="宋体" w:cs="宋体"/>
          <w:color w:val="auto"/>
          <w:kern w:val="0"/>
          <w:sz w:val="24"/>
          <w:szCs w:val="24"/>
          <w:highlight w:val="none"/>
        </w:rPr>
        <w:t>办</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20</w:t>
      </w: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9</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3号）规定，不同供应商电子响应文件制作硬件特征码（网卡MAC地址、CPU序号、硬盘序列号）均一致时，视为‘不同供应商的响应文件由同一单位或者个人编制’或‘不同供应商委托同一单位或者个人办理响应事宜’，其谈判响应无效。</w:t>
      </w:r>
    </w:p>
    <w:p>
      <w:pPr>
        <w:pStyle w:val="50"/>
        <w:keepNext w:val="0"/>
        <w:keepLines w:val="0"/>
        <w:pageBreakBefore w:val="0"/>
        <w:widowControl w:val="0"/>
        <w:numPr>
          <w:ilvl w:val="0"/>
          <w:numId w:val="0"/>
        </w:numPr>
        <w:kinsoku/>
        <w:wordWrap/>
        <w:overflowPunct/>
        <w:topLinePunct w:val="0"/>
        <w:autoSpaceDE w:val="0"/>
        <w:autoSpaceDN w:val="0"/>
        <w:bidi w:val="0"/>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SA"/>
        </w:rPr>
        <w:t>27.6 法律法规</w:t>
      </w:r>
      <w:r>
        <w:rPr>
          <w:rFonts w:hint="eastAsia" w:ascii="宋体" w:hAnsi="宋体" w:eastAsia="宋体" w:cs="宋体"/>
          <w:color w:val="auto"/>
          <w:kern w:val="0"/>
          <w:sz w:val="24"/>
          <w:szCs w:val="24"/>
          <w:highlight w:val="none"/>
        </w:rPr>
        <w:t>和</w:t>
      </w:r>
      <w:r>
        <w:rPr>
          <w:rFonts w:hint="eastAsia" w:ascii="宋体" w:hAnsi="宋体" w:eastAsia="宋体" w:cs="宋体"/>
          <w:color w:val="auto"/>
          <w:kern w:val="0"/>
          <w:sz w:val="24"/>
          <w:szCs w:val="24"/>
          <w:highlight w:val="none"/>
          <w:lang w:eastAsia="zh-CN"/>
        </w:rPr>
        <w:t>谈判</w:t>
      </w:r>
      <w:r>
        <w:rPr>
          <w:rFonts w:hint="eastAsia" w:ascii="宋体" w:hAnsi="宋体" w:eastAsia="宋体" w:cs="宋体"/>
          <w:color w:val="auto"/>
          <w:kern w:val="0"/>
          <w:sz w:val="24"/>
          <w:szCs w:val="24"/>
          <w:highlight w:val="none"/>
        </w:rPr>
        <w:t>文件规定的其他无效情形。</w:t>
      </w:r>
    </w:p>
    <w:p>
      <w:pPr>
        <w:pStyle w:val="50"/>
        <w:keepNext w:val="0"/>
        <w:keepLines w:val="0"/>
        <w:pageBreakBefore w:val="0"/>
        <w:widowControl w:val="0"/>
        <w:numPr>
          <w:ilvl w:val="0"/>
          <w:numId w:val="0"/>
        </w:numPr>
        <w:kinsoku/>
        <w:wordWrap/>
        <w:overflowPunct/>
        <w:topLinePunct w:val="0"/>
        <w:autoSpaceDE w:val="0"/>
        <w:autoSpaceDN w:val="0"/>
        <w:bidi w:val="0"/>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lang w:val="en-US" w:eastAsia="zh-CN"/>
        </w:rPr>
      </w:pPr>
      <w:r>
        <w:rPr>
          <w:rFonts w:hint="eastAsia" w:ascii="宋体" w:hAnsi="宋体" w:eastAsia="宋体" w:cs="宋体"/>
          <w:b/>
          <w:color w:val="auto"/>
          <w:kern w:val="0"/>
          <w:sz w:val="24"/>
          <w:szCs w:val="24"/>
          <w:highlight w:val="none"/>
          <w:lang w:val="en-US" w:eastAsia="zh-CN"/>
        </w:rPr>
        <w:t>28.响应文件评审与谈判</w:t>
      </w:r>
    </w:p>
    <w:p>
      <w:pPr>
        <w:pStyle w:val="50"/>
        <w:keepNext w:val="0"/>
        <w:keepLines w:val="0"/>
        <w:pageBreakBefore w:val="0"/>
        <w:widowControl w:val="0"/>
        <w:numPr>
          <w:ilvl w:val="0"/>
          <w:numId w:val="38"/>
        </w:numPr>
        <w:kinsoku/>
        <w:wordWrap/>
        <w:overflowPunct/>
        <w:topLinePunct w:val="0"/>
        <w:autoSpaceDE w:val="0"/>
        <w:autoSpaceDN w:val="0"/>
        <w:bidi w:val="0"/>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谈判小组应当对响应文件进行评审，并根据谈判文件规定的程序、评定成交的标准等事项与实质性响应谈判文件要求的供应商进行谈判。未实质性响应谈判文件的响应文件按无效处理，谈判小组应当告知有关供应商。</w:t>
      </w:r>
    </w:p>
    <w:p>
      <w:pPr>
        <w:pStyle w:val="50"/>
        <w:keepNext w:val="0"/>
        <w:keepLines w:val="0"/>
        <w:pageBreakBefore w:val="0"/>
        <w:widowControl w:val="0"/>
        <w:numPr>
          <w:ilvl w:val="0"/>
          <w:numId w:val="38"/>
        </w:numPr>
        <w:kinsoku/>
        <w:wordWrap/>
        <w:overflowPunct/>
        <w:topLinePunct w:val="0"/>
        <w:autoSpaceDE w:val="0"/>
        <w:autoSpaceDN w:val="0"/>
        <w:bidi w:val="0"/>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谈判小组所有成员应当集中与单一供应商分别进行谈判，并给予所有参加谈判的供应商平等的谈判机会。</w:t>
      </w:r>
    </w:p>
    <w:p>
      <w:pPr>
        <w:pStyle w:val="50"/>
        <w:keepNext w:val="0"/>
        <w:keepLines w:val="0"/>
        <w:pageBreakBefore w:val="0"/>
        <w:widowControl w:val="0"/>
        <w:numPr>
          <w:ilvl w:val="0"/>
          <w:numId w:val="38"/>
        </w:numPr>
        <w:kinsoku/>
        <w:wordWrap/>
        <w:overflowPunct/>
        <w:topLinePunct w:val="0"/>
        <w:autoSpaceDE w:val="0"/>
        <w:autoSpaceDN w:val="0"/>
        <w:bidi w:val="0"/>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在谈判中，谈判的任何一方不得透露与谈判有关的其他供应商的技术资料、价格和其他信息。</w:t>
      </w:r>
    </w:p>
    <w:p>
      <w:pPr>
        <w:pStyle w:val="50"/>
        <w:keepNext w:val="0"/>
        <w:keepLines w:val="0"/>
        <w:pageBreakBefore w:val="0"/>
        <w:widowControl w:val="0"/>
        <w:numPr>
          <w:ilvl w:val="0"/>
          <w:numId w:val="38"/>
        </w:numPr>
        <w:kinsoku/>
        <w:wordWrap/>
        <w:overflowPunct/>
        <w:topLinePunct w:val="0"/>
        <w:autoSpaceDE w:val="0"/>
        <w:autoSpaceDN w:val="0"/>
        <w:bidi w:val="0"/>
        <w:snapToGrid/>
        <w:spacing w:line="360" w:lineRule="auto"/>
        <w:ind w:left="0" w:leftChars="0" w:firstLine="480" w:firstLineChars="200"/>
        <w:contextualSpacing/>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谈判过程中，谈判小组可以根据谈判文件和谈判情况实质性变动采购需求中的技术、服务要求以及合同草案条款，但不得变动谈判文件中的其他内容。实质性变动的内容，须经采购人代表确认。对谈判文件作出的实质性变动是谈判文件的有效组成部分，谈判小组应当及时以书面形式同时通知所有参加谈判的供应商。</w:t>
      </w:r>
    </w:p>
    <w:p>
      <w:pPr>
        <w:pStyle w:val="50"/>
        <w:keepNext w:val="0"/>
        <w:keepLines w:val="0"/>
        <w:pageBreakBefore w:val="0"/>
        <w:widowControl w:val="0"/>
        <w:numPr>
          <w:ilvl w:val="0"/>
          <w:numId w:val="38"/>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按照谈判文件的变动情况和谈判小组的要求重新提交响应文件，并由其法定代表人或授权代表签字或者加盖公章。由授权代表签字的，应当附法定代表人授权书。供应商为自然人的，应当由本人签字并附身份证明。</w:t>
      </w:r>
    </w:p>
    <w:p>
      <w:pPr>
        <w:pStyle w:val="50"/>
        <w:keepNext w:val="0"/>
        <w:keepLines w:val="0"/>
        <w:pageBreakBefore w:val="0"/>
        <w:widowControl w:val="0"/>
        <w:numPr>
          <w:ilvl w:val="0"/>
          <w:numId w:val="38"/>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谈判文件能够详细列明采购标的的技术、服务要求的，谈判结束后，谈判小组应当要求所有继续参加谈判的供应商在规定时间内提交最后报价，提交最后报价的供应商不得少于3家</w:t>
      </w:r>
      <w:r>
        <w:rPr>
          <w:rFonts w:hint="eastAsia" w:ascii="宋体" w:hAnsi="宋体" w:eastAsia="宋体" w:cs="宋体"/>
          <w:color w:val="auto"/>
          <w:kern w:val="0"/>
          <w:sz w:val="24"/>
          <w:szCs w:val="24"/>
          <w:highlight w:val="none"/>
        </w:rPr>
        <w:t>（如符合《《政府采购非招标采购方式管理办法》》（财政部令第74号）第二十七条第二款中的</w:t>
      </w:r>
      <w:r>
        <w:rPr>
          <w:rFonts w:hint="eastAsia" w:ascii="宋体" w:hAnsi="宋体" w:eastAsia="宋体" w:cs="宋体"/>
          <w:color w:val="auto"/>
          <w:sz w:val="24"/>
          <w:szCs w:val="24"/>
          <w:highlight w:val="none"/>
          <w:shd w:val="clear" w:color="auto" w:fill="FFFFFF"/>
        </w:rPr>
        <w:t>情形的，</w:t>
      </w:r>
      <w:r>
        <w:rPr>
          <w:rFonts w:hint="eastAsia" w:ascii="宋体" w:hAnsi="宋体" w:eastAsia="宋体" w:cs="宋体"/>
          <w:color w:val="auto"/>
          <w:kern w:val="0"/>
          <w:sz w:val="24"/>
          <w:szCs w:val="24"/>
          <w:highlight w:val="none"/>
        </w:rPr>
        <w:t>供应商最低数量可以为两家）</w:t>
      </w:r>
      <w:r>
        <w:rPr>
          <w:rFonts w:hint="eastAsia" w:ascii="宋体" w:hAnsi="宋体" w:eastAsia="宋体" w:cs="宋体"/>
          <w:color w:val="auto"/>
          <w:kern w:val="0"/>
          <w:sz w:val="24"/>
          <w:szCs w:val="24"/>
          <w:highlight w:val="none"/>
          <w:lang w:eastAsia="zh-CN"/>
        </w:rPr>
        <w:t>。</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谈判文件不能详细列明采购标的的技术、服务要求，需经谈判由供应商提供最终设计方案或解决方案的，谈判结束后，谈判小组应当按照少数服从多数的原则投票推荐3家以上供应商的设计方案或者解决方案，并要求其在规定时间内提交最后报价。</w:t>
      </w:r>
    </w:p>
    <w:p>
      <w:pPr>
        <w:pStyle w:val="50"/>
        <w:keepNext w:val="0"/>
        <w:keepLines w:val="0"/>
        <w:pageBreakBefore w:val="0"/>
        <w:widowControl w:val="0"/>
        <w:numPr>
          <w:ilvl w:val="0"/>
          <w:numId w:val="38"/>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最后报价是供应商响应文件的有效组成部分。</w:t>
      </w:r>
    </w:p>
    <w:p>
      <w:pPr>
        <w:pStyle w:val="50"/>
        <w:keepNext w:val="0"/>
        <w:keepLines w:val="0"/>
        <w:pageBreakBefore w:val="0"/>
        <w:widowControl w:val="0"/>
        <w:numPr>
          <w:ilvl w:val="0"/>
          <w:numId w:val="38"/>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已提交响应文件的供应商，在提交最后报价之前，可以根据谈判情况退出谈判。</w:t>
      </w:r>
    </w:p>
    <w:p>
      <w:pPr>
        <w:pStyle w:val="5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val="en-US" w:eastAsia="zh-CN"/>
        </w:rPr>
        <w:t>29.</w:t>
      </w:r>
      <w:r>
        <w:rPr>
          <w:rFonts w:hint="eastAsia" w:ascii="宋体" w:hAnsi="宋体" w:eastAsia="宋体" w:cs="宋体"/>
          <w:b/>
          <w:color w:val="auto"/>
          <w:kern w:val="0"/>
          <w:sz w:val="24"/>
          <w:szCs w:val="24"/>
          <w:highlight w:val="none"/>
        </w:rPr>
        <w:t>评审方法与提出成交候选人</w:t>
      </w:r>
    </w:p>
    <w:p>
      <w:pPr>
        <w:pStyle w:val="50"/>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谈判小组应当从质量和服务均能满足采购文件实质性响应要求的供应商中，按照最后报价由低到高的顺序提出3名以上成交候选人，并编写评审报告。</w:t>
      </w:r>
    </w:p>
    <w:p>
      <w:pPr>
        <w:keepNext w:val="0"/>
        <w:keepLines w:val="0"/>
        <w:pageBreakBefore w:val="0"/>
        <w:widowControl w:val="0"/>
        <w:tabs>
          <w:tab w:val="left" w:pos="1260"/>
        </w:tabs>
        <w:kinsoku/>
        <w:wordWrap/>
        <w:overflowPunct/>
        <w:topLinePunct w:val="0"/>
        <w:autoSpaceDE w:val="0"/>
        <w:autoSpaceDN w:val="0"/>
        <w:bidi w:val="0"/>
        <w:adjustRightInd/>
        <w:snapToGrid/>
        <w:spacing w:line="360" w:lineRule="auto"/>
        <w:ind w:left="0" w:leftChars="0" w:firstLine="0" w:firstLineChars="0"/>
        <w:contextualSpacing/>
        <w:jc w:val="center"/>
        <w:textAlignment w:val="auto"/>
        <w:outlineLvl w:val="1"/>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六、确定成交供应商和授予合同</w:t>
      </w:r>
    </w:p>
    <w:p>
      <w:pPr>
        <w:pStyle w:val="5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val="en-US" w:eastAsia="zh-CN"/>
        </w:rPr>
        <w:t>30.</w:t>
      </w:r>
      <w:r>
        <w:rPr>
          <w:rFonts w:hint="eastAsia" w:ascii="宋体" w:hAnsi="宋体" w:eastAsia="宋体" w:cs="宋体"/>
          <w:b/>
          <w:color w:val="auto"/>
          <w:kern w:val="0"/>
          <w:sz w:val="24"/>
          <w:szCs w:val="24"/>
          <w:highlight w:val="none"/>
        </w:rPr>
        <w:t>确定成交供应商</w:t>
      </w:r>
    </w:p>
    <w:p>
      <w:pPr>
        <w:keepNext w:val="0"/>
        <w:keepLines w:val="0"/>
        <w:pageBreakBefore w:val="0"/>
        <w:tabs>
          <w:tab w:val="left" w:pos="1260"/>
        </w:tabs>
        <w:kinsoku/>
        <w:overflowPunct/>
        <w:autoSpaceDE w:val="0"/>
        <w:autoSpaceDN w:val="0"/>
        <w:bidi w:val="0"/>
        <w:snapToGrid/>
        <w:spacing w:line="360" w:lineRule="auto"/>
        <w:ind w:left="0" w:firstLine="482" w:firstLineChars="200"/>
        <w:contextualSpacing/>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为进一步优化营商环境，加快政府采购实施进度，采购人委托评审委员会在推荐的中标（成交）候选人名单中直接按顺序确定中标（成交）人。</w:t>
      </w:r>
    </w:p>
    <w:p>
      <w:pPr>
        <w:keepNext w:val="0"/>
        <w:keepLines w:val="0"/>
        <w:pageBreakBefore w:val="0"/>
        <w:tabs>
          <w:tab w:val="left" w:pos="1260"/>
        </w:tabs>
        <w:kinsoku/>
        <w:overflowPunct/>
        <w:autoSpaceDE w:val="0"/>
        <w:autoSpaceDN w:val="0"/>
        <w:bidi w:val="0"/>
        <w:snapToGrid/>
        <w:spacing w:line="360" w:lineRule="auto"/>
        <w:ind w:left="0" w:firstLine="482" w:firstLineChars="200"/>
        <w:contextualSpacing/>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3</w:t>
      </w:r>
      <w:r>
        <w:rPr>
          <w:rFonts w:hint="eastAsia" w:ascii="宋体" w:hAnsi="宋体" w:eastAsia="宋体" w:cs="宋体"/>
          <w:b/>
          <w:color w:val="auto"/>
          <w:sz w:val="24"/>
          <w:szCs w:val="24"/>
          <w:highlight w:val="none"/>
          <w:lang w:val="en-US" w:eastAsia="zh-CN"/>
        </w:rPr>
        <w:t>1</w:t>
      </w:r>
      <w:r>
        <w:rPr>
          <w:rFonts w:hint="eastAsia" w:ascii="宋体" w:hAnsi="宋体" w:eastAsia="宋体" w:cs="宋体"/>
          <w:b/>
          <w:color w:val="auto"/>
          <w:sz w:val="24"/>
          <w:szCs w:val="24"/>
          <w:highlight w:val="none"/>
          <w:lang w:val="zh-CN"/>
        </w:rPr>
        <w:t>. 中标公告、发出中标（成交）通知书</w:t>
      </w:r>
    </w:p>
    <w:p>
      <w:pPr>
        <w:keepNext w:val="0"/>
        <w:keepLines w:val="0"/>
        <w:pageBreakBefore w:val="0"/>
        <w:tabs>
          <w:tab w:val="left" w:pos="1260"/>
        </w:tabs>
        <w:kinsoku/>
        <w:overflowPunct/>
        <w:autoSpaceDE w:val="0"/>
        <w:autoSpaceDN w:val="0"/>
        <w:bidi w:val="0"/>
        <w:snapToGrid/>
        <w:spacing w:line="360" w:lineRule="auto"/>
        <w:ind w:left="0" w:firstLine="480" w:firstLineChars="200"/>
        <w:contextualSpacing/>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rPr>
        <w:t>.1 依据评标委员会的评审结果，在评审结束当日在</w:t>
      </w:r>
      <w:r>
        <w:rPr>
          <w:rFonts w:hint="eastAsia" w:ascii="宋体" w:hAnsi="宋体" w:eastAsia="宋体" w:cs="宋体"/>
          <w:b/>
          <w:bCs/>
          <w:color w:val="auto"/>
          <w:sz w:val="24"/>
          <w:szCs w:val="24"/>
          <w:highlight w:val="none"/>
          <w:lang w:eastAsia="zh-CN"/>
        </w:rPr>
        <w:t>《中国政府采购网》</w:t>
      </w:r>
      <w:r>
        <w:rPr>
          <w:rFonts w:hint="eastAsia" w:ascii="宋体" w:hAnsi="宋体" w:eastAsia="宋体" w:cs="宋体"/>
          <w:b/>
          <w:bCs/>
          <w:color w:val="auto"/>
          <w:sz w:val="24"/>
          <w:szCs w:val="24"/>
          <w:highlight w:val="none"/>
        </w:rPr>
        <w:t>《河南省政府采购网》《全国公共资源交易平台（河南省•许昌市）》</w:t>
      </w:r>
      <w:r>
        <w:rPr>
          <w:rFonts w:hint="eastAsia" w:ascii="宋体" w:hAnsi="宋体" w:eastAsia="宋体" w:cs="宋体"/>
          <w:color w:val="auto"/>
          <w:sz w:val="24"/>
          <w:szCs w:val="24"/>
          <w:highlight w:val="none"/>
          <w:lang w:val="zh-CN"/>
        </w:rPr>
        <w:t>发布中标（成交）公告，并下发中标（成交）通知书、签订采购合同。</w:t>
      </w:r>
    </w:p>
    <w:p>
      <w:pPr>
        <w:keepNext w:val="0"/>
        <w:keepLines w:val="0"/>
        <w:pageBreakBefore w:val="0"/>
        <w:tabs>
          <w:tab w:val="left" w:pos="1260"/>
        </w:tabs>
        <w:kinsoku/>
        <w:overflowPunct/>
        <w:autoSpaceDE w:val="0"/>
        <w:autoSpaceDN w:val="0"/>
        <w:bidi w:val="0"/>
        <w:snapToGrid/>
        <w:spacing w:line="360" w:lineRule="auto"/>
        <w:ind w:left="0" w:firstLine="480" w:firstLineChars="200"/>
        <w:contextualSpacing/>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rPr>
        <w:t>.2 中标（成交）通知书发出后，采购人不得违法改变中标（成交）结果，中标（成交）人无正当理由不得放弃中标。</w:t>
      </w:r>
    </w:p>
    <w:p>
      <w:pPr>
        <w:keepNext w:val="0"/>
        <w:keepLines w:val="0"/>
        <w:pageBreakBefore w:val="0"/>
        <w:tabs>
          <w:tab w:val="left" w:pos="1260"/>
        </w:tabs>
        <w:kinsoku/>
        <w:overflowPunct/>
        <w:autoSpaceDE w:val="0"/>
        <w:autoSpaceDN w:val="0"/>
        <w:bidi w:val="0"/>
        <w:snapToGrid/>
        <w:spacing w:line="360" w:lineRule="auto"/>
        <w:ind w:left="0" w:firstLine="480" w:firstLineChars="200"/>
        <w:contextualSpacing/>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31.3  成交供应商应在中标公告发布后1个工作日（有特殊原因的，须提前向采购人和代理机构书面说明情况）内到代理机构领取中标（成交）通知书，供应商须对此作出承诺，否则为无效投标。</w:t>
      </w:r>
    </w:p>
    <w:p>
      <w:pPr>
        <w:pStyle w:val="5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val="en-US" w:eastAsia="zh-CN"/>
        </w:rPr>
        <w:t>32.</w:t>
      </w:r>
      <w:r>
        <w:rPr>
          <w:rFonts w:hint="eastAsia" w:ascii="宋体" w:hAnsi="宋体" w:eastAsia="宋体" w:cs="宋体"/>
          <w:b/>
          <w:color w:val="auto"/>
          <w:kern w:val="0"/>
          <w:sz w:val="24"/>
          <w:szCs w:val="24"/>
          <w:highlight w:val="none"/>
        </w:rPr>
        <w:t>终止采购活动的情形</w:t>
      </w:r>
    </w:p>
    <w:p>
      <w:pPr>
        <w:pStyle w:val="50"/>
        <w:keepNext w:val="0"/>
        <w:keepLines w:val="0"/>
        <w:pageBreakBefore w:val="0"/>
        <w:widowControl w:val="0"/>
        <w:numPr>
          <w:ilvl w:val="0"/>
          <w:numId w:val="39"/>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 xml:space="preserve">1 </w:t>
      </w:r>
      <w:r>
        <w:rPr>
          <w:rFonts w:hint="eastAsia" w:ascii="宋体" w:hAnsi="宋体" w:eastAsia="宋体" w:cs="宋体"/>
          <w:color w:val="auto"/>
          <w:sz w:val="24"/>
          <w:szCs w:val="24"/>
          <w:highlight w:val="none"/>
        </w:rPr>
        <w:t>在谈判采购中，出现下列情形之一的，采购人应当终止竞争性谈判采购活动，发布项目终止公告并说明原因，重新开展采购活动：</w:t>
      </w:r>
    </w:p>
    <w:p>
      <w:pPr>
        <w:pStyle w:val="5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firstLine="480" w:firstLineChars="200"/>
        <w:contextualSpacing/>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 xml:space="preserve">32.2.1 </w:t>
      </w:r>
      <w:r>
        <w:rPr>
          <w:rFonts w:hint="eastAsia" w:ascii="宋体" w:hAnsi="宋体" w:eastAsia="宋体" w:cs="宋体"/>
          <w:color w:val="auto"/>
          <w:sz w:val="24"/>
          <w:szCs w:val="24"/>
          <w:highlight w:val="none"/>
        </w:rPr>
        <w:t>因情况变化，不再符合规定的竞争性谈判采购方式适用情形的；</w:t>
      </w:r>
    </w:p>
    <w:p>
      <w:pPr>
        <w:pStyle w:val="5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 xml:space="preserve">32.2.2 </w:t>
      </w:r>
      <w:r>
        <w:rPr>
          <w:rFonts w:hint="eastAsia" w:ascii="宋体" w:hAnsi="宋体" w:eastAsia="宋体" w:cs="宋体"/>
          <w:color w:val="auto"/>
          <w:sz w:val="24"/>
          <w:szCs w:val="24"/>
          <w:highlight w:val="none"/>
        </w:rPr>
        <w:t>出现影响采购公正的违法、违规行为的；</w:t>
      </w:r>
    </w:p>
    <w:p>
      <w:pPr>
        <w:pStyle w:val="5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 xml:space="preserve">32.2.3 </w:t>
      </w:r>
      <w:r>
        <w:rPr>
          <w:rFonts w:hint="eastAsia" w:ascii="宋体" w:hAnsi="宋体" w:eastAsia="宋体" w:cs="宋体"/>
          <w:color w:val="auto"/>
          <w:sz w:val="24"/>
          <w:szCs w:val="24"/>
          <w:highlight w:val="none"/>
        </w:rPr>
        <w:t>在采购过程中符合竞争要求的供应商或者报价未超过采购预算的供应商不足3家的，但《政府采购非招标采购方式管理办法》第二十七条第二款规定的情形除外。</w:t>
      </w:r>
    </w:p>
    <w:p>
      <w:pPr>
        <w:pStyle w:val="5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val="en-US" w:eastAsia="zh-CN"/>
        </w:rPr>
        <w:t>33.</w:t>
      </w:r>
      <w:r>
        <w:rPr>
          <w:rFonts w:hint="eastAsia" w:ascii="宋体" w:hAnsi="宋体" w:eastAsia="宋体" w:cs="宋体"/>
          <w:b/>
          <w:color w:val="auto"/>
          <w:kern w:val="0"/>
          <w:sz w:val="24"/>
          <w:szCs w:val="24"/>
          <w:highlight w:val="none"/>
        </w:rPr>
        <w:t>质疑提出与答复</w:t>
      </w:r>
    </w:p>
    <w:p>
      <w:pPr>
        <w:pStyle w:val="50"/>
        <w:keepNext w:val="0"/>
        <w:keepLines w:val="0"/>
        <w:pageBreakBefore w:val="0"/>
        <w:widowControl w:val="0"/>
        <w:numPr>
          <w:ilvl w:val="0"/>
          <w:numId w:val="40"/>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认为谈判文件、采购过程和成交结果使自己的权益受到损害的，可以按照《政府采购质疑和投诉办法》（财政部令第94号）质疑。质疑的供应商应当是参与本项目采购活动的供应商。提出时应按照《政府采购质疑和投诉办法》（财政部令第94号）第十二条规定提交质疑函和必要的证明材料，如未提出视为全面接受。</w:t>
      </w:r>
    </w:p>
    <w:p>
      <w:pPr>
        <w:pStyle w:val="50"/>
        <w:keepNext w:val="0"/>
        <w:keepLines w:val="0"/>
        <w:pageBreakBefore w:val="0"/>
        <w:widowControl w:val="0"/>
        <w:numPr>
          <w:ilvl w:val="0"/>
          <w:numId w:val="41"/>
        </w:numPr>
        <w:kinsoku/>
        <w:wordWrap/>
        <w:overflowPunct/>
        <w:topLinePunct w:val="0"/>
        <w:autoSpaceDE w:val="0"/>
        <w:autoSpaceDN w:val="0"/>
        <w:bidi w:val="0"/>
        <w:adjustRightInd/>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对谈判文件提出质疑的，供应商应已依法获取谈判文件，且应当在获取谈判文件或者谈判文件公告期限届满之日起7个工作日内使用CA数字证书登录《全国公共资源交易平台（河南省·许昌市）》，通过许昌公共资源交易系统一次性提出，逾期提交或未按照要求提交的质疑函将不予受理。质疑提出后潜在投标人应及时联系招标公告中</w:t>
      </w:r>
      <w:r>
        <w:rPr>
          <w:rFonts w:hint="eastAsia" w:ascii="宋体" w:hAnsi="宋体" w:eastAsia="宋体" w:cs="宋体"/>
          <w:color w:val="auto"/>
          <w:kern w:val="0"/>
          <w:sz w:val="24"/>
          <w:szCs w:val="24"/>
          <w:highlight w:val="none"/>
          <w:lang w:eastAsia="zh-CN"/>
        </w:rPr>
        <w:t>采购代理</w:t>
      </w:r>
      <w:r>
        <w:rPr>
          <w:rFonts w:hint="eastAsia" w:ascii="宋体" w:hAnsi="宋体" w:eastAsia="宋体" w:cs="宋体"/>
          <w:color w:val="auto"/>
          <w:kern w:val="0"/>
          <w:sz w:val="24"/>
          <w:szCs w:val="24"/>
          <w:highlight w:val="none"/>
        </w:rPr>
        <w:t>机构联系人查看。</w:t>
      </w:r>
    </w:p>
    <w:p>
      <w:pPr>
        <w:pStyle w:val="50"/>
        <w:keepNext w:val="0"/>
        <w:keepLines w:val="0"/>
        <w:pageBreakBefore w:val="0"/>
        <w:widowControl w:val="0"/>
        <w:numPr>
          <w:ilvl w:val="0"/>
          <w:numId w:val="42"/>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对采购过程提出质疑的，为各采购程序环节结束之日起七个工作日内，投标人使用CA数字证书登录《全国公共资源交易平台（河南省·许昌市）》，通过许昌公共资源交易系统一次性提出，逾期提交或未按照要求提交的质疑函将不予受理。质疑提出后投标人应及时联系招标公告中</w:t>
      </w:r>
      <w:r>
        <w:rPr>
          <w:rFonts w:hint="eastAsia" w:ascii="宋体" w:hAnsi="宋体" w:eastAsia="宋体" w:cs="宋体"/>
          <w:color w:val="auto"/>
          <w:kern w:val="0"/>
          <w:sz w:val="24"/>
          <w:szCs w:val="24"/>
          <w:highlight w:val="none"/>
          <w:lang w:eastAsia="zh-CN"/>
        </w:rPr>
        <w:t>采购代理</w:t>
      </w:r>
      <w:r>
        <w:rPr>
          <w:rFonts w:hint="eastAsia" w:ascii="宋体" w:hAnsi="宋体" w:eastAsia="宋体" w:cs="宋体"/>
          <w:color w:val="auto"/>
          <w:kern w:val="0"/>
          <w:sz w:val="24"/>
          <w:szCs w:val="24"/>
          <w:highlight w:val="none"/>
        </w:rPr>
        <w:t>机构联系人查看。</w:t>
      </w:r>
    </w:p>
    <w:p>
      <w:pPr>
        <w:pStyle w:val="50"/>
        <w:keepNext w:val="0"/>
        <w:keepLines w:val="0"/>
        <w:pageBreakBefore w:val="0"/>
        <w:widowControl w:val="0"/>
        <w:numPr>
          <w:ilvl w:val="0"/>
          <w:numId w:val="42"/>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对中标结果提出质疑的，为中标结果公告期限届满之日起七个工作日内，投标人使用CA数字证书登录《全国公共资源交易平台（河南省·许昌市）》，通过许昌公共资源交易系统一次性提出，逾期提交或未按照要求提交的质疑函将不予受理。质疑提出后投标人应及时联系招标公告中</w:t>
      </w:r>
      <w:r>
        <w:rPr>
          <w:rFonts w:hint="eastAsia" w:ascii="宋体" w:hAnsi="宋体" w:eastAsia="宋体" w:cs="宋体"/>
          <w:color w:val="auto"/>
          <w:kern w:val="0"/>
          <w:sz w:val="24"/>
          <w:szCs w:val="24"/>
          <w:highlight w:val="none"/>
          <w:lang w:eastAsia="zh-CN"/>
        </w:rPr>
        <w:t>采购代理</w:t>
      </w:r>
      <w:r>
        <w:rPr>
          <w:rFonts w:hint="eastAsia" w:ascii="宋体" w:hAnsi="宋体" w:eastAsia="宋体" w:cs="宋体"/>
          <w:color w:val="auto"/>
          <w:kern w:val="0"/>
          <w:sz w:val="24"/>
          <w:szCs w:val="24"/>
          <w:highlight w:val="none"/>
        </w:rPr>
        <w:t>机构联系人查看。</w:t>
      </w:r>
    </w:p>
    <w:p>
      <w:pPr>
        <w:pStyle w:val="50"/>
        <w:keepNext w:val="0"/>
        <w:keepLines w:val="0"/>
        <w:pageBreakBefore w:val="0"/>
        <w:widowControl w:val="0"/>
        <w:numPr>
          <w:ilvl w:val="0"/>
          <w:numId w:val="40"/>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购人、采购代理机构认为供应商质疑不成立，或者成立但未对成交结果构成影响的，在收到质疑函7个工作日内通过《全国公共资源交易平台（河南省·许昌市）》交易系统作出答复，并继续开展采购活动；认为供应商质疑成立且影响或者可能影响成交结果的，在收到质疑函7个工作日内通过《全国公共资源交易平台（河南省·许昌市）》交易系统作出答复，并按照下列情况处理：</w:t>
      </w:r>
    </w:p>
    <w:p>
      <w:pPr>
        <w:pStyle w:val="50"/>
        <w:keepNext w:val="0"/>
        <w:keepLines w:val="0"/>
        <w:pageBreakBefore w:val="0"/>
        <w:widowControl w:val="0"/>
        <w:numPr>
          <w:ilvl w:val="0"/>
          <w:numId w:val="43"/>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对谈判文件提出的质疑，依法通过澄清或者修改可以继续开展采购活动的，澄清或者修改谈判文件后继续开展采购活动；否则应当修改谈判文件后重新开展采购活动。</w:t>
      </w:r>
    </w:p>
    <w:p>
      <w:pPr>
        <w:pStyle w:val="50"/>
        <w:keepNext w:val="0"/>
        <w:keepLines w:val="0"/>
        <w:pageBreakBefore w:val="0"/>
        <w:widowControl w:val="0"/>
        <w:numPr>
          <w:ilvl w:val="0"/>
          <w:numId w:val="43"/>
        </w:numPr>
        <w:kinsoku/>
        <w:overflowPunct/>
        <w:autoSpaceDE w:val="0"/>
        <w:autoSpaceDN w:val="0"/>
        <w:bidi w:val="0"/>
        <w:snapToGrid/>
        <w:spacing w:line="360" w:lineRule="auto"/>
        <w:ind w:left="0" w:leftChars="0"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对采购过程、成交结果提出的质疑，合格供应商符合法定数量时，可以从合格的成交候选人中另行确定成交供应商的，应当依法另行确定成交供应商；否则应当重新开展采购活动。</w:t>
      </w:r>
    </w:p>
    <w:p>
      <w:pPr>
        <w:pStyle w:val="50"/>
        <w:keepNext w:val="0"/>
        <w:keepLines w:val="0"/>
        <w:pageBreakBefore w:val="0"/>
        <w:widowControl w:val="0"/>
        <w:numPr>
          <w:ilvl w:val="0"/>
          <w:numId w:val="0"/>
        </w:numPr>
        <w:kinsoku/>
        <w:overflowPunct/>
        <w:autoSpaceDE w:val="0"/>
        <w:autoSpaceDN w:val="0"/>
        <w:bidi w:val="0"/>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val="en-US" w:eastAsia="zh-CN"/>
        </w:rPr>
        <w:t>34.</w:t>
      </w:r>
      <w:r>
        <w:rPr>
          <w:rFonts w:hint="eastAsia" w:ascii="宋体" w:hAnsi="宋体" w:eastAsia="宋体" w:cs="宋体"/>
          <w:b/>
          <w:color w:val="auto"/>
          <w:kern w:val="0"/>
          <w:sz w:val="24"/>
          <w:szCs w:val="24"/>
          <w:highlight w:val="none"/>
        </w:rPr>
        <w:t>签订合同</w:t>
      </w:r>
    </w:p>
    <w:p>
      <w:pPr>
        <w:keepNext w:val="0"/>
        <w:keepLines w:val="0"/>
        <w:pageBreakBefore w:val="0"/>
        <w:widowControl w:val="0"/>
        <w:kinsoku/>
        <w:overflowPunct/>
        <w:autoSpaceDE w:val="0"/>
        <w:autoSpaceDN w:val="0"/>
        <w:bidi w:val="0"/>
        <w:snapToGrid/>
        <w:spacing w:line="360" w:lineRule="auto"/>
        <w:ind w:left="0" w:leftChars="0" w:firstLine="480" w:firstLineChars="200"/>
        <w:contextualSpacing/>
        <w:textAlignment w:val="auto"/>
        <w:outlineLvl w:val="9"/>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采购人与成交供应商应当在成交通知书发出之日起2日内，按照采购文件和成交人投标文件的规定，与成交人签订书面合同。所签订的合同不得对采购文件确定的事项和成交人投标文件作实质性修改。</w:t>
      </w:r>
      <w:r>
        <w:rPr>
          <w:rFonts w:hint="eastAsia" w:ascii="宋体" w:hAnsi="宋体" w:eastAsia="宋体" w:cs="宋体"/>
          <w:color w:val="auto"/>
          <w:kern w:val="0"/>
          <w:sz w:val="24"/>
          <w:szCs w:val="24"/>
          <w:highlight w:val="none"/>
          <w:lang w:val="en-US" w:eastAsia="zh-CN"/>
        </w:rPr>
        <w:t>投标人须对此做出保证，否则有可能导致其响应被拒绝，其风险由供应商自行承担。</w:t>
      </w:r>
    </w:p>
    <w:p>
      <w:pPr>
        <w:keepNext w:val="0"/>
        <w:keepLines w:val="0"/>
        <w:pageBreakBefore w:val="0"/>
        <w:widowControl w:val="0"/>
        <w:kinsoku/>
        <w:overflowPunct/>
        <w:autoSpaceDE w:val="0"/>
        <w:autoSpaceDN w:val="0"/>
        <w:bidi w:val="0"/>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采购人自采购合同签订之日起，1个工作日内到禹州市政府采购监督管理办公室进行合同备案，并登陆“河南省政府采购网”进行网上备案。</w:t>
      </w:r>
    </w:p>
    <w:p>
      <w:pPr>
        <w:pStyle w:val="50"/>
        <w:keepNext w:val="0"/>
        <w:keepLines w:val="0"/>
        <w:pageBreakBefore w:val="0"/>
        <w:widowControl w:val="0"/>
        <w:numPr>
          <w:ilvl w:val="0"/>
          <w:numId w:val="0"/>
        </w:numPr>
        <w:kinsoku/>
        <w:overflowPunct/>
        <w:autoSpaceDE w:val="0"/>
        <w:autoSpaceDN w:val="0"/>
        <w:bidi w:val="0"/>
        <w:snapToGrid/>
        <w:spacing w:line="360" w:lineRule="auto"/>
        <w:ind w:left="0" w:leftChars="0" w:firstLine="482" w:firstLineChars="200"/>
        <w:contextualSpacing/>
        <w:textAlignment w:val="auto"/>
        <w:outlineLvl w:val="9"/>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val="en-US" w:eastAsia="zh-CN"/>
        </w:rPr>
        <w:t>35.</w:t>
      </w:r>
      <w:r>
        <w:rPr>
          <w:rFonts w:hint="eastAsia" w:ascii="宋体" w:hAnsi="宋体" w:eastAsia="宋体" w:cs="宋体"/>
          <w:b/>
          <w:color w:val="auto"/>
          <w:kern w:val="0"/>
          <w:sz w:val="24"/>
          <w:szCs w:val="24"/>
          <w:highlight w:val="none"/>
        </w:rPr>
        <w:t>履约保证金</w:t>
      </w:r>
    </w:p>
    <w:p>
      <w:pPr>
        <w:keepNext w:val="0"/>
        <w:keepLines w:val="0"/>
        <w:pageBreakBefore w:val="0"/>
        <w:widowControl w:val="0"/>
        <w:kinsoku/>
        <w:overflowPunct/>
        <w:autoSpaceDE w:val="0"/>
        <w:autoSpaceDN w:val="0"/>
        <w:bidi w:val="0"/>
        <w:snapToGrid/>
        <w:spacing w:line="360" w:lineRule="auto"/>
        <w:ind w:left="0" w:leftChars="0" w:firstLine="480" w:firstLineChars="200"/>
        <w:contextualSpacing/>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供应商须知前附表”中规定成交供应商提交履约保证金的，成交供应商应当以支票、汇票、本票或者金融机构、担保机构出具的保函等非现金形式向采购人提交。履约保证金的数额不得超过政府采购合同金额的10%。</w:t>
      </w:r>
    </w:p>
    <w:p>
      <w:pPr>
        <w:pStyle w:val="50"/>
        <w:keepNext w:val="0"/>
        <w:keepLines w:val="0"/>
        <w:pageBreakBefore w:val="0"/>
        <w:widowControl w:val="0"/>
        <w:numPr>
          <w:ilvl w:val="0"/>
          <w:numId w:val="0"/>
        </w:numPr>
        <w:kinsoku/>
        <w:overflowPunct/>
        <w:autoSpaceDE w:val="0"/>
        <w:autoSpaceDN w:val="0"/>
        <w:bidi w:val="0"/>
        <w:snapToGrid/>
        <w:spacing w:line="360" w:lineRule="auto"/>
        <w:ind w:left="0" w:leftChars="0" w:firstLine="482"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b/>
          <w:color w:val="auto"/>
          <w:kern w:val="0"/>
          <w:sz w:val="24"/>
          <w:szCs w:val="24"/>
          <w:highlight w:val="none"/>
          <w:lang w:val="en-US" w:eastAsia="zh-CN"/>
        </w:rPr>
        <w:t>36.</w:t>
      </w:r>
      <w:r>
        <w:rPr>
          <w:rFonts w:hint="eastAsia" w:ascii="宋体" w:hAnsi="宋体" w:eastAsia="宋体" w:cs="宋体"/>
          <w:b/>
          <w:color w:val="auto"/>
          <w:kern w:val="0"/>
          <w:sz w:val="24"/>
          <w:szCs w:val="24"/>
          <w:highlight w:val="none"/>
        </w:rPr>
        <w:t>政府采购合同融资</w:t>
      </w:r>
    </w:p>
    <w:p>
      <w:pPr>
        <w:pStyle w:val="50"/>
        <w:keepNext w:val="0"/>
        <w:keepLines w:val="0"/>
        <w:pageBreakBefore w:val="0"/>
        <w:widowControl w:val="0"/>
        <w:numPr>
          <w:ilvl w:val="1"/>
          <w:numId w:val="44"/>
        </w:numPr>
        <w:kinsoku/>
        <w:wordWrap w:val="0"/>
        <w:overflowPunct/>
        <w:topLinePunct/>
        <w:autoSpaceDE w:val="0"/>
        <w:autoSpaceDN w:val="0"/>
        <w:bidi w:val="0"/>
        <w:adjustRightInd w:val="0"/>
        <w:snapToGrid/>
        <w:spacing w:line="360" w:lineRule="auto"/>
        <w:ind w:left="0" w:leftChars="0" w:firstLine="480" w:firstLineChars="200"/>
        <w:contextualSpacing/>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缓解中小企业融资难题</w:t>
      </w:r>
    </w:p>
    <w:p>
      <w:pPr>
        <w:keepNext w:val="0"/>
        <w:keepLines w:val="0"/>
        <w:pageBreakBefore w:val="0"/>
        <w:widowControl w:val="0"/>
        <w:kinsoku/>
        <w:overflowPunct/>
        <w:autoSpaceDE w:val="0"/>
        <w:autoSpaceDN w:val="0"/>
        <w:bidi w:val="0"/>
        <w:snapToGrid/>
        <w:spacing w:line="360" w:lineRule="auto"/>
        <w:ind w:left="0" w:leftChars="0" w:firstLine="480" w:firstLineChars="200"/>
        <w:contextualSpacing/>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政府采购合同融资是支持中小微企业发展，针对参与政府采购活动的供应商融资难、融资贵问题推出的一项融资政策。根据河南省财政厅《关于印发深入推进政府采购合同融资工作实施方案的通知》精神，我市目前已与以下金融机构合作开展政府采购信用融资业务，中标供应商可持政府采购合同，通过“许昌市政府采购网”向所选的金融机构申请贷款，无需抵押、担保，融资机构将根据《河南省政府采购合同融资工作实施方案》（豫财购〔2017〕10号），按照双方自愿的原则提供便捷、优惠的贷款服务。</w:t>
      </w:r>
    </w:p>
    <w:p>
      <w:pPr>
        <w:keepNext w:val="0"/>
        <w:keepLines w:val="0"/>
        <w:pageBreakBefore w:val="0"/>
        <w:widowControl w:val="0"/>
        <w:kinsoku/>
        <w:overflowPunct/>
        <w:autoSpaceDE w:val="0"/>
        <w:autoSpaceDN w:val="0"/>
        <w:bidi w:val="0"/>
        <w:snapToGrid/>
        <w:spacing w:line="360" w:lineRule="auto"/>
        <w:ind w:firstLine="480" w:firstLineChars="200"/>
        <w:contextualSpacing/>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36.2  合作金融机构（排名不分先后）</w:t>
      </w:r>
    </w:p>
    <w:p>
      <w:pPr>
        <w:keepNext w:val="0"/>
        <w:keepLines w:val="0"/>
        <w:pageBreakBefore w:val="0"/>
        <w:widowControl w:val="0"/>
        <w:kinsoku/>
        <w:overflowPunct/>
        <w:autoSpaceDE w:val="0"/>
        <w:autoSpaceDN w:val="0"/>
        <w:bidi w:val="0"/>
        <w:snapToGrid/>
        <w:spacing w:line="360" w:lineRule="auto"/>
        <w:ind w:firstLine="480" w:firstLineChars="200"/>
        <w:contextualSpacing/>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合作金融机构名称：中原银行许昌分行（小微金融部）</w:t>
      </w:r>
    </w:p>
    <w:p>
      <w:pPr>
        <w:keepNext w:val="0"/>
        <w:keepLines w:val="0"/>
        <w:pageBreakBefore w:val="0"/>
        <w:widowControl w:val="0"/>
        <w:kinsoku/>
        <w:overflowPunct/>
        <w:autoSpaceDE w:val="0"/>
        <w:autoSpaceDN w:val="0"/>
        <w:bidi w:val="0"/>
        <w:snapToGrid/>
        <w:spacing w:line="360" w:lineRule="auto"/>
        <w:ind w:firstLine="480" w:firstLineChars="200"/>
        <w:contextualSpacing/>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联系人及电话：陈阳 13137407575   方金龙   15836539901</w:t>
      </w:r>
    </w:p>
    <w:p>
      <w:pPr>
        <w:keepNext w:val="0"/>
        <w:keepLines w:val="0"/>
        <w:pageBreakBefore w:val="0"/>
        <w:widowControl w:val="0"/>
        <w:kinsoku/>
        <w:overflowPunct/>
        <w:autoSpaceDE w:val="0"/>
        <w:autoSpaceDN w:val="0"/>
        <w:bidi w:val="0"/>
        <w:snapToGrid/>
        <w:spacing w:line="360" w:lineRule="auto"/>
        <w:ind w:firstLine="480" w:firstLineChars="200"/>
        <w:contextualSpacing/>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地址：许昌市建安大道与紫云路交汇处中原银行</w:t>
      </w:r>
    </w:p>
    <w:p>
      <w:pPr>
        <w:keepNext w:val="0"/>
        <w:keepLines w:val="0"/>
        <w:pageBreakBefore w:val="0"/>
        <w:widowControl w:val="0"/>
        <w:kinsoku/>
        <w:overflowPunct/>
        <w:autoSpaceDE w:val="0"/>
        <w:autoSpaceDN w:val="0"/>
        <w:bidi w:val="0"/>
        <w:snapToGrid/>
        <w:spacing w:line="360" w:lineRule="auto"/>
        <w:ind w:firstLine="480" w:firstLineChars="200"/>
        <w:contextualSpacing/>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合作金融机构名称：浦发银行许昌分行</w:t>
      </w:r>
    </w:p>
    <w:p>
      <w:pPr>
        <w:keepNext w:val="0"/>
        <w:keepLines w:val="0"/>
        <w:pageBreakBefore w:val="0"/>
        <w:widowControl w:val="0"/>
        <w:kinsoku/>
        <w:overflowPunct/>
        <w:autoSpaceDE w:val="0"/>
        <w:autoSpaceDN w:val="0"/>
        <w:bidi w:val="0"/>
        <w:snapToGrid/>
        <w:spacing w:line="360" w:lineRule="auto"/>
        <w:ind w:firstLine="480" w:firstLineChars="200"/>
        <w:contextualSpacing/>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联系人及电话：赵勇  0374-7313551  18937425515</w:t>
      </w:r>
    </w:p>
    <w:p>
      <w:pPr>
        <w:keepNext w:val="0"/>
        <w:keepLines w:val="0"/>
        <w:pageBreakBefore w:val="0"/>
        <w:widowControl w:val="0"/>
        <w:kinsoku/>
        <w:overflowPunct/>
        <w:autoSpaceDE w:val="0"/>
        <w:autoSpaceDN w:val="0"/>
        <w:bidi w:val="0"/>
        <w:snapToGrid/>
        <w:spacing w:line="360" w:lineRule="auto"/>
        <w:ind w:firstLine="480" w:firstLineChars="200"/>
        <w:contextualSpacing/>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地址：禹州市禹王大道与府东路交叉口</w:t>
      </w:r>
    </w:p>
    <w:p>
      <w:pPr>
        <w:keepNext w:val="0"/>
        <w:keepLines w:val="0"/>
        <w:pageBreakBefore w:val="0"/>
        <w:widowControl w:val="0"/>
        <w:tabs>
          <w:tab w:val="left" w:pos="1260"/>
        </w:tabs>
        <w:kinsoku/>
        <w:overflowPunct/>
        <w:autoSpaceDE w:val="0"/>
        <w:autoSpaceDN w:val="0"/>
        <w:bidi w:val="0"/>
        <w:adjustRightInd w:val="0"/>
        <w:snapToGrid/>
        <w:spacing w:line="360" w:lineRule="auto"/>
        <w:contextualSpacing/>
        <w:jc w:val="center"/>
        <w:textAlignment w:val="auto"/>
        <w:outlineLvl w:val="9"/>
        <w:rPr>
          <w:rFonts w:hint="eastAsia" w:ascii="宋体" w:hAnsi="宋体" w:eastAsia="宋体" w:cs="宋体"/>
          <w:b/>
          <w:color w:val="auto"/>
          <w:kern w:val="0"/>
          <w:sz w:val="24"/>
          <w:szCs w:val="24"/>
          <w:highlight w:val="none"/>
        </w:rPr>
      </w:pPr>
    </w:p>
    <w:p>
      <w:pPr>
        <w:tabs>
          <w:tab w:val="left" w:pos="1260"/>
        </w:tabs>
        <w:autoSpaceDE w:val="0"/>
        <w:autoSpaceDN w:val="0"/>
        <w:adjustRightInd w:val="0"/>
        <w:spacing w:line="360" w:lineRule="auto"/>
        <w:contextualSpacing/>
        <w:jc w:val="center"/>
        <w:rPr>
          <w:rFonts w:hint="eastAsia" w:ascii="宋体" w:hAnsi="宋体" w:eastAsia="宋体" w:cs="宋体"/>
          <w:b/>
          <w:color w:val="auto"/>
          <w:kern w:val="0"/>
          <w:sz w:val="24"/>
          <w:szCs w:val="24"/>
          <w:highlight w:val="none"/>
        </w:rPr>
      </w:pPr>
    </w:p>
    <w:p>
      <w:pPr>
        <w:tabs>
          <w:tab w:val="left" w:pos="1260"/>
        </w:tabs>
        <w:autoSpaceDE w:val="0"/>
        <w:autoSpaceDN w:val="0"/>
        <w:adjustRightInd w:val="0"/>
        <w:spacing w:line="360" w:lineRule="auto"/>
        <w:contextualSpacing/>
        <w:jc w:val="center"/>
        <w:rPr>
          <w:rFonts w:hint="eastAsia" w:ascii="宋体" w:hAnsi="宋体" w:eastAsia="宋体" w:cs="宋体"/>
          <w:b/>
          <w:color w:val="auto"/>
          <w:kern w:val="0"/>
          <w:sz w:val="24"/>
          <w:szCs w:val="24"/>
          <w:highlight w:val="none"/>
        </w:rPr>
      </w:pPr>
    </w:p>
    <w:p>
      <w:pPr>
        <w:tabs>
          <w:tab w:val="left" w:pos="1260"/>
        </w:tabs>
        <w:autoSpaceDE w:val="0"/>
        <w:autoSpaceDN w:val="0"/>
        <w:adjustRightInd w:val="0"/>
        <w:spacing w:line="360" w:lineRule="auto"/>
        <w:contextualSpacing/>
        <w:jc w:val="center"/>
        <w:rPr>
          <w:rFonts w:hint="eastAsia" w:ascii="宋体" w:hAnsi="宋体" w:eastAsia="宋体" w:cs="宋体"/>
          <w:b/>
          <w:color w:val="auto"/>
          <w:kern w:val="0"/>
          <w:sz w:val="24"/>
          <w:szCs w:val="24"/>
          <w:highlight w:val="none"/>
        </w:rPr>
      </w:pPr>
    </w:p>
    <w:p>
      <w:pPr>
        <w:tabs>
          <w:tab w:val="left" w:pos="1260"/>
        </w:tabs>
        <w:autoSpaceDE w:val="0"/>
        <w:autoSpaceDN w:val="0"/>
        <w:adjustRightInd w:val="0"/>
        <w:spacing w:line="360" w:lineRule="auto"/>
        <w:contextualSpacing/>
        <w:jc w:val="center"/>
        <w:rPr>
          <w:rFonts w:hint="eastAsia" w:ascii="宋体" w:hAnsi="宋体" w:eastAsia="宋体" w:cs="宋体"/>
          <w:b/>
          <w:color w:val="auto"/>
          <w:kern w:val="0"/>
          <w:sz w:val="24"/>
          <w:szCs w:val="24"/>
          <w:highlight w:val="none"/>
        </w:rPr>
      </w:pPr>
    </w:p>
    <w:p>
      <w:pPr>
        <w:widowControl/>
        <w:jc w:val="left"/>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br w:type="page"/>
      </w:r>
    </w:p>
    <w:p>
      <w:pPr>
        <w:pStyle w:val="2"/>
        <w:keepNext/>
        <w:keepLines/>
        <w:pageBreakBefore w:val="0"/>
        <w:widowControl w:val="0"/>
        <w:kinsoku/>
        <w:wordWrap/>
        <w:overflowPunct/>
        <w:topLinePunct w:val="0"/>
        <w:autoSpaceDE/>
        <w:autoSpaceDN/>
        <w:bidi w:val="0"/>
        <w:adjustRightInd w:val="0"/>
        <w:snapToGrid/>
        <w:spacing w:before="0" w:after="0" w:line="360" w:lineRule="auto"/>
        <w:ind w:firstLine="0"/>
        <w:jc w:val="center"/>
        <w:textAlignment w:val="baseline"/>
        <w:outlineLvl w:val="0"/>
        <w:rPr>
          <w:rFonts w:hint="eastAsia"/>
          <w:color w:val="auto"/>
          <w:sz w:val="32"/>
          <w:szCs w:val="32"/>
          <w:highlight w:val="none"/>
          <w:lang w:val="en-US" w:eastAsia="zh-CN"/>
        </w:rPr>
      </w:pPr>
      <w:r>
        <w:rPr>
          <w:rFonts w:hint="eastAsia"/>
          <w:color w:val="auto"/>
          <w:sz w:val="32"/>
          <w:szCs w:val="32"/>
          <w:highlight w:val="none"/>
          <w:lang w:val="en-US" w:eastAsia="zh-CN"/>
        </w:rPr>
        <w:t xml:space="preserve"> 政府采购政策功能</w:t>
      </w:r>
    </w:p>
    <w:p>
      <w:pPr>
        <w:jc w:val="center"/>
        <w:rPr>
          <w:rFonts w:hint="eastAsia" w:ascii="宋体" w:hAnsi="宋体" w:eastAsia="宋体" w:cs="宋体"/>
          <w:b/>
          <w:color w:val="auto"/>
          <w:kern w:val="0"/>
          <w:sz w:val="24"/>
          <w:szCs w:val="24"/>
          <w:highlight w:val="none"/>
        </w:rPr>
      </w:pPr>
    </w:p>
    <w:p>
      <w:pPr>
        <w:pStyle w:val="14"/>
        <w:spacing w:line="360" w:lineRule="auto"/>
        <w:ind w:firstLine="480" w:firstLineChars="200"/>
        <w:contextualSpacing/>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根据《中华人民共和国政府采购法</w:t>
      </w:r>
      <w:r>
        <w:rPr>
          <w:rFonts w:hint="eastAsia" w:ascii="宋体" w:hAnsi="宋体" w:cs="宋体"/>
          <w:color w:val="auto"/>
          <w:sz w:val="24"/>
          <w:szCs w:val="24"/>
          <w:highlight w:val="none"/>
          <w:lang w:val="zh-CN"/>
        </w:rPr>
        <w:t>》《</w:t>
      </w:r>
      <w:r>
        <w:rPr>
          <w:rFonts w:hint="eastAsia" w:ascii="宋体" w:hAnsi="宋体" w:eastAsia="宋体" w:cs="宋体"/>
          <w:color w:val="auto"/>
          <w:sz w:val="24"/>
          <w:szCs w:val="24"/>
          <w:highlight w:val="none"/>
          <w:lang w:val="zh-CN"/>
        </w:rPr>
        <w:t>中华人民共和国政府采购法实施条例</w:t>
      </w:r>
      <w:r>
        <w:rPr>
          <w:rFonts w:hint="eastAsia" w:ascii="宋体" w:hAnsi="宋体" w:cs="宋体"/>
          <w:color w:val="auto"/>
          <w:sz w:val="24"/>
          <w:szCs w:val="24"/>
          <w:highlight w:val="none"/>
          <w:lang w:val="zh-CN"/>
        </w:rPr>
        <w:t>》《</w:t>
      </w:r>
      <w:r>
        <w:rPr>
          <w:rFonts w:hint="eastAsia" w:ascii="宋体" w:hAnsi="宋体" w:eastAsia="宋体" w:cs="宋体"/>
          <w:color w:val="auto"/>
          <w:sz w:val="24"/>
          <w:szCs w:val="24"/>
          <w:highlight w:val="none"/>
          <w:lang w:val="zh-CN"/>
        </w:rPr>
        <w:t>政府采购货物和服务招标投标管理办法》等规定，政府采购项目应落实节约能源、保护环境、促进中小企业发展、支持监狱企业发展、促进残疾人就业等政府采购政策。</w:t>
      </w:r>
    </w:p>
    <w:p>
      <w:pPr>
        <w:pStyle w:val="14"/>
        <w:spacing w:line="360" w:lineRule="auto"/>
        <w:ind w:firstLine="482" w:firstLineChars="200"/>
        <w:contextualSpacing/>
        <w:outlineLvl w:val="2"/>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一、</w:t>
      </w:r>
      <w:r>
        <w:rPr>
          <w:rFonts w:hint="eastAsia" w:ascii="宋体" w:hAnsi="宋体" w:cs="宋体"/>
          <w:b/>
          <w:color w:val="auto"/>
          <w:sz w:val="24"/>
          <w:szCs w:val="24"/>
          <w:highlight w:val="none"/>
          <w:lang w:val="zh-CN"/>
        </w:rPr>
        <w:t>节约能源</w:t>
      </w:r>
      <w:r>
        <w:rPr>
          <w:rFonts w:hint="eastAsia" w:ascii="宋体" w:hAnsi="宋体" w:eastAsia="宋体" w:cs="宋体"/>
          <w:b/>
          <w:color w:val="auto"/>
          <w:sz w:val="24"/>
          <w:szCs w:val="24"/>
          <w:highlight w:val="none"/>
          <w:lang w:val="zh-CN"/>
        </w:rPr>
        <w:t>、保护环境</w:t>
      </w:r>
    </w:p>
    <w:p>
      <w:pPr>
        <w:pStyle w:val="14"/>
        <w:spacing w:line="360" w:lineRule="auto"/>
        <w:ind w:firstLine="480" w:firstLineChars="200"/>
        <w:contextualSpacing/>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按照《财政部、发展改革委、生态环境部、市场监管总局关于调整优化节能产品、环境标志产品政府采购执行机制的通知》（财库〔2019〕9号）和</w:t>
      </w:r>
      <w:r>
        <w:rPr>
          <w:rFonts w:hint="eastAsia" w:ascii="宋体" w:hAnsi="宋体" w:eastAsia="宋体" w:cs="宋体"/>
          <w:color w:val="auto"/>
          <w:sz w:val="24"/>
          <w:szCs w:val="24"/>
          <w:highlight w:val="none"/>
        </w:rPr>
        <w:t>财政部、生态环境部</w:t>
      </w:r>
      <w:r>
        <w:rPr>
          <w:rFonts w:hint="eastAsia" w:ascii="宋体" w:hAnsi="宋体" w:eastAsia="宋体" w:cs="宋体"/>
          <w:color w:val="auto"/>
          <w:sz w:val="24"/>
          <w:szCs w:val="24"/>
          <w:highlight w:val="none"/>
          <w:lang w:val="zh-CN"/>
        </w:rPr>
        <w:t>《关于印发环境标志产品政府采购品目清单的通知》</w:t>
      </w:r>
      <w:r>
        <w:rPr>
          <w:rFonts w:hint="eastAsia" w:ascii="宋体" w:hAnsi="宋体" w:eastAsia="宋体" w:cs="宋体"/>
          <w:color w:val="auto"/>
          <w:sz w:val="24"/>
          <w:szCs w:val="24"/>
          <w:highlight w:val="none"/>
        </w:rPr>
        <w:t>（财库[2019]18号）以及</w:t>
      </w:r>
      <w:r>
        <w:rPr>
          <w:rFonts w:hint="eastAsia" w:ascii="宋体" w:hAnsi="宋体" w:eastAsia="宋体" w:cs="宋体"/>
          <w:color w:val="auto"/>
          <w:sz w:val="24"/>
          <w:szCs w:val="24"/>
          <w:highlight w:val="none"/>
          <w:lang w:val="zh-CN"/>
        </w:rPr>
        <w:t>财政部、发展改革委</w:t>
      </w:r>
      <w:r>
        <w:rPr>
          <w:rFonts w:hint="eastAsia" w:ascii="宋体" w:hAnsi="宋体" w:eastAsia="宋体" w:cs="宋体"/>
          <w:color w:val="auto"/>
          <w:sz w:val="24"/>
          <w:szCs w:val="24"/>
          <w:highlight w:val="none"/>
        </w:rPr>
        <w:t>《关于印发节能产品政府采购品目清单的通知》（财库[2019]19号）</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采购政府强</w:t>
      </w:r>
      <w:r>
        <w:rPr>
          <w:rFonts w:hint="eastAsia" w:ascii="宋体" w:hAnsi="宋体" w:eastAsia="宋体" w:cs="宋体"/>
          <w:color w:val="auto"/>
          <w:sz w:val="24"/>
          <w:szCs w:val="24"/>
          <w:highlight w:val="none"/>
          <w:lang w:val="zh-CN"/>
        </w:rPr>
        <w:t>制采购产品的，该产品必须具有国家确定的认证机构出具的、处于有效期之内的节能产品认证证书；采购政府优先采购产品的，该产品具有国家确定的认证机构出具的、处于有效期之内的节能产品、环境标志产品认证证书，应当优先采购。</w:t>
      </w:r>
    </w:p>
    <w:p>
      <w:pPr>
        <w:pStyle w:val="14"/>
        <w:spacing w:line="360" w:lineRule="auto"/>
        <w:ind w:firstLine="482" w:firstLineChars="200"/>
        <w:contextualSpacing/>
        <w:outlineLvl w:val="2"/>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二、促进中小企业发展（不含民办非企业）</w:t>
      </w:r>
    </w:p>
    <w:p>
      <w:pPr>
        <w:topLinePunct/>
        <w:spacing w:line="360" w:lineRule="auto"/>
        <w:ind w:firstLine="480" w:firstLineChars="20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（一）</w:t>
      </w:r>
      <w:r>
        <w:rPr>
          <w:rFonts w:hint="eastAsia" w:ascii="宋体" w:hAnsi="宋体" w:eastAsia="宋体" w:cs="宋体"/>
          <w:color w:val="auto"/>
          <w:sz w:val="24"/>
          <w:szCs w:val="24"/>
          <w:highlight w:val="none"/>
          <w:lang w:val="en-US" w:eastAsia="zh-CN"/>
        </w:rPr>
        <w:t>本项目专门面向中小企业采购（不再执行价格评审优惠的扶持政策）</w:t>
      </w:r>
    </w:p>
    <w:p>
      <w:pPr>
        <w:topLinePunct/>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（二）非</w:t>
      </w:r>
      <w:r>
        <w:rPr>
          <w:rFonts w:hint="eastAsia" w:ascii="宋体" w:hAnsi="宋体" w:eastAsia="宋体" w:cs="宋体"/>
          <w:color w:val="auto"/>
          <w:sz w:val="24"/>
          <w:szCs w:val="24"/>
          <w:highlight w:val="none"/>
          <w:lang w:val="zh-CN"/>
        </w:rPr>
        <w:t>专门面向中小企业预留采购份额</w:t>
      </w:r>
    </w:p>
    <w:p>
      <w:pPr>
        <w:topLinePunct/>
        <w:spacing w:line="360" w:lineRule="auto"/>
        <w:ind w:firstLine="480" w:firstLineChars="200"/>
        <w:contextualSpacing/>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zh-CN"/>
        </w:rPr>
        <w:t>根据财政部、工业和信息化部《政府采购促进中小企业发展管理办法》（财库[2020]46号）、《关于进一步加大政府采购支持中小企业力度的通知》（财库〔2022〕19号）规定，对符合该办法规定的小型和微型企业报价给予10%—20%的扣除，用扣除后的价格参与评审。</w:t>
      </w:r>
    </w:p>
    <w:p>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2、在货物采购项目中，供应商提供的货物既有中小企业制造货物，也有大型企业制造货物的，不享受</w:t>
      </w:r>
      <w:r>
        <w:rPr>
          <w:rFonts w:hint="eastAsia" w:ascii="宋体" w:hAnsi="宋体" w:eastAsia="宋体" w:cs="宋体"/>
          <w:color w:val="auto"/>
          <w:sz w:val="24"/>
          <w:szCs w:val="24"/>
          <w:highlight w:val="none"/>
          <w:lang w:val="zh-CN"/>
        </w:rPr>
        <w:t>《政府采购促进中小企业发展管理办法》（财库[2020]46号）</w:t>
      </w:r>
      <w:r>
        <w:rPr>
          <w:rFonts w:hint="eastAsia" w:ascii="宋体" w:hAnsi="宋体" w:eastAsia="宋体" w:cs="宋体"/>
          <w:color w:val="auto"/>
          <w:sz w:val="24"/>
          <w:szCs w:val="24"/>
          <w:highlight w:val="none"/>
        </w:rPr>
        <w:t>规定的中小企业扶持政策。</w:t>
      </w:r>
    </w:p>
    <w:p>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3、以联合体形式参加政府采购活动，联合体各方均为中小企业的，联合体视同中小企业。其中，联合体各方均为小微企业的，联合体视同小微企业。</w:t>
      </w:r>
    </w:p>
    <w:p>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olor w:val="auto"/>
          <w:sz w:val="24"/>
          <w:szCs w:val="24"/>
          <w:highlight w:val="none"/>
          <w:lang w:eastAsia="zh-CN"/>
        </w:rPr>
        <w:t>4%-6%</w:t>
      </w:r>
      <w:r>
        <w:rPr>
          <w:rFonts w:hint="eastAsia" w:ascii="宋体" w:hAnsi="宋体" w:eastAsia="宋体" w:cs="宋体"/>
          <w:color w:val="auto"/>
          <w:sz w:val="24"/>
          <w:szCs w:val="24"/>
          <w:highlight w:val="none"/>
        </w:rPr>
        <w:t>的扣除，用扣除后的价格参加评审。组成联合体或者接受分包的小微企业与联合体内其他企业、分包企业之间存在直接控股、管理关系的，不享受价格扣除优惠政策。</w:t>
      </w:r>
    </w:p>
    <w:p>
      <w:pPr>
        <w:topLinePunct/>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5、按照本次采购标的所属行业的划型标准，符合条件的中小企业应按照采购文件格式要求提供《中小企业声明函》，否则不得享受相关中小企业扶持政策。</w:t>
      </w:r>
    </w:p>
    <w:p>
      <w:pPr>
        <w:topLinePunct/>
        <w:spacing w:line="360" w:lineRule="auto"/>
        <w:ind w:firstLine="482" w:firstLineChars="200"/>
        <w:contextualSpacing/>
        <w:outlineLvl w:val="2"/>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三、支持监狱企业发展</w:t>
      </w:r>
    </w:p>
    <w:p>
      <w:pPr>
        <w:spacing w:line="360" w:lineRule="auto"/>
        <w:ind w:firstLine="480" w:firstLineChars="200"/>
        <w:contextualSpacing/>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按照财政部、司法部发布的《关于政府采购支持监狱企业发展有关问题的通知》（</w:t>
      </w:r>
      <w:bookmarkStart w:id="1" w:name="OLE_LINK6"/>
      <w:r>
        <w:rPr>
          <w:rFonts w:hint="eastAsia" w:ascii="宋体" w:hAnsi="宋体" w:eastAsia="宋体" w:cs="宋体"/>
          <w:color w:val="auto"/>
          <w:sz w:val="24"/>
          <w:szCs w:val="24"/>
          <w:highlight w:val="none"/>
          <w:lang w:val="zh-CN"/>
        </w:rPr>
        <w:t>财库[2014]68号</w:t>
      </w:r>
      <w:bookmarkEnd w:id="1"/>
      <w:r>
        <w:rPr>
          <w:rFonts w:hint="eastAsia" w:ascii="宋体" w:hAnsi="宋体" w:eastAsia="宋体" w:cs="宋体"/>
          <w:color w:val="auto"/>
          <w:sz w:val="24"/>
          <w:szCs w:val="24"/>
          <w:highlight w:val="none"/>
          <w:lang w:val="zh-CN"/>
        </w:rPr>
        <w:t>）规定，在政府采购活动中，监狱企业视同小型、微型企业，享受评审中价格扣除的政府采购政策，用扣除后的价格参与评审。监狱企业应当提供由省级以上监狱管理局、戒毒管理局(含新疆生产建设兵团）出具的属于监狱企业的证明文件。</w:t>
      </w:r>
    </w:p>
    <w:p>
      <w:pPr>
        <w:spacing w:line="360" w:lineRule="auto"/>
        <w:ind w:firstLine="482" w:firstLineChars="200"/>
        <w:contextualSpacing/>
        <w:outlineLvl w:val="2"/>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四、促进残疾人就业</w:t>
      </w:r>
    </w:p>
    <w:p>
      <w:pPr>
        <w:pStyle w:val="14"/>
        <w:spacing w:line="360" w:lineRule="auto"/>
        <w:ind w:firstLine="480" w:firstLineChars="200"/>
        <w:contextualSpacing/>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按照财政部、民政部、中国残疾人联合会和残疾人发布的《三部门联合发布关于促进残疾人就业政府采购政策的通知》（财库[2017]141号）规定，在政府采购活动中，残疾人福利性单位视同小型、微型企业，享受评审中价格扣除的政府采购政策。对残疾人福利性单位提供本单位制造的货物、承担的工程或者服务，或者提供其他残疾人福利性单位制造的货物（不包括使用非残疾人福利性单位注册商标的货物）用扣除后的价格参与评审。</w:t>
      </w:r>
      <w:r>
        <w:rPr>
          <w:rFonts w:hint="eastAsia" w:ascii="宋体" w:hAnsi="宋体" w:eastAsia="宋体" w:cs="宋体"/>
          <w:color w:val="auto"/>
          <w:sz w:val="24"/>
          <w:szCs w:val="24"/>
          <w:highlight w:val="none"/>
        </w:rPr>
        <w:t>残疾人福利性单位属于小型、微型企业的，不重复享受政策。</w:t>
      </w:r>
    </w:p>
    <w:p>
      <w:pPr>
        <w:pStyle w:val="14"/>
        <w:spacing w:line="360" w:lineRule="auto"/>
        <w:ind w:firstLine="480" w:firstLineChars="200"/>
        <w:contextualSpacing/>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符合条件的残疾人福利性单位在参加政府采购活动时，应当提供《三部门联合发布关于促进残疾人就业政府采购政策的通知》规定的《残疾人福利性单位声明函》，并对声明的真实性负责。任何单位或者个人在政府采购活动中均不得要求残疾人福利性单位提供其他证明声明函内容的材料。</w:t>
      </w:r>
    </w:p>
    <w:p>
      <w:pPr>
        <w:pStyle w:val="14"/>
        <w:spacing w:line="360" w:lineRule="auto"/>
        <w:ind w:firstLine="480" w:firstLineChars="200"/>
        <w:contextualSpacing/>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3、中标人为残疾人福利性单位的，招标人应当随中标结果同时公告其《残疾人福利性单位声明函》，接受社会监督。</w:t>
      </w:r>
    </w:p>
    <w:p>
      <w:pPr>
        <w:pStyle w:val="14"/>
        <w:spacing w:line="360" w:lineRule="auto"/>
        <w:ind w:left="282" w:hanging="188" w:hangingChars="78"/>
        <w:contextualSpacing/>
        <w:jc w:val="center"/>
        <w:rPr>
          <w:rFonts w:hint="eastAsia" w:ascii="宋体" w:hAnsi="宋体" w:eastAsia="宋体" w:cs="宋体"/>
          <w:b/>
          <w:color w:val="auto"/>
          <w:kern w:val="0"/>
          <w:sz w:val="24"/>
          <w:szCs w:val="24"/>
          <w:highlight w:val="none"/>
        </w:rPr>
      </w:pPr>
    </w:p>
    <w:p>
      <w:pPr>
        <w:pStyle w:val="14"/>
        <w:spacing w:line="360" w:lineRule="auto"/>
        <w:ind w:left="282" w:hanging="188" w:hangingChars="78"/>
        <w:contextualSpacing/>
        <w:jc w:val="center"/>
        <w:rPr>
          <w:rFonts w:hint="eastAsia" w:ascii="宋体" w:hAnsi="宋体" w:eastAsia="宋体" w:cs="宋体"/>
          <w:b/>
          <w:color w:val="auto"/>
          <w:kern w:val="0"/>
          <w:sz w:val="24"/>
          <w:szCs w:val="24"/>
          <w:highlight w:val="none"/>
        </w:rPr>
      </w:pPr>
    </w:p>
    <w:p>
      <w:pPr>
        <w:widowControl/>
        <w:jc w:val="left"/>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br w:type="page"/>
      </w:r>
    </w:p>
    <w:p>
      <w:pPr>
        <w:pStyle w:val="2"/>
        <w:keepNext/>
        <w:keepLines/>
        <w:pageBreakBefore w:val="0"/>
        <w:widowControl w:val="0"/>
        <w:kinsoku/>
        <w:wordWrap/>
        <w:overflowPunct/>
        <w:topLinePunct w:val="0"/>
        <w:autoSpaceDE/>
        <w:autoSpaceDN/>
        <w:bidi w:val="0"/>
        <w:adjustRightInd w:val="0"/>
        <w:snapToGrid/>
        <w:spacing w:before="0" w:after="0" w:line="360" w:lineRule="auto"/>
        <w:ind w:firstLine="0"/>
        <w:jc w:val="center"/>
        <w:textAlignment w:val="baseline"/>
        <w:outlineLvl w:val="0"/>
        <w:rPr>
          <w:rFonts w:hint="eastAsia"/>
          <w:color w:val="auto"/>
          <w:sz w:val="32"/>
          <w:szCs w:val="32"/>
          <w:highlight w:val="none"/>
          <w:lang w:val="zh-CN" w:eastAsia="zh-CN"/>
        </w:rPr>
      </w:pPr>
      <w:r>
        <w:rPr>
          <w:rFonts w:hint="eastAsia"/>
          <w:color w:val="auto"/>
          <w:sz w:val="32"/>
          <w:szCs w:val="32"/>
          <w:highlight w:val="none"/>
          <w:lang w:val="en-US" w:eastAsia="zh-CN"/>
        </w:rPr>
        <w:t xml:space="preserve"> 对响应文件审查与评审</w:t>
      </w:r>
    </w:p>
    <w:p>
      <w:pPr>
        <w:pStyle w:val="14"/>
        <w:spacing w:line="360" w:lineRule="auto"/>
        <w:ind w:firstLine="482" w:firstLineChars="200"/>
        <w:contextualSpacing/>
        <w:outlineLvl w:val="2"/>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val="zh-CN"/>
        </w:rPr>
        <w:t>一、资格审查</w:t>
      </w:r>
    </w:p>
    <w:p>
      <w:pPr>
        <w:spacing w:line="360" w:lineRule="auto"/>
        <w:ind w:right="420" w:rightChars="200" w:firstLine="480" w:firstLineChars="200"/>
        <w:contextualSpacing/>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rPr>
        <w:t>谈判小组依法对供应商资格进行审查</w:t>
      </w:r>
      <w:r>
        <w:rPr>
          <w:rFonts w:hint="eastAsia" w:ascii="宋体" w:hAnsi="宋体" w:eastAsia="宋体" w:cs="宋体"/>
          <w:color w:val="auto"/>
          <w:sz w:val="24"/>
          <w:szCs w:val="24"/>
          <w:highlight w:val="none"/>
          <w:lang w:val="zh-CN"/>
        </w:rPr>
        <w:t>。确定符合资格的供应商不少于3家，将</w:t>
      </w:r>
      <w:r>
        <w:rPr>
          <w:rFonts w:hint="eastAsia" w:ascii="宋体" w:hAnsi="宋体" w:eastAsia="宋体" w:cs="宋体"/>
          <w:color w:val="auto"/>
          <w:sz w:val="24"/>
          <w:szCs w:val="24"/>
          <w:highlight w:val="none"/>
        </w:rPr>
        <w:t>对响应文件的有效性、完整性和响应程度进行审查并对响应文件进行评审</w:t>
      </w:r>
      <w:r>
        <w:rPr>
          <w:rFonts w:hint="eastAsia" w:ascii="宋体" w:hAnsi="宋体" w:eastAsia="宋体" w:cs="宋体"/>
          <w:color w:val="auto"/>
          <w:sz w:val="24"/>
          <w:szCs w:val="24"/>
          <w:highlight w:val="none"/>
          <w:lang w:val="zh-CN"/>
        </w:rPr>
        <w:t>。</w:t>
      </w:r>
      <w:r>
        <w:rPr>
          <w:rFonts w:hint="eastAsia" w:ascii="宋体" w:hAnsi="宋体" w:eastAsia="宋体" w:cs="宋体"/>
          <w:color w:val="auto"/>
          <w:kern w:val="0"/>
          <w:sz w:val="24"/>
          <w:szCs w:val="24"/>
          <w:highlight w:val="none"/>
        </w:rPr>
        <w:t>（如符合《政府采购非招标采购方式管理办法》（财政部令第74号）第二十七条第二款中的</w:t>
      </w:r>
      <w:r>
        <w:rPr>
          <w:rFonts w:hint="eastAsia" w:ascii="宋体" w:hAnsi="宋体" w:eastAsia="宋体" w:cs="宋体"/>
          <w:color w:val="auto"/>
          <w:sz w:val="24"/>
          <w:szCs w:val="24"/>
          <w:highlight w:val="none"/>
          <w:shd w:val="clear" w:color="auto" w:fill="FFFFFF"/>
        </w:rPr>
        <w:t>情形的，</w:t>
      </w:r>
      <w:r>
        <w:rPr>
          <w:rFonts w:hint="eastAsia" w:ascii="宋体" w:hAnsi="宋体" w:eastAsia="宋体" w:cs="宋体"/>
          <w:color w:val="auto"/>
          <w:kern w:val="0"/>
          <w:sz w:val="24"/>
          <w:szCs w:val="24"/>
          <w:highlight w:val="none"/>
        </w:rPr>
        <w:t>供应商最低数量可以为两家）</w:t>
      </w:r>
    </w:p>
    <w:p>
      <w:pPr>
        <w:spacing w:line="360" w:lineRule="auto"/>
        <w:ind w:right="420" w:rightChars="200" w:firstLine="480" w:firstLineChars="200"/>
        <w:contextualSpacing/>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注：</w:t>
      </w:r>
    </w:p>
    <w:p>
      <w:pPr>
        <w:spacing w:line="360" w:lineRule="auto"/>
        <w:ind w:right="420" w:rightChars="200" w:firstLine="480" w:firstLineChars="200"/>
        <w:contextualSpacing/>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（1）资格证明材料（本栏所列内容为本项目的资格审查条件，如有一项不符合要求，则不能进入下一步评审）。</w:t>
      </w:r>
    </w:p>
    <w:p>
      <w:pPr>
        <w:spacing w:line="360" w:lineRule="auto"/>
        <w:ind w:right="420" w:rightChars="200" w:firstLine="480" w:firstLineChars="200"/>
        <w:contextualSpacing/>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（2）资格审查中所涉及的证书及材料，均须在电子投标文件中提供原件扫描件（或图片）。</w:t>
      </w:r>
    </w:p>
    <w:tbl>
      <w:tblPr>
        <w:tblStyle w:val="25"/>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2410"/>
        <w:gridCol w:w="59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5" w:type="dxa"/>
            <w:vAlign w:val="center"/>
          </w:tcPr>
          <w:p>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2410" w:type="dxa"/>
            <w:vAlign w:val="center"/>
          </w:tcPr>
          <w:p>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资格审查因素</w:t>
            </w:r>
          </w:p>
        </w:tc>
        <w:tc>
          <w:tcPr>
            <w:tcW w:w="5954" w:type="dxa"/>
            <w:vAlign w:val="center"/>
          </w:tcPr>
          <w:p>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5" w:type="dxa"/>
            <w:vAlign w:val="center"/>
          </w:tcPr>
          <w:p>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w:t>
            </w:r>
          </w:p>
        </w:tc>
        <w:tc>
          <w:tcPr>
            <w:tcW w:w="2410" w:type="dxa"/>
            <w:vAlign w:val="center"/>
          </w:tcPr>
          <w:p>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投标函</w:t>
            </w:r>
          </w:p>
        </w:tc>
        <w:tc>
          <w:tcPr>
            <w:tcW w:w="5954" w:type="dxa"/>
            <w:vAlign w:val="center"/>
          </w:tcPr>
          <w:p>
            <w:pPr>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参考谈判文件第八章3.1格式填写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w:t>
            </w:r>
          </w:p>
        </w:tc>
        <w:tc>
          <w:tcPr>
            <w:tcW w:w="2410" w:type="dxa"/>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中小企业</w:t>
            </w:r>
          </w:p>
        </w:tc>
        <w:tc>
          <w:tcPr>
            <w:tcW w:w="5954" w:type="dxa"/>
            <w:vAlign w:val="center"/>
          </w:tcPr>
          <w:p>
            <w:pPr>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（1）中小企业出具《中小企业声明函》</w:t>
            </w:r>
          </w:p>
          <w:p>
            <w:pPr>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（2）残疾人福利性单位出具《残疾人福利企业声明函》</w:t>
            </w:r>
          </w:p>
          <w:p>
            <w:pPr>
              <w:spacing w:line="360" w:lineRule="auto"/>
              <w:jc w:val="left"/>
              <w:rPr>
                <w:rFonts w:hint="eastAsia"/>
                <w:color w:val="auto"/>
                <w:highlight w:val="none"/>
              </w:rPr>
            </w:pPr>
            <w:r>
              <w:rPr>
                <w:rFonts w:hint="eastAsia" w:ascii="宋体" w:hAnsi="宋体" w:eastAsia="宋体" w:cs="宋体"/>
                <w:bCs/>
                <w:color w:val="auto"/>
                <w:sz w:val="24"/>
                <w:szCs w:val="24"/>
                <w:highlight w:val="none"/>
                <w:lang w:val="en-US" w:eastAsia="zh-CN"/>
              </w:rPr>
              <w:t xml:space="preserve">（3）监狱企业提供由省级以上监狱管理局、戒毒管理局(含新疆生产建设兵团）出具的属于监狱企业的证明文件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line="360" w:lineRule="auto"/>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3</w:t>
            </w:r>
          </w:p>
        </w:tc>
        <w:tc>
          <w:tcPr>
            <w:tcW w:w="2410" w:type="dxa"/>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禹州市政府采购</w:t>
            </w:r>
          </w:p>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供应商信用承诺函</w:t>
            </w:r>
          </w:p>
        </w:tc>
        <w:tc>
          <w:tcPr>
            <w:tcW w:w="5954" w:type="dxa"/>
            <w:vAlign w:val="center"/>
          </w:tcPr>
          <w:p>
            <w:pPr>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按照</w:t>
            </w:r>
            <w:r>
              <w:rPr>
                <w:rFonts w:hint="eastAsia" w:ascii="宋体" w:hAnsi="宋体" w:eastAsia="宋体" w:cs="宋体"/>
                <w:bCs/>
                <w:color w:val="auto"/>
                <w:sz w:val="24"/>
                <w:szCs w:val="24"/>
                <w:highlight w:val="none"/>
                <w:lang w:val="en-US" w:eastAsia="zh-CN"/>
              </w:rPr>
              <w:t>谈判</w:t>
            </w:r>
            <w:r>
              <w:rPr>
                <w:rFonts w:hint="eastAsia" w:ascii="宋体" w:hAnsi="宋体" w:eastAsia="宋体" w:cs="宋体"/>
                <w:bCs/>
                <w:color w:val="auto"/>
                <w:sz w:val="24"/>
                <w:szCs w:val="24"/>
                <w:highlight w:val="none"/>
              </w:rPr>
              <w:t>文件第八章3.</w:t>
            </w: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格式填写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line="360" w:lineRule="auto"/>
              <w:jc w:val="center"/>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w:t>
            </w:r>
          </w:p>
        </w:tc>
        <w:tc>
          <w:tcPr>
            <w:tcW w:w="2410" w:type="dxa"/>
            <w:vAlign w:val="center"/>
          </w:tcPr>
          <w:p>
            <w:pPr>
              <w:keepNext w:val="0"/>
              <w:keepLines w:val="0"/>
              <w:widowControl/>
              <w:suppressLineNumbers w:val="0"/>
              <w:jc w:val="left"/>
              <w:rPr>
                <w:color w:val="auto"/>
                <w:highlight w:val="none"/>
              </w:rPr>
            </w:pPr>
            <w:r>
              <w:rPr>
                <w:rFonts w:hint="eastAsia" w:ascii="宋体" w:hAnsi="宋体" w:eastAsia="宋体" w:cs="宋体"/>
                <w:b/>
                <w:bCs/>
                <w:color w:val="auto"/>
                <w:kern w:val="0"/>
                <w:sz w:val="24"/>
                <w:szCs w:val="24"/>
                <w:highlight w:val="none"/>
                <w:lang w:val="en-US" w:eastAsia="zh-CN" w:bidi="ar"/>
              </w:rPr>
              <w:t xml:space="preserve">供应商应具备的特定 </w:t>
            </w:r>
          </w:p>
          <w:p>
            <w:pPr>
              <w:keepNext w:val="0"/>
              <w:keepLines w:val="0"/>
              <w:widowControl/>
              <w:suppressLineNumbers w:val="0"/>
              <w:jc w:val="left"/>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资格要求</w:t>
            </w:r>
          </w:p>
        </w:tc>
        <w:tc>
          <w:tcPr>
            <w:tcW w:w="5954" w:type="dxa"/>
            <w:vAlign w:val="center"/>
          </w:tcPr>
          <w:p>
            <w:pPr>
              <w:numPr>
                <w:ilvl w:val="0"/>
                <w:numId w:val="45"/>
              </w:numPr>
              <w:spacing w:line="360" w:lineRule="auto"/>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供应商须具备建设行政主管部门核发的建筑工程施工总承包叁级及以上资质，并具有有效的安全生产许可证。</w:t>
            </w:r>
          </w:p>
          <w:p>
            <w:pPr>
              <w:numPr>
                <w:ilvl w:val="0"/>
                <w:numId w:val="45"/>
              </w:numPr>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拟派项目经理须具有建筑工程专业贰级及以上注册建造师执业资格和有效的安全生产考核合格证书，且未担任其他在施建设项目的项目经理。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line="360" w:lineRule="auto"/>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5</w:t>
            </w:r>
          </w:p>
        </w:tc>
        <w:tc>
          <w:tcPr>
            <w:tcW w:w="2410" w:type="dxa"/>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谈判</w:t>
            </w:r>
            <w:r>
              <w:rPr>
                <w:rFonts w:hint="eastAsia" w:ascii="宋体" w:hAnsi="宋体" w:eastAsia="宋体" w:cs="宋体"/>
                <w:b/>
                <w:color w:val="auto"/>
                <w:sz w:val="24"/>
                <w:szCs w:val="24"/>
                <w:highlight w:val="none"/>
                <w:lang w:val="zh-CN"/>
              </w:rPr>
              <w:t>报价</w:t>
            </w:r>
          </w:p>
        </w:tc>
        <w:tc>
          <w:tcPr>
            <w:tcW w:w="5954" w:type="dxa"/>
          </w:tcPr>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zh-CN"/>
              </w:rPr>
              <w:t>响应报价是否超出谈判文件中规定的预算金额（最高限价），超出预算金额（最高限价）的响应无效。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line="360" w:lineRule="auto"/>
              <w:jc w:val="center"/>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w:t>
            </w:r>
          </w:p>
        </w:tc>
        <w:tc>
          <w:tcPr>
            <w:tcW w:w="2410" w:type="dxa"/>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联合体协议</w:t>
            </w:r>
          </w:p>
        </w:tc>
        <w:tc>
          <w:tcPr>
            <w:tcW w:w="5954" w:type="dxa"/>
          </w:tcPr>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谈判文件接受联合体响应且供应商为联合体的，供应商应提供本协议；否则无须提供。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line="360" w:lineRule="auto"/>
              <w:jc w:val="center"/>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w:t>
            </w:r>
          </w:p>
        </w:tc>
        <w:tc>
          <w:tcPr>
            <w:tcW w:w="2410" w:type="dxa"/>
            <w:vAlign w:val="center"/>
          </w:tcPr>
          <w:p>
            <w:pPr>
              <w:spacing w:line="360" w:lineRule="auto"/>
              <w:contextualSpacing/>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供应商身份证明及授权</w:t>
            </w:r>
          </w:p>
        </w:tc>
        <w:tc>
          <w:tcPr>
            <w:tcW w:w="5954" w:type="dxa"/>
          </w:tcPr>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（1）法定代表人身份证明或提供法定代表人授权委托书及被授权人身份证明。（法人提供）</w:t>
            </w:r>
          </w:p>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（2）单位负责人身份证明或提供单位负责人授权委托书及被授权人身份证明。（非法人提供）</w:t>
            </w:r>
          </w:p>
          <w:p>
            <w:pPr>
              <w:spacing w:line="360" w:lineRule="auto"/>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注：</w:t>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①企业（银行、保险、石油石化、电力、电信等行业除外）、事业单位和社会团体以法人身份参加谈判的，法定代表人应与实际提交的“营业执照等证明文件”载明的一致。</w:t>
            </w:r>
          </w:p>
          <w:p>
            <w:pPr>
              <w:spacing w:line="360" w:lineRule="auto"/>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银行、保险、石油石化、电力、电信等行业：以法人身份参加谈判的，法定代表人应与实际提交的“营业执照等证明文件”载明的一致；以非法人身份参加谈判的，“单位负责人”指代表单位行使职权的主要负责人，应与实际提交的“营业执照等证明文件”载明的一致。</w:t>
            </w:r>
          </w:p>
          <w:p>
            <w:pPr>
              <w:spacing w:line="360" w:lineRule="auto"/>
              <w:contextualSpacing/>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③</w:t>
            </w:r>
            <w:r>
              <w:rPr>
                <w:rFonts w:hint="eastAsia" w:ascii="宋体" w:hAnsi="宋体" w:eastAsia="宋体" w:cs="宋体"/>
                <w:color w:val="auto"/>
                <w:kern w:val="0"/>
                <w:sz w:val="24"/>
                <w:szCs w:val="24"/>
                <w:highlight w:val="none"/>
              </w:rPr>
              <w:t>供应商为自然人的，无需填写法定代表人授权书。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line="360" w:lineRule="auto"/>
              <w:jc w:val="center"/>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8</w:t>
            </w:r>
          </w:p>
        </w:tc>
        <w:tc>
          <w:tcPr>
            <w:tcW w:w="2410" w:type="dxa"/>
            <w:vAlign w:val="center"/>
          </w:tcPr>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单位负责人为同一人或者存在直接控股、管理关系的不同供应商，不得参加同一合同项下的政府采购活动</w:t>
            </w:r>
          </w:p>
        </w:tc>
        <w:tc>
          <w:tcPr>
            <w:tcW w:w="5954" w:type="dxa"/>
          </w:tcPr>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供应商提供与参加本项目响应的其他供应商之间，单位负责人不为同一人并且不存在直接控股、管理关系承诺函（承诺函格式自拟）。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line="360" w:lineRule="auto"/>
              <w:jc w:val="center"/>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9</w:t>
            </w:r>
          </w:p>
        </w:tc>
        <w:tc>
          <w:tcPr>
            <w:tcW w:w="2410" w:type="dxa"/>
            <w:vAlign w:val="center"/>
          </w:tcPr>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为本项目提供整体设计、规范编制或者项目管理、监理、检测等服务的供应商不得参加本项目响应</w:t>
            </w:r>
          </w:p>
        </w:tc>
        <w:tc>
          <w:tcPr>
            <w:tcW w:w="5954" w:type="dxa"/>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zh-CN"/>
              </w:rPr>
              <w:t>供应商提供未为本项目提供整体设计、规范编制或者项目管理、监理、检测等服务承诺函（承诺函格式自拟）。</w:t>
            </w:r>
          </w:p>
        </w:tc>
      </w:tr>
    </w:tbl>
    <w:p>
      <w:pPr>
        <w:pStyle w:val="14"/>
        <w:spacing w:line="360" w:lineRule="auto"/>
        <w:ind w:firstLine="482" w:firstLineChars="200"/>
        <w:contextualSpacing/>
        <w:outlineLvl w:val="2"/>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二、对响应文件评审</w:t>
      </w:r>
    </w:p>
    <w:p>
      <w:pPr>
        <w:pStyle w:val="14"/>
        <w:keepNext w:val="0"/>
        <w:keepLines w:val="0"/>
        <w:pageBreakBefore w:val="0"/>
        <w:widowControl w:val="0"/>
        <w:kinsoku/>
        <w:wordWrap/>
        <w:overflowPunct/>
        <w:topLinePunct w:val="0"/>
        <w:bidi w:val="0"/>
        <w:adjustRightInd/>
        <w:snapToGrid/>
        <w:spacing w:line="360" w:lineRule="auto"/>
        <w:ind w:firstLine="482" w:firstLineChars="200"/>
        <w:contextualSpacing/>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val="zh-CN"/>
        </w:rPr>
        <w:t>（一）审查响应文件</w:t>
      </w:r>
    </w:p>
    <w:p>
      <w:pPr>
        <w:pStyle w:val="14"/>
        <w:keepNext w:val="0"/>
        <w:keepLines w:val="0"/>
        <w:pageBreakBefore w:val="0"/>
        <w:widowControl w:val="0"/>
        <w:kinsoku/>
        <w:wordWrap/>
        <w:overflowPunct/>
        <w:topLinePunct w:val="0"/>
        <w:bidi w:val="0"/>
        <w:adjustRightInd/>
        <w:snapToGrid/>
        <w:spacing w:line="360" w:lineRule="auto"/>
        <w:ind w:firstLine="482" w:firstLineChars="200"/>
        <w:contextualSpacing/>
        <w:jc w:val="left"/>
        <w:textAlignment w:val="auto"/>
        <w:outlineLvl w:val="9"/>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1、审查响应文件是否符合谈判文件的商务、技术等实质性要求：</w:t>
      </w:r>
    </w:p>
    <w:p>
      <w:pPr>
        <w:pStyle w:val="14"/>
        <w:keepNext w:val="0"/>
        <w:keepLines w:val="0"/>
        <w:pageBreakBefore w:val="0"/>
        <w:widowControl w:val="0"/>
        <w:kinsoku/>
        <w:wordWrap/>
        <w:overflowPunct/>
        <w:topLinePunct w:val="0"/>
        <w:bidi w:val="0"/>
        <w:adjustRightInd/>
        <w:snapToGrid/>
        <w:spacing w:line="360" w:lineRule="auto"/>
        <w:ind w:firstLine="480" w:firstLineChars="200"/>
        <w:contextualSpacing/>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谈判小组对符合资格的投标人的响应文件进行审查，以确定其是否满足谈判文件的商务、技术等实质性要求。</w:t>
      </w:r>
    </w:p>
    <w:p>
      <w:pPr>
        <w:pStyle w:val="14"/>
        <w:keepNext w:val="0"/>
        <w:keepLines w:val="0"/>
        <w:pageBreakBefore w:val="0"/>
        <w:widowControl w:val="0"/>
        <w:kinsoku/>
        <w:wordWrap/>
        <w:overflowPunct/>
        <w:topLinePunct w:val="0"/>
        <w:bidi w:val="0"/>
        <w:adjustRightInd/>
        <w:snapToGrid/>
        <w:spacing w:line="360" w:lineRule="auto"/>
        <w:ind w:firstLine="480" w:firstLineChars="200"/>
        <w:contextualSpacing/>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注：审查中所</w:t>
      </w:r>
      <w:r>
        <w:rPr>
          <w:rFonts w:hint="eastAsia" w:ascii="宋体" w:hAnsi="宋体" w:cs="宋体"/>
          <w:color w:val="auto"/>
          <w:sz w:val="24"/>
          <w:szCs w:val="24"/>
          <w:highlight w:val="none"/>
          <w:lang w:val="zh-CN"/>
        </w:rPr>
        <w:t>涉及的</w:t>
      </w:r>
      <w:r>
        <w:rPr>
          <w:rFonts w:hint="eastAsia" w:ascii="宋体" w:hAnsi="宋体" w:eastAsia="宋体" w:cs="宋体"/>
          <w:color w:val="auto"/>
          <w:sz w:val="24"/>
          <w:szCs w:val="24"/>
          <w:highlight w:val="none"/>
          <w:lang w:val="zh-CN"/>
        </w:rPr>
        <w:t>证书及材料，均应在电子响应文件中提供原件扫描件（或图片）。</w:t>
      </w:r>
    </w:p>
    <w:p>
      <w:pPr>
        <w:pStyle w:val="14"/>
        <w:keepNext w:val="0"/>
        <w:keepLines w:val="0"/>
        <w:pageBreakBefore w:val="0"/>
        <w:widowControl w:val="0"/>
        <w:kinsoku/>
        <w:wordWrap/>
        <w:overflowPunct/>
        <w:topLinePunct w:val="0"/>
        <w:bidi w:val="0"/>
        <w:adjustRightInd/>
        <w:snapToGrid/>
        <w:spacing w:line="360" w:lineRule="auto"/>
        <w:ind w:firstLine="482" w:firstLineChars="200"/>
        <w:contextualSpacing/>
        <w:textAlignment w:val="auto"/>
        <w:outlineLvl w:val="9"/>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2、要求供应商对响应文件有关事项作出澄清或者说明：</w:t>
      </w:r>
    </w:p>
    <w:p>
      <w:pPr>
        <w:pStyle w:val="14"/>
        <w:keepNext w:val="0"/>
        <w:keepLines w:val="0"/>
        <w:pageBreakBefore w:val="0"/>
        <w:widowControl w:val="0"/>
        <w:kinsoku/>
        <w:wordWrap/>
        <w:overflowPunct/>
        <w:topLinePunct w:val="0"/>
        <w:bidi w:val="0"/>
        <w:adjustRightInd/>
        <w:snapToGrid/>
        <w:spacing w:line="360" w:lineRule="auto"/>
        <w:ind w:firstLine="480" w:firstLineChars="200"/>
        <w:contextualSpacing/>
        <w:textAlignment w:val="auto"/>
        <w:outlineLvl w:val="9"/>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pStyle w:val="14"/>
        <w:keepNext w:val="0"/>
        <w:keepLines w:val="0"/>
        <w:pageBreakBefore w:val="0"/>
        <w:widowControl w:val="0"/>
        <w:kinsoku/>
        <w:wordWrap/>
        <w:overflowPunct/>
        <w:topLinePunct w:val="0"/>
        <w:bidi w:val="0"/>
        <w:adjustRightInd/>
        <w:snapToGrid/>
        <w:spacing w:line="360" w:lineRule="auto"/>
        <w:ind w:firstLine="480" w:firstLineChars="200"/>
        <w:contextualSpacing/>
        <w:textAlignment w:val="auto"/>
        <w:outlineLvl w:val="9"/>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谈判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pPr>
        <w:pStyle w:val="14"/>
        <w:keepNext w:val="0"/>
        <w:keepLines w:val="0"/>
        <w:pageBreakBefore w:val="0"/>
        <w:widowControl w:val="0"/>
        <w:kinsoku/>
        <w:wordWrap/>
        <w:overflowPunct/>
        <w:topLinePunct w:val="0"/>
        <w:bidi w:val="0"/>
        <w:adjustRightInd/>
        <w:snapToGrid/>
        <w:spacing w:line="360" w:lineRule="auto"/>
        <w:ind w:firstLine="482" w:firstLineChars="200"/>
        <w:contextualSpacing/>
        <w:textAlignment w:val="auto"/>
        <w:outlineLvl w:val="9"/>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（二）落实政府采购政策及强制性认证</w:t>
      </w:r>
    </w:p>
    <w:p>
      <w:pPr>
        <w:pStyle w:val="14"/>
        <w:keepNext w:val="0"/>
        <w:keepLines w:val="0"/>
        <w:pageBreakBefore w:val="0"/>
        <w:widowControl w:val="0"/>
        <w:kinsoku/>
        <w:wordWrap/>
        <w:overflowPunct/>
        <w:topLinePunct w:val="0"/>
        <w:bidi w:val="0"/>
        <w:adjustRightInd/>
        <w:snapToGrid/>
        <w:spacing w:line="360" w:lineRule="auto"/>
        <w:ind w:firstLine="482" w:firstLineChars="200"/>
        <w:contextualSpacing/>
        <w:textAlignment w:val="auto"/>
        <w:outlineLvl w:val="9"/>
        <w:rPr>
          <w:rFonts w:hint="eastAsia" w:ascii="宋体" w:hAnsi="宋体" w:eastAsia="宋体" w:cs="宋体"/>
          <w:b/>
          <w:color w:val="auto"/>
          <w:sz w:val="24"/>
          <w:szCs w:val="24"/>
          <w:highlight w:val="none"/>
          <w:lang w:val="zh-CN"/>
        </w:rPr>
      </w:pPr>
      <w:r>
        <w:rPr>
          <w:rFonts w:hint="eastAsia" w:ascii="宋体" w:hAnsi="宋体" w:cs="宋体"/>
          <w:b/>
          <w:color w:val="auto"/>
          <w:sz w:val="24"/>
          <w:szCs w:val="24"/>
          <w:highlight w:val="none"/>
          <w:lang w:val="en-US" w:eastAsia="zh-CN"/>
        </w:rPr>
        <w:t>1、</w:t>
      </w:r>
      <w:r>
        <w:rPr>
          <w:rFonts w:hint="eastAsia" w:ascii="宋体" w:hAnsi="宋体" w:eastAsia="宋体" w:cs="宋体"/>
          <w:b/>
          <w:color w:val="auto"/>
          <w:sz w:val="24"/>
          <w:szCs w:val="24"/>
          <w:highlight w:val="none"/>
        </w:rPr>
        <w:t>强制采购节能产品和优先采购节能产品、优先采购环保产品</w:t>
      </w:r>
    </w:p>
    <w:p>
      <w:pPr>
        <w:pStyle w:val="14"/>
        <w:keepNext w:val="0"/>
        <w:keepLines w:val="0"/>
        <w:pageBreakBefore w:val="0"/>
        <w:widowControl w:val="0"/>
        <w:kinsoku/>
        <w:wordWrap/>
        <w:overflowPunct/>
        <w:topLinePunct w:val="0"/>
        <w:bidi w:val="0"/>
        <w:adjustRightInd/>
        <w:snapToGrid/>
        <w:spacing w:line="360" w:lineRule="auto"/>
        <w:ind w:firstLine="465"/>
        <w:contextualSpacing/>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1）对《节能产品政府采购品目清单》所列的政府强制采购节能产品</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zh-CN"/>
        </w:rPr>
        <w:t>投标人投标文件中应提供具有国家确定的认证机构出具的、处于有效期之内的节能产品认证证书，否则将承担其投标被视为非实质性响应投标的风险。</w:t>
      </w:r>
    </w:p>
    <w:p>
      <w:pPr>
        <w:pStyle w:val="14"/>
        <w:keepNext w:val="0"/>
        <w:keepLines w:val="0"/>
        <w:pageBreakBefore w:val="0"/>
        <w:widowControl w:val="0"/>
        <w:kinsoku/>
        <w:wordWrap/>
        <w:overflowPunct/>
        <w:topLinePunct w:val="0"/>
        <w:bidi w:val="0"/>
        <w:adjustRightInd/>
        <w:snapToGrid/>
        <w:spacing w:line="360" w:lineRule="auto"/>
        <w:ind w:firstLine="465"/>
        <w:contextualSpacing/>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投标人所投产品若属于《节能产品政府采购品目清单》优先采购产品，投标文件中应提供具有国家确定的认证机构出具的、处于有效期之内的节能产品认证证书，评标委员会根据本项目评标标准予以判定并赋分。</w:t>
      </w:r>
    </w:p>
    <w:p>
      <w:pPr>
        <w:pStyle w:val="14"/>
        <w:keepNext w:val="0"/>
        <w:keepLines w:val="0"/>
        <w:pageBreakBefore w:val="0"/>
        <w:widowControl w:val="0"/>
        <w:kinsoku/>
        <w:wordWrap/>
        <w:overflowPunct/>
        <w:topLinePunct w:val="0"/>
        <w:bidi w:val="0"/>
        <w:adjustRightInd/>
        <w:snapToGrid/>
        <w:spacing w:line="360" w:lineRule="auto"/>
        <w:ind w:firstLine="480" w:firstLineChars="200"/>
        <w:contextualSpacing/>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投标人所投产品若属于《环境标志产品政府采购品目清单》内产品，投标文件中应提供具有国家确定的认证机构出具的、处于有效期之内的环境标志产品认证证书，评标委员会根据本项目评标标准予以判定并赋分。</w:t>
      </w:r>
    </w:p>
    <w:p>
      <w:pPr>
        <w:pStyle w:val="14"/>
        <w:keepNext w:val="0"/>
        <w:keepLines w:val="0"/>
        <w:pageBreakBefore w:val="0"/>
        <w:widowControl w:val="0"/>
        <w:kinsoku/>
        <w:wordWrap/>
        <w:overflowPunct/>
        <w:topLinePunct w:val="0"/>
        <w:bidi w:val="0"/>
        <w:adjustRightInd/>
        <w:snapToGrid/>
        <w:spacing w:line="360" w:lineRule="auto"/>
        <w:ind w:firstLine="465"/>
        <w:contextualSpacing/>
        <w:jc w:val="left"/>
        <w:textAlignment w:val="auto"/>
        <w:outlineLvl w:val="9"/>
        <w:rPr>
          <w:rFonts w:hint="eastAsia" w:ascii="宋体" w:hAnsi="宋体" w:eastAsia="宋体" w:cs="宋体"/>
          <w:b/>
          <w:color w:val="auto"/>
          <w:sz w:val="24"/>
          <w:szCs w:val="24"/>
          <w:highlight w:val="none"/>
          <w:lang w:val="zh-CN"/>
        </w:rPr>
      </w:pPr>
      <w:r>
        <w:rPr>
          <w:rFonts w:hint="eastAsia" w:ascii="宋体" w:hAnsi="宋体" w:cs="宋体"/>
          <w:b/>
          <w:color w:val="auto"/>
          <w:sz w:val="24"/>
          <w:szCs w:val="24"/>
          <w:highlight w:val="none"/>
          <w:lang w:val="en-US" w:eastAsia="zh-CN"/>
        </w:rPr>
        <w:t>2、</w:t>
      </w:r>
      <w:r>
        <w:rPr>
          <w:rFonts w:hint="eastAsia" w:ascii="宋体" w:hAnsi="宋体" w:eastAsia="宋体" w:cs="宋体"/>
          <w:b/>
          <w:color w:val="auto"/>
          <w:sz w:val="24"/>
          <w:szCs w:val="24"/>
          <w:highlight w:val="none"/>
          <w:lang w:val="zh-CN"/>
        </w:rPr>
        <w:t>信息产品要求</w:t>
      </w:r>
    </w:p>
    <w:p>
      <w:pPr>
        <w:keepNext w:val="0"/>
        <w:keepLines w:val="0"/>
        <w:pageBreakBefore w:val="0"/>
        <w:widowControl w:val="0"/>
        <w:kinsoku/>
        <w:wordWrap/>
        <w:overflowPunct/>
        <w:topLinePunct w:val="0"/>
        <w:bidi w:val="0"/>
        <w:adjustRightInd/>
        <w:snapToGrid/>
        <w:spacing w:line="360" w:lineRule="auto"/>
        <w:ind w:firstLine="480" w:firstLineChars="200"/>
        <w:contextualSpacing/>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w:t>
      </w:r>
      <w:r>
        <w:rPr>
          <w:rFonts w:hint="eastAsia" w:ascii="宋体" w:hAnsi="宋体" w:eastAsia="宋体" w:cs="宋体"/>
          <w:color w:val="auto"/>
          <w:kern w:val="0"/>
          <w:sz w:val="24"/>
          <w:szCs w:val="24"/>
          <w:highlight w:val="none"/>
        </w:rPr>
        <w:t>投标人所投产品如被列入《信息安全产品强制性认证目录》</w:t>
      </w:r>
      <w:r>
        <w:rPr>
          <w:rFonts w:hint="eastAsia" w:ascii="宋体" w:hAnsi="宋体" w:eastAsia="宋体" w:cs="宋体"/>
          <w:color w:val="auto"/>
          <w:sz w:val="24"/>
          <w:szCs w:val="24"/>
          <w:highlight w:val="none"/>
          <w:lang w:val="zh-CN"/>
        </w:rPr>
        <w:t>，应提供由中国信息安全认证中心按国家标准认证颁发的有效认证证书。</w:t>
      </w:r>
    </w:p>
    <w:p>
      <w:pPr>
        <w:keepNext w:val="0"/>
        <w:keepLines w:val="0"/>
        <w:pageBreakBefore w:val="0"/>
        <w:widowControl w:val="0"/>
        <w:tabs>
          <w:tab w:val="left" w:pos="1260"/>
        </w:tabs>
        <w:kinsoku/>
        <w:wordWrap/>
        <w:overflowPunct/>
        <w:topLinePunct w:val="0"/>
        <w:autoSpaceDE w:val="0"/>
        <w:autoSpaceDN w:val="0"/>
        <w:bidi w:val="0"/>
        <w:adjustRightInd/>
        <w:snapToGrid/>
        <w:spacing w:line="360" w:lineRule="auto"/>
        <w:ind w:firstLine="482" w:firstLineChars="200"/>
        <w:contextualSpacing/>
        <w:textAlignment w:val="auto"/>
        <w:outlineLvl w:val="9"/>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（三）投标无效情形</w:t>
      </w:r>
    </w:p>
    <w:p>
      <w:pPr>
        <w:keepNext w:val="0"/>
        <w:keepLines w:val="0"/>
        <w:pageBreakBefore w:val="0"/>
        <w:widowControl w:val="0"/>
        <w:tabs>
          <w:tab w:val="left" w:pos="1260"/>
        </w:tabs>
        <w:kinsoku/>
        <w:wordWrap/>
        <w:overflowPunct/>
        <w:topLinePunct w:val="0"/>
        <w:autoSpaceDE w:val="0"/>
        <w:autoSpaceDN w:val="0"/>
        <w:bidi w:val="0"/>
        <w:adjustRightInd/>
        <w:snapToGrid/>
        <w:spacing w:line="360" w:lineRule="auto"/>
        <w:ind w:firstLine="480" w:firstLineChars="200"/>
        <w:contextualSpacing/>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rPr>
        <w:t>供应商应当遵循公平竞争的原则，不得恶意串通，不得妨碍其他投标人的竞争行为，不得损害采购人或者其他投标人的合法权益。在评标过程中发现投标人有上述情形的，谈判小组应当认定其投标无效。</w:t>
      </w:r>
    </w:p>
    <w:p>
      <w:pPr>
        <w:keepNext w:val="0"/>
        <w:keepLines w:val="0"/>
        <w:pageBreakBefore w:val="0"/>
        <w:widowControl w:val="0"/>
        <w:tabs>
          <w:tab w:val="left" w:pos="1260"/>
        </w:tabs>
        <w:kinsoku/>
        <w:wordWrap/>
        <w:overflowPunct/>
        <w:topLinePunct w:val="0"/>
        <w:autoSpaceDE w:val="0"/>
        <w:autoSpaceDN w:val="0"/>
        <w:bidi w:val="0"/>
        <w:adjustRightInd/>
        <w:snapToGrid/>
        <w:spacing w:line="360" w:lineRule="auto"/>
        <w:ind w:firstLine="480" w:firstLineChars="200"/>
        <w:contextualSpacing/>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rPr>
        <w:t>符合性审查资料未按采购文件要求签署、盖章的；</w:t>
      </w:r>
    </w:p>
    <w:p>
      <w:pPr>
        <w:keepNext w:val="0"/>
        <w:keepLines w:val="0"/>
        <w:pageBreakBefore w:val="0"/>
        <w:widowControl w:val="0"/>
        <w:tabs>
          <w:tab w:val="left" w:pos="1260"/>
        </w:tabs>
        <w:kinsoku/>
        <w:wordWrap/>
        <w:overflowPunct/>
        <w:topLinePunct w:val="0"/>
        <w:autoSpaceDE w:val="0"/>
        <w:autoSpaceDN w:val="0"/>
        <w:bidi w:val="0"/>
        <w:adjustRightInd/>
        <w:snapToGrid/>
        <w:spacing w:line="360" w:lineRule="auto"/>
        <w:ind w:firstLine="480" w:firstLineChars="200"/>
        <w:contextualSpacing/>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rPr>
        <w:t>有下列情形之一的，视为投标人串通投标，其投标无效：</w:t>
      </w:r>
    </w:p>
    <w:p>
      <w:pPr>
        <w:keepNext w:val="0"/>
        <w:keepLines w:val="0"/>
        <w:pageBreakBefore w:val="0"/>
        <w:widowControl w:val="0"/>
        <w:tabs>
          <w:tab w:val="left" w:pos="1260"/>
        </w:tabs>
        <w:kinsoku/>
        <w:wordWrap/>
        <w:overflowPunct/>
        <w:topLinePunct w:val="0"/>
        <w:autoSpaceDE w:val="0"/>
        <w:autoSpaceDN w:val="0"/>
        <w:bidi w:val="0"/>
        <w:adjustRightInd/>
        <w:snapToGrid/>
        <w:spacing w:line="360" w:lineRule="auto"/>
        <w:ind w:firstLine="480" w:firstLineChars="200"/>
        <w:contextualSpacing/>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rPr>
        <w:t>不同供应商的投标文件由同一单位或者个人编制；</w:t>
      </w:r>
    </w:p>
    <w:p>
      <w:pPr>
        <w:keepNext w:val="0"/>
        <w:keepLines w:val="0"/>
        <w:pageBreakBefore w:val="0"/>
        <w:widowControl w:val="0"/>
        <w:tabs>
          <w:tab w:val="left" w:pos="1260"/>
        </w:tabs>
        <w:kinsoku/>
        <w:wordWrap/>
        <w:overflowPunct/>
        <w:topLinePunct w:val="0"/>
        <w:autoSpaceDE w:val="0"/>
        <w:autoSpaceDN w:val="0"/>
        <w:bidi w:val="0"/>
        <w:adjustRightInd/>
        <w:snapToGrid/>
        <w:spacing w:line="360" w:lineRule="auto"/>
        <w:ind w:firstLine="480" w:firstLineChars="200"/>
        <w:contextualSpacing/>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rPr>
        <w:t>不同供应商委托同一单位或者个人办理投标事宜；</w:t>
      </w:r>
    </w:p>
    <w:p>
      <w:pPr>
        <w:keepNext w:val="0"/>
        <w:keepLines w:val="0"/>
        <w:pageBreakBefore w:val="0"/>
        <w:widowControl w:val="0"/>
        <w:tabs>
          <w:tab w:val="left" w:pos="1260"/>
        </w:tabs>
        <w:kinsoku/>
        <w:wordWrap/>
        <w:overflowPunct/>
        <w:topLinePunct w:val="0"/>
        <w:autoSpaceDE w:val="0"/>
        <w:autoSpaceDN w:val="0"/>
        <w:bidi w:val="0"/>
        <w:adjustRightInd/>
        <w:snapToGrid/>
        <w:spacing w:line="360" w:lineRule="auto"/>
        <w:ind w:firstLine="480" w:firstLineChars="200"/>
        <w:contextualSpacing/>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rPr>
        <w:t>不同供应商的投标文件载明的项目管理成员或者联系人员为同一人；</w:t>
      </w:r>
    </w:p>
    <w:p>
      <w:pPr>
        <w:keepNext w:val="0"/>
        <w:keepLines w:val="0"/>
        <w:pageBreakBefore w:val="0"/>
        <w:widowControl w:val="0"/>
        <w:tabs>
          <w:tab w:val="left" w:pos="1260"/>
        </w:tabs>
        <w:kinsoku/>
        <w:wordWrap/>
        <w:overflowPunct/>
        <w:topLinePunct w:val="0"/>
        <w:autoSpaceDE w:val="0"/>
        <w:autoSpaceDN w:val="0"/>
        <w:bidi w:val="0"/>
        <w:adjustRightInd/>
        <w:snapToGrid/>
        <w:spacing w:line="360" w:lineRule="auto"/>
        <w:ind w:firstLine="480" w:firstLineChars="200"/>
        <w:contextualSpacing/>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rPr>
        <w:t>不同供应商的投标文件异常一致或者投标报价呈规律性差异；</w:t>
      </w:r>
    </w:p>
    <w:p>
      <w:pPr>
        <w:keepNext w:val="0"/>
        <w:keepLines w:val="0"/>
        <w:pageBreakBefore w:val="0"/>
        <w:widowControl w:val="0"/>
        <w:tabs>
          <w:tab w:val="left" w:pos="1260"/>
        </w:tabs>
        <w:kinsoku/>
        <w:wordWrap/>
        <w:overflowPunct/>
        <w:topLinePunct w:val="0"/>
        <w:autoSpaceDE w:val="0"/>
        <w:autoSpaceDN w:val="0"/>
        <w:bidi w:val="0"/>
        <w:adjustRightInd/>
        <w:snapToGrid/>
        <w:spacing w:line="360" w:lineRule="auto"/>
        <w:ind w:firstLine="480" w:firstLineChars="200"/>
        <w:contextualSpacing/>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rPr>
        <w:t>不同供应商的投标文件相互混装；</w:t>
      </w:r>
    </w:p>
    <w:p>
      <w:pPr>
        <w:keepNext w:val="0"/>
        <w:keepLines w:val="0"/>
        <w:pageBreakBefore w:val="0"/>
        <w:widowControl w:val="0"/>
        <w:kinsoku/>
        <w:wordWrap/>
        <w:overflowPunct/>
        <w:topLinePunct w:val="0"/>
        <w:bidi w:val="0"/>
        <w:adjustRightInd/>
        <w:snapToGrid/>
        <w:spacing w:line="360" w:lineRule="auto"/>
        <w:ind w:firstLine="480" w:firstLineChars="200"/>
        <w:contextualSpacing/>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rPr>
        <w:t>谈判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谈判应当将其作为无效投标处理。</w:t>
      </w:r>
    </w:p>
    <w:p>
      <w:pPr>
        <w:keepNext w:val="0"/>
        <w:keepLines w:val="0"/>
        <w:pageBreakBefore w:val="0"/>
        <w:widowControl w:val="0"/>
        <w:tabs>
          <w:tab w:val="left" w:pos="1260"/>
        </w:tabs>
        <w:kinsoku/>
        <w:wordWrap/>
        <w:overflowPunct/>
        <w:topLinePunct w:val="0"/>
        <w:autoSpaceDE w:val="0"/>
        <w:autoSpaceDN w:val="0"/>
        <w:bidi w:val="0"/>
        <w:adjustRightInd/>
        <w:snapToGrid/>
        <w:spacing w:line="360" w:lineRule="auto"/>
        <w:ind w:firstLine="480" w:firstLineChars="200"/>
        <w:contextualSpacing/>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rPr>
        <w:t>法律法规和谈判文件规定的其他无效情形。</w:t>
      </w:r>
    </w:p>
    <w:p>
      <w:pPr>
        <w:pStyle w:val="14"/>
        <w:spacing w:line="360" w:lineRule="auto"/>
        <w:ind w:firstLine="482" w:firstLineChars="200"/>
        <w:contextualSpacing/>
        <w:outlineLvl w:val="2"/>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三、评审方法</w:t>
      </w:r>
    </w:p>
    <w:p>
      <w:pPr>
        <w:pStyle w:val="14"/>
        <w:keepNext w:val="0"/>
        <w:keepLines w:val="0"/>
        <w:pageBreakBefore w:val="0"/>
        <w:widowControl w:val="0"/>
        <w:kinsoku/>
        <w:wordWrap/>
        <w:overflowPunct/>
        <w:topLinePunct w:val="0"/>
        <w:bidi w:val="0"/>
        <w:adjustRightInd/>
        <w:snapToGrid/>
        <w:spacing w:line="360" w:lineRule="auto"/>
        <w:ind w:firstLine="480" w:firstLineChars="200"/>
        <w:contextualSpacing/>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从质量和服务均能满足采购文件实质性要求的供应商中，按照报价由低到高的顺序推荐3名成交候选人。</w:t>
      </w:r>
    </w:p>
    <w:p>
      <w:pPr>
        <w:pStyle w:val="14"/>
        <w:spacing w:line="360" w:lineRule="auto"/>
        <w:ind w:firstLine="482" w:firstLineChars="200"/>
        <w:contextualSpacing/>
        <w:outlineLvl w:val="2"/>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eastAsia="zh-CN"/>
        </w:rPr>
        <w:t>四</w:t>
      </w:r>
      <w:r>
        <w:rPr>
          <w:rFonts w:hint="eastAsia" w:ascii="宋体" w:hAnsi="宋体" w:eastAsia="宋体" w:cs="宋体"/>
          <w:b/>
          <w:color w:val="auto"/>
          <w:sz w:val="24"/>
          <w:szCs w:val="24"/>
          <w:highlight w:val="none"/>
          <w:lang w:val="zh-CN"/>
        </w:rPr>
        <w:t>、谈判小组编写评审报告。</w:t>
      </w:r>
    </w:p>
    <w:p>
      <w:pPr>
        <w:pStyle w:val="14"/>
        <w:spacing w:line="360" w:lineRule="auto"/>
        <w:ind w:firstLine="480" w:firstLineChars="200"/>
        <w:contextualSpacing/>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评审报告应当由谈判小组全体人员签字认可。谈判小组成员对评审报告有异议的，谈判小组按照少数服从多数的原则推荐成交候选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pPr>
        <w:keepNext w:val="0"/>
        <w:keepLines w:val="0"/>
        <w:pageBreakBefore w:val="0"/>
        <w:numPr>
          <w:ilvl w:val="0"/>
          <w:numId w:val="0"/>
        </w:numPr>
        <w:kinsoku/>
        <w:overflowPunct/>
        <w:topLinePunct w:val="0"/>
        <w:bidi w:val="0"/>
        <w:adjustRightInd/>
        <w:snapToGrid/>
        <w:spacing w:line="360" w:lineRule="auto"/>
        <w:ind w:right="0" w:rightChars="0" w:firstLine="482" w:firstLineChars="200"/>
        <w:contextualSpacing/>
        <w:textAlignment w:val="auto"/>
        <w:rPr>
          <w:rFonts w:hint="eastAsia" w:ascii="宋体" w:hAnsi="宋体" w:eastAsia="宋体" w:cs="宋体"/>
          <w:color w:val="auto"/>
          <w:sz w:val="24"/>
          <w:szCs w:val="24"/>
          <w:highlight w:val="none"/>
          <w:lang w:val="zh-CN"/>
        </w:rPr>
      </w:pPr>
      <w:r>
        <w:rPr>
          <w:rFonts w:hint="eastAsia" w:ascii="宋体" w:hAnsi="宋体" w:eastAsia="宋体" w:cs="宋体"/>
          <w:b/>
          <w:color w:val="auto"/>
          <w:sz w:val="24"/>
          <w:szCs w:val="24"/>
          <w:highlight w:val="none"/>
          <w:lang w:val="zh-CN"/>
        </w:rPr>
        <w:t>为进一步优化营商环境，加快政府采购实施进度，采购人委托评审委员会在推荐的中标候选人名单中直接按顺序确定中标人。</w:t>
      </w:r>
    </w:p>
    <w:p>
      <w:pPr>
        <w:wordWrap w:val="0"/>
        <w:spacing w:line="360" w:lineRule="auto"/>
        <w:ind w:firstLine="480" w:firstLineChars="200"/>
        <w:contextualSpacing/>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注：按照《关于推进全流程电子化交易和在线监管工作有关问题的通知》（许公管办〔2019〕3号）规定：评审专家应严格按照要求查看“硬件特征码” 相关信息并进行评审，在评审报告中显示“不同供应商电子响应文件制作硬件特征码”是否雷同的分析及判定结果。</w:t>
      </w:r>
    </w:p>
    <w:p>
      <w:pPr>
        <w:pStyle w:val="14"/>
        <w:spacing w:line="360" w:lineRule="auto"/>
        <w:contextualSpacing/>
        <w:rPr>
          <w:rFonts w:hint="eastAsia" w:ascii="宋体" w:hAnsi="宋体" w:eastAsia="宋体" w:cs="宋体"/>
          <w:b/>
          <w:color w:val="auto"/>
          <w:sz w:val="24"/>
          <w:szCs w:val="24"/>
          <w:highlight w:val="none"/>
          <w:lang w:val="zh-CN"/>
        </w:rPr>
      </w:pPr>
    </w:p>
    <w:p>
      <w:pPr>
        <w:adjustRightInd w:val="0"/>
        <w:snapToGrid w:val="0"/>
        <w:spacing w:line="360" w:lineRule="auto"/>
        <w:ind w:firstLine="480" w:firstLineChars="200"/>
        <w:rPr>
          <w:rFonts w:hint="eastAsia" w:ascii="宋体" w:hAnsi="宋体" w:eastAsia="宋体" w:cs="宋体"/>
          <w:color w:val="auto"/>
          <w:sz w:val="24"/>
          <w:szCs w:val="24"/>
          <w:highlight w:val="none"/>
        </w:rPr>
      </w:pPr>
    </w:p>
    <w:p>
      <w:pPr>
        <w:adjustRightInd w:val="0"/>
        <w:snapToGrid w:val="0"/>
        <w:spacing w:line="360" w:lineRule="auto"/>
        <w:ind w:firstLine="480" w:firstLineChars="200"/>
        <w:rPr>
          <w:rFonts w:hint="eastAsia" w:ascii="宋体" w:hAnsi="宋体" w:eastAsia="宋体" w:cs="宋体"/>
          <w:color w:val="auto"/>
          <w:sz w:val="24"/>
          <w:szCs w:val="24"/>
          <w:highlight w:val="none"/>
        </w:rPr>
      </w:pPr>
    </w:p>
    <w:p>
      <w:pPr>
        <w:widowControl/>
        <w:jc w:val="left"/>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br w:type="page"/>
      </w:r>
    </w:p>
    <w:p>
      <w:pPr>
        <w:pStyle w:val="2"/>
        <w:keepNext/>
        <w:keepLines/>
        <w:pageBreakBefore w:val="0"/>
        <w:widowControl w:val="0"/>
        <w:kinsoku/>
        <w:wordWrap/>
        <w:overflowPunct/>
        <w:topLinePunct w:val="0"/>
        <w:autoSpaceDE/>
        <w:autoSpaceDN/>
        <w:bidi w:val="0"/>
        <w:adjustRightInd w:val="0"/>
        <w:snapToGrid/>
        <w:spacing w:before="0" w:after="0" w:line="360" w:lineRule="auto"/>
        <w:ind w:firstLine="0"/>
        <w:jc w:val="center"/>
        <w:textAlignment w:val="baseline"/>
        <w:outlineLvl w:val="0"/>
        <w:rPr>
          <w:rFonts w:hint="eastAsia"/>
          <w:color w:val="auto"/>
          <w:sz w:val="32"/>
          <w:szCs w:val="32"/>
          <w:highlight w:val="none"/>
          <w:lang w:val="en-US" w:eastAsia="zh-CN"/>
        </w:rPr>
      </w:pPr>
      <w:r>
        <w:rPr>
          <w:rFonts w:hint="eastAsia"/>
          <w:color w:val="auto"/>
          <w:sz w:val="32"/>
          <w:szCs w:val="32"/>
          <w:highlight w:val="none"/>
          <w:lang w:val="en-US" w:eastAsia="zh-CN"/>
        </w:rPr>
        <w:t xml:space="preserve"> 拟签订的合同文本</w:t>
      </w:r>
    </w:p>
    <w:p>
      <w:pPr>
        <w:pStyle w:val="14"/>
        <w:keepNext w:val="0"/>
        <w:keepLines w:val="0"/>
        <w:pageBreakBefore w:val="0"/>
        <w:widowControl w:val="0"/>
        <w:kinsoku/>
        <w:wordWrap/>
        <w:overflowPunct/>
        <w:topLinePunct w:val="0"/>
        <w:autoSpaceDE/>
        <w:autoSpaceDN/>
        <w:bidi w:val="0"/>
        <w:adjustRightInd/>
        <w:snapToGrid/>
        <w:spacing w:line="360" w:lineRule="auto"/>
        <w:contextualSpacing/>
        <w:jc w:val="center"/>
        <w:textAlignment w:val="auto"/>
        <w:outlineLvl w:val="9"/>
        <w:rPr>
          <w:rFonts w:hint="eastAsia" w:ascii="宋体" w:hAnsi="宋体" w:eastAsia="宋体" w:cs="宋体"/>
          <w:b/>
          <w:color w:val="auto"/>
          <w:kern w:val="0"/>
          <w:sz w:val="24"/>
          <w:szCs w:val="24"/>
          <w:highlight w:val="none"/>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（此合同仅供参考。以最终采购人与中标人</w:t>
      </w:r>
      <w:r>
        <w:rPr>
          <w:rFonts w:hint="eastAsia" w:ascii="宋体" w:hAnsi="宋体" w:eastAsia="宋体" w:cs="宋体"/>
          <w:b/>
          <w:bCs/>
          <w:color w:val="auto"/>
          <w:sz w:val="24"/>
          <w:szCs w:val="24"/>
          <w:highlight w:val="none"/>
          <w:lang w:eastAsia="zh-CN"/>
        </w:rPr>
        <w:t>签订的</w:t>
      </w:r>
      <w:r>
        <w:rPr>
          <w:rFonts w:hint="eastAsia" w:ascii="宋体" w:hAnsi="宋体" w:eastAsia="宋体" w:cs="宋体"/>
          <w:b/>
          <w:bCs/>
          <w:color w:val="auto"/>
          <w:sz w:val="24"/>
          <w:szCs w:val="24"/>
          <w:highlight w:val="none"/>
        </w:rPr>
        <w:t>合同条款为准进行公示，</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最终</w:t>
      </w:r>
      <w:r>
        <w:rPr>
          <w:rFonts w:hint="eastAsia" w:ascii="宋体" w:hAnsi="宋体" w:eastAsia="宋体" w:cs="宋体"/>
          <w:b/>
          <w:bCs/>
          <w:color w:val="auto"/>
          <w:sz w:val="24"/>
          <w:szCs w:val="24"/>
          <w:highlight w:val="none"/>
          <w:lang w:eastAsia="zh-CN"/>
        </w:rPr>
        <w:t>签订合同的</w:t>
      </w:r>
      <w:r>
        <w:rPr>
          <w:rFonts w:hint="eastAsia" w:ascii="宋体" w:hAnsi="宋体" w:eastAsia="宋体" w:cs="宋体"/>
          <w:b/>
          <w:bCs/>
          <w:color w:val="auto"/>
          <w:sz w:val="24"/>
          <w:szCs w:val="24"/>
          <w:highlight w:val="none"/>
        </w:rPr>
        <w:t>主要条款不能与谈判文件有冲突）</w:t>
      </w:r>
    </w:p>
    <w:p>
      <w:pPr>
        <w:spacing w:line="400" w:lineRule="exact"/>
        <w:ind w:firstLine="480" w:firstLineChars="200"/>
        <w:jc w:val="right"/>
        <w:rPr>
          <w:rFonts w:hint="eastAsia" w:ascii="宋体" w:hAnsi="宋体" w:eastAsia="宋体" w:cs="宋体"/>
          <w:color w:val="auto"/>
          <w:sz w:val="24"/>
          <w:szCs w:val="24"/>
          <w:highlight w:val="none"/>
          <w:lang w:val="zh-CN"/>
        </w:rPr>
      </w:pPr>
    </w:p>
    <w:p>
      <w:pPr>
        <w:spacing w:line="400" w:lineRule="exact"/>
        <w:ind w:firstLine="480" w:firstLineChars="200"/>
        <w:jc w:val="right"/>
        <w:rPr>
          <w:rFonts w:hint="eastAsia" w:ascii="宋体" w:hAnsi="宋体" w:eastAsia="宋体" w:cs="宋体"/>
          <w:color w:val="auto"/>
          <w:sz w:val="24"/>
          <w:szCs w:val="24"/>
          <w:highlight w:val="none"/>
          <w:lang w:val="zh-CN"/>
        </w:rPr>
      </w:pPr>
    </w:p>
    <w:p>
      <w:pPr>
        <w:spacing w:line="400" w:lineRule="exact"/>
        <w:ind w:firstLine="480" w:firstLineChars="200"/>
        <w:jc w:val="right"/>
        <w:rPr>
          <w:rFonts w:hint="eastAsia" w:ascii="宋体" w:hAnsi="宋体" w:eastAsia="宋体" w:cs="宋体"/>
          <w:color w:val="auto"/>
          <w:sz w:val="24"/>
          <w:szCs w:val="24"/>
          <w:highlight w:val="none"/>
          <w:lang w:val="zh-CN"/>
        </w:rPr>
      </w:pPr>
    </w:p>
    <w:p>
      <w:pPr>
        <w:spacing w:line="400" w:lineRule="exact"/>
        <w:ind w:firstLine="480" w:firstLineChars="200"/>
        <w:jc w:val="righ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本合同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是/□否中小企业预留合同</w:t>
      </w:r>
    </w:p>
    <w:p>
      <w:pPr>
        <w:ind w:firstLine="480" w:firstLineChars="200"/>
        <w:jc w:val="center"/>
        <w:rPr>
          <w:rFonts w:hint="eastAsia" w:ascii="宋体" w:hAnsi="宋体" w:eastAsia="宋体" w:cs="宋体"/>
          <w:color w:val="auto"/>
          <w:sz w:val="24"/>
          <w:szCs w:val="24"/>
          <w:highlight w:val="none"/>
          <w:lang w:val="zh-CN"/>
        </w:rPr>
      </w:pPr>
    </w:p>
    <w:p>
      <w:pPr>
        <w:jc w:val="center"/>
        <w:rPr>
          <w:rFonts w:hint="eastAsia" w:ascii="宋体" w:hAnsi="宋体" w:eastAsia="宋体" w:cs="宋体"/>
          <w:color w:val="auto"/>
          <w:sz w:val="24"/>
          <w:szCs w:val="24"/>
          <w:highlight w:val="none"/>
          <w:lang w:val="zh-CN"/>
        </w:rPr>
      </w:pPr>
    </w:p>
    <w:p>
      <w:pPr>
        <w:jc w:val="center"/>
        <w:rPr>
          <w:rFonts w:hint="eastAsia" w:ascii="宋体" w:hAnsi="宋体" w:eastAsia="宋体" w:cs="宋体"/>
          <w:color w:val="auto"/>
          <w:sz w:val="24"/>
          <w:szCs w:val="24"/>
          <w:highlight w:val="none"/>
          <w:lang w:val="zh-CN"/>
        </w:rPr>
      </w:pPr>
    </w:p>
    <w:p>
      <w:pPr>
        <w:jc w:val="center"/>
        <w:rPr>
          <w:rFonts w:hint="eastAsia" w:ascii="宋体" w:hAnsi="宋体" w:eastAsia="宋体" w:cs="宋体"/>
          <w:color w:val="auto"/>
          <w:sz w:val="24"/>
          <w:szCs w:val="24"/>
          <w:highlight w:val="none"/>
          <w:lang w:val="zh-CN"/>
        </w:rPr>
      </w:pPr>
    </w:p>
    <w:p>
      <w:pPr>
        <w:jc w:val="center"/>
        <w:rPr>
          <w:rFonts w:hint="eastAsia" w:ascii="宋体" w:hAnsi="宋体" w:eastAsia="宋体" w:cs="宋体"/>
          <w:color w:val="auto"/>
          <w:sz w:val="24"/>
          <w:szCs w:val="24"/>
          <w:highlight w:val="none"/>
          <w:lang w:val="zh-CN"/>
        </w:rPr>
      </w:pPr>
    </w:p>
    <w:p>
      <w:pPr>
        <w:jc w:val="center"/>
        <w:rPr>
          <w:rFonts w:hint="eastAsia" w:ascii="宋体" w:hAnsi="宋体" w:eastAsia="宋体" w:cs="宋体"/>
          <w:color w:val="auto"/>
          <w:sz w:val="24"/>
          <w:szCs w:val="24"/>
          <w:highlight w:val="none"/>
          <w:lang w:val="zh-CN"/>
        </w:rPr>
      </w:pPr>
    </w:p>
    <w:p>
      <w:pPr>
        <w:jc w:val="center"/>
        <w:rPr>
          <w:rFonts w:hint="eastAsia" w:ascii="宋体" w:hAnsi="宋体" w:eastAsia="宋体" w:cs="宋体"/>
          <w:color w:val="auto"/>
          <w:sz w:val="24"/>
          <w:szCs w:val="24"/>
          <w:highlight w:val="none"/>
          <w:lang w:val="zh-CN"/>
        </w:rPr>
      </w:pPr>
    </w:p>
    <w:p>
      <w:pPr>
        <w:jc w:val="center"/>
        <w:rPr>
          <w:rFonts w:hint="eastAsia" w:ascii="宋体" w:hAnsi="宋体" w:eastAsia="宋体" w:cs="宋体"/>
          <w:color w:val="auto"/>
          <w:sz w:val="24"/>
          <w:szCs w:val="24"/>
          <w:highlight w:val="none"/>
          <w:lang w:val="zh-CN"/>
        </w:rPr>
      </w:pPr>
    </w:p>
    <w:p>
      <w:pPr>
        <w:jc w:val="center"/>
        <w:rPr>
          <w:rFonts w:hint="eastAsia" w:ascii="宋体" w:hAnsi="宋体" w:eastAsia="宋体" w:cs="宋体"/>
          <w:color w:val="auto"/>
          <w:sz w:val="24"/>
          <w:szCs w:val="24"/>
          <w:highlight w:val="none"/>
          <w:lang w:val="zh-CN"/>
        </w:rPr>
      </w:pPr>
    </w:p>
    <w:p>
      <w:pPr>
        <w:jc w:val="center"/>
        <w:rPr>
          <w:rFonts w:hint="eastAsia" w:ascii="宋体" w:hAnsi="宋体" w:eastAsia="宋体" w:cs="宋体"/>
          <w:color w:val="auto"/>
          <w:sz w:val="24"/>
          <w:szCs w:val="24"/>
          <w:highlight w:val="none"/>
          <w:lang w:val="zh-CN"/>
        </w:rPr>
      </w:pPr>
    </w:p>
    <w:p>
      <w:pPr>
        <w:jc w:val="center"/>
        <w:rPr>
          <w:rFonts w:hint="eastAsia" w:ascii="宋体" w:hAnsi="宋体" w:eastAsia="宋体" w:cs="宋体"/>
          <w:color w:val="auto"/>
          <w:sz w:val="24"/>
          <w:szCs w:val="24"/>
          <w:highlight w:val="none"/>
          <w:lang w:val="zh-CN"/>
        </w:rPr>
      </w:pPr>
    </w:p>
    <w:p>
      <w:pPr>
        <w:jc w:val="center"/>
        <w:rPr>
          <w:rFonts w:hint="eastAsia" w:ascii="宋体" w:hAnsi="宋体" w:eastAsia="宋体" w:cs="宋体"/>
          <w:color w:val="auto"/>
          <w:sz w:val="24"/>
          <w:szCs w:val="24"/>
          <w:highlight w:val="none"/>
          <w:lang w:val="zh-CN"/>
        </w:rPr>
      </w:pPr>
    </w:p>
    <w:p>
      <w:pPr>
        <w:jc w:val="center"/>
        <w:rPr>
          <w:rFonts w:hint="eastAsia" w:ascii="宋体" w:hAnsi="宋体" w:eastAsia="宋体" w:cs="宋体"/>
          <w:color w:val="auto"/>
          <w:sz w:val="24"/>
          <w:szCs w:val="24"/>
          <w:highlight w:val="none"/>
          <w:lang w:val="zh-CN"/>
        </w:rPr>
      </w:pPr>
    </w:p>
    <w:p>
      <w:pPr>
        <w:jc w:val="center"/>
        <w:rPr>
          <w:rFonts w:hint="eastAsia" w:ascii="宋体" w:hAnsi="宋体" w:eastAsia="宋体" w:cs="宋体"/>
          <w:color w:val="auto"/>
          <w:sz w:val="24"/>
          <w:szCs w:val="24"/>
          <w:highlight w:val="none"/>
          <w:lang w:val="zh-CN"/>
        </w:rPr>
      </w:pPr>
    </w:p>
    <w:p>
      <w:pPr>
        <w:jc w:val="center"/>
        <w:rPr>
          <w:rFonts w:hint="eastAsia" w:ascii="宋体" w:hAnsi="宋体" w:eastAsia="宋体" w:cs="宋体"/>
          <w:color w:val="auto"/>
          <w:sz w:val="24"/>
          <w:szCs w:val="24"/>
          <w:highlight w:val="none"/>
          <w:lang w:val="zh-CN"/>
        </w:rPr>
      </w:pPr>
    </w:p>
    <w:p>
      <w:pPr>
        <w:jc w:val="center"/>
        <w:rPr>
          <w:rFonts w:hint="eastAsia" w:ascii="宋体" w:hAnsi="宋体" w:eastAsia="宋体" w:cs="宋体"/>
          <w:color w:val="auto"/>
          <w:sz w:val="24"/>
          <w:szCs w:val="24"/>
          <w:highlight w:val="none"/>
          <w:lang w:val="zh-CN"/>
        </w:rPr>
      </w:pPr>
    </w:p>
    <w:p>
      <w:pPr>
        <w:jc w:val="center"/>
        <w:rPr>
          <w:rFonts w:hint="eastAsia" w:ascii="宋体" w:hAnsi="宋体" w:eastAsia="宋体" w:cs="宋体"/>
          <w:color w:val="auto"/>
          <w:sz w:val="24"/>
          <w:szCs w:val="24"/>
          <w:highlight w:val="none"/>
          <w:lang w:val="zh-CN"/>
        </w:rPr>
      </w:pPr>
    </w:p>
    <w:p>
      <w:pPr>
        <w:jc w:val="center"/>
        <w:rPr>
          <w:rFonts w:hint="eastAsia" w:ascii="宋体" w:hAnsi="宋体" w:eastAsia="宋体" w:cs="宋体"/>
          <w:color w:val="auto"/>
          <w:sz w:val="24"/>
          <w:szCs w:val="24"/>
          <w:highlight w:val="none"/>
          <w:lang w:val="zh-CN"/>
        </w:rPr>
      </w:pPr>
    </w:p>
    <w:p>
      <w:pPr>
        <w:jc w:val="center"/>
        <w:rPr>
          <w:rFonts w:hint="eastAsia" w:ascii="宋体" w:hAnsi="宋体" w:eastAsia="宋体" w:cs="宋体"/>
          <w:color w:val="auto"/>
          <w:sz w:val="24"/>
          <w:szCs w:val="24"/>
          <w:highlight w:val="none"/>
          <w:lang w:val="zh-CN"/>
        </w:rPr>
      </w:pPr>
    </w:p>
    <w:p>
      <w:pPr>
        <w:jc w:val="center"/>
        <w:rPr>
          <w:rFonts w:hint="eastAsia" w:ascii="宋体" w:hAnsi="宋体" w:eastAsia="宋体" w:cs="宋体"/>
          <w:color w:val="auto"/>
          <w:sz w:val="24"/>
          <w:szCs w:val="24"/>
          <w:highlight w:val="none"/>
          <w:lang w:val="zh-CN"/>
        </w:rPr>
      </w:pPr>
    </w:p>
    <w:p>
      <w:pPr>
        <w:jc w:val="center"/>
        <w:rPr>
          <w:rFonts w:hint="eastAsia" w:ascii="宋体" w:hAnsi="宋体" w:eastAsia="宋体" w:cs="宋体"/>
          <w:color w:val="auto"/>
          <w:sz w:val="24"/>
          <w:szCs w:val="24"/>
          <w:highlight w:val="none"/>
          <w:lang w:val="zh-CN"/>
        </w:rPr>
      </w:pPr>
    </w:p>
    <w:p>
      <w:pPr>
        <w:jc w:val="center"/>
        <w:rPr>
          <w:rFonts w:hint="eastAsia" w:ascii="宋体" w:hAnsi="宋体" w:eastAsia="宋体" w:cs="宋体"/>
          <w:color w:val="auto"/>
          <w:sz w:val="24"/>
          <w:szCs w:val="24"/>
          <w:highlight w:val="none"/>
          <w:lang w:val="zh-CN"/>
        </w:rPr>
      </w:pPr>
    </w:p>
    <w:p>
      <w:pPr>
        <w:jc w:val="center"/>
        <w:rPr>
          <w:rFonts w:hint="eastAsia" w:ascii="宋体" w:hAnsi="宋体" w:eastAsia="宋体" w:cs="宋体"/>
          <w:color w:val="auto"/>
          <w:sz w:val="24"/>
          <w:szCs w:val="24"/>
          <w:highlight w:val="none"/>
          <w:lang w:val="zh-CN"/>
        </w:rPr>
      </w:pPr>
    </w:p>
    <w:p>
      <w:pPr>
        <w:jc w:val="center"/>
        <w:rPr>
          <w:rFonts w:hint="eastAsia" w:ascii="宋体" w:hAnsi="宋体" w:eastAsia="宋体" w:cs="宋体"/>
          <w:color w:val="auto"/>
          <w:sz w:val="24"/>
          <w:szCs w:val="24"/>
          <w:highlight w:val="none"/>
          <w:lang w:val="zh-CN"/>
        </w:rPr>
      </w:pPr>
    </w:p>
    <w:p>
      <w:pPr>
        <w:jc w:val="center"/>
        <w:rPr>
          <w:rFonts w:hint="eastAsia" w:ascii="宋体" w:hAnsi="宋体" w:eastAsia="宋体" w:cs="宋体"/>
          <w:color w:val="auto"/>
          <w:sz w:val="24"/>
          <w:szCs w:val="24"/>
          <w:highlight w:val="none"/>
          <w:lang w:val="zh-CN"/>
        </w:rPr>
      </w:pPr>
    </w:p>
    <w:p>
      <w:pPr>
        <w:jc w:val="center"/>
        <w:rPr>
          <w:rFonts w:hint="eastAsia" w:ascii="宋体" w:hAnsi="宋体" w:eastAsia="宋体" w:cs="宋体"/>
          <w:color w:val="auto"/>
          <w:sz w:val="24"/>
          <w:szCs w:val="24"/>
          <w:highlight w:val="none"/>
          <w:lang w:val="zh-CN"/>
        </w:rPr>
      </w:pPr>
    </w:p>
    <w:p>
      <w:pPr>
        <w:jc w:val="center"/>
        <w:rPr>
          <w:rFonts w:hint="eastAsia" w:ascii="宋体" w:hAnsi="宋体" w:eastAsia="宋体" w:cs="宋体"/>
          <w:color w:val="auto"/>
          <w:sz w:val="24"/>
          <w:szCs w:val="24"/>
          <w:highlight w:val="none"/>
          <w:lang w:val="zh-CN"/>
        </w:rPr>
      </w:pPr>
    </w:p>
    <w:p>
      <w:pPr>
        <w:jc w:val="center"/>
        <w:rPr>
          <w:rFonts w:hint="eastAsia" w:ascii="宋体" w:hAnsi="宋体" w:eastAsia="宋体" w:cs="宋体"/>
          <w:color w:val="auto"/>
          <w:sz w:val="24"/>
          <w:szCs w:val="24"/>
          <w:highlight w:val="none"/>
          <w:lang w:val="zh-CN"/>
        </w:rPr>
      </w:pPr>
    </w:p>
    <w:p>
      <w:pPr>
        <w:jc w:val="center"/>
        <w:rPr>
          <w:rFonts w:hint="eastAsia" w:ascii="宋体" w:hAnsi="宋体" w:eastAsia="宋体" w:cs="宋体"/>
          <w:color w:val="auto"/>
          <w:sz w:val="24"/>
          <w:szCs w:val="24"/>
          <w:highlight w:val="none"/>
          <w:lang w:val="zh-CN"/>
        </w:rPr>
      </w:pPr>
    </w:p>
    <w:p>
      <w:pPr>
        <w:jc w:val="center"/>
        <w:rPr>
          <w:rFonts w:hint="eastAsia" w:ascii="宋体" w:hAnsi="宋体" w:eastAsia="宋体" w:cs="宋体"/>
          <w:color w:val="auto"/>
          <w:sz w:val="24"/>
          <w:szCs w:val="24"/>
          <w:highlight w:val="none"/>
          <w:lang w:val="zh-CN"/>
        </w:rPr>
      </w:pPr>
    </w:p>
    <w:p>
      <w:pPr>
        <w:jc w:val="both"/>
        <w:rPr>
          <w:rFonts w:hint="eastAsia" w:ascii="宋体" w:hAnsi="宋体" w:eastAsia="宋体" w:cs="宋体"/>
          <w:color w:val="auto"/>
          <w:sz w:val="48"/>
          <w:szCs w:val="48"/>
          <w:highlight w:val="none"/>
          <w:lang w:val="zh-CN"/>
        </w:rPr>
      </w:pPr>
    </w:p>
    <w:p>
      <w:pPr>
        <w:jc w:val="center"/>
        <w:rPr>
          <w:rFonts w:hint="eastAsia" w:ascii="宋体" w:hAnsi="宋体" w:eastAsia="宋体" w:cs="宋体"/>
          <w:color w:val="auto"/>
          <w:sz w:val="48"/>
          <w:szCs w:val="48"/>
          <w:highlight w:val="none"/>
          <w:lang w:val="zh-CN"/>
        </w:rPr>
      </w:pPr>
      <w:r>
        <w:rPr>
          <w:rFonts w:hint="eastAsia" w:ascii="宋体" w:hAnsi="宋体" w:eastAsia="宋体" w:cs="宋体"/>
          <w:color w:val="auto"/>
          <w:sz w:val="48"/>
          <w:szCs w:val="48"/>
          <w:highlight w:val="none"/>
          <w:lang w:val="zh-CN"/>
        </w:rPr>
        <w:t>政府采购工程合同（范本）</w:t>
      </w:r>
    </w:p>
    <w:p>
      <w:pPr>
        <w:spacing w:line="400" w:lineRule="exact"/>
        <w:ind w:firstLine="480" w:firstLineChars="200"/>
        <w:jc w:val="center"/>
        <w:rPr>
          <w:rFonts w:hint="eastAsia" w:ascii="宋体" w:hAnsi="宋体" w:eastAsia="宋体" w:cs="宋体"/>
          <w:color w:val="auto"/>
          <w:sz w:val="24"/>
          <w:szCs w:val="24"/>
          <w:highlight w:val="none"/>
          <w:lang w:val="zh-CN"/>
        </w:rPr>
      </w:pPr>
    </w:p>
    <w:p>
      <w:pPr>
        <w:spacing w:line="400" w:lineRule="exact"/>
        <w:rPr>
          <w:rFonts w:hint="eastAsia" w:ascii="宋体" w:hAnsi="宋体" w:eastAsia="宋体" w:cs="宋体"/>
          <w:color w:val="auto"/>
          <w:sz w:val="24"/>
          <w:szCs w:val="24"/>
          <w:highlight w:val="none"/>
          <w:lang w:val="zh-CN"/>
        </w:rPr>
      </w:pPr>
    </w:p>
    <w:p>
      <w:pPr>
        <w:spacing w:line="400" w:lineRule="exact"/>
        <w:ind w:firstLine="480" w:firstLineChars="200"/>
        <w:rPr>
          <w:rFonts w:hint="eastAsia" w:ascii="宋体" w:hAnsi="宋体" w:eastAsia="宋体" w:cs="宋体"/>
          <w:color w:val="auto"/>
          <w:sz w:val="24"/>
          <w:szCs w:val="24"/>
          <w:highlight w:val="none"/>
          <w:lang w:val="zh-CN"/>
        </w:rPr>
      </w:pPr>
    </w:p>
    <w:p>
      <w:pPr>
        <w:pStyle w:val="3"/>
        <w:numPr>
          <w:ilvl w:val="1"/>
          <w:numId w:val="0"/>
        </w:numPr>
        <w:ind w:left="254" w:leftChars="0"/>
        <w:outlineLvl w:val="9"/>
        <w:rPr>
          <w:rFonts w:hint="eastAsia"/>
          <w:color w:val="auto"/>
          <w:highlight w:val="none"/>
          <w:lang w:val="zh-CN"/>
        </w:rPr>
      </w:pPr>
    </w:p>
    <w:p>
      <w:pPr>
        <w:rPr>
          <w:rFonts w:hint="eastAsia"/>
          <w:color w:val="auto"/>
          <w:highlight w:val="none"/>
          <w:lang w:val="zh-CN"/>
        </w:rPr>
      </w:pPr>
    </w:p>
    <w:p>
      <w:pPr>
        <w:rPr>
          <w:rFonts w:hint="eastAsia"/>
          <w:color w:val="auto"/>
          <w:highlight w:val="none"/>
          <w:lang w:val="zh-CN"/>
        </w:rPr>
      </w:pPr>
    </w:p>
    <w:p>
      <w:pPr>
        <w:pStyle w:val="3"/>
        <w:numPr>
          <w:ilvl w:val="1"/>
          <w:numId w:val="0"/>
        </w:numPr>
        <w:ind w:left="254" w:leftChars="0"/>
        <w:outlineLvl w:val="9"/>
        <w:rPr>
          <w:rFonts w:hint="eastAsia"/>
          <w:color w:val="auto"/>
          <w:highlight w:val="none"/>
          <w:lang w:val="zh-CN"/>
        </w:rPr>
      </w:pPr>
    </w:p>
    <w:p>
      <w:pPr>
        <w:rPr>
          <w:rFonts w:hint="eastAsia"/>
          <w:color w:val="auto"/>
          <w:highlight w:val="none"/>
          <w:lang w:val="zh-CN"/>
        </w:rPr>
      </w:pPr>
    </w:p>
    <w:p>
      <w:pPr>
        <w:pStyle w:val="3"/>
        <w:numPr>
          <w:ilvl w:val="1"/>
          <w:numId w:val="0"/>
        </w:numPr>
        <w:ind w:left="254" w:leftChars="0"/>
        <w:outlineLvl w:val="9"/>
        <w:rPr>
          <w:rFonts w:hint="eastAsia"/>
          <w:color w:val="auto"/>
          <w:highlight w:val="none"/>
          <w:lang w:val="zh-CN"/>
        </w:rPr>
      </w:pPr>
    </w:p>
    <w:p>
      <w:pPr>
        <w:rPr>
          <w:rFonts w:hint="eastAsia"/>
          <w:color w:val="auto"/>
          <w:highlight w:val="none"/>
          <w:lang w:val="zh-CN"/>
        </w:rPr>
      </w:pPr>
    </w:p>
    <w:p>
      <w:pPr>
        <w:rPr>
          <w:rFonts w:hint="eastAsia"/>
          <w:color w:val="auto"/>
          <w:highlight w:val="none"/>
          <w:lang w:val="zh-CN"/>
        </w:rPr>
      </w:pPr>
    </w:p>
    <w:p>
      <w:pPr>
        <w:spacing w:line="400" w:lineRule="exact"/>
        <w:ind w:firstLine="480" w:firstLineChars="200"/>
        <w:rPr>
          <w:rFonts w:hint="eastAsia" w:ascii="宋体" w:hAnsi="宋体" w:eastAsia="宋体" w:cs="宋体"/>
          <w:color w:val="auto"/>
          <w:sz w:val="24"/>
          <w:szCs w:val="24"/>
          <w:highlight w:val="none"/>
          <w:lang w:val="zh-CN"/>
        </w:rPr>
      </w:pPr>
    </w:p>
    <w:p>
      <w:pPr>
        <w:spacing w:line="400" w:lineRule="exact"/>
        <w:ind w:firstLine="480" w:firstLineChars="200"/>
        <w:rPr>
          <w:rFonts w:hint="eastAsia" w:ascii="宋体" w:hAnsi="宋体" w:eastAsia="宋体" w:cs="宋体"/>
          <w:color w:val="auto"/>
          <w:sz w:val="24"/>
          <w:szCs w:val="24"/>
          <w:highlight w:val="none"/>
          <w:lang w:val="zh-CN"/>
        </w:rPr>
      </w:pPr>
    </w:p>
    <w:p>
      <w:pPr>
        <w:spacing w:line="360" w:lineRule="auto"/>
        <w:rPr>
          <w:rFonts w:hint="eastAsia" w:ascii="宋体" w:hAnsi="宋体" w:eastAsia="宋体" w:cs="宋体"/>
          <w:color w:val="auto"/>
          <w:sz w:val="32"/>
          <w:szCs w:val="32"/>
          <w:highlight w:val="none"/>
          <w:u w:val="singl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44"/>
          <w:szCs w:val="44"/>
          <w:highlight w:val="none"/>
        </w:rPr>
        <w:t xml:space="preserve"> </w:t>
      </w:r>
      <w:r>
        <w:rPr>
          <w:rFonts w:hint="eastAsia" w:ascii="宋体" w:hAnsi="宋体" w:eastAsia="宋体" w:cs="宋体"/>
          <w:color w:val="auto"/>
          <w:sz w:val="32"/>
          <w:szCs w:val="32"/>
          <w:highlight w:val="none"/>
        </w:rPr>
        <w:t>项目名称：</w:t>
      </w:r>
      <w:r>
        <w:rPr>
          <w:rFonts w:hint="eastAsia" w:ascii="宋体" w:hAnsi="宋体" w:eastAsia="宋体" w:cs="宋体"/>
          <w:color w:val="auto"/>
          <w:sz w:val="32"/>
          <w:szCs w:val="32"/>
          <w:highlight w:val="none"/>
          <w:u w:val="single"/>
        </w:rPr>
        <w:t xml:space="preserve">                            </w:t>
      </w:r>
    </w:p>
    <w:p>
      <w:pPr>
        <w:spacing w:line="360" w:lineRule="auto"/>
        <w:ind w:left="0" w:leftChars="0" w:firstLine="1257" w:firstLineChars="393"/>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项目编号：</w:t>
      </w:r>
      <w:r>
        <w:rPr>
          <w:rFonts w:hint="eastAsia" w:ascii="宋体" w:hAnsi="宋体" w:eastAsia="宋体" w:cs="宋体"/>
          <w:color w:val="auto"/>
          <w:sz w:val="32"/>
          <w:szCs w:val="32"/>
          <w:highlight w:val="none"/>
          <w:u w:val="single"/>
        </w:rPr>
        <w:t xml:space="preserve">                            </w:t>
      </w:r>
    </w:p>
    <w:p>
      <w:pPr>
        <w:spacing w:line="360" w:lineRule="auto"/>
        <w:ind w:firstLine="1280" w:firstLineChars="400"/>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甲方：</w:t>
      </w:r>
      <w:r>
        <w:rPr>
          <w:rFonts w:hint="eastAsia" w:ascii="宋体" w:hAnsi="宋体" w:eastAsia="宋体" w:cs="宋体"/>
          <w:color w:val="auto"/>
          <w:sz w:val="32"/>
          <w:szCs w:val="32"/>
          <w:highlight w:val="none"/>
          <w:u w:val="single"/>
        </w:rPr>
        <w:t xml:space="preserve">                               </w:t>
      </w:r>
    </w:p>
    <w:p>
      <w:pPr>
        <w:spacing w:line="360" w:lineRule="auto"/>
        <w:ind w:firstLine="1280" w:firstLineChars="400"/>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乙方：</w:t>
      </w:r>
      <w:r>
        <w:rPr>
          <w:rFonts w:hint="eastAsia" w:ascii="宋体" w:hAnsi="宋体" w:eastAsia="宋体" w:cs="宋体"/>
          <w:color w:val="auto"/>
          <w:sz w:val="32"/>
          <w:szCs w:val="32"/>
          <w:highlight w:val="none"/>
          <w:u w:val="single"/>
        </w:rPr>
        <w:t xml:space="preserve">                               </w:t>
      </w:r>
    </w:p>
    <w:p>
      <w:pPr>
        <w:spacing w:line="360" w:lineRule="auto"/>
        <w:ind w:firstLine="1280" w:firstLineChars="400"/>
        <w:rPr>
          <w:rFonts w:hint="eastAsia" w:ascii="宋体" w:hAnsi="宋体" w:eastAsia="宋体" w:cs="宋体"/>
          <w:color w:val="auto"/>
          <w:sz w:val="32"/>
          <w:szCs w:val="32"/>
          <w:highlight w:val="none"/>
          <w:u w:val="single"/>
          <w:lang w:val="zh-CN"/>
        </w:rPr>
      </w:pPr>
      <w:r>
        <w:rPr>
          <w:rFonts w:hint="eastAsia" w:ascii="宋体" w:hAnsi="宋体" w:eastAsia="宋体" w:cs="宋体"/>
          <w:color w:val="auto"/>
          <w:sz w:val="32"/>
          <w:szCs w:val="32"/>
          <w:highlight w:val="none"/>
        </w:rPr>
        <w:t>签订日期：</w:t>
      </w:r>
      <w:r>
        <w:rPr>
          <w:rFonts w:hint="eastAsia" w:ascii="宋体" w:hAnsi="宋体" w:eastAsia="宋体" w:cs="宋体"/>
          <w:color w:val="auto"/>
          <w:sz w:val="32"/>
          <w:szCs w:val="32"/>
          <w:highlight w:val="none"/>
          <w:u w:val="single"/>
        </w:rPr>
        <w:t xml:space="preserve">                           </w:t>
      </w:r>
    </w:p>
    <w:p>
      <w:pPr>
        <w:spacing w:line="400" w:lineRule="exact"/>
        <w:jc w:val="center"/>
        <w:rPr>
          <w:rFonts w:hint="eastAsia" w:ascii="宋体" w:hAnsi="宋体" w:eastAsia="宋体" w:cs="宋体"/>
          <w:color w:val="auto"/>
          <w:sz w:val="24"/>
          <w:szCs w:val="24"/>
          <w:highlight w:val="none"/>
          <w:lang w:val="zh-CN"/>
        </w:rPr>
      </w:pPr>
    </w:p>
    <w:p>
      <w:pPr>
        <w:pStyle w:val="11"/>
        <w:rPr>
          <w:rFonts w:hint="eastAsia"/>
          <w:color w:val="auto"/>
          <w:highlight w:val="none"/>
          <w:lang w:val="zh-CN"/>
        </w:rPr>
      </w:pPr>
    </w:p>
    <w:p>
      <w:pPr>
        <w:spacing w:line="360" w:lineRule="auto"/>
        <w:jc w:val="center"/>
        <w:outlineLvl w:val="1"/>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t>第一章</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lang w:val="zh-CN"/>
        </w:rPr>
        <w:t>合同协议书</w:t>
      </w:r>
    </w:p>
    <w:p>
      <w:pPr>
        <w:spacing w:line="360" w:lineRule="auto"/>
        <w:jc w:val="center"/>
        <w:rPr>
          <w:rFonts w:hint="eastAsia" w:ascii="宋体" w:hAnsi="宋体" w:eastAsia="宋体" w:cs="宋体"/>
          <w:color w:val="auto"/>
          <w:sz w:val="24"/>
          <w:szCs w:val="24"/>
          <w:highlight w:val="none"/>
          <w:lang w:val="zh-CN"/>
        </w:rPr>
      </w:pP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（发包人）所需</w:t>
      </w:r>
      <w:r>
        <w:rPr>
          <w:rFonts w:hint="eastAsia" w:ascii="宋体" w:hAnsi="宋体" w:eastAsia="宋体" w:cs="宋体"/>
          <w:color w:val="auto"/>
          <w:sz w:val="24"/>
          <w:szCs w:val="24"/>
          <w:highlight w:val="none"/>
          <w:u w:val="single"/>
        </w:rPr>
        <w:t xml:space="preserve">   （项目名称）   </w:t>
      </w:r>
      <w:r>
        <w:rPr>
          <w:rFonts w:hint="eastAsia" w:ascii="宋体" w:hAnsi="宋体" w:eastAsia="宋体" w:cs="宋体"/>
          <w:color w:val="auto"/>
          <w:sz w:val="24"/>
          <w:szCs w:val="24"/>
          <w:highlight w:val="none"/>
        </w:rPr>
        <w:t>经以</w:t>
      </w:r>
      <w:r>
        <w:rPr>
          <w:rFonts w:hint="eastAsia" w:ascii="宋体" w:hAnsi="宋体" w:eastAsia="宋体" w:cs="宋体"/>
          <w:color w:val="auto"/>
          <w:sz w:val="24"/>
          <w:szCs w:val="24"/>
          <w:highlight w:val="none"/>
          <w:u w:val="single"/>
        </w:rPr>
        <w:t xml:space="preserve">   （项目编号）  </w:t>
      </w:r>
      <w:r>
        <w:rPr>
          <w:rFonts w:hint="eastAsia" w:ascii="宋体" w:hAnsi="宋体" w:eastAsia="宋体" w:cs="宋体"/>
          <w:color w:val="auto"/>
          <w:sz w:val="24"/>
          <w:szCs w:val="24"/>
          <w:highlight w:val="none"/>
        </w:rPr>
        <w:t>采购文件以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方式进行采购，确定</w:t>
      </w:r>
      <w:r>
        <w:rPr>
          <w:rFonts w:hint="eastAsia" w:ascii="宋体" w:hAnsi="宋体" w:eastAsia="宋体" w:cs="宋体"/>
          <w:color w:val="auto"/>
          <w:sz w:val="24"/>
          <w:szCs w:val="24"/>
          <w:highlight w:val="none"/>
          <w:u w:val="single"/>
        </w:rPr>
        <w:t xml:space="preserve">  （承包人）  </w:t>
      </w:r>
      <w:r>
        <w:rPr>
          <w:rFonts w:hint="eastAsia" w:ascii="宋体" w:hAnsi="宋体" w:eastAsia="宋体" w:cs="宋体"/>
          <w:color w:val="auto"/>
          <w:sz w:val="24"/>
          <w:szCs w:val="24"/>
          <w:highlight w:val="none"/>
        </w:rPr>
        <w:t>为成交供应商。发包人、承包人双方根据《中华人民共和国民法典》《中华人民共和国政府采购法》等相关法律以及本项目采购文件的规定，经平等协商达成合同如下：</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一、合同文件</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本合同所附下列文件是构成本合同不可分割的部分：</w:t>
      </w:r>
    </w:p>
    <w:p>
      <w:pPr>
        <w:numPr>
          <w:ilvl w:val="0"/>
          <w:numId w:val="46"/>
        </w:num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政府采购文件（含采购文件的澄清、修改等）；</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（二）成交供应商响应文件；</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（三）合同格式、合同条款</w:t>
      </w:r>
      <w:r>
        <w:rPr>
          <w:rFonts w:hint="eastAsia" w:ascii="宋体" w:hAnsi="宋体" w:eastAsia="宋体" w:cs="宋体"/>
          <w:color w:val="auto"/>
          <w:sz w:val="24"/>
          <w:szCs w:val="24"/>
          <w:highlight w:val="none"/>
          <w:lang w:eastAsia="zh-CN"/>
        </w:rPr>
        <w:t>；</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（四）成交供应商在评标过程中</w:t>
      </w:r>
      <w:r>
        <w:rPr>
          <w:rFonts w:hint="eastAsia" w:ascii="宋体" w:hAnsi="宋体" w:eastAsia="宋体" w:cs="宋体"/>
          <w:color w:val="auto"/>
          <w:sz w:val="24"/>
          <w:szCs w:val="24"/>
          <w:highlight w:val="none"/>
          <w:lang w:eastAsia="zh-CN"/>
        </w:rPr>
        <w:t>作出</w:t>
      </w:r>
      <w:r>
        <w:rPr>
          <w:rFonts w:hint="eastAsia" w:ascii="宋体" w:hAnsi="宋体" w:eastAsia="宋体" w:cs="宋体"/>
          <w:color w:val="auto"/>
          <w:sz w:val="24"/>
          <w:szCs w:val="24"/>
          <w:highlight w:val="none"/>
        </w:rPr>
        <w:t>的有关澄清、说明或者补正文件；</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（五）中标（成交）通知书；</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（六）技术标准和要求；</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（七）图纸；</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（八）已标价工程量清单或预算书；</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（九）其他合同文件。</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二、合同的范围和条件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本合同的范围和条件应与上述合同文件的规定相一致。</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三、工程概况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工程名称：</w:t>
      </w:r>
      <w:r>
        <w:rPr>
          <w:rFonts w:hint="eastAsia" w:ascii="宋体" w:hAnsi="宋体" w:eastAsia="宋体" w:cs="宋体"/>
          <w:color w:val="auto"/>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工程地点：</w:t>
      </w:r>
      <w:r>
        <w:rPr>
          <w:rFonts w:hint="eastAsia" w:ascii="宋体" w:hAnsi="宋体" w:eastAsia="宋体" w:cs="宋体"/>
          <w:color w:val="auto"/>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工程内容：</w:t>
      </w:r>
      <w:r>
        <w:rPr>
          <w:rFonts w:hint="eastAsia" w:ascii="宋体" w:hAnsi="宋体" w:eastAsia="宋体" w:cs="宋体"/>
          <w:color w:val="auto"/>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工程立项批准文号：</w:t>
      </w:r>
      <w:r>
        <w:rPr>
          <w:rFonts w:hint="eastAsia" w:ascii="宋体" w:hAnsi="宋体" w:eastAsia="宋体" w:cs="宋体"/>
          <w:color w:val="auto"/>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四、工程质量标准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工程质量符合合格及以上标准</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五、合同金额</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签约合同价与合同价格形式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1.签约合同价为：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工程造价：</w:t>
      </w:r>
      <w:r>
        <w:rPr>
          <w:rFonts w:hint="eastAsia" w:ascii="宋体" w:hAnsi="宋体" w:eastAsia="宋体" w:cs="宋体"/>
          <w:color w:val="auto"/>
          <w:sz w:val="24"/>
          <w:szCs w:val="24"/>
          <w:highlight w:val="none"/>
          <w:u w:val="single"/>
        </w:rPr>
        <w:t>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元）。</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元）；</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其中：</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（1）安全文明施工费：</w:t>
      </w:r>
      <w:r>
        <w:rPr>
          <w:rFonts w:hint="eastAsia" w:ascii="宋体" w:hAnsi="宋体" w:eastAsia="宋体" w:cs="宋体"/>
          <w:color w:val="auto"/>
          <w:sz w:val="24"/>
          <w:szCs w:val="24"/>
          <w:highlight w:val="none"/>
          <w:u w:val="single"/>
        </w:rPr>
        <w:t>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元）</w:t>
      </w:r>
      <w:r>
        <w:rPr>
          <w:rFonts w:hint="eastAsia" w:ascii="宋体" w:hAnsi="宋体" w:eastAsia="宋体" w:cs="宋体"/>
          <w:color w:val="auto"/>
          <w:sz w:val="24"/>
          <w:szCs w:val="24"/>
          <w:highlight w:val="none"/>
          <w:u w:val="singl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（2）材料和工程设备暂估价金额：</w:t>
      </w:r>
      <w:r>
        <w:rPr>
          <w:rFonts w:hint="eastAsia" w:ascii="宋体" w:hAnsi="宋体" w:eastAsia="宋体" w:cs="宋体"/>
          <w:color w:val="auto"/>
          <w:sz w:val="24"/>
          <w:szCs w:val="24"/>
          <w:highlight w:val="none"/>
          <w:u w:val="single"/>
        </w:rPr>
        <w:t>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元）；</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（3）专业工程暂估价金额：</w:t>
      </w:r>
      <w:r>
        <w:rPr>
          <w:rFonts w:hint="eastAsia" w:ascii="宋体" w:hAnsi="宋体" w:eastAsia="宋体" w:cs="宋体"/>
          <w:color w:val="auto"/>
          <w:sz w:val="24"/>
          <w:szCs w:val="24"/>
          <w:highlight w:val="none"/>
          <w:u w:val="single"/>
        </w:rPr>
        <w:t>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元</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（4）暂列金额：</w:t>
      </w:r>
      <w:r>
        <w:rPr>
          <w:rFonts w:hint="eastAsia" w:ascii="宋体" w:hAnsi="宋体" w:eastAsia="宋体" w:cs="宋体"/>
          <w:color w:val="auto"/>
          <w:sz w:val="24"/>
          <w:szCs w:val="24"/>
          <w:highlight w:val="none"/>
          <w:u w:val="single"/>
        </w:rPr>
        <w:t>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元）</w:t>
      </w:r>
      <w:r>
        <w:rPr>
          <w:rFonts w:hint="eastAsia" w:ascii="宋体" w:hAnsi="宋体" w:eastAsia="宋体" w:cs="宋体"/>
          <w:color w:val="auto"/>
          <w:sz w:val="24"/>
          <w:szCs w:val="24"/>
          <w:highlight w:val="none"/>
          <w:u w:val="singl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2.合同价格形式：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六、付款方式</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七、缺陷责任期</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工程缺陷责任期为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个月，缺陷责任期自工程通过竣工验收之日起计算。单位工程先于全部工程进行验收，单位工程缺陷责任期自单位工程验收合格之日起算。</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缺陷责任期终止后，发包人应退还剩余的质量保证金。</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八、施工日期、地点</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1.开工日期：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2.竣工日期：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3.合同工期日历日。</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九、合同生效</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本合同自经双方法定代表人或其授权代表签字并加盖双方合同章后生效。</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十、合同保存</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份，均具有同等法律效力，发包人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份，承包人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份，代理机构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十一、关于政府采购合同融资</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政府采购合同签订前开展融资业务的。成交供应商持政府采购成交通知书提前与金融机构进行合同融资商洽，双方达成融资意向后，成交供应商与采购人签订政府采购合同，合同中供应商的银行账户要与合同融资的回款账户一致。成交供应商和贷款金融机构要及时将政府采购合同作为融资质押的信息告知采购人。采购人要从严加强合同付款账户管理，未经贷款银行同意，不随意更改合同付款账户。</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2.政府采购</w:t>
      </w:r>
      <w:r>
        <w:rPr>
          <w:rFonts w:hint="eastAsia" w:ascii="宋体" w:hAnsi="宋体" w:eastAsia="宋体" w:cs="宋体"/>
          <w:color w:val="auto"/>
          <w:sz w:val="24"/>
          <w:szCs w:val="24"/>
          <w:highlight w:val="none"/>
          <w:lang w:eastAsia="zh-CN"/>
        </w:rPr>
        <w:t>合同签订后</w:t>
      </w:r>
      <w:r>
        <w:rPr>
          <w:rFonts w:hint="eastAsia" w:ascii="宋体" w:hAnsi="宋体" w:eastAsia="宋体" w:cs="宋体"/>
          <w:color w:val="auto"/>
          <w:sz w:val="24"/>
          <w:szCs w:val="24"/>
          <w:highlight w:val="none"/>
        </w:rPr>
        <w:t>开展融资的账户管理。在合同履约期间，成交供应商持已经签订的政府采购合同向金融机构申请合同融资，可能出现政府采购合同中供应商收款的银行账户与拟贷款银行回款账户不一致的情形。为支持供应商通过政府采购合同成功获得银行贷款，采购人应积极协助供应商及时变更政府采购合同中的供应商收</w:t>
      </w:r>
      <w:r>
        <w:rPr>
          <w:rFonts w:hint="eastAsia" w:ascii="宋体" w:hAnsi="宋体" w:eastAsia="宋体" w:cs="宋体"/>
          <w:color w:val="auto"/>
          <w:sz w:val="24"/>
          <w:szCs w:val="24"/>
          <w:highlight w:val="none"/>
          <w:lang w:eastAsia="zh-CN"/>
        </w:rPr>
        <w:t>款</w:t>
      </w:r>
      <w:r>
        <w:rPr>
          <w:rFonts w:hint="eastAsia" w:ascii="宋体" w:hAnsi="宋体" w:eastAsia="宋体" w:cs="宋体"/>
          <w:color w:val="auto"/>
          <w:sz w:val="24"/>
          <w:szCs w:val="24"/>
          <w:highlight w:val="none"/>
        </w:rPr>
        <w:t>银行账户，保障供应商收款的银行账户与拟</w:t>
      </w:r>
      <w:r>
        <w:rPr>
          <w:rFonts w:hint="eastAsia" w:ascii="宋体" w:hAnsi="宋体" w:eastAsia="宋体" w:cs="宋体"/>
          <w:color w:val="auto"/>
          <w:sz w:val="24"/>
          <w:szCs w:val="24"/>
          <w:highlight w:val="none"/>
          <w:lang w:eastAsia="zh-CN"/>
        </w:rPr>
        <w:t>贷款</w:t>
      </w:r>
      <w:r>
        <w:rPr>
          <w:rFonts w:hint="eastAsia" w:ascii="宋体" w:hAnsi="宋体" w:eastAsia="宋体" w:cs="宋体"/>
          <w:color w:val="auto"/>
          <w:sz w:val="24"/>
          <w:szCs w:val="24"/>
          <w:highlight w:val="none"/>
        </w:rPr>
        <w:t>银行回款账户一致。</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3.当成交供应商成功获批银行贷款后，采购人还应根据信息公开平台推送的“确认单”信息，加强合同账户及资金支付管理，确保合同资金准确支付到贷款银行确认的回款账户。采购人不得以</w:t>
      </w:r>
      <w:r>
        <w:rPr>
          <w:rFonts w:hint="eastAsia" w:ascii="宋体" w:hAnsi="宋体" w:eastAsia="宋体" w:cs="宋体"/>
          <w:color w:val="auto"/>
          <w:sz w:val="24"/>
          <w:szCs w:val="24"/>
          <w:highlight w:val="none"/>
          <w:lang w:eastAsia="zh-CN"/>
        </w:rPr>
        <w:t>未</w:t>
      </w:r>
      <w:r>
        <w:rPr>
          <w:rFonts w:hint="eastAsia" w:ascii="宋体" w:hAnsi="宋体" w:eastAsia="宋体" w:cs="宋体"/>
          <w:color w:val="auto"/>
          <w:sz w:val="24"/>
          <w:szCs w:val="24"/>
          <w:highlight w:val="none"/>
        </w:rPr>
        <w:t>看见“确认单”信息为由，不经</w:t>
      </w:r>
      <w:r>
        <w:rPr>
          <w:rFonts w:hint="eastAsia" w:ascii="宋体" w:hAnsi="宋体" w:eastAsia="宋体" w:cs="宋体"/>
          <w:color w:val="auto"/>
          <w:sz w:val="24"/>
          <w:szCs w:val="24"/>
          <w:highlight w:val="none"/>
          <w:lang w:eastAsia="zh-CN"/>
        </w:rPr>
        <w:t>贷款</w:t>
      </w:r>
      <w:r>
        <w:rPr>
          <w:rFonts w:hint="eastAsia" w:ascii="宋体" w:hAnsi="宋体" w:eastAsia="宋体" w:cs="宋体"/>
          <w:color w:val="auto"/>
          <w:sz w:val="24"/>
          <w:szCs w:val="24"/>
          <w:highlight w:val="none"/>
        </w:rPr>
        <w:t>银行同意擅自更改合同账户、非法支付项目资金，造成不良后果的，将承担相应法律责任。</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十二、权利瑕疵担保</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1.乙方保证对其出售的标的物享有合法的权利；</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2.乙方应保证在其出售的标的物上不存在任何未曾向甲方透露的</w:t>
      </w:r>
      <w:r>
        <w:rPr>
          <w:rFonts w:hint="eastAsia" w:ascii="宋体" w:hAnsi="宋体" w:eastAsia="宋体" w:cs="宋体"/>
          <w:color w:val="auto"/>
          <w:sz w:val="24"/>
          <w:szCs w:val="24"/>
          <w:highlight w:val="none"/>
          <w:lang w:eastAsia="zh-CN"/>
        </w:rPr>
        <w:t>担保物权</w:t>
      </w:r>
      <w:r>
        <w:rPr>
          <w:rFonts w:hint="eastAsia" w:ascii="宋体" w:hAnsi="宋体" w:eastAsia="宋体" w:cs="宋体"/>
          <w:color w:val="auto"/>
          <w:sz w:val="24"/>
          <w:szCs w:val="24"/>
          <w:highlight w:val="none"/>
        </w:rPr>
        <w:t>，如抵押权、质押权、留置权等；</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3.乙方应保证其所出售的标的物没有侵犯任何第三人的知识产权和商业秘密等权利；</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4.如甲方使用该标的物构成上述侵权的，则由乙方承担全部责任。</w:t>
      </w:r>
    </w:p>
    <w:p>
      <w:pPr>
        <w:keepNext w:val="0"/>
        <w:keepLines w:val="0"/>
        <w:pageBreakBefore w:val="0"/>
        <w:widowControl w:val="0"/>
        <w:kinsoku/>
        <w:wordWrap/>
        <w:overflowPunct/>
        <w:topLinePunct w:val="0"/>
        <w:autoSpaceDE w:val="0"/>
        <w:autoSpaceDN w:val="0"/>
        <w:bidi w:val="0"/>
        <w:adjustRightInd w:val="0"/>
        <w:snapToGrid/>
        <w:spacing w:line="360" w:lineRule="auto"/>
        <w:ind w:firstLine="240" w:firstLineChars="1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发包人：   （公章）             发包人：   （公章）</w:t>
      </w:r>
    </w:p>
    <w:p>
      <w:pPr>
        <w:keepNext w:val="0"/>
        <w:keepLines w:val="0"/>
        <w:pageBreakBefore w:val="0"/>
        <w:widowControl w:val="0"/>
        <w:kinsoku/>
        <w:wordWrap/>
        <w:overflowPunct/>
        <w:topLinePunct w:val="0"/>
        <w:autoSpaceDE w:val="0"/>
        <w:autoSpaceDN w:val="0"/>
        <w:bidi w:val="0"/>
        <w:adjustRightInd w:val="0"/>
        <w:snapToGrid/>
        <w:spacing w:line="360" w:lineRule="auto"/>
        <w:ind w:firstLine="240" w:firstLineChars="1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法定代表人或其委托代理人：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法定代表人或其委托代理人：                 </w:t>
      </w:r>
    </w:p>
    <w:p>
      <w:pPr>
        <w:keepNext w:val="0"/>
        <w:keepLines w:val="0"/>
        <w:pageBreakBefore w:val="0"/>
        <w:widowControl w:val="0"/>
        <w:kinsoku/>
        <w:wordWrap/>
        <w:overflowPunct/>
        <w:topLinePunct w:val="0"/>
        <w:autoSpaceDE w:val="0"/>
        <w:autoSpaceDN w:val="0"/>
        <w:bidi w:val="0"/>
        <w:adjustRightInd w:val="0"/>
        <w:snapToGrid/>
        <w:spacing w:line="360" w:lineRule="auto"/>
        <w:ind w:firstLine="240" w:firstLineChars="1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（签字）</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（签字）</w:t>
      </w:r>
    </w:p>
    <w:p>
      <w:pPr>
        <w:keepNext w:val="0"/>
        <w:keepLines w:val="0"/>
        <w:pageBreakBefore w:val="0"/>
        <w:widowControl w:val="0"/>
        <w:kinsoku/>
        <w:wordWrap/>
        <w:overflowPunct/>
        <w:topLinePunct w:val="0"/>
        <w:autoSpaceDE w:val="0"/>
        <w:autoSpaceDN w:val="0"/>
        <w:bidi w:val="0"/>
        <w:adjustRightInd w:val="0"/>
        <w:snapToGrid/>
        <w:spacing w:line="360" w:lineRule="auto"/>
        <w:ind w:firstLine="240" w:firstLineChars="1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组织机构代码：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组织机构代码：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pPr>
        <w:keepNext w:val="0"/>
        <w:keepLines w:val="0"/>
        <w:pageBreakBefore w:val="0"/>
        <w:widowControl w:val="0"/>
        <w:kinsoku/>
        <w:wordWrap/>
        <w:overflowPunct/>
        <w:topLinePunct w:val="0"/>
        <w:bidi w:val="0"/>
        <w:snapToGrid/>
        <w:spacing w:line="360" w:lineRule="auto"/>
        <w:ind w:firstLine="240" w:firstLineChars="1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single"/>
        </w:rPr>
        <w:t xml:space="preserve">                        </w:t>
      </w:r>
    </w:p>
    <w:p>
      <w:pPr>
        <w:keepNext w:val="0"/>
        <w:keepLines w:val="0"/>
        <w:pageBreakBefore w:val="0"/>
        <w:widowControl w:val="0"/>
        <w:kinsoku/>
        <w:wordWrap/>
        <w:overflowPunct/>
        <w:topLinePunct w:val="0"/>
        <w:bidi w:val="0"/>
        <w:snapToGrid/>
        <w:spacing w:line="360" w:lineRule="auto"/>
        <w:ind w:firstLine="240" w:firstLineChars="1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邮政编码：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邮政编码：</w:t>
      </w:r>
      <w:r>
        <w:rPr>
          <w:rFonts w:hint="eastAsia" w:ascii="宋体" w:hAnsi="宋体" w:eastAsia="宋体" w:cs="宋体"/>
          <w:color w:val="auto"/>
          <w:sz w:val="24"/>
          <w:szCs w:val="24"/>
          <w:highlight w:val="none"/>
          <w:u w:val="single"/>
        </w:rPr>
        <w:t xml:space="preserve">                    </w:t>
      </w:r>
    </w:p>
    <w:p>
      <w:pPr>
        <w:keepNext w:val="0"/>
        <w:keepLines w:val="0"/>
        <w:pageBreakBefore w:val="0"/>
        <w:widowControl w:val="0"/>
        <w:kinsoku/>
        <w:wordWrap/>
        <w:overflowPunct/>
        <w:topLinePunct w:val="0"/>
        <w:bidi w:val="0"/>
        <w:snapToGrid/>
        <w:spacing w:line="360" w:lineRule="auto"/>
        <w:ind w:firstLine="240" w:firstLineChars="1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u w:val="single"/>
        </w:rPr>
        <w:t xml:space="preserve">                  </w:t>
      </w:r>
    </w:p>
    <w:p>
      <w:pPr>
        <w:keepNext w:val="0"/>
        <w:keepLines w:val="0"/>
        <w:pageBreakBefore w:val="0"/>
        <w:widowControl w:val="0"/>
        <w:kinsoku/>
        <w:wordWrap/>
        <w:overflowPunct/>
        <w:topLinePunct w:val="0"/>
        <w:bidi w:val="0"/>
        <w:snapToGrid/>
        <w:spacing w:line="360" w:lineRule="auto"/>
        <w:ind w:firstLine="240" w:firstLineChars="1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zh-CN"/>
        </w:rPr>
        <w:t>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委托代理人：</w:t>
      </w:r>
      <w:r>
        <w:rPr>
          <w:rFonts w:hint="eastAsia" w:ascii="宋体" w:hAnsi="宋体" w:eastAsia="宋体" w:cs="宋体"/>
          <w:color w:val="auto"/>
          <w:sz w:val="24"/>
          <w:szCs w:val="24"/>
          <w:highlight w:val="none"/>
          <w:u w:val="single"/>
        </w:rPr>
        <w:t xml:space="preserve">                  </w:t>
      </w:r>
    </w:p>
    <w:p>
      <w:pPr>
        <w:autoSpaceDE w:val="0"/>
        <w:autoSpaceDN w:val="0"/>
        <w:adjustRightInd w:val="0"/>
        <w:spacing w:line="360" w:lineRule="auto"/>
        <w:ind w:firstLine="240" w:firstLineChars="1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电话：</w:t>
      </w:r>
      <w:r>
        <w:rPr>
          <w:rFonts w:hint="eastAsia" w:ascii="宋体" w:hAnsi="宋体" w:eastAsia="宋体" w:cs="宋体"/>
          <w:color w:val="auto"/>
          <w:sz w:val="24"/>
          <w:szCs w:val="24"/>
          <w:highlight w:val="none"/>
          <w:u w:val="single"/>
        </w:rPr>
        <w:t xml:space="preserve">                        </w:t>
      </w:r>
    </w:p>
    <w:p>
      <w:pPr>
        <w:autoSpaceDE w:val="0"/>
        <w:autoSpaceDN w:val="0"/>
        <w:adjustRightInd w:val="0"/>
        <w:spacing w:line="360" w:lineRule="auto"/>
        <w:ind w:firstLine="240" w:firstLineChars="1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传真：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传真：</w:t>
      </w:r>
      <w:r>
        <w:rPr>
          <w:rFonts w:hint="eastAsia" w:ascii="宋体" w:hAnsi="宋体" w:eastAsia="宋体" w:cs="宋体"/>
          <w:color w:val="auto"/>
          <w:sz w:val="24"/>
          <w:szCs w:val="24"/>
          <w:highlight w:val="none"/>
          <w:u w:val="single"/>
        </w:rPr>
        <w:t xml:space="preserve">                       </w:t>
      </w:r>
    </w:p>
    <w:p>
      <w:pPr>
        <w:autoSpaceDE w:val="0"/>
        <w:autoSpaceDN w:val="0"/>
        <w:adjustRightInd w:val="0"/>
        <w:spacing w:line="360" w:lineRule="auto"/>
        <w:ind w:firstLine="240" w:firstLineChars="1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xml:space="preserve">                    </w:t>
      </w:r>
    </w:p>
    <w:p>
      <w:pPr>
        <w:autoSpaceDE w:val="0"/>
        <w:autoSpaceDN w:val="0"/>
        <w:adjustRightInd w:val="0"/>
        <w:spacing w:line="360" w:lineRule="auto"/>
        <w:ind w:firstLine="240" w:firstLineChars="1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zh-CN"/>
        </w:rPr>
        <w:t>开户银行：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开户银行：</w:t>
      </w:r>
      <w:r>
        <w:rPr>
          <w:rFonts w:hint="eastAsia" w:ascii="宋体" w:hAnsi="宋体" w:eastAsia="宋体" w:cs="宋体"/>
          <w:color w:val="auto"/>
          <w:sz w:val="24"/>
          <w:szCs w:val="24"/>
          <w:highlight w:val="none"/>
          <w:u w:val="single"/>
        </w:rPr>
        <w:t xml:space="preserve">                    </w:t>
      </w:r>
    </w:p>
    <w:p>
      <w:pPr>
        <w:autoSpaceDE w:val="0"/>
        <w:autoSpaceDN w:val="0"/>
        <w:adjustRightInd w:val="0"/>
        <w:spacing w:line="360" w:lineRule="auto"/>
        <w:ind w:firstLine="240" w:firstLineChars="1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zh-CN"/>
        </w:rPr>
        <w:t>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账号：</w:t>
      </w:r>
      <w:r>
        <w:rPr>
          <w:rFonts w:hint="eastAsia" w:ascii="宋体" w:hAnsi="宋体" w:eastAsia="宋体" w:cs="宋体"/>
          <w:color w:val="auto"/>
          <w:sz w:val="24"/>
          <w:szCs w:val="24"/>
          <w:highlight w:val="none"/>
          <w:u w:val="single"/>
        </w:rPr>
        <w:t xml:space="preserve">                        </w:t>
      </w:r>
    </w:p>
    <w:p>
      <w:pPr>
        <w:autoSpaceDE w:val="0"/>
        <w:autoSpaceDN w:val="0"/>
        <w:adjustRightInd w:val="0"/>
        <w:spacing w:line="360" w:lineRule="auto"/>
        <w:rPr>
          <w:rFonts w:hint="eastAsia" w:ascii="宋体" w:hAnsi="宋体" w:eastAsia="宋体" w:cs="宋体"/>
          <w:color w:val="auto"/>
          <w:sz w:val="24"/>
          <w:szCs w:val="24"/>
          <w:highlight w:val="none"/>
          <w:u w:val="single"/>
        </w:rPr>
      </w:pPr>
    </w:p>
    <w:p>
      <w:pPr>
        <w:spacing w:line="360" w:lineRule="auto"/>
        <w:jc w:val="center"/>
        <w:outlineLvl w:val="1"/>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t>第二章</w:t>
      </w:r>
      <w:r>
        <w:rPr>
          <w:rFonts w:hint="eastAsia" w:ascii="宋体" w:hAnsi="宋体" w:eastAsia="宋体" w:cs="宋体"/>
          <w:b/>
          <w:bCs/>
          <w:color w:val="auto"/>
          <w:sz w:val="32"/>
          <w:szCs w:val="32"/>
          <w:highlight w:val="none"/>
        </w:rPr>
        <w:t xml:space="preserve"> 通用条款</w:t>
      </w:r>
    </w:p>
    <w:p>
      <w:pPr>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参照住房城乡建设部、国家工商行政管理总局制订的《建设工程施工合同》示范文本（</w:t>
      </w:r>
      <w:r>
        <w:rPr>
          <w:rFonts w:hint="eastAsia" w:ascii="宋体" w:hAnsi="宋体" w:eastAsia="宋体" w:cs="宋体"/>
          <w:color w:val="auto"/>
          <w:sz w:val="24"/>
          <w:szCs w:val="24"/>
          <w:highlight w:val="none"/>
        </w:rPr>
        <w:t>GF-2017-0201</w:t>
      </w:r>
      <w:r>
        <w:rPr>
          <w:rFonts w:hint="eastAsia" w:ascii="宋体" w:hAnsi="宋体" w:eastAsia="宋体" w:cs="宋体"/>
          <w:color w:val="auto"/>
          <w:sz w:val="24"/>
          <w:szCs w:val="24"/>
          <w:highlight w:val="none"/>
          <w:lang w:val="zh-CN"/>
        </w:rPr>
        <w:t>）。</w:t>
      </w:r>
    </w:p>
    <w:p>
      <w:pPr>
        <w:spacing w:line="360" w:lineRule="auto"/>
        <w:jc w:val="center"/>
        <w:rPr>
          <w:rFonts w:hint="eastAsia" w:ascii="宋体" w:hAnsi="宋体" w:eastAsia="宋体" w:cs="宋体"/>
          <w:color w:val="auto"/>
          <w:sz w:val="24"/>
          <w:szCs w:val="24"/>
          <w:highlight w:val="none"/>
        </w:rPr>
      </w:pPr>
    </w:p>
    <w:p>
      <w:pPr>
        <w:pStyle w:val="3"/>
        <w:numPr>
          <w:ilvl w:val="1"/>
          <w:numId w:val="0"/>
        </w:numPr>
        <w:ind w:left="254" w:leftChars="0"/>
        <w:outlineLvl w:val="9"/>
        <w:rPr>
          <w:rFonts w:hint="eastAsia"/>
          <w:color w:val="auto"/>
          <w:highlight w:val="none"/>
        </w:rPr>
      </w:pPr>
    </w:p>
    <w:p>
      <w:pPr>
        <w:rPr>
          <w:rFonts w:hint="eastAsia"/>
          <w:color w:val="auto"/>
          <w:highlight w:val="none"/>
        </w:rPr>
      </w:pPr>
    </w:p>
    <w:p>
      <w:pPr>
        <w:rPr>
          <w:rFonts w:hint="eastAsia"/>
          <w:color w:val="auto"/>
          <w:highlight w:val="none"/>
        </w:rPr>
      </w:pPr>
    </w:p>
    <w:p>
      <w:pPr>
        <w:pStyle w:val="3"/>
        <w:numPr>
          <w:ilvl w:val="1"/>
          <w:numId w:val="0"/>
        </w:numPr>
        <w:ind w:left="254" w:leftChars="0"/>
        <w:outlineLvl w:val="9"/>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pStyle w:val="3"/>
        <w:numPr>
          <w:ilvl w:val="1"/>
          <w:numId w:val="0"/>
        </w:numPr>
        <w:ind w:left="254" w:leftChars="0"/>
        <w:outlineLvl w:val="9"/>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spacing w:line="360" w:lineRule="auto"/>
        <w:jc w:val="center"/>
        <w:outlineLvl w:val="1"/>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第三</w:t>
      </w:r>
      <w:r>
        <w:rPr>
          <w:rFonts w:hint="eastAsia" w:ascii="宋体" w:hAnsi="宋体" w:eastAsia="宋体" w:cs="宋体"/>
          <w:b/>
          <w:bCs/>
          <w:color w:val="auto"/>
          <w:sz w:val="32"/>
          <w:szCs w:val="32"/>
          <w:highlight w:val="none"/>
          <w:lang w:eastAsia="zh-CN"/>
        </w:rPr>
        <w:t>章</w:t>
      </w:r>
      <w:r>
        <w:rPr>
          <w:rFonts w:hint="eastAsia" w:ascii="宋体" w:hAnsi="宋体" w:eastAsia="宋体" w:cs="宋体"/>
          <w:b/>
          <w:bCs/>
          <w:color w:val="auto"/>
          <w:sz w:val="32"/>
          <w:szCs w:val="32"/>
          <w:highlight w:val="none"/>
        </w:rPr>
        <w:t xml:space="preserve"> 专用条款</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val="zh-CN"/>
        </w:rPr>
        <w:t>一般约定</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1.1 词语定义</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1.1.1</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合同</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其他合同文件包括：合同履行过程中经发包人、承包人共同书面确认的，与工程有关的补充协议、设计变更、工程签证等资料。</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1.1.2 合同当事人及其他相关方</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1.1.2.</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zh-CN"/>
        </w:rPr>
        <w:t xml:space="preserve"> 监理人：</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名</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1.1.2.</w:t>
      </w:r>
      <w:r>
        <w:rPr>
          <w:rFonts w:hint="eastAsia" w:ascii="宋体" w:hAnsi="宋体" w:eastAsia="宋体" w:cs="宋体"/>
          <w:color w:val="auto"/>
          <w:sz w:val="24"/>
          <w:szCs w:val="24"/>
          <w:highlight w:val="none"/>
        </w:rPr>
        <w:t xml:space="preserve">2 </w:t>
      </w:r>
      <w:r>
        <w:rPr>
          <w:rFonts w:hint="eastAsia" w:ascii="宋体" w:hAnsi="宋体" w:eastAsia="宋体" w:cs="宋体"/>
          <w:color w:val="auto"/>
          <w:sz w:val="24"/>
          <w:szCs w:val="24"/>
          <w:highlight w:val="none"/>
          <w:lang w:val="zh-CN"/>
        </w:rPr>
        <w:t>设计人：</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名</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1.1.3 工程和设备</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1.1.3.</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zh-CN"/>
        </w:rPr>
        <w:t>作为施工现场组成部分的其他场所包括：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zh-CN"/>
        </w:rPr>
        <w:t>3.</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zh-CN"/>
        </w:rPr>
        <w:t>作永久占地包括：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zh-CN"/>
        </w:rPr>
        <w:t>3.</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zh-CN"/>
        </w:rPr>
        <w:t>作永久占地包括：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1.3 法律</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适用于合同的其他规范性文件：</w:t>
      </w:r>
      <w:r>
        <w:rPr>
          <w:rFonts w:hint="eastAsia" w:ascii="宋体" w:hAnsi="宋体" w:eastAsia="宋体" w:cs="宋体"/>
          <w:color w:val="auto"/>
          <w:sz w:val="24"/>
          <w:szCs w:val="24"/>
          <w:highlight w:val="none"/>
        </w:rPr>
        <w:t xml:space="preserve"> 。       </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1.4 标准和规范</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1.4.1适用于工程的标准规范包括：</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zh-CN"/>
        </w:rPr>
        <w:t>4.2 发包人提供国外标准、规范的名称：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val="zh-CN"/>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发包人提供国外标准、规范的份数：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val="zh-CN"/>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发包人提供国外标准、规范的名称：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1.4.3 发包人对工程的技术标准和功能要求的特殊要求：</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1.5 合同文件的优先顺序</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合同文件组成及优先顺序为：</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1.6 图纸和承包人文件</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1.6.1 图纸的提供</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发包人向承包人提供图纸的期限：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发包人向承包人提供图纸的数量：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发包人向承包人提供图纸的内容：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1.6.4 承包人文件</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需要由承包人提供的文件，包括：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承包人提供的文件的期限为：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承包人提供的文件的数量为：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承包人提供的文件的形式为：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发包人审批承包人文件的期限：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zh-CN"/>
        </w:rPr>
        <w:t>.5 现场图纸准备</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关于现场图纸准备的约定：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1.7 联络</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1.7.1 发包人和承包人应当在7天内将与合同有关的通知、批准、证明、证书、指示、指令、要求、请求、同意、意见、确定和决定等书面函件送达对方当事人。</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1.7.2 发包人接收文件的地点：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发包人指定的接收人为：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承包人接收文件的地点：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承包人指定的接收人为：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监理人接收文件的地点：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监理人指定的接收人为：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1.</w:t>
      </w:r>
      <w:r>
        <w:rPr>
          <w:rFonts w:hint="eastAsia" w:ascii="宋体" w:hAnsi="宋体" w:eastAsia="宋体" w:cs="宋体"/>
          <w:b/>
          <w:bCs/>
          <w:color w:val="auto"/>
          <w:sz w:val="24"/>
          <w:szCs w:val="24"/>
          <w:highlight w:val="none"/>
        </w:rPr>
        <w:t>8</w:t>
      </w:r>
      <w:r>
        <w:rPr>
          <w:rFonts w:hint="eastAsia" w:ascii="宋体" w:hAnsi="宋体" w:eastAsia="宋体" w:cs="宋体"/>
          <w:b/>
          <w:bCs/>
          <w:color w:val="auto"/>
          <w:sz w:val="24"/>
          <w:szCs w:val="24"/>
          <w:highlight w:val="none"/>
          <w:lang w:val="zh-CN"/>
        </w:rPr>
        <w:t xml:space="preserve"> 交通运输</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zh-CN"/>
        </w:rPr>
        <w:t>.1 出入现场的权利</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关于出入现场的权利的约定：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zh-CN"/>
        </w:rPr>
        <w:t>场内交通</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关于场外交通和场内交通的边界的约定：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关于发包人向承包人免费提供满足工程施工需要的场内道路和交通设施的约定：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zh-CN"/>
        </w:rPr>
        <w:t xml:space="preserve"> 超大件和超重件的运输</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承担。</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1.</w:t>
      </w:r>
      <w:r>
        <w:rPr>
          <w:rFonts w:hint="eastAsia" w:ascii="宋体" w:hAnsi="宋体" w:eastAsia="宋体" w:cs="宋体"/>
          <w:b/>
          <w:bCs/>
          <w:color w:val="auto"/>
          <w:sz w:val="24"/>
          <w:szCs w:val="24"/>
          <w:highlight w:val="none"/>
        </w:rPr>
        <w:t>9</w:t>
      </w:r>
      <w:r>
        <w:rPr>
          <w:rFonts w:hint="eastAsia" w:ascii="宋体" w:hAnsi="宋体" w:eastAsia="宋体" w:cs="宋体"/>
          <w:b/>
          <w:bCs/>
          <w:color w:val="auto"/>
          <w:sz w:val="24"/>
          <w:szCs w:val="24"/>
          <w:highlight w:val="none"/>
          <w:lang w:val="zh-CN"/>
        </w:rPr>
        <w:t xml:space="preserve"> 知识产权</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rPr>
        <w:t>9</w:t>
      </w:r>
      <w:r>
        <w:rPr>
          <w:rFonts w:hint="eastAsia" w:ascii="宋体" w:hAnsi="宋体" w:eastAsia="宋体" w:cs="宋体"/>
          <w:color w:val="auto"/>
          <w:sz w:val="24"/>
          <w:szCs w:val="24"/>
          <w:highlight w:val="none"/>
          <w:lang w:val="zh-CN"/>
        </w:rPr>
        <w:t>.1 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关于发包人提供的上述文件的使用限制的要求：</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rPr>
        <w:t>9</w:t>
      </w:r>
      <w:r>
        <w:rPr>
          <w:rFonts w:hint="eastAsia" w:ascii="宋体" w:hAnsi="宋体" w:eastAsia="宋体" w:cs="宋体"/>
          <w:color w:val="auto"/>
          <w:sz w:val="24"/>
          <w:szCs w:val="24"/>
          <w:highlight w:val="none"/>
          <w:lang w:val="zh-CN"/>
        </w:rPr>
        <w:t>.2 关于承包人为实施工程所编制文件的著作权的归属：</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关于承包人提供的上述文件的使用限制的要求：</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rPr>
        <w:t>9</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zh-CN"/>
        </w:rPr>
        <w:t xml:space="preserve"> 承包人在施工过程中所采用的专利、专有技术、技术</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秘密的使用费的承担方式：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1.1</w:t>
      </w:r>
      <w:r>
        <w:rPr>
          <w:rFonts w:hint="eastAsia" w:ascii="宋体" w:hAnsi="宋体" w:eastAsia="宋体" w:cs="宋体"/>
          <w:b/>
          <w:bCs/>
          <w:color w:val="auto"/>
          <w:sz w:val="24"/>
          <w:szCs w:val="24"/>
          <w:highlight w:val="none"/>
        </w:rPr>
        <w:t>0</w:t>
      </w:r>
      <w:r>
        <w:rPr>
          <w:rFonts w:hint="eastAsia" w:ascii="宋体" w:hAnsi="宋体" w:eastAsia="宋体" w:cs="宋体"/>
          <w:b/>
          <w:bCs/>
          <w:color w:val="auto"/>
          <w:sz w:val="24"/>
          <w:szCs w:val="24"/>
          <w:highlight w:val="none"/>
          <w:lang w:val="zh-CN"/>
        </w:rPr>
        <w:t xml:space="preserve"> 工程量清单错误的修正</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出现工程量清单错误时，是否调整合同价格：</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允许调整合同价格的工程量偏差范围：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2.发包人</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2.</w:t>
      </w: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val="zh-CN"/>
        </w:rPr>
        <w:t xml:space="preserve"> 发包人代表</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en"/>
        </w:rPr>
      </w:pPr>
      <w:r>
        <w:rPr>
          <w:rFonts w:hint="eastAsia" w:ascii="宋体" w:hAnsi="宋体" w:eastAsia="宋体" w:cs="宋体"/>
          <w:color w:val="auto"/>
          <w:sz w:val="24"/>
          <w:szCs w:val="24"/>
          <w:highlight w:val="none"/>
          <w:lang w:val="zh-CN"/>
        </w:rPr>
        <w:t>发包人代表：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姓</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en"/>
        </w:rPr>
      </w:pPr>
      <w:r>
        <w:rPr>
          <w:rFonts w:hint="eastAsia" w:ascii="宋体" w:hAnsi="宋体" w:eastAsia="宋体" w:cs="宋体"/>
          <w:color w:val="auto"/>
          <w:sz w:val="24"/>
          <w:szCs w:val="24"/>
          <w:highlight w:val="none"/>
          <w:lang w:val="zh-CN"/>
        </w:rPr>
        <w:t>职</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电子邮箱：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发包人对发包人代表的授权范围如下：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2.</w:t>
      </w:r>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lang w:val="zh-CN"/>
        </w:rPr>
        <w:t xml:space="preserve"> 施工现场、施工条件和基础资料的提供</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zh-CN"/>
        </w:rPr>
        <w:t>.1 提供施工现场</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关于发包人移交施工现场的期限要求：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zh-CN"/>
        </w:rPr>
        <w:t>.2 提供施工条件</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关于发包人应负责提供施工所需要的条件，包括：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2.</w:t>
      </w:r>
      <w:r>
        <w:rPr>
          <w:rFonts w:hint="eastAsia" w:ascii="宋体" w:hAnsi="宋体" w:eastAsia="宋体" w:cs="宋体"/>
          <w:b/>
          <w:bCs/>
          <w:color w:val="auto"/>
          <w:sz w:val="24"/>
          <w:szCs w:val="24"/>
          <w:highlight w:val="none"/>
        </w:rPr>
        <w:t>3</w:t>
      </w:r>
      <w:r>
        <w:rPr>
          <w:rFonts w:hint="eastAsia" w:ascii="宋体" w:hAnsi="宋体" w:eastAsia="宋体" w:cs="宋体"/>
          <w:b/>
          <w:bCs/>
          <w:color w:val="auto"/>
          <w:sz w:val="24"/>
          <w:szCs w:val="24"/>
          <w:highlight w:val="none"/>
          <w:lang w:val="zh-CN"/>
        </w:rPr>
        <w:t xml:space="preserve"> 资金来源证明及支付担保</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发包人提供资金来源证明的期限要求：</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发包人是否提供支付担保：</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发包人提供支付担保的形式：</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3. 承包人</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3.1 承包人的一般义务</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承包人提交的竣工资料的内容：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承包人需要提交的竣工资料套数：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承包人提交的竣工资料的费用承担：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承包人提交的竣工资料移交时间：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承包人提交的竣工资料形式要求：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承包人应履行的其他义务：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3.2项目经理</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3.2.1项目经理：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姓</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建造师执业资格等级：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建造师注册证书号：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建造师执业印章号：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承包人对项目经理的授权范围如下：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zh-CN"/>
        </w:rPr>
        <w:t>关于项目经理每月在施工现场的时间要求：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zh-CN"/>
        </w:rPr>
        <w:t>承包人未提交劳动合同，以及没有为项目经理缴纳社会保险证明的违约责任：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3.2.</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zh-CN"/>
        </w:rPr>
        <w:t xml:space="preserve"> 承包人擅自更换项目经理的违约责任：</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u w:val="single"/>
          <w:lang w:val="zh-CN"/>
        </w:rPr>
      </w:pPr>
      <w:r>
        <w:rPr>
          <w:rFonts w:hint="eastAsia" w:ascii="宋体" w:hAnsi="宋体" w:eastAsia="宋体" w:cs="宋体"/>
          <w:color w:val="auto"/>
          <w:sz w:val="24"/>
          <w:szCs w:val="24"/>
          <w:highlight w:val="none"/>
          <w:u w:val="single"/>
          <w:lang w:val="zh-CN"/>
        </w:rPr>
        <w:t>发生一次扣减其合同价款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zh-CN"/>
        </w:rPr>
        <w:t>元，发生两次及以上，发包人有权单方面终止合同，因此造成的损失由承包人承担。</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3.2.</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zh-CN"/>
        </w:rPr>
        <w:t xml:space="preserve"> 承包人无正当理由拒绝更换项目经理的违约责任：</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2"/>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u w:val="single"/>
          <w:lang w:val="zh-CN"/>
        </w:rPr>
        <w:t>发生一次性扣减其合同价款    元，发生两次及以上，发包人有权单方面终止合同，因此造成的损失由承包人承担</w:t>
      </w:r>
      <w:r>
        <w:rPr>
          <w:rFonts w:hint="eastAsia" w:ascii="宋体" w:hAnsi="宋体" w:eastAsia="宋体" w:cs="宋体"/>
          <w:color w:val="auto"/>
          <w:sz w:val="24"/>
          <w:szCs w:val="24"/>
          <w:highlight w:val="none"/>
          <w:lang w:val="zh-CN"/>
        </w:rPr>
        <w:t>。</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2"/>
        <w:textAlignment w:val="auto"/>
        <w:outlineLvl w:val="9"/>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3.3承包人人员</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2"/>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3.3.1承包人提交项目管理机构及施工现场管理人员安排报告的期限：</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 。   </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2"/>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3.3.2承包人无正当理由拒绝撤换主要施工管理人员的违约责任：</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 。</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2"/>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3.3.3承包人主要施工管理人员离开施工现场的批准要求：</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2"/>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3.3.4承包人擅自更换主要施工管理人员的违约责任：</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2"/>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发生一人次扣减其合同价款</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元，承包人应立即提供符合发包人要求的管理人员。发生两次及以上，发包人有权单方面解除合同，因此造成的损失由承包人承担。</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2"/>
        <w:textAlignment w:val="auto"/>
        <w:outlineLvl w:val="9"/>
        <w:rPr>
          <w:rFonts w:hint="eastAsia" w:ascii="宋体" w:hAnsi="宋体" w:eastAsia="宋体" w:cs="宋体"/>
          <w:b/>
          <w:color w:val="auto"/>
          <w:sz w:val="24"/>
          <w:szCs w:val="24"/>
          <w:highlight w:val="none"/>
          <w:u w:val="single"/>
          <w:lang w:val="zh-CN"/>
        </w:rPr>
      </w:pPr>
      <w:r>
        <w:rPr>
          <w:rFonts w:hint="eastAsia" w:ascii="宋体" w:hAnsi="宋体" w:eastAsia="宋体" w:cs="宋体"/>
          <w:b/>
          <w:color w:val="auto"/>
          <w:sz w:val="24"/>
          <w:szCs w:val="24"/>
          <w:highlight w:val="none"/>
          <w:lang w:val="zh-CN"/>
        </w:rPr>
        <w:t>3.4分包</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2"/>
        <w:textAlignment w:val="auto"/>
        <w:outlineLvl w:val="9"/>
        <w:rPr>
          <w:rFonts w:hint="eastAsia" w:ascii="宋体" w:hAnsi="宋体" w:eastAsia="宋体" w:cs="宋体"/>
          <w:color w:val="auto"/>
          <w:sz w:val="24"/>
          <w:szCs w:val="24"/>
          <w:highlight w:val="none"/>
          <w:u w:val="single"/>
          <w:lang w:val="zh-CN"/>
        </w:rPr>
      </w:pPr>
      <w:r>
        <w:rPr>
          <w:rFonts w:hint="eastAsia" w:ascii="宋体" w:hAnsi="宋体" w:eastAsia="宋体" w:cs="宋体"/>
          <w:color w:val="auto"/>
          <w:sz w:val="24"/>
          <w:szCs w:val="24"/>
          <w:highlight w:val="none"/>
        </w:rPr>
        <w:t>3.4.1分包的一般约定</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禁止分包的工程包括：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主体结构、关键性工作的范围：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3.4.2分包的确定</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允许分包的专业工程包括：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其他关于分包的约定：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3.4.3分包合同价款</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关于分包合同价款支付的约定：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3.5工程照管与成品、半成品保护</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承包人负责照管工程及工程相关的材料、工程设备的起始时间：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4监理人</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4.1监理人的一般规定</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关于监理人的监理内容：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关于监理人的监理权限：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关于监理人在施工现场的办公场所、生活场所的提供和费用承担的约定：</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4.2商定或确定</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在发包人和承包人不能通过协商达成一致意见时，发包人授权监理人对以下事项进行确定：</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5.工程质量</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5.1质量要求</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5.1.1特殊质量标准和要求：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关于工程奖励的约定：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5.2隐蔽工程检查</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5.2.1承包人提前通知监理人隐蔽工程检查的期限约定：</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监理人不能按时进行检查时，应提前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小时提交书面延期要求；</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关于延期最长不得超过：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6安全文明施工与环境保护：</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6.1安全文明施工</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6.1.1项目安全生产的达标目标及相应事项的约定：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6.1.2关于治安保卫的特别约定：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6.1.3关于编制施工场地治安管理计划的约定：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6.1.4文明施工</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合同当事人对文明施工的要求：</w:t>
      </w:r>
      <w:r>
        <w:rPr>
          <w:rFonts w:hint="eastAsia" w:ascii="宋体" w:hAnsi="宋体" w:eastAsia="宋体" w:cs="宋体"/>
          <w:color w:val="auto"/>
          <w:sz w:val="24"/>
          <w:szCs w:val="24"/>
          <w:highlight w:val="none"/>
          <w:u w:val="single"/>
        </w:rPr>
        <w:t xml:space="preserve">                  。</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6.1.5关于安全文明施工费支付比例和支付期限的约定：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7.工期和进度</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7.1施工组织设计</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7.1.1合同当事人约定的施工组织设计应包括的其他内容：</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根据工程实际情况编制施工组织设计：1.根据现场和承包人人员、设备等编制详细的施工进度计划和施工方案；不得突破总工期和阶段性验收计划，进度计划和方案作为实施和验收的依据，施工方案不得作为增加费用的理由；2.承包人应在施工组织中采取可靠的措施减少对相邻工程施工的干扰影响和确保工程施工安全，并在施工组织中采取可靠的措施防止对施工现场周边地区的污染影响；3.施工单位要对本工程的施工工作和安排充分重视，科学组织、管理到位，劳力资源充足，农忙及节假日承包人要保证人员投入，并提前上报农忙时劳力保证措施，否则发包人有权采取措施；4.项目实施过程</w:t>
      </w:r>
      <w:r>
        <w:rPr>
          <w:rFonts w:hint="eastAsia" w:ascii="宋体" w:hAnsi="宋体" w:eastAsia="宋体" w:cs="宋体"/>
          <w:color w:val="auto"/>
          <w:sz w:val="24"/>
          <w:szCs w:val="24"/>
          <w:highlight w:val="none"/>
          <w:lang w:eastAsia="zh-CN"/>
        </w:rPr>
        <w:t>中</w:t>
      </w:r>
      <w:r>
        <w:rPr>
          <w:rFonts w:hint="eastAsia" w:ascii="宋体" w:hAnsi="宋体" w:eastAsia="宋体" w:cs="宋体"/>
          <w:color w:val="auto"/>
          <w:sz w:val="24"/>
          <w:szCs w:val="24"/>
          <w:highlight w:val="none"/>
        </w:rPr>
        <w:t>应配备的机械设备、监测设备和仪器；5.施工组织设计的编制包含上述内容但不限于上述内容，其他未明确的内容承包人结合项目概况自行编制。</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7.1.2施工组织设计的提交和修改</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承包人提交详细施工组织设计的期限约定：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发包人和监理人在收到详细的施工组织设计后确认或提出修改意见的期限。</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7.2施工进度计划</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7.2.1施工进度计划的修订</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发包人和监理人在收到修订的施工进度计划后确认或提出修改意见的期限。</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7.3开工</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7.3.1开工准备</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关于承包人提交工程开工报审表的期限：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关于发包人应完成的其他开工准备工作及期限：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关于承包人应完成的其他开工准备工作及期限：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7.3.2开工通知</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因发包人原因造成监理人未能在计划开工日期之日起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天内发出开工通知的，承包人有权提出价格调整协商要求，协商不成的，双方均有权解除合同，双方互不追究违约责任。</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7.4测量放线</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7.4.1发包人通知监理人向承包人提供测量基准点、基准线和水准线及其书面资料的期限：</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7.5工期延误</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7.5.1因发包人原因导致工期延误</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因发包人原因导致工期延误的其他情形：</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7.5.2因承包人原因导致工期延期，逾期竣工违约金的</w:t>
      </w:r>
      <w:r>
        <w:rPr>
          <w:rFonts w:hint="eastAsia" w:ascii="宋体" w:hAnsi="宋体" w:eastAsia="宋体" w:cs="宋体"/>
          <w:color w:val="auto"/>
          <w:sz w:val="24"/>
          <w:szCs w:val="24"/>
          <w:highlight w:val="none"/>
          <w:lang w:eastAsia="zh-CN"/>
        </w:rPr>
        <w:t>计算</w:t>
      </w:r>
      <w:r>
        <w:rPr>
          <w:rFonts w:hint="eastAsia" w:ascii="宋体" w:hAnsi="宋体" w:eastAsia="宋体" w:cs="宋体"/>
          <w:color w:val="auto"/>
          <w:sz w:val="24"/>
          <w:szCs w:val="24"/>
          <w:highlight w:val="none"/>
        </w:rPr>
        <w:t>方式为：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因承包人原因造成工期延误，逾期竣工违约金上限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7.6不利物质条件</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不利物质条件的其他情形和有关约定：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7.7异常恶劣的气候条件</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发包人和承包人同意以下情形视为异常恶劣的气候条件：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7.8提前竣工的奖励：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8.材料与设备</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8.1材料与设备的保管与使用</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发包人供应的材料设备的保管费用的承担：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8.2样品</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8.6.1样品的报送与封存</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需要承包人报送样品的材料或工程设备，样品的种类、名称、规格、数量要求：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8.6.2施工设备和临时设备</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承包人提供的施工设备和临时设备，关于修建临时设备费用承担的约定：</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9.试验与检验</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9.1试验设备与试验人员</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试验设备</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施工现场需要配置的试验场所：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施工现场需要配置的试验设备：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施工现场需要具备的其他试验条件：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9.2现场工艺试验</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现场工艺试验的有关约定：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10.变更</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10.1变更的范围约定：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10.2变更估价</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关于变更估价的约定：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10.3承包人的合理化建议</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监理人审查承包人合理化建议的期限：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发包人审批承包人合理化建议的期限：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10.4暂估价</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暂估价材料和工程设备的明细详见附件《暂估价一览表》</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承包人直接实施的暂估价项目</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承包人直接实施的暂估价项目的约定：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10.5暂列金额</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合同当事人关于暂列金额使用的约定：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11.价格调整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12.合同价格形式</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1.单价合同：</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综合单价包含的风险范围：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风险费用的计算方法：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风险范围以外合同价格的调整方法：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 xml:space="preserve">             </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2.总价合同</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总价合同的风险范围：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风险费用的计算方法：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风险范围以外合同价格的调整方法：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3.其他价格方式</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             </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12.2预付款</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12.2.1预付款的支付</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预付款支付比例或金额：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预付款支付期限：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预付款扣回的方式：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12.2计量</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计量原则</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工程量计算规则：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计量周期</w:t>
      </w:r>
    </w:p>
    <w:p>
      <w:pPr>
        <w:keepNext w:val="0"/>
        <w:keepLines w:val="0"/>
        <w:pageBreakBefore w:val="0"/>
        <w:widowControl w:val="0"/>
        <w:kinsoku/>
        <w:wordWrap/>
        <w:overflowPunct/>
        <w:topLinePunct w:val="0"/>
        <w:bidi w:val="0"/>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关于计量周期的约定：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单价合同的计量</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关于单价合同计量的约定：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总价合同的计量</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关于总价合同计量的约定：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总价合同采用支付分解表计量支付的，是否</w:t>
      </w:r>
      <w:r>
        <w:rPr>
          <w:rFonts w:hint="eastAsia" w:ascii="宋体" w:hAnsi="宋体" w:eastAsia="宋体" w:cs="宋体"/>
          <w:color w:val="auto"/>
          <w:sz w:val="24"/>
          <w:szCs w:val="24"/>
          <w:highlight w:val="none"/>
          <w:lang w:eastAsia="zh-CN"/>
        </w:rPr>
        <w:t>适用</w:t>
      </w:r>
      <w:r>
        <w:rPr>
          <w:rFonts w:hint="eastAsia" w:ascii="宋体" w:hAnsi="宋体" w:eastAsia="宋体" w:cs="宋体"/>
          <w:color w:val="auto"/>
          <w:sz w:val="24"/>
          <w:szCs w:val="24"/>
          <w:highlight w:val="none"/>
        </w:rPr>
        <w:t>《总价合同的计量》约定：</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其他价格形式合同的计量</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其他价格形式的计量方式和程序：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12.3工程进度款支付</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付款周期</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12.3.1关于付款周期的约定：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12.3.2进度付款申请单的编制</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关于付款进度申请单编制的约定：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12.3.3进度付款申请的提交</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单价合同进度付款申请单提交的约定：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总价合同进度付款申请单提交的约定：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其他价格形式合同进度付款单提交的约定：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12.4进度款审核和支付</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监理人审查并报送发包人的期限：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发包人完成审批并签发进度款支付证书的期限：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发包人支付进度款的期限：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12.4.1支付分解表的编制</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总价合同支付分解表的编制与审批：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单价合同的总价项目支付分解表的编制与审批：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13.验收和工程试车</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13.1分部分项工程验收</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13.1.2监理人不能按时进行验收时，应提前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小时提交书面延期要求。</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关于延期最长不得超过：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13.2竣工验收</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13.2.1竣工验收程序</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关于竣工验收程序的约定：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发包人不按照本项约定组织竣工验收、颁发工程接收证书的违约金的计算方法：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13.2.2移交、接收全部与部分工程</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承包人向发包人移交工期的期限：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发包人未按本合同约定接收全部或部分工程的，违约金计算方式：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承包人未按时移交工程的，违约金计算方式：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13.3工程试车</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13.1.1试车程序</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工程试车内容：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1单机无负荷试车费用由承担</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2无负荷联动试车费用由承担</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13.3.2投料试车</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关于投料试车相关事项的约定：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13.4竣工退场</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承包人完成竣工退场的期限：发包人在接收过程中所发生的建筑垃圾清运费、搬迁费等实际损失由承包人按照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%承担。</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14.竣工结算</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14.1竣工结算申请</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承包人提交竣工结算申请单的期限：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竣工结算申请单应包括的内容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14.2竣工结算审核</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发包人审批竣工付款申请单的期限：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发包人完成竣工付款的期限：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关于竣工付款证书异议部分复核的方式和程序：</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14.3最终结清</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14.3.1最终结清申请单</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承包人提交最终结清申请单的份数：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承包人提交最终结束申请单的期限：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14.3.2最终结清证书和支付</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发包人完成最终结清申请单的审批并颁发最终结清申请书的期限：</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发包人完成支付的期限：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15.缺陷责任期限与保修</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15.1缺陷责任期的具体日期：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15.2根据许昌优化政府采购营商环境要求，不能收取工程质量保证金。</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15.3保修</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15.3.1保修责任</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工程保修期为：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15.3.2修复通知</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承包人收到保修通知并到达工程现场的合理时间：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16.违约</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16.1发包人违约</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16.1.1发包人违约的情形：</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发包人违约的其他情形：</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16.1.2发包人违约的责任</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发包人违约责任的承担方式和计算方法：</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1因发包人原因未能在计划开工日期前7天内下达开工通知的违约责任：</w:t>
      </w:r>
    </w:p>
    <w:p>
      <w:pPr>
        <w:keepNext w:val="0"/>
        <w:keepLines w:val="0"/>
        <w:pageBreakBefore w:val="0"/>
        <w:widowControl w:val="0"/>
        <w:numPr>
          <w:ilvl w:val="0"/>
          <w:numId w:val="47"/>
        </w:numPr>
        <w:kinsoku/>
        <w:wordWrap/>
        <w:overflowPunct/>
        <w:topLinePunct w:val="0"/>
        <w:bidi w:val="0"/>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因发包人原因未能按合同约定支付合同价款的违约责任：</w:t>
      </w:r>
    </w:p>
    <w:p>
      <w:pPr>
        <w:keepNext w:val="0"/>
        <w:keepLines w:val="0"/>
        <w:pageBreakBefore w:val="0"/>
        <w:widowControl w:val="0"/>
        <w:numPr>
          <w:ilvl w:val="0"/>
          <w:numId w:val="47"/>
        </w:numPr>
        <w:kinsoku/>
        <w:wordWrap/>
        <w:overflowPunct/>
        <w:topLinePunct w:val="0"/>
        <w:bidi w:val="0"/>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发包人违法变更范围，自行实施被取消的工作或转由他人实施的违约责任：</w:t>
      </w:r>
    </w:p>
    <w:p>
      <w:pPr>
        <w:keepNext w:val="0"/>
        <w:keepLines w:val="0"/>
        <w:pageBreakBefore w:val="0"/>
        <w:widowControl w:val="0"/>
        <w:numPr>
          <w:ilvl w:val="0"/>
          <w:numId w:val="47"/>
        </w:numPr>
        <w:kinsoku/>
        <w:wordWrap/>
        <w:overflowPunct/>
        <w:topLinePunct w:val="0"/>
        <w:bidi w:val="0"/>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发包人提供的材料、工程设备的规格、数量或质量不符合合同约定，或因发包人原因导致交货日期延误或交货地点变更等情况的违约责任：</w:t>
      </w:r>
    </w:p>
    <w:p>
      <w:pPr>
        <w:keepNext w:val="0"/>
        <w:keepLines w:val="0"/>
        <w:pageBreakBefore w:val="0"/>
        <w:widowControl w:val="0"/>
        <w:numPr>
          <w:ilvl w:val="0"/>
          <w:numId w:val="47"/>
        </w:numPr>
        <w:kinsoku/>
        <w:wordWrap/>
        <w:overflowPunct/>
        <w:topLinePunct w:val="0"/>
        <w:bidi w:val="0"/>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因发包人违</w:t>
      </w:r>
      <w:r>
        <w:rPr>
          <w:rFonts w:hint="eastAsia" w:ascii="宋体" w:hAnsi="宋体" w:eastAsia="宋体" w:cs="宋体"/>
          <w:color w:val="auto"/>
          <w:sz w:val="24"/>
          <w:szCs w:val="24"/>
          <w:highlight w:val="none"/>
          <w:lang w:eastAsia="zh-CN"/>
        </w:rPr>
        <w:t>反</w:t>
      </w:r>
      <w:r>
        <w:rPr>
          <w:rFonts w:hint="eastAsia" w:ascii="宋体" w:hAnsi="宋体" w:eastAsia="宋体" w:cs="宋体"/>
          <w:color w:val="auto"/>
          <w:sz w:val="24"/>
          <w:szCs w:val="24"/>
          <w:highlight w:val="none"/>
        </w:rPr>
        <w:t>合同约定造成暂停施工的违约责任：</w:t>
      </w:r>
    </w:p>
    <w:p>
      <w:pPr>
        <w:keepNext w:val="0"/>
        <w:keepLines w:val="0"/>
        <w:pageBreakBefore w:val="0"/>
        <w:widowControl w:val="0"/>
        <w:numPr>
          <w:ilvl w:val="0"/>
          <w:numId w:val="47"/>
        </w:numPr>
        <w:kinsoku/>
        <w:wordWrap/>
        <w:overflowPunct/>
        <w:topLinePunct w:val="0"/>
        <w:bidi w:val="0"/>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发包人无正当理由没有在约定期限内发出复工指示，导致承包人无法复工的违约责任。</w:t>
      </w:r>
    </w:p>
    <w:p>
      <w:pPr>
        <w:keepNext w:val="0"/>
        <w:keepLines w:val="0"/>
        <w:pageBreakBefore w:val="0"/>
        <w:widowControl w:val="0"/>
        <w:kinsoku/>
        <w:wordWrap/>
        <w:overflowPunct/>
        <w:topLinePunct w:val="0"/>
        <w:bidi w:val="0"/>
        <w:snapToGrid/>
        <w:spacing w:line="360" w:lineRule="auto"/>
        <w:ind w:left="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16.2承包人违约</w:t>
      </w:r>
    </w:p>
    <w:p>
      <w:pPr>
        <w:keepNext w:val="0"/>
        <w:keepLines w:val="0"/>
        <w:pageBreakBefore w:val="0"/>
        <w:widowControl w:val="0"/>
        <w:kinsoku/>
        <w:wordWrap/>
        <w:overflowPunct/>
        <w:topLinePunct w:val="0"/>
        <w:bidi w:val="0"/>
        <w:snapToGrid/>
        <w:spacing w:line="360" w:lineRule="auto"/>
        <w:ind w:left="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16.2.1承包人违约的情形</w:t>
      </w:r>
    </w:p>
    <w:p>
      <w:pPr>
        <w:keepNext w:val="0"/>
        <w:keepLines w:val="0"/>
        <w:pageBreakBefore w:val="0"/>
        <w:widowControl w:val="0"/>
        <w:kinsoku/>
        <w:wordWrap/>
        <w:overflowPunct/>
        <w:topLinePunct w:val="0"/>
        <w:bidi w:val="0"/>
        <w:snapToGrid/>
        <w:spacing w:line="360" w:lineRule="auto"/>
        <w:ind w:left="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承包人违约的其他情形：</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left="638" w:leftChars="304"/>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16.2.2 承包人违约的责任</w:t>
      </w:r>
    </w:p>
    <w:p>
      <w:pPr>
        <w:keepNext w:val="0"/>
        <w:keepLines w:val="0"/>
        <w:pageBreakBefore w:val="0"/>
        <w:widowControl w:val="0"/>
        <w:kinsoku/>
        <w:wordWrap/>
        <w:overflowPunct/>
        <w:topLinePunct w:val="0"/>
        <w:bidi w:val="0"/>
        <w:snapToGrid/>
        <w:spacing w:line="360" w:lineRule="auto"/>
        <w:ind w:left="638" w:leftChars="304"/>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承包人违约责任的承担方式和计算方法：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left="638" w:leftChars="304"/>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16.2.3 因承包人违约解除合同</w:t>
      </w:r>
    </w:p>
    <w:p>
      <w:pPr>
        <w:keepNext w:val="0"/>
        <w:keepLines w:val="0"/>
        <w:pageBreakBefore w:val="0"/>
        <w:widowControl w:val="0"/>
        <w:kinsoku/>
        <w:wordWrap/>
        <w:overflowPunct/>
        <w:topLinePunct w:val="0"/>
        <w:bidi w:val="0"/>
        <w:snapToGrid/>
        <w:spacing w:line="360" w:lineRule="auto"/>
        <w:ind w:left="638" w:leftChars="304"/>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关于承包人违约解除合同的特别约定：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left="638" w:leftChars="304"/>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17. 不可抗力</w:t>
      </w:r>
    </w:p>
    <w:p>
      <w:pPr>
        <w:keepNext w:val="0"/>
        <w:keepLines w:val="0"/>
        <w:pageBreakBefore w:val="0"/>
        <w:widowControl w:val="0"/>
        <w:kinsoku/>
        <w:wordWrap/>
        <w:overflowPunct/>
        <w:topLinePunct w:val="0"/>
        <w:bidi w:val="0"/>
        <w:snapToGrid/>
        <w:spacing w:line="360" w:lineRule="auto"/>
        <w:ind w:left="638" w:leftChars="304"/>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17.1 不可抗力的确认</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除通用合同条款约定的不可抗力事件之外，视为不可抗力的</w:t>
      </w:r>
    </w:p>
    <w:p>
      <w:pPr>
        <w:keepNext w:val="0"/>
        <w:keepLines w:val="0"/>
        <w:pageBreakBefore w:val="0"/>
        <w:widowControl w:val="0"/>
        <w:kinsoku/>
        <w:wordWrap/>
        <w:overflowPunct/>
        <w:topLinePunct w:val="0"/>
        <w:bidi w:val="0"/>
        <w:snapToGrid/>
        <w:spacing w:line="360" w:lineRule="auto"/>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其他情形：</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left="638" w:leftChars="304"/>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17.2 因不可抗力解除合同</w:t>
      </w:r>
    </w:p>
    <w:p>
      <w:pPr>
        <w:keepNext w:val="0"/>
        <w:keepLines w:val="0"/>
        <w:pageBreakBefore w:val="0"/>
        <w:widowControl w:val="0"/>
        <w:kinsoku/>
        <w:wordWrap/>
        <w:overflowPunct/>
        <w:topLinePunct w:val="0"/>
        <w:bidi w:val="0"/>
        <w:snapToGrid/>
        <w:spacing w:line="360" w:lineRule="auto"/>
        <w:ind w:left="319" w:leftChars="152" w:firstLine="310" w:firstLineChars="1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pacing w:val="35"/>
          <w:w w:val="100"/>
          <w:kern w:val="0"/>
          <w:sz w:val="24"/>
          <w:szCs w:val="24"/>
          <w:highlight w:val="none"/>
          <w:fitText w:val="7680" w:id="497706274"/>
          <w:lang w:val="zh-CN"/>
        </w:rPr>
        <w:t>合同解除后，发包人应在商定或确定发包人应支付款项</w:t>
      </w:r>
      <w:r>
        <w:rPr>
          <w:rFonts w:hint="eastAsia" w:ascii="宋体" w:hAnsi="宋体" w:eastAsia="宋体" w:cs="宋体"/>
          <w:color w:val="auto"/>
          <w:spacing w:val="0"/>
          <w:w w:val="100"/>
          <w:kern w:val="0"/>
          <w:sz w:val="24"/>
          <w:szCs w:val="24"/>
          <w:highlight w:val="none"/>
          <w:fitText w:val="7680" w:id="497706274"/>
          <w:lang w:val="zh-CN"/>
        </w:rPr>
        <w:t>后</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sz w:val="24"/>
          <w:szCs w:val="24"/>
          <w:highlight w:val="none"/>
          <w:lang w:val="zh-CN"/>
        </w:rPr>
        <w:t>天内完成款项的支付。</w:t>
      </w:r>
    </w:p>
    <w:p>
      <w:pPr>
        <w:keepNext w:val="0"/>
        <w:keepLines w:val="0"/>
        <w:pageBreakBefore w:val="0"/>
        <w:widowControl w:val="0"/>
        <w:kinsoku/>
        <w:wordWrap/>
        <w:overflowPunct/>
        <w:topLinePunct w:val="0"/>
        <w:bidi w:val="0"/>
        <w:snapToGrid/>
        <w:spacing w:line="360" w:lineRule="auto"/>
        <w:ind w:left="638" w:leftChars="304"/>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18. 保险</w:t>
      </w:r>
    </w:p>
    <w:p>
      <w:pPr>
        <w:keepNext w:val="0"/>
        <w:keepLines w:val="0"/>
        <w:pageBreakBefore w:val="0"/>
        <w:widowControl w:val="0"/>
        <w:kinsoku/>
        <w:wordWrap/>
        <w:overflowPunct/>
        <w:topLinePunct w:val="0"/>
        <w:bidi w:val="0"/>
        <w:snapToGrid/>
        <w:spacing w:line="360" w:lineRule="auto"/>
        <w:ind w:left="638" w:leftChars="304"/>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18.1 工程保险</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关于工程保险的特别约定：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left="638" w:leftChars="304"/>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18.2 其他保险</w:t>
      </w:r>
    </w:p>
    <w:p>
      <w:pPr>
        <w:keepNext w:val="0"/>
        <w:keepLines w:val="0"/>
        <w:pageBreakBefore w:val="0"/>
        <w:widowControl w:val="0"/>
        <w:kinsoku/>
        <w:wordWrap/>
        <w:overflowPunct/>
        <w:topLinePunct w:val="0"/>
        <w:bidi w:val="0"/>
        <w:snapToGrid/>
        <w:spacing w:line="360" w:lineRule="auto"/>
        <w:ind w:left="638" w:leftChars="304"/>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关于其他保险的约定：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left="638" w:leftChars="304"/>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承包人是否应为其施工设备等办理财产保险：</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left="638" w:leftChars="304"/>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18.3 通知义务</w:t>
      </w:r>
    </w:p>
    <w:p>
      <w:pPr>
        <w:keepNext w:val="0"/>
        <w:keepLines w:val="0"/>
        <w:pageBreakBefore w:val="0"/>
        <w:widowControl w:val="0"/>
        <w:kinsoku/>
        <w:wordWrap/>
        <w:overflowPunct/>
        <w:topLinePunct w:val="0"/>
        <w:bidi w:val="0"/>
        <w:snapToGrid/>
        <w:spacing w:line="360" w:lineRule="auto"/>
        <w:ind w:left="638" w:leftChars="304"/>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关于变更保险合同时的通知义务的约定：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left="638" w:leftChars="304"/>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19. 争议解决</w:t>
      </w:r>
    </w:p>
    <w:p>
      <w:pPr>
        <w:keepNext w:val="0"/>
        <w:keepLines w:val="0"/>
        <w:pageBreakBefore w:val="0"/>
        <w:widowControl w:val="0"/>
        <w:kinsoku/>
        <w:wordWrap/>
        <w:overflowPunct/>
        <w:topLinePunct w:val="0"/>
        <w:bidi w:val="0"/>
        <w:snapToGrid/>
        <w:spacing w:line="360" w:lineRule="auto"/>
        <w:ind w:left="638" w:leftChars="304"/>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19.1 争议评审</w:t>
      </w:r>
    </w:p>
    <w:p>
      <w:pPr>
        <w:keepNext w:val="0"/>
        <w:keepLines w:val="0"/>
        <w:pageBreakBefore w:val="0"/>
        <w:widowControl w:val="0"/>
        <w:kinsoku/>
        <w:wordWrap/>
        <w:overflowPunct/>
        <w:topLinePunct w:val="0"/>
        <w:bidi w:val="0"/>
        <w:snapToGrid/>
        <w:spacing w:line="360" w:lineRule="auto"/>
        <w:ind w:left="638" w:leftChars="304"/>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合同当事人是否同意将工程争议提交争议评审小组决定：</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left="638" w:leftChars="304"/>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19.1.1 争议评审小组的确定</w:t>
      </w:r>
    </w:p>
    <w:p>
      <w:pPr>
        <w:keepNext w:val="0"/>
        <w:keepLines w:val="0"/>
        <w:pageBreakBefore w:val="0"/>
        <w:widowControl w:val="0"/>
        <w:kinsoku/>
        <w:wordWrap/>
        <w:overflowPunct/>
        <w:topLinePunct w:val="0"/>
        <w:bidi w:val="0"/>
        <w:snapToGrid/>
        <w:spacing w:line="360" w:lineRule="auto"/>
        <w:ind w:left="638" w:leftChars="304"/>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争议评审小组成员的确定：</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left="638" w:leftChars="304"/>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选定争议评审员的期限：</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left="638" w:leftChars="304"/>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争议评审小组成员的报酬承担方式：</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left="638" w:leftChars="304"/>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其他事项的约定：</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left="638" w:leftChars="304"/>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19.1.2 争议评审小组的决定</w:t>
      </w:r>
    </w:p>
    <w:p>
      <w:pPr>
        <w:keepNext w:val="0"/>
        <w:keepLines w:val="0"/>
        <w:pageBreakBefore w:val="0"/>
        <w:widowControl w:val="0"/>
        <w:kinsoku/>
        <w:wordWrap/>
        <w:overflowPunct/>
        <w:topLinePunct w:val="0"/>
        <w:bidi w:val="0"/>
        <w:snapToGrid/>
        <w:spacing w:line="360" w:lineRule="auto"/>
        <w:ind w:left="638" w:leftChars="304"/>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合同当事人关于本项的约定：</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napToGrid/>
        <w:spacing w:line="360" w:lineRule="auto"/>
        <w:ind w:left="638" w:leftChars="304"/>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19.2 仲裁或诉讼</w:t>
      </w:r>
    </w:p>
    <w:p>
      <w:pPr>
        <w:keepNext w:val="0"/>
        <w:keepLines w:val="0"/>
        <w:pageBreakBefore w:val="0"/>
        <w:widowControl w:val="0"/>
        <w:kinsoku/>
        <w:wordWrap/>
        <w:overflowPunct/>
        <w:topLinePunct w:val="0"/>
        <w:bidi w:val="0"/>
        <w:snapToGrid/>
        <w:spacing w:line="360" w:lineRule="auto"/>
        <w:ind w:left="638" w:leftChars="304"/>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19.2.1 争议的解决程序</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在争议提交调解之日起30日内，双方仍存有争议时，或合同任何一方不同意调解的，在以下方式中选择</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作</w:t>
      </w:r>
      <w:r>
        <w:rPr>
          <w:rFonts w:hint="eastAsia" w:ascii="宋体" w:hAnsi="宋体" w:eastAsia="宋体" w:cs="宋体"/>
          <w:color w:val="auto"/>
          <w:sz w:val="24"/>
          <w:szCs w:val="24"/>
          <w:highlight w:val="none"/>
          <w:lang w:val="zh-CN"/>
        </w:rPr>
        <w:t>为双方解决争议事项的约定。</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zh-CN"/>
        </w:rPr>
        <w:t>）提交许昌市仲裁委员会，按照申请仲裁时该会有效的仲裁规则进行仲裁。仲裁裁决是终局的，对双方均有约束力。</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zh-CN"/>
        </w:rPr>
        <w:t>）向项目所在地的具有管辖权所在地人民法院提起诉讼。</w:t>
      </w:r>
    </w:p>
    <w:p>
      <w:pPr>
        <w:keepNext w:val="0"/>
        <w:keepLines w:val="0"/>
        <w:pageBreakBefore w:val="0"/>
        <w:widowControl w:val="0"/>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合同争议的最终解决方式，向项目所在地人民法院提起诉讼，作为双方解决争议事项的约定。</w:t>
      </w:r>
    </w:p>
    <w:p>
      <w:pPr>
        <w:keepNext w:val="0"/>
        <w:keepLines w:val="0"/>
        <w:pageBreakBefore w:val="0"/>
        <w:widowControl w:val="0"/>
        <w:kinsoku/>
        <w:wordWrap/>
        <w:overflowPunct/>
        <w:topLinePunct w:val="0"/>
        <w:bidi w:val="0"/>
        <w:snapToGrid/>
        <w:textAlignment w:val="auto"/>
        <w:outlineLvl w:val="9"/>
        <w:rPr>
          <w:rFonts w:hint="eastAsia" w:ascii="宋体" w:hAnsi="宋体" w:eastAsia="宋体" w:cs="宋体"/>
          <w:color w:val="auto"/>
          <w:sz w:val="24"/>
          <w:szCs w:val="24"/>
          <w:highlight w:val="none"/>
          <w:lang w:val="zh-CN"/>
        </w:rPr>
      </w:pPr>
    </w:p>
    <w:p>
      <w:pPr>
        <w:keepNext w:val="0"/>
        <w:keepLines w:val="0"/>
        <w:pageBreakBefore w:val="0"/>
        <w:widowControl w:val="0"/>
        <w:kinsoku/>
        <w:wordWrap/>
        <w:overflowPunct/>
        <w:topLinePunct w:val="0"/>
        <w:bidi w:val="0"/>
        <w:snapToGrid/>
        <w:textAlignment w:val="auto"/>
        <w:outlineLvl w:val="9"/>
        <w:rPr>
          <w:rFonts w:hint="eastAsia" w:ascii="宋体" w:hAnsi="宋体" w:eastAsia="宋体" w:cs="宋体"/>
          <w:color w:val="auto"/>
          <w:sz w:val="24"/>
          <w:szCs w:val="24"/>
          <w:highlight w:val="none"/>
          <w:lang w:val="zh-CN"/>
        </w:rPr>
      </w:pPr>
    </w:p>
    <w:p>
      <w:pPr>
        <w:bidi w:val="0"/>
        <w:rPr>
          <w:rFonts w:hint="eastAsia"/>
          <w:color w:val="auto"/>
          <w:highlight w:val="none"/>
          <w:lang w:val="zh-CN"/>
        </w:rPr>
      </w:pPr>
    </w:p>
    <w:p>
      <w:pPr>
        <w:bidi w:val="0"/>
        <w:rPr>
          <w:rFonts w:hint="eastAsia"/>
          <w:color w:val="auto"/>
          <w:highlight w:val="none"/>
          <w:lang w:val="zh-CN"/>
        </w:rPr>
      </w:pPr>
    </w:p>
    <w:p>
      <w:pPr>
        <w:bidi w:val="0"/>
        <w:rPr>
          <w:rFonts w:hint="eastAsia"/>
          <w:color w:val="auto"/>
          <w:highlight w:val="none"/>
          <w:lang w:val="zh-CN"/>
        </w:rPr>
      </w:pPr>
    </w:p>
    <w:p>
      <w:pPr>
        <w:bidi w:val="0"/>
        <w:rPr>
          <w:rFonts w:hint="eastAsia"/>
          <w:color w:val="auto"/>
          <w:highlight w:val="none"/>
          <w:lang w:val="zh-CN"/>
        </w:rPr>
      </w:pPr>
    </w:p>
    <w:p>
      <w:pPr>
        <w:bidi w:val="0"/>
        <w:rPr>
          <w:rFonts w:hint="eastAsia"/>
          <w:color w:val="auto"/>
          <w:highlight w:val="none"/>
          <w:lang w:val="zh-CN"/>
        </w:rPr>
      </w:pPr>
    </w:p>
    <w:p>
      <w:pPr>
        <w:bidi w:val="0"/>
        <w:rPr>
          <w:rFonts w:hint="eastAsia"/>
          <w:color w:val="auto"/>
          <w:highlight w:val="none"/>
          <w:lang w:val="zh-CN"/>
        </w:rPr>
      </w:pPr>
    </w:p>
    <w:p>
      <w:pPr>
        <w:bidi w:val="0"/>
        <w:rPr>
          <w:rFonts w:hint="eastAsia"/>
          <w:color w:val="auto"/>
          <w:highlight w:val="none"/>
          <w:lang w:val="zh-CN"/>
        </w:rPr>
      </w:pPr>
    </w:p>
    <w:p>
      <w:pPr>
        <w:bidi w:val="0"/>
        <w:rPr>
          <w:rFonts w:hint="eastAsia"/>
          <w:color w:val="auto"/>
          <w:highlight w:val="none"/>
          <w:lang w:val="zh-CN"/>
        </w:rPr>
      </w:pPr>
    </w:p>
    <w:p>
      <w:pPr>
        <w:bidi w:val="0"/>
        <w:rPr>
          <w:rFonts w:hint="eastAsia"/>
          <w:color w:val="auto"/>
          <w:highlight w:val="none"/>
          <w:lang w:val="zh-CN"/>
        </w:rPr>
      </w:pPr>
    </w:p>
    <w:p>
      <w:pPr>
        <w:bidi w:val="0"/>
        <w:rPr>
          <w:rFonts w:hint="eastAsia"/>
          <w:color w:val="auto"/>
          <w:highlight w:val="none"/>
          <w:lang w:val="zh-CN"/>
        </w:rPr>
      </w:pPr>
    </w:p>
    <w:p>
      <w:pPr>
        <w:bidi w:val="0"/>
        <w:rPr>
          <w:rFonts w:hint="eastAsia"/>
          <w:color w:val="auto"/>
          <w:highlight w:val="none"/>
          <w:lang w:val="zh-CN"/>
        </w:rPr>
      </w:pPr>
    </w:p>
    <w:p>
      <w:pPr>
        <w:pStyle w:val="11"/>
        <w:rPr>
          <w:rFonts w:hint="eastAsia"/>
          <w:color w:val="auto"/>
          <w:highlight w:val="none"/>
          <w:lang w:val="zh-CN"/>
        </w:rPr>
      </w:pPr>
    </w:p>
    <w:p>
      <w:pPr>
        <w:rPr>
          <w:rFonts w:hint="eastAsia"/>
          <w:color w:val="auto"/>
          <w:highlight w:val="none"/>
          <w:lang w:val="zh-CN"/>
        </w:rPr>
      </w:pPr>
    </w:p>
    <w:p>
      <w:pPr>
        <w:pStyle w:val="11"/>
        <w:rPr>
          <w:rFonts w:hint="eastAsia"/>
          <w:color w:val="auto"/>
          <w:highlight w:val="none"/>
          <w:lang w:val="zh-CN"/>
        </w:rPr>
      </w:pPr>
    </w:p>
    <w:p>
      <w:pPr>
        <w:rPr>
          <w:rFonts w:hint="eastAsia"/>
          <w:color w:val="auto"/>
          <w:highlight w:val="none"/>
          <w:lang w:val="zh-CN"/>
        </w:rPr>
      </w:pPr>
    </w:p>
    <w:p>
      <w:pPr>
        <w:pStyle w:val="11"/>
        <w:rPr>
          <w:rFonts w:hint="eastAsia"/>
          <w:color w:val="auto"/>
          <w:highlight w:val="none"/>
          <w:lang w:val="zh-CN"/>
        </w:rPr>
      </w:pPr>
    </w:p>
    <w:p>
      <w:pPr>
        <w:rPr>
          <w:rFonts w:hint="eastAsia"/>
          <w:color w:val="auto"/>
          <w:highlight w:val="none"/>
          <w:lang w:val="zh-CN"/>
        </w:rPr>
      </w:pPr>
    </w:p>
    <w:p>
      <w:pPr>
        <w:bidi w:val="0"/>
        <w:rPr>
          <w:rFonts w:hint="eastAsia"/>
          <w:color w:val="auto"/>
          <w:highlight w:val="none"/>
        </w:rPr>
      </w:pPr>
    </w:p>
    <w:p>
      <w:pPr>
        <w:pStyle w:val="2"/>
        <w:keepNext/>
        <w:keepLines/>
        <w:pageBreakBefore w:val="0"/>
        <w:widowControl w:val="0"/>
        <w:kinsoku/>
        <w:wordWrap/>
        <w:overflowPunct/>
        <w:topLinePunct w:val="0"/>
        <w:autoSpaceDE/>
        <w:autoSpaceDN/>
        <w:bidi w:val="0"/>
        <w:adjustRightInd w:val="0"/>
        <w:snapToGrid/>
        <w:spacing w:before="0" w:after="0" w:line="360" w:lineRule="auto"/>
        <w:ind w:firstLine="0"/>
        <w:jc w:val="center"/>
        <w:textAlignment w:val="baseline"/>
        <w:outlineLvl w:val="0"/>
        <w:rPr>
          <w:rFonts w:hint="eastAsia"/>
          <w:color w:val="auto"/>
          <w:sz w:val="32"/>
          <w:szCs w:val="32"/>
          <w:highlight w:val="none"/>
          <w:lang w:val="en-US" w:eastAsia="zh-CN"/>
        </w:rPr>
      </w:pPr>
      <w:r>
        <w:rPr>
          <w:rFonts w:hint="eastAsia"/>
          <w:color w:val="auto"/>
          <w:sz w:val="32"/>
          <w:szCs w:val="32"/>
          <w:highlight w:val="none"/>
          <w:lang w:val="en-US" w:eastAsia="zh-CN"/>
        </w:rPr>
        <w:t xml:space="preserve"> 响应文件有关格式</w:t>
      </w:r>
    </w:p>
    <w:p>
      <w:pPr>
        <w:pStyle w:val="60"/>
        <w:keepNext/>
        <w:keepLines/>
        <w:pageBreakBefore w:val="0"/>
        <w:widowControl w:val="0"/>
        <w:numPr>
          <w:ilvl w:val="0"/>
          <w:numId w:val="0"/>
        </w:numPr>
        <w:tabs>
          <w:tab w:val="left" w:pos="660"/>
        </w:tabs>
        <w:kinsoku/>
        <w:wordWrap/>
        <w:overflowPunct/>
        <w:topLinePunct w:val="0"/>
        <w:autoSpaceDE/>
        <w:autoSpaceDN/>
        <w:bidi w:val="0"/>
        <w:adjustRightInd w:val="0"/>
        <w:snapToGrid w:val="0"/>
        <w:spacing w:before="0" w:line="360" w:lineRule="auto"/>
        <w:jc w:val="center"/>
        <w:textAlignment w:val="baseline"/>
        <w:outlineLvl w:val="1"/>
        <w:rPr>
          <w:rFonts w:hint="eastAsia" w:ascii="宋体" w:hAnsi="宋体" w:eastAsia="宋体" w:cs="宋体"/>
          <w:color w:val="auto"/>
          <w:kern w:val="2"/>
          <w:sz w:val="28"/>
          <w:szCs w:val="28"/>
          <w:highlight w:val="none"/>
          <w:lang w:val="zh-CN"/>
        </w:rPr>
      </w:pPr>
      <w:r>
        <w:rPr>
          <w:rFonts w:hint="eastAsia" w:ascii="宋体" w:hAnsi="宋体" w:eastAsia="宋体" w:cs="宋体"/>
          <w:color w:val="auto"/>
          <w:kern w:val="2"/>
          <w:sz w:val="28"/>
          <w:szCs w:val="28"/>
          <w:highlight w:val="none"/>
          <w:lang w:val="zh-CN"/>
        </w:rPr>
        <w:t>一、供应商应答索引表</w:t>
      </w:r>
    </w:p>
    <w:tbl>
      <w:tblPr>
        <w:tblStyle w:val="25"/>
        <w:tblW w:w="9356"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68"/>
        <w:gridCol w:w="3751"/>
        <w:gridCol w:w="1559"/>
        <w:gridCol w:w="1560"/>
        <w:gridCol w:w="201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68" w:type="dxa"/>
            <w:vAlign w:val="center"/>
          </w:tcPr>
          <w:p>
            <w:pPr>
              <w:snapToGrid w:val="0"/>
              <w:spacing w:line="4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3751" w:type="dxa"/>
            <w:vAlign w:val="center"/>
          </w:tcPr>
          <w:p>
            <w:pPr>
              <w:snapToGrid w:val="0"/>
              <w:spacing w:line="4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项  目</w:t>
            </w:r>
          </w:p>
        </w:tc>
        <w:tc>
          <w:tcPr>
            <w:tcW w:w="1559" w:type="dxa"/>
            <w:vAlign w:val="center"/>
          </w:tcPr>
          <w:p>
            <w:pPr>
              <w:snapToGrid w:val="0"/>
              <w:spacing w:line="4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供应商应答</w:t>
            </w:r>
          </w:p>
          <w:p>
            <w:pPr>
              <w:snapToGrid w:val="0"/>
              <w:spacing w:line="4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（有/没有）</w:t>
            </w:r>
          </w:p>
        </w:tc>
        <w:tc>
          <w:tcPr>
            <w:tcW w:w="1560" w:type="dxa"/>
            <w:vAlign w:val="center"/>
          </w:tcPr>
          <w:p>
            <w:pPr>
              <w:snapToGrid w:val="0"/>
              <w:spacing w:line="4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响应文件中所在页码</w:t>
            </w:r>
          </w:p>
        </w:tc>
        <w:tc>
          <w:tcPr>
            <w:tcW w:w="2018" w:type="dxa"/>
            <w:vAlign w:val="center"/>
          </w:tcPr>
          <w:p>
            <w:pPr>
              <w:snapToGrid w:val="0"/>
              <w:spacing w:line="4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备注说明</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751" w:type="dxa"/>
            <w:vAlign w:val="center"/>
          </w:tcPr>
          <w:p>
            <w:pPr>
              <w:pStyle w:val="14"/>
              <w:kinsoku w:val="0"/>
              <w:overflowPunct w:val="0"/>
              <w:autoSpaceDE w:val="0"/>
              <w:autoSpaceDN w:val="0"/>
              <w:spacing w:line="320" w:lineRule="exact"/>
              <w:rPr>
                <w:rFonts w:hint="eastAsia" w:ascii="宋体" w:hAnsi="宋体" w:eastAsia="宋体" w:cs="宋体"/>
                <w:bCs/>
                <w:color w:val="auto"/>
                <w:kern w:val="0"/>
                <w:sz w:val="24"/>
                <w:szCs w:val="24"/>
                <w:highlight w:val="none"/>
              </w:rPr>
            </w:pPr>
            <w:r>
              <w:rPr>
                <w:rFonts w:hint="eastAsia" w:ascii="宋体" w:hAnsi="宋体" w:eastAsia="宋体" w:cs="宋体"/>
                <w:color w:val="auto"/>
                <w:kern w:val="0"/>
                <w:sz w:val="24"/>
                <w:szCs w:val="24"/>
                <w:highlight w:val="none"/>
              </w:rPr>
              <w:t>供应商应答索引表</w:t>
            </w:r>
          </w:p>
        </w:tc>
        <w:tc>
          <w:tcPr>
            <w:tcW w:w="1559" w:type="dxa"/>
            <w:vAlign w:val="center"/>
          </w:tcPr>
          <w:p>
            <w:pPr>
              <w:snapToGrid w:val="0"/>
              <w:spacing w:line="400" w:lineRule="exact"/>
              <w:jc w:val="center"/>
              <w:rPr>
                <w:rFonts w:hint="eastAsia" w:ascii="宋体" w:hAnsi="宋体" w:eastAsia="宋体" w:cs="宋体"/>
                <w:color w:val="auto"/>
                <w:sz w:val="24"/>
                <w:szCs w:val="24"/>
                <w:highlight w:val="none"/>
              </w:rPr>
            </w:pPr>
          </w:p>
        </w:tc>
        <w:tc>
          <w:tcPr>
            <w:tcW w:w="1560" w:type="dxa"/>
            <w:vAlign w:val="center"/>
          </w:tcPr>
          <w:p>
            <w:pPr>
              <w:snapToGrid w:val="0"/>
              <w:spacing w:line="400" w:lineRule="exact"/>
              <w:rPr>
                <w:rFonts w:hint="eastAsia" w:ascii="宋体" w:hAnsi="宋体" w:eastAsia="宋体" w:cs="宋体"/>
                <w:color w:val="auto"/>
                <w:sz w:val="24"/>
                <w:szCs w:val="24"/>
                <w:highlight w:val="none"/>
              </w:rPr>
            </w:pPr>
          </w:p>
        </w:tc>
        <w:tc>
          <w:tcPr>
            <w:tcW w:w="2018" w:type="dxa"/>
            <w:vAlign w:val="center"/>
          </w:tcPr>
          <w:p>
            <w:pPr>
              <w:snapToGrid w:val="0"/>
              <w:spacing w:line="400" w:lineRule="exact"/>
              <w:rPr>
                <w:rFonts w:hint="eastAsia" w:ascii="宋体" w:hAnsi="宋体" w:eastAsia="宋体" w:cs="宋体"/>
                <w:color w:val="auto"/>
                <w:sz w:val="24"/>
                <w:szCs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3751" w:type="dxa"/>
            <w:vAlign w:val="center"/>
          </w:tcPr>
          <w:p>
            <w:pPr>
              <w:pStyle w:val="14"/>
              <w:kinsoku w:val="0"/>
              <w:overflowPunct w:val="0"/>
              <w:autoSpaceDE w:val="0"/>
              <w:autoSpaceDN w:val="0"/>
              <w:spacing w:line="32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报价一览表</w:t>
            </w:r>
          </w:p>
        </w:tc>
        <w:tc>
          <w:tcPr>
            <w:tcW w:w="1559" w:type="dxa"/>
            <w:vAlign w:val="center"/>
          </w:tcPr>
          <w:p>
            <w:pPr>
              <w:snapToGrid w:val="0"/>
              <w:spacing w:line="400" w:lineRule="exact"/>
              <w:jc w:val="center"/>
              <w:rPr>
                <w:rFonts w:hint="eastAsia" w:ascii="宋体" w:hAnsi="宋体" w:eastAsia="宋体" w:cs="宋体"/>
                <w:color w:val="auto"/>
                <w:sz w:val="24"/>
                <w:szCs w:val="24"/>
                <w:highlight w:val="none"/>
              </w:rPr>
            </w:pPr>
          </w:p>
        </w:tc>
        <w:tc>
          <w:tcPr>
            <w:tcW w:w="1560" w:type="dxa"/>
            <w:vAlign w:val="center"/>
          </w:tcPr>
          <w:p>
            <w:pPr>
              <w:snapToGrid w:val="0"/>
              <w:spacing w:line="400" w:lineRule="exact"/>
              <w:rPr>
                <w:rFonts w:hint="eastAsia" w:ascii="宋体" w:hAnsi="宋体" w:eastAsia="宋体" w:cs="宋体"/>
                <w:color w:val="auto"/>
                <w:sz w:val="24"/>
                <w:szCs w:val="24"/>
                <w:highlight w:val="none"/>
              </w:rPr>
            </w:pPr>
          </w:p>
        </w:tc>
        <w:tc>
          <w:tcPr>
            <w:tcW w:w="2018" w:type="dxa"/>
            <w:vAlign w:val="center"/>
          </w:tcPr>
          <w:p>
            <w:pPr>
              <w:snapToGrid w:val="0"/>
              <w:spacing w:line="400" w:lineRule="exact"/>
              <w:rPr>
                <w:rFonts w:hint="eastAsia" w:ascii="宋体" w:hAnsi="宋体" w:eastAsia="宋体" w:cs="宋体"/>
                <w:color w:val="auto"/>
                <w:sz w:val="24"/>
                <w:szCs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3751" w:type="dxa"/>
            <w:vAlign w:val="center"/>
          </w:tcPr>
          <w:p>
            <w:pPr>
              <w:pStyle w:val="14"/>
              <w:kinsoku w:val="0"/>
              <w:overflowPunct w:val="0"/>
              <w:autoSpaceDE w:val="0"/>
              <w:autoSpaceDN w:val="0"/>
              <w:spacing w:line="320" w:lineRule="exact"/>
              <w:rPr>
                <w:rFonts w:hint="eastAsia" w:ascii="宋体" w:hAnsi="宋体" w:eastAsia="宋体" w:cs="宋体"/>
                <w:bCs/>
                <w:color w:val="auto"/>
                <w:kern w:val="0"/>
                <w:sz w:val="24"/>
                <w:szCs w:val="24"/>
                <w:highlight w:val="none"/>
              </w:rPr>
            </w:pPr>
            <w:r>
              <w:rPr>
                <w:rFonts w:hint="eastAsia" w:ascii="宋体" w:hAnsi="宋体" w:eastAsia="宋体" w:cs="宋体"/>
                <w:color w:val="auto"/>
                <w:kern w:val="0"/>
                <w:sz w:val="24"/>
                <w:szCs w:val="24"/>
                <w:highlight w:val="none"/>
              </w:rPr>
              <w:t>报价函</w:t>
            </w:r>
          </w:p>
        </w:tc>
        <w:tc>
          <w:tcPr>
            <w:tcW w:w="1559" w:type="dxa"/>
            <w:vAlign w:val="center"/>
          </w:tcPr>
          <w:p>
            <w:pPr>
              <w:snapToGrid w:val="0"/>
              <w:spacing w:line="400" w:lineRule="exact"/>
              <w:jc w:val="center"/>
              <w:rPr>
                <w:rFonts w:hint="eastAsia" w:ascii="宋体" w:hAnsi="宋体" w:eastAsia="宋体" w:cs="宋体"/>
                <w:color w:val="auto"/>
                <w:sz w:val="24"/>
                <w:szCs w:val="24"/>
                <w:highlight w:val="none"/>
              </w:rPr>
            </w:pPr>
          </w:p>
        </w:tc>
        <w:tc>
          <w:tcPr>
            <w:tcW w:w="1560" w:type="dxa"/>
            <w:vAlign w:val="center"/>
          </w:tcPr>
          <w:p>
            <w:pPr>
              <w:snapToGrid w:val="0"/>
              <w:spacing w:line="400" w:lineRule="exact"/>
              <w:rPr>
                <w:rFonts w:hint="eastAsia" w:ascii="宋体" w:hAnsi="宋体" w:eastAsia="宋体" w:cs="宋体"/>
                <w:color w:val="auto"/>
                <w:sz w:val="24"/>
                <w:szCs w:val="24"/>
                <w:highlight w:val="none"/>
              </w:rPr>
            </w:pPr>
          </w:p>
        </w:tc>
        <w:tc>
          <w:tcPr>
            <w:tcW w:w="2018" w:type="dxa"/>
            <w:vAlign w:val="center"/>
          </w:tcPr>
          <w:p>
            <w:pPr>
              <w:snapToGrid w:val="0"/>
              <w:spacing w:line="400" w:lineRule="exact"/>
              <w:rPr>
                <w:rFonts w:hint="eastAsia" w:ascii="宋体" w:hAnsi="宋体" w:eastAsia="宋体" w:cs="宋体"/>
                <w:color w:val="auto"/>
                <w:sz w:val="24"/>
                <w:szCs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80" w:hRule="exact"/>
        </w:trPr>
        <w:tc>
          <w:tcPr>
            <w:tcW w:w="468" w:type="dxa"/>
            <w:vAlign w:val="center"/>
          </w:tcPr>
          <w:p>
            <w:pPr>
              <w:adjustRightInd w:val="0"/>
              <w:snapToGrid w:val="0"/>
              <w:spacing w:line="400" w:lineRule="exact"/>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3751" w:type="dxa"/>
            <w:vAlign w:val="center"/>
          </w:tcPr>
          <w:p>
            <w:pPr>
              <w:pStyle w:val="14"/>
              <w:kinsoku w:val="0"/>
              <w:overflowPunct w:val="0"/>
              <w:autoSpaceDE w:val="0"/>
              <w:autoSpaceDN w:val="0"/>
              <w:spacing w:line="320" w:lineRule="exact"/>
              <w:rPr>
                <w:rFonts w:hint="eastAsia" w:ascii="宋体" w:hAnsi="宋体" w:eastAsia="宋体" w:cs="宋体"/>
                <w:color w:val="auto"/>
                <w:kern w:val="0"/>
                <w:sz w:val="24"/>
                <w:szCs w:val="24"/>
                <w:highlight w:val="none"/>
              </w:rPr>
            </w:pPr>
            <w:r>
              <w:rPr>
                <w:rFonts w:hint="eastAsia" w:ascii="宋体" w:hAnsi="宋体" w:eastAsia="宋体" w:cs="宋体"/>
                <w:bCs/>
                <w:color w:val="auto"/>
                <w:sz w:val="24"/>
                <w:szCs w:val="24"/>
                <w:highlight w:val="none"/>
                <w:lang w:val="zh-CN"/>
              </w:rPr>
              <w:t>法定代表人（单位负责人）资格证明书</w:t>
            </w:r>
          </w:p>
        </w:tc>
        <w:tc>
          <w:tcPr>
            <w:tcW w:w="1559" w:type="dxa"/>
            <w:vAlign w:val="center"/>
          </w:tcPr>
          <w:p>
            <w:pPr>
              <w:snapToGrid w:val="0"/>
              <w:spacing w:line="400" w:lineRule="exact"/>
              <w:jc w:val="center"/>
              <w:rPr>
                <w:rFonts w:hint="eastAsia" w:ascii="宋体" w:hAnsi="宋体" w:eastAsia="宋体" w:cs="宋体"/>
                <w:color w:val="auto"/>
                <w:sz w:val="24"/>
                <w:szCs w:val="24"/>
                <w:highlight w:val="none"/>
              </w:rPr>
            </w:pPr>
          </w:p>
        </w:tc>
        <w:tc>
          <w:tcPr>
            <w:tcW w:w="1560" w:type="dxa"/>
            <w:vAlign w:val="center"/>
          </w:tcPr>
          <w:p>
            <w:pPr>
              <w:snapToGrid w:val="0"/>
              <w:spacing w:line="400" w:lineRule="exact"/>
              <w:rPr>
                <w:rFonts w:hint="eastAsia" w:ascii="宋体" w:hAnsi="宋体" w:eastAsia="宋体" w:cs="宋体"/>
                <w:color w:val="auto"/>
                <w:sz w:val="24"/>
                <w:szCs w:val="24"/>
                <w:highlight w:val="none"/>
              </w:rPr>
            </w:pPr>
          </w:p>
        </w:tc>
        <w:tc>
          <w:tcPr>
            <w:tcW w:w="2018" w:type="dxa"/>
            <w:vAlign w:val="center"/>
          </w:tcPr>
          <w:p>
            <w:pPr>
              <w:snapToGrid w:val="0"/>
              <w:spacing w:line="400" w:lineRule="exact"/>
              <w:rPr>
                <w:rFonts w:hint="eastAsia" w:ascii="宋体" w:hAnsi="宋体" w:eastAsia="宋体" w:cs="宋体"/>
                <w:color w:val="auto"/>
                <w:sz w:val="24"/>
                <w:szCs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3751" w:type="dxa"/>
            <w:vAlign w:val="center"/>
          </w:tcPr>
          <w:p>
            <w:pPr>
              <w:pStyle w:val="14"/>
              <w:kinsoku w:val="0"/>
              <w:overflowPunct w:val="0"/>
              <w:autoSpaceDE w:val="0"/>
              <w:autoSpaceDN w:val="0"/>
              <w:spacing w:line="32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法定代表人（单位负责人）授权书</w:t>
            </w:r>
          </w:p>
        </w:tc>
        <w:tc>
          <w:tcPr>
            <w:tcW w:w="1559" w:type="dxa"/>
            <w:vAlign w:val="center"/>
          </w:tcPr>
          <w:p>
            <w:pPr>
              <w:snapToGrid w:val="0"/>
              <w:spacing w:line="400" w:lineRule="exact"/>
              <w:jc w:val="center"/>
              <w:rPr>
                <w:rFonts w:hint="eastAsia" w:ascii="宋体" w:hAnsi="宋体" w:eastAsia="宋体" w:cs="宋体"/>
                <w:color w:val="auto"/>
                <w:sz w:val="24"/>
                <w:szCs w:val="24"/>
                <w:highlight w:val="none"/>
              </w:rPr>
            </w:pPr>
          </w:p>
        </w:tc>
        <w:tc>
          <w:tcPr>
            <w:tcW w:w="1560" w:type="dxa"/>
            <w:vAlign w:val="center"/>
          </w:tcPr>
          <w:p>
            <w:pPr>
              <w:snapToGrid w:val="0"/>
              <w:spacing w:line="400" w:lineRule="exact"/>
              <w:rPr>
                <w:rFonts w:hint="eastAsia" w:ascii="宋体" w:hAnsi="宋体" w:eastAsia="宋体" w:cs="宋体"/>
                <w:color w:val="auto"/>
                <w:sz w:val="24"/>
                <w:szCs w:val="24"/>
                <w:highlight w:val="none"/>
              </w:rPr>
            </w:pPr>
          </w:p>
        </w:tc>
        <w:tc>
          <w:tcPr>
            <w:tcW w:w="2018" w:type="dxa"/>
            <w:vAlign w:val="center"/>
          </w:tcPr>
          <w:p>
            <w:pPr>
              <w:snapToGrid w:val="0"/>
              <w:spacing w:line="400" w:lineRule="exact"/>
              <w:rPr>
                <w:rFonts w:hint="eastAsia" w:ascii="宋体" w:hAnsi="宋体" w:eastAsia="宋体" w:cs="宋体"/>
                <w:color w:val="auto"/>
                <w:sz w:val="24"/>
                <w:szCs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3751" w:type="dxa"/>
            <w:vAlign w:val="center"/>
          </w:tcPr>
          <w:p>
            <w:pPr>
              <w:pStyle w:val="14"/>
              <w:kinsoku w:val="0"/>
              <w:overflowPunct w:val="0"/>
              <w:autoSpaceDE w:val="0"/>
              <w:autoSpaceDN w:val="0"/>
              <w:spacing w:line="32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中小企业声明函</w:t>
            </w:r>
          </w:p>
        </w:tc>
        <w:tc>
          <w:tcPr>
            <w:tcW w:w="1559" w:type="dxa"/>
            <w:vAlign w:val="center"/>
          </w:tcPr>
          <w:p>
            <w:pPr>
              <w:snapToGrid w:val="0"/>
              <w:spacing w:line="400" w:lineRule="exact"/>
              <w:jc w:val="center"/>
              <w:rPr>
                <w:rFonts w:hint="eastAsia" w:ascii="宋体" w:hAnsi="宋体" w:eastAsia="宋体" w:cs="宋体"/>
                <w:color w:val="auto"/>
                <w:sz w:val="24"/>
                <w:szCs w:val="24"/>
                <w:highlight w:val="none"/>
              </w:rPr>
            </w:pPr>
          </w:p>
        </w:tc>
        <w:tc>
          <w:tcPr>
            <w:tcW w:w="1560" w:type="dxa"/>
            <w:vAlign w:val="center"/>
          </w:tcPr>
          <w:p>
            <w:pPr>
              <w:snapToGrid w:val="0"/>
              <w:spacing w:line="400" w:lineRule="exact"/>
              <w:rPr>
                <w:rFonts w:hint="eastAsia" w:ascii="宋体" w:hAnsi="宋体" w:eastAsia="宋体" w:cs="宋体"/>
                <w:color w:val="auto"/>
                <w:sz w:val="24"/>
                <w:szCs w:val="24"/>
                <w:highlight w:val="none"/>
              </w:rPr>
            </w:pPr>
          </w:p>
        </w:tc>
        <w:tc>
          <w:tcPr>
            <w:tcW w:w="2018" w:type="dxa"/>
            <w:vAlign w:val="center"/>
          </w:tcPr>
          <w:p>
            <w:pPr>
              <w:snapToGrid w:val="0"/>
              <w:spacing w:line="400" w:lineRule="exact"/>
              <w:rPr>
                <w:rFonts w:hint="eastAsia" w:ascii="宋体" w:hAnsi="宋体" w:eastAsia="宋体" w:cs="宋体"/>
                <w:color w:val="auto"/>
                <w:sz w:val="24"/>
                <w:szCs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3751" w:type="dxa"/>
            <w:vAlign w:val="center"/>
          </w:tcPr>
          <w:p>
            <w:pPr>
              <w:pStyle w:val="14"/>
              <w:kinsoku w:val="0"/>
              <w:overflowPunct w:val="0"/>
              <w:autoSpaceDE w:val="0"/>
              <w:autoSpaceDN w:val="0"/>
              <w:spacing w:line="32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残疾人</w:t>
            </w:r>
            <w:r>
              <w:rPr>
                <w:rFonts w:hint="eastAsia" w:ascii="宋体" w:hAnsi="宋体" w:cs="宋体"/>
                <w:color w:val="auto"/>
                <w:kern w:val="0"/>
                <w:sz w:val="24"/>
                <w:szCs w:val="24"/>
                <w:highlight w:val="none"/>
                <w:lang w:eastAsia="zh-CN"/>
              </w:rPr>
              <w:t>福利性单位</w:t>
            </w:r>
            <w:r>
              <w:rPr>
                <w:rFonts w:hint="eastAsia" w:ascii="宋体" w:hAnsi="宋体" w:eastAsia="宋体" w:cs="宋体"/>
                <w:color w:val="auto"/>
                <w:kern w:val="0"/>
                <w:sz w:val="24"/>
                <w:szCs w:val="24"/>
                <w:highlight w:val="none"/>
              </w:rPr>
              <w:t>声明函</w:t>
            </w:r>
          </w:p>
        </w:tc>
        <w:tc>
          <w:tcPr>
            <w:tcW w:w="1559" w:type="dxa"/>
            <w:vAlign w:val="center"/>
          </w:tcPr>
          <w:p>
            <w:pPr>
              <w:snapToGrid w:val="0"/>
              <w:spacing w:line="400" w:lineRule="exact"/>
              <w:jc w:val="center"/>
              <w:rPr>
                <w:rFonts w:hint="eastAsia" w:ascii="宋体" w:hAnsi="宋体" w:eastAsia="宋体" w:cs="宋体"/>
                <w:color w:val="auto"/>
                <w:sz w:val="24"/>
                <w:szCs w:val="24"/>
                <w:highlight w:val="none"/>
              </w:rPr>
            </w:pPr>
          </w:p>
        </w:tc>
        <w:tc>
          <w:tcPr>
            <w:tcW w:w="1560" w:type="dxa"/>
            <w:vAlign w:val="center"/>
          </w:tcPr>
          <w:p>
            <w:pPr>
              <w:snapToGrid w:val="0"/>
              <w:spacing w:line="400" w:lineRule="exact"/>
              <w:rPr>
                <w:rFonts w:hint="eastAsia" w:ascii="宋体" w:hAnsi="宋体" w:eastAsia="宋体" w:cs="宋体"/>
                <w:color w:val="auto"/>
                <w:sz w:val="24"/>
                <w:szCs w:val="24"/>
                <w:highlight w:val="none"/>
              </w:rPr>
            </w:pPr>
          </w:p>
        </w:tc>
        <w:tc>
          <w:tcPr>
            <w:tcW w:w="2018" w:type="dxa"/>
            <w:vAlign w:val="center"/>
          </w:tcPr>
          <w:p>
            <w:pPr>
              <w:snapToGrid w:val="0"/>
              <w:spacing w:line="400" w:lineRule="exact"/>
              <w:rPr>
                <w:rFonts w:hint="eastAsia" w:ascii="宋体" w:hAnsi="宋体" w:eastAsia="宋体" w:cs="宋体"/>
                <w:color w:val="auto"/>
                <w:sz w:val="24"/>
                <w:szCs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97" w:hRule="exact"/>
        </w:trPr>
        <w:tc>
          <w:tcPr>
            <w:tcW w:w="468" w:type="dxa"/>
            <w:vAlign w:val="center"/>
          </w:tcPr>
          <w:p>
            <w:pPr>
              <w:adjustRightInd w:val="0"/>
              <w:snapToGrid w:val="0"/>
              <w:spacing w:line="400" w:lineRule="exact"/>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p>
        </w:tc>
        <w:tc>
          <w:tcPr>
            <w:tcW w:w="3751" w:type="dxa"/>
            <w:vAlign w:val="center"/>
          </w:tcPr>
          <w:p>
            <w:pPr>
              <w:pStyle w:val="14"/>
              <w:kinsoku w:val="0"/>
              <w:overflowPunct w:val="0"/>
              <w:autoSpaceDE w:val="0"/>
              <w:autoSpaceDN w:val="0"/>
              <w:spacing w:line="320" w:lineRule="exact"/>
              <w:rPr>
                <w:rFonts w:hint="eastAsia" w:ascii="宋体" w:hAnsi="宋体" w:eastAsia="宋体" w:cs="宋体"/>
                <w:color w:val="auto"/>
                <w:kern w:val="0"/>
                <w:sz w:val="24"/>
                <w:szCs w:val="24"/>
                <w:highlight w:val="none"/>
              </w:rPr>
            </w:pPr>
            <w:r>
              <w:rPr>
                <w:rFonts w:hint="eastAsia" w:ascii="宋体" w:hAnsi="宋体" w:eastAsia="宋体" w:cs="宋体"/>
                <w:bCs/>
                <w:color w:val="auto"/>
                <w:sz w:val="24"/>
                <w:szCs w:val="24"/>
                <w:highlight w:val="none"/>
                <w:lang w:val="zh-CN"/>
              </w:rPr>
              <w:t>禹州市政府采购供应商信用承诺函</w:t>
            </w:r>
          </w:p>
        </w:tc>
        <w:tc>
          <w:tcPr>
            <w:tcW w:w="1559" w:type="dxa"/>
            <w:vAlign w:val="center"/>
          </w:tcPr>
          <w:p>
            <w:pPr>
              <w:snapToGrid w:val="0"/>
              <w:spacing w:line="400" w:lineRule="exact"/>
              <w:jc w:val="center"/>
              <w:rPr>
                <w:rFonts w:hint="eastAsia" w:ascii="宋体" w:hAnsi="宋体" w:eastAsia="宋体" w:cs="宋体"/>
                <w:color w:val="auto"/>
                <w:sz w:val="24"/>
                <w:szCs w:val="24"/>
                <w:highlight w:val="none"/>
              </w:rPr>
            </w:pPr>
          </w:p>
        </w:tc>
        <w:tc>
          <w:tcPr>
            <w:tcW w:w="1560" w:type="dxa"/>
            <w:vAlign w:val="center"/>
          </w:tcPr>
          <w:p>
            <w:pPr>
              <w:snapToGrid w:val="0"/>
              <w:spacing w:line="400" w:lineRule="exact"/>
              <w:rPr>
                <w:rFonts w:hint="eastAsia" w:ascii="宋体" w:hAnsi="宋体" w:eastAsia="宋体" w:cs="宋体"/>
                <w:color w:val="auto"/>
                <w:sz w:val="24"/>
                <w:szCs w:val="24"/>
                <w:highlight w:val="none"/>
              </w:rPr>
            </w:pPr>
          </w:p>
        </w:tc>
        <w:tc>
          <w:tcPr>
            <w:tcW w:w="2018" w:type="dxa"/>
            <w:vAlign w:val="center"/>
          </w:tcPr>
          <w:p>
            <w:pPr>
              <w:snapToGrid w:val="0"/>
              <w:spacing w:line="400" w:lineRule="exact"/>
              <w:rPr>
                <w:rFonts w:hint="eastAsia" w:ascii="宋体" w:hAnsi="宋体" w:eastAsia="宋体" w:cs="宋体"/>
                <w:color w:val="auto"/>
                <w:sz w:val="24"/>
                <w:szCs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p>
        </w:tc>
        <w:tc>
          <w:tcPr>
            <w:tcW w:w="3751" w:type="dxa"/>
            <w:vAlign w:val="center"/>
          </w:tcPr>
          <w:p>
            <w:pPr>
              <w:pStyle w:val="14"/>
              <w:kinsoku w:val="0"/>
              <w:overflowPunct w:val="0"/>
              <w:autoSpaceDE w:val="0"/>
              <w:autoSpaceDN w:val="0"/>
              <w:spacing w:line="32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监狱企业证明文件</w:t>
            </w:r>
          </w:p>
        </w:tc>
        <w:tc>
          <w:tcPr>
            <w:tcW w:w="1559" w:type="dxa"/>
            <w:vAlign w:val="center"/>
          </w:tcPr>
          <w:p>
            <w:pPr>
              <w:jc w:val="center"/>
              <w:rPr>
                <w:rFonts w:hint="eastAsia" w:ascii="宋体" w:hAnsi="宋体" w:eastAsia="宋体" w:cs="宋体"/>
                <w:color w:val="auto"/>
                <w:sz w:val="24"/>
                <w:szCs w:val="24"/>
                <w:highlight w:val="none"/>
              </w:rPr>
            </w:pPr>
          </w:p>
        </w:tc>
        <w:tc>
          <w:tcPr>
            <w:tcW w:w="1560" w:type="dxa"/>
            <w:vAlign w:val="center"/>
          </w:tcPr>
          <w:p>
            <w:pPr>
              <w:snapToGrid w:val="0"/>
              <w:spacing w:line="400" w:lineRule="exact"/>
              <w:rPr>
                <w:rFonts w:hint="eastAsia" w:ascii="宋体" w:hAnsi="宋体" w:eastAsia="宋体" w:cs="宋体"/>
                <w:color w:val="auto"/>
                <w:sz w:val="24"/>
                <w:szCs w:val="24"/>
                <w:highlight w:val="none"/>
              </w:rPr>
            </w:pPr>
          </w:p>
        </w:tc>
        <w:tc>
          <w:tcPr>
            <w:tcW w:w="2018" w:type="dxa"/>
            <w:vAlign w:val="center"/>
          </w:tcPr>
          <w:p>
            <w:pPr>
              <w:snapToGrid w:val="0"/>
              <w:spacing w:line="400" w:lineRule="exact"/>
              <w:rPr>
                <w:rFonts w:hint="eastAsia" w:ascii="宋体" w:hAnsi="宋体" w:eastAsia="宋体" w:cs="宋体"/>
                <w:color w:val="auto"/>
                <w:sz w:val="24"/>
                <w:szCs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0</w:t>
            </w:r>
          </w:p>
        </w:tc>
        <w:tc>
          <w:tcPr>
            <w:tcW w:w="3751" w:type="dxa"/>
            <w:vAlign w:val="center"/>
          </w:tcPr>
          <w:p>
            <w:pPr>
              <w:pStyle w:val="14"/>
              <w:kinsoku w:val="0"/>
              <w:overflowPunct w:val="0"/>
              <w:autoSpaceDE w:val="0"/>
              <w:autoSpaceDN w:val="0"/>
              <w:spacing w:line="32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供应商与参加本项目响应的其他供应商之间，单位负责人不为同一人并且不存在直接控股、管理关系承诺函</w:t>
            </w:r>
          </w:p>
        </w:tc>
        <w:tc>
          <w:tcPr>
            <w:tcW w:w="1559" w:type="dxa"/>
            <w:vAlign w:val="center"/>
          </w:tcPr>
          <w:p>
            <w:pPr>
              <w:jc w:val="center"/>
              <w:rPr>
                <w:rFonts w:hint="eastAsia" w:ascii="宋体" w:hAnsi="宋体" w:eastAsia="宋体" w:cs="宋体"/>
                <w:color w:val="auto"/>
                <w:sz w:val="24"/>
                <w:szCs w:val="24"/>
                <w:highlight w:val="none"/>
              </w:rPr>
            </w:pPr>
          </w:p>
        </w:tc>
        <w:tc>
          <w:tcPr>
            <w:tcW w:w="1560" w:type="dxa"/>
            <w:vAlign w:val="center"/>
          </w:tcPr>
          <w:p>
            <w:pPr>
              <w:snapToGrid w:val="0"/>
              <w:spacing w:line="400" w:lineRule="exact"/>
              <w:rPr>
                <w:rFonts w:hint="eastAsia" w:ascii="宋体" w:hAnsi="宋体" w:eastAsia="宋体" w:cs="宋体"/>
                <w:color w:val="auto"/>
                <w:sz w:val="24"/>
                <w:szCs w:val="24"/>
                <w:highlight w:val="none"/>
              </w:rPr>
            </w:pPr>
          </w:p>
        </w:tc>
        <w:tc>
          <w:tcPr>
            <w:tcW w:w="2018" w:type="dxa"/>
            <w:vAlign w:val="center"/>
          </w:tcPr>
          <w:p>
            <w:pPr>
              <w:snapToGrid w:val="0"/>
              <w:spacing w:line="400" w:lineRule="exact"/>
              <w:rPr>
                <w:rFonts w:hint="eastAsia" w:ascii="宋体" w:hAnsi="宋体" w:eastAsia="宋体" w:cs="宋体"/>
                <w:color w:val="auto"/>
                <w:sz w:val="24"/>
                <w:szCs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468" w:type="dxa"/>
            <w:vAlign w:val="center"/>
          </w:tcPr>
          <w:p>
            <w:pPr>
              <w:adjustRightInd w:val="0"/>
              <w:snapToGrid w:val="0"/>
              <w:spacing w:line="400" w:lineRule="exact"/>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p>
        </w:tc>
        <w:tc>
          <w:tcPr>
            <w:tcW w:w="3751" w:type="dxa"/>
            <w:vAlign w:val="center"/>
          </w:tcPr>
          <w:p>
            <w:pPr>
              <w:pStyle w:val="14"/>
              <w:kinsoku w:val="0"/>
              <w:overflowPunct w:val="0"/>
              <w:autoSpaceDE w:val="0"/>
              <w:autoSpaceDN w:val="0"/>
              <w:spacing w:line="320" w:lineRule="exact"/>
              <w:rPr>
                <w:rFonts w:hint="eastAsia" w:ascii="宋体" w:hAnsi="宋体" w:eastAsia="宋体" w:cs="宋体"/>
                <w:bCs/>
                <w:color w:val="auto"/>
                <w:sz w:val="24"/>
                <w:szCs w:val="24"/>
                <w:highlight w:val="none"/>
                <w:lang w:val="zh-CN"/>
              </w:rPr>
            </w:pPr>
            <w:r>
              <w:rPr>
                <w:rFonts w:hint="eastAsia" w:ascii="宋体" w:hAnsi="宋体" w:eastAsia="宋体" w:cs="宋体"/>
                <w:color w:val="auto"/>
                <w:sz w:val="24"/>
                <w:szCs w:val="24"/>
                <w:highlight w:val="none"/>
                <w:lang w:val="zh-CN"/>
              </w:rPr>
              <w:t>供应商未为本项目提供整体设计、规范编制或者项目管理、监理、检测等服务承诺函</w:t>
            </w:r>
          </w:p>
        </w:tc>
        <w:tc>
          <w:tcPr>
            <w:tcW w:w="1559" w:type="dxa"/>
            <w:vAlign w:val="center"/>
          </w:tcPr>
          <w:p>
            <w:pPr>
              <w:jc w:val="center"/>
              <w:rPr>
                <w:rFonts w:hint="eastAsia" w:ascii="宋体" w:hAnsi="宋体" w:eastAsia="宋体" w:cs="宋体"/>
                <w:color w:val="auto"/>
                <w:sz w:val="24"/>
                <w:szCs w:val="24"/>
                <w:highlight w:val="none"/>
              </w:rPr>
            </w:pPr>
          </w:p>
        </w:tc>
        <w:tc>
          <w:tcPr>
            <w:tcW w:w="1560" w:type="dxa"/>
            <w:vAlign w:val="center"/>
          </w:tcPr>
          <w:p>
            <w:pPr>
              <w:snapToGrid w:val="0"/>
              <w:spacing w:line="400" w:lineRule="exact"/>
              <w:rPr>
                <w:rFonts w:hint="eastAsia" w:ascii="宋体" w:hAnsi="宋体" w:eastAsia="宋体" w:cs="宋体"/>
                <w:color w:val="auto"/>
                <w:sz w:val="24"/>
                <w:szCs w:val="24"/>
                <w:highlight w:val="none"/>
              </w:rPr>
            </w:pPr>
          </w:p>
        </w:tc>
        <w:tc>
          <w:tcPr>
            <w:tcW w:w="2018" w:type="dxa"/>
            <w:vAlign w:val="center"/>
          </w:tcPr>
          <w:p>
            <w:pPr>
              <w:snapToGrid w:val="0"/>
              <w:spacing w:line="400" w:lineRule="exact"/>
              <w:rPr>
                <w:rFonts w:hint="eastAsia" w:ascii="宋体" w:hAnsi="宋体" w:eastAsia="宋体" w:cs="宋体"/>
                <w:color w:val="auto"/>
                <w:sz w:val="24"/>
                <w:szCs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tcBorders>
              <w:top w:val="double" w:color="auto" w:sz="4" w:space="0"/>
            </w:tcBorders>
            <w:vAlign w:val="center"/>
          </w:tcPr>
          <w:p>
            <w:pPr>
              <w:adjustRightInd w:val="0"/>
              <w:snapToGrid w:val="0"/>
              <w:spacing w:line="400" w:lineRule="exact"/>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2</w:t>
            </w:r>
          </w:p>
        </w:tc>
        <w:tc>
          <w:tcPr>
            <w:tcW w:w="3751" w:type="dxa"/>
            <w:tcBorders>
              <w:top w:val="double" w:color="auto" w:sz="4" w:space="0"/>
            </w:tcBorders>
            <w:vAlign w:val="center"/>
          </w:tcPr>
          <w:p>
            <w:pPr>
              <w:pStyle w:val="14"/>
              <w:kinsoku w:val="0"/>
              <w:overflowPunct w:val="0"/>
              <w:autoSpaceDE w:val="0"/>
              <w:autoSpaceDN w:val="0"/>
              <w:spacing w:line="320" w:lineRule="exact"/>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lang w:eastAsia="zh-CN"/>
              </w:rPr>
              <w:t>已标价工程量清单</w:t>
            </w:r>
          </w:p>
        </w:tc>
        <w:tc>
          <w:tcPr>
            <w:tcW w:w="1559" w:type="dxa"/>
            <w:tcBorders>
              <w:top w:val="double" w:color="auto" w:sz="4" w:space="0"/>
            </w:tcBorders>
            <w:vAlign w:val="center"/>
          </w:tcPr>
          <w:p>
            <w:pPr>
              <w:jc w:val="center"/>
              <w:rPr>
                <w:rFonts w:hint="eastAsia" w:ascii="宋体" w:hAnsi="宋体" w:eastAsia="宋体" w:cs="宋体"/>
                <w:color w:val="auto"/>
                <w:sz w:val="24"/>
                <w:szCs w:val="24"/>
                <w:highlight w:val="none"/>
              </w:rPr>
            </w:pPr>
          </w:p>
        </w:tc>
        <w:tc>
          <w:tcPr>
            <w:tcW w:w="1560" w:type="dxa"/>
            <w:tcBorders>
              <w:top w:val="double" w:color="auto" w:sz="4" w:space="0"/>
            </w:tcBorders>
            <w:vAlign w:val="center"/>
          </w:tcPr>
          <w:p>
            <w:pPr>
              <w:snapToGrid w:val="0"/>
              <w:spacing w:line="400" w:lineRule="exact"/>
              <w:rPr>
                <w:rFonts w:hint="eastAsia" w:ascii="宋体" w:hAnsi="宋体" w:eastAsia="宋体" w:cs="宋体"/>
                <w:color w:val="auto"/>
                <w:sz w:val="24"/>
                <w:szCs w:val="24"/>
                <w:highlight w:val="none"/>
              </w:rPr>
            </w:pPr>
          </w:p>
        </w:tc>
        <w:tc>
          <w:tcPr>
            <w:tcW w:w="2018" w:type="dxa"/>
            <w:tcBorders>
              <w:top w:val="double" w:color="auto" w:sz="4" w:space="0"/>
            </w:tcBorders>
            <w:vAlign w:val="center"/>
          </w:tcPr>
          <w:p>
            <w:pPr>
              <w:snapToGrid w:val="0"/>
              <w:spacing w:line="400" w:lineRule="exact"/>
              <w:rPr>
                <w:rFonts w:hint="eastAsia" w:ascii="宋体" w:hAnsi="宋体" w:eastAsia="宋体" w:cs="宋体"/>
                <w:color w:val="auto"/>
                <w:sz w:val="24"/>
                <w:szCs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3</w:t>
            </w:r>
          </w:p>
        </w:tc>
        <w:tc>
          <w:tcPr>
            <w:tcW w:w="3751" w:type="dxa"/>
            <w:vAlign w:val="center"/>
          </w:tcPr>
          <w:p>
            <w:pPr>
              <w:pStyle w:val="14"/>
              <w:kinsoku w:val="0"/>
              <w:overflowPunct w:val="0"/>
              <w:autoSpaceDE w:val="0"/>
              <w:autoSpaceDN w:val="0"/>
              <w:spacing w:line="320" w:lineRule="exact"/>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业绩情况表</w:t>
            </w:r>
          </w:p>
        </w:tc>
        <w:tc>
          <w:tcPr>
            <w:tcW w:w="1559" w:type="dxa"/>
            <w:vAlign w:val="center"/>
          </w:tcPr>
          <w:p>
            <w:pPr>
              <w:jc w:val="center"/>
              <w:rPr>
                <w:rFonts w:hint="eastAsia" w:ascii="宋体" w:hAnsi="宋体" w:eastAsia="宋体" w:cs="宋体"/>
                <w:color w:val="auto"/>
                <w:sz w:val="24"/>
                <w:szCs w:val="24"/>
                <w:highlight w:val="none"/>
              </w:rPr>
            </w:pPr>
          </w:p>
        </w:tc>
        <w:tc>
          <w:tcPr>
            <w:tcW w:w="1560" w:type="dxa"/>
            <w:vAlign w:val="center"/>
          </w:tcPr>
          <w:p>
            <w:pPr>
              <w:snapToGrid w:val="0"/>
              <w:spacing w:line="400" w:lineRule="exact"/>
              <w:rPr>
                <w:rFonts w:hint="eastAsia" w:ascii="宋体" w:hAnsi="宋体" w:eastAsia="宋体" w:cs="宋体"/>
                <w:color w:val="auto"/>
                <w:sz w:val="24"/>
                <w:szCs w:val="24"/>
                <w:highlight w:val="none"/>
              </w:rPr>
            </w:pPr>
          </w:p>
        </w:tc>
        <w:tc>
          <w:tcPr>
            <w:tcW w:w="2018" w:type="dxa"/>
            <w:vAlign w:val="center"/>
          </w:tcPr>
          <w:p>
            <w:pPr>
              <w:snapToGrid w:val="0"/>
              <w:spacing w:line="400" w:lineRule="exact"/>
              <w:rPr>
                <w:rFonts w:hint="eastAsia" w:ascii="宋体" w:hAnsi="宋体" w:eastAsia="宋体" w:cs="宋体"/>
                <w:color w:val="auto"/>
                <w:sz w:val="24"/>
                <w:szCs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w:t>
            </w:r>
          </w:p>
        </w:tc>
        <w:tc>
          <w:tcPr>
            <w:tcW w:w="3751" w:type="dxa"/>
            <w:vAlign w:val="center"/>
          </w:tcPr>
          <w:p>
            <w:pPr>
              <w:pStyle w:val="14"/>
              <w:kinsoku w:val="0"/>
              <w:overflowPunct w:val="0"/>
              <w:autoSpaceDE w:val="0"/>
              <w:autoSpaceDN w:val="0"/>
              <w:spacing w:line="320" w:lineRule="exact"/>
              <w:rPr>
                <w:rFonts w:hint="eastAsia" w:ascii="宋体" w:hAnsi="宋体" w:eastAsia="宋体" w:cs="宋体"/>
                <w:bCs/>
                <w:color w:val="auto"/>
                <w:kern w:val="0"/>
                <w:sz w:val="24"/>
                <w:szCs w:val="24"/>
                <w:highlight w:val="none"/>
                <w:lang w:eastAsia="zh-CN"/>
              </w:rPr>
            </w:pPr>
            <w:r>
              <w:rPr>
                <w:rFonts w:hint="eastAsia" w:ascii="宋体" w:hAnsi="宋体" w:cs="宋体"/>
                <w:bCs/>
                <w:color w:val="auto"/>
                <w:kern w:val="0"/>
                <w:sz w:val="24"/>
                <w:szCs w:val="24"/>
                <w:highlight w:val="none"/>
                <w:lang w:eastAsia="zh-CN"/>
              </w:rPr>
              <w:t>项目管理机构组成表</w:t>
            </w:r>
          </w:p>
        </w:tc>
        <w:tc>
          <w:tcPr>
            <w:tcW w:w="1559" w:type="dxa"/>
            <w:vAlign w:val="center"/>
          </w:tcPr>
          <w:p>
            <w:pPr>
              <w:jc w:val="center"/>
              <w:rPr>
                <w:rFonts w:hint="eastAsia" w:ascii="宋体" w:hAnsi="宋体" w:eastAsia="宋体" w:cs="宋体"/>
                <w:color w:val="auto"/>
                <w:sz w:val="24"/>
                <w:szCs w:val="24"/>
                <w:highlight w:val="none"/>
              </w:rPr>
            </w:pPr>
          </w:p>
        </w:tc>
        <w:tc>
          <w:tcPr>
            <w:tcW w:w="1560" w:type="dxa"/>
            <w:vAlign w:val="center"/>
          </w:tcPr>
          <w:p>
            <w:pPr>
              <w:snapToGrid w:val="0"/>
              <w:spacing w:line="400" w:lineRule="exact"/>
              <w:rPr>
                <w:rFonts w:hint="eastAsia" w:ascii="宋体" w:hAnsi="宋体" w:eastAsia="宋体" w:cs="宋体"/>
                <w:color w:val="auto"/>
                <w:sz w:val="24"/>
                <w:szCs w:val="24"/>
                <w:highlight w:val="none"/>
              </w:rPr>
            </w:pPr>
          </w:p>
        </w:tc>
        <w:tc>
          <w:tcPr>
            <w:tcW w:w="2018" w:type="dxa"/>
            <w:vAlign w:val="center"/>
          </w:tcPr>
          <w:p>
            <w:pPr>
              <w:snapToGrid w:val="0"/>
              <w:spacing w:line="400" w:lineRule="exact"/>
              <w:rPr>
                <w:rFonts w:hint="eastAsia" w:ascii="宋体" w:hAnsi="宋体" w:eastAsia="宋体" w:cs="宋体"/>
                <w:color w:val="auto"/>
                <w:sz w:val="24"/>
                <w:szCs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w:t>
            </w:r>
          </w:p>
        </w:tc>
        <w:tc>
          <w:tcPr>
            <w:tcW w:w="3751" w:type="dxa"/>
            <w:vAlign w:val="center"/>
          </w:tcPr>
          <w:p>
            <w:pPr>
              <w:pStyle w:val="14"/>
              <w:kinsoku w:val="0"/>
              <w:overflowPunct w:val="0"/>
              <w:autoSpaceDE w:val="0"/>
              <w:autoSpaceDN w:val="0"/>
              <w:spacing w:line="320" w:lineRule="exact"/>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服务</w:t>
            </w:r>
            <w:r>
              <w:rPr>
                <w:rFonts w:hint="eastAsia" w:ascii="宋体" w:hAnsi="宋体" w:eastAsia="宋体" w:cs="宋体"/>
                <w:bCs/>
                <w:color w:val="auto"/>
                <w:kern w:val="0"/>
                <w:sz w:val="24"/>
                <w:szCs w:val="24"/>
                <w:highlight w:val="none"/>
                <w:lang w:eastAsia="zh-CN"/>
              </w:rPr>
              <w:t>承诺</w:t>
            </w:r>
          </w:p>
        </w:tc>
        <w:tc>
          <w:tcPr>
            <w:tcW w:w="1559" w:type="dxa"/>
            <w:vAlign w:val="center"/>
          </w:tcPr>
          <w:p>
            <w:pPr>
              <w:jc w:val="center"/>
              <w:rPr>
                <w:rFonts w:hint="eastAsia" w:ascii="宋体" w:hAnsi="宋体" w:eastAsia="宋体" w:cs="宋体"/>
                <w:color w:val="auto"/>
                <w:sz w:val="24"/>
                <w:szCs w:val="24"/>
                <w:highlight w:val="none"/>
              </w:rPr>
            </w:pPr>
          </w:p>
        </w:tc>
        <w:tc>
          <w:tcPr>
            <w:tcW w:w="1560" w:type="dxa"/>
            <w:tcBorders>
              <w:top w:val="single" w:color="auto" w:sz="4" w:space="0"/>
            </w:tcBorders>
            <w:vAlign w:val="center"/>
          </w:tcPr>
          <w:p>
            <w:pPr>
              <w:snapToGrid w:val="0"/>
              <w:spacing w:line="400" w:lineRule="exact"/>
              <w:rPr>
                <w:rFonts w:hint="eastAsia" w:ascii="宋体" w:hAnsi="宋体" w:eastAsia="宋体" w:cs="宋体"/>
                <w:color w:val="auto"/>
                <w:sz w:val="24"/>
                <w:szCs w:val="24"/>
                <w:highlight w:val="none"/>
              </w:rPr>
            </w:pPr>
          </w:p>
        </w:tc>
        <w:tc>
          <w:tcPr>
            <w:tcW w:w="2018" w:type="dxa"/>
            <w:tcBorders>
              <w:top w:val="single" w:color="auto" w:sz="4" w:space="0"/>
            </w:tcBorders>
            <w:vAlign w:val="center"/>
          </w:tcPr>
          <w:p>
            <w:pPr>
              <w:snapToGrid w:val="0"/>
              <w:spacing w:line="400" w:lineRule="exact"/>
              <w:rPr>
                <w:rFonts w:hint="eastAsia" w:ascii="宋体" w:hAnsi="宋体" w:eastAsia="宋体" w:cs="宋体"/>
                <w:color w:val="auto"/>
                <w:sz w:val="24"/>
                <w:szCs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w:t>
            </w:r>
          </w:p>
        </w:tc>
        <w:tc>
          <w:tcPr>
            <w:tcW w:w="3751" w:type="dxa"/>
            <w:vAlign w:val="center"/>
          </w:tcPr>
          <w:p>
            <w:pPr>
              <w:pStyle w:val="14"/>
              <w:kinsoku w:val="0"/>
              <w:overflowPunct w:val="0"/>
              <w:autoSpaceDE w:val="0"/>
              <w:autoSpaceDN w:val="0"/>
              <w:spacing w:line="32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技术方案（施工组织设计）</w:t>
            </w:r>
          </w:p>
        </w:tc>
        <w:tc>
          <w:tcPr>
            <w:tcW w:w="1559" w:type="dxa"/>
            <w:vAlign w:val="center"/>
          </w:tcPr>
          <w:p>
            <w:pPr>
              <w:jc w:val="center"/>
              <w:rPr>
                <w:rFonts w:hint="eastAsia" w:ascii="宋体" w:hAnsi="宋体" w:eastAsia="宋体" w:cs="宋体"/>
                <w:color w:val="auto"/>
                <w:sz w:val="24"/>
                <w:szCs w:val="24"/>
                <w:highlight w:val="none"/>
              </w:rPr>
            </w:pPr>
          </w:p>
        </w:tc>
        <w:tc>
          <w:tcPr>
            <w:tcW w:w="1560" w:type="dxa"/>
            <w:vAlign w:val="center"/>
          </w:tcPr>
          <w:p>
            <w:pPr>
              <w:snapToGrid w:val="0"/>
              <w:spacing w:line="400" w:lineRule="exact"/>
              <w:rPr>
                <w:rFonts w:hint="eastAsia" w:ascii="宋体" w:hAnsi="宋体" w:eastAsia="宋体" w:cs="宋体"/>
                <w:color w:val="auto"/>
                <w:sz w:val="24"/>
                <w:szCs w:val="24"/>
                <w:highlight w:val="none"/>
              </w:rPr>
            </w:pPr>
          </w:p>
        </w:tc>
        <w:tc>
          <w:tcPr>
            <w:tcW w:w="2018" w:type="dxa"/>
            <w:vAlign w:val="center"/>
          </w:tcPr>
          <w:p>
            <w:pPr>
              <w:snapToGrid w:val="0"/>
              <w:spacing w:line="400" w:lineRule="exact"/>
              <w:rPr>
                <w:rFonts w:hint="eastAsia" w:ascii="宋体" w:hAnsi="宋体" w:eastAsia="宋体" w:cs="宋体"/>
                <w:color w:val="auto"/>
                <w:sz w:val="24"/>
                <w:szCs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w:t>
            </w:r>
          </w:p>
        </w:tc>
        <w:tc>
          <w:tcPr>
            <w:tcW w:w="3751" w:type="dxa"/>
            <w:vAlign w:val="center"/>
          </w:tcPr>
          <w:p>
            <w:pPr>
              <w:pStyle w:val="14"/>
              <w:kinsoku w:val="0"/>
              <w:overflowPunct w:val="0"/>
              <w:autoSpaceDE w:val="0"/>
              <w:autoSpaceDN w:val="0"/>
              <w:spacing w:line="320" w:lineRule="exact"/>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其</w:t>
            </w:r>
            <w:r>
              <w:rPr>
                <w:rFonts w:hint="eastAsia" w:ascii="宋体" w:hAnsi="宋体" w:eastAsia="宋体" w:cs="宋体"/>
                <w:bCs/>
                <w:color w:val="auto"/>
                <w:kern w:val="0"/>
                <w:sz w:val="24"/>
                <w:szCs w:val="24"/>
                <w:highlight w:val="none"/>
                <w:lang w:eastAsia="zh-CN"/>
              </w:rPr>
              <w:t>他</w:t>
            </w:r>
            <w:r>
              <w:rPr>
                <w:rFonts w:hint="eastAsia" w:ascii="宋体" w:hAnsi="宋体" w:eastAsia="宋体" w:cs="宋体"/>
                <w:bCs/>
                <w:color w:val="auto"/>
                <w:kern w:val="0"/>
                <w:sz w:val="24"/>
                <w:szCs w:val="24"/>
                <w:highlight w:val="none"/>
              </w:rPr>
              <w:t>资料</w:t>
            </w:r>
          </w:p>
        </w:tc>
        <w:tc>
          <w:tcPr>
            <w:tcW w:w="1559" w:type="dxa"/>
            <w:vAlign w:val="center"/>
          </w:tcPr>
          <w:p>
            <w:pPr>
              <w:jc w:val="center"/>
              <w:rPr>
                <w:rFonts w:hint="eastAsia" w:ascii="宋体" w:hAnsi="宋体" w:eastAsia="宋体" w:cs="宋体"/>
                <w:color w:val="auto"/>
                <w:sz w:val="24"/>
                <w:szCs w:val="24"/>
                <w:highlight w:val="none"/>
              </w:rPr>
            </w:pPr>
          </w:p>
        </w:tc>
        <w:tc>
          <w:tcPr>
            <w:tcW w:w="1560" w:type="dxa"/>
            <w:vAlign w:val="center"/>
          </w:tcPr>
          <w:p>
            <w:pPr>
              <w:snapToGrid w:val="0"/>
              <w:spacing w:line="400" w:lineRule="exact"/>
              <w:rPr>
                <w:rFonts w:hint="eastAsia" w:ascii="宋体" w:hAnsi="宋体" w:eastAsia="宋体" w:cs="宋体"/>
                <w:color w:val="auto"/>
                <w:sz w:val="24"/>
                <w:szCs w:val="24"/>
                <w:highlight w:val="none"/>
              </w:rPr>
            </w:pPr>
          </w:p>
        </w:tc>
        <w:tc>
          <w:tcPr>
            <w:tcW w:w="2018" w:type="dxa"/>
            <w:vAlign w:val="center"/>
          </w:tcPr>
          <w:p>
            <w:pPr>
              <w:snapToGrid w:val="0"/>
              <w:spacing w:line="400" w:lineRule="exact"/>
              <w:rPr>
                <w:rFonts w:hint="eastAsia" w:ascii="宋体" w:hAnsi="宋体" w:eastAsia="宋体" w:cs="宋体"/>
                <w:color w:val="auto"/>
                <w:sz w:val="24"/>
                <w:szCs w:val="24"/>
                <w:highlight w:val="none"/>
              </w:rPr>
            </w:pPr>
          </w:p>
        </w:tc>
      </w:tr>
    </w:tbl>
    <w:p>
      <w:pPr>
        <w:pStyle w:val="60"/>
        <w:keepNext/>
        <w:keepLines/>
        <w:pageBreakBefore w:val="0"/>
        <w:widowControl w:val="0"/>
        <w:numPr>
          <w:ilvl w:val="0"/>
          <w:numId w:val="0"/>
        </w:numPr>
        <w:tabs>
          <w:tab w:val="left" w:pos="660"/>
        </w:tabs>
        <w:kinsoku/>
        <w:wordWrap/>
        <w:overflowPunct/>
        <w:topLinePunct w:val="0"/>
        <w:autoSpaceDE/>
        <w:autoSpaceDN/>
        <w:bidi w:val="0"/>
        <w:adjustRightInd w:val="0"/>
        <w:snapToGrid w:val="0"/>
        <w:spacing w:before="0" w:line="360" w:lineRule="auto"/>
        <w:jc w:val="center"/>
        <w:textAlignment w:val="baseline"/>
        <w:outlineLvl w:val="1"/>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zh-CN"/>
        </w:rPr>
        <w:t>二、报价一览表（首次</w:t>
      </w:r>
      <w:r>
        <w:rPr>
          <w:rFonts w:hint="eastAsia" w:ascii="宋体" w:hAnsi="宋体" w:eastAsia="宋体" w:cs="宋体"/>
          <w:color w:val="auto"/>
          <w:kern w:val="2"/>
          <w:sz w:val="28"/>
          <w:szCs w:val="28"/>
          <w:highlight w:val="none"/>
          <w:lang w:val="en-US" w:eastAsia="zh-CN"/>
        </w:rPr>
        <w:t>/二次）</w:t>
      </w:r>
    </w:p>
    <w:p>
      <w:pPr>
        <w:pStyle w:val="14"/>
        <w:spacing w:line="360" w:lineRule="auto"/>
        <w:jc w:val="center"/>
        <w:rPr>
          <w:rFonts w:hint="eastAsia" w:ascii="宋体" w:hAnsi="宋体" w:eastAsia="宋体" w:cs="宋体"/>
          <w:b/>
          <w:snapToGrid w:val="0"/>
          <w:color w:val="auto"/>
          <w:kern w:val="0"/>
          <w:sz w:val="24"/>
          <w:szCs w:val="24"/>
          <w:highlight w:val="none"/>
        </w:rPr>
      </w:pPr>
    </w:p>
    <w:p>
      <w:pPr>
        <w:spacing w:before="50" w:afterLines="50" w:line="360" w:lineRule="auto"/>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采购编号：</w:t>
      </w:r>
    </w:p>
    <w:p>
      <w:pPr>
        <w:spacing w:line="360" w:lineRule="auto"/>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                                                单位：元（人民币）</w:t>
      </w:r>
    </w:p>
    <w:tbl>
      <w:tblPr>
        <w:tblStyle w:val="25"/>
        <w:tblW w:w="9838" w:type="dxa"/>
        <w:tblInd w:w="0" w:type="dxa"/>
        <w:tblLayout w:type="fixed"/>
        <w:tblCellMar>
          <w:top w:w="0" w:type="dxa"/>
          <w:left w:w="108" w:type="dxa"/>
          <w:bottom w:w="0" w:type="dxa"/>
          <w:right w:w="108" w:type="dxa"/>
        </w:tblCellMar>
      </w:tblPr>
      <w:tblGrid>
        <w:gridCol w:w="806"/>
        <w:gridCol w:w="1549"/>
        <w:gridCol w:w="1647"/>
        <w:gridCol w:w="1590"/>
        <w:gridCol w:w="2123"/>
        <w:gridCol w:w="2123"/>
      </w:tblGrid>
      <w:tr>
        <w:tblPrEx>
          <w:tblCellMar>
            <w:top w:w="0" w:type="dxa"/>
            <w:left w:w="108" w:type="dxa"/>
            <w:bottom w:w="0" w:type="dxa"/>
            <w:right w:w="108" w:type="dxa"/>
          </w:tblCellMar>
        </w:tblPrEx>
        <w:trPr>
          <w:trHeight w:val="839" w:hRule="atLeast"/>
        </w:trPr>
        <w:tc>
          <w:tcPr>
            <w:tcW w:w="806"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标段</w:t>
            </w:r>
          </w:p>
        </w:tc>
        <w:tc>
          <w:tcPr>
            <w:tcW w:w="1549"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项目名称</w:t>
            </w:r>
          </w:p>
        </w:tc>
        <w:tc>
          <w:tcPr>
            <w:tcW w:w="1647"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响应报价</w:t>
            </w:r>
          </w:p>
        </w:tc>
        <w:tc>
          <w:tcPr>
            <w:tcW w:w="1590"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交付期限</w:t>
            </w:r>
          </w:p>
        </w:tc>
        <w:tc>
          <w:tcPr>
            <w:tcW w:w="2123"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质量目标</w:t>
            </w:r>
          </w:p>
        </w:tc>
        <w:tc>
          <w:tcPr>
            <w:tcW w:w="2123"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拟派项目经理</w:t>
            </w:r>
          </w:p>
          <w:p>
            <w:pPr>
              <w:autoSpaceDE w:val="0"/>
              <w:autoSpaceDN w:val="0"/>
              <w:adjustRightInd w:val="0"/>
              <w:spacing w:line="480" w:lineRule="exact"/>
              <w:jc w:val="center"/>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姓名</w:t>
            </w:r>
          </w:p>
        </w:tc>
      </w:tr>
      <w:tr>
        <w:tblPrEx>
          <w:tblCellMar>
            <w:top w:w="0" w:type="dxa"/>
            <w:left w:w="108" w:type="dxa"/>
            <w:bottom w:w="0" w:type="dxa"/>
            <w:right w:w="108" w:type="dxa"/>
          </w:tblCellMar>
        </w:tblPrEx>
        <w:trPr>
          <w:trHeight w:val="1410" w:hRule="atLeast"/>
        </w:trPr>
        <w:tc>
          <w:tcPr>
            <w:tcW w:w="806"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hint="eastAsia" w:ascii="宋体" w:hAnsi="宋体" w:eastAsia="宋体" w:cs="宋体"/>
                <w:color w:val="auto"/>
                <w:sz w:val="24"/>
                <w:szCs w:val="24"/>
                <w:highlight w:val="none"/>
              </w:rPr>
            </w:pPr>
          </w:p>
        </w:tc>
        <w:tc>
          <w:tcPr>
            <w:tcW w:w="1549"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hint="eastAsia" w:ascii="宋体" w:hAnsi="宋体" w:eastAsia="宋体" w:cs="宋体"/>
                <w:color w:val="auto"/>
                <w:sz w:val="24"/>
                <w:szCs w:val="24"/>
                <w:highlight w:val="none"/>
              </w:rPr>
            </w:pPr>
          </w:p>
        </w:tc>
        <w:tc>
          <w:tcPr>
            <w:tcW w:w="1647"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大写：　　　　　　</w:t>
            </w:r>
          </w:p>
          <w:p>
            <w:pPr>
              <w:autoSpaceDE w:val="0"/>
              <w:autoSpaceDN w:val="0"/>
              <w:adjustRightInd w:val="0"/>
              <w:spacing w:line="4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小写：</w:t>
            </w:r>
          </w:p>
        </w:tc>
        <w:tc>
          <w:tcPr>
            <w:tcW w:w="1590"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val="0"/>
              <w:autoSpaceDN w:val="0"/>
              <w:bidi w:val="0"/>
              <w:adjustRightInd w:val="0"/>
              <w:snapToGrid/>
              <w:spacing w:line="480" w:lineRule="exact"/>
              <w:ind w:left="479" w:leftChars="228" w:firstLine="0" w:firstLineChars="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自合同签订后</w:t>
            </w:r>
          </w:p>
          <w:p>
            <w:pPr>
              <w:keepNext w:val="0"/>
              <w:keepLines w:val="0"/>
              <w:pageBreakBefore w:val="0"/>
              <w:widowControl w:val="0"/>
              <w:kinsoku/>
              <w:wordWrap/>
              <w:overflowPunct/>
              <w:topLinePunct w:val="0"/>
              <w:autoSpaceDE w:val="0"/>
              <w:autoSpaceDN w:val="0"/>
              <w:bidi w:val="0"/>
              <w:adjustRightInd w:val="0"/>
              <w:snapToGrid/>
              <w:spacing w:line="480" w:lineRule="exact"/>
              <w:ind w:left="479" w:leftChars="228"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zh-CN"/>
              </w:rPr>
              <w:t>个月</w:t>
            </w:r>
          </w:p>
        </w:tc>
        <w:tc>
          <w:tcPr>
            <w:tcW w:w="212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hint="eastAsia" w:ascii="宋体" w:hAnsi="宋体" w:eastAsia="宋体" w:cs="宋体"/>
                <w:color w:val="auto"/>
                <w:sz w:val="24"/>
                <w:szCs w:val="24"/>
                <w:highlight w:val="none"/>
                <w:lang w:val="zh-CN"/>
              </w:rPr>
            </w:pPr>
          </w:p>
        </w:tc>
        <w:tc>
          <w:tcPr>
            <w:tcW w:w="212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hint="eastAsia" w:ascii="宋体" w:hAnsi="宋体" w:eastAsia="宋体" w:cs="宋体"/>
                <w:color w:val="auto"/>
                <w:sz w:val="24"/>
                <w:szCs w:val="24"/>
                <w:highlight w:val="none"/>
                <w:lang w:val="zh-CN"/>
              </w:rPr>
            </w:pPr>
          </w:p>
        </w:tc>
      </w:tr>
    </w:tbl>
    <w:p>
      <w:pPr>
        <w:autoSpaceDE w:val="0"/>
        <w:autoSpaceDN w:val="0"/>
        <w:adjustRightInd w:val="0"/>
        <w:spacing w:line="48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供应商名称：</w:t>
      </w:r>
      <w:r>
        <w:rPr>
          <w:rFonts w:hint="eastAsia" w:ascii="宋体" w:hAnsi="宋体" w:eastAsia="宋体" w:cs="宋体"/>
          <w:color w:val="auto"/>
          <w:sz w:val="24"/>
          <w:szCs w:val="24"/>
          <w:highlight w:val="none"/>
          <w:u w:val="single"/>
          <w:lang w:val="zh-CN"/>
        </w:rPr>
        <w:t xml:space="preserve">     （全称）   </w:t>
      </w:r>
      <w:r>
        <w:rPr>
          <w:rFonts w:hint="eastAsia" w:ascii="宋体" w:hAnsi="宋体" w:eastAsia="宋体" w:cs="宋体"/>
          <w:color w:val="auto"/>
          <w:sz w:val="24"/>
          <w:szCs w:val="24"/>
          <w:highlight w:val="none"/>
          <w:lang w:val="zh-CN"/>
        </w:rPr>
        <w:t>（公章）：</w:t>
      </w:r>
    </w:p>
    <w:p>
      <w:pPr>
        <w:autoSpaceDE w:val="0"/>
        <w:autoSpaceDN w:val="0"/>
        <w:adjustRightInd w:val="0"/>
        <w:spacing w:line="48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日期：     年    月     日</w:t>
      </w:r>
    </w:p>
    <w:p>
      <w:pPr>
        <w:autoSpaceDE w:val="0"/>
        <w:autoSpaceDN w:val="0"/>
        <w:adjustRightInd w:val="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注：</w:t>
      </w:r>
    </w:p>
    <w:p>
      <w:pPr>
        <w:keepNext w:val="0"/>
        <w:keepLines w:val="0"/>
        <w:pageBreakBefore w:val="0"/>
        <w:widowControl w:val="0"/>
        <w:kinsoku/>
        <w:wordWrap/>
        <w:overflowPunct/>
        <w:topLinePunct w:val="0"/>
        <w:autoSpaceDE w:val="0"/>
        <w:autoSpaceDN w:val="0"/>
        <w:bidi w:val="0"/>
        <w:adjustRightInd w:val="0"/>
        <w:snapToGrid/>
        <w:spacing w:line="48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1、交付日期指完成该项目的最终时间。</w:t>
      </w:r>
    </w:p>
    <w:p>
      <w:pPr>
        <w:keepNext w:val="0"/>
        <w:keepLines w:val="0"/>
        <w:pageBreakBefore w:val="0"/>
        <w:widowControl w:val="0"/>
        <w:kinsoku/>
        <w:wordWrap/>
        <w:overflowPunct/>
        <w:topLinePunct w:val="0"/>
        <w:autoSpaceDE w:val="0"/>
        <w:autoSpaceDN w:val="0"/>
        <w:bidi w:val="0"/>
        <w:adjustRightInd w:val="0"/>
        <w:snapToGrid/>
        <w:spacing w:line="48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2、如谈判公告明确项目交付日期以年为单位，本表应填写完成该项目的年限。</w:t>
      </w:r>
    </w:p>
    <w:p>
      <w:pPr>
        <w:autoSpaceDE w:val="0"/>
        <w:autoSpaceDN w:val="0"/>
        <w:adjustRightInd w:val="0"/>
        <w:spacing w:line="360" w:lineRule="auto"/>
        <w:rPr>
          <w:rFonts w:hint="eastAsia" w:ascii="宋体" w:hAnsi="宋体" w:eastAsia="宋体" w:cs="宋体"/>
          <w:color w:val="auto"/>
          <w:sz w:val="24"/>
          <w:szCs w:val="24"/>
          <w:highlight w:val="none"/>
          <w:lang w:val="zh-CN"/>
        </w:rPr>
      </w:pPr>
    </w:p>
    <w:p>
      <w:pPr>
        <w:autoSpaceDE w:val="0"/>
        <w:autoSpaceDN w:val="0"/>
        <w:adjustRightInd w:val="0"/>
        <w:spacing w:line="360" w:lineRule="auto"/>
        <w:rPr>
          <w:rFonts w:hint="eastAsia" w:ascii="宋体" w:hAnsi="宋体" w:eastAsia="宋体" w:cs="宋体"/>
          <w:color w:val="auto"/>
          <w:sz w:val="24"/>
          <w:szCs w:val="24"/>
          <w:highlight w:val="none"/>
          <w:lang w:val="zh-CN"/>
        </w:rPr>
      </w:pPr>
    </w:p>
    <w:p>
      <w:pPr>
        <w:pStyle w:val="3"/>
        <w:numPr>
          <w:ilvl w:val="1"/>
          <w:numId w:val="0"/>
        </w:numPr>
        <w:outlineLvl w:val="9"/>
        <w:rPr>
          <w:rFonts w:hint="eastAsia"/>
          <w:color w:val="auto"/>
          <w:highlight w:val="none"/>
          <w:lang w:val="zh-CN"/>
        </w:rPr>
      </w:pPr>
    </w:p>
    <w:p>
      <w:pPr>
        <w:rPr>
          <w:rFonts w:hint="eastAsia"/>
          <w:color w:val="auto"/>
          <w:highlight w:val="none"/>
          <w:lang w:val="zh-CN"/>
        </w:rPr>
      </w:pPr>
    </w:p>
    <w:p>
      <w:pPr>
        <w:rPr>
          <w:rFonts w:hint="eastAsia"/>
          <w:color w:val="auto"/>
          <w:highlight w:val="none"/>
          <w:lang w:val="zh-CN"/>
        </w:rPr>
      </w:pPr>
    </w:p>
    <w:p>
      <w:pPr>
        <w:rPr>
          <w:rFonts w:hint="eastAsia"/>
          <w:color w:val="auto"/>
          <w:highlight w:val="none"/>
          <w:lang w:val="zh-CN"/>
        </w:rPr>
      </w:pPr>
    </w:p>
    <w:p>
      <w:pPr>
        <w:pStyle w:val="11"/>
        <w:rPr>
          <w:rFonts w:hint="eastAsia"/>
          <w:color w:val="auto"/>
          <w:highlight w:val="none"/>
          <w:lang w:val="zh-CN"/>
        </w:rPr>
      </w:pPr>
    </w:p>
    <w:p>
      <w:pPr>
        <w:pStyle w:val="11"/>
        <w:rPr>
          <w:rFonts w:hint="eastAsia"/>
          <w:color w:val="auto"/>
          <w:highlight w:val="none"/>
          <w:lang w:val="zh-CN"/>
        </w:rPr>
      </w:pPr>
    </w:p>
    <w:p>
      <w:pPr>
        <w:rPr>
          <w:rFonts w:hint="eastAsia"/>
          <w:color w:val="auto"/>
          <w:highlight w:val="none"/>
          <w:lang w:val="zh-CN"/>
        </w:rPr>
      </w:pPr>
    </w:p>
    <w:p>
      <w:pPr>
        <w:pStyle w:val="60"/>
        <w:keepNext/>
        <w:keepLines/>
        <w:pageBreakBefore w:val="0"/>
        <w:widowControl w:val="0"/>
        <w:numPr>
          <w:ilvl w:val="0"/>
          <w:numId w:val="0"/>
        </w:numPr>
        <w:tabs>
          <w:tab w:val="left" w:pos="660"/>
        </w:tabs>
        <w:kinsoku/>
        <w:wordWrap/>
        <w:overflowPunct/>
        <w:topLinePunct w:val="0"/>
        <w:autoSpaceDE/>
        <w:autoSpaceDN/>
        <w:bidi w:val="0"/>
        <w:adjustRightInd w:val="0"/>
        <w:snapToGrid w:val="0"/>
        <w:spacing w:before="0" w:line="360" w:lineRule="auto"/>
        <w:jc w:val="center"/>
        <w:textAlignment w:val="baseline"/>
        <w:outlineLvl w:val="1"/>
        <w:rPr>
          <w:rFonts w:hint="eastAsia" w:ascii="宋体" w:hAnsi="宋体" w:eastAsia="宋体" w:cs="宋体"/>
          <w:color w:val="auto"/>
          <w:kern w:val="2"/>
          <w:sz w:val="28"/>
          <w:szCs w:val="28"/>
          <w:highlight w:val="none"/>
          <w:lang w:val="zh-CN"/>
        </w:rPr>
      </w:pPr>
      <w:r>
        <w:rPr>
          <w:rFonts w:hint="eastAsia" w:ascii="宋体" w:hAnsi="宋体" w:eastAsia="宋体" w:cs="宋体"/>
          <w:color w:val="auto"/>
          <w:kern w:val="2"/>
          <w:sz w:val="28"/>
          <w:szCs w:val="28"/>
          <w:highlight w:val="none"/>
          <w:lang w:val="zh-CN"/>
        </w:rPr>
        <w:t>三、资格审查相关材料</w:t>
      </w:r>
    </w:p>
    <w:p>
      <w:pPr>
        <w:pStyle w:val="14"/>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2"/>
        <w:rPr>
          <w:rFonts w:hint="eastAsia" w:ascii="宋体" w:hAnsi="宋体" w:eastAsia="宋体" w:cs="宋体"/>
          <w:b/>
          <w:snapToGrid w:val="0"/>
          <w:color w:val="auto"/>
          <w:kern w:val="0"/>
          <w:sz w:val="24"/>
          <w:szCs w:val="24"/>
          <w:highlight w:val="none"/>
        </w:rPr>
      </w:pPr>
      <w:r>
        <w:rPr>
          <w:rFonts w:hint="eastAsia" w:ascii="宋体" w:hAnsi="宋体" w:eastAsia="宋体" w:cs="宋体"/>
          <w:b/>
          <w:snapToGrid w:val="0"/>
          <w:color w:val="auto"/>
          <w:kern w:val="0"/>
          <w:sz w:val="24"/>
          <w:szCs w:val="24"/>
          <w:highlight w:val="none"/>
        </w:rPr>
        <w:t>3.1 报 价 函</w:t>
      </w:r>
    </w:p>
    <w:p>
      <w:pPr>
        <w:adjustRightInd w:val="0"/>
        <w:spacing w:line="360" w:lineRule="auto"/>
        <w:contextualSpacing/>
        <w:rPr>
          <w:rFonts w:hint="eastAsia" w:ascii="宋体" w:hAnsi="宋体" w:eastAsia="宋体" w:cs="宋体"/>
          <w:b/>
          <w:snapToGrid w:val="0"/>
          <w:color w:val="auto"/>
          <w:kern w:val="0"/>
          <w:sz w:val="24"/>
          <w:szCs w:val="24"/>
          <w:highlight w:val="none"/>
          <w:u w:val="single"/>
          <w:lang w:eastAsia="zh-CN"/>
        </w:rPr>
      </w:pPr>
      <w:r>
        <w:rPr>
          <w:rFonts w:hint="eastAsia" w:ascii="宋体" w:hAnsi="宋体" w:eastAsia="宋体" w:cs="宋体"/>
          <w:snapToGrid w:val="0"/>
          <w:color w:val="auto"/>
          <w:kern w:val="0"/>
          <w:sz w:val="24"/>
          <w:szCs w:val="24"/>
          <w:highlight w:val="none"/>
        </w:rPr>
        <w:t>致：</w:t>
      </w:r>
      <w:r>
        <w:rPr>
          <w:rFonts w:hint="eastAsia" w:ascii="宋体" w:hAnsi="宋体" w:eastAsia="宋体" w:cs="宋体"/>
          <w:color w:val="auto"/>
          <w:sz w:val="24"/>
          <w:szCs w:val="24"/>
          <w:highlight w:val="none"/>
          <w:u w:val="single"/>
          <w:shd w:val="clear" w:color="auto" w:fill="FFFFFF"/>
        </w:rPr>
        <w:t>禹州市教育体育局</w:t>
      </w:r>
    </w:p>
    <w:p>
      <w:pPr>
        <w:keepNext w:val="0"/>
        <w:keepLines w:val="0"/>
        <w:pageBreakBefore w:val="0"/>
        <w:widowControl w:val="0"/>
        <w:kinsoku/>
        <w:wordWrap/>
        <w:overflowPunct/>
        <w:topLinePunct w:val="0"/>
        <w:autoSpaceDE/>
        <w:autoSpaceDN/>
        <w:bidi w:val="0"/>
        <w:adjustRightInd w:val="0"/>
        <w:spacing w:line="360" w:lineRule="auto"/>
        <w:ind w:firstLine="480" w:firstLineChars="200"/>
        <w:contextualSpacing/>
        <w:textAlignment w:val="auto"/>
        <w:outlineLvl w:val="9"/>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根据贵方_</w:t>
      </w:r>
      <w:r>
        <w:rPr>
          <w:rFonts w:hint="eastAsia" w:ascii="宋体" w:hAnsi="宋体" w:eastAsia="宋体" w:cs="宋体"/>
          <w:snapToGrid w:val="0"/>
          <w:color w:val="auto"/>
          <w:kern w:val="0"/>
          <w:sz w:val="24"/>
          <w:szCs w:val="24"/>
          <w:highlight w:val="none"/>
          <w:u w:val="single"/>
        </w:rPr>
        <w:t xml:space="preserve">_    </w:t>
      </w:r>
      <w:r>
        <w:rPr>
          <w:rFonts w:hint="eastAsia" w:ascii="宋体" w:hAnsi="宋体" w:eastAsia="宋体" w:cs="宋体"/>
          <w:snapToGrid w:val="0"/>
          <w:color w:val="auto"/>
          <w:kern w:val="0"/>
          <w:sz w:val="24"/>
          <w:szCs w:val="24"/>
          <w:highlight w:val="none"/>
        </w:rPr>
        <w:t>_（项目名称、项目编号）采购的竞争性谈判公告及谈判邀请，_______（姓名和职务）被正式授权并代表</w:t>
      </w:r>
      <w:r>
        <w:rPr>
          <w:rFonts w:hint="eastAsia" w:ascii="宋体" w:hAnsi="宋体" w:eastAsia="宋体" w:cs="宋体"/>
          <w:snapToGrid w:val="0"/>
          <w:color w:val="auto"/>
          <w:kern w:val="0"/>
          <w:sz w:val="24"/>
          <w:szCs w:val="24"/>
          <w:highlight w:val="none"/>
          <w:u w:val="single"/>
          <w:lang w:val="en-US" w:eastAsia="zh-CN"/>
        </w:rPr>
        <w:t xml:space="preserve">         </w:t>
      </w:r>
      <w:r>
        <w:rPr>
          <w:rFonts w:hint="eastAsia" w:ascii="宋体" w:hAnsi="宋体" w:eastAsia="宋体" w:cs="宋体"/>
          <w:snapToGrid w:val="0"/>
          <w:color w:val="auto"/>
          <w:kern w:val="0"/>
          <w:sz w:val="24"/>
          <w:szCs w:val="24"/>
          <w:highlight w:val="none"/>
        </w:rPr>
        <w:t>（供应商名称、地址）提交。</w:t>
      </w:r>
    </w:p>
    <w:p>
      <w:pPr>
        <w:pStyle w:val="14"/>
        <w:keepNext w:val="0"/>
        <w:keepLines w:val="0"/>
        <w:pageBreakBefore w:val="0"/>
        <w:widowControl w:val="0"/>
        <w:kinsoku/>
        <w:wordWrap/>
        <w:overflowPunct/>
        <w:topLinePunct w:val="0"/>
        <w:autoSpaceDE/>
        <w:autoSpaceDN/>
        <w:bidi w:val="0"/>
        <w:adjustRightInd w:val="0"/>
        <w:spacing w:line="360" w:lineRule="auto"/>
        <w:ind w:firstLine="480" w:firstLineChars="200"/>
        <w:contextualSpacing/>
        <w:textAlignment w:val="auto"/>
        <w:outlineLvl w:val="9"/>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我方确认收到贵方提供的</w:t>
      </w:r>
      <w:r>
        <w:rPr>
          <w:rFonts w:hint="eastAsia" w:ascii="宋体" w:hAnsi="宋体" w:cs="宋体"/>
          <w:snapToGrid w:val="0"/>
          <w:color w:val="auto"/>
          <w:kern w:val="0"/>
          <w:sz w:val="24"/>
          <w:szCs w:val="24"/>
          <w:highlight w:val="none"/>
          <w:u w:val="single"/>
          <w:lang w:val="en-US" w:eastAsia="zh-CN"/>
        </w:rPr>
        <w:t xml:space="preserve">       </w:t>
      </w:r>
      <w:r>
        <w:rPr>
          <w:rFonts w:hint="eastAsia" w:ascii="宋体" w:hAnsi="宋体" w:eastAsia="宋体" w:cs="宋体"/>
          <w:snapToGrid w:val="0"/>
          <w:color w:val="auto"/>
          <w:kern w:val="0"/>
          <w:sz w:val="24"/>
          <w:szCs w:val="24"/>
          <w:highlight w:val="none"/>
        </w:rPr>
        <w:t>（项目名称、</w:t>
      </w:r>
      <w:r>
        <w:rPr>
          <w:rFonts w:hint="eastAsia" w:ascii="宋体" w:hAnsi="宋体" w:cs="宋体"/>
          <w:snapToGrid w:val="0"/>
          <w:color w:val="auto"/>
          <w:kern w:val="0"/>
          <w:sz w:val="24"/>
          <w:szCs w:val="24"/>
          <w:highlight w:val="none"/>
          <w:lang w:eastAsia="zh-CN"/>
        </w:rPr>
        <w:t>项目</w:t>
      </w:r>
      <w:r>
        <w:rPr>
          <w:rFonts w:hint="eastAsia" w:ascii="宋体" w:hAnsi="宋体" w:eastAsia="宋体" w:cs="宋体"/>
          <w:snapToGrid w:val="0"/>
          <w:color w:val="auto"/>
          <w:kern w:val="0"/>
          <w:sz w:val="24"/>
          <w:szCs w:val="24"/>
          <w:highlight w:val="none"/>
        </w:rPr>
        <w:t>编号）谈判文件的全部内容。</w:t>
      </w:r>
    </w:p>
    <w:p>
      <w:pPr>
        <w:pStyle w:val="14"/>
        <w:keepNext w:val="0"/>
        <w:keepLines w:val="0"/>
        <w:pageBreakBefore w:val="0"/>
        <w:widowControl w:val="0"/>
        <w:kinsoku/>
        <w:wordWrap/>
        <w:overflowPunct/>
        <w:topLinePunct w:val="0"/>
        <w:autoSpaceDE/>
        <w:autoSpaceDN/>
        <w:bidi w:val="0"/>
        <w:adjustRightInd w:val="0"/>
        <w:spacing w:line="360" w:lineRule="auto"/>
        <w:ind w:firstLine="480" w:firstLineChars="200"/>
        <w:contextualSpacing/>
        <w:textAlignment w:val="auto"/>
        <w:outlineLvl w:val="9"/>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我方在参与响应前已详细研究了谈判文件的所有内容，包括澄清、修改文件（如果有）和所有已提供的参考资料以及有关附件，我方完全明白并认为此谈判文件没有倾向性，也不存在排斥潜在投标供应商的内容，我方同意谈判文件的相关条款和</w:t>
      </w:r>
      <w:r>
        <w:rPr>
          <w:rFonts w:hint="eastAsia" w:ascii="宋体" w:hAnsi="宋体" w:eastAsia="宋体" w:cs="宋体"/>
          <w:color w:val="auto"/>
          <w:sz w:val="24"/>
          <w:szCs w:val="24"/>
          <w:highlight w:val="none"/>
        </w:rPr>
        <w:t>已完全理解并接受谈判文件的各项规定和要求及资金支付规定，对谈判文件的合理性、合法性不再有异议。</w:t>
      </w:r>
    </w:p>
    <w:p>
      <w:pPr>
        <w:keepNext w:val="0"/>
        <w:keepLines w:val="0"/>
        <w:pageBreakBefore w:val="0"/>
        <w:widowControl w:val="0"/>
        <w:kinsoku/>
        <w:wordWrap/>
        <w:overflowPunct/>
        <w:topLinePunct w:val="0"/>
        <w:autoSpaceDE/>
        <w:autoSpaceDN/>
        <w:bidi w:val="0"/>
        <w:adjustRightInd w:val="0"/>
        <w:spacing w:line="360" w:lineRule="auto"/>
        <w:ind w:firstLine="600" w:firstLineChars="250"/>
        <w:contextualSpacing/>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我方已完全明白谈判文件的所有条款要求，并申明如下：</w:t>
      </w:r>
    </w:p>
    <w:p>
      <w:pPr>
        <w:keepNext w:val="0"/>
        <w:keepLines w:val="0"/>
        <w:pageBreakBefore w:val="0"/>
        <w:widowControl w:val="0"/>
        <w:kinsoku/>
        <w:wordWrap/>
        <w:overflowPunct/>
        <w:topLinePunct w:val="0"/>
        <w:autoSpaceDE/>
        <w:autoSpaceDN/>
        <w:bidi w:val="0"/>
        <w:adjustRightInd w:val="0"/>
        <w:spacing w:line="360" w:lineRule="auto"/>
        <w:ind w:firstLine="480" w:firstLineChars="200"/>
        <w:contextualSpacing/>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一、按谈判文件提供的全部货物与相关服务的响应总价详见《报价一览表》。</w:t>
      </w:r>
    </w:p>
    <w:p>
      <w:pPr>
        <w:keepNext w:val="0"/>
        <w:keepLines w:val="0"/>
        <w:pageBreakBefore w:val="0"/>
        <w:widowControl w:val="0"/>
        <w:kinsoku/>
        <w:wordWrap/>
        <w:overflowPunct/>
        <w:topLinePunct w:val="0"/>
        <w:autoSpaceDE/>
        <w:autoSpaceDN/>
        <w:bidi w:val="0"/>
        <w:adjustRightInd w:val="0"/>
        <w:spacing w:line="360" w:lineRule="auto"/>
        <w:ind w:firstLine="480" w:firstLineChars="200"/>
        <w:contextualSpacing/>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我方同意在本项目谈判文件中规定的开标日起90天内遵守本谈判文件中的承诺且在此期限期满之前均具有约束力。我方同意并遵守本谈判文件“投标人须知”中第十四条第三款关于延长投标有效期的规定。如成交，有效期将延至供货终止日为止。在此提交的资格证明文件均至响应截止日有效，如有在响应有效期内失效的，我方承诺在收到成交通知书后补齐一切手续，保证所有资格证明文件能在签订采购合同时直至采购合同终止日有效。</w:t>
      </w:r>
    </w:p>
    <w:p>
      <w:pPr>
        <w:pStyle w:val="23"/>
        <w:keepNext w:val="0"/>
        <w:keepLines w:val="0"/>
        <w:pageBreakBefore w:val="0"/>
        <w:widowControl w:val="0"/>
        <w:kinsoku/>
        <w:wordWrap/>
        <w:overflowPunct/>
        <w:topLinePunct w:val="0"/>
        <w:autoSpaceDE/>
        <w:autoSpaceDN/>
        <w:bidi w:val="0"/>
        <w:adjustRightInd w:val="0"/>
        <w:spacing w:line="360" w:lineRule="auto"/>
        <w:ind w:firstLine="480" w:firstLineChars="200"/>
        <w:contextualSpacing/>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三、我方明白并同意，在规定的谈判响应时间截止之后，响应有效期之内撤销谈判响应的，则我方承担违背响应承诺的责任追究。</w:t>
      </w:r>
    </w:p>
    <w:p>
      <w:pPr>
        <w:pStyle w:val="23"/>
        <w:keepNext w:val="0"/>
        <w:keepLines w:val="0"/>
        <w:pageBreakBefore w:val="0"/>
        <w:widowControl w:val="0"/>
        <w:kinsoku/>
        <w:wordWrap/>
        <w:overflowPunct/>
        <w:topLinePunct w:val="0"/>
        <w:autoSpaceDE/>
        <w:autoSpaceDN/>
        <w:bidi w:val="0"/>
        <w:adjustRightInd w:val="0"/>
        <w:spacing w:line="360" w:lineRule="auto"/>
        <w:ind w:firstLine="480" w:firstLineChars="200"/>
        <w:contextualSpacing/>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四、我方同意按照贵方可能提出的要求而提供与谈判响应有关的</w:t>
      </w:r>
      <w:r>
        <w:rPr>
          <w:rFonts w:hint="eastAsia" w:ascii="宋体" w:hAnsi="宋体" w:cs="宋体"/>
          <w:color w:val="auto"/>
          <w:sz w:val="24"/>
          <w:szCs w:val="24"/>
          <w:highlight w:val="none"/>
          <w:lang w:eastAsia="zh-CN"/>
        </w:rPr>
        <w:t>任何其他</w:t>
      </w:r>
      <w:r>
        <w:rPr>
          <w:rFonts w:hint="eastAsia" w:ascii="宋体" w:hAnsi="宋体" w:eastAsia="宋体" w:cs="宋体"/>
          <w:color w:val="auto"/>
          <w:sz w:val="24"/>
          <w:szCs w:val="24"/>
          <w:highlight w:val="none"/>
        </w:rPr>
        <w:t>数据、信息或资料。</w:t>
      </w:r>
    </w:p>
    <w:p>
      <w:pPr>
        <w:pStyle w:val="23"/>
        <w:keepNext w:val="0"/>
        <w:keepLines w:val="0"/>
        <w:pageBreakBefore w:val="0"/>
        <w:widowControl w:val="0"/>
        <w:kinsoku/>
        <w:wordWrap/>
        <w:overflowPunct/>
        <w:topLinePunct w:val="0"/>
        <w:autoSpaceDE/>
        <w:autoSpaceDN/>
        <w:bidi w:val="0"/>
        <w:adjustRightInd w:val="0"/>
        <w:spacing w:line="360" w:lineRule="auto"/>
        <w:ind w:firstLine="480" w:firstLineChars="200"/>
        <w:contextualSpacing/>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五、我方理解贵方不一定接受最低响应报价。</w:t>
      </w:r>
    </w:p>
    <w:p>
      <w:pPr>
        <w:pStyle w:val="23"/>
        <w:keepNext w:val="0"/>
        <w:keepLines w:val="0"/>
        <w:pageBreakBefore w:val="0"/>
        <w:widowControl w:val="0"/>
        <w:kinsoku/>
        <w:wordWrap/>
        <w:overflowPunct/>
        <w:topLinePunct w:val="0"/>
        <w:autoSpaceDE/>
        <w:autoSpaceDN/>
        <w:bidi w:val="0"/>
        <w:adjustRightInd w:val="0"/>
        <w:spacing w:line="360" w:lineRule="auto"/>
        <w:ind w:firstLine="480" w:firstLineChars="200"/>
        <w:contextualSpacing/>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六、我方如果成交，将保证履行谈判文件及其澄清、修改文件（如果有）中的全部责任和义务，按质、按量、按期完成《采购需求》及《合同书》中的全部任务。</w:t>
      </w:r>
    </w:p>
    <w:p>
      <w:pPr>
        <w:pStyle w:val="23"/>
        <w:keepNext w:val="0"/>
        <w:keepLines w:val="0"/>
        <w:pageBreakBefore w:val="0"/>
        <w:widowControl w:val="0"/>
        <w:kinsoku/>
        <w:wordWrap/>
        <w:overflowPunct/>
        <w:topLinePunct w:val="0"/>
        <w:autoSpaceDE/>
        <w:autoSpaceDN/>
        <w:bidi w:val="0"/>
        <w:adjustRightInd w:val="0"/>
        <w:spacing w:line="360" w:lineRule="auto"/>
        <w:ind w:firstLine="480" w:firstLineChars="200"/>
        <w:contextualSpacing/>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七、我方在此保证所提交的所有文件和全部说明是真实的和正确的。</w:t>
      </w:r>
    </w:p>
    <w:p>
      <w:pPr>
        <w:pStyle w:val="14"/>
        <w:keepNext w:val="0"/>
        <w:keepLines w:val="0"/>
        <w:pageBreakBefore w:val="0"/>
        <w:widowControl w:val="0"/>
        <w:kinsoku/>
        <w:wordWrap/>
        <w:overflowPunct/>
        <w:topLinePunct w:val="0"/>
        <w:autoSpaceDE/>
        <w:autoSpaceDN/>
        <w:bidi w:val="0"/>
        <w:adjustRightInd w:val="0"/>
        <w:spacing w:line="360" w:lineRule="auto"/>
        <w:ind w:firstLine="480" w:firstLineChars="200"/>
        <w:contextualSpacing/>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八、我方响应报价已包含应向知识产权所有权人支付的所有相关税费，并保证采购人在中国使用我方提供的货物时，如有第三方提出侵犯其知识产权主张的，责任由我方承担。 </w:t>
      </w:r>
    </w:p>
    <w:p>
      <w:pPr>
        <w:pStyle w:val="14"/>
        <w:keepNext w:val="0"/>
        <w:keepLines w:val="0"/>
        <w:pageBreakBefore w:val="0"/>
        <w:widowControl w:val="0"/>
        <w:kinsoku/>
        <w:wordWrap/>
        <w:overflowPunct/>
        <w:topLinePunct w:val="0"/>
        <w:autoSpaceDE/>
        <w:autoSpaceDN/>
        <w:bidi w:val="0"/>
        <w:adjustRightInd w:val="0"/>
        <w:spacing w:line="360" w:lineRule="auto"/>
        <w:ind w:firstLine="480" w:firstLineChars="200"/>
        <w:contextualSpacing/>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九</w:t>
      </w:r>
      <w:r>
        <w:rPr>
          <w:rFonts w:hint="eastAsia" w:ascii="宋体" w:hAnsi="宋体" w:eastAsia="宋体" w:cs="宋体"/>
          <w:color w:val="auto"/>
          <w:sz w:val="24"/>
          <w:szCs w:val="24"/>
          <w:highlight w:val="none"/>
        </w:rPr>
        <w:t>、我方具备履行合同所必需的设备和专业技术能力。</w:t>
      </w:r>
    </w:p>
    <w:p>
      <w:pPr>
        <w:pStyle w:val="14"/>
        <w:keepNext w:val="0"/>
        <w:keepLines w:val="0"/>
        <w:pageBreakBefore w:val="0"/>
        <w:widowControl w:val="0"/>
        <w:kinsoku/>
        <w:wordWrap/>
        <w:overflowPunct/>
        <w:topLinePunct w:val="0"/>
        <w:autoSpaceDE/>
        <w:autoSpaceDN/>
        <w:bidi w:val="0"/>
        <w:adjustRightInd w:val="0"/>
        <w:spacing w:line="360" w:lineRule="auto"/>
        <w:ind w:firstLine="480" w:firstLineChars="200"/>
        <w:contextualSpacing/>
        <w:textAlignment w:val="auto"/>
        <w:outlineLvl w:val="9"/>
        <w:rPr>
          <w:rFonts w:hint="eastAsia" w:ascii="宋体" w:hAnsi="宋体" w:eastAsia="宋体" w:cs="宋体"/>
          <w:color w:val="auto"/>
          <w:sz w:val="24"/>
          <w:szCs w:val="24"/>
          <w:highlight w:val="none"/>
        </w:rPr>
      </w:pPr>
      <w:r>
        <w:rPr>
          <w:rFonts w:hint="eastAsia" w:ascii="宋体" w:hAnsi="宋体" w:eastAsia="宋体" w:cs="宋体"/>
          <w:snapToGrid w:val="0"/>
          <w:color w:val="auto"/>
          <w:kern w:val="0"/>
          <w:sz w:val="24"/>
          <w:szCs w:val="24"/>
          <w:highlight w:val="none"/>
        </w:rPr>
        <w:t>十、</w:t>
      </w:r>
      <w:r>
        <w:rPr>
          <w:rFonts w:hint="eastAsia" w:ascii="宋体" w:hAnsi="宋体" w:eastAsia="宋体" w:cs="宋体"/>
          <w:color w:val="auto"/>
          <w:sz w:val="24"/>
          <w:szCs w:val="24"/>
          <w:highlight w:val="none"/>
        </w:rPr>
        <w:t>我方对在本函及响应文件中所作的所有承诺承担法律责任。</w:t>
      </w:r>
    </w:p>
    <w:p>
      <w:pPr>
        <w:pStyle w:val="14"/>
        <w:keepNext w:val="0"/>
        <w:keepLines w:val="0"/>
        <w:pageBreakBefore w:val="0"/>
        <w:widowControl w:val="0"/>
        <w:kinsoku/>
        <w:wordWrap/>
        <w:overflowPunct/>
        <w:topLinePunct w:val="0"/>
        <w:autoSpaceDE/>
        <w:autoSpaceDN/>
        <w:bidi w:val="0"/>
        <w:adjustRightInd w:val="0"/>
        <w:snapToGrid w:val="0"/>
        <w:spacing w:line="360" w:lineRule="auto"/>
        <w:textAlignment w:val="auto"/>
        <w:outlineLvl w:val="9"/>
        <w:rPr>
          <w:rFonts w:hint="eastAsia" w:ascii="宋体" w:hAnsi="宋体" w:eastAsia="宋体" w:cs="宋体"/>
          <w:color w:val="auto"/>
          <w:sz w:val="24"/>
          <w:szCs w:val="24"/>
          <w:highlight w:val="none"/>
        </w:rPr>
      </w:pPr>
    </w:p>
    <w:p>
      <w:pPr>
        <w:pStyle w:val="14"/>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所有与本项目谈判有关的一切正式往来请联系：</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default" w:ascii="宋体" w:hAnsi="宋体" w:eastAsia="宋体" w:cs="宋体"/>
          <w:color w:val="auto"/>
          <w:sz w:val="24"/>
          <w:szCs w:val="24"/>
          <w:highlight w:val="none"/>
          <w:u w:val="none"/>
          <w:lang w:val="en-US"/>
        </w:rPr>
      </w:pPr>
      <w:r>
        <w:rPr>
          <w:rFonts w:hint="eastAsia" w:ascii="宋体" w:hAnsi="宋体" w:eastAsia="宋体" w:cs="宋体"/>
          <w:color w:val="auto"/>
          <w:sz w:val="24"/>
          <w:szCs w:val="24"/>
          <w:highlight w:val="none"/>
          <w:u w:val="none"/>
        </w:rPr>
        <w:t>地    址</w:t>
      </w: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rPr>
        <w:t>邮政编码</w:t>
      </w: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u w:val="non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default" w:ascii="宋体" w:hAnsi="宋体" w:eastAsia="宋体" w:cs="宋体"/>
          <w:color w:val="auto"/>
          <w:sz w:val="24"/>
          <w:szCs w:val="24"/>
          <w:highlight w:val="none"/>
          <w:u w:val="none"/>
          <w:lang w:val="en-US"/>
        </w:rPr>
      </w:pPr>
      <w:r>
        <w:rPr>
          <w:rFonts w:hint="eastAsia" w:ascii="宋体" w:hAnsi="宋体" w:eastAsia="宋体" w:cs="宋体"/>
          <w:color w:val="auto"/>
          <w:sz w:val="24"/>
          <w:szCs w:val="24"/>
          <w:highlight w:val="none"/>
          <w:u w:val="none"/>
        </w:rPr>
        <w:t>供应商代表姓名</w:t>
      </w: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rPr>
        <w:t xml:space="preserve"> 职    务</w:t>
      </w: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u w:val="non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u w:val="none"/>
        </w:rPr>
        <w:t>手    机</w:t>
      </w: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rPr>
        <w:t xml:space="preserve"> 固定电话</w:t>
      </w: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w:t>
      </w:r>
    </w:p>
    <w:p>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供应商代表应为参加谈判的法定代表人（单位负责人）或法定代表人（单位负责人）授权代表。</w:t>
      </w:r>
    </w:p>
    <w:p>
      <w:pPr>
        <w:adjustRightInd w:val="0"/>
        <w:snapToGrid w:val="0"/>
        <w:spacing w:line="360" w:lineRule="auto"/>
        <w:rPr>
          <w:rFonts w:hint="eastAsia" w:ascii="宋体" w:hAnsi="宋体" w:eastAsia="宋体" w:cs="宋体"/>
          <w:color w:val="auto"/>
          <w:sz w:val="24"/>
          <w:szCs w:val="24"/>
          <w:highlight w:val="none"/>
          <w:u w:val="single"/>
        </w:rPr>
      </w:pPr>
    </w:p>
    <w:p>
      <w:pPr>
        <w:adjustRightInd w:val="0"/>
        <w:snapToGrid w:val="0"/>
        <w:spacing w:line="360" w:lineRule="auto"/>
        <w:ind w:firstLine="4440" w:firstLineChars="185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供应商名称（并加盖公章）：</w:t>
      </w:r>
      <w:r>
        <w:rPr>
          <w:rFonts w:hint="eastAsia" w:ascii="宋体" w:hAnsi="宋体" w:eastAsia="宋体" w:cs="宋体"/>
          <w:color w:val="auto"/>
          <w:sz w:val="24"/>
          <w:szCs w:val="24"/>
          <w:highlight w:val="none"/>
          <w:lang w:val="en-US" w:eastAsia="zh-CN"/>
        </w:rPr>
        <w:t xml:space="preserve">  </w:t>
      </w:r>
    </w:p>
    <w:p>
      <w:pPr>
        <w:adjustRightInd w:val="0"/>
        <w:snapToGrid w:val="0"/>
        <w:spacing w:line="360" w:lineRule="auto"/>
        <w:ind w:firstLine="4920" w:firstLineChars="2050"/>
        <w:rPr>
          <w:rFonts w:hint="eastAsia"/>
          <w:color w:val="auto"/>
          <w:highlight w:val="none"/>
        </w:rPr>
      </w:pPr>
      <w:r>
        <w:rPr>
          <w:rFonts w:hint="eastAsia" w:ascii="宋体" w:hAnsi="宋体" w:eastAsia="宋体" w:cs="宋体"/>
          <w:color w:val="auto"/>
          <w:sz w:val="24"/>
          <w:szCs w:val="24"/>
          <w:highlight w:val="none"/>
        </w:rPr>
        <w:t xml:space="preserve">日期：      年     月 </w:t>
      </w:r>
      <w:r>
        <w:rPr>
          <w:rFonts w:hint="eastAsia" w:ascii="宋体" w:hAnsi="宋体" w:eastAsia="宋体" w:cs="宋体"/>
          <w:color w:val="auto"/>
          <w:sz w:val="24"/>
          <w:szCs w:val="24"/>
          <w:highlight w:val="none"/>
          <w:lang w:val="en-US" w:eastAsia="zh-CN"/>
        </w:rPr>
        <w:t xml:space="preserve">  日</w:t>
      </w:r>
      <w:r>
        <w:rPr>
          <w:rFonts w:hint="eastAsia" w:ascii="宋体" w:hAnsi="宋体" w:eastAsia="宋体" w:cs="宋体"/>
          <w:color w:val="auto"/>
          <w:sz w:val="24"/>
          <w:szCs w:val="24"/>
          <w:highlight w:val="none"/>
        </w:rPr>
        <w:t xml:space="preserve">    </w:t>
      </w:r>
    </w:p>
    <w:p>
      <w:pPr>
        <w:pStyle w:val="14"/>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2"/>
        <w:rPr>
          <w:rFonts w:hint="eastAsia" w:ascii="宋体" w:hAnsi="宋体" w:eastAsia="宋体" w:cs="宋体"/>
          <w:b/>
          <w:snapToGrid w:val="0"/>
          <w:color w:val="auto"/>
          <w:kern w:val="0"/>
          <w:sz w:val="24"/>
          <w:szCs w:val="24"/>
          <w:highlight w:val="none"/>
        </w:rPr>
      </w:pPr>
      <w:r>
        <w:rPr>
          <w:rFonts w:hint="eastAsia" w:ascii="宋体" w:hAnsi="宋体" w:eastAsia="宋体" w:cs="宋体"/>
          <w:b/>
          <w:snapToGrid w:val="0"/>
          <w:color w:val="auto"/>
          <w:kern w:val="0"/>
          <w:sz w:val="24"/>
          <w:szCs w:val="24"/>
          <w:highlight w:val="none"/>
        </w:rPr>
        <w:t>3.2 法定代表人（单位负责人）资格证明书</w:t>
      </w:r>
    </w:p>
    <w:p>
      <w:pPr>
        <w:autoSpaceDE w:val="0"/>
        <w:autoSpaceDN w:val="0"/>
        <w:adjustRightInd w:val="0"/>
        <w:spacing w:line="480" w:lineRule="auto"/>
        <w:ind w:firstLine="616" w:firstLineChars="257"/>
        <w:rPr>
          <w:rFonts w:hint="eastAsia" w:ascii="宋体" w:hAnsi="宋体" w:eastAsia="宋体" w:cs="宋体"/>
          <w:color w:val="auto"/>
          <w:sz w:val="24"/>
          <w:szCs w:val="24"/>
          <w:highlight w:val="none"/>
        </w:rPr>
      </w:pPr>
    </w:p>
    <w:p>
      <w:pPr>
        <w:pStyle w:val="52"/>
        <w:spacing w:line="480" w:lineRule="auto"/>
        <w:ind w:firstLine="540" w:firstLineChars="22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单位名称：</w:t>
      </w:r>
    </w:p>
    <w:p>
      <w:pPr>
        <w:pStyle w:val="52"/>
        <w:spacing w:line="480" w:lineRule="auto"/>
        <w:ind w:firstLine="540" w:firstLineChars="22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p>
    <w:p>
      <w:pPr>
        <w:pStyle w:val="52"/>
        <w:spacing w:line="480" w:lineRule="auto"/>
        <w:ind w:firstLine="540" w:firstLineChars="22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       性别：     年龄：     职务：        </w:t>
      </w:r>
    </w:p>
    <w:p>
      <w:pPr>
        <w:pStyle w:val="52"/>
        <w:spacing w:line="480" w:lineRule="auto"/>
        <w:ind w:firstLine="540" w:firstLineChars="22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本人系</w:t>
      </w:r>
      <w:r>
        <w:rPr>
          <w:rFonts w:hint="eastAsia" w:ascii="宋体" w:hAnsi="宋体" w:eastAsia="宋体" w:cs="宋体"/>
          <w:i/>
          <w:snapToGrid w:val="0"/>
          <w:color w:val="auto"/>
          <w:sz w:val="24"/>
          <w:szCs w:val="24"/>
          <w:highlight w:val="none"/>
          <w:u w:val="single"/>
        </w:rPr>
        <w:t>供应商名称</w:t>
      </w:r>
      <w:r>
        <w:rPr>
          <w:rFonts w:hint="eastAsia" w:ascii="宋体" w:hAnsi="宋体" w:eastAsia="宋体" w:cs="宋体"/>
          <w:color w:val="auto"/>
          <w:sz w:val="24"/>
          <w:szCs w:val="24"/>
          <w:highlight w:val="none"/>
        </w:rPr>
        <w:t>的法定代表人（单位负责人）。就参加贵方项目编号为</w:t>
      </w:r>
      <w:r>
        <w:rPr>
          <w:rFonts w:hint="eastAsia" w:ascii="宋体" w:hAnsi="宋体" w:eastAsia="宋体" w:cs="宋体"/>
          <w:i/>
          <w:color w:val="auto"/>
          <w:sz w:val="24"/>
          <w:szCs w:val="24"/>
          <w:highlight w:val="none"/>
          <w:u w:val="single"/>
        </w:rPr>
        <w:t>项目编号</w:t>
      </w:r>
      <w:r>
        <w:rPr>
          <w:rFonts w:hint="eastAsia" w:ascii="宋体" w:hAnsi="宋体" w:eastAsia="宋体" w:cs="宋体"/>
          <w:color w:val="auto"/>
          <w:sz w:val="24"/>
          <w:szCs w:val="24"/>
          <w:highlight w:val="none"/>
        </w:rPr>
        <w:t>的</w:t>
      </w:r>
      <w:r>
        <w:rPr>
          <w:rFonts w:hint="eastAsia" w:ascii="宋体" w:hAnsi="宋体" w:eastAsia="宋体" w:cs="宋体"/>
          <w:i/>
          <w:color w:val="auto"/>
          <w:sz w:val="24"/>
          <w:szCs w:val="24"/>
          <w:highlight w:val="none"/>
          <w:u w:val="single"/>
        </w:rPr>
        <w:t>项目名称</w:t>
      </w:r>
      <w:r>
        <w:rPr>
          <w:rFonts w:hint="eastAsia" w:ascii="宋体" w:hAnsi="宋体" w:eastAsia="宋体" w:cs="宋体"/>
          <w:color w:val="auto"/>
          <w:sz w:val="24"/>
          <w:szCs w:val="24"/>
          <w:highlight w:val="none"/>
        </w:rPr>
        <w:t>竞争性谈判项目的响应报价，签署上述项目的响应文件及合同的执行、完成、服务和保修，签署合同和处理与之有关的一切事务。</w:t>
      </w:r>
    </w:p>
    <w:p>
      <w:pPr>
        <w:pStyle w:val="52"/>
        <w:spacing w:line="480" w:lineRule="auto"/>
        <w:ind w:firstLine="540" w:firstLineChars="22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特此证明。</w:t>
      </w:r>
    </w:p>
    <w:p>
      <w:pPr>
        <w:pStyle w:val="52"/>
        <w:spacing w:line="480" w:lineRule="auto"/>
        <w:ind w:firstLine="540" w:firstLineChars="22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法定代表人（单位负责人）联系电话（手机）：</w:t>
      </w:r>
    </w:p>
    <w:p>
      <w:pPr>
        <w:pStyle w:val="52"/>
        <w:spacing w:line="480" w:lineRule="auto"/>
        <w:ind w:firstLine="540" w:firstLineChars="225"/>
        <w:jc w:val="left"/>
        <w:rPr>
          <w:rFonts w:hint="eastAsia" w:ascii="宋体" w:hAnsi="宋体" w:eastAsia="宋体" w:cs="宋体"/>
          <w:color w:val="auto"/>
          <w:sz w:val="24"/>
          <w:szCs w:val="24"/>
          <w:highlight w:val="none"/>
        </w:rPr>
      </w:pPr>
    </w:p>
    <w:p>
      <w:pPr>
        <w:pStyle w:val="52"/>
        <w:spacing w:line="480" w:lineRule="auto"/>
        <w:ind w:firstLine="540" w:firstLineChars="225"/>
        <w:jc w:val="left"/>
        <w:rPr>
          <w:rFonts w:hint="eastAsia" w:ascii="宋体" w:hAnsi="宋体" w:eastAsia="宋体" w:cs="宋体"/>
          <w:color w:val="auto"/>
          <w:sz w:val="24"/>
          <w:szCs w:val="24"/>
          <w:highlight w:val="none"/>
        </w:rPr>
      </w:pPr>
    </w:p>
    <w:p>
      <w:pPr>
        <w:pStyle w:val="52"/>
        <w:spacing w:line="480" w:lineRule="auto"/>
        <w:ind w:left="-538" w:leftChars="-256" w:firstLine="616" w:firstLineChars="257"/>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【此处请粘贴法定代表人（单位负责人）身份证复印件，需清晰反映身份证有效期限】</w:t>
      </w:r>
    </w:p>
    <w:p>
      <w:pPr>
        <w:pStyle w:val="52"/>
        <w:spacing w:line="480" w:lineRule="auto"/>
        <w:ind w:left="-538" w:leftChars="-256" w:firstLine="616" w:firstLineChars="257"/>
        <w:jc w:val="center"/>
        <w:rPr>
          <w:rFonts w:hint="eastAsia" w:ascii="宋体" w:hAnsi="宋体" w:eastAsia="宋体" w:cs="宋体"/>
          <w:bCs/>
          <w:color w:val="auto"/>
          <w:sz w:val="24"/>
          <w:szCs w:val="24"/>
          <w:highlight w:val="none"/>
        </w:rPr>
      </w:pPr>
    </w:p>
    <w:p>
      <w:pPr>
        <w:autoSpaceDE w:val="0"/>
        <w:autoSpaceDN w:val="0"/>
        <w:adjustRightInd w:val="0"/>
        <w:spacing w:line="360" w:lineRule="auto"/>
        <w:ind w:right="-11"/>
        <w:rPr>
          <w:rFonts w:hint="eastAsia" w:ascii="宋体" w:hAnsi="宋体" w:eastAsia="宋体" w:cs="宋体"/>
          <w:color w:val="auto"/>
          <w:sz w:val="24"/>
          <w:szCs w:val="24"/>
          <w:highlight w:val="none"/>
          <w:lang w:val="zh-CN"/>
        </w:rPr>
      </w:pPr>
    </w:p>
    <w:p>
      <w:pPr>
        <w:autoSpaceDE w:val="0"/>
        <w:autoSpaceDN w:val="0"/>
        <w:adjustRightInd w:val="0"/>
        <w:spacing w:line="360" w:lineRule="auto"/>
        <w:ind w:right="-11"/>
        <w:rPr>
          <w:rFonts w:hint="eastAsia" w:ascii="宋体" w:hAnsi="宋体" w:eastAsia="宋体" w:cs="宋体"/>
          <w:color w:val="auto"/>
          <w:sz w:val="24"/>
          <w:szCs w:val="24"/>
          <w:highlight w:val="none"/>
          <w:lang w:val="zh-CN"/>
        </w:rPr>
      </w:pPr>
    </w:p>
    <w:p>
      <w:pPr>
        <w:autoSpaceDE w:val="0"/>
        <w:autoSpaceDN w:val="0"/>
        <w:adjustRightInd w:val="0"/>
        <w:spacing w:line="360" w:lineRule="auto"/>
        <w:ind w:right="-11"/>
        <w:rPr>
          <w:rFonts w:hint="eastAsia" w:ascii="宋体" w:hAnsi="宋体" w:eastAsia="宋体" w:cs="宋体"/>
          <w:color w:val="auto"/>
          <w:sz w:val="24"/>
          <w:szCs w:val="24"/>
          <w:highlight w:val="none"/>
          <w:lang w:val="zh-CN"/>
        </w:rPr>
      </w:pPr>
    </w:p>
    <w:p>
      <w:pPr>
        <w:adjustRightInd w:val="0"/>
        <w:snapToGrid w:val="0"/>
        <w:spacing w:line="360" w:lineRule="auto"/>
        <w:ind w:firstLine="4440" w:firstLineChars="18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供应商名称（并加盖公章）：</w:t>
      </w:r>
    </w:p>
    <w:p>
      <w:pPr>
        <w:pStyle w:val="55"/>
        <w:spacing w:before="60" w:line="480" w:lineRule="auto"/>
        <w:ind w:firstLine="4500" w:firstLineChars="18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签署日期：   年   月  日</w:t>
      </w:r>
    </w:p>
    <w:p>
      <w:pPr>
        <w:pStyle w:val="54"/>
        <w:spacing w:line="480" w:lineRule="auto"/>
        <w:rPr>
          <w:rFonts w:hint="eastAsia" w:ascii="宋体" w:hAnsi="宋体" w:eastAsia="宋体" w:cs="宋体"/>
          <w:color w:val="auto"/>
          <w:sz w:val="24"/>
          <w:szCs w:val="24"/>
          <w:highlight w:val="none"/>
        </w:rPr>
      </w:pPr>
    </w:p>
    <w:p>
      <w:pPr>
        <w:rPr>
          <w:rFonts w:hint="eastAsia" w:ascii="宋体" w:hAnsi="宋体" w:eastAsia="宋体" w:cs="宋体"/>
          <w:color w:val="auto"/>
          <w:sz w:val="24"/>
          <w:szCs w:val="24"/>
          <w:highlight w:val="none"/>
        </w:rPr>
      </w:pPr>
    </w:p>
    <w:p>
      <w:pPr>
        <w:spacing w:line="320" w:lineRule="exact"/>
        <w:ind w:firstLine="480" w:firstLineChars="200"/>
        <w:rPr>
          <w:rFonts w:hint="eastAsia" w:ascii="宋体" w:hAnsi="宋体" w:eastAsia="宋体" w:cs="宋体"/>
          <w:bCs/>
          <w:color w:val="auto"/>
          <w:kern w:val="12"/>
          <w:sz w:val="24"/>
          <w:szCs w:val="24"/>
          <w:highlight w:val="none"/>
        </w:rPr>
      </w:pPr>
      <w:r>
        <w:rPr>
          <w:rFonts w:hint="eastAsia" w:ascii="宋体" w:hAnsi="宋体" w:eastAsia="宋体" w:cs="宋体"/>
          <w:bCs/>
          <w:color w:val="auto"/>
          <w:kern w:val="12"/>
          <w:sz w:val="24"/>
          <w:szCs w:val="24"/>
          <w:highlight w:val="none"/>
        </w:rPr>
        <w:t>说明：法定代表人（单位负责人）参加本竞争性谈判项目响应的，仅</w:t>
      </w:r>
      <w:r>
        <w:rPr>
          <w:rFonts w:hint="eastAsia" w:ascii="宋体" w:hAnsi="宋体" w:eastAsia="宋体" w:cs="宋体"/>
          <w:bCs/>
          <w:color w:val="auto"/>
          <w:kern w:val="12"/>
          <w:sz w:val="24"/>
          <w:szCs w:val="24"/>
          <w:highlight w:val="none"/>
          <w:lang w:eastAsia="zh-CN"/>
        </w:rPr>
        <w:t>需</w:t>
      </w:r>
      <w:r>
        <w:rPr>
          <w:rFonts w:hint="eastAsia" w:ascii="宋体" w:hAnsi="宋体" w:eastAsia="宋体" w:cs="宋体"/>
          <w:bCs/>
          <w:color w:val="auto"/>
          <w:kern w:val="12"/>
          <w:sz w:val="24"/>
          <w:szCs w:val="24"/>
          <w:highlight w:val="none"/>
        </w:rPr>
        <w:t>出具此证明书。</w:t>
      </w:r>
    </w:p>
    <w:p>
      <w:pPr>
        <w:pStyle w:val="14"/>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2"/>
        <w:rPr>
          <w:rFonts w:hint="eastAsia" w:ascii="宋体" w:hAnsi="宋体" w:eastAsia="宋体" w:cs="宋体"/>
          <w:b/>
          <w:snapToGrid w:val="0"/>
          <w:color w:val="auto"/>
          <w:kern w:val="0"/>
          <w:sz w:val="24"/>
          <w:szCs w:val="24"/>
          <w:highlight w:val="none"/>
        </w:rPr>
      </w:pPr>
      <w:r>
        <w:rPr>
          <w:rFonts w:hint="eastAsia" w:ascii="宋体" w:hAnsi="宋体" w:eastAsia="宋体" w:cs="宋体"/>
          <w:b/>
          <w:snapToGrid w:val="0"/>
          <w:color w:val="auto"/>
          <w:kern w:val="0"/>
          <w:sz w:val="24"/>
          <w:szCs w:val="24"/>
          <w:highlight w:val="none"/>
        </w:rPr>
        <w:t>3.3 法定代表人（单位负责人）授权书</w:t>
      </w:r>
    </w:p>
    <w:p>
      <w:pPr>
        <w:spacing w:line="480" w:lineRule="exact"/>
        <w:jc w:val="center"/>
        <w:rPr>
          <w:rFonts w:hint="eastAsia" w:ascii="宋体" w:hAnsi="宋体" w:eastAsia="宋体" w:cs="宋体"/>
          <w:b/>
          <w:bCs/>
          <w:color w:val="auto"/>
          <w:sz w:val="24"/>
          <w:szCs w:val="24"/>
          <w:highlight w:val="none"/>
        </w:rPr>
      </w:pPr>
    </w:p>
    <w:p>
      <w:pPr>
        <w:adjustRightInd w:val="0"/>
        <w:spacing w:line="360" w:lineRule="auto"/>
        <w:ind w:firstLine="504" w:firstLineChars="21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本人</w:t>
      </w:r>
      <w:r>
        <w:rPr>
          <w:rFonts w:hint="eastAsia" w:ascii="宋体" w:hAnsi="宋体" w:eastAsia="宋体" w:cs="宋体"/>
          <w:color w:val="auto"/>
          <w:sz w:val="24"/>
          <w:szCs w:val="24"/>
          <w:highlight w:val="none"/>
          <w:u w:val="single"/>
        </w:rPr>
        <w:t xml:space="preserve">　 </w:t>
      </w:r>
      <w:r>
        <w:rPr>
          <w:rFonts w:hint="eastAsia" w:ascii="宋体" w:hAnsi="宋体" w:eastAsia="宋体" w:cs="宋体"/>
          <w:i/>
          <w:snapToGrid w:val="0"/>
          <w:color w:val="auto"/>
          <w:sz w:val="24"/>
          <w:szCs w:val="24"/>
          <w:highlight w:val="none"/>
          <w:u w:val="single"/>
        </w:rPr>
        <w:t>法人姓名</w:t>
      </w:r>
      <w:r>
        <w:rPr>
          <w:rFonts w:hint="eastAsia" w:ascii="宋体" w:hAnsi="宋体" w:eastAsia="宋体" w:cs="宋体"/>
          <w:color w:val="auto"/>
          <w:sz w:val="24"/>
          <w:szCs w:val="24"/>
          <w:highlight w:val="none"/>
        </w:rPr>
        <w:t>系</w:t>
      </w:r>
      <w:r>
        <w:rPr>
          <w:rFonts w:hint="eastAsia" w:ascii="宋体" w:hAnsi="宋体" w:eastAsia="宋体" w:cs="宋体"/>
          <w:color w:val="auto"/>
          <w:sz w:val="24"/>
          <w:szCs w:val="24"/>
          <w:highlight w:val="none"/>
          <w:u w:val="single"/>
        </w:rPr>
        <w:t>　</w:t>
      </w:r>
      <w:r>
        <w:rPr>
          <w:rFonts w:hint="eastAsia" w:ascii="宋体" w:hAnsi="宋体" w:eastAsia="宋体" w:cs="宋体"/>
          <w:i/>
          <w:snapToGrid w:val="0"/>
          <w:color w:val="auto"/>
          <w:sz w:val="24"/>
          <w:szCs w:val="24"/>
          <w:highlight w:val="none"/>
          <w:u w:val="single"/>
        </w:rPr>
        <w:t xml:space="preserve">供应商名称  </w:t>
      </w:r>
      <w:r>
        <w:rPr>
          <w:rFonts w:hint="eastAsia" w:ascii="宋体" w:hAnsi="宋体" w:eastAsia="宋体" w:cs="宋体"/>
          <w:color w:val="auto"/>
          <w:sz w:val="24"/>
          <w:szCs w:val="24"/>
          <w:highlight w:val="none"/>
        </w:rPr>
        <w:t>的法定代表人（单位负责人），现委托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i/>
          <w:snapToGrid w:val="0"/>
          <w:color w:val="auto"/>
          <w:sz w:val="24"/>
          <w:szCs w:val="24"/>
          <w:highlight w:val="none"/>
          <w:u w:val="single"/>
        </w:rPr>
        <w:t>姓名，职务</w:t>
      </w:r>
      <w:r>
        <w:rPr>
          <w:rFonts w:hint="eastAsia" w:ascii="宋体" w:hAnsi="宋体" w:eastAsia="宋体" w:cs="宋体"/>
          <w:color w:val="auto"/>
          <w:sz w:val="24"/>
          <w:szCs w:val="24"/>
          <w:highlight w:val="none"/>
        </w:rPr>
        <w:t>以我方的名义参加贵方______________________项目的谈判响应活动，并代表我方全权办理针对上述项目的谈判、响应文件澄清、签约等一切具体事务和签署相关文件。</w:t>
      </w:r>
    </w:p>
    <w:p>
      <w:pPr>
        <w:adjustRightInd w:val="0"/>
        <w:spacing w:line="360" w:lineRule="auto"/>
        <w:ind w:firstLine="504" w:firstLineChars="21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我方对被授权人的签名事项负全部责任。</w:t>
      </w:r>
    </w:p>
    <w:p>
      <w:pPr>
        <w:adjustRightInd w:val="0"/>
        <w:spacing w:line="360" w:lineRule="auto"/>
        <w:ind w:firstLine="504" w:firstLineChars="21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贵方收到我方撤销授权的书面通知以前，本授权书一直有效。被授权人在授权书有效期内签署的所有文件不因授权的撤销而失效。除我方书面撤销授权外，本授权书自投标截止之日起直至我方的响应文件有效期结束前始终有效。</w:t>
      </w:r>
    </w:p>
    <w:p>
      <w:pPr>
        <w:adjustRightInd w:val="0"/>
        <w:spacing w:line="360" w:lineRule="auto"/>
        <w:ind w:firstLine="504" w:firstLineChars="21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被授权人无转委托权，特此委托。</w:t>
      </w:r>
    </w:p>
    <w:p>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 </w:t>
      </w:r>
      <w:r>
        <w:rPr>
          <w:rFonts w:hint="eastAsia" w:ascii="宋体" w:hAnsi="宋体" w:eastAsia="宋体" w:cs="宋体"/>
          <w:color w:val="auto"/>
          <w:sz w:val="24"/>
          <w:szCs w:val="24"/>
          <w:highlight w:val="none"/>
          <w:u w:val="single"/>
        </w:rPr>
        <w:t xml:space="preserve">       （全称）       </w:t>
      </w:r>
      <w:r>
        <w:rPr>
          <w:rFonts w:hint="eastAsia" w:ascii="宋体" w:hAnsi="宋体" w:eastAsia="宋体" w:cs="宋体"/>
          <w:color w:val="auto"/>
          <w:sz w:val="24"/>
          <w:szCs w:val="24"/>
          <w:highlight w:val="none"/>
        </w:rPr>
        <w:t xml:space="preserve"> （并加盖单位公章）</w:t>
      </w:r>
    </w:p>
    <w:p>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法定代表人（单位负责人）：（签字或加盖名章）</w:t>
      </w:r>
    </w:p>
    <w:p>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法定代表人（单位负责人）授权代表：（签字或加盖名章）</w:t>
      </w:r>
    </w:p>
    <w:p>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法定代表人（单位负责人）授权代表联系电话（手机）：</w:t>
      </w:r>
    </w:p>
    <w:tbl>
      <w:tblPr>
        <w:tblStyle w:val="25"/>
        <w:tblW w:w="89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84"/>
        <w:gridCol w:w="7"/>
        <w:gridCol w:w="4478"/>
        <w:gridCol w:w="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2309" w:hRule="atLeast"/>
        </w:trPr>
        <w:tc>
          <w:tcPr>
            <w:tcW w:w="4484" w:type="dxa"/>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法定代表人（单位负责人）身份证（正面）</w:t>
            </w:r>
          </w:p>
        </w:tc>
        <w:tc>
          <w:tcPr>
            <w:tcW w:w="4485" w:type="dxa"/>
            <w:gridSpan w:val="2"/>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法定代表人（单位负责人）身份证（反面）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1" w:hRule="atLeast"/>
        </w:trPr>
        <w:tc>
          <w:tcPr>
            <w:tcW w:w="4491" w:type="dxa"/>
            <w:gridSpan w:val="2"/>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法定代表人（单位负责人）授权代表身份证</w:t>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（正面）</w:t>
            </w:r>
          </w:p>
        </w:tc>
        <w:tc>
          <w:tcPr>
            <w:tcW w:w="4492" w:type="dxa"/>
            <w:gridSpan w:val="2"/>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法定代表人（单位负责人）授权代表身份证</w:t>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（反面）</w:t>
            </w:r>
          </w:p>
        </w:tc>
      </w:tr>
    </w:tbl>
    <w:p>
      <w:pPr>
        <w:shd w:val="clear"/>
        <w:jc w:val="center"/>
        <w:rPr>
          <w:rFonts w:ascii="宋体" w:hAnsi="宋体"/>
          <w:b/>
          <w:bCs/>
          <w:color w:val="auto"/>
          <w:sz w:val="24"/>
          <w:szCs w:val="24"/>
          <w:highlight w:val="none"/>
        </w:rPr>
      </w:pPr>
      <w:r>
        <w:rPr>
          <w:rFonts w:hint="eastAsia" w:ascii="宋体" w:hAnsi="宋体" w:eastAsia="宋体" w:cs="宋体"/>
          <w:b/>
          <w:snapToGrid w:val="0"/>
          <w:color w:val="auto"/>
          <w:kern w:val="0"/>
          <w:sz w:val="24"/>
          <w:szCs w:val="24"/>
          <w:highlight w:val="none"/>
        </w:rPr>
        <w:t>3.4</w:t>
      </w:r>
      <w:r>
        <w:rPr>
          <w:rFonts w:hint="eastAsia" w:ascii="宋体" w:hAnsi="宋体" w:eastAsia="宋体" w:cs="宋体"/>
          <w:b/>
          <w:snapToGrid w:val="0"/>
          <w:color w:val="auto"/>
          <w:kern w:val="0"/>
          <w:sz w:val="24"/>
          <w:szCs w:val="24"/>
          <w:highlight w:val="none"/>
          <w:lang w:val="en-US" w:eastAsia="zh-CN"/>
        </w:rPr>
        <w:t xml:space="preserve"> </w:t>
      </w:r>
      <w:r>
        <w:rPr>
          <w:rFonts w:hint="eastAsia" w:ascii="宋体" w:hAnsi="宋体"/>
          <w:b/>
          <w:bCs/>
          <w:color w:val="auto"/>
          <w:sz w:val="24"/>
          <w:szCs w:val="24"/>
          <w:highlight w:val="none"/>
        </w:rPr>
        <w:t>中小企业声明函</w:t>
      </w:r>
    </w:p>
    <w:p>
      <w:pPr>
        <w:shd w:val="clear"/>
        <w:spacing w:line="360" w:lineRule="auto"/>
        <w:jc w:val="center"/>
        <w:rPr>
          <w:rFonts w:ascii="宋体" w:hAnsi="宋体"/>
          <w:b/>
          <w:bCs/>
          <w:color w:val="auto"/>
          <w:szCs w:val="21"/>
          <w:highlight w:val="none"/>
        </w:rPr>
      </w:pPr>
    </w:p>
    <w:p>
      <w:pPr>
        <w:widowControl/>
        <w:shd w:val="clear"/>
        <w:spacing w:before="100" w:beforeAutospacing="1" w:after="100" w:afterAutospacing="1" w:line="360" w:lineRule="auto"/>
        <w:ind w:firstLine="420"/>
        <w:contextualSpacing/>
        <w:jc w:val="left"/>
        <w:rPr>
          <w:rFonts w:hint="eastAsia" w:ascii="宋体" w:hAnsi="宋体" w:cs="Arial"/>
          <w:color w:val="auto"/>
          <w:kern w:val="0"/>
          <w:sz w:val="24"/>
          <w:szCs w:val="24"/>
          <w:highlight w:val="none"/>
          <w:u w:val="none"/>
          <w:lang w:val="en-US" w:eastAsia="zh-CN"/>
        </w:rPr>
      </w:pPr>
      <w:r>
        <w:rPr>
          <w:rFonts w:hint="eastAsia" w:ascii="宋体" w:hAnsi="宋体" w:cs="Arial"/>
          <w:color w:val="auto"/>
          <w:kern w:val="0"/>
          <w:sz w:val="24"/>
          <w:szCs w:val="24"/>
          <w:highlight w:val="none"/>
        </w:rPr>
        <w:t>本公司郑重声明，根据《政府采购促进中小企业发展</w:t>
      </w:r>
      <w:r>
        <w:rPr>
          <w:rFonts w:hint="eastAsia" w:ascii="宋体" w:hAnsi="宋体" w:cs="Arial"/>
          <w:color w:val="auto"/>
          <w:kern w:val="0"/>
          <w:sz w:val="24"/>
          <w:szCs w:val="24"/>
          <w:highlight w:val="none"/>
          <w:lang w:eastAsia="zh-CN"/>
        </w:rPr>
        <w:t>管理</w:t>
      </w:r>
      <w:r>
        <w:rPr>
          <w:rFonts w:hint="eastAsia" w:ascii="宋体" w:hAnsi="宋体" w:cs="Arial"/>
          <w:color w:val="auto"/>
          <w:kern w:val="0"/>
          <w:sz w:val="24"/>
          <w:szCs w:val="24"/>
          <w:highlight w:val="none"/>
        </w:rPr>
        <w:t>办法》（财库[20</w:t>
      </w:r>
      <w:r>
        <w:rPr>
          <w:rFonts w:hint="eastAsia" w:ascii="宋体" w:hAnsi="宋体" w:cs="Arial"/>
          <w:color w:val="auto"/>
          <w:kern w:val="0"/>
          <w:sz w:val="24"/>
          <w:szCs w:val="24"/>
          <w:highlight w:val="none"/>
          <w:lang w:val="en-US" w:eastAsia="zh-CN"/>
        </w:rPr>
        <w:t>20</w:t>
      </w:r>
      <w:r>
        <w:rPr>
          <w:rFonts w:hint="eastAsia" w:ascii="宋体" w:hAnsi="宋体" w:cs="Arial"/>
          <w:color w:val="auto"/>
          <w:kern w:val="0"/>
          <w:sz w:val="24"/>
          <w:szCs w:val="24"/>
          <w:highlight w:val="none"/>
        </w:rPr>
        <w:t>]</w:t>
      </w:r>
      <w:r>
        <w:rPr>
          <w:rFonts w:hint="eastAsia" w:ascii="宋体" w:hAnsi="宋体" w:cs="Arial"/>
          <w:color w:val="auto"/>
          <w:kern w:val="0"/>
          <w:sz w:val="24"/>
          <w:szCs w:val="24"/>
          <w:highlight w:val="none"/>
          <w:lang w:val="en-US" w:eastAsia="zh-CN"/>
        </w:rPr>
        <w:t>46</w:t>
      </w:r>
      <w:r>
        <w:rPr>
          <w:rFonts w:hint="eastAsia" w:ascii="宋体" w:hAnsi="宋体" w:cs="Arial"/>
          <w:color w:val="auto"/>
          <w:kern w:val="0"/>
          <w:sz w:val="24"/>
          <w:szCs w:val="24"/>
          <w:highlight w:val="none"/>
        </w:rPr>
        <w:t>号）的规定，本公司</w:t>
      </w:r>
      <w:r>
        <w:rPr>
          <w:rFonts w:hint="eastAsia" w:ascii="宋体" w:hAnsi="宋体" w:cs="Arial"/>
          <w:color w:val="auto"/>
          <w:kern w:val="0"/>
          <w:sz w:val="24"/>
          <w:szCs w:val="24"/>
          <w:highlight w:val="none"/>
          <w:lang w:eastAsia="zh-CN"/>
        </w:rPr>
        <w:t>参加</w:t>
      </w:r>
      <w:r>
        <w:rPr>
          <w:rFonts w:hint="eastAsia" w:ascii="宋体" w:hAnsi="宋体" w:cs="Arial"/>
          <w:color w:val="auto"/>
          <w:kern w:val="0"/>
          <w:sz w:val="24"/>
          <w:szCs w:val="24"/>
          <w:highlight w:val="none"/>
          <w:u w:val="single"/>
          <w:lang w:eastAsia="zh-CN"/>
        </w:rPr>
        <w:t>（单位名称）</w:t>
      </w:r>
      <w:r>
        <w:rPr>
          <w:rFonts w:hint="eastAsia" w:ascii="宋体" w:hAnsi="宋体" w:cs="Arial"/>
          <w:color w:val="auto"/>
          <w:kern w:val="0"/>
          <w:sz w:val="24"/>
          <w:szCs w:val="24"/>
          <w:highlight w:val="none"/>
          <w:lang w:eastAsia="zh-CN"/>
        </w:rPr>
        <w:t>的</w:t>
      </w:r>
      <w:r>
        <w:rPr>
          <w:rFonts w:hint="eastAsia" w:ascii="宋体" w:hAnsi="宋体" w:cs="Arial"/>
          <w:color w:val="auto"/>
          <w:kern w:val="0"/>
          <w:sz w:val="24"/>
          <w:szCs w:val="24"/>
          <w:highlight w:val="none"/>
          <w:u w:val="single"/>
          <w:lang w:eastAsia="zh-CN"/>
        </w:rPr>
        <w:t>（项目名称）</w:t>
      </w:r>
      <w:r>
        <w:rPr>
          <w:rFonts w:hint="eastAsia" w:ascii="宋体" w:hAnsi="宋体" w:cs="Arial"/>
          <w:color w:val="auto"/>
          <w:kern w:val="0"/>
          <w:sz w:val="24"/>
          <w:szCs w:val="24"/>
          <w:highlight w:val="none"/>
          <w:u w:val="none"/>
          <w:lang w:eastAsia="zh-CN"/>
        </w:rPr>
        <w:t>采购活动，工程的施工单位全部为符合政策要求的中小企业。相关企业（</w:t>
      </w:r>
      <w:r>
        <w:rPr>
          <w:rFonts w:hint="eastAsia" w:ascii="宋体" w:hAnsi="宋体" w:cs="Arial"/>
          <w:color w:val="auto"/>
          <w:kern w:val="0"/>
          <w:sz w:val="24"/>
          <w:szCs w:val="24"/>
          <w:highlight w:val="none"/>
          <w:u w:val="none"/>
          <w:lang w:val="en-US" w:eastAsia="zh-CN"/>
        </w:rPr>
        <w:t>含联合体中的中小企业、签订分包意向协议的中小企业）的具体情况如下：</w:t>
      </w:r>
    </w:p>
    <w:p>
      <w:pPr>
        <w:widowControl/>
        <w:numPr>
          <w:ilvl w:val="0"/>
          <w:numId w:val="0"/>
        </w:numPr>
        <w:shd w:val="clear"/>
        <w:spacing w:before="100" w:beforeAutospacing="1" w:after="100" w:afterAutospacing="1" w:line="360" w:lineRule="auto"/>
        <w:ind w:firstLine="480" w:firstLineChars="200"/>
        <w:contextualSpacing/>
        <w:jc w:val="left"/>
        <w:rPr>
          <w:rFonts w:hint="eastAsia"/>
          <w:color w:val="auto"/>
          <w:sz w:val="24"/>
          <w:szCs w:val="24"/>
          <w:highlight w:val="none"/>
          <w:u w:val="single"/>
          <w:lang w:eastAsia="zh-CN"/>
        </w:rPr>
      </w:pPr>
      <w:r>
        <w:rPr>
          <w:rFonts w:hint="eastAsia" w:ascii="宋体" w:hAnsi="宋体" w:cs="Arial"/>
          <w:color w:val="auto"/>
          <w:kern w:val="0"/>
          <w:sz w:val="24"/>
          <w:szCs w:val="24"/>
          <w:highlight w:val="none"/>
          <w:u w:val="single"/>
          <w:lang w:val="en-US" w:eastAsia="zh-CN"/>
        </w:rPr>
        <w:t>（标的名称）</w:t>
      </w:r>
      <w:r>
        <w:rPr>
          <w:rFonts w:hint="eastAsia" w:ascii="宋体" w:hAnsi="宋体" w:cs="Arial"/>
          <w:color w:val="auto"/>
          <w:kern w:val="0"/>
          <w:sz w:val="24"/>
          <w:szCs w:val="24"/>
          <w:highlight w:val="none"/>
          <w:u w:val="none"/>
          <w:lang w:val="en-US" w:eastAsia="zh-CN"/>
        </w:rPr>
        <w:t>，属于</w:t>
      </w:r>
      <w:r>
        <w:rPr>
          <w:rFonts w:hint="eastAsia" w:ascii="宋体" w:hAnsi="宋体" w:cs="Arial"/>
          <w:color w:val="auto"/>
          <w:kern w:val="0"/>
          <w:sz w:val="24"/>
          <w:szCs w:val="24"/>
          <w:highlight w:val="none"/>
          <w:u w:val="single"/>
          <w:lang w:val="en-US" w:eastAsia="zh-CN"/>
        </w:rPr>
        <w:t>（采购文件中明确的所属行业）</w:t>
      </w:r>
      <w:r>
        <w:rPr>
          <w:rFonts w:hint="eastAsia" w:ascii="宋体" w:hAnsi="宋体" w:cs="Arial"/>
          <w:color w:val="auto"/>
          <w:kern w:val="0"/>
          <w:sz w:val="24"/>
          <w:szCs w:val="24"/>
          <w:highlight w:val="none"/>
          <w:u w:val="none"/>
          <w:lang w:val="en-US" w:eastAsia="zh-CN"/>
        </w:rPr>
        <w:t>；承建（承接）企业为</w:t>
      </w:r>
      <w:r>
        <w:rPr>
          <w:rFonts w:hint="eastAsia" w:ascii="宋体" w:hAnsi="宋体" w:cs="Arial"/>
          <w:color w:val="auto"/>
          <w:kern w:val="0"/>
          <w:sz w:val="24"/>
          <w:szCs w:val="24"/>
          <w:highlight w:val="none"/>
          <w:u w:val="single"/>
          <w:lang w:val="en-US" w:eastAsia="zh-CN"/>
        </w:rPr>
        <w:t>（企业名称）</w:t>
      </w:r>
      <w:r>
        <w:rPr>
          <w:rFonts w:hint="eastAsia" w:ascii="宋体" w:hAnsi="宋体" w:cs="Arial"/>
          <w:color w:val="auto"/>
          <w:kern w:val="0"/>
          <w:sz w:val="24"/>
          <w:szCs w:val="24"/>
          <w:highlight w:val="none"/>
          <w:u w:val="none"/>
          <w:lang w:val="en-US" w:eastAsia="zh-CN"/>
        </w:rPr>
        <w:t>，</w:t>
      </w:r>
      <w:r>
        <w:rPr>
          <w:rFonts w:hint="eastAsia"/>
          <w:color w:val="auto"/>
          <w:sz w:val="24"/>
          <w:szCs w:val="24"/>
          <w:highlight w:val="none"/>
        </w:rPr>
        <w:t>从业人员</w:t>
      </w:r>
      <w:r>
        <w:rPr>
          <w:rFonts w:hint="eastAsia" w:ascii="宋体" w:hAnsi="宋体" w:cs="Arial"/>
          <w:color w:val="auto"/>
          <w:kern w:val="0"/>
          <w:sz w:val="24"/>
          <w:szCs w:val="24"/>
          <w:highlight w:val="none"/>
          <w:u w:val="single"/>
          <w:lang w:val="en-US" w:eastAsia="zh-CN"/>
        </w:rPr>
        <w:t xml:space="preserve">      </w:t>
      </w:r>
      <w:r>
        <w:rPr>
          <w:rFonts w:hint="eastAsia"/>
          <w:color w:val="auto"/>
          <w:sz w:val="24"/>
          <w:szCs w:val="24"/>
          <w:highlight w:val="none"/>
        </w:rPr>
        <w:t>人，营业收入</w:t>
      </w:r>
      <w:r>
        <w:rPr>
          <w:rFonts w:hint="eastAsia" w:ascii="宋体" w:hAnsi="宋体" w:cs="Arial"/>
          <w:color w:val="auto"/>
          <w:kern w:val="0"/>
          <w:sz w:val="24"/>
          <w:szCs w:val="24"/>
          <w:highlight w:val="none"/>
          <w:u w:val="single"/>
          <w:lang w:val="en-US" w:eastAsia="zh-CN"/>
        </w:rPr>
        <w:t xml:space="preserve">      </w:t>
      </w:r>
      <w:r>
        <w:rPr>
          <w:rFonts w:hint="eastAsia"/>
          <w:color w:val="auto"/>
          <w:sz w:val="24"/>
          <w:szCs w:val="24"/>
          <w:highlight w:val="none"/>
        </w:rPr>
        <w:t>万元，资产总额</w:t>
      </w:r>
      <w:r>
        <w:rPr>
          <w:rFonts w:hint="eastAsia" w:ascii="宋体" w:hAnsi="宋体" w:cs="Arial"/>
          <w:color w:val="auto"/>
          <w:kern w:val="0"/>
          <w:sz w:val="24"/>
          <w:szCs w:val="24"/>
          <w:highlight w:val="none"/>
          <w:u w:val="single"/>
          <w:lang w:val="en-US" w:eastAsia="zh-CN"/>
        </w:rPr>
        <w:t xml:space="preserve">      </w:t>
      </w:r>
      <w:r>
        <w:rPr>
          <w:rFonts w:hint="eastAsia"/>
          <w:color w:val="auto"/>
          <w:sz w:val="24"/>
          <w:szCs w:val="24"/>
          <w:highlight w:val="none"/>
        </w:rPr>
        <w:t>万元，</w:t>
      </w:r>
      <w:r>
        <w:rPr>
          <w:rFonts w:hint="eastAsia"/>
          <w:color w:val="auto"/>
          <w:sz w:val="24"/>
          <w:szCs w:val="24"/>
          <w:highlight w:val="none"/>
          <w:lang w:eastAsia="zh-CN"/>
        </w:rPr>
        <w:t>属于</w:t>
      </w:r>
      <w:r>
        <w:rPr>
          <w:rFonts w:hint="eastAsia"/>
          <w:color w:val="auto"/>
          <w:sz w:val="24"/>
          <w:szCs w:val="24"/>
          <w:highlight w:val="none"/>
          <w:u w:val="single"/>
          <w:lang w:eastAsia="zh-CN"/>
        </w:rPr>
        <w:t>（中型企业、小型企业、微型企业）；</w:t>
      </w:r>
    </w:p>
    <w:p>
      <w:pPr>
        <w:pStyle w:val="24"/>
        <w:numPr>
          <w:ilvl w:val="0"/>
          <w:numId w:val="0"/>
        </w:numPr>
        <w:ind w:firstLine="480" w:firstLineChars="200"/>
        <w:rPr>
          <w:rFonts w:hint="default"/>
          <w:color w:val="auto"/>
          <w:sz w:val="24"/>
          <w:szCs w:val="24"/>
          <w:highlight w:val="none"/>
          <w:lang w:val="en-US" w:eastAsia="zh-CN"/>
        </w:rPr>
      </w:pPr>
      <w:r>
        <w:rPr>
          <w:rFonts w:hint="eastAsia"/>
          <w:color w:val="auto"/>
          <w:sz w:val="24"/>
          <w:szCs w:val="24"/>
          <w:highlight w:val="none"/>
          <w:lang w:val="en-US" w:eastAsia="zh-CN"/>
        </w:rPr>
        <w:t>.........</w:t>
      </w:r>
    </w:p>
    <w:p>
      <w:pPr>
        <w:widowControl/>
        <w:shd w:val="clear"/>
        <w:spacing w:before="100" w:beforeAutospacing="1" w:after="100" w:afterAutospacing="1" w:line="360" w:lineRule="auto"/>
        <w:ind w:firstLine="420"/>
        <w:contextualSpacing/>
        <w:jc w:val="left"/>
        <w:rPr>
          <w:rFonts w:hint="eastAsia" w:ascii="宋体" w:hAnsi="宋体" w:cs="Arial"/>
          <w:color w:val="auto"/>
          <w:kern w:val="0"/>
          <w:sz w:val="24"/>
          <w:szCs w:val="24"/>
          <w:highlight w:val="none"/>
          <w:lang w:eastAsia="zh-CN"/>
        </w:rPr>
      </w:pPr>
      <w:r>
        <w:rPr>
          <w:rFonts w:hint="eastAsia" w:ascii="宋体" w:hAnsi="宋体" w:cs="Arial"/>
          <w:color w:val="auto"/>
          <w:kern w:val="0"/>
          <w:sz w:val="24"/>
          <w:szCs w:val="24"/>
          <w:highlight w:val="none"/>
          <w:lang w:eastAsia="zh-CN"/>
        </w:rPr>
        <w:t>以上企业，不属于大企业的分支机构，不存在控股股东为大企业的情形，也不存在与大企业的负责人为同一人的情形。</w:t>
      </w:r>
    </w:p>
    <w:p>
      <w:pPr>
        <w:widowControl/>
        <w:shd w:val="clear"/>
        <w:spacing w:before="100" w:beforeAutospacing="1" w:after="100" w:afterAutospacing="1" w:line="360" w:lineRule="auto"/>
        <w:ind w:firstLine="420"/>
        <w:contextualSpacing/>
        <w:jc w:val="left"/>
        <w:rPr>
          <w:rFonts w:ascii="宋体" w:hAnsi="宋体" w:cs="Arial"/>
          <w:color w:val="auto"/>
          <w:kern w:val="0"/>
          <w:sz w:val="24"/>
          <w:szCs w:val="24"/>
          <w:highlight w:val="none"/>
        </w:rPr>
      </w:pPr>
      <w:r>
        <w:rPr>
          <w:rFonts w:hint="eastAsia" w:ascii="宋体" w:hAnsi="宋体" w:cs="Arial"/>
          <w:color w:val="auto"/>
          <w:kern w:val="0"/>
          <w:sz w:val="24"/>
          <w:szCs w:val="24"/>
          <w:highlight w:val="none"/>
        </w:rPr>
        <w:t>本公司对上述声明的真实性负责。如有虚假，将依法承担相应责任。</w:t>
      </w:r>
    </w:p>
    <w:p>
      <w:pPr>
        <w:widowControl/>
        <w:shd w:val="clear"/>
        <w:spacing w:before="100" w:beforeAutospacing="1" w:after="100" w:afterAutospacing="1" w:line="360" w:lineRule="auto"/>
        <w:jc w:val="left"/>
        <w:rPr>
          <w:rFonts w:ascii="宋体" w:hAnsi="宋体" w:cs="Arial"/>
          <w:color w:val="auto"/>
          <w:kern w:val="0"/>
          <w:sz w:val="24"/>
          <w:szCs w:val="24"/>
          <w:highlight w:val="none"/>
        </w:rPr>
      </w:pPr>
    </w:p>
    <w:p>
      <w:pPr>
        <w:widowControl/>
        <w:shd w:val="clear"/>
        <w:spacing w:before="100" w:beforeAutospacing="1" w:after="100" w:afterAutospacing="1" w:line="360" w:lineRule="auto"/>
        <w:ind w:left="3885" w:leftChars="1850"/>
        <w:contextualSpacing/>
        <w:jc w:val="left"/>
        <w:rPr>
          <w:rFonts w:hint="eastAsia" w:ascii="宋体" w:hAnsi="宋体" w:cs="Arial" w:eastAsiaTheme="minorEastAsia"/>
          <w:color w:val="auto"/>
          <w:kern w:val="0"/>
          <w:sz w:val="24"/>
          <w:szCs w:val="24"/>
          <w:highlight w:val="none"/>
          <w:lang w:eastAsia="zh-CN"/>
        </w:rPr>
      </w:pPr>
      <w:r>
        <w:rPr>
          <w:rFonts w:hint="eastAsia" w:ascii="宋体" w:hAnsi="宋体" w:cs="Arial"/>
          <w:color w:val="auto"/>
          <w:kern w:val="0"/>
          <w:sz w:val="24"/>
          <w:szCs w:val="24"/>
          <w:highlight w:val="none"/>
          <w:lang w:eastAsia="zh-CN"/>
        </w:rPr>
        <w:t>供应商</w:t>
      </w:r>
      <w:r>
        <w:rPr>
          <w:rFonts w:hint="eastAsia" w:ascii="宋体" w:hAnsi="宋体" w:cs="Arial"/>
          <w:color w:val="auto"/>
          <w:kern w:val="0"/>
          <w:sz w:val="24"/>
          <w:szCs w:val="24"/>
          <w:highlight w:val="none"/>
        </w:rPr>
        <w:t>名称</w:t>
      </w:r>
      <w:r>
        <w:rPr>
          <w:rFonts w:hint="eastAsia" w:ascii="宋体" w:hAnsi="宋体" w:cs="Arial"/>
          <w:color w:val="auto"/>
          <w:kern w:val="0"/>
          <w:sz w:val="24"/>
          <w:szCs w:val="24"/>
          <w:highlight w:val="none"/>
          <w:lang w:eastAsia="zh-CN"/>
        </w:rPr>
        <w:t>（并盖章）</w:t>
      </w:r>
      <w:r>
        <w:rPr>
          <w:rFonts w:hint="eastAsia" w:ascii="宋体" w:hAnsi="宋体" w:cs="Arial"/>
          <w:color w:val="auto"/>
          <w:kern w:val="0"/>
          <w:sz w:val="24"/>
          <w:szCs w:val="24"/>
          <w:highlight w:val="none"/>
        </w:rPr>
        <w:t>：　　　　　　　　　</w:t>
      </w:r>
    </w:p>
    <w:p>
      <w:pPr>
        <w:widowControl/>
        <w:shd w:val="clear"/>
        <w:spacing w:before="100" w:beforeAutospacing="1" w:after="100" w:afterAutospacing="1" w:line="360" w:lineRule="auto"/>
        <w:ind w:left="3885" w:leftChars="1850"/>
        <w:contextualSpacing/>
        <w:jc w:val="left"/>
        <w:rPr>
          <w:rFonts w:ascii="宋体" w:hAnsi="宋体" w:cs="宋体"/>
          <w:color w:val="auto"/>
          <w:sz w:val="24"/>
          <w:szCs w:val="24"/>
          <w:highlight w:val="none"/>
        </w:rPr>
      </w:pPr>
      <w:r>
        <w:rPr>
          <w:rFonts w:hint="eastAsia" w:ascii="宋体" w:hAnsi="宋体" w:cs="Arial"/>
          <w:color w:val="auto"/>
          <w:kern w:val="0"/>
          <w:sz w:val="24"/>
          <w:szCs w:val="24"/>
          <w:highlight w:val="none"/>
        </w:rPr>
        <w:t xml:space="preserve">日  期：      </w:t>
      </w:r>
      <w:r>
        <w:rPr>
          <w:rFonts w:hint="eastAsia" w:ascii="宋体" w:hAnsi="宋体" w:cs="宋体"/>
          <w:color w:val="auto"/>
          <w:sz w:val="24"/>
          <w:szCs w:val="24"/>
          <w:highlight w:val="none"/>
        </w:rPr>
        <w:t>年    月    日</w:t>
      </w:r>
    </w:p>
    <w:p>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firstLine="480" w:firstLineChars="200"/>
        <w:contextualSpacing/>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p>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firstLine="480" w:firstLineChars="200"/>
        <w:contextualSpacing/>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sz w:val="24"/>
          <w:szCs w:val="24"/>
          <w:highlight w:val="none"/>
        </w:rPr>
        <w:t>从业人员、营业收入、资产总额填报上一年度数据，无上一年度数据的新成立企业可不填报。</w:t>
      </w:r>
    </w:p>
    <w:p>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firstLine="480" w:firstLineChars="200"/>
        <w:contextualSpacing/>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2、中小企业参加政府采购活动，应当出具</w:t>
      </w:r>
      <w:r>
        <w:rPr>
          <w:rFonts w:hint="eastAsia" w:ascii="宋体" w:hAnsi="宋体" w:eastAsia="宋体" w:cs="宋体"/>
          <w:color w:val="auto"/>
          <w:sz w:val="24"/>
          <w:szCs w:val="24"/>
          <w:highlight w:val="none"/>
        </w:rPr>
        <w:t>《中小企业声明函》，否则不得享受相关中小企业扶持政</w:t>
      </w:r>
      <w:r>
        <w:rPr>
          <w:rFonts w:hint="eastAsia" w:ascii="宋体" w:hAnsi="宋体" w:eastAsia="宋体" w:cs="宋体"/>
          <w:color w:val="auto"/>
          <w:kern w:val="0"/>
          <w:sz w:val="24"/>
          <w:szCs w:val="24"/>
          <w:highlight w:val="none"/>
        </w:rPr>
        <w:t>策。</w:t>
      </w:r>
    </w:p>
    <w:p>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firstLine="480" w:firstLineChars="200"/>
        <w:contextualSpacing/>
        <w:jc w:val="left"/>
        <w:textAlignment w:val="auto"/>
        <w:rPr>
          <w:rFonts w:hint="eastAsia" w:ascii="宋体" w:hAnsi="宋体" w:eastAsia="宋体" w:cs="宋体"/>
          <w:i w:val="0"/>
          <w:iCs w:val="0"/>
          <w:caps w:val="0"/>
          <w:color w:val="auto"/>
          <w:spacing w:val="0"/>
          <w:sz w:val="24"/>
          <w:szCs w:val="24"/>
          <w:highlight w:val="none"/>
          <w:lang w:eastAsia="zh-CN"/>
        </w:rPr>
      </w:pP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i w:val="0"/>
          <w:iCs w:val="0"/>
          <w:caps w:val="0"/>
          <w:color w:val="auto"/>
          <w:spacing w:val="0"/>
          <w:sz w:val="24"/>
          <w:szCs w:val="24"/>
          <w:highlight w:val="none"/>
        </w:rPr>
        <w:t>《中小企业划型标准规定》</w:t>
      </w:r>
      <w:r>
        <w:rPr>
          <w:rFonts w:hint="eastAsia" w:ascii="宋体" w:hAnsi="宋体" w:eastAsia="宋体" w:cs="宋体"/>
          <w:i w:val="0"/>
          <w:iCs w:val="0"/>
          <w:caps w:val="0"/>
          <w:color w:val="auto"/>
          <w:spacing w:val="0"/>
          <w:sz w:val="24"/>
          <w:szCs w:val="24"/>
          <w:highlight w:val="none"/>
          <w:lang w:eastAsia="zh-CN"/>
        </w:rPr>
        <w:t>（</w:t>
      </w:r>
      <w:r>
        <w:rPr>
          <w:rFonts w:ascii="宋体" w:hAnsi="宋体" w:eastAsia="宋体" w:cs="宋体"/>
          <w:i w:val="0"/>
          <w:iCs w:val="0"/>
          <w:caps w:val="0"/>
          <w:color w:val="auto"/>
          <w:spacing w:val="0"/>
          <w:sz w:val="24"/>
          <w:szCs w:val="24"/>
          <w:highlight w:val="none"/>
        </w:rPr>
        <w:t>工信部联企业[2011]300号</w:t>
      </w:r>
      <w:r>
        <w:rPr>
          <w:rFonts w:hint="eastAsia" w:ascii="宋体" w:hAnsi="宋体" w:eastAsia="宋体" w:cs="宋体"/>
          <w:i w:val="0"/>
          <w:iCs w:val="0"/>
          <w:caps w:val="0"/>
          <w:color w:val="auto"/>
          <w:spacing w:val="0"/>
          <w:sz w:val="24"/>
          <w:szCs w:val="24"/>
          <w:highlight w:val="none"/>
          <w:lang w:eastAsia="zh-CN"/>
        </w:rPr>
        <w:t>）</w:t>
      </w:r>
    </w:p>
    <w:p>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firstLine="482" w:firstLineChars="200"/>
        <w:contextualSpacing/>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lang w:val="en-US" w:eastAsia="zh-CN"/>
        </w:rPr>
        <w:t>建筑业</w:t>
      </w:r>
      <w:r>
        <w:rPr>
          <w:rFonts w:hint="eastAsia" w:ascii="宋体" w:hAnsi="宋体" w:eastAsia="宋体" w:cs="宋体"/>
          <w:color w:val="auto"/>
          <w:kern w:val="0"/>
          <w:sz w:val="24"/>
          <w:szCs w:val="24"/>
          <w:highlight w:val="none"/>
          <w:lang w:val="en-US" w:eastAsia="zh-CN"/>
        </w:rPr>
        <w:t>：营业收入80000万元以下或资产总额80000万元以下的为中小微型企业。 其中，营业收入6000万元及以上，且资产总额5000万元及以上的为中型企业；营业收入 300万元及以上，且资产总额300万元及以上的为小型企业；营业收入300万元以下或资产 总额300万元以下的为微型企业。</w:t>
      </w:r>
    </w:p>
    <w:p>
      <w:pPr>
        <w:pStyle w:val="14"/>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2"/>
        <w:rPr>
          <w:rFonts w:hint="eastAsia" w:ascii="宋体" w:hAnsi="宋体" w:eastAsia="宋体" w:cs="宋体"/>
          <w:b/>
          <w:snapToGrid w:val="0"/>
          <w:color w:val="auto"/>
          <w:kern w:val="0"/>
          <w:sz w:val="24"/>
          <w:szCs w:val="24"/>
          <w:highlight w:val="none"/>
        </w:rPr>
      </w:pPr>
      <w:bookmarkStart w:id="2" w:name="OLE_LINK13"/>
      <w:bookmarkStart w:id="3" w:name="OLE_LINK14"/>
      <w:r>
        <w:rPr>
          <w:rFonts w:hint="eastAsia" w:ascii="宋体" w:hAnsi="宋体" w:eastAsia="宋体" w:cs="宋体"/>
          <w:b/>
          <w:snapToGrid w:val="0"/>
          <w:color w:val="auto"/>
          <w:kern w:val="0"/>
          <w:sz w:val="24"/>
          <w:szCs w:val="24"/>
          <w:highlight w:val="none"/>
        </w:rPr>
        <w:t>3.5 残疾人福利性</w:t>
      </w:r>
      <w:r>
        <w:rPr>
          <w:rFonts w:hint="eastAsia" w:ascii="宋体" w:hAnsi="宋体" w:eastAsia="宋体" w:cs="宋体"/>
          <w:b/>
          <w:snapToGrid w:val="0"/>
          <w:color w:val="auto"/>
          <w:kern w:val="0"/>
          <w:sz w:val="24"/>
          <w:szCs w:val="24"/>
          <w:highlight w:val="none"/>
          <w:lang w:eastAsia="zh-CN"/>
        </w:rPr>
        <w:t>单位</w:t>
      </w:r>
      <w:r>
        <w:rPr>
          <w:rFonts w:hint="eastAsia" w:ascii="宋体" w:hAnsi="宋体" w:eastAsia="宋体" w:cs="宋体"/>
          <w:b/>
          <w:snapToGrid w:val="0"/>
          <w:color w:val="auto"/>
          <w:kern w:val="0"/>
          <w:sz w:val="24"/>
          <w:szCs w:val="24"/>
          <w:highlight w:val="none"/>
        </w:rPr>
        <w:t>声明函</w:t>
      </w:r>
    </w:p>
    <w:bookmarkEnd w:id="2"/>
    <w:bookmarkEnd w:id="3"/>
    <w:p>
      <w:pPr>
        <w:spacing w:line="360" w:lineRule="auto"/>
        <w:rPr>
          <w:rFonts w:hint="eastAsia" w:ascii="宋体" w:hAnsi="宋体" w:eastAsia="宋体" w:cs="宋体"/>
          <w:color w:val="auto"/>
          <w:sz w:val="24"/>
          <w:szCs w:val="24"/>
          <w:highlight w:val="none"/>
        </w:rPr>
      </w:pP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pPr>
        <w:spacing w:line="360" w:lineRule="auto"/>
        <w:rPr>
          <w:rFonts w:hint="eastAsia" w:ascii="宋体" w:hAnsi="宋体" w:eastAsia="宋体" w:cs="宋体"/>
          <w:color w:val="auto"/>
          <w:sz w:val="24"/>
          <w:szCs w:val="24"/>
          <w:highlight w:val="none"/>
        </w:rPr>
      </w:pPr>
    </w:p>
    <w:p>
      <w:pPr>
        <w:spacing w:line="360" w:lineRule="auto"/>
        <w:rPr>
          <w:rFonts w:hint="eastAsia" w:ascii="宋体" w:hAnsi="宋体" w:eastAsia="宋体" w:cs="宋体"/>
          <w:color w:val="auto"/>
          <w:sz w:val="24"/>
          <w:szCs w:val="24"/>
          <w:highlight w:val="none"/>
        </w:rPr>
      </w:pPr>
    </w:p>
    <w:p>
      <w:pPr>
        <w:spacing w:line="360" w:lineRule="auto"/>
        <w:rPr>
          <w:rFonts w:hint="eastAsia" w:ascii="宋体" w:hAnsi="宋体" w:eastAsia="宋体" w:cs="宋体"/>
          <w:color w:val="auto"/>
          <w:sz w:val="24"/>
          <w:szCs w:val="24"/>
          <w:highlight w:val="none"/>
        </w:rPr>
      </w:pPr>
    </w:p>
    <w:p>
      <w:pPr>
        <w:adjustRightInd w:val="0"/>
        <w:snapToGrid w:val="0"/>
        <w:spacing w:line="360" w:lineRule="auto"/>
        <w:ind w:firstLine="3600" w:firstLineChars="15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单位名称（盖章）：</w:t>
      </w:r>
    </w:p>
    <w:p>
      <w:pPr>
        <w:spacing w:line="480" w:lineRule="auto"/>
        <w:ind w:left="4358" w:leftChars="20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      年    月    日</w:t>
      </w:r>
    </w:p>
    <w:p>
      <w:pPr>
        <w:widowControl/>
        <w:spacing w:before="100" w:beforeAutospacing="1" w:after="100" w:afterAutospacing="1" w:line="360" w:lineRule="auto"/>
        <w:jc w:val="center"/>
        <w:rPr>
          <w:rFonts w:hint="eastAsia" w:ascii="宋体" w:hAnsi="宋体" w:eastAsia="宋体" w:cs="宋体"/>
          <w:b/>
          <w:bCs/>
          <w:color w:val="auto"/>
          <w:sz w:val="24"/>
          <w:szCs w:val="24"/>
          <w:highlight w:val="none"/>
        </w:rPr>
      </w:pPr>
    </w:p>
    <w:p>
      <w:pPr>
        <w:widowControl/>
        <w:spacing w:before="100" w:beforeAutospacing="1" w:after="100" w:afterAutospacing="1" w:line="360" w:lineRule="auto"/>
        <w:jc w:val="center"/>
        <w:rPr>
          <w:rFonts w:hint="eastAsia" w:ascii="宋体" w:hAnsi="宋体" w:eastAsia="宋体" w:cs="宋体"/>
          <w:b/>
          <w:bCs/>
          <w:color w:val="auto"/>
          <w:sz w:val="24"/>
          <w:szCs w:val="24"/>
          <w:highlight w:val="none"/>
        </w:rPr>
      </w:pPr>
    </w:p>
    <w:p>
      <w:pPr>
        <w:widowControl/>
        <w:jc w:val="left"/>
        <w:rPr>
          <w:rFonts w:hint="eastAsia" w:ascii="宋体" w:hAnsi="宋体" w:eastAsia="宋体" w:cs="宋体"/>
          <w:b/>
          <w:snapToGrid w:val="0"/>
          <w:color w:val="auto"/>
          <w:kern w:val="0"/>
          <w:sz w:val="24"/>
          <w:szCs w:val="24"/>
          <w:highlight w:val="none"/>
          <w:lang w:val="en-US" w:eastAsia="zh-CN"/>
        </w:rPr>
      </w:pPr>
      <w:r>
        <w:rPr>
          <w:rFonts w:hint="eastAsia" w:ascii="宋体" w:hAnsi="宋体" w:eastAsia="宋体" w:cs="宋体"/>
          <w:b/>
          <w:bCs/>
          <w:color w:val="auto"/>
          <w:sz w:val="24"/>
          <w:szCs w:val="24"/>
          <w:highlight w:val="none"/>
        </w:rPr>
        <w:br w:type="page"/>
      </w:r>
    </w:p>
    <w:p>
      <w:pPr>
        <w:pStyle w:val="14"/>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2"/>
        <w:rPr>
          <w:rFonts w:hint="eastAsia" w:ascii="宋体" w:hAnsi="宋体" w:eastAsia="宋体" w:cs="宋体"/>
          <w:b/>
          <w:snapToGrid w:val="0"/>
          <w:color w:val="auto"/>
          <w:kern w:val="0"/>
          <w:sz w:val="24"/>
          <w:szCs w:val="24"/>
          <w:highlight w:val="none"/>
        </w:rPr>
      </w:pPr>
      <w:r>
        <w:rPr>
          <w:rFonts w:hint="eastAsia" w:ascii="宋体" w:hAnsi="宋体" w:eastAsia="宋体" w:cs="宋体"/>
          <w:b/>
          <w:snapToGrid w:val="0"/>
          <w:color w:val="auto"/>
          <w:kern w:val="0"/>
          <w:sz w:val="24"/>
          <w:szCs w:val="24"/>
          <w:highlight w:val="none"/>
        </w:rPr>
        <w:t>3.</w:t>
      </w:r>
      <w:r>
        <w:rPr>
          <w:rFonts w:hint="eastAsia" w:ascii="宋体" w:hAnsi="宋体" w:cs="宋体"/>
          <w:b/>
          <w:snapToGrid w:val="0"/>
          <w:color w:val="auto"/>
          <w:kern w:val="0"/>
          <w:sz w:val="24"/>
          <w:szCs w:val="24"/>
          <w:highlight w:val="none"/>
          <w:lang w:val="en-US" w:eastAsia="zh-CN"/>
        </w:rPr>
        <w:t>6</w:t>
      </w:r>
      <w:r>
        <w:rPr>
          <w:rFonts w:hint="eastAsia" w:ascii="宋体" w:hAnsi="宋体" w:eastAsia="宋体" w:cs="宋体"/>
          <w:b/>
          <w:snapToGrid w:val="0"/>
          <w:color w:val="auto"/>
          <w:kern w:val="0"/>
          <w:sz w:val="24"/>
          <w:szCs w:val="24"/>
          <w:highlight w:val="none"/>
        </w:rPr>
        <w:t xml:space="preserve"> 禹州市政府采购供应商信用承诺函</w:t>
      </w:r>
    </w:p>
    <w:p>
      <w:pPr>
        <w:spacing w:line="360" w:lineRule="auto"/>
        <w:rPr>
          <w:rFonts w:hint="eastAsia" w:ascii="宋体" w:hAnsi="宋体" w:eastAsia="宋体" w:cs="宋体"/>
          <w:color w:val="auto"/>
          <w:sz w:val="24"/>
          <w:szCs w:val="24"/>
          <w:highlight w:val="none"/>
          <w:lang w:val="zh-CN"/>
        </w:rPr>
      </w:pPr>
    </w:p>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致（采购人或采购代理机构）：</w:t>
      </w:r>
    </w:p>
    <w:p>
      <w:pPr>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单位名称（自然人姓名）:</w:t>
      </w:r>
    </w:p>
    <w:p>
      <w:pPr>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统一社会信用代码（身份证号码）:</w:t>
      </w:r>
    </w:p>
    <w:p>
      <w:pPr>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法定代表人（负责人）:</w:t>
      </w:r>
    </w:p>
    <w:p>
      <w:pPr>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联系地址和电话：</w:t>
      </w:r>
    </w:p>
    <w:p>
      <w:pPr>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为维护公平、公正、公开的政府采购市场秩序，树立诚实守信的政府采购供应商形象，我单位（本人）自愿作出以下承诺：</w:t>
      </w:r>
    </w:p>
    <w:p>
      <w:pPr>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一、我单位（本人）自愿参加本次政府采购活动，严格遵守《中华人民共和国政府采购法》及相关法律法规，依法诚信经营，无条件遵守本次政府采购活动的各项规定，我单位（本人）郑重承诺，我单位（本人）符合《中华人民共和国政府采购法》第二十二条规定和采购文件、本承诺书的条件：</w:t>
      </w:r>
    </w:p>
    <w:p>
      <w:pPr>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（一）具有独立承担民事责任的能力；</w:t>
      </w:r>
    </w:p>
    <w:p>
      <w:pPr>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（二）具有良好的商业信誉和健全的财务会计制度；</w:t>
      </w:r>
    </w:p>
    <w:p>
      <w:pPr>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（三）具有履行合同所必需的设备和专业技术能力；</w:t>
      </w:r>
    </w:p>
    <w:p>
      <w:pPr>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（四）有依法缴纳税收和社会保障资金的良好记录；</w:t>
      </w:r>
    </w:p>
    <w:p>
      <w:pPr>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（五）参加政府采购活动前三年内，在经营活动中没有重大违法记录；</w:t>
      </w:r>
    </w:p>
    <w:p>
      <w:pPr>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（六）未被列入经营异常名录或者严重违法失信名单、失信被执行人，重大税收违法案件当事人名单、政府采购严重违法失信行为记录名单；</w:t>
      </w:r>
    </w:p>
    <w:p>
      <w:pPr>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（七）未被相关监管部门作出行政处罚且尚在处罚有效期的；</w:t>
      </w:r>
    </w:p>
    <w:p>
      <w:pPr>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（八）未曾作出虚假采购承诺；</w:t>
      </w:r>
    </w:p>
    <w:p>
      <w:pPr>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（九）符合法律、行政法规规定的其他条件。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二、我单位（本人）保证上述承诺事项的真实性。如有弄虚作假或其他违法违规行为，自愿按照规定将违背承诺行为作为失信行为记录到社会信用信息平台，并视同为“提供虚假材料谋取中标、成交”按照《政府采购法》第七十七、七十九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给他人造成损失的，并应依照有关民事法律规定承担民事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供应商（电子章）:</w:t>
      </w:r>
    </w:p>
    <w:p>
      <w:pPr>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法定代表人、负责人、本人或授权代表（签字或电子印章）:</w:t>
      </w:r>
    </w:p>
    <w:p>
      <w:pPr>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日期：    年    月      日</w:t>
      </w:r>
    </w:p>
    <w:p>
      <w:pPr>
        <w:rPr>
          <w:rFonts w:hint="eastAsia" w:ascii="宋体" w:hAnsi="宋体" w:eastAsia="宋体" w:cs="宋体"/>
          <w:color w:val="auto"/>
          <w:sz w:val="24"/>
          <w:szCs w:val="24"/>
          <w:highlight w:val="none"/>
          <w:lang w:val="zh-CN"/>
        </w:rPr>
      </w:pPr>
    </w:p>
    <w:p>
      <w:pPr>
        <w:rPr>
          <w:rFonts w:hint="eastAsia" w:ascii="宋体" w:hAnsi="宋体" w:eastAsia="宋体" w:cs="宋体"/>
          <w:color w:val="auto"/>
          <w:sz w:val="24"/>
          <w:szCs w:val="24"/>
          <w:highlight w:val="none"/>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注：1.供应商须在谈判文件中按此模板提供承诺函，未提供视为未实质性响应谈判文件要求，按无效投标处理。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2.供应商的法定代表人或者授权代表的签字或盖章应真实、有效，如由授权代表签字或盖章的，应提供“法定代表人授权书”。</w:t>
      </w:r>
    </w:p>
    <w:p>
      <w:pPr>
        <w:rPr>
          <w:rFonts w:hint="eastAsia" w:ascii="宋体" w:hAnsi="宋体" w:eastAsia="宋体" w:cs="宋体"/>
          <w:color w:val="auto"/>
          <w:sz w:val="24"/>
          <w:szCs w:val="24"/>
          <w:highlight w:val="none"/>
        </w:rPr>
      </w:pPr>
    </w:p>
    <w:p>
      <w:pPr>
        <w:rPr>
          <w:rFonts w:hint="eastAsia" w:ascii="宋体" w:hAnsi="宋体" w:eastAsia="宋体" w:cs="宋体"/>
          <w:color w:val="auto"/>
          <w:sz w:val="24"/>
          <w:szCs w:val="24"/>
          <w:highlight w:val="none"/>
        </w:rPr>
      </w:pPr>
    </w:p>
    <w:p>
      <w:pPr>
        <w:rPr>
          <w:rFonts w:hint="eastAsia" w:ascii="宋体" w:hAnsi="宋体" w:eastAsia="宋体" w:cs="宋体"/>
          <w:color w:val="auto"/>
          <w:sz w:val="24"/>
          <w:szCs w:val="24"/>
          <w:highlight w:val="none"/>
        </w:rPr>
      </w:pPr>
    </w:p>
    <w:p>
      <w:pPr>
        <w:rPr>
          <w:rFonts w:hint="eastAsia" w:ascii="宋体" w:hAnsi="宋体" w:eastAsia="宋体" w:cs="宋体"/>
          <w:color w:val="auto"/>
          <w:sz w:val="24"/>
          <w:szCs w:val="24"/>
          <w:highlight w:val="none"/>
        </w:rPr>
      </w:pPr>
    </w:p>
    <w:p>
      <w:pPr>
        <w:rPr>
          <w:rFonts w:hint="eastAsia" w:ascii="宋体" w:hAnsi="宋体" w:eastAsia="宋体" w:cs="宋体"/>
          <w:color w:val="auto"/>
          <w:sz w:val="24"/>
          <w:szCs w:val="24"/>
          <w:highlight w:val="none"/>
        </w:rPr>
      </w:pPr>
    </w:p>
    <w:p>
      <w:pPr>
        <w:pStyle w:val="9"/>
        <w:rPr>
          <w:rFonts w:hint="eastAsia" w:ascii="宋体" w:hAnsi="宋体" w:eastAsia="宋体" w:cs="宋体"/>
          <w:color w:val="auto"/>
          <w:sz w:val="24"/>
          <w:szCs w:val="24"/>
          <w:highlight w:val="none"/>
          <w:lang w:val="zh-CN"/>
        </w:rPr>
      </w:pPr>
    </w:p>
    <w:p>
      <w:pPr>
        <w:pStyle w:val="9"/>
        <w:rPr>
          <w:rFonts w:hint="eastAsia" w:ascii="宋体" w:hAnsi="宋体" w:eastAsia="宋体" w:cs="宋体"/>
          <w:color w:val="auto"/>
          <w:sz w:val="24"/>
          <w:szCs w:val="24"/>
          <w:highlight w:val="none"/>
          <w:lang w:val="zh-CN"/>
        </w:rPr>
      </w:pPr>
    </w:p>
    <w:p>
      <w:pPr>
        <w:pStyle w:val="9"/>
        <w:rPr>
          <w:rFonts w:hint="eastAsia" w:ascii="宋体" w:hAnsi="宋体" w:eastAsia="宋体" w:cs="宋体"/>
          <w:color w:val="auto"/>
          <w:sz w:val="24"/>
          <w:szCs w:val="24"/>
          <w:highlight w:val="none"/>
          <w:lang w:val="zh-CN"/>
        </w:rPr>
      </w:pPr>
    </w:p>
    <w:p>
      <w:pPr>
        <w:pStyle w:val="9"/>
        <w:rPr>
          <w:rFonts w:hint="eastAsia" w:ascii="宋体" w:hAnsi="宋体" w:eastAsia="宋体" w:cs="宋体"/>
          <w:color w:val="auto"/>
          <w:sz w:val="24"/>
          <w:szCs w:val="24"/>
          <w:highlight w:val="none"/>
          <w:lang w:val="zh-CN"/>
        </w:rPr>
      </w:pPr>
    </w:p>
    <w:p>
      <w:pPr>
        <w:pStyle w:val="9"/>
        <w:rPr>
          <w:rFonts w:hint="eastAsia" w:ascii="宋体" w:hAnsi="宋体" w:eastAsia="宋体" w:cs="宋体"/>
          <w:color w:val="auto"/>
          <w:sz w:val="24"/>
          <w:szCs w:val="24"/>
          <w:highlight w:val="none"/>
          <w:lang w:val="zh-CN"/>
        </w:rPr>
      </w:pPr>
    </w:p>
    <w:p>
      <w:pPr>
        <w:pStyle w:val="9"/>
        <w:rPr>
          <w:rFonts w:hint="eastAsia" w:ascii="宋体" w:hAnsi="宋体" w:eastAsia="宋体" w:cs="宋体"/>
          <w:color w:val="auto"/>
          <w:sz w:val="24"/>
          <w:szCs w:val="24"/>
          <w:highlight w:val="none"/>
          <w:lang w:val="zh-CN"/>
        </w:rPr>
      </w:pPr>
    </w:p>
    <w:p>
      <w:pPr>
        <w:pStyle w:val="9"/>
        <w:rPr>
          <w:rFonts w:hint="eastAsia" w:ascii="宋体" w:hAnsi="宋体" w:eastAsia="宋体" w:cs="宋体"/>
          <w:color w:val="auto"/>
          <w:sz w:val="24"/>
          <w:szCs w:val="24"/>
          <w:highlight w:val="none"/>
          <w:lang w:val="zh-CN"/>
        </w:rPr>
      </w:pPr>
    </w:p>
    <w:p>
      <w:pPr>
        <w:pStyle w:val="9"/>
        <w:rPr>
          <w:rFonts w:hint="eastAsia" w:ascii="宋体" w:hAnsi="宋体" w:eastAsia="宋体" w:cs="宋体"/>
          <w:color w:val="auto"/>
          <w:sz w:val="24"/>
          <w:szCs w:val="24"/>
          <w:highlight w:val="none"/>
          <w:lang w:val="zh-CN"/>
        </w:rPr>
      </w:pPr>
    </w:p>
    <w:p>
      <w:pPr>
        <w:pStyle w:val="9"/>
        <w:rPr>
          <w:rFonts w:hint="eastAsia" w:ascii="宋体" w:hAnsi="宋体" w:eastAsia="宋体" w:cs="宋体"/>
          <w:color w:val="auto"/>
          <w:sz w:val="24"/>
          <w:szCs w:val="24"/>
          <w:highlight w:val="none"/>
          <w:lang w:val="zh-CN"/>
        </w:rPr>
      </w:pPr>
    </w:p>
    <w:p>
      <w:pPr>
        <w:pStyle w:val="9"/>
        <w:rPr>
          <w:rFonts w:hint="eastAsia" w:ascii="宋体" w:hAnsi="宋体" w:eastAsia="宋体" w:cs="宋体"/>
          <w:color w:val="auto"/>
          <w:sz w:val="24"/>
          <w:szCs w:val="24"/>
          <w:highlight w:val="none"/>
          <w:lang w:val="zh-CN"/>
        </w:rPr>
      </w:pPr>
    </w:p>
    <w:p>
      <w:pPr>
        <w:pStyle w:val="9"/>
        <w:rPr>
          <w:rFonts w:hint="eastAsia" w:ascii="宋体" w:hAnsi="宋体" w:eastAsia="宋体" w:cs="宋体"/>
          <w:color w:val="auto"/>
          <w:sz w:val="24"/>
          <w:szCs w:val="24"/>
          <w:highlight w:val="none"/>
          <w:lang w:val="zh-CN"/>
        </w:rPr>
      </w:pPr>
    </w:p>
    <w:p>
      <w:pPr>
        <w:pStyle w:val="9"/>
        <w:rPr>
          <w:rFonts w:hint="eastAsia" w:ascii="宋体" w:hAnsi="宋体" w:eastAsia="宋体" w:cs="宋体"/>
          <w:color w:val="auto"/>
          <w:sz w:val="24"/>
          <w:szCs w:val="24"/>
          <w:highlight w:val="none"/>
          <w:lang w:val="zh-CN"/>
        </w:rPr>
      </w:pPr>
    </w:p>
    <w:p>
      <w:pPr>
        <w:spacing w:line="360" w:lineRule="auto"/>
        <w:jc w:val="center"/>
        <w:rPr>
          <w:rFonts w:hint="eastAsia" w:ascii="宋体" w:hAnsi="宋体" w:eastAsia="宋体" w:cs="宋体"/>
          <w:b/>
          <w:bCs/>
          <w:color w:val="auto"/>
          <w:sz w:val="24"/>
          <w:szCs w:val="24"/>
          <w:highlight w:val="none"/>
        </w:rPr>
      </w:pPr>
    </w:p>
    <w:p>
      <w:pPr>
        <w:pStyle w:val="14"/>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2"/>
        <w:rPr>
          <w:rFonts w:hint="default" w:ascii="宋体" w:hAnsi="宋体" w:eastAsia="宋体" w:cs="宋体"/>
          <w:b/>
          <w:snapToGrid w:val="0"/>
          <w:color w:val="auto"/>
          <w:kern w:val="0"/>
          <w:sz w:val="24"/>
          <w:szCs w:val="24"/>
          <w:highlight w:val="none"/>
          <w:lang w:val="en-US" w:eastAsia="zh-CN"/>
        </w:rPr>
      </w:pPr>
      <w:r>
        <w:rPr>
          <w:rFonts w:hint="eastAsia" w:ascii="宋体" w:hAnsi="宋体" w:eastAsia="宋体" w:cs="宋体"/>
          <w:b/>
          <w:snapToGrid w:val="0"/>
          <w:color w:val="auto"/>
          <w:kern w:val="0"/>
          <w:sz w:val="24"/>
          <w:szCs w:val="24"/>
          <w:highlight w:val="none"/>
          <w:lang w:val="en-US" w:eastAsia="zh-CN"/>
        </w:rPr>
        <w:t>3.</w:t>
      </w:r>
      <w:r>
        <w:rPr>
          <w:rFonts w:hint="eastAsia" w:ascii="宋体" w:hAnsi="宋体" w:cs="宋体"/>
          <w:b/>
          <w:snapToGrid w:val="0"/>
          <w:color w:val="auto"/>
          <w:kern w:val="0"/>
          <w:sz w:val="24"/>
          <w:szCs w:val="24"/>
          <w:highlight w:val="none"/>
          <w:lang w:val="en-US" w:eastAsia="zh-CN"/>
        </w:rPr>
        <w:t>7</w:t>
      </w:r>
      <w:r>
        <w:rPr>
          <w:rFonts w:hint="eastAsia" w:ascii="宋体" w:hAnsi="宋体" w:eastAsia="宋体" w:cs="宋体"/>
          <w:b/>
          <w:snapToGrid w:val="0"/>
          <w:color w:val="auto"/>
          <w:kern w:val="0"/>
          <w:sz w:val="24"/>
          <w:szCs w:val="24"/>
          <w:highlight w:val="none"/>
          <w:lang w:val="en-US" w:eastAsia="zh-CN"/>
        </w:rPr>
        <w:t xml:space="preserve"> 监狱企业证明文件</w:t>
      </w:r>
    </w:p>
    <w:p>
      <w:pPr>
        <w:spacing w:line="360" w:lineRule="auto"/>
        <w:jc w:val="center"/>
        <w:rPr>
          <w:rFonts w:hint="eastAsia" w:ascii="宋体" w:hAnsi="宋体" w:eastAsia="宋体" w:cs="宋体"/>
          <w:b/>
          <w:bCs/>
          <w:color w:val="auto"/>
          <w:sz w:val="24"/>
          <w:szCs w:val="24"/>
          <w:highlight w:val="none"/>
        </w:rPr>
      </w:pPr>
    </w:p>
    <w:p>
      <w:pPr>
        <w:spacing w:line="360" w:lineRule="auto"/>
        <w:jc w:val="center"/>
        <w:rPr>
          <w:rFonts w:hint="eastAsia" w:ascii="宋体" w:hAnsi="宋体" w:eastAsia="宋体" w:cs="宋体"/>
          <w:b/>
          <w:bCs/>
          <w:color w:val="auto"/>
          <w:sz w:val="24"/>
          <w:szCs w:val="24"/>
          <w:highlight w:val="none"/>
        </w:rPr>
      </w:pPr>
    </w:p>
    <w:p>
      <w:pPr>
        <w:spacing w:line="360" w:lineRule="auto"/>
        <w:jc w:val="center"/>
        <w:rPr>
          <w:rFonts w:hint="eastAsia" w:ascii="宋体" w:hAnsi="宋体" w:eastAsia="宋体" w:cs="宋体"/>
          <w:b/>
          <w:bCs/>
          <w:color w:val="auto"/>
          <w:sz w:val="24"/>
          <w:szCs w:val="24"/>
          <w:highlight w:val="none"/>
        </w:rPr>
      </w:pPr>
    </w:p>
    <w:p>
      <w:pPr>
        <w:spacing w:line="360" w:lineRule="auto"/>
        <w:jc w:val="center"/>
        <w:rPr>
          <w:rFonts w:hint="eastAsia" w:ascii="宋体" w:hAnsi="宋体" w:eastAsia="宋体" w:cs="宋体"/>
          <w:b/>
          <w:bCs/>
          <w:color w:val="auto"/>
          <w:sz w:val="24"/>
          <w:szCs w:val="24"/>
          <w:highlight w:val="none"/>
        </w:rPr>
      </w:pPr>
    </w:p>
    <w:p>
      <w:pPr>
        <w:pStyle w:val="14"/>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2"/>
        <w:rPr>
          <w:rFonts w:hint="eastAsia" w:ascii="宋体" w:hAnsi="宋体" w:eastAsia="宋体" w:cs="宋体"/>
          <w:b/>
          <w:snapToGrid w:val="0"/>
          <w:color w:val="auto"/>
          <w:kern w:val="0"/>
          <w:sz w:val="24"/>
          <w:szCs w:val="24"/>
          <w:highlight w:val="none"/>
          <w:lang w:val="en-US" w:eastAsia="zh-CN"/>
        </w:rPr>
      </w:pPr>
      <w:r>
        <w:rPr>
          <w:rFonts w:hint="eastAsia" w:ascii="宋体" w:hAnsi="宋体" w:eastAsia="宋体" w:cs="宋体"/>
          <w:b/>
          <w:snapToGrid w:val="0"/>
          <w:color w:val="auto"/>
          <w:kern w:val="0"/>
          <w:sz w:val="24"/>
          <w:szCs w:val="24"/>
          <w:highlight w:val="none"/>
          <w:lang w:val="en-US" w:eastAsia="zh-CN"/>
        </w:rPr>
        <w:t>3.</w:t>
      </w:r>
      <w:r>
        <w:rPr>
          <w:rFonts w:hint="eastAsia" w:ascii="宋体" w:hAnsi="宋体" w:cs="宋体"/>
          <w:b/>
          <w:snapToGrid w:val="0"/>
          <w:color w:val="auto"/>
          <w:kern w:val="0"/>
          <w:sz w:val="24"/>
          <w:szCs w:val="24"/>
          <w:highlight w:val="none"/>
          <w:lang w:val="en-US" w:eastAsia="zh-CN"/>
        </w:rPr>
        <w:t>8</w:t>
      </w:r>
      <w:r>
        <w:rPr>
          <w:rFonts w:hint="eastAsia" w:ascii="宋体" w:hAnsi="宋体" w:eastAsia="宋体" w:cs="宋体"/>
          <w:b/>
          <w:snapToGrid w:val="0"/>
          <w:color w:val="auto"/>
          <w:kern w:val="0"/>
          <w:sz w:val="24"/>
          <w:szCs w:val="24"/>
          <w:highlight w:val="none"/>
          <w:lang w:val="en-US" w:eastAsia="zh-CN"/>
        </w:rPr>
        <w:t>供应商与参加本项目响应的其他供应商之间，单位负责人不为同一人并且不存在直接控股、管理关系承诺函</w:t>
      </w:r>
    </w:p>
    <w:p>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（承诺函格式自拟）</w:t>
      </w:r>
    </w:p>
    <w:p>
      <w:pPr>
        <w:autoSpaceDE w:val="0"/>
        <w:autoSpaceDN w:val="0"/>
        <w:adjustRightInd w:val="0"/>
        <w:spacing w:line="360" w:lineRule="auto"/>
        <w:jc w:val="center"/>
        <w:outlineLvl w:val="9"/>
        <w:rPr>
          <w:rFonts w:hint="eastAsia" w:ascii="宋体" w:hAnsi="宋体" w:eastAsia="宋体" w:cs="宋体"/>
          <w:b/>
          <w:bCs/>
          <w:color w:val="auto"/>
          <w:sz w:val="24"/>
          <w:szCs w:val="24"/>
          <w:highlight w:val="none"/>
        </w:rPr>
      </w:pPr>
    </w:p>
    <w:p>
      <w:pPr>
        <w:autoSpaceDE w:val="0"/>
        <w:autoSpaceDN w:val="0"/>
        <w:adjustRightInd w:val="0"/>
        <w:spacing w:line="360" w:lineRule="auto"/>
        <w:jc w:val="center"/>
        <w:outlineLvl w:val="9"/>
        <w:rPr>
          <w:rFonts w:hint="eastAsia" w:ascii="宋体" w:hAnsi="宋体" w:eastAsia="宋体" w:cs="宋体"/>
          <w:b/>
          <w:bCs/>
          <w:color w:val="auto"/>
          <w:sz w:val="24"/>
          <w:szCs w:val="24"/>
          <w:highlight w:val="none"/>
        </w:rPr>
      </w:pPr>
    </w:p>
    <w:p>
      <w:pPr>
        <w:widowControl/>
        <w:jc w:val="left"/>
        <w:rPr>
          <w:rFonts w:hint="eastAsia" w:ascii="宋体" w:hAnsi="宋体" w:eastAsia="宋体" w:cs="宋体"/>
          <w:b/>
          <w:bCs/>
          <w:color w:val="auto"/>
          <w:sz w:val="24"/>
          <w:szCs w:val="24"/>
          <w:highlight w:val="none"/>
        </w:rPr>
      </w:pPr>
    </w:p>
    <w:p>
      <w:pPr>
        <w:pStyle w:val="14"/>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2"/>
        <w:rPr>
          <w:rFonts w:hint="eastAsia" w:ascii="宋体" w:hAnsi="宋体" w:eastAsia="宋体" w:cs="宋体"/>
          <w:b/>
          <w:snapToGrid w:val="0"/>
          <w:color w:val="auto"/>
          <w:kern w:val="0"/>
          <w:sz w:val="24"/>
          <w:szCs w:val="24"/>
          <w:highlight w:val="none"/>
          <w:lang w:val="en-US" w:eastAsia="zh-CN"/>
        </w:rPr>
      </w:pPr>
      <w:r>
        <w:rPr>
          <w:rFonts w:hint="eastAsia" w:ascii="宋体" w:hAnsi="宋体" w:eastAsia="宋体" w:cs="宋体"/>
          <w:b/>
          <w:snapToGrid w:val="0"/>
          <w:color w:val="auto"/>
          <w:kern w:val="0"/>
          <w:sz w:val="24"/>
          <w:szCs w:val="24"/>
          <w:highlight w:val="none"/>
          <w:lang w:val="en-US" w:eastAsia="zh-CN"/>
        </w:rPr>
        <w:t>3.</w:t>
      </w:r>
      <w:r>
        <w:rPr>
          <w:rFonts w:hint="eastAsia" w:ascii="宋体" w:hAnsi="宋体" w:cs="宋体"/>
          <w:b/>
          <w:snapToGrid w:val="0"/>
          <w:color w:val="auto"/>
          <w:kern w:val="0"/>
          <w:sz w:val="24"/>
          <w:szCs w:val="24"/>
          <w:highlight w:val="none"/>
          <w:lang w:val="en-US" w:eastAsia="zh-CN"/>
        </w:rPr>
        <w:t>9</w:t>
      </w:r>
      <w:r>
        <w:rPr>
          <w:rFonts w:hint="eastAsia" w:ascii="宋体" w:hAnsi="宋体" w:eastAsia="宋体" w:cs="宋体"/>
          <w:b/>
          <w:snapToGrid w:val="0"/>
          <w:color w:val="auto"/>
          <w:kern w:val="0"/>
          <w:sz w:val="24"/>
          <w:szCs w:val="24"/>
          <w:highlight w:val="none"/>
          <w:lang w:val="en-US" w:eastAsia="zh-CN"/>
        </w:rPr>
        <w:t>供应商未为本项目提供整体设计、规范编制或者项目管理、监理、检测等服务承诺函</w:t>
      </w:r>
    </w:p>
    <w:p>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（承诺函格式自拟）</w:t>
      </w:r>
    </w:p>
    <w:p>
      <w:pPr>
        <w:autoSpaceDE w:val="0"/>
        <w:autoSpaceDN w:val="0"/>
        <w:adjustRightInd w:val="0"/>
        <w:spacing w:line="360" w:lineRule="auto"/>
        <w:jc w:val="center"/>
        <w:outlineLvl w:val="9"/>
        <w:rPr>
          <w:rFonts w:hint="eastAsia" w:ascii="宋体" w:hAnsi="宋体" w:eastAsia="宋体" w:cs="宋体"/>
          <w:b/>
          <w:bCs/>
          <w:color w:val="auto"/>
          <w:sz w:val="24"/>
          <w:szCs w:val="24"/>
          <w:highlight w:val="none"/>
        </w:rPr>
      </w:pPr>
    </w:p>
    <w:p>
      <w:pPr>
        <w:autoSpaceDE w:val="0"/>
        <w:autoSpaceDN w:val="0"/>
        <w:adjustRightInd w:val="0"/>
        <w:spacing w:line="360" w:lineRule="auto"/>
        <w:jc w:val="center"/>
        <w:outlineLvl w:val="9"/>
        <w:rPr>
          <w:rFonts w:hint="eastAsia" w:ascii="宋体" w:hAnsi="宋体" w:eastAsia="宋体" w:cs="宋体"/>
          <w:b/>
          <w:bCs/>
          <w:color w:val="auto"/>
          <w:sz w:val="24"/>
          <w:szCs w:val="24"/>
          <w:highlight w:val="none"/>
        </w:rPr>
      </w:pPr>
    </w:p>
    <w:p>
      <w:pPr>
        <w:autoSpaceDE w:val="0"/>
        <w:autoSpaceDN w:val="0"/>
        <w:adjustRightInd w:val="0"/>
        <w:spacing w:line="360" w:lineRule="auto"/>
        <w:jc w:val="center"/>
        <w:outlineLvl w:val="9"/>
        <w:rPr>
          <w:rFonts w:hint="eastAsia" w:ascii="宋体" w:hAnsi="宋体" w:eastAsia="宋体" w:cs="宋体"/>
          <w:b/>
          <w:bCs/>
          <w:color w:val="auto"/>
          <w:sz w:val="24"/>
          <w:szCs w:val="24"/>
          <w:highlight w:val="none"/>
        </w:rPr>
      </w:pPr>
    </w:p>
    <w:p>
      <w:pPr>
        <w:widowControl/>
        <w:jc w:val="left"/>
        <w:rPr>
          <w:rFonts w:hint="eastAsia" w:ascii="宋体" w:hAnsi="宋体" w:eastAsia="宋体" w:cs="宋体"/>
          <w:b/>
          <w:bCs/>
          <w:color w:val="auto"/>
          <w:sz w:val="24"/>
          <w:szCs w:val="24"/>
          <w:highlight w:val="none"/>
        </w:rPr>
      </w:pPr>
    </w:p>
    <w:p>
      <w:pPr>
        <w:autoSpaceDE w:val="0"/>
        <w:autoSpaceDN w:val="0"/>
        <w:adjustRightInd w:val="0"/>
        <w:spacing w:line="360" w:lineRule="auto"/>
        <w:jc w:val="center"/>
        <w:outlineLvl w:val="9"/>
        <w:rPr>
          <w:rFonts w:hint="eastAsia" w:ascii="宋体" w:hAnsi="宋体" w:eastAsia="宋体" w:cs="宋体"/>
          <w:b/>
          <w:snapToGrid w:val="0"/>
          <w:color w:val="auto"/>
          <w:kern w:val="0"/>
          <w:sz w:val="24"/>
          <w:szCs w:val="24"/>
          <w:highlight w:val="none"/>
        </w:rPr>
      </w:pPr>
    </w:p>
    <w:p>
      <w:pPr>
        <w:autoSpaceDE w:val="0"/>
        <w:autoSpaceDN w:val="0"/>
        <w:adjustRightInd w:val="0"/>
        <w:spacing w:line="360" w:lineRule="auto"/>
        <w:jc w:val="center"/>
        <w:outlineLvl w:val="9"/>
        <w:rPr>
          <w:rFonts w:hint="eastAsia" w:ascii="宋体" w:hAnsi="宋体" w:eastAsia="宋体" w:cs="宋体"/>
          <w:b/>
          <w:snapToGrid w:val="0"/>
          <w:color w:val="auto"/>
          <w:kern w:val="0"/>
          <w:sz w:val="24"/>
          <w:szCs w:val="24"/>
          <w:highlight w:val="none"/>
        </w:rPr>
      </w:pPr>
    </w:p>
    <w:p>
      <w:pPr>
        <w:autoSpaceDE w:val="0"/>
        <w:autoSpaceDN w:val="0"/>
        <w:adjustRightInd w:val="0"/>
        <w:spacing w:line="360" w:lineRule="auto"/>
        <w:jc w:val="center"/>
        <w:outlineLvl w:val="9"/>
        <w:rPr>
          <w:rFonts w:hint="eastAsia" w:ascii="宋体" w:hAnsi="宋体" w:eastAsia="宋体" w:cs="宋体"/>
          <w:b/>
          <w:snapToGrid w:val="0"/>
          <w:color w:val="auto"/>
          <w:kern w:val="0"/>
          <w:sz w:val="24"/>
          <w:szCs w:val="24"/>
          <w:highlight w:val="none"/>
        </w:rPr>
      </w:pPr>
    </w:p>
    <w:p>
      <w:pPr>
        <w:autoSpaceDE w:val="0"/>
        <w:autoSpaceDN w:val="0"/>
        <w:adjustRightInd w:val="0"/>
        <w:spacing w:line="360" w:lineRule="auto"/>
        <w:jc w:val="center"/>
        <w:outlineLvl w:val="9"/>
        <w:rPr>
          <w:rFonts w:hint="eastAsia" w:ascii="宋体" w:hAnsi="宋体" w:eastAsia="宋体" w:cs="宋体"/>
          <w:b/>
          <w:snapToGrid w:val="0"/>
          <w:color w:val="auto"/>
          <w:kern w:val="0"/>
          <w:sz w:val="24"/>
          <w:szCs w:val="24"/>
          <w:highlight w:val="none"/>
        </w:rPr>
      </w:pPr>
    </w:p>
    <w:p>
      <w:pPr>
        <w:autoSpaceDE w:val="0"/>
        <w:autoSpaceDN w:val="0"/>
        <w:adjustRightInd w:val="0"/>
        <w:spacing w:line="360" w:lineRule="auto"/>
        <w:jc w:val="center"/>
        <w:rPr>
          <w:rFonts w:hint="eastAsia" w:ascii="宋体" w:hAnsi="宋体" w:eastAsia="宋体" w:cs="宋体"/>
          <w:b/>
          <w:bCs/>
          <w:color w:val="auto"/>
          <w:sz w:val="24"/>
          <w:szCs w:val="24"/>
          <w:highlight w:val="none"/>
          <w:lang w:val="zh-CN"/>
        </w:rPr>
      </w:pPr>
    </w:p>
    <w:p>
      <w:pPr>
        <w:autoSpaceDE w:val="0"/>
        <w:autoSpaceDN w:val="0"/>
        <w:adjustRightInd w:val="0"/>
        <w:spacing w:line="360" w:lineRule="auto"/>
        <w:jc w:val="center"/>
        <w:rPr>
          <w:rFonts w:hint="eastAsia" w:ascii="宋体" w:hAnsi="宋体" w:eastAsia="宋体" w:cs="宋体"/>
          <w:b/>
          <w:bCs/>
          <w:color w:val="auto"/>
          <w:sz w:val="24"/>
          <w:szCs w:val="24"/>
          <w:highlight w:val="none"/>
          <w:lang w:val="zh-CN"/>
        </w:rPr>
      </w:pPr>
    </w:p>
    <w:p>
      <w:pPr>
        <w:autoSpaceDE w:val="0"/>
        <w:autoSpaceDN w:val="0"/>
        <w:adjustRightInd w:val="0"/>
        <w:spacing w:line="360" w:lineRule="auto"/>
        <w:jc w:val="center"/>
        <w:rPr>
          <w:rFonts w:hint="eastAsia" w:ascii="宋体" w:hAnsi="宋体" w:eastAsia="宋体" w:cs="宋体"/>
          <w:b/>
          <w:bCs/>
          <w:color w:val="auto"/>
          <w:sz w:val="24"/>
          <w:szCs w:val="24"/>
          <w:highlight w:val="none"/>
          <w:lang w:val="zh-CN"/>
        </w:rPr>
      </w:pPr>
    </w:p>
    <w:p>
      <w:pPr>
        <w:autoSpaceDE w:val="0"/>
        <w:autoSpaceDN w:val="0"/>
        <w:adjustRightInd w:val="0"/>
        <w:spacing w:line="360" w:lineRule="auto"/>
        <w:jc w:val="center"/>
        <w:rPr>
          <w:rFonts w:hint="eastAsia" w:ascii="宋体" w:hAnsi="宋体" w:eastAsia="宋体" w:cs="宋体"/>
          <w:b/>
          <w:bCs/>
          <w:color w:val="auto"/>
          <w:sz w:val="24"/>
          <w:szCs w:val="24"/>
          <w:highlight w:val="none"/>
          <w:lang w:val="zh-CN"/>
        </w:rPr>
      </w:pPr>
    </w:p>
    <w:p>
      <w:pPr>
        <w:autoSpaceDE w:val="0"/>
        <w:autoSpaceDN w:val="0"/>
        <w:adjustRightInd w:val="0"/>
        <w:spacing w:line="360" w:lineRule="auto"/>
        <w:jc w:val="center"/>
        <w:rPr>
          <w:rFonts w:hint="eastAsia" w:ascii="宋体" w:hAnsi="宋体" w:eastAsia="宋体" w:cs="宋体"/>
          <w:b/>
          <w:bCs/>
          <w:color w:val="auto"/>
          <w:sz w:val="24"/>
          <w:szCs w:val="24"/>
          <w:highlight w:val="none"/>
          <w:lang w:val="zh-CN"/>
        </w:rPr>
      </w:pPr>
    </w:p>
    <w:p>
      <w:pPr>
        <w:autoSpaceDE w:val="0"/>
        <w:autoSpaceDN w:val="0"/>
        <w:adjustRightInd w:val="0"/>
        <w:spacing w:line="360" w:lineRule="auto"/>
        <w:jc w:val="both"/>
        <w:rPr>
          <w:rFonts w:hint="eastAsia" w:ascii="宋体" w:hAnsi="宋体" w:eastAsia="宋体" w:cs="宋体"/>
          <w:b/>
          <w:bCs/>
          <w:color w:val="auto"/>
          <w:sz w:val="24"/>
          <w:szCs w:val="24"/>
          <w:highlight w:val="none"/>
          <w:lang w:val="zh-CN"/>
        </w:rPr>
      </w:pPr>
    </w:p>
    <w:p>
      <w:pPr>
        <w:pStyle w:val="60"/>
        <w:keepNext/>
        <w:keepLines/>
        <w:pageBreakBefore w:val="0"/>
        <w:widowControl w:val="0"/>
        <w:numPr>
          <w:ilvl w:val="0"/>
          <w:numId w:val="0"/>
        </w:numPr>
        <w:tabs>
          <w:tab w:val="left" w:pos="660"/>
        </w:tabs>
        <w:kinsoku/>
        <w:wordWrap/>
        <w:overflowPunct/>
        <w:topLinePunct w:val="0"/>
        <w:autoSpaceDE/>
        <w:autoSpaceDN/>
        <w:bidi w:val="0"/>
        <w:adjustRightInd w:val="0"/>
        <w:snapToGrid w:val="0"/>
        <w:spacing w:before="0" w:line="360" w:lineRule="auto"/>
        <w:jc w:val="center"/>
        <w:textAlignment w:val="baseline"/>
        <w:outlineLvl w:val="1"/>
        <w:rPr>
          <w:rFonts w:hint="eastAsia" w:ascii="宋体" w:hAnsi="宋体" w:eastAsia="宋体" w:cs="宋体"/>
          <w:color w:val="auto"/>
          <w:kern w:val="2"/>
          <w:sz w:val="28"/>
          <w:szCs w:val="28"/>
          <w:highlight w:val="none"/>
          <w:lang w:val="zh-CN"/>
        </w:rPr>
      </w:pPr>
      <w:r>
        <w:rPr>
          <w:rFonts w:hint="eastAsia" w:ascii="宋体" w:hAnsi="宋体" w:eastAsia="宋体" w:cs="宋体"/>
          <w:color w:val="auto"/>
          <w:kern w:val="2"/>
          <w:sz w:val="28"/>
          <w:szCs w:val="28"/>
          <w:highlight w:val="none"/>
          <w:lang w:val="zh-CN"/>
        </w:rPr>
        <w:t>四、响应文件审查相关材料</w:t>
      </w:r>
    </w:p>
    <w:p>
      <w:pPr>
        <w:pStyle w:val="14"/>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2"/>
        <w:rPr>
          <w:rFonts w:hint="eastAsia" w:ascii="宋体" w:hAnsi="宋体" w:eastAsia="宋体" w:cs="宋体"/>
          <w:b/>
          <w:snapToGrid w:val="0"/>
          <w:color w:val="auto"/>
          <w:kern w:val="0"/>
          <w:sz w:val="24"/>
          <w:szCs w:val="24"/>
          <w:highlight w:val="none"/>
          <w:lang w:val="en-US" w:eastAsia="zh-CN"/>
        </w:rPr>
      </w:pPr>
      <w:r>
        <w:rPr>
          <w:rFonts w:hint="eastAsia" w:ascii="宋体" w:hAnsi="宋体" w:eastAsia="宋体" w:cs="宋体"/>
          <w:b/>
          <w:snapToGrid w:val="0"/>
          <w:color w:val="auto"/>
          <w:kern w:val="0"/>
          <w:sz w:val="24"/>
          <w:szCs w:val="24"/>
          <w:highlight w:val="none"/>
          <w:lang w:val="en-US" w:eastAsia="zh-CN"/>
        </w:rPr>
        <w:t>4.1  已标价工程量清单</w:t>
      </w:r>
    </w:p>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outlineLvl w:val="9"/>
        <w:rPr>
          <w:color w:val="auto"/>
          <w:highlight w:val="none"/>
        </w:rPr>
      </w:pPr>
      <w:r>
        <w:rPr>
          <w:rFonts w:hint="eastAsia" w:ascii="宋体" w:hAnsi="宋体" w:eastAsia="宋体" w:cs="宋体"/>
          <w:color w:val="auto"/>
          <w:kern w:val="0"/>
          <w:sz w:val="24"/>
          <w:szCs w:val="24"/>
          <w:highlight w:val="none"/>
          <w:lang w:val="en-US" w:eastAsia="zh-CN" w:bidi="ar"/>
        </w:rPr>
        <w:t>（供应商根据本项目工程量清单制作）</w:t>
      </w:r>
    </w:p>
    <w:p>
      <w:pPr>
        <w:autoSpaceDE w:val="0"/>
        <w:autoSpaceDN w:val="0"/>
        <w:adjustRightInd w:val="0"/>
        <w:spacing w:line="360" w:lineRule="auto"/>
        <w:jc w:val="center"/>
        <w:outlineLvl w:val="9"/>
        <w:rPr>
          <w:rFonts w:hint="eastAsia" w:ascii="宋体" w:hAnsi="宋体" w:eastAsia="宋体" w:cs="宋体"/>
          <w:b/>
          <w:snapToGrid w:val="0"/>
          <w:color w:val="auto"/>
          <w:kern w:val="0"/>
          <w:sz w:val="24"/>
          <w:szCs w:val="24"/>
          <w:highlight w:val="none"/>
        </w:rPr>
      </w:pPr>
    </w:p>
    <w:p>
      <w:pPr>
        <w:autoSpaceDE w:val="0"/>
        <w:autoSpaceDN w:val="0"/>
        <w:adjustRightInd w:val="0"/>
        <w:spacing w:line="360" w:lineRule="auto"/>
        <w:jc w:val="center"/>
        <w:outlineLvl w:val="9"/>
        <w:rPr>
          <w:rFonts w:hint="eastAsia" w:ascii="宋体" w:hAnsi="宋体" w:eastAsia="宋体" w:cs="宋体"/>
          <w:b/>
          <w:bCs/>
          <w:color w:val="auto"/>
          <w:sz w:val="24"/>
          <w:szCs w:val="24"/>
          <w:highlight w:val="none"/>
        </w:rPr>
      </w:pPr>
    </w:p>
    <w:p>
      <w:pPr>
        <w:rPr>
          <w:rFonts w:hint="eastAsia" w:ascii="宋体" w:hAnsi="宋体" w:eastAsia="宋体" w:cs="宋体"/>
          <w:b/>
          <w:bCs/>
          <w:color w:val="auto"/>
          <w:sz w:val="24"/>
          <w:szCs w:val="24"/>
          <w:highlight w:val="none"/>
        </w:rPr>
      </w:pPr>
    </w:p>
    <w:p>
      <w:pPr>
        <w:pStyle w:val="30"/>
        <w:rPr>
          <w:rFonts w:hint="eastAsia" w:ascii="宋体" w:hAnsi="宋体" w:eastAsia="宋体" w:cs="宋体"/>
          <w:b/>
          <w:bCs/>
          <w:color w:val="auto"/>
          <w:sz w:val="24"/>
          <w:szCs w:val="24"/>
          <w:highlight w:val="none"/>
        </w:rPr>
      </w:pPr>
    </w:p>
    <w:p>
      <w:pPr>
        <w:pStyle w:val="14"/>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2"/>
        <w:rPr>
          <w:rFonts w:hint="eastAsia" w:ascii="宋体" w:hAnsi="宋体" w:eastAsia="宋体" w:cs="宋体"/>
          <w:b/>
          <w:snapToGrid w:val="0"/>
          <w:color w:val="auto"/>
          <w:kern w:val="0"/>
          <w:sz w:val="24"/>
          <w:szCs w:val="24"/>
          <w:highlight w:val="none"/>
          <w:lang w:val="en-US" w:eastAsia="zh-CN"/>
        </w:rPr>
      </w:pPr>
      <w:r>
        <w:rPr>
          <w:rFonts w:hint="eastAsia" w:ascii="宋体" w:hAnsi="宋体" w:eastAsia="宋体" w:cs="宋体"/>
          <w:b/>
          <w:snapToGrid w:val="0"/>
          <w:color w:val="auto"/>
          <w:kern w:val="0"/>
          <w:sz w:val="24"/>
          <w:szCs w:val="24"/>
          <w:highlight w:val="none"/>
          <w:lang w:val="en-US" w:eastAsia="zh-CN"/>
        </w:rPr>
        <w:t>4.2 业绩情况表</w:t>
      </w:r>
    </w:p>
    <w:p>
      <w:pPr>
        <w:spacing w:before="50" w:afterLines="50" w:line="360" w:lineRule="auto"/>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p>
    <w:p>
      <w:pPr>
        <w:snapToGrid w:val="0"/>
        <w:spacing w:line="360" w:lineRule="auto"/>
        <w:rPr>
          <w:rFonts w:hint="eastAsia" w:ascii="宋体" w:hAnsi="宋体" w:eastAsia="宋体" w:cs="宋体"/>
          <w:b/>
          <w:snapToGrid w:val="0"/>
          <w:color w:val="auto"/>
          <w:kern w:val="0"/>
          <w:sz w:val="24"/>
          <w:szCs w:val="24"/>
          <w:highlight w:val="none"/>
        </w:rPr>
      </w:pPr>
      <w:r>
        <w:rPr>
          <w:rFonts w:hint="eastAsia" w:ascii="宋体" w:hAnsi="宋体" w:eastAsia="宋体" w:cs="宋体"/>
          <w:color w:val="auto"/>
          <w:sz w:val="24"/>
          <w:szCs w:val="24"/>
          <w:highlight w:val="none"/>
        </w:rPr>
        <w:t xml:space="preserve">项目名称：   </w:t>
      </w:r>
    </w:p>
    <w:tbl>
      <w:tblPr>
        <w:tblStyle w:val="25"/>
        <w:tblW w:w="92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808"/>
        <w:gridCol w:w="3579"/>
        <w:gridCol w:w="1440"/>
        <w:gridCol w:w="17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712" w:type="dxa"/>
            <w:shd w:val="clear" w:color="auto" w:fill="F3F3F3"/>
            <w:vAlign w:val="center"/>
          </w:tcPr>
          <w:p>
            <w:pPr>
              <w:pStyle w:val="7"/>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1808" w:type="dxa"/>
            <w:shd w:val="clear" w:color="auto" w:fill="F3F3F3"/>
            <w:vAlign w:val="center"/>
          </w:tcPr>
          <w:p>
            <w:pPr>
              <w:pStyle w:val="7"/>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客户单位名称</w:t>
            </w:r>
          </w:p>
        </w:tc>
        <w:tc>
          <w:tcPr>
            <w:tcW w:w="3579" w:type="dxa"/>
            <w:shd w:val="clear" w:color="auto" w:fill="F3F3F3"/>
            <w:vAlign w:val="center"/>
          </w:tcPr>
          <w:p>
            <w:pPr>
              <w:pStyle w:val="7"/>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项目名称及主要内容</w:t>
            </w:r>
          </w:p>
        </w:tc>
        <w:tc>
          <w:tcPr>
            <w:tcW w:w="1440" w:type="dxa"/>
            <w:shd w:val="clear" w:color="auto" w:fill="F3F3F3"/>
            <w:vAlign w:val="center"/>
          </w:tcPr>
          <w:p>
            <w:pPr>
              <w:pStyle w:val="7"/>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合同金额</w:t>
            </w:r>
          </w:p>
          <w:p>
            <w:pPr>
              <w:pStyle w:val="7"/>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（万元）</w:t>
            </w:r>
          </w:p>
        </w:tc>
        <w:tc>
          <w:tcPr>
            <w:tcW w:w="1706" w:type="dxa"/>
            <w:shd w:val="clear" w:color="auto" w:fill="F3F3F3"/>
            <w:vAlign w:val="center"/>
          </w:tcPr>
          <w:p>
            <w:pPr>
              <w:pStyle w:val="7"/>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联系人及电话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pStyle w:val="7"/>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808" w:type="dxa"/>
            <w:vAlign w:val="center"/>
          </w:tcPr>
          <w:p>
            <w:pPr>
              <w:pStyle w:val="7"/>
              <w:spacing w:line="360" w:lineRule="auto"/>
              <w:rPr>
                <w:rFonts w:hint="eastAsia" w:ascii="宋体" w:hAnsi="宋体" w:eastAsia="宋体" w:cs="宋体"/>
                <w:color w:val="auto"/>
                <w:sz w:val="24"/>
                <w:szCs w:val="24"/>
                <w:highlight w:val="none"/>
              </w:rPr>
            </w:pPr>
          </w:p>
        </w:tc>
        <w:tc>
          <w:tcPr>
            <w:tcW w:w="3579" w:type="dxa"/>
            <w:vAlign w:val="center"/>
          </w:tcPr>
          <w:p>
            <w:pPr>
              <w:pStyle w:val="7"/>
              <w:spacing w:line="360" w:lineRule="auto"/>
              <w:rPr>
                <w:rFonts w:hint="eastAsia" w:ascii="宋体" w:hAnsi="宋体" w:eastAsia="宋体" w:cs="宋体"/>
                <w:color w:val="auto"/>
                <w:sz w:val="24"/>
                <w:szCs w:val="24"/>
                <w:highlight w:val="none"/>
              </w:rPr>
            </w:pPr>
          </w:p>
        </w:tc>
        <w:tc>
          <w:tcPr>
            <w:tcW w:w="1440" w:type="dxa"/>
            <w:vAlign w:val="center"/>
          </w:tcPr>
          <w:p>
            <w:pPr>
              <w:pStyle w:val="7"/>
              <w:spacing w:line="360" w:lineRule="auto"/>
              <w:rPr>
                <w:rFonts w:hint="eastAsia" w:ascii="宋体" w:hAnsi="宋体" w:eastAsia="宋体" w:cs="宋体"/>
                <w:color w:val="auto"/>
                <w:sz w:val="24"/>
                <w:szCs w:val="24"/>
                <w:highlight w:val="none"/>
              </w:rPr>
            </w:pPr>
          </w:p>
        </w:tc>
        <w:tc>
          <w:tcPr>
            <w:tcW w:w="1706" w:type="dxa"/>
            <w:vAlign w:val="center"/>
          </w:tcPr>
          <w:p>
            <w:pPr>
              <w:pStyle w:val="7"/>
              <w:spacing w:line="360" w:lineRule="auto"/>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0" w:hRule="atLeast"/>
        </w:trPr>
        <w:tc>
          <w:tcPr>
            <w:tcW w:w="712" w:type="dxa"/>
            <w:vAlign w:val="center"/>
          </w:tcPr>
          <w:p>
            <w:pPr>
              <w:pStyle w:val="7"/>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808" w:type="dxa"/>
            <w:vAlign w:val="center"/>
          </w:tcPr>
          <w:p>
            <w:pPr>
              <w:pStyle w:val="7"/>
              <w:spacing w:line="360" w:lineRule="auto"/>
              <w:rPr>
                <w:rFonts w:hint="eastAsia" w:ascii="宋体" w:hAnsi="宋体" w:eastAsia="宋体" w:cs="宋体"/>
                <w:color w:val="auto"/>
                <w:sz w:val="24"/>
                <w:szCs w:val="24"/>
                <w:highlight w:val="none"/>
              </w:rPr>
            </w:pPr>
          </w:p>
        </w:tc>
        <w:tc>
          <w:tcPr>
            <w:tcW w:w="3579" w:type="dxa"/>
            <w:vAlign w:val="center"/>
          </w:tcPr>
          <w:p>
            <w:pPr>
              <w:pStyle w:val="7"/>
              <w:spacing w:line="360" w:lineRule="auto"/>
              <w:rPr>
                <w:rFonts w:hint="eastAsia" w:ascii="宋体" w:hAnsi="宋体" w:eastAsia="宋体" w:cs="宋体"/>
                <w:color w:val="auto"/>
                <w:sz w:val="24"/>
                <w:szCs w:val="24"/>
                <w:highlight w:val="none"/>
              </w:rPr>
            </w:pPr>
          </w:p>
        </w:tc>
        <w:tc>
          <w:tcPr>
            <w:tcW w:w="1440" w:type="dxa"/>
            <w:vAlign w:val="center"/>
          </w:tcPr>
          <w:p>
            <w:pPr>
              <w:pStyle w:val="7"/>
              <w:spacing w:line="360" w:lineRule="auto"/>
              <w:rPr>
                <w:rFonts w:hint="eastAsia" w:ascii="宋体" w:hAnsi="宋体" w:eastAsia="宋体" w:cs="宋体"/>
                <w:color w:val="auto"/>
                <w:sz w:val="24"/>
                <w:szCs w:val="24"/>
                <w:highlight w:val="none"/>
              </w:rPr>
            </w:pPr>
          </w:p>
        </w:tc>
        <w:tc>
          <w:tcPr>
            <w:tcW w:w="1706" w:type="dxa"/>
            <w:vAlign w:val="center"/>
          </w:tcPr>
          <w:p>
            <w:pPr>
              <w:pStyle w:val="7"/>
              <w:spacing w:line="360" w:lineRule="auto"/>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pStyle w:val="7"/>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808" w:type="dxa"/>
            <w:vAlign w:val="center"/>
          </w:tcPr>
          <w:p>
            <w:pPr>
              <w:pStyle w:val="7"/>
              <w:spacing w:line="360" w:lineRule="auto"/>
              <w:rPr>
                <w:rFonts w:hint="eastAsia" w:ascii="宋体" w:hAnsi="宋体" w:eastAsia="宋体" w:cs="宋体"/>
                <w:color w:val="auto"/>
                <w:sz w:val="24"/>
                <w:szCs w:val="24"/>
                <w:highlight w:val="none"/>
              </w:rPr>
            </w:pPr>
          </w:p>
        </w:tc>
        <w:tc>
          <w:tcPr>
            <w:tcW w:w="3579" w:type="dxa"/>
            <w:vAlign w:val="center"/>
          </w:tcPr>
          <w:p>
            <w:pPr>
              <w:pStyle w:val="7"/>
              <w:spacing w:line="360" w:lineRule="auto"/>
              <w:rPr>
                <w:rFonts w:hint="eastAsia" w:ascii="宋体" w:hAnsi="宋体" w:eastAsia="宋体" w:cs="宋体"/>
                <w:color w:val="auto"/>
                <w:sz w:val="24"/>
                <w:szCs w:val="24"/>
                <w:highlight w:val="none"/>
              </w:rPr>
            </w:pPr>
          </w:p>
        </w:tc>
        <w:tc>
          <w:tcPr>
            <w:tcW w:w="1440" w:type="dxa"/>
            <w:vAlign w:val="center"/>
          </w:tcPr>
          <w:p>
            <w:pPr>
              <w:pStyle w:val="7"/>
              <w:spacing w:line="360" w:lineRule="auto"/>
              <w:rPr>
                <w:rFonts w:hint="eastAsia" w:ascii="宋体" w:hAnsi="宋体" w:eastAsia="宋体" w:cs="宋体"/>
                <w:color w:val="auto"/>
                <w:sz w:val="24"/>
                <w:szCs w:val="24"/>
                <w:highlight w:val="none"/>
              </w:rPr>
            </w:pPr>
          </w:p>
        </w:tc>
        <w:tc>
          <w:tcPr>
            <w:tcW w:w="1706" w:type="dxa"/>
            <w:vAlign w:val="center"/>
          </w:tcPr>
          <w:p>
            <w:pPr>
              <w:pStyle w:val="7"/>
              <w:spacing w:line="360" w:lineRule="auto"/>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pStyle w:val="7"/>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808" w:type="dxa"/>
            <w:vAlign w:val="center"/>
          </w:tcPr>
          <w:p>
            <w:pPr>
              <w:rPr>
                <w:rFonts w:hint="eastAsia" w:ascii="宋体" w:hAnsi="宋体" w:eastAsia="宋体" w:cs="宋体"/>
                <w:color w:val="auto"/>
                <w:sz w:val="24"/>
                <w:szCs w:val="24"/>
                <w:highlight w:val="none"/>
              </w:rPr>
            </w:pPr>
          </w:p>
        </w:tc>
        <w:tc>
          <w:tcPr>
            <w:tcW w:w="3579" w:type="dxa"/>
            <w:vAlign w:val="center"/>
          </w:tcPr>
          <w:p>
            <w:pPr>
              <w:rPr>
                <w:rFonts w:hint="eastAsia" w:ascii="宋体" w:hAnsi="宋体" w:eastAsia="宋体" w:cs="宋体"/>
                <w:color w:val="auto"/>
                <w:sz w:val="24"/>
                <w:szCs w:val="24"/>
                <w:highlight w:val="none"/>
              </w:rPr>
            </w:pPr>
          </w:p>
        </w:tc>
        <w:tc>
          <w:tcPr>
            <w:tcW w:w="1440" w:type="dxa"/>
            <w:vAlign w:val="center"/>
          </w:tcPr>
          <w:p>
            <w:pPr>
              <w:rPr>
                <w:rFonts w:hint="eastAsia" w:ascii="宋体" w:hAnsi="宋体" w:eastAsia="宋体" w:cs="宋体"/>
                <w:color w:val="auto"/>
                <w:sz w:val="24"/>
                <w:szCs w:val="24"/>
                <w:highlight w:val="none"/>
              </w:rPr>
            </w:pPr>
          </w:p>
        </w:tc>
        <w:tc>
          <w:tcPr>
            <w:tcW w:w="1706" w:type="dxa"/>
            <w:vAlign w:val="center"/>
          </w:tcPr>
          <w:p>
            <w:pP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pStyle w:val="7"/>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808" w:type="dxa"/>
            <w:vAlign w:val="center"/>
          </w:tcPr>
          <w:p>
            <w:pPr>
              <w:rPr>
                <w:rFonts w:hint="eastAsia" w:ascii="宋体" w:hAnsi="宋体" w:eastAsia="宋体" w:cs="宋体"/>
                <w:color w:val="auto"/>
                <w:sz w:val="24"/>
                <w:szCs w:val="24"/>
                <w:highlight w:val="none"/>
              </w:rPr>
            </w:pPr>
          </w:p>
        </w:tc>
        <w:tc>
          <w:tcPr>
            <w:tcW w:w="3579" w:type="dxa"/>
            <w:vAlign w:val="center"/>
          </w:tcPr>
          <w:p>
            <w:pPr>
              <w:rPr>
                <w:rFonts w:hint="eastAsia" w:ascii="宋体" w:hAnsi="宋体" w:eastAsia="宋体" w:cs="宋体"/>
                <w:color w:val="auto"/>
                <w:sz w:val="24"/>
                <w:szCs w:val="24"/>
                <w:highlight w:val="none"/>
              </w:rPr>
            </w:pPr>
          </w:p>
        </w:tc>
        <w:tc>
          <w:tcPr>
            <w:tcW w:w="1440" w:type="dxa"/>
            <w:vAlign w:val="center"/>
          </w:tcPr>
          <w:p>
            <w:pPr>
              <w:rPr>
                <w:rFonts w:hint="eastAsia" w:ascii="宋体" w:hAnsi="宋体" w:eastAsia="宋体" w:cs="宋体"/>
                <w:color w:val="auto"/>
                <w:sz w:val="24"/>
                <w:szCs w:val="24"/>
                <w:highlight w:val="none"/>
              </w:rPr>
            </w:pPr>
          </w:p>
        </w:tc>
        <w:tc>
          <w:tcPr>
            <w:tcW w:w="1706" w:type="dxa"/>
            <w:vAlign w:val="center"/>
          </w:tcPr>
          <w:p>
            <w:pPr>
              <w:rPr>
                <w:rFonts w:hint="eastAsia" w:ascii="宋体" w:hAnsi="宋体" w:eastAsia="宋体" w:cs="宋体"/>
                <w:color w:val="auto"/>
                <w:sz w:val="24"/>
                <w:szCs w:val="24"/>
                <w:highlight w:val="none"/>
              </w:rPr>
            </w:pPr>
          </w:p>
        </w:tc>
      </w:tr>
    </w:tbl>
    <w:p>
      <w:pPr>
        <w:autoSpaceDE w:val="0"/>
        <w:autoSpaceDN w:val="0"/>
        <w:adjustRightInd w:val="0"/>
        <w:spacing w:line="480" w:lineRule="auto"/>
        <w:rPr>
          <w:rFonts w:hint="eastAsia" w:ascii="宋体" w:hAnsi="宋体" w:eastAsia="宋体" w:cs="宋体"/>
          <w:color w:val="auto"/>
          <w:sz w:val="24"/>
          <w:szCs w:val="24"/>
          <w:highlight w:val="none"/>
          <w:lang w:val="zh-CN"/>
        </w:rPr>
      </w:pPr>
    </w:p>
    <w:p>
      <w:pPr>
        <w:autoSpaceDE w:val="0"/>
        <w:autoSpaceDN w:val="0"/>
        <w:adjustRightInd w:val="0"/>
        <w:spacing w:line="48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供应商名称（</w:t>
      </w:r>
      <w:r>
        <w:rPr>
          <w:rFonts w:hint="eastAsia" w:ascii="宋体" w:hAnsi="宋体" w:eastAsia="宋体" w:cs="宋体"/>
          <w:color w:val="auto"/>
          <w:sz w:val="24"/>
          <w:szCs w:val="24"/>
          <w:highlight w:val="none"/>
        </w:rPr>
        <w:t>并加盖公章</w:t>
      </w:r>
      <w:r>
        <w:rPr>
          <w:rFonts w:hint="eastAsia" w:ascii="宋体" w:hAnsi="宋体" w:eastAsia="宋体" w:cs="宋体"/>
          <w:color w:val="auto"/>
          <w:sz w:val="24"/>
          <w:szCs w:val="24"/>
          <w:highlight w:val="none"/>
          <w:lang w:val="zh-CN"/>
        </w:rPr>
        <w:t>）：</w:t>
      </w:r>
    </w:p>
    <w:p>
      <w:pPr>
        <w:keepNext/>
        <w:keepLines/>
        <w:pageBreakBefore w:val="0"/>
        <w:widowControl w:val="0"/>
        <w:numPr>
          <w:ilvl w:val="1"/>
          <w:numId w:val="0"/>
        </w:numPr>
        <w:kinsoku/>
        <w:wordWrap/>
        <w:overflowPunct/>
        <w:topLinePunct w:val="0"/>
        <w:autoSpaceDE/>
        <w:autoSpaceDN/>
        <w:bidi w:val="0"/>
        <w:adjustRightInd w:val="0"/>
        <w:snapToGrid/>
        <w:ind w:left="255" w:leftChars="0" w:firstLine="6480" w:firstLineChars="2700"/>
        <w:textAlignment w:val="baseline"/>
        <w:outlineLvl w:val="9"/>
        <w:rPr>
          <w:rFonts w:hint="eastAsia"/>
          <w:color w:val="auto"/>
          <w:highlight w:val="none"/>
          <w:lang w:val="zh-CN"/>
        </w:rPr>
      </w:pPr>
      <w:r>
        <w:rPr>
          <w:rFonts w:hint="eastAsia" w:ascii="宋体" w:hAnsi="宋体" w:eastAsia="宋体" w:cs="宋体"/>
          <w:color w:val="auto"/>
          <w:sz w:val="24"/>
          <w:szCs w:val="24"/>
          <w:highlight w:val="none"/>
          <w:lang w:val="zh-CN"/>
        </w:rPr>
        <w:t>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日</w:t>
      </w:r>
    </w:p>
    <w:p>
      <w:pPr>
        <w:pStyle w:val="30"/>
        <w:ind w:left="0" w:leftChars="0" w:firstLine="0" w:firstLineChars="0"/>
        <w:rPr>
          <w:rFonts w:hint="eastAsia" w:ascii="宋体" w:hAnsi="宋体" w:eastAsia="宋体" w:cs="宋体"/>
          <w:color w:val="auto"/>
          <w:sz w:val="24"/>
          <w:szCs w:val="24"/>
          <w:highlight w:val="none"/>
          <w:lang w:val="zh-CN"/>
        </w:rPr>
      </w:pPr>
    </w:p>
    <w:p>
      <w:pPr>
        <w:pStyle w:val="30"/>
        <w:ind w:left="0" w:leftChars="0" w:firstLine="0" w:firstLineChars="0"/>
        <w:rPr>
          <w:rFonts w:hint="eastAsia" w:ascii="宋体" w:hAnsi="宋体" w:eastAsia="宋体" w:cs="宋体"/>
          <w:color w:val="auto"/>
          <w:sz w:val="24"/>
          <w:szCs w:val="24"/>
          <w:highlight w:val="none"/>
          <w:lang w:val="zh-CN"/>
        </w:rPr>
      </w:pPr>
    </w:p>
    <w:p>
      <w:pPr>
        <w:pStyle w:val="30"/>
        <w:ind w:left="0" w:leftChars="0" w:firstLine="0" w:firstLineChars="0"/>
        <w:rPr>
          <w:rFonts w:hint="eastAsia" w:ascii="宋体" w:hAnsi="宋体" w:eastAsia="宋体" w:cs="宋体"/>
          <w:color w:val="auto"/>
          <w:sz w:val="24"/>
          <w:szCs w:val="24"/>
          <w:highlight w:val="none"/>
          <w:lang w:val="zh-CN"/>
        </w:rPr>
      </w:pPr>
    </w:p>
    <w:p>
      <w:pPr>
        <w:pStyle w:val="30"/>
        <w:ind w:left="0" w:leftChars="0" w:firstLine="0" w:firstLineChars="0"/>
        <w:rPr>
          <w:rFonts w:hint="eastAsia" w:ascii="宋体" w:hAnsi="宋体" w:eastAsia="宋体" w:cs="宋体"/>
          <w:color w:val="auto"/>
          <w:sz w:val="24"/>
          <w:szCs w:val="24"/>
          <w:highlight w:val="none"/>
          <w:lang w:val="zh-CN"/>
        </w:rPr>
      </w:pPr>
    </w:p>
    <w:p>
      <w:pPr>
        <w:pStyle w:val="30"/>
        <w:ind w:left="0" w:leftChars="0" w:firstLine="0" w:firstLineChars="0"/>
        <w:rPr>
          <w:rFonts w:hint="eastAsia" w:ascii="宋体" w:hAnsi="宋体" w:eastAsia="宋体" w:cs="宋体"/>
          <w:color w:val="auto"/>
          <w:sz w:val="24"/>
          <w:szCs w:val="24"/>
          <w:highlight w:val="none"/>
          <w:lang w:val="zh-CN"/>
        </w:rPr>
      </w:pPr>
    </w:p>
    <w:p>
      <w:pPr>
        <w:pStyle w:val="30"/>
        <w:ind w:left="0" w:leftChars="0" w:firstLine="0" w:firstLineChars="0"/>
        <w:rPr>
          <w:rFonts w:hint="eastAsia" w:ascii="宋体" w:hAnsi="宋体" w:eastAsia="宋体" w:cs="宋体"/>
          <w:color w:val="auto"/>
          <w:sz w:val="24"/>
          <w:szCs w:val="24"/>
          <w:highlight w:val="none"/>
          <w:lang w:val="zh-CN"/>
        </w:rPr>
      </w:pPr>
    </w:p>
    <w:p>
      <w:pPr>
        <w:pStyle w:val="30"/>
        <w:ind w:left="0" w:leftChars="0" w:firstLine="0" w:firstLineChars="0"/>
        <w:rPr>
          <w:rFonts w:hint="eastAsia" w:ascii="宋体" w:hAnsi="宋体" w:eastAsia="宋体" w:cs="宋体"/>
          <w:color w:val="auto"/>
          <w:sz w:val="24"/>
          <w:szCs w:val="24"/>
          <w:highlight w:val="none"/>
          <w:lang w:val="zh-CN"/>
        </w:rPr>
      </w:pPr>
    </w:p>
    <w:p>
      <w:pPr>
        <w:pStyle w:val="30"/>
        <w:ind w:left="0" w:leftChars="0" w:firstLine="0" w:firstLineChars="0"/>
        <w:rPr>
          <w:rFonts w:hint="eastAsia" w:ascii="宋体" w:hAnsi="宋体" w:eastAsia="宋体" w:cs="宋体"/>
          <w:color w:val="auto"/>
          <w:sz w:val="24"/>
          <w:szCs w:val="24"/>
          <w:highlight w:val="none"/>
          <w:lang w:val="zh-CN"/>
        </w:rPr>
      </w:pPr>
    </w:p>
    <w:p>
      <w:pPr>
        <w:pStyle w:val="14"/>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2"/>
        <w:rPr>
          <w:rFonts w:hint="eastAsia" w:ascii="宋体" w:hAnsi="宋体" w:eastAsia="宋体" w:cs="宋体"/>
          <w:b/>
          <w:snapToGrid w:val="0"/>
          <w:color w:val="auto"/>
          <w:kern w:val="0"/>
          <w:sz w:val="24"/>
          <w:szCs w:val="24"/>
          <w:highlight w:val="none"/>
          <w:lang w:val="zh-CN" w:eastAsia="zh-CN"/>
        </w:rPr>
      </w:pPr>
      <w:r>
        <w:rPr>
          <w:rFonts w:hint="eastAsia" w:ascii="宋体" w:hAnsi="宋体" w:eastAsia="宋体" w:cs="宋体"/>
          <w:b/>
          <w:snapToGrid w:val="0"/>
          <w:color w:val="auto"/>
          <w:kern w:val="0"/>
          <w:sz w:val="24"/>
          <w:szCs w:val="24"/>
          <w:highlight w:val="none"/>
          <w:lang w:val="en-US" w:eastAsia="zh-CN"/>
        </w:rPr>
        <w:t>4.3 项目管理机构组成表</w:t>
      </w:r>
    </w:p>
    <w:p>
      <w:pPr>
        <w:autoSpaceDE w:val="0"/>
        <w:autoSpaceDN w:val="0"/>
        <w:adjustRightInd w:val="0"/>
        <w:spacing w:line="48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(格式自拟)</w:t>
      </w:r>
    </w:p>
    <w:p>
      <w:pPr>
        <w:bidi w:val="0"/>
        <w:rPr>
          <w:rFonts w:hint="eastAsia"/>
          <w:color w:val="auto"/>
          <w:highlight w:val="none"/>
        </w:rPr>
      </w:pPr>
    </w:p>
    <w:p>
      <w:pPr>
        <w:bidi w:val="0"/>
        <w:rPr>
          <w:rFonts w:hint="eastAsia"/>
          <w:color w:val="auto"/>
          <w:highlight w:val="none"/>
        </w:rPr>
      </w:pPr>
    </w:p>
    <w:p>
      <w:pPr>
        <w:pStyle w:val="14"/>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2"/>
        <w:rPr>
          <w:rFonts w:hint="eastAsia" w:ascii="宋体" w:hAnsi="宋体" w:eastAsia="宋体" w:cs="宋体"/>
          <w:b/>
          <w:snapToGrid w:val="0"/>
          <w:color w:val="auto"/>
          <w:kern w:val="0"/>
          <w:sz w:val="24"/>
          <w:szCs w:val="24"/>
          <w:highlight w:val="none"/>
          <w:lang w:val="en-US" w:eastAsia="zh-CN"/>
        </w:rPr>
      </w:pPr>
      <w:r>
        <w:rPr>
          <w:rFonts w:hint="eastAsia" w:ascii="宋体" w:hAnsi="宋体" w:eastAsia="宋体" w:cs="宋体"/>
          <w:b/>
          <w:snapToGrid w:val="0"/>
          <w:color w:val="auto"/>
          <w:kern w:val="0"/>
          <w:sz w:val="24"/>
          <w:szCs w:val="24"/>
          <w:highlight w:val="none"/>
          <w:lang w:val="en-US" w:eastAsia="zh-CN"/>
        </w:rPr>
        <w:t>4.4 服务承诺</w:t>
      </w:r>
    </w:p>
    <w:p>
      <w:pPr>
        <w:autoSpaceDE w:val="0"/>
        <w:autoSpaceDN w:val="0"/>
        <w:adjustRightInd w:val="0"/>
        <w:spacing w:line="360" w:lineRule="auto"/>
        <w:jc w:val="center"/>
        <w:outlineLvl w:val="9"/>
        <w:rPr>
          <w:rFonts w:hint="eastAsia" w:ascii="宋体" w:hAnsi="宋体" w:eastAsia="宋体" w:cs="宋体"/>
          <w:b/>
          <w:bCs/>
          <w:color w:val="auto"/>
          <w:sz w:val="24"/>
          <w:szCs w:val="24"/>
          <w:highlight w:val="none"/>
        </w:rPr>
      </w:pPr>
    </w:p>
    <w:p>
      <w:pPr>
        <w:keepNext w:val="0"/>
        <w:keepLines w:val="0"/>
        <w:pageBreakBefore w:val="0"/>
        <w:widowControl w:val="0"/>
        <w:kinsoku/>
        <w:wordWrap/>
        <w:overflowPunct/>
        <w:topLinePunct w:val="0"/>
        <w:autoSpaceDE w:val="0"/>
        <w:autoSpaceDN w:val="0"/>
        <w:bidi w:val="0"/>
        <w:adjustRightInd w:val="0"/>
        <w:snapToGrid/>
        <w:spacing w:line="360" w:lineRule="auto"/>
        <w:jc w:val="center"/>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（供应商根据谈判文件要求自行编制）</w:t>
      </w:r>
    </w:p>
    <w:p>
      <w:pPr>
        <w:autoSpaceDE w:val="0"/>
        <w:autoSpaceDN w:val="0"/>
        <w:adjustRightInd w:val="0"/>
        <w:spacing w:line="360" w:lineRule="auto"/>
        <w:jc w:val="center"/>
        <w:outlineLvl w:val="9"/>
        <w:rPr>
          <w:rFonts w:hint="eastAsia" w:ascii="宋体" w:hAnsi="宋体" w:eastAsia="宋体" w:cs="宋体"/>
          <w:b/>
          <w:bCs/>
          <w:color w:val="auto"/>
          <w:sz w:val="24"/>
          <w:szCs w:val="24"/>
          <w:highlight w:val="none"/>
        </w:rPr>
      </w:pPr>
    </w:p>
    <w:p>
      <w:pPr>
        <w:autoSpaceDE w:val="0"/>
        <w:autoSpaceDN w:val="0"/>
        <w:adjustRightInd w:val="0"/>
        <w:spacing w:line="360" w:lineRule="auto"/>
        <w:jc w:val="center"/>
        <w:outlineLvl w:val="9"/>
        <w:rPr>
          <w:rFonts w:hint="eastAsia" w:ascii="宋体" w:hAnsi="宋体" w:eastAsia="宋体" w:cs="宋体"/>
          <w:b/>
          <w:bCs/>
          <w:color w:val="auto"/>
          <w:sz w:val="24"/>
          <w:szCs w:val="24"/>
          <w:highlight w:val="none"/>
        </w:rPr>
      </w:pPr>
    </w:p>
    <w:p>
      <w:pPr>
        <w:autoSpaceDE w:val="0"/>
        <w:autoSpaceDN w:val="0"/>
        <w:adjustRightInd w:val="0"/>
        <w:spacing w:line="360" w:lineRule="auto"/>
        <w:jc w:val="both"/>
        <w:outlineLvl w:val="9"/>
        <w:rPr>
          <w:rFonts w:hint="eastAsia" w:ascii="宋体" w:hAnsi="宋体" w:eastAsia="宋体" w:cs="宋体"/>
          <w:b/>
          <w:bCs/>
          <w:color w:val="auto"/>
          <w:sz w:val="24"/>
          <w:szCs w:val="24"/>
          <w:highlight w:val="none"/>
        </w:rPr>
      </w:pPr>
    </w:p>
    <w:p>
      <w:pPr>
        <w:autoSpaceDE w:val="0"/>
        <w:autoSpaceDN w:val="0"/>
        <w:adjustRightInd w:val="0"/>
        <w:spacing w:line="360" w:lineRule="auto"/>
        <w:jc w:val="center"/>
        <w:outlineLvl w:val="9"/>
        <w:rPr>
          <w:rFonts w:hint="eastAsia" w:ascii="宋体" w:hAnsi="宋体" w:eastAsia="宋体" w:cs="宋体"/>
          <w:b/>
          <w:bCs/>
          <w:color w:val="auto"/>
          <w:sz w:val="24"/>
          <w:szCs w:val="24"/>
          <w:highlight w:val="none"/>
        </w:rPr>
      </w:pPr>
    </w:p>
    <w:p>
      <w:pPr>
        <w:pStyle w:val="14"/>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2"/>
        <w:rPr>
          <w:rFonts w:hint="eastAsia" w:ascii="宋体" w:hAnsi="宋体" w:eastAsia="宋体" w:cs="宋体"/>
          <w:b/>
          <w:snapToGrid w:val="0"/>
          <w:color w:val="auto"/>
          <w:kern w:val="0"/>
          <w:sz w:val="24"/>
          <w:szCs w:val="24"/>
          <w:highlight w:val="none"/>
          <w:lang w:val="en-US" w:eastAsia="zh-CN"/>
        </w:rPr>
      </w:pPr>
      <w:r>
        <w:rPr>
          <w:rFonts w:hint="eastAsia" w:ascii="宋体" w:hAnsi="宋体" w:eastAsia="宋体" w:cs="宋体"/>
          <w:b/>
          <w:snapToGrid w:val="0"/>
          <w:color w:val="auto"/>
          <w:kern w:val="0"/>
          <w:sz w:val="24"/>
          <w:szCs w:val="24"/>
          <w:highlight w:val="none"/>
          <w:lang w:val="en-US" w:eastAsia="zh-CN"/>
        </w:rPr>
        <w:t>4.5 技术方案（施工组织设计）</w:t>
      </w:r>
    </w:p>
    <w:p>
      <w:pPr>
        <w:snapToGrid w:val="0"/>
        <w:spacing w:line="360" w:lineRule="auto"/>
        <w:jc w:val="center"/>
        <w:rPr>
          <w:rFonts w:hint="eastAsia" w:ascii="宋体" w:hAnsi="宋体" w:eastAsia="宋体" w:cs="宋体"/>
          <w:b/>
          <w:snapToGrid w:val="0"/>
          <w:color w:val="auto"/>
          <w:kern w:val="0"/>
          <w:sz w:val="24"/>
          <w:szCs w:val="24"/>
          <w:highlight w:val="none"/>
        </w:rPr>
      </w:pPr>
    </w:p>
    <w:p>
      <w:pPr>
        <w:keepNext w:val="0"/>
        <w:keepLines w:val="0"/>
        <w:pageBreakBefore w:val="0"/>
        <w:widowControl w:val="0"/>
        <w:kinsoku/>
        <w:wordWrap/>
        <w:overflowPunct/>
        <w:topLinePunct w:val="0"/>
        <w:autoSpaceDE w:val="0"/>
        <w:autoSpaceDN w:val="0"/>
        <w:bidi w:val="0"/>
        <w:adjustRightInd w:val="0"/>
        <w:snapToGrid/>
        <w:spacing w:line="360" w:lineRule="auto"/>
        <w:jc w:val="center"/>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（供应商根据谈判文件要求自行编制）</w:t>
      </w:r>
    </w:p>
    <w:p>
      <w:pPr>
        <w:autoSpaceDE w:val="0"/>
        <w:autoSpaceDN w:val="0"/>
        <w:adjustRightInd w:val="0"/>
        <w:spacing w:line="360" w:lineRule="auto"/>
        <w:jc w:val="center"/>
        <w:outlineLvl w:val="9"/>
        <w:rPr>
          <w:rFonts w:hint="eastAsia" w:ascii="宋体" w:hAnsi="宋体" w:eastAsia="宋体" w:cs="宋体"/>
          <w:b/>
          <w:bCs/>
          <w:color w:val="auto"/>
          <w:sz w:val="24"/>
          <w:szCs w:val="24"/>
          <w:highlight w:val="none"/>
        </w:rPr>
      </w:pPr>
    </w:p>
    <w:p>
      <w:pPr>
        <w:autoSpaceDE w:val="0"/>
        <w:autoSpaceDN w:val="0"/>
        <w:adjustRightInd w:val="0"/>
        <w:spacing w:line="360" w:lineRule="auto"/>
        <w:jc w:val="center"/>
        <w:outlineLvl w:val="9"/>
        <w:rPr>
          <w:rFonts w:hint="eastAsia" w:ascii="宋体" w:hAnsi="宋体" w:eastAsia="宋体" w:cs="宋体"/>
          <w:b/>
          <w:bCs/>
          <w:color w:val="auto"/>
          <w:sz w:val="24"/>
          <w:szCs w:val="24"/>
          <w:highlight w:val="none"/>
        </w:rPr>
      </w:pPr>
    </w:p>
    <w:p>
      <w:pPr>
        <w:autoSpaceDE w:val="0"/>
        <w:autoSpaceDN w:val="0"/>
        <w:adjustRightInd w:val="0"/>
        <w:spacing w:line="360" w:lineRule="auto"/>
        <w:jc w:val="center"/>
        <w:outlineLvl w:val="9"/>
        <w:rPr>
          <w:rFonts w:hint="eastAsia" w:ascii="宋体" w:hAnsi="宋体" w:eastAsia="宋体" w:cs="宋体"/>
          <w:b/>
          <w:bCs/>
          <w:color w:val="auto"/>
          <w:sz w:val="24"/>
          <w:szCs w:val="24"/>
          <w:highlight w:val="none"/>
        </w:rPr>
      </w:pPr>
    </w:p>
    <w:p>
      <w:pPr>
        <w:autoSpaceDE w:val="0"/>
        <w:autoSpaceDN w:val="0"/>
        <w:adjustRightInd w:val="0"/>
        <w:spacing w:line="360" w:lineRule="auto"/>
        <w:jc w:val="center"/>
        <w:outlineLvl w:val="9"/>
        <w:rPr>
          <w:rFonts w:hint="eastAsia" w:ascii="宋体" w:hAnsi="宋体" w:eastAsia="宋体" w:cs="宋体"/>
          <w:b/>
          <w:bCs/>
          <w:color w:val="auto"/>
          <w:sz w:val="24"/>
          <w:szCs w:val="24"/>
          <w:highlight w:val="none"/>
        </w:rPr>
      </w:pPr>
    </w:p>
    <w:p>
      <w:pPr>
        <w:autoSpaceDE w:val="0"/>
        <w:autoSpaceDN w:val="0"/>
        <w:adjustRightInd w:val="0"/>
        <w:spacing w:line="360" w:lineRule="auto"/>
        <w:jc w:val="center"/>
        <w:outlineLvl w:val="9"/>
        <w:rPr>
          <w:rFonts w:hint="eastAsia" w:ascii="宋体" w:hAnsi="宋体" w:eastAsia="宋体" w:cs="宋体"/>
          <w:b/>
          <w:bCs/>
          <w:color w:val="auto"/>
          <w:sz w:val="24"/>
          <w:szCs w:val="24"/>
          <w:highlight w:val="none"/>
        </w:rPr>
      </w:pPr>
    </w:p>
    <w:p>
      <w:pPr>
        <w:autoSpaceDE w:val="0"/>
        <w:autoSpaceDN w:val="0"/>
        <w:adjustRightInd w:val="0"/>
        <w:spacing w:line="360" w:lineRule="auto"/>
        <w:jc w:val="center"/>
        <w:outlineLvl w:val="9"/>
        <w:rPr>
          <w:rFonts w:hint="eastAsia" w:ascii="宋体" w:hAnsi="宋体" w:eastAsia="宋体" w:cs="宋体"/>
          <w:b/>
          <w:bCs/>
          <w:color w:val="auto"/>
          <w:sz w:val="24"/>
          <w:szCs w:val="24"/>
          <w:highlight w:val="none"/>
        </w:rPr>
      </w:pPr>
    </w:p>
    <w:p>
      <w:pPr>
        <w:autoSpaceDE w:val="0"/>
        <w:autoSpaceDN w:val="0"/>
        <w:adjustRightInd w:val="0"/>
        <w:spacing w:line="360" w:lineRule="auto"/>
        <w:jc w:val="center"/>
        <w:outlineLvl w:val="9"/>
        <w:rPr>
          <w:rFonts w:hint="eastAsia" w:ascii="宋体" w:hAnsi="宋体" w:eastAsia="宋体" w:cs="宋体"/>
          <w:b/>
          <w:bCs/>
          <w:color w:val="auto"/>
          <w:sz w:val="24"/>
          <w:szCs w:val="24"/>
          <w:highlight w:val="none"/>
        </w:rPr>
      </w:pPr>
    </w:p>
    <w:p>
      <w:pPr>
        <w:autoSpaceDE w:val="0"/>
        <w:autoSpaceDN w:val="0"/>
        <w:adjustRightInd w:val="0"/>
        <w:spacing w:line="360" w:lineRule="auto"/>
        <w:jc w:val="center"/>
        <w:outlineLvl w:val="9"/>
        <w:rPr>
          <w:rFonts w:hint="eastAsia" w:ascii="宋体" w:hAnsi="宋体" w:eastAsia="宋体" w:cs="宋体"/>
          <w:b/>
          <w:bCs/>
          <w:color w:val="auto"/>
          <w:sz w:val="24"/>
          <w:szCs w:val="24"/>
          <w:highlight w:val="none"/>
        </w:rPr>
      </w:pPr>
    </w:p>
    <w:p>
      <w:pPr>
        <w:autoSpaceDE w:val="0"/>
        <w:autoSpaceDN w:val="0"/>
        <w:adjustRightInd w:val="0"/>
        <w:spacing w:line="360" w:lineRule="auto"/>
        <w:jc w:val="center"/>
        <w:outlineLvl w:val="9"/>
        <w:rPr>
          <w:rFonts w:hint="eastAsia" w:ascii="宋体" w:hAnsi="宋体" w:eastAsia="宋体" w:cs="宋体"/>
          <w:b/>
          <w:bCs/>
          <w:color w:val="auto"/>
          <w:sz w:val="24"/>
          <w:szCs w:val="24"/>
          <w:highlight w:val="none"/>
        </w:rPr>
      </w:pPr>
    </w:p>
    <w:p>
      <w:pPr>
        <w:rPr>
          <w:rFonts w:hint="eastAsia" w:ascii="宋体" w:hAnsi="宋体" w:eastAsia="宋体" w:cs="宋体"/>
          <w:color w:val="auto"/>
          <w:sz w:val="24"/>
          <w:szCs w:val="24"/>
          <w:highlight w:val="none"/>
        </w:rPr>
      </w:pPr>
    </w:p>
    <w:p>
      <w:pPr>
        <w:rPr>
          <w:rFonts w:hint="eastAsia" w:ascii="宋体" w:hAnsi="宋体" w:eastAsia="宋体" w:cs="宋体"/>
          <w:color w:val="auto"/>
          <w:sz w:val="24"/>
          <w:szCs w:val="24"/>
          <w:highlight w:val="none"/>
        </w:rPr>
      </w:pPr>
    </w:p>
    <w:p>
      <w:pPr>
        <w:autoSpaceDE w:val="0"/>
        <w:autoSpaceDN w:val="0"/>
        <w:adjustRightInd w:val="0"/>
        <w:spacing w:line="360" w:lineRule="auto"/>
        <w:jc w:val="center"/>
        <w:rPr>
          <w:rFonts w:hint="eastAsia" w:ascii="宋体" w:hAnsi="宋体" w:eastAsia="宋体" w:cs="宋体"/>
          <w:b/>
          <w:bCs/>
          <w:color w:val="auto"/>
          <w:sz w:val="24"/>
          <w:szCs w:val="24"/>
          <w:highlight w:val="none"/>
          <w:lang w:val="zh-CN"/>
        </w:rPr>
      </w:pPr>
    </w:p>
    <w:p>
      <w:pPr>
        <w:autoSpaceDE w:val="0"/>
        <w:autoSpaceDN w:val="0"/>
        <w:adjustRightInd w:val="0"/>
        <w:spacing w:line="360" w:lineRule="auto"/>
        <w:jc w:val="center"/>
        <w:rPr>
          <w:rFonts w:hint="eastAsia" w:ascii="宋体" w:hAnsi="宋体" w:eastAsia="宋体" w:cs="宋体"/>
          <w:b/>
          <w:bCs/>
          <w:color w:val="auto"/>
          <w:sz w:val="24"/>
          <w:szCs w:val="24"/>
          <w:highlight w:val="none"/>
          <w:lang w:val="zh-CN"/>
        </w:rPr>
      </w:pPr>
    </w:p>
    <w:p>
      <w:pPr>
        <w:bidi w:val="0"/>
        <w:rPr>
          <w:rFonts w:hint="eastAsia"/>
          <w:color w:val="auto"/>
          <w:highlight w:val="none"/>
          <w:lang w:val="zh-CN"/>
        </w:rPr>
      </w:pPr>
    </w:p>
    <w:p>
      <w:pPr>
        <w:autoSpaceDE w:val="0"/>
        <w:autoSpaceDN w:val="0"/>
        <w:adjustRightInd w:val="0"/>
        <w:spacing w:line="360" w:lineRule="auto"/>
        <w:jc w:val="center"/>
        <w:rPr>
          <w:rFonts w:hint="eastAsia" w:ascii="宋体" w:hAnsi="宋体" w:eastAsia="宋体" w:cs="宋体"/>
          <w:b/>
          <w:bCs/>
          <w:color w:val="auto"/>
          <w:sz w:val="24"/>
          <w:szCs w:val="24"/>
          <w:highlight w:val="none"/>
          <w:lang w:val="zh-CN"/>
        </w:rPr>
      </w:pPr>
    </w:p>
    <w:p>
      <w:pPr>
        <w:pStyle w:val="60"/>
        <w:keepNext/>
        <w:keepLines/>
        <w:pageBreakBefore w:val="0"/>
        <w:widowControl w:val="0"/>
        <w:numPr>
          <w:ilvl w:val="0"/>
          <w:numId w:val="0"/>
        </w:numPr>
        <w:tabs>
          <w:tab w:val="left" w:pos="660"/>
        </w:tabs>
        <w:kinsoku/>
        <w:wordWrap/>
        <w:overflowPunct/>
        <w:topLinePunct w:val="0"/>
        <w:autoSpaceDE/>
        <w:autoSpaceDN/>
        <w:bidi w:val="0"/>
        <w:adjustRightInd w:val="0"/>
        <w:snapToGrid w:val="0"/>
        <w:spacing w:before="0" w:line="360" w:lineRule="auto"/>
        <w:jc w:val="center"/>
        <w:textAlignment w:val="baseline"/>
        <w:outlineLvl w:val="1"/>
        <w:rPr>
          <w:rFonts w:hint="eastAsia" w:ascii="宋体" w:hAnsi="宋体" w:eastAsia="宋体" w:cs="宋体"/>
          <w:color w:val="auto"/>
          <w:kern w:val="2"/>
          <w:sz w:val="28"/>
          <w:szCs w:val="28"/>
          <w:highlight w:val="none"/>
          <w:lang w:val="zh-CN"/>
        </w:rPr>
      </w:pPr>
      <w:r>
        <w:rPr>
          <w:rFonts w:hint="eastAsia" w:ascii="宋体" w:hAnsi="宋体" w:eastAsia="宋体" w:cs="宋体"/>
          <w:color w:val="auto"/>
          <w:kern w:val="2"/>
          <w:sz w:val="28"/>
          <w:szCs w:val="28"/>
          <w:highlight w:val="none"/>
          <w:lang w:val="zh-CN"/>
        </w:rPr>
        <w:t>五、其他资料（若有）</w:t>
      </w:r>
    </w:p>
    <w:p>
      <w:pPr>
        <w:rPr>
          <w:rFonts w:hint="eastAsia" w:ascii="宋体" w:hAnsi="宋体" w:eastAsia="宋体" w:cs="宋体"/>
          <w:color w:val="auto"/>
          <w:sz w:val="24"/>
          <w:szCs w:val="24"/>
          <w:highlight w:val="none"/>
        </w:rPr>
      </w:pPr>
    </w:p>
    <w:p>
      <w:pPr>
        <w:rPr>
          <w:rFonts w:hint="eastAsia" w:ascii="宋体" w:hAnsi="宋体" w:eastAsia="宋体" w:cs="宋体"/>
          <w:color w:val="auto"/>
          <w:sz w:val="24"/>
          <w:szCs w:val="24"/>
          <w:highlight w:val="none"/>
        </w:rPr>
      </w:pPr>
    </w:p>
    <w:p>
      <w:pPr>
        <w:rPr>
          <w:rFonts w:hint="eastAsia" w:ascii="宋体" w:hAnsi="宋体" w:eastAsia="宋体" w:cs="宋体"/>
          <w:color w:val="auto"/>
          <w:sz w:val="24"/>
          <w:szCs w:val="24"/>
          <w:highlight w:val="none"/>
        </w:rPr>
      </w:pPr>
    </w:p>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除谈判文件另有规定外，供应商认为需要提交的其他证明材料或资料加盖供应商公章后应在此项下提交。</w:t>
      </w:r>
    </w:p>
    <w:p>
      <w:pPr>
        <w:spacing w:line="360" w:lineRule="auto"/>
        <w:jc w:val="center"/>
        <w:rPr>
          <w:rFonts w:hint="eastAsia" w:ascii="宋体" w:hAnsi="宋体" w:eastAsia="宋体" w:cs="宋体"/>
          <w:b/>
          <w:bCs/>
          <w:color w:val="auto"/>
          <w:sz w:val="24"/>
          <w:szCs w:val="24"/>
          <w:highlight w:val="none"/>
        </w:rPr>
      </w:pPr>
    </w:p>
    <w:p>
      <w:pPr>
        <w:rPr>
          <w:rFonts w:hint="eastAsia" w:ascii="宋体" w:hAnsi="宋体" w:eastAsia="宋体" w:cs="宋体"/>
          <w:color w:val="auto"/>
          <w:sz w:val="24"/>
          <w:szCs w:val="24"/>
          <w:highlight w:val="none"/>
        </w:rPr>
      </w:pPr>
    </w:p>
    <w:p>
      <w:pPr>
        <w:rPr>
          <w:rFonts w:hint="eastAsia" w:ascii="宋体" w:hAnsi="宋体" w:eastAsia="宋体" w:cs="宋体"/>
          <w:color w:val="auto"/>
          <w:sz w:val="24"/>
          <w:szCs w:val="24"/>
          <w:highlight w:val="none"/>
        </w:rPr>
      </w:pPr>
    </w:p>
    <w:p>
      <w:pPr>
        <w:autoSpaceDE w:val="0"/>
        <w:autoSpaceDN w:val="0"/>
        <w:adjustRightInd w:val="0"/>
        <w:spacing w:line="360" w:lineRule="auto"/>
        <w:jc w:val="center"/>
        <w:outlineLvl w:val="9"/>
        <w:rPr>
          <w:rFonts w:hint="eastAsia" w:ascii="宋体" w:hAnsi="宋体" w:eastAsia="宋体" w:cs="宋体"/>
          <w:b/>
          <w:snapToGrid w:val="0"/>
          <w:color w:val="auto"/>
          <w:kern w:val="0"/>
          <w:sz w:val="24"/>
          <w:szCs w:val="24"/>
          <w:highlight w:val="none"/>
        </w:rPr>
      </w:pPr>
    </w:p>
    <w:p>
      <w:pPr>
        <w:autoSpaceDE w:val="0"/>
        <w:autoSpaceDN w:val="0"/>
        <w:adjustRightInd w:val="0"/>
        <w:spacing w:line="360" w:lineRule="auto"/>
        <w:jc w:val="center"/>
        <w:outlineLvl w:val="9"/>
        <w:rPr>
          <w:rFonts w:hint="eastAsia" w:ascii="宋体" w:hAnsi="宋体" w:eastAsia="宋体" w:cs="宋体"/>
          <w:b/>
          <w:snapToGrid w:val="0"/>
          <w:color w:val="auto"/>
          <w:kern w:val="0"/>
          <w:sz w:val="24"/>
          <w:szCs w:val="24"/>
          <w:highlight w:val="none"/>
        </w:rPr>
      </w:pPr>
    </w:p>
    <w:p>
      <w:pPr>
        <w:autoSpaceDE w:val="0"/>
        <w:autoSpaceDN w:val="0"/>
        <w:adjustRightInd w:val="0"/>
        <w:spacing w:line="360" w:lineRule="auto"/>
        <w:jc w:val="center"/>
        <w:outlineLvl w:val="9"/>
        <w:rPr>
          <w:rFonts w:hint="eastAsia" w:ascii="宋体" w:hAnsi="宋体" w:eastAsia="宋体" w:cs="宋体"/>
          <w:b/>
          <w:snapToGrid w:val="0"/>
          <w:color w:val="auto"/>
          <w:kern w:val="0"/>
          <w:sz w:val="24"/>
          <w:szCs w:val="24"/>
          <w:highlight w:val="none"/>
        </w:rPr>
      </w:pPr>
    </w:p>
    <w:p>
      <w:pPr>
        <w:autoSpaceDE w:val="0"/>
        <w:autoSpaceDN w:val="0"/>
        <w:adjustRightInd w:val="0"/>
        <w:spacing w:line="360" w:lineRule="auto"/>
        <w:jc w:val="center"/>
        <w:outlineLvl w:val="9"/>
        <w:rPr>
          <w:rFonts w:hint="eastAsia" w:ascii="宋体" w:hAnsi="宋体" w:eastAsia="宋体" w:cs="宋体"/>
          <w:b/>
          <w:snapToGrid w:val="0"/>
          <w:color w:val="auto"/>
          <w:kern w:val="0"/>
          <w:sz w:val="24"/>
          <w:szCs w:val="24"/>
          <w:highlight w:val="none"/>
        </w:rPr>
      </w:pPr>
    </w:p>
    <w:p>
      <w:pPr>
        <w:autoSpaceDE w:val="0"/>
        <w:autoSpaceDN w:val="0"/>
        <w:adjustRightInd w:val="0"/>
        <w:spacing w:line="360" w:lineRule="auto"/>
        <w:jc w:val="center"/>
        <w:outlineLvl w:val="9"/>
        <w:rPr>
          <w:rFonts w:hint="eastAsia" w:ascii="宋体" w:hAnsi="宋体" w:eastAsia="宋体" w:cs="宋体"/>
          <w:b/>
          <w:snapToGrid w:val="0"/>
          <w:color w:val="auto"/>
          <w:kern w:val="0"/>
          <w:sz w:val="24"/>
          <w:szCs w:val="24"/>
          <w:highlight w:val="none"/>
        </w:rPr>
      </w:pPr>
    </w:p>
    <w:p>
      <w:pPr>
        <w:autoSpaceDE w:val="0"/>
        <w:autoSpaceDN w:val="0"/>
        <w:adjustRightInd w:val="0"/>
        <w:spacing w:line="360" w:lineRule="auto"/>
        <w:jc w:val="center"/>
        <w:outlineLvl w:val="9"/>
        <w:rPr>
          <w:rFonts w:hint="eastAsia" w:ascii="宋体" w:hAnsi="宋体" w:eastAsia="宋体" w:cs="宋体"/>
          <w:b/>
          <w:snapToGrid w:val="0"/>
          <w:color w:val="auto"/>
          <w:kern w:val="0"/>
          <w:sz w:val="24"/>
          <w:szCs w:val="24"/>
          <w:highlight w:val="none"/>
        </w:rPr>
      </w:pPr>
    </w:p>
    <w:p>
      <w:pPr>
        <w:autoSpaceDE w:val="0"/>
        <w:autoSpaceDN w:val="0"/>
        <w:adjustRightInd w:val="0"/>
        <w:spacing w:line="360" w:lineRule="auto"/>
        <w:jc w:val="center"/>
        <w:outlineLvl w:val="9"/>
        <w:rPr>
          <w:rFonts w:hint="eastAsia" w:ascii="宋体" w:hAnsi="宋体" w:eastAsia="宋体" w:cs="宋体"/>
          <w:b/>
          <w:snapToGrid w:val="0"/>
          <w:color w:val="auto"/>
          <w:kern w:val="0"/>
          <w:sz w:val="24"/>
          <w:szCs w:val="24"/>
          <w:highlight w:val="none"/>
        </w:rPr>
      </w:pPr>
    </w:p>
    <w:p>
      <w:pPr>
        <w:pStyle w:val="14"/>
        <w:bidi w:val="0"/>
        <w:rPr>
          <w:rFonts w:hint="eastAsia"/>
          <w:color w:val="auto"/>
          <w:highlight w:val="none"/>
        </w:rPr>
      </w:pPr>
    </w:p>
    <w:p>
      <w:pPr>
        <w:autoSpaceDE w:val="0"/>
        <w:autoSpaceDN w:val="0"/>
        <w:adjustRightInd w:val="0"/>
        <w:spacing w:line="360" w:lineRule="auto"/>
        <w:jc w:val="center"/>
        <w:outlineLvl w:val="9"/>
        <w:rPr>
          <w:rFonts w:hint="eastAsia" w:ascii="宋体" w:hAnsi="宋体" w:eastAsia="宋体" w:cs="宋体"/>
          <w:b/>
          <w:snapToGrid w:val="0"/>
          <w:color w:val="auto"/>
          <w:kern w:val="0"/>
          <w:sz w:val="24"/>
          <w:szCs w:val="24"/>
          <w:highlight w:val="none"/>
        </w:rPr>
      </w:pPr>
    </w:p>
    <w:p>
      <w:pPr>
        <w:widowControl/>
        <w:jc w:val="left"/>
        <w:rPr>
          <w:rFonts w:hint="eastAsia" w:ascii="宋体" w:hAnsi="宋体" w:eastAsia="宋体" w:cs="宋体"/>
          <w:b/>
          <w:bCs/>
          <w:color w:val="auto"/>
          <w:sz w:val="24"/>
          <w:szCs w:val="24"/>
          <w:highlight w:val="none"/>
        </w:rPr>
      </w:pPr>
    </w:p>
    <w:sectPr>
      <w:headerReference r:id="rId4" w:type="default"/>
      <w:footerReference r:id="rId5" w:type="default"/>
      <w:pgSz w:w="11906" w:h="16838"/>
      <w:pgMar w:top="2098" w:right="1474" w:bottom="1928" w:left="1588" w:header="1361" w:footer="1247" w:gutter="0"/>
      <w:pgNumType w:fmt="decimal" w:start="1"/>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简隶书">
    <w:altName w:val="黑体"/>
    <w:panose1 w:val="00000000000000000000"/>
    <w:charset w:val="86"/>
    <w:family w:val="auto"/>
    <w:pitch w:val="default"/>
    <w:sig w:usb0="00000000" w:usb1="00000000" w:usb2="00000010" w:usb3="00000000" w:csb0="00040000" w:csb1="00000000"/>
  </w:font>
  <w:font w:name="MS Mincho">
    <w:altName w:val="Yu Gothic UI"/>
    <w:panose1 w:val="02020609040205080304"/>
    <w:charset w:val="80"/>
    <w:family w:val="modern"/>
    <w:pitch w:val="default"/>
    <w:sig w:usb0="00000000" w:usb1="00000000" w:usb2="00000012" w:usb3="00000000" w:csb0="4002009F" w:csb1="DFD70000"/>
  </w:font>
  <w:font w:name="仿宋_GB2312">
    <w:altName w:val="仿宋"/>
    <w:panose1 w:val="02010609030101010101"/>
    <w:charset w:val="86"/>
    <w:family w:val="modern"/>
    <w:pitch w:val="default"/>
    <w:sig w:usb0="00000000" w:usb1="0000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 w:name="Yu Gothic UI">
    <w:panose1 w:val="020B0500000000000000"/>
    <w:charset w:val="80"/>
    <w:family w:val="auto"/>
    <w:pitch w:val="default"/>
    <w:sig w:usb0="E00002FF" w:usb1="2AC7FDFF" w:usb2="00000016" w:usb3="00000000" w:csb0="200200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rPr>
        <w:rFonts w:hint="default"/>
        <w:lang w:val="en-US"/>
      </w:rPr>
    </w:pPr>
    <w:r>
      <w:rPr>
        <w:sz w:val="4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78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7"/>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78</w:t>
                    </w:r>
                    <w:r>
                      <w:t xml:space="preserve"> 页</w:t>
                    </w:r>
                  </w:p>
                </w:txbxContent>
              </v:textbox>
            </v:shape>
          </w:pict>
        </mc:Fallback>
      </mc:AlternateContent>
    </w:r>
    <w:r>
      <w:rPr>
        <w:rFonts w:hint="eastAsia" w:ascii="宋体" w:hAnsi="宋体" w:eastAsia="宋体" w:cs="宋体"/>
        <w:b/>
        <w:sz w:val="44"/>
        <w:szCs w:val="44"/>
      </w:rPr>
      <w:drawing>
        <wp:anchor distT="0" distB="0" distL="0" distR="0" simplePos="0" relativeHeight="251660288" behindDoc="0" locked="0" layoutInCell="1" allowOverlap="1">
          <wp:simplePos x="0" y="0"/>
          <wp:positionH relativeFrom="column">
            <wp:posOffset>-180975</wp:posOffset>
          </wp:positionH>
          <wp:positionV relativeFrom="paragraph">
            <wp:posOffset>-179070</wp:posOffset>
          </wp:positionV>
          <wp:extent cx="345440" cy="452120"/>
          <wp:effectExtent l="0" t="0" r="16510" b="5080"/>
          <wp:wrapNone/>
          <wp:docPr id="1" name="图片 1" descr="6a6c3e06251c99f835b3e190392f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6a6c3e06251c99f835b3e190392f229"/>
                  <pic:cNvPicPr>
                    <a:picLocks noChangeAspect="1" noChangeArrowheads="1"/>
                  </pic:cNvPicPr>
                </pic:nvPicPr>
                <pic:blipFill>
                  <a:blip r:embed="rId1"/>
                  <a:srcRect/>
                  <a:stretch>
                    <a:fillRect/>
                  </a:stretch>
                </pic:blipFill>
                <pic:spPr>
                  <a:xfrm>
                    <a:off x="0" y="0"/>
                    <a:ext cx="345440" cy="452120"/>
                  </a:xfrm>
                  <a:prstGeom prst="rect">
                    <a:avLst/>
                  </a:prstGeom>
                  <a:noFill/>
                  <a:ln w="9525" cmpd="sng">
                    <a:noFill/>
                    <a:miter lim="800000"/>
                    <a:headEnd/>
                    <a:tailEnd/>
                  </a:ln>
                </pic:spPr>
              </pic:pic>
            </a:graphicData>
          </a:graphic>
        </wp:anchor>
      </w:drawing>
    </w:r>
    <w:r>
      <w:rPr>
        <w:rFonts w:hint="eastAsia"/>
        <w:lang w:val="en-US" w:eastAsia="zh-CN"/>
      </w:rPr>
      <w:t xml:space="preserve">     </w:t>
    </w:r>
    <w:r>
      <w:rPr>
        <w:rFonts w:hint="eastAsia" w:ascii="楷体" w:hAnsi="楷体" w:eastAsia="楷体" w:cs="楷体"/>
        <w:sz w:val="21"/>
        <w:szCs w:val="21"/>
        <w:lang w:val="en-US" w:eastAsia="zh-CN"/>
      </w:rPr>
      <w:t xml:space="preserve">宏翔建设工程管理有限公司                                          0371-60995268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1"/>
      </w:pBdr>
      <w:jc w:val="both"/>
      <w:rPr>
        <w:rFonts w:hint="default" w:eastAsiaTheme="minorEastAsia"/>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thinThickMediumGap" w:color="auto" w:sz="18" w:space="1"/>
      </w:pBdr>
      <w:jc w:val="both"/>
      <w:rPr>
        <w:rFonts w:hint="default" w:eastAsiaTheme="minorEastAsia"/>
        <w:lang w:val="en-US" w:eastAsia="zh-CN"/>
      </w:rPr>
    </w:pPr>
    <w:r>
      <w:rPr>
        <w:rFonts w:hint="eastAsia"/>
        <w:lang w:val="en-US" w:eastAsia="zh-CN"/>
      </w:rPr>
      <w:t>禹州市教育体育局禹州市实验学校维修改造项目(不见面开标）                             竞争性谈判文件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5FD1A6"/>
    <w:multiLevelType w:val="singleLevel"/>
    <w:tmpl w:val="895FD1A6"/>
    <w:lvl w:ilvl="0" w:tentative="0">
      <w:start w:val="1"/>
      <w:numFmt w:val="decimal"/>
      <w:lvlText w:val="%1."/>
      <w:lvlJc w:val="left"/>
      <w:pPr>
        <w:tabs>
          <w:tab w:val="left" w:pos="312"/>
        </w:tabs>
      </w:pPr>
    </w:lvl>
  </w:abstractNum>
  <w:abstractNum w:abstractNumId="1">
    <w:nsid w:val="9445FE78"/>
    <w:multiLevelType w:val="multilevel"/>
    <w:tmpl w:val="9445FE78"/>
    <w:lvl w:ilvl="0" w:tentative="0">
      <w:start w:val="23"/>
      <w:numFmt w:val="decimal"/>
      <w:lvlText w:val="%1."/>
      <w:lvlJc w:val="left"/>
      <w:pPr>
        <w:ind w:left="420" w:hanging="420"/>
      </w:pPr>
      <w:rPr>
        <w:rFonts w:hint="eastAsia"/>
      </w:rPr>
    </w:lvl>
    <w:lvl w:ilvl="1" w:tentative="0">
      <w:start w:val="1"/>
      <w:numFmt w:val="decimal"/>
      <w:suff w:val="space"/>
      <w:lvlText w:val="22. %2 "/>
      <w:lvlJc w:val="left"/>
      <w:pPr>
        <w:ind w:left="0" w:leftChars="0" w:firstLine="0" w:firstLineChars="0"/>
      </w:pPr>
      <w:rPr>
        <w:rFonts w:hint="eastAsia"/>
      </w:rPr>
    </w:lvl>
    <w:lvl w:ilvl="2" w:tentative="0">
      <w:start w:val="1"/>
      <w:numFmt w:val="decimal"/>
      <w:isLgl/>
      <w:lvlText w:val="%1.%2.%3"/>
      <w:lvlJc w:val="left"/>
      <w:pPr>
        <w:ind w:left="1560" w:hanging="720"/>
      </w:pPr>
      <w:rPr>
        <w:rFonts w:hint="default"/>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2">
    <w:nsid w:val="9AE05012"/>
    <w:multiLevelType w:val="multilevel"/>
    <w:tmpl w:val="9AE05012"/>
    <w:lvl w:ilvl="0" w:tentative="0">
      <w:start w:val="1"/>
      <w:numFmt w:val="decimal"/>
      <w:suff w:val="space"/>
      <w:lvlText w:val="10. %1 "/>
      <w:lvlJc w:val="left"/>
      <w:pPr>
        <w:ind w:left="0" w:leftChars="0" w:firstLine="0" w:firstLineChars="0"/>
      </w:pPr>
      <w:rPr>
        <w:rFonts w:hint="eastAsia"/>
      </w:rPr>
    </w:lvl>
    <w:lvl w:ilvl="1" w:tentative="0">
      <w:start w:val="1"/>
      <w:numFmt w:val="lowerLetter"/>
      <w:lvlText w:val="%2)"/>
      <w:lvlJc w:val="left"/>
      <w:pPr>
        <w:ind w:left="1264" w:hanging="420"/>
      </w:pPr>
    </w:lvl>
    <w:lvl w:ilvl="2" w:tentative="0">
      <w:start w:val="1"/>
      <w:numFmt w:val="lowerRoman"/>
      <w:lvlText w:val="%3."/>
      <w:lvlJc w:val="right"/>
      <w:pPr>
        <w:ind w:left="1684" w:hanging="420"/>
      </w:pPr>
    </w:lvl>
    <w:lvl w:ilvl="3" w:tentative="0">
      <w:start w:val="1"/>
      <w:numFmt w:val="decimal"/>
      <w:lvlText w:val="%4."/>
      <w:lvlJc w:val="left"/>
      <w:pPr>
        <w:ind w:left="2104" w:hanging="420"/>
      </w:pPr>
    </w:lvl>
    <w:lvl w:ilvl="4" w:tentative="0">
      <w:start w:val="1"/>
      <w:numFmt w:val="lowerLetter"/>
      <w:lvlText w:val="%5)"/>
      <w:lvlJc w:val="left"/>
      <w:pPr>
        <w:ind w:left="2524" w:hanging="420"/>
      </w:pPr>
    </w:lvl>
    <w:lvl w:ilvl="5" w:tentative="0">
      <w:start w:val="1"/>
      <w:numFmt w:val="lowerRoman"/>
      <w:lvlText w:val="%6."/>
      <w:lvlJc w:val="right"/>
      <w:pPr>
        <w:ind w:left="2944" w:hanging="420"/>
      </w:pPr>
    </w:lvl>
    <w:lvl w:ilvl="6" w:tentative="0">
      <w:start w:val="1"/>
      <w:numFmt w:val="decimal"/>
      <w:lvlText w:val="%7."/>
      <w:lvlJc w:val="left"/>
      <w:pPr>
        <w:ind w:left="3364" w:hanging="420"/>
      </w:pPr>
    </w:lvl>
    <w:lvl w:ilvl="7" w:tentative="0">
      <w:start w:val="1"/>
      <w:numFmt w:val="lowerLetter"/>
      <w:lvlText w:val="%8)"/>
      <w:lvlJc w:val="left"/>
      <w:pPr>
        <w:ind w:left="3784" w:hanging="420"/>
      </w:pPr>
    </w:lvl>
    <w:lvl w:ilvl="8" w:tentative="0">
      <w:start w:val="1"/>
      <w:numFmt w:val="lowerRoman"/>
      <w:lvlText w:val="%9."/>
      <w:lvlJc w:val="right"/>
      <w:pPr>
        <w:ind w:left="4204" w:hanging="420"/>
      </w:pPr>
    </w:lvl>
  </w:abstractNum>
  <w:abstractNum w:abstractNumId="3">
    <w:nsid w:val="AD5F6B89"/>
    <w:multiLevelType w:val="multilevel"/>
    <w:tmpl w:val="AD5F6B89"/>
    <w:lvl w:ilvl="0" w:tentative="0">
      <w:start w:val="4"/>
      <w:numFmt w:val="decimal"/>
      <w:suff w:val="space"/>
      <w:lvlText w:val="3. %1 "/>
      <w:lvlJc w:val="left"/>
      <w:pPr>
        <w:ind w:left="0" w:leftChars="0" w:firstLine="0" w:firstLineChars="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ADF96033"/>
    <w:multiLevelType w:val="multilevel"/>
    <w:tmpl w:val="ADF96033"/>
    <w:lvl w:ilvl="0" w:tentative="0">
      <w:start w:val="1"/>
      <w:numFmt w:val="decimal"/>
      <w:suff w:val="space"/>
      <w:lvlText w:val="22.2.%1"/>
      <w:lvlJc w:val="left"/>
      <w:pPr>
        <w:ind w:left="0" w:leftChars="0" w:firstLine="0" w:firstLineChars="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5">
    <w:nsid w:val="AF54C811"/>
    <w:multiLevelType w:val="singleLevel"/>
    <w:tmpl w:val="AF54C811"/>
    <w:lvl w:ilvl="0" w:tentative="0">
      <w:start w:val="32"/>
      <w:numFmt w:val="decimal"/>
      <w:suff w:val="space"/>
      <w:lvlText w:val="%1."/>
      <w:lvlJc w:val="left"/>
    </w:lvl>
  </w:abstractNum>
  <w:abstractNum w:abstractNumId="6">
    <w:nsid w:val="C2EBA07F"/>
    <w:multiLevelType w:val="multilevel"/>
    <w:tmpl w:val="C2EBA07F"/>
    <w:lvl w:ilvl="0" w:tentative="0">
      <w:start w:val="33"/>
      <w:numFmt w:val="decimal"/>
      <w:suff w:val="space"/>
      <w:lvlText w:val="%1.1.1 "/>
      <w:lvlJc w:val="left"/>
      <w:pPr>
        <w:ind w:left="0" w:leftChars="0" w:firstLine="0" w:firstLineChars="0"/>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7">
    <w:nsid w:val="C3B12EC9"/>
    <w:multiLevelType w:val="multilevel"/>
    <w:tmpl w:val="C3B12EC9"/>
    <w:lvl w:ilvl="0" w:tentative="0">
      <w:start w:val="1"/>
      <w:numFmt w:val="decimal"/>
      <w:suff w:val="space"/>
      <w:lvlText w:val="18. %1 "/>
      <w:lvlJc w:val="left"/>
      <w:pPr>
        <w:ind w:left="0" w:leftChars="0" w:firstLine="0" w:firstLineChars="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8">
    <w:nsid w:val="C4953D76"/>
    <w:multiLevelType w:val="multilevel"/>
    <w:tmpl w:val="C4953D76"/>
    <w:lvl w:ilvl="0" w:tentative="0">
      <w:start w:val="1"/>
      <w:numFmt w:val="decimal"/>
      <w:suff w:val="space"/>
      <w:lvlText w:val="14. %1 "/>
      <w:lvlJc w:val="left"/>
      <w:pPr>
        <w:ind w:left="0" w:leftChars="0" w:firstLine="0" w:firstLineChars="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9">
    <w:nsid w:val="C9216082"/>
    <w:multiLevelType w:val="singleLevel"/>
    <w:tmpl w:val="C9216082"/>
    <w:lvl w:ilvl="0" w:tentative="0">
      <w:start w:val="1"/>
      <w:numFmt w:val="decimal"/>
      <w:lvlText w:val="%1."/>
      <w:lvlJc w:val="left"/>
      <w:pPr>
        <w:tabs>
          <w:tab w:val="left" w:pos="312"/>
        </w:tabs>
      </w:pPr>
    </w:lvl>
  </w:abstractNum>
  <w:abstractNum w:abstractNumId="10">
    <w:nsid w:val="CA5A6FFB"/>
    <w:multiLevelType w:val="multilevel"/>
    <w:tmpl w:val="CA5A6FFB"/>
    <w:lvl w:ilvl="0" w:tentative="0">
      <w:start w:val="1"/>
      <w:numFmt w:val="decimal"/>
      <w:suff w:val="space"/>
      <w:lvlText w:val="3.6.%1"/>
      <w:lvlJc w:val="left"/>
      <w:pPr>
        <w:ind w:left="0" w:leftChars="0" w:firstLine="0" w:firstLineChars="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11">
    <w:nsid w:val="CB5B46DB"/>
    <w:multiLevelType w:val="multilevel"/>
    <w:tmpl w:val="CB5B46DB"/>
    <w:lvl w:ilvl="0" w:tentative="0">
      <w:start w:val="1"/>
      <w:numFmt w:val="decimal"/>
      <w:suff w:val="space"/>
      <w:lvlText w:val="3.3.%1"/>
      <w:lvlJc w:val="left"/>
      <w:pPr>
        <w:ind w:left="0" w:leftChars="0" w:firstLine="0" w:firstLineChars="0"/>
      </w:pPr>
      <w:rPr>
        <w:rFonts w:hint="eastAsia"/>
      </w:rPr>
    </w:lvl>
    <w:lvl w:ilvl="1" w:tentative="0">
      <w:start w:val="1"/>
      <w:numFmt w:val="lowerLetter"/>
      <w:lvlText w:val="%2)"/>
      <w:lvlJc w:val="left"/>
      <w:pPr>
        <w:ind w:left="1833" w:hanging="420"/>
      </w:pPr>
    </w:lvl>
    <w:lvl w:ilvl="2" w:tentative="0">
      <w:start w:val="1"/>
      <w:numFmt w:val="lowerRoman"/>
      <w:lvlText w:val="%3."/>
      <w:lvlJc w:val="right"/>
      <w:pPr>
        <w:ind w:left="2253" w:hanging="420"/>
      </w:pPr>
    </w:lvl>
    <w:lvl w:ilvl="3" w:tentative="0">
      <w:start w:val="1"/>
      <w:numFmt w:val="decimal"/>
      <w:lvlText w:val="%4."/>
      <w:lvlJc w:val="left"/>
      <w:pPr>
        <w:ind w:left="2673" w:hanging="420"/>
      </w:pPr>
    </w:lvl>
    <w:lvl w:ilvl="4" w:tentative="0">
      <w:start w:val="1"/>
      <w:numFmt w:val="lowerLetter"/>
      <w:lvlText w:val="%5)"/>
      <w:lvlJc w:val="left"/>
      <w:pPr>
        <w:ind w:left="3093" w:hanging="420"/>
      </w:pPr>
    </w:lvl>
    <w:lvl w:ilvl="5" w:tentative="0">
      <w:start w:val="1"/>
      <w:numFmt w:val="lowerRoman"/>
      <w:lvlText w:val="%6."/>
      <w:lvlJc w:val="right"/>
      <w:pPr>
        <w:ind w:left="3513" w:hanging="420"/>
      </w:pPr>
    </w:lvl>
    <w:lvl w:ilvl="6" w:tentative="0">
      <w:start w:val="1"/>
      <w:numFmt w:val="decimal"/>
      <w:lvlText w:val="%7."/>
      <w:lvlJc w:val="left"/>
      <w:pPr>
        <w:ind w:left="3933" w:hanging="420"/>
      </w:pPr>
    </w:lvl>
    <w:lvl w:ilvl="7" w:tentative="0">
      <w:start w:val="1"/>
      <w:numFmt w:val="lowerLetter"/>
      <w:lvlText w:val="%8)"/>
      <w:lvlJc w:val="left"/>
      <w:pPr>
        <w:ind w:left="4353" w:hanging="420"/>
      </w:pPr>
    </w:lvl>
    <w:lvl w:ilvl="8" w:tentative="0">
      <w:start w:val="1"/>
      <w:numFmt w:val="lowerRoman"/>
      <w:lvlText w:val="%9."/>
      <w:lvlJc w:val="right"/>
      <w:pPr>
        <w:ind w:left="4773" w:hanging="420"/>
      </w:pPr>
    </w:lvl>
  </w:abstractNum>
  <w:abstractNum w:abstractNumId="12">
    <w:nsid w:val="CD1BE431"/>
    <w:multiLevelType w:val="multilevel"/>
    <w:tmpl w:val="CD1BE431"/>
    <w:lvl w:ilvl="0" w:tentative="0">
      <w:start w:val="1"/>
      <w:numFmt w:val="decimal"/>
      <w:suff w:val="space"/>
      <w:lvlText w:val="15. %1 "/>
      <w:lvlJc w:val="left"/>
      <w:pPr>
        <w:ind w:left="0" w:leftChars="0" w:firstLine="0" w:firstLineChars="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13">
    <w:nsid w:val="D1B95A70"/>
    <w:multiLevelType w:val="multilevel"/>
    <w:tmpl w:val="D1B95A70"/>
    <w:lvl w:ilvl="0" w:tentative="0">
      <w:start w:val="1"/>
      <w:numFmt w:val="decimal"/>
      <w:suff w:val="space"/>
      <w:lvlText w:val="13. %1 "/>
      <w:lvlJc w:val="left"/>
      <w:pPr>
        <w:ind w:left="0" w:leftChars="0" w:firstLine="0" w:firstLineChars="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14">
    <w:nsid w:val="D3CA7631"/>
    <w:multiLevelType w:val="multilevel"/>
    <w:tmpl w:val="D3CA7631"/>
    <w:lvl w:ilvl="0" w:tentative="0">
      <w:start w:val="1"/>
      <w:numFmt w:val="decimal"/>
      <w:suff w:val="space"/>
      <w:lvlText w:val="1. %1 "/>
      <w:lvlJc w:val="left"/>
      <w:pPr>
        <w:ind w:left="0" w:leftChars="0" w:firstLine="480" w:firstLineChars="0"/>
      </w:pPr>
      <w:rPr>
        <w:rFonts w:hint="default" w:ascii="宋体" w:hAnsi="宋体" w:eastAsia="宋体" w:cs="宋体"/>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15">
    <w:nsid w:val="D999C8AF"/>
    <w:multiLevelType w:val="multilevel"/>
    <w:tmpl w:val="D999C8AF"/>
    <w:lvl w:ilvl="0" w:tentative="0">
      <w:start w:val="1"/>
      <w:numFmt w:val="decimal"/>
      <w:suff w:val="space"/>
      <w:lvlText w:val="12. %1 "/>
      <w:lvlJc w:val="left"/>
      <w:pPr>
        <w:ind w:left="0" w:leftChars="0" w:firstLine="0" w:firstLineChars="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16">
    <w:nsid w:val="DF9AC54E"/>
    <w:multiLevelType w:val="multilevel"/>
    <w:tmpl w:val="DF9AC54E"/>
    <w:lvl w:ilvl="0" w:tentative="0">
      <w:start w:val="1"/>
      <w:numFmt w:val="decimal"/>
      <w:suff w:val="space"/>
      <w:lvlText w:val="17. %1 "/>
      <w:lvlJc w:val="left"/>
      <w:pPr>
        <w:ind w:left="0" w:leftChars="0" w:firstLine="0" w:firstLineChars="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17">
    <w:nsid w:val="E7F470F5"/>
    <w:multiLevelType w:val="singleLevel"/>
    <w:tmpl w:val="E7F470F5"/>
    <w:lvl w:ilvl="0" w:tentative="0">
      <w:start w:val="1"/>
      <w:numFmt w:val="chineseCounting"/>
      <w:suff w:val="nothing"/>
      <w:lvlText w:val="（%1）"/>
      <w:lvlJc w:val="left"/>
      <w:rPr>
        <w:rFonts w:hint="eastAsia" w:cs="Times New Roman"/>
      </w:rPr>
    </w:lvl>
  </w:abstractNum>
  <w:abstractNum w:abstractNumId="18">
    <w:nsid w:val="EA9B00F7"/>
    <w:multiLevelType w:val="multilevel"/>
    <w:tmpl w:val="EA9B00F7"/>
    <w:lvl w:ilvl="0" w:tentative="0">
      <w:start w:val="1"/>
      <w:numFmt w:val="decimal"/>
      <w:suff w:val="space"/>
      <w:lvlText w:val="23. %1 "/>
      <w:lvlJc w:val="left"/>
      <w:pPr>
        <w:ind w:left="0" w:leftChars="0" w:firstLine="0" w:firstLineChars="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19">
    <w:nsid w:val="ED205A94"/>
    <w:multiLevelType w:val="multilevel"/>
    <w:tmpl w:val="ED205A94"/>
    <w:lvl w:ilvl="0" w:tentative="0">
      <w:start w:val="1"/>
      <w:numFmt w:val="decimal"/>
      <w:suff w:val="space"/>
      <w:lvlText w:val="23.3.%1"/>
      <w:lvlJc w:val="left"/>
      <w:pPr>
        <w:ind w:left="0" w:leftChars="0" w:firstLine="0" w:firstLineChars="0"/>
      </w:pPr>
      <w:rPr>
        <w:rFonts w:hint="eastAsia" w:ascii="宋体" w:hAnsi="宋体" w:eastAsia="宋体"/>
      </w:rPr>
    </w:lvl>
    <w:lvl w:ilvl="1" w:tentative="0">
      <w:start w:val="1"/>
      <w:numFmt w:val="lowerLetter"/>
      <w:lvlText w:val="%2)"/>
      <w:lvlJc w:val="left"/>
      <w:pPr>
        <w:ind w:left="1789" w:hanging="420"/>
      </w:pPr>
    </w:lvl>
    <w:lvl w:ilvl="2" w:tentative="0">
      <w:start w:val="1"/>
      <w:numFmt w:val="lowerRoman"/>
      <w:lvlText w:val="%3."/>
      <w:lvlJc w:val="right"/>
      <w:pPr>
        <w:ind w:left="2209" w:hanging="420"/>
      </w:pPr>
    </w:lvl>
    <w:lvl w:ilvl="3" w:tentative="0">
      <w:start w:val="1"/>
      <w:numFmt w:val="decimal"/>
      <w:lvlText w:val="%4."/>
      <w:lvlJc w:val="left"/>
      <w:pPr>
        <w:ind w:left="2629" w:hanging="420"/>
      </w:pPr>
    </w:lvl>
    <w:lvl w:ilvl="4" w:tentative="0">
      <w:start w:val="1"/>
      <w:numFmt w:val="lowerLetter"/>
      <w:lvlText w:val="%5)"/>
      <w:lvlJc w:val="left"/>
      <w:pPr>
        <w:ind w:left="3049" w:hanging="420"/>
      </w:pPr>
    </w:lvl>
    <w:lvl w:ilvl="5" w:tentative="0">
      <w:start w:val="1"/>
      <w:numFmt w:val="lowerRoman"/>
      <w:lvlText w:val="%6."/>
      <w:lvlJc w:val="right"/>
      <w:pPr>
        <w:ind w:left="3469" w:hanging="420"/>
      </w:pPr>
    </w:lvl>
    <w:lvl w:ilvl="6" w:tentative="0">
      <w:start w:val="1"/>
      <w:numFmt w:val="decimal"/>
      <w:lvlText w:val="%7."/>
      <w:lvlJc w:val="left"/>
      <w:pPr>
        <w:ind w:left="3889" w:hanging="420"/>
      </w:pPr>
    </w:lvl>
    <w:lvl w:ilvl="7" w:tentative="0">
      <w:start w:val="1"/>
      <w:numFmt w:val="lowerLetter"/>
      <w:lvlText w:val="%8)"/>
      <w:lvlJc w:val="left"/>
      <w:pPr>
        <w:ind w:left="4309" w:hanging="420"/>
      </w:pPr>
    </w:lvl>
    <w:lvl w:ilvl="8" w:tentative="0">
      <w:start w:val="1"/>
      <w:numFmt w:val="lowerRoman"/>
      <w:lvlText w:val="%9."/>
      <w:lvlJc w:val="right"/>
      <w:pPr>
        <w:ind w:left="4729" w:hanging="420"/>
      </w:pPr>
    </w:lvl>
  </w:abstractNum>
  <w:abstractNum w:abstractNumId="20">
    <w:nsid w:val="EF155437"/>
    <w:multiLevelType w:val="singleLevel"/>
    <w:tmpl w:val="EF155437"/>
    <w:lvl w:ilvl="0" w:tentative="0">
      <w:start w:val="2"/>
      <w:numFmt w:val="decimal"/>
      <w:suff w:val="space"/>
      <w:lvlText w:val="%1."/>
      <w:lvlJc w:val="left"/>
    </w:lvl>
  </w:abstractNum>
  <w:abstractNum w:abstractNumId="21">
    <w:nsid w:val="F5353826"/>
    <w:multiLevelType w:val="multilevel"/>
    <w:tmpl w:val="F5353826"/>
    <w:lvl w:ilvl="0" w:tentative="0">
      <w:start w:val="7"/>
      <w:numFmt w:val="decimal"/>
      <w:suff w:val="space"/>
      <w:lvlText w:val="3. %1 "/>
      <w:lvlJc w:val="left"/>
      <w:pPr>
        <w:ind w:left="0" w:leftChars="0" w:firstLine="0" w:firstLineChars="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FD53A0A1"/>
    <w:multiLevelType w:val="multilevel"/>
    <w:tmpl w:val="FD53A0A1"/>
    <w:lvl w:ilvl="0" w:tentative="0">
      <w:start w:val="1"/>
      <w:numFmt w:val="decimal"/>
      <w:suff w:val="space"/>
      <w:lvlText w:val="24. %1 "/>
      <w:lvlJc w:val="left"/>
      <w:pPr>
        <w:ind w:left="0" w:leftChars="0" w:firstLine="0" w:firstLineChars="0"/>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23">
    <w:nsid w:val="00000006"/>
    <w:multiLevelType w:val="multilevel"/>
    <w:tmpl w:val="00000006"/>
    <w:lvl w:ilvl="0" w:tentative="0">
      <w:start w:val="1"/>
      <w:numFmt w:val="chineseCountingThousand"/>
      <w:pStyle w:val="2"/>
      <w:suff w:val="nothing"/>
      <w:lvlText w:val="第%1部分"/>
      <w:lvlJc w:val="center"/>
      <w:pPr>
        <w:ind w:left="-288" w:firstLine="288"/>
      </w:pPr>
      <w:rPr>
        <w:rFonts w:hint="eastAsia"/>
        <w:sz w:val="32"/>
        <w:szCs w:val="32"/>
      </w:rPr>
    </w:lvl>
    <w:lvl w:ilvl="1" w:tentative="0">
      <w:start w:val="1"/>
      <w:numFmt w:val="chineseCountingThousand"/>
      <w:pStyle w:val="3"/>
      <w:suff w:val="nothing"/>
      <w:lvlText w:val="%2、"/>
      <w:lvlJc w:val="left"/>
      <w:pPr>
        <w:ind w:left="254" w:firstLine="0"/>
      </w:pPr>
      <w:rPr>
        <w:rFonts w:hint="eastAsia" w:ascii="宋体" w:hAnsi="宋体" w:eastAsia="宋体"/>
        <w:sz w:val="21"/>
        <w:szCs w:val="24"/>
      </w:rPr>
    </w:lvl>
    <w:lvl w:ilvl="2" w:tentative="0">
      <w:start w:val="1"/>
      <w:numFmt w:val="chineseCountingThousand"/>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pStyle w:val="5"/>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24">
    <w:nsid w:val="00000014"/>
    <w:multiLevelType w:val="multilevel"/>
    <w:tmpl w:val="00000014"/>
    <w:lvl w:ilvl="0" w:tentative="0">
      <w:start w:val="1"/>
      <w:numFmt w:val="decimal"/>
      <w:pStyle w:val="56"/>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sz w:val="21"/>
        <w:szCs w:val="21"/>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5">
    <w:nsid w:val="13B9D44D"/>
    <w:multiLevelType w:val="multilevel"/>
    <w:tmpl w:val="13B9D44D"/>
    <w:lvl w:ilvl="0" w:tentative="0">
      <w:start w:val="1"/>
      <w:numFmt w:val="decimal"/>
      <w:suff w:val="space"/>
      <w:lvlText w:val="11. %1 "/>
      <w:lvlJc w:val="left"/>
      <w:pPr>
        <w:ind w:left="0" w:leftChars="0" w:firstLine="0" w:firstLineChars="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26">
    <w:nsid w:val="1933BB9E"/>
    <w:multiLevelType w:val="multilevel"/>
    <w:tmpl w:val="1933BB9E"/>
    <w:lvl w:ilvl="0" w:tentative="0">
      <w:start w:val="2"/>
      <w:numFmt w:val="decimal"/>
      <w:suff w:val="space"/>
      <w:lvlText w:val="33.1.%1"/>
      <w:lvlJc w:val="left"/>
      <w:pPr>
        <w:ind w:left="0" w:leftChars="0" w:firstLine="0" w:firstLineChars="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1BF8F141"/>
    <w:multiLevelType w:val="multilevel"/>
    <w:tmpl w:val="1BF8F141"/>
    <w:lvl w:ilvl="0" w:tentative="0">
      <w:start w:val="1"/>
      <w:numFmt w:val="decimal"/>
      <w:suff w:val="space"/>
      <w:lvlText w:val="3. %1 "/>
      <w:lvlJc w:val="left"/>
      <w:pPr>
        <w:ind w:left="0" w:leftChars="0" w:firstLine="0" w:firstLineChars="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28">
    <w:nsid w:val="1D1D4E7F"/>
    <w:multiLevelType w:val="multilevel"/>
    <w:tmpl w:val="1D1D4E7F"/>
    <w:lvl w:ilvl="0" w:tentative="0">
      <w:start w:val="36"/>
      <w:numFmt w:val="decimal"/>
      <w:lvlText w:val="%1"/>
      <w:lvlJc w:val="left"/>
      <w:pPr>
        <w:ind w:left="420" w:hanging="420"/>
      </w:pPr>
      <w:rPr>
        <w:rFonts w:hint="default"/>
      </w:rPr>
    </w:lvl>
    <w:lvl w:ilvl="1" w:tentative="0">
      <w:start w:val="1"/>
      <w:numFmt w:val="decimal"/>
      <w:suff w:val="nothing"/>
      <w:lvlText w:val="%1.%2"/>
      <w:lvlJc w:val="left"/>
      <w:pPr>
        <w:ind w:left="0" w:leftChars="0" w:firstLine="0" w:firstLineChars="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29">
    <w:nsid w:val="227C2F8D"/>
    <w:multiLevelType w:val="multilevel"/>
    <w:tmpl w:val="227C2F8D"/>
    <w:lvl w:ilvl="0" w:tentative="0">
      <w:start w:val="1"/>
      <w:numFmt w:val="decimal"/>
      <w:suff w:val="space"/>
      <w:lvlText w:val="9. %1 "/>
      <w:lvlJc w:val="left"/>
      <w:pPr>
        <w:ind w:left="0" w:leftChars="0" w:firstLine="0" w:firstLineChars="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30">
    <w:nsid w:val="2416C0B5"/>
    <w:multiLevelType w:val="multilevel"/>
    <w:tmpl w:val="2416C0B5"/>
    <w:lvl w:ilvl="0" w:tentative="0">
      <w:start w:val="1"/>
      <w:numFmt w:val="decimal"/>
      <w:suff w:val="space"/>
      <w:lvlText w:val="28. %1 "/>
      <w:lvlJc w:val="left"/>
      <w:pPr>
        <w:ind w:left="0" w:leftChars="0" w:firstLine="0" w:firstLineChars="0"/>
      </w:pPr>
      <w:rPr>
        <w:rFonts w:hint="eastAsia" w:ascii="宋体" w:hAnsi="宋体" w:eastAsia="宋体"/>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31">
    <w:nsid w:val="25DC79A0"/>
    <w:multiLevelType w:val="multilevel"/>
    <w:tmpl w:val="25DC79A0"/>
    <w:lvl w:ilvl="0" w:tentative="0">
      <w:start w:val="1"/>
      <w:numFmt w:val="decimal"/>
      <w:suff w:val="space"/>
      <w:lvlText w:val="22.2.1.%1"/>
      <w:lvlJc w:val="left"/>
      <w:pPr>
        <w:ind w:left="0" w:leftChars="0" w:firstLine="0" w:firstLineChars="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32">
    <w:nsid w:val="2D1112B1"/>
    <w:multiLevelType w:val="multilevel"/>
    <w:tmpl w:val="2D1112B1"/>
    <w:lvl w:ilvl="0" w:tentative="0">
      <w:start w:val="27"/>
      <w:numFmt w:val="decimal"/>
      <w:suff w:val="space"/>
      <w:lvlText w:val="%1.3.1"/>
      <w:lvlJc w:val="left"/>
      <w:pPr>
        <w:ind w:left="0" w:leftChars="0" w:firstLine="0" w:firstLineChars="0"/>
      </w:pPr>
      <w:rPr>
        <w:rFonts w:hint="eastAsia"/>
      </w:rPr>
    </w:lvl>
    <w:lvl w:ilvl="1" w:tentative="0">
      <w:start w:val="1"/>
      <w:numFmt w:val="lowerLetter"/>
      <w:lvlText w:val="%2)"/>
      <w:lvlJc w:val="left"/>
      <w:pPr>
        <w:ind w:left="1804" w:hanging="420"/>
      </w:pPr>
      <w:rPr>
        <w:rFonts w:hint="eastAsia"/>
      </w:rPr>
    </w:lvl>
    <w:lvl w:ilvl="2" w:tentative="0">
      <w:start w:val="1"/>
      <w:numFmt w:val="lowerRoman"/>
      <w:lvlText w:val="%3."/>
      <w:lvlJc w:val="right"/>
      <w:pPr>
        <w:ind w:left="2224" w:hanging="420"/>
      </w:pPr>
      <w:rPr>
        <w:rFonts w:hint="eastAsia"/>
      </w:rPr>
    </w:lvl>
    <w:lvl w:ilvl="3" w:tentative="0">
      <w:start w:val="1"/>
      <w:numFmt w:val="decimal"/>
      <w:lvlText w:val="%4."/>
      <w:lvlJc w:val="left"/>
      <w:pPr>
        <w:ind w:left="2644" w:hanging="420"/>
      </w:pPr>
      <w:rPr>
        <w:rFonts w:hint="eastAsia"/>
      </w:rPr>
    </w:lvl>
    <w:lvl w:ilvl="4" w:tentative="0">
      <w:start w:val="1"/>
      <w:numFmt w:val="lowerLetter"/>
      <w:lvlText w:val="%5)"/>
      <w:lvlJc w:val="left"/>
      <w:pPr>
        <w:ind w:left="3064" w:hanging="420"/>
      </w:pPr>
      <w:rPr>
        <w:rFonts w:hint="eastAsia"/>
      </w:rPr>
    </w:lvl>
    <w:lvl w:ilvl="5" w:tentative="0">
      <w:start w:val="1"/>
      <w:numFmt w:val="lowerRoman"/>
      <w:lvlText w:val="%6."/>
      <w:lvlJc w:val="right"/>
      <w:pPr>
        <w:ind w:left="3484" w:hanging="420"/>
      </w:pPr>
      <w:rPr>
        <w:rFonts w:hint="eastAsia"/>
      </w:rPr>
    </w:lvl>
    <w:lvl w:ilvl="6" w:tentative="0">
      <w:start w:val="1"/>
      <w:numFmt w:val="decimal"/>
      <w:lvlText w:val="%7."/>
      <w:lvlJc w:val="left"/>
      <w:pPr>
        <w:ind w:left="3904" w:hanging="420"/>
      </w:pPr>
      <w:rPr>
        <w:rFonts w:hint="eastAsia"/>
      </w:rPr>
    </w:lvl>
    <w:lvl w:ilvl="7" w:tentative="0">
      <w:start w:val="1"/>
      <w:numFmt w:val="lowerLetter"/>
      <w:lvlText w:val="%8)"/>
      <w:lvlJc w:val="left"/>
      <w:pPr>
        <w:ind w:left="4324" w:hanging="420"/>
      </w:pPr>
      <w:rPr>
        <w:rFonts w:hint="eastAsia"/>
      </w:rPr>
    </w:lvl>
    <w:lvl w:ilvl="8" w:tentative="0">
      <w:start w:val="1"/>
      <w:numFmt w:val="lowerRoman"/>
      <w:lvlText w:val="%9."/>
      <w:lvlJc w:val="right"/>
      <w:pPr>
        <w:ind w:left="4744" w:hanging="420"/>
      </w:pPr>
      <w:rPr>
        <w:rFonts w:hint="eastAsia"/>
      </w:rPr>
    </w:lvl>
  </w:abstractNum>
  <w:abstractNum w:abstractNumId="33">
    <w:nsid w:val="38B66D58"/>
    <w:multiLevelType w:val="multilevel"/>
    <w:tmpl w:val="38B66D58"/>
    <w:lvl w:ilvl="0" w:tentative="0">
      <w:start w:val="1"/>
      <w:numFmt w:val="decimal"/>
      <w:suff w:val="space"/>
      <w:lvlText w:val="16. %1 "/>
      <w:lvlJc w:val="left"/>
      <w:pPr>
        <w:ind w:left="0" w:leftChars="0" w:firstLine="0" w:firstLineChars="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34">
    <w:nsid w:val="461F6A2B"/>
    <w:multiLevelType w:val="multilevel"/>
    <w:tmpl w:val="461F6A2B"/>
    <w:lvl w:ilvl="0" w:tentative="0">
      <w:start w:val="1"/>
      <w:numFmt w:val="decimal"/>
      <w:suff w:val="space"/>
      <w:lvlText w:val="20. %1 "/>
      <w:lvlJc w:val="left"/>
      <w:pPr>
        <w:ind w:left="0" w:leftChars="0" w:firstLine="0" w:firstLineChars="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35">
    <w:nsid w:val="477B8D10"/>
    <w:multiLevelType w:val="multilevel"/>
    <w:tmpl w:val="477B8D10"/>
    <w:lvl w:ilvl="0" w:tentative="0">
      <w:start w:val="1"/>
      <w:numFmt w:val="decimal"/>
      <w:suff w:val="space"/>
      <w:lvlText w:val="33.2.%1"/>
      <w:lvlJc w:val="left"/>
      <w:pPr>
        <w:ind w:left="0" w:leftChars="0" w:firstLine="0" w:firstLineChars="0"/>
      </w:pPr>
      <w:rPr>
        <w:rFonts w:hint="eastAsia"/>
      </w:rPr>
    </w:lvl>
    <w:lvl w:ilvl="1" w:tentative="0">
      <w:start w:val="1"/>
      <w:numFmt w:val="lowerLetter"/>
      <w:lvlText w:val="%2)"/>
      <w:lvlJc w:val="left"/>
      <w:pPr>
        <w:ind w:left="1785" w:hanging="420"/>
      </w:pPr>
    </w:lvl>
    <w:lvl w:ilvl="2" w:tentative="0">
      <w:start w:val="1"/>
      <w:numFmt w:val="lowerRoman"/>
      <w:lvlText w:val="%3."/>
      <w:lvlJc w:val="right"/>
      <w:pPr>
        <w:ind w:left="2205" w:hanging="420"/>
      </w:pPr>
    </w:lvl>
    <w:lvl w:ilvl="3" w:tentative="0">
      <w:start w:val="1"/>
      <w:numFmt w:val="decimal"/>
      <w:lvlText w:val="%4."/>
      <w:lvlJc w:val="left"/>
      <w:pPr>
        <w:ind w:left="2625" w:hanging="420"/>
      </w:pPr>
    </w:lvl>
    <w:lvl w:ilvl="4" w:tentative="0">
      <w:start w:val="1"/>
      <w:numFmt w:val="lowerLetter"/>
      <w:lvlText w:val="%5)"/>
      <w:lvlJc w:val="left"/>
      <w:pPr>
        <w:ind w:left="3045" w:hanging="420"/>
      </w:pPr>
    </w:lvl>
    <w:lvl w:ilvl="5" w:tentative="0">
      <w:start w:val="1"/>
      <w:numFmt w:val="lowerRoman"/>
      <w:lvlText w:val="%6."/>
      <w:lvlJc w:val="right"/>
      <w:pPr>
        <w:ind w:left="3465" w:hanging="420"/>
      </w:pPr>
    </w:lvl>
    <w:lvl w:ilvl="6" w:tentative="0">
      <w:start w:val="1"/>
      <w:numFmt w:val="decimal"/>
      <w:lvlText w:val="%7."/>
      <w:lvlJc w:val="left"/>
      <w:pPr>
        <w:ind w:left="3885" w:hanging="420"/>
      </w:pPr>
    </w:lvl>
    <w:lvl w:ilvl="7" w:tentative="0">
      <w:start w:val="1"/>
      <w:numFmt w:val="lowerLetter"/>
      <w:lvlText w:val="%8)"/>
      <w:lvlJc w:val="left"/>
      <w:pPr>
        <w:ind w:left="4305" w:hanging="420"/>
      </w:pPr>
    </w:lvl>
    <w:lvl w:ilvl="8" w:tentative="0">
      <w:start w:val="1"/>
      <w:numFmt w:val="lowerRoman"/>
      <w:lvlText w:val="%9."/>
      <w:lvlJc w:val="right"/>
      <w:pPr>
        <w:ind w:left="4725" w:hanging="420"/>
      </w:pPr>
    </w:lvl>
  </w:abstractNum>
  <w:abstractNum w:abstractNumId="36">
    <w:nsid w:val="54AEABAF"/>
    <w:multiLevelType w:val="multilevel"/>
    <w:tmpl w:val="54AEABAF"/>
    <w:lvl w:ilvl="0" w:tentative="0">
      <w:start w:val="1"/>
      <w:numFmt w:val="decimal"/>
      <w:suff w:val="space"/>
      <w:lvlText w:val="23.1.%1"/>
      <w:lvlJc w:val="left"/>
      <w:pPr>
        <w:ind w:left="0" w:leftChars="0" w:firstLine="0" w:firstLineChars="0"/>
      </w:pPr>
      <w:rPr>
        <w:rFonts w:hint="eastAsia"/>
      </w:rPr>
    </w:lvl>
    <w:lvl w:ilvl="1" w:tentative="0">
      <w:start w:val="1"/>
      <w:numFmt w:val="lowerLetter"/>
      <w:lvlText w:val="%2)"/>
      <w:lvlJc w:val="left"/>
      <w:pPr>
        <w:ind w:left="1789" w:hanging="420"/>
      </w:pPr>
    </w:lvl>
    <w:lvl w:ilvl="2" w:tentative="0">
      <w:start w:val="1"/>
      <w:numFmt w:val="lowerRoman"/>
      <w:lvlText w:val="%3."/>
      <w:lvlJc w:val="right"/>
      <w:pPr>
        <w:ind w:left="2209" w:hanging="420"/>
      </w:pPr>
    </w:lvl>
    <w:lvl w:ilvl="3" w:tentative="0">
      <w:start w:val="1"/>
      <w:numFmt w:val="decimal"/>
      <w:lvlText w:val="%4."/>
      <w:lvlJc w:val="left"/>
      <w:pPr>
        <w:ind w:left="2629" w:hanging="420"/>
      </w:pPr>
    </w:lvl>
    <w:lvl w:ilvl="4" w:tentative="0">
      <w:start w:val="1"/>
      <w:numFmt w:val="lowerLetter"/>
      <w:lvlText w:val="%5)"/>
      <w:lvlJc w:val="left"/>
      <w:pPr>
        <w:ind w:left="3049" w:hanging="420"/>
      </w:pPr>
    </w:lvl>
    <w:lvl w:ilvl="5" w:tentative="0">
      <w:start w:val="1"/>
      <w:numFmt w:val="lowerRoman"/>
      <w:lvlText w:val="%6."/>
      <w:lvlJc w:val="right"/>
      <w:pPr>
        <w:ind w:left="3469" w:hanging="420"/>
      </w:pPr>
    </w:lvl>
    <w:lvl w:ilvl="6" w:tentative="0">
      <w:start w:val="1"/>
      <w:numFmt w:val="decimal"/>
      <w:lvlText w:val="%7."/>
      <w:lvlJc w:val="left"/>
      <w:pPr>
        <w:ind w:left="3889" w:hanging="420"/>
      </w:pPr>
    </w:lvl>
    <w:lvl w:ilvl="7" w:tentative="0">
      <w:start w:val="1"/>
      <w:numFmt w:val="lowerLetter"/>
      <w:lvlText w:val="%8)"/>
      <w:lvlJc w:val="left"/>
      <w:pPr>
        <w:ind w:left="4309" w:hanging="420"/>
      </w:pPr>
    </w:lvl>
    <w:lvl w:ilvl="8" w:tentative="0">
      <w:start w:val="1"/>
      <w:numFmt w:val="lowerRoman"/>
      <w:lvlText w:val="%9."/>
      <w:lvlJc w:val="right"/>
      <w:pPr>
        <w:ind w:left="4729" w:hanging="420"/>
      </w:pPr>
    </w:lvl>
  </w:abstractNum>
  <w:abstractNum w:abstractNumId="37">
    <w:nsid w:val="559069A8"/>
    <w:multiLevelType w:val="singleLevel"/>
    <w:tmpl w:val="559069A8"/>
    <w:lvl w:ilvl="0" w:tentative="0">
      <w:start w:val="1"/>
      <w:numFmt w:val="decimal"/>
      <w:suff w:val="space"/>
      <w:lvlText w:val="（%1）"/>
      <w:lvlJc w:val="left"/>
    </w:lvl>
  </w:abstractNum>
  <w:abstractNum w:abstractNumId="38">
    <w:nsid w:val="59CA577B"/>
    <w:multiLevelType w:val="multilevel"/>
    <w:tmpl w:val="59CA577B"/>
    <w:lvl w:ilvl="0" w:tentative="0">
      <w:start w:val="1"/>
      <w:numFmt w:val="decimal"/>
      <w:lvlText w:val="%1."/>
      <w:lvlJc w:val="left"/>
      <w:pPr>
        <w:tabs>
          <w:tab w:val="left" w:pos="720"/>
        </w:tabs>
        <w:ind w:left="720" w:hanging="240"/>
      </w:pPr>
      <w:rPr>
        <w:rFonts w:hint="default"/>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39">
    <w:nsid w:val="59F817E8"/>
    <w:multiLevelType w:val="singleLevel"/>
    <w:tmpl w:val="59F817E8"/>
    <w:lvl w:ilvl="0" w:tentative="0">
      <w:start w:val="1"/>
      <w:numFmt w:val="chineseCounting"/>
      <w:pStyle w:val="60"/>
      <w:suff w:val="nothing"/>
      <w:lvlText w:val="%1、"/>
      <w:lvlJc w:val="left"/>
    </w:lvl>
  </w:abstractNum>
  <w:abstractNum w:abstractNumId="40">
    <w:nsid w:val="59FFD1F1"/>
    <w:multiLevelType w:val="multilevel"/>
    <w:tmpl w:val="59FFD1F1"/>
    <w:lvl w:ilvl="0" w:tentative="0">
      <w:start w:val="1"/>
      <w:numFmt w:val="decimal"/>
      <w:suff w:val="space"/>
      <w:lvlText w:val="4. %1 "/>
      <w:lvlJc w:val="left"/>
      <w:pPr>
        <w:ind w:left="0" w:leftChars="0" w:firstLine="0" w:firstLineChars="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1">
    <w:nsid w:val="5A051E9E"/>
    <w:multiLevelType w:val="singleLevel"/>
    <w:tmpl w:val="5A051E9E"/>
    <w:lvl w:ilvl="0" w:tentative="0">
      <w:start w:val="1"/>
      <w:numFmt w:val="chineseCounting"/>
      <w:suff w:val="nothing"/>
      <w:lvlText w:val="%1、"/>
      <w:lvlJc w:val="left"/>
    </w:lvl>
  </w:abstractNum>
  <w:abstractNum w:abstractNumId="42">
    <w:nsid w:val="5B84F2D2"/>
    <w:multiLevelType w:val="multilevel"/>
    <w:tmpl w:val="5B84F2D2"/>
    <w:lvl w:ilvl="0" w:tentative="0">
      <w:start w:val="1"/>
      <w:numFmt w:val="decimal"/>
      <w:suff w:val="space"/>
      <w:lvlText w:val="25. %1 "/>
      <w:lvlJc w:val="left"/>
      <w:pPr>
        <w:ind w:left="0" w:leftChars="0" w:firstLine="0" w:firstLineChars="0"/>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43">
    <w:nsid w:val="5CDE0963"/>
    <w:multiLevelType w:val="multilevel"/>
    <w:tmpl w:val="5CDE0963"/>
    <w:lvl w:ilvl="0" w:tentative="0">
      <w:start w:val="1"/>
      <w:numFmt w:val="decimal"/>
      <w:suff w:val="space"/>
      <w:lvlText w:val="2. %1 "/>
      <w:lvlJc w:val="left"/>
      <w:pPr>
        <w:ind w:left="0" w:leftChars="0" w:firstLine="0" w:firstLineChars="0"/>
      </w:pPr>
      <w:rPr>
        <w:rFonts w:hint="eastAsia"/>
      </w:rPr>
    </w:lvl>
    <w:lvl w:ilvl="1" w:tentative="0">
      <w:start w:val="1"/>
      <w:numFmt w:val="lowerLetter"/>
      <w:lvlText w:val="%2)"/>
      <w:lvlJc w:val="left"/>
      <w:pPr>
        <w:ind w:left="1260" w:hanging="420"/>
      </w:pPr>
      <w:rPr>
        <w:rFonts w:hint="eastAsia"/>
      </w:rPr>
    </w:lvl>
    <w:lvl w:ilvl="2" w:tentative="0">
      <w:start w:val="1"/>
      <w:numFmt w:val="lowerRoman"/>
      <w:lvlText w:val="%3."/>
      <w:lvlJc w:val="right"/>
      <w:pPr>
        <w:ind w:left="1680" w:hanging="420"/>
      </w:pPr>
      <w:rPr>
        <w:rFonts w:hint="eastAsia"/>
      </w:rPr>
    </w:lvl>
    <w:lvl w:ilvl="3" w:tentative="0">
      <w:start w:val="1"/>
      <w:numFmt w:val="decimal"/>
      <w:lvlText w:val="%4."/>
      <w:lvlJc w:val="left"/>
      <w:pPr>
        <w:ind w:left="2100" w:hanging="420"/>
      </w:pPr>
      <w:rPr>
        <w:rFonts w:hint="eastAsia"/>
      </w:rPr>
    </w:lvl>
    <w:lvl w:ilvl="4" w:tentative="0">
      <w:start w:val="1"/>
      <w:numFmt w:val="lowerLetter"/>
      <w:lvlText w:val="%5)"/>
      <w:lvlJc w:val="left"/>
      <w:pPr>
        <w:ind w:left="2520" w:hanging="420"/>
      </w:pPr>
      <w:rPr>
        <w:rFonts w:hint="eastAsia"/>
      </w:rPr>
    </w:lvl>
    <w:lvl w:ilvl="5" w:tentative="0">
      <w:start w:val="1"/>
      <w:numFmt w:val="lowerRoman"/>
      <w:lvlText w:val="%6."/>
      <w:lvlJc w:val="right"/>
      <w:pPr>
        <w:ind w:left="2940" w:hanging="420"/>
      </w:pPr>
      <w:rPr>
        <w:rFonts w:hint="eastAsia"/>
      </w:rPr>
    </w:lvl>
    <w:lvl w:ilvl="6" w:tentative="0">
      <w:start w:val="1"/>
      <w:numFmt w:val="decimal"/>
      <w:lvlText w:val="%7."/>
      <w:lvlJc w:val="left"/>
      <w:pPr>
        <w:ind w:left="3360" w:hanging="420"/>
      </w:pPr>
      <w:rPr>
        <w:rFonts w:hint="eastAsia"/>
      </w:rPr>
    </w:lvl>
    <w:lvl w:ilvl="7" w:tentative="0">
      <w:start w:val="1"/>
      <w:numFmt w:val="lowerLetter"/>
      <w:lvlText w:val="%8)"/>
      <w:lvlJc w:val="left"/>
      <w:pPr>
        <w:ind w:left="3780" w:hanging="420"/>
      </w:pPr>
      <w:rPr>
        <w:rFonts w:hint="eastAsia"/>
      </w:rPr>
    </w:lvl>
    <w:lvl w:ilvl="8" w:tentative="0">
      <w:start w:val="1"/>
      <w:numFmt w:val="lowerRoman"/>
      <w:lvlText w:val="%9."/>
      <w:lvlJc w:val="right"/>
      <w:pPr>
        <w:ind w:left="4200" w:hanging="420"/>
      </w:pPr>
      <w:rPr>
        <w:rFonts w:hint="eastAsia"/>
      </w:rPr>
    </w:lvl>
  </w:abstractNum>
  <w:abstractNum w:abstractNumId="44">
    <w:nsid w:val="66F50ECB"/>
    <w:multiLevelType w:val="multilevel"/>
    <w:tmpl w:val="66F50ECB"/>
    <w:lvl w:ilvl="0" w:tentative="0">
      <w:start w:val="26"/>
      <w:numFmt w:val="decimal"/>
      <w:lvlText w:val="%1."/>
      <w:lvlJc w:val="left"/>
      <w:pPr>
        <w:ind w:left="420" w:hanging="420"/>
      </w:pPr>
      <w:rPr>
        <w:rFonts w:hint="eastAsia"/>
      </w:rPr>
    </w:lvl>
    <w:lvl w:ilvl="1" w:tentative="0">
      <w:start w:val="1"/>
      <w:numFmt w:val="decimal"/>
      <w:suff w:val="space"/>
      <w:lvlText w:val="26. %2 "/>
      <w:lvlJc w:val="left"/>
      <w:pPr>
        <w:ind w:left="0" w:leftChars="0" w:firstLine="0" w:firstLineChars="0"/>
      </w:pPr>
      <w:rPr>
        <w:rFonts w:hint="eastAsia"/>
      </w:rPr>
    </w:lvl>
    <w:lvl w:ilvl="2" w:tentative="0">
      <w:start w:val="1"/>
      <w:numFmt w:val="decimal"/>
      <w:isLgl/>
      <w:lvlText w:val="%1.%2.%3"/>
      <w:lvlJc w:val="left"/>
      <w:pPr>
        <w:ind w:left="1560" w:hanging="720"/>
      </w:pPr>
      <w:rPr>
        <w:rFonts w:hint="default"/>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45">
    <w:nsid w:val="6D7CB1C5"/>
    <w:multiLevelType w:val="multilevel"/>
    <w:tmpl w:val="6D7CB1C5"/>
    <w:lvl w:ilvl="0" w:tentative="0">
      <w:start w:val="27"/>
      <w:numFmt w:val="decimal"/>
      <w:suff w:val="space"/>
      <w:lvlText w:val="%1.2.1"/>
      <w:lvlJc w:val="left"/>
      <w:pPr>
        <w:ind w:left="0" w:leftChars="0" w:firstLine="0" w:firstLineChars="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6">
    <w:nsid w:val="75F4BE33"/>
    <w:multiLevelType w:val="multilevel"/>
    <w:tmpl w:val="75F4BE33"/>
    <w:lvl w:ilvl="0" w:tentative="0">
      <w:start w:val="1"/>
      <w:numFmt w:val="decimal"/>
      <w:suff w:val="space"/>
      <w:lvlText w:val="33. %1 "/>
      <w:lvlJc w:val="left"/>
      <w:pPr>
        <w:ind w:left="0" w:leftChars="0" w:firstLine="0" w:firstLineChars="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num w:numId="1">
    <w:abstractNumId w:val="23"/>
  </w:num>
  <w:num w:numId="2">
    <w:abstractNumId w:val="24"/>
  </w:num>
  <w:num w:numId="3">
    <w:abstractNumId w:val="39"/>
  </w:num>
  <w:num w:numId="4">
    <w:abstractNumId w:val="41"/>
  </w:num>
  <w:num w:numId="5">
    <w:abstractNumId w:val="20"/>
  </w:num>
  <w:num w:numId="6">
    <w:abstractNumId w:val="0"/>
  </w:num>
  <w:num w:numId="7">
    <w:abstractNumId w:val="37"/>
  </w:num>
  <w:num w:numId="8">
    <w:abstractNumId w:val="14"/>
  </w:num>
  <w:num w:numId="9">
    <w:abstractNumId w:val="43"/>
  </w:num>
  <w:num w:numId="10">
    <w:abstractNumId w:val="27"/>
  </w:num>
  <w:num w:numId="11">
    <w:abstractNumId w:val="11"/>
  </w:num>
  <w:num w:numId="12">
    <w:abstractNumId w:val="3"/>
  </w:num>
  <w:num w:numId="13">
    <w:abstractNumId w:val="10"/>
  </w:num>
  <w:num w:numId="14">
    <w:abstractNumId w:val="21"/>
  </w:num>
  <w:num w:numId="15">
    <w:abstractNumId w:val="40"/>
  </w:num>
  <w:num w:numId="16">
    <w:abstractNumId w:val="29"/>
  </w:num>
  <w:num w:numId="17">
    <w:abstractNumId w:val="2"/>
  </w:num>
  <w:num w:numId="18">
    <w:abstractNumId w:val="25"/>
  </w:num>
  <w:num w:numId="19">
    <w:abstractNumId w:val="15"/>
  </w:num>
  <w:num w:numId="20">
    <w:abstractNumId w:val="13"/>
  </w:num>
  <w:num w:numId="21">
    <w:abstractNumId w:val="8"/>
  </w:num>
  <w:num w:numId="22">
    <w:abstractNumId w:val="12"/>
  </w:num>
  <w:num w:numId="23">
    <w:abstractNumId w:val="33"/>
  </w:num>
  <w:num w:numId="24">
    <w:abstractNumId w:val="16"/>
  </w:num>
  <w:num w:numId="25">
    <w:abstractNumId w:val="7"/>
  </w:num>
  <w:num w:numId="26">
    <w:abstractNumId w:val="34"/>
  </w:num>
  <w:num w:numId="27">
    <w:abstractNumId w:val="1"/>
  </w:num>
  <w:num w:numId="28">
    <w:abstractNumId w:val="4"/>
  </w:num>
  <w:num w:numId="29">
    <w:abstractNumId w:val="31"/>
  </w:num>
  <w:num w:numId="30">
    <w:abstractNumId w:val="18"/>
  </w:num>
  <w:num w:numId="31">
    <w:abstractNumId w:val="36"/>
  </w:num>
  <w:num w:numId="32">
    <w:abstractNumId w:val="19"/>
  </w:num>
  <w:num w:numId="33">
    <w:abstractNumId w:val="22"/>
  </w:num>
  <w:num w:numId="34">
    <w:abstractNumId w:val="42"/>
  </w:num>
  <w:num w:numId="35">
    <w:abstractNumId w:val="44"/>
  </w:num>
  <w:num w:numId="36">
    <w:abstractNumId w:val="45"/>
  </w:num>
  <w:num w:numId="37">
    <w:abstractNumId w:val="32"/>
  </w:num>
  <w:num w:numId="38">
    <w:abstractNumId w:val="30"/>
  </w:num>
  <w:num w:numId="39">
    <w:abstractNumId w:val="5"/>
  </w:num>
  <w:num w:numId="40">
    <w:abstractNumId w:val="46"/>
  </w:num>
  <w:num w:numId="41">
    <w:abstractNumId w:val="6"/>
  </w:num>
  <w:num w:numId="42">
    <w:abstractNumId w:val="26"/>
  </w:num>
  <w:num w:numId="43">
    <w:abstractNumId w:val="35"/>
  </w:num>
  <w:num w:numId="44">
    <w:abstractNumId w:val="28"/>
  </w:num>
  <w:num w:numId="45">
    <w:abstractNumId w:val="9"/>
  </w:num>
  <w:num w:numId="46">
    <w:abstractNumId w:val="17"/>
  </w:num>
  <w:num w:numId="47">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dit="trackedChanges" w:formatting="1"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RkYWIzZTM4MThiZTk0MDAzOTQ0MzBjNmZlNmM2MTkifQ=="/>
  </w:docVars>
  <w:rsids>
    <w:rsidRoot w:val="00D51569"/>
    <w:rsid w:val="000017BD"/>
    <w:rsid w:val="000069EC"/>
    <w:rsid w:val="00007470"/>
    <w:rsid w:val="000112AC"/>
    <w:rsid w:val="0001195E"/>
    <w:rsid w:val="0001598A"/>
    <w:rsid w:val="000173D4"/>
    <w:rsid w:val="000227BF"/>
    <w:rsid w:val="0002758D"/>
    <w:rsid w:val="00030B34"/>
    <w:rsid w:val="00031CF4"/>
    <w:rsid w:val="000418F9"/>
    <w:rsid w:val="00044305"/>
    <w:rsid w:val="00046E42"/>
    <w:rsid w:val="00054BAB"/>
    <w:rsid w:val="0007027E"/>
    <w:rsid w:val="00072339"/>
    <w:rsid w:val="000800D2"/>
    <w:rsid w:val="00080389"/>
    <w:rsid w:val="00083387"/>
    <w:rsid w:val="0008414A"/>
    <w:rsid w:val="00085343"/>
    <w:rsid w:val="00087510"/>
    <w:rsid w:val="00091C9C"/>
    <w:rsid w:val="00095387"/>
    <w:rsid w:val="00095D9A"/>
    <w:rsid w:val="00096224"/>
    <w:rsid w:val="0009640F"/>
    <w:rsid w:val="0009646E"/>
    <w:rsid w:val="000A02BB"/>
    <w:rsid w:val="000A73BC"/>
    <w:rsid w:val="000B10C2"/>
    <w:rsid w:val="000B3383"/>
    <w:rsid w:val="000B4057"/>
    <w:rsid w:val="000B4BAC"/>
    <w:rsid w:val="000B7263"/>
    <w:rsid w:val="000C0D70"/>
    <w:rsid w:val="000C0F8B"/>
    <w:rsid w:val="000C2A7B"/>
    <w:rsid w:val="000C6111"/>
    <w:rsid w:val="000D1CF1"/>
    <w:rsid w:val="000D30B8"/>
    <w:rsid w:val="000D6633"/>
    <w:rsid w:val="000D798A"/>
    <w:rsid w:val="000E2FFC"/>
    <w:rsid w:val="000E57E7"/>
    <w:rsid w:val="000F1E89"/>
    <w:rsid w:val="0010014D"/>
    <w:rsid w:val="001145D4"/>
    <w:rsid w:val="001223EF"/>
    <w:rsid w:val="001236A3"/>
    <w:rsid w:val="001341A1"/>
    <w:rsid w:val="00134561"/>
    <w:rsid w:val="0013796A"/>
    <w:rsid w:val="001408F1"/>
    <w:rsid w:val="001415B4"/>
    <w:rsid w:val="00152541"/>
    <w:rsid w:val="00154EA8"/>
    <w:rsid w:val="0016405F"/>
    <w:rsid w:val="00165E49"/>
    <w:rsid w:val="00165F8E"/>
    <w:rsid w:val="0016779A"/>
    <w:rsid w:val="00167F93"/>
    <w:rsid w:val="00170DCF"/>
    <w:rsid w:val="0017154C"/>
    <w:rsid w:val="001749D2"/>
    <w:rsid w:val="00174C63"/>
    <w:rsid w:val="0017584B"/>
    <w:rsid w:val="00177319"/>
    <w:rsid w:val="00177379"/>
    <w:rsid w:val="00181BE6"/>
    <w:rsid w:val="00183B7D"/>
    <w:rsid w:val="00186162"/>
    <w:rsid w:val="00191A00"/>
    <w:rsid w:val="00191DEB"/>
    <w:rsid w:val="00193679"/>
    <w:rsid w:val="001946AC"/>
    <w:rsid w:val="001957E3"/>
    <w:rsid w:val="0019757C"/>
    <w:rsid w:val="001A2E65"/>
    <w:rsid w:val="001B0DF5"/>
    <w:rsid w:val="001C0A13"/>
    <w:rsid w:val="001C1C1F"/>
    <w:rsid w:val="001C26CD"/>
    <w:rsid w:val="001C2837"/>
    <w:rsid w:val="001C2B6A"/>
    <w:rsid w:val="001C761E"/>
    <w:rsid w:val="001D06FF"/>
    <w:rsid w:val="001D1CBB"/>
    <w:rsid w:val="001D33AD"/>
    <w:rsid w:val="001D33DA"/>
    <w:rsid w:val="001D4C00"/>
    <w:rsid w:val="001E25D9"/>
    <w:rsid w:val="001E5052"/>
    <w:rsid w:val="001E592F"/>
    <w:rsid w:val="001F3418"/>
    <w:rsid w:val="001F7199"/>
    <w:rsid w:val="002078AE"/>
    <w:rsid w:val="00207A48"/>
    <w:rsid w:val="00210B90"/>
    <w:rsid w:val="00213F11"/>
    <w:rsid w:val="00214892"/>
    <w:rsid w:val="00224D01"/>
    <w:rsid w:val="002255A9"/>
    <w:rsid w:val="00230652"/>
    <w:rsid w:val="00231307"/>
    <w:rsid w:val="00232729"/>
    <w:rsid w:val="00234627"/>
    <w:rsid w:val="002402CD"/>
    <w:rsid w:val="002426C4"/>
    <w:rsid w:val="002436B4"/>
    <w:rsid w:val="00246A17"/>
    <w:rsid w:val="00252623"/>
    <w:rsid w:val="00255732"/>
    <w:rsid w:val="002615C0"/>
    <w:rsid w:val="00264D16"/>
    <w:rsid w:val="002659C7"/>
    <w:rsid w:val="00266F45"/>
    <w:rsid w:val="00267EE6"/>
    <w:rsid w:val="002709BD"/>
    <w:rsid w:val="002732E0"/>
    <w:rsid w:val="0028277F"/>
    <w:rsid w:val="002847E1"/>
    <w:rsid w:val="002871DE"/>
    <w:rsid w:val="002872FE"/>
    <w:rsid w:val="0029125D"/>
    <w:rsid w:val="0029513F"/>
    <w:rsid w:val="002A1745"/>
    <w:rsid w:val="002A2748"/>
    <w:rsid w:val="002A4D68"/>
    <w:rsid w:val="002A625E"/>
    <w:rsid w:val="002A62EC"/>
    <w:rsid w:val="002A66C8"/>
    <w:rsid w:val="002B1CC1"/>
    <w:rsid w:val="002B63D8"/>
    <w:rsid w:val="002C0F73"/>
    <w:rsid w:val="002C3B0D"/>
    <w:rsid w:val="002C6520"/>
    <w:rsid w:val="002D082A"/>
    <w:rsid w:val="002D1053"/>
    <w:rsid w:val="002D38B2"/>
    <w:rsid w:val="002D5078"/>
    <w:rsid w:val="002E0D3B"/>
    <w:rsid w:val="002E18BD"/>
    <w:rsid w:val="002E3D0E"/>
    <w:rsid w:val="002E6378"/>
    <w:rsid w:val="002F11CE"/>
    <w:rsid w:val="002F23BC"/>
    <w:rsid w:val="002F2D13"/>
    <w:rsid w:val="002F3BDA"/>
    <w:rsid w:val="002F4580"/>
    <w:rsid w:val="003011BE"/>
    <w:rsid w:val="00303F10"/>
    <w:rsid w:val="0030443F"/>
    <w:rsid w:val="003073D8"/>
    <w:rsid w:val="00307D84"/>
    <w:rsid w:val="0031002E"/>
    <w:rsid w:val="003158D3"/>
    <w:rsid w:val="00316363"/>
    <w:rsid w:val="003169BF"/>
    <w:rsid w:val="0032784A"/>
    <w:rsid w:val="00330D3D"/>
    <w:rsid w:val="0033421C"/>
    <w:rsid w:val="003347F9"/>
    <w:rsid w:val="00336F5A"/>
    <w:rsid w:val="003518EF"/>
    <w:rsid w:val="0036208A"/>
    <w:rsid w:val="00362641"/>
    <w:rsid w:val="00362B77"/>
    <w:rsid w:val="0037221E"/>
    <w:rsid w:val="003723BF"/>
    <w:rsid w:val="003812AE"/>
    <w:rsid w:val="00382E5B"/>
    <w:rsid w:val="00386F17"/>
    <w:rsid w:val="003929E8"/>
    <w:rsid w:val="00396626"/>
    <w:rsid w:val="003A05BE"/>
    <w:rsid w:val="003A1280"/>
    <w:rsid w:val="003B103B"/>
    <w:rsid w:val="003B1D5B"/>
    <w:rsid w:val="003B34F7"/>
    <w:rsid w:val="003C0C24"/>
    <w:rsid w:val="003C481F"/>
    <w:rsid w:val="003C6D19"/>
    <w:rsid w:val="003C6FAA"/>
    <w:rsid w:val="003D2645"/>
    <w:rsid w:val="003D2DF6"/>
    <w:rsid w:val="003D4E8A"/>
    <w:rsid w:val="003E095B"/>
    <w:rsid w:val="003E15B0"/>
    <w:rsid w:val="003E5ADF"/>
    <w:rsid w:val="003E7C66"/>
    <w:rsid w:val="004002C2"/>
    <w:rsid w:val="0040335E"/>
    <w:rsid w:val="00410B19"/>
    <w:rsid w:val="00416591"/>
    <w:rsid w:val="004330FE"/>
    <w:rsid w:val="00435E0B"/>
    <w:rsid w:val="00440D16"/>
    <w:rsid w:val="0044232F"/>
    <w:rsid w:val="00444482"/>
    <w:rsid w:val="00445910"/>
    <w:rsid w:val="004464C2"/>
    <w:rsid w:val="0044739E"/>
    <w:rsid w:val="00460A24"/>
    <w:rsid w:val="00463754"/>
    <w:rsid w:val="00464D64"/>
    <w:rsid w:val="0047231A"/>
    <w:rsid w:val="0047378F"/>
    <w:rsid w:val="004739A7"/>
    <w:rsid w:val="00480C9E"/>
    <w:rsid w:val="00482B1A"/>
    <w:rsid w:val="00485967"/>
    <w:rsid w:val="00496BD4"/>
    <w:rsid w:val="0049794D"/>
    <w:rsid w:val="004A5489"/>
    <w:rsid w:val="004A698D"/>
    <w:rsid w:val="004A713D"/>
    <w:rsid w:val="004B620B"/>
    <w:rsid w:val="004B6F24"/>
    <w:rsid w:val="004C1117"/>
    <w:rsid w:val="004C2A4D"/>
    <w:rsid w:val="004C5714"/>
    <w:rsid w:val="004D0712"/>
    <w:rsid w:val="004D3082"/>
    <w:rsid w:val="004D4B04"/>
    <w:rsid w:val="004D7BED"/>
    <w:rsid w:val="004E0DFB"/>
    <w:rsid w:val="004E450C"/>
    <w:rsid w:val="004E547A"/>
    <w:rsid w:val="004E5E79"/>
    <w:rsid w:val="004F1683"/>
    <w:rsid w:val="00501F13"/>
    <w:rsid w:val="0050316F"/>
    <w:rsid w:val="00506193"/>
    <w:rsid w:val="00510B61"/>
    <w:rsid w:val="00520164"/>
    <w:rsid w:val="005222C3"/>
    <w:rsid w:val="005229DC"/>
    <w:rsid w:val="005254AD"/>
    <w:rsid w:val="00527604"/>
    <w:rsid w:val="00532D1B"/>
    <w:rsid w:val="00535B8D"/>
    <w:rsid w:val="00536DD2"/>
    <w:rsid w:val="005411DE"/>
    <w:rsid w:val="00546251"/>
    <w:rsid w:val="0055332A"/>
    <w:rsid w:val="00555EDE"/>
    <w:rsid w:val="005711DE"/>
    <w:rsid w:val="00573241"/>
    <w:rsid w:val="00575C9D"/>
    <w:rsid w:val="005779B2"/>
    <w:rsid w:val="00581F58"/>
    <w:rsid w:val="00586CD2"/>
    <w:rsid w:val="005872CC"/>
    <w:rsid w:val="005940FF"/>
    <w:rsid w:val="00596914"/>
    <w:rsid w:val="005A33DA"/>
    <w:rsid w:val="005A49BE"/>
    <w:rsid w:val="005A7E7E"/>
    <w:rsid w:val="005B01E4"/>
    <w:rsid w:val="005B1144"/>
    <w:rsid w:val="005B14F6"/>
    <w:rsid w:val="005B180E"/>
    <w:rsid w:val="005B4048"/>
    <w:rsid w:val="005C09F8"/>
    <w:rsid w:val="005D1597"/>
    <w:rsid w:val="005D4EBE"/>
    <w:rsid w:val="005D51C3"/>
    <w:rsid w:val="005D6674"/>
    <w:rsid w:val="00600324"/>
    <w:rsid w:val="00605FD5"/>
    <w:rsid w:val="00622142"/>
    <w:rsid w:val="0062372C"/>
    <w:rsid w:val="00630932"/>
    <w:rsid w:val="00631795"/>
    <w:rsid w:val="00633C14"/>
    <w:rsid w:val="00636AAD"/>
    <w:rsid w:val="00637A19"/>
    <w:rsid w:val="0064072E"/>
    <w:rsid w:val="0064175E"/>
    <w:rsid w:val="00651710"/>
    <w:rsid w:val="00652F79"/>
    <w:rsid w:val="006533B0"/>
    <w:rsid w:val="00654154"/>
    <w:rsid w:val="00654267"/>
    <w:rsid w:val="006560E7"/>
    <w:rsid w:val="0065614C"/>
    <w:rsid w:val="006616D3"/>
    <w:rsid w:val="0066238D"/>
    <w:rsid w:val="0066706E"/>
    <w:rsid w:val="00667837"/>
    <w:rsid w:val="00667D06"/>
    <w:rsid w:val="006717A9"/>
    <w:rsid w:val="0067327E"/>
    <w:rsid w:val="00675A3C"/>
    <w:rsid w:val="006778F4"/>
    <w:rsid w:val="00680364"/>
    <w:rsid w:val="0069574E"/>
    <w:rsid w:val="00695B12"/>
    <w:rsid w:val="006A1483"/>
    <w:rsid w:val="006A29B6"/>
    <w:rsid w:val="006A4956"/>
    <w:rsid w:val="006A6187"/>
    <w:rsid w:val="006A6D68"/>
    <w:rsid w:val="006A6E3E"/>
    <w:rsid w:val="006B25F5"/>
    <w:rsid w:val="006B34C4"/>
    <w:rsid w:val="006D0369"/>
    <w:rsid w:val="006D2D95"/>
    <w:rsid w:val="006D71B0"/>
    <w:rsid w:val="006D71DF"/>
    <w:rsid w:val="006E21C6"/>
    <w:rsid w:val="006E42E5"/>
    <w:rsid w:val="006F1019"/>
    <w:rsid w:val="006F15D2"/>
    <w:rsid w:val="006F7C4F"/>
    <w:rsid w:val="007105AC"/>
    <w:rsid w:val="00714D78"/>
    <w:rsid w:val="00724498"/>
    <w:rsid w:val="0072694A"/>
    <w:rsid w:val="007303E5"/>
    <w:rsid w:val="00746403"/>
    <w:rsid w:val="00752B33"/>
    <w:rsid w:val="00752DA3"/>
    <w:rsid w:val="00763CD2"/>
    <w:rsid w:val="0076522A"/>
    <w:rsid w:val="007707E3"/>
    <w:rsid w:val="00772353"/>
    <w:rsid w:val="0077399E"/>
    <w:rsid w:val="0078097A"/>
    <w:rsid w:val="00783715"/>
    <w:rsid w:val="0078489C"/>
    <w:rsid w:val="007873DE"/>
    <w:rsid w:val="0078798E"/>
    <w:rsid w:val="00791B7A"/>
    <w:rsid w:val="007A1051"/>
    <w:rsid w:val="007A2AB5"/>
    <w:rsid w:val="007C0625"/>
    <w:rsid w:val="007C5494"/>
    <w:rsid w:val="007C74CE"/>
    <w:rsid w:val="007D72D5"/>
    <w:rsid w:val="007E5B97"/>
    <w:rsid w:val="007E6BFA"/>
    <w:rsid w:val="007E6FAA"/>
    <w:rsid w:val="007F042C"/>
    <w:rsid w:val="007F216A"/>
    <w:rsid w:val="007F4688"/>
    <w:rsid w:val="007F6AAE"/>
    <w:rsid w:val="0080123B"/>
    <w:rsid w:val="00802785"/>
    <w:rsid w:val="00813D6C"/>
    <w:rsid w:val="00814BC6"/>
    <w:rsid w:val="00815958"/>
    <w:rsid w:val="0081674C"/>
    <w:rsid w:val="008167A4"/>
    <w:rsid w:val="008169E7"/>
    <w:rsid w:val="0081722A"/>
    <w:rsid w:val="00821AFA"/>
    <w:rsid w:val="008235E7"/>
    <w:rsid w:val="008236FF"/>
    <w:rsid w:val="00824331"/>
    <w:rsid w:val="008305FE"/>
    <w:rsid w:val="00833A9C"/>
    <w:rsid w:val="00834DCC"/>
    <w:rsid w:val="008358AC"/>
    <w:rsid w:val="00841FEE"/>
    <w:rsid w:val="00843944"/>
    <w:rsid w:val="00845294"/>
    <w:rsid w:val="00845E76"/>
    <w:rsid w:val="00846366"/>
    <w:rsid w:val="00847EB4"/>
    <w:rsid w:val="008527B4"/>
    <w:rsid w:val="0085561E"/>
    <w:rsid w:val="0085589E"/>
    <w:rsid w:val="00867743"/>
    <w:rsid w:val="00870292"/>
    <w:rsid w:val="0087084F"/>
    <w:rsid w:val="0087132C"/>
    <w:rsid w:val="008814AB"/>
    <w:rsid w:val="00883016"/>
    <w:rsid w:val="00887377"/>
    <w:rsid w:val="00890942"/>
    <w:rsid w:val="008953C5"/>
    <w:rsid w:val="008A2C19"/>
    <w:rsid w:val="008A6416"/>
    <w:rsid w:val="008B04E0"/>
    <w:rsid w:val="008B110D"/>
    <w:rsid w:val="008B3378"/>
    <w:rsid w:val="008B618F"/>
    <w:rsid w:val="008C64CC"/>
    <w:rsid w:val="008C728F"/>
    <w:rsid w:val="008D05C1"/>
    <w:rsid w:val="008D2E1A"/>
    <w:rsid w:val="008E16F1"/>
    <w:rsid w:val="008E7FBF"/>
    <w:rsid w:val="008F2C11"/>
    <w:rsid w:val="008F4729"/>
    <w:rsid w:val="008F52FA"/>
    <w:rsid w:val="008F67AC"/>
    <w:rsid w:val="008F7EDB"/>
    <w:rsid w:val="00900545"/>
    <w:rsid w:val="00900F1C"/>
    <w:rsid w:val="00905B70"/>
    <w:rsid w:val="00910752"/>
    <w:rsid w:val="00914A10"/>
    <w:rsid w:val="00923781"/>
    <w:rsid w:val="009302C2"/>
    <w:rsid w:val="0093043A"/>
    <w:rsid w:val="009316AE"/>
    <w:rsid w:val="0093555D"/>
    <w:rsid w:val="009378B5"/>
    <w:rsid w:val="009420C2"/>
    <w:rsid w:val="00946F0D"/>
    <w:rsid w:val="00951D5E"/>
    <w:rsid w:val="009564F5"/>
    <w:rsid w:val="0096341B"/>
    <w:rsid w:val="00964DC0"/>
    <w:rsid w:val="00965EE4"/>
    <w:rsid w:val="009703B2"/>
    <w:rsid w:val="00971959"/>
    <w:rsid w:val="00971CF1"/>
    <w:rsid w:val="00971DF8"/>
    <w:rsid w:val="009748D7"/>
    <w:rsid w:val="009757E6"/>
    <w:rsid w:val="00980CA1"/>
    <w:rsid w:val="00983B30"/>
    <w:rsid w:val="009853BF"/>
    <w:rsid w:val="0098663F"/>
    <w:rsid w:val="00992A2E"/>
    <w:rsid w:val="00992AB2"/>
    <w:rsid w:val="0099755A"/>
    <w:rsid w:val="009A0424"/>
    <w:rsid w:val="009A0D67"/>
    <w:rsid w:val="009A10C2"/>
    <w:rsid w:val="009A31BA"/>
    <w:rsid w:val="009A3E46"/>
    <w:rsid w:val="009A42AD"/>
    <w:rsid w:val="009B2566"/>
    <w:rsid w:val="009B77DF"/>
    <w:rsid w:val="009C12AB"/>
    <w:rsid w:val="009C20C0"/>
    <w:rsid w:val="009C29B9"/>
    <w:rsid w:val="009C302F"/>
    <w:rsid w:val="009D0218"/>
    <w:rsid w:val="009D173B"/>
    <w:rsid w:val="009D63BC"/>
    <w:rsid w:val="009E2A41"/>
    <w:rsid w:val="009E2A6C"/>
    <w:rsid w:val="009E5B09"/>
    <w:rsid w:val="009E722C"/>
    <w:rsid w:val="009F3688"/>
    <w:rsid w:val="00A02881"/>
    <w:rsid w:val="00A04DD5"/>
    <w:rsid w:val="00A10F0B"/>
    <w:rsid w:val="00A1438F"/>
    <w:rsid w:val="00A153DA"/>
    <w:rsid w:val="00A20842"/>
    <w:rsid w:val="00A21307"/>
    <w:rsid w:val="00A2333F"/>
    <w:rsid w:val="00A23E59"/>
    <w:rsid w:val="00A256F1"/>
    <w:rsid w:val="00A306ED"/>
    <w:rsid w:val="00A31B5F"/>
    <w:rsid w:val="00A31F71"/>
    <w:rsid w:val="00A37751"/>
    <w:rsid w:val="00A37B75"/>
    <w:rsid w:val="00A4184B"/>
    <w:rsid w:val="00A46EDA"/>
    <w:rsid w:val="00A522B6"/>
    <w:rsid w:val="00A52E66"/>
    <w:rsid w:val="00A541CC"/>
    <w:rsid w:val="00A54462"/>
    <w:rsid w:val="00A60670"/>
    <w:rsid w:val="00A62928"/>
    <w:rsid w:val="00A641CD"/>
    <w:rsid w:val="00A67B16"/>
    <w:rsid w:val="00A706A0"/>
    <w:rsid w:val="00A74B92"/>
    <w:rsid w:val="00A74F81"/>
    <w:rsid w:val="00A80478"/>
    <w:rsid w:val="00A84714"/>
    <w:rsid w:val="00A94D7E"/>
    <w:rsid w:val="00A95C8D"/>
    <w:rsid w:val="00A95EA0"/>
    <w:rsid w:val="00A96F5A"/>
    <w:rsid w:val="00AA0B3A"/>
    <w:rsid w:val="00AA23BA"/>
    <w:rsid w:val="00AA6558"/>
    <w:rsid w:val="00AA6F4A"/>
    <w:rsid w:val="00AB11F6"/>
    <w:rsid w:val="00AB37ED"/>
    <w:rsid w:val="00AC081D"/>
    <w:rsid w:val="00AC5733"/>
    <w:rsid w:val="00AC5A33"/>
    <w:rsid w:val="00AC766D"/>
    <w:rsid w:val="00AC7F46"/>
    <w:rsid w:val="00AD442D"/>
    <w:rsid w:val="00AD77A9"/>
    <w:rsid w:val="00AE3026"/>
    <w:rsid w:val="00AE3F48"/>
    <w:rsid w:val="00AF6E1F"/>
    <w:rsid w:val="00B007A9"/>
    <w:rsid w:val="00B00EBD"/>
    <w:rsid w:val="00B010D9"/>
    <w:rsid w:val="00B03A96"/>
    <w:rsid w:val="00B03AE3"/>
    <w:rsid w:val="00B05B6E"/>
    <w:rsid w:val="00B060ED"/>
    <w:rsid w:val="00B12972"/>
    <w:rsid w:val="00B17A0C"/>
    <w:rsid w:val="00B22360"/>
    <w:rsid w:val="00B22DAC"/>
    <w:rsid w:val="00B26927"/>
    <w:rsid w:val="00B30929"/>
    <w:rsid w:val="00B3357A"/>
    <w:rsid w:val="00B33C7F"/>
    <w:rsid w:val="00B3585D"/>
    <w:rsid w:val="00B35F15"/>
    <w:rsid w:val="00B3774D"/>
    <w:rsid w:val="00B44C64"/>
    <w:rsid w:val="00B51CBD"/>
    <w:rsid w:val="00B52793"/>
    <w:rsid w:val="00B5412E"/>
    <w:rsid w:val="00B60777"/>
    <w:rsid w:val="00B6230B"/>
    <w:rsid w:val="00B62649"/>
    <w:rsid w:val="00B62715"/>
    <w:rsid w:val="00B72ABF"/>
    <w:rsid w:val="00B7472A"/>
    <w:rsid w:val="00B80BDE"/>
    <w:rsid w:val="00B81DDB"/>
    <w:rsid w:val="00B87403"/>
    <w:rsid w:val="00B94DFB"/>
    <w:rsid w:val="00BA4CBF"/>
    <w:rsid w:val="00BA6F2D"/>
    <w:rsid w:val="00BA703E"/>
    <w:rsid w:val="00BB0837"/>
    <w:rsid w:val="00BB0BAC"/>
    <w:rsid w:val="00BB1626"/>
    <w:rsid w:val="00BB60EF"/>
    <w:rsid w:val="00BB6478"/>
    <w:rsid w:val="00BB6D0A"/>
    <w:rsid w:val="00BC5E0B"/>
    <w:rsid w:val="00BC6C68"/>
    <w:rsid w:val="00BD35E0"/>
    <w:rsid w:val="00BE0803"/>
    <w:rsid w:val="00BF3437"/>
    <w:rsid w:val="00BF45BD"/>
    <w:rsid w:val="00BF6206"/>
    <w:rsid w:val="00BF6B3B"/>
    <w:rsid w:val="00C02173"/>
    <w:rsid w:val="00C13A29"/>
    <w:rsid w:val="00C14BFB"/>
    <w:rsid w:val="00C21F92"/>
    <w:rsid w:val="00C24F01"/>
    <w:rsid w:val="00C25F2B"/>
    <w:rsid w:val="00C27457"/>
    <w:rsid w:val="00C32265"/>
    <w:rsid w:val="00C32CFE"/>
    <w:rsid w:val="00C32DA0"/>
    <w:rsid w:val="00C3589C"/>
    <w:rsid w:val="00C43592"/>
    <w:rsid w:val="00C44F98"/>
    <w:rsid w:val="00C456F0"/>
    <w:rsid w:val="00C46F35"/>
    <w:rsid w:val="00C513E0"/>
    <w:rsid w:val="00C51450"/>
    <w:rsid w:val="00C53C71"/>
    <w:rsid w:val="00C54034"/>
    <w:rsid w:val="00C54556"/>
    <w:rsid w:val="00C56D2B"/>
    <w:rsid w:val="00C57617"/>
    <w:rsid w:val="00C60B8E"/>
    <w:rsid w:val="00C67918"/>
    <w:rsid w:val="00C711DF"/>
    <w:rsid w:val="00C738AA"/>
    <w:rsid w:val="00C73C00"/>
    <w:rsid w:val="00C73DB4"/>
    <w:rsid w:val="00C75839"/>
    <w:rsid w:val="00C80C5C"/>
    <w:rsid w:val="00C83353"/>
    <w:rsid w:val="00C8359A"/>
    <w:rsid w:val="00C84321"/>
    <w:rsid w:val="00C87D15"/>
    <w:rsid w:val="00C968BF"/>
    <w:rsid w:val="00CA3DC9"/>
    <w:rsid w:val="00CB62E0"/>
    <w:rsid w:val="00CC1310"/>
    <w:rsid w:val="00CC1F2F"/>
    <w:rsid w:val="00CD4B44"/>
    <w:rsid w:val="00CD7E1E"/>
    <w:rsid w:val="00CE67CF"/>
    <w:rsid w:val="00CF1B6F"/>
    <w:rsid w:val="00CF35E8"/>
    <w:rsid w:val="00D02114"/>
    <w:rsid w:val="00D03A94"/>
    <w:rsid w:val="00D16DEC"/>
    <w:rsid w:val="00D17F85"/>
    <w:rsid w:val="00D206C6"/>
    <w:rsid w:val="00D23C5E"/>
    <w:rsid w:val="00D26DE5"/>
    <w:rsid w:val="00D30AC2"/>
    <w:rsid w:val="00D30CA6"/>
    <w:rsid w:val="00D31AF4"/>
    <w:rsid w:val="00D440EC"/>
    <w:rsid w:val="00D47B48"/>
    <w:rsid w:val="00D51569"/>
    <w:rsid w:val="00D51C46"/>
    <w:rsid w:val="00D528AD"/>
    <w:rsid w:val="00D62770"/>
    <w:rsid w:val="00D70A72"/>
    <w:rsid w:val="00D70D13"/>
    <w:rsid w:val="00D75B1F"/>
    <w:rsid w:val="00D75FD1"/>
    <w:rsid w:val="00D8051F"/>
    <w:rsid w:val="00D80C5E"/>
    <w:rsid w:val="00D82261"/>
    <w:rsid w:val="00D82300"/>
    <w:rsid w:val="00D82E65"/>
    <w:rsid w:val="00D955CB"/>
    <w:rsid w:val="00DA2DBB"/>
    <w:rsid w:val="00DB0E94"/>
    <w:rsid w:val="00DB2FB6"/>
    <w:rsid w:val="00DB3D3C"/>
    <w:rsid w:val="00DB6873"/>
    <w:rsid w:val="00DC1A17"/>
    <w:rsid w:val="00DC2D6F"/>
    <w:rsid w:val="00DD3761"/>
    <w:rsid w:val="00DD3EB1"/>
    <w:rsid w:val="00DD5E68"/>
    <w:rsid w:val="00DE518C"/>
    <w:rsid w:val="00DE5717"/>
    <w:rsid w:val="00DE61F0"/>
    <w:rsid w:val="00DE7EB2"/>
    <w:rsid w:val="00E021E9"/>
    <w:rsid w:val="00E07755"/>
    <w:rsid w:val="00E13097"/>
    <w:rsid w:val="00E20592"/>
    <w:rsid w:val="00E218F5"/>
    <w:rsid w:val="00E225D8"/>
    <w:rsid w:val="00E33652"/>
    <w:rsid w:val="00E410FF"/>
    <w:rsid w:val="00E43598"/>
    <w:rsid w:val="00E52555"/>
    <w:rsid w:val="00E52CC2"/>
    <w:rsid w:val="00E5529D"/>
    <w:rsid w:val="00E635CF"/>
    <w:rsid w:val="00E7046A"/>
    <w:rsid w:val="00E7064E"/>
    <w:rsid w:val="00E73C1D"/>
    <w:rsid w:val="00E77ABE"/>
    <w:rsid w:val="00E817AC"/>
    <w:rsid w:val="00E83FE3"/>
    <w:rsid w:val="00E909DB"/>
    <w:rsid w:val="00E923D8"/>
    <w:rsid w:val="00E971A0"/>
    <w:rsid w:val="00EA0AC6"/>
    <w:rsid w:val="00EA2482"/>
    <w:rsid w:val="00EA2C50"/>
    <w:rsid w:val="00EB129D"/>
    <w:rsid w:val="00EB28B0"/>
    <w:rsid w:val="00EC484B"/>
    <w:rsid w:val="00EC4B87"/>
    <w:rsid w:val="00EC5194"/>
    <w:rsid w:val="00EC600B"/>
    <w:rsid w:val="00ED5C44"/>
    <w:rsid w:val="00ED72AF"/>
    <w:rsid w:val="00EE03C4"/>
    <w:rsid w:val="00EE07D8"/>
    <w:rsid w:val="00EE1DCB"/>
    <w:rsid w:val="00F02D15"/>
    <w:rsid w:val="00F03E1C"/>
    <w:rsid w:val="00F16292"/>
    <w:rsid w:val="00F25F89"/>
    <w:rsid w:val="00F2770F"/>
    <w:rsid w:val="00F363B0"/>
    <w:rsid w:val="00F37ED1"/>
    <w:rsid w:val="00F42763"/>
    <w:rsid w:val="00F4380C"/>
    <w:rsid w:val="00F44C16"/>
    <w:rsid w:val="00F45E08"/>
    <w:rsid w:val="00F509A1"/>
    <w:rsid w:val="00F55770"/>
    <w:rsid w:val="00F64A3F"/>
    <w:rsid w:val="00F67C47"/>
    <w:rsid w:val="00F70F0E"/>
    <w:rsid w:val="00F77BE2"/>
    <w:rsid w:val="00F80181"/>
    <w:rsid w:val="00F80C67"/>
    <w:rsid w:val="00F82BA2"/>
    <w:rsid w:val="00F90F17"/>
    <w:rsid w:val="00F948B8"/>
    <w:rsid w:val="00FA44E8"/>
    <w:rsid w:val="00FA6EDD"/>
    <w:rsid w:val="00FB2E22"/>
    <w:rsid w:val="00FB5348"/>
    <w:rsid w:val="00FB5796"/>
    <w:rsid w:val="00FB6F1A"/>
    <w:rsid w:val="00FC04EC"/>
    <w:rsid w:val="00FC302B"/>
    <w:rsid w:val="00FC5DCD"/>
    <w:rsid w:val="00FE5AD6"/>
    <w:rsid w:val="00FF04A6"/>
    <w:rsid w:val="013A1508"/>
    <w:rsid w:val="01695955"/>
    <w:rsid w:val="01F44A7E"/>
    <w:rsid w:val="022132A0"/>
    <w:rsid w:val="023A00D0"/>
    <w:rsid w:val="02441F1E"/>
    <w:rsid w:val="026B0F18"/>
    <w:rsid w:val="02C01778"/>
    <w:rsid w:val="03E2554B"/>
    <w:rsid w:val="04D53301"/>
    <w:rsid w:val="05251506"/>
    <w:rsid w:val="062126AF"/>
    <w:rsid w:val="065D4AFF"/>
    <w:rsid w:val="068821CD"/>
    <w:rsid w:val="06C36B95"/>
    <w:rsid w:val="06E67100"/>
    <w:rsid w:val="072F4F4B"/>
    <w:rsid w:val="074141D6"/>
    <w:rsid w:val="080B2B96"/>
    <w:rsid w:val="08340600"/>
    <w:rsid w:val="08B80F70"/>
    <w:rsid w:val="08CE1480"/>
    <w:rsid w:val="095567BF"/>
    <w:rsid w:val="099B415A"/>
    <w:rsid w:val="09D9119E"/>
    <w:rsid w:val="09E9787D"/>
    <w:rsid w:val="0A37650A"/>
    <w:rsid w:val="0A8114B1"/>
    <w:rsid w:val="0A943D39"/>
    <w:rsid w:val="0A991398"/>
    <w:rsid w:val="0AB8713F"/>
    <w:rsid w:val="0AE6738A"/>
    <w:rsid w:val="0B1C0F00"/>
    <w:rsid w:val="0B5B49D2"/>
    <w:rsid w:val="0B61328F"/>
    <w:rsid w:val="0BBA6DAD"/>
    <w:rsid w:val="0CA34773"/>
    <w:rsid w:val="0D9A6E96"/>
    <w:rsid w:val="0DD12AEB"/>
    <w:rsid w:val="0E2A646C"/>
    <w:rsid w:val="0E3E1E51"/>
    <w:rsid w:val="0FA675D7"/>
    <w:rsid w:val="0FD459C9"/>
    <w:rsid w:val="106C1C7F"/>
    <w:rsid w:val="1102547E"/>
    <w:rsid w:val="117479FE"/>
    <w:rsid w:val="11CB6A72"/>
    <w:rsid w:val="12D544CC"/>
    <w:rsid w:val="12E7492B"/>
    <w:rsid w:val="145A4BFE"/>
    <w:rsid w:val="145E6E6F"/>
    <w:rsid w:val="150536CC"/>
    <w:rsid w:val="15C26140"/>
    <w:rsid w:val="15F2789E"/>
    <w:rsid w:val="16350F80"/>
    <w:rsid w:val="17732527"/>
    <w:rsid w:val="17B426B6"/>
    <w:rsid w:val="189134CD"/>
    <w:rsid w:val="192D0E48"/>
    <w:rsid w:val="19B7207B"/>
    <w:rsid w:val="19D41C13"/>
    <w:rsid w:val="1A0E6C42"/>
    <w:rsid w:val="1A1F0E4F"/>
    <w:rsid w:val="1A8E1B30"/>
    <w:rsid w:val="1AA029F4"/>
    <w:rsid w:val="1B916571"/>
    <w:rsid w:val="1BA26B6D"/>
    <w:rsid w:val="1BB03A38"/>
    <w:rsid w:val="1C302462"/>
    <w:rsid w:val="1C9C6E83"/>
    <w:rsid w:val="1CE32F62"/>
    <w:rsid w:val="1DE97D9E"/>
    <w:rsid w:val="1E971C7C"/>
    <w:rsid w:val="1EA5258A"/>
    <w:rsid w:val="1F064023"/>
    <w:rsid w:val="1FC41516"/>
    <w:rsid w:val="1FDA0ECC"/>
    <w:rsid w:val="20095E6B"/>
    <w:rsid w:val="20724D9E"/>
    <w:rsid w:val="2100305C"/>
    <w:rsid w:val="21823BC8"/>
    <w:rsid w:val="21B2201E"/>
    <w:rsid w:val="22C9251D"/>
    <w:rsid w:val="22DA6107"/>
    <w:rsid w:val="236017E5"/>
    <w:rsid w:val="23B32608"/>
    <w:rsid w:val="23CF501C"/>
    <w:rsid w:val="244507DB"/>
    <w:rsid w:val="248A3369"/>
    <w:rsid w:val="24EA2059"/>
    <w:rsid w:val="251930CE"/>
    <w:rsid w:val="259809DB"/>
    <w:rsid w:val="25B3352D"/>
    <w:rsid w:val="26502390"/>
    <w:rsid w:val="26A34BB6"/>
    <w:rsid w:val="27CB1FDF"/>
    <w:rsid w:val="27D33D9C"/>
    <w:rsid w:val="281D1ABD"/>
    <w:rsid w:val="28656689"/>
    <w:rsid w:val="28722A91"/>
    <w:rsid w:val="29C97266"/>
    <w:rsid w:val="2A0C4820"/>
    <w:rsid w:val="2AD650F3"/>
    <w:rsid w:val="2AF25A74"/>
    <w:rsid w:val="2B466FCD"/>
    <w:rsid w:val="2BF96A57"/>
    <w:rsid w:val="2C423374"/>
    <w:rsid w:val="2C5129BE"/>
    <w:rsid w:val="2CF972DD"/>
    <w:rsid w:val="2E2B7D7C"/>
    <w:rsid w:val="2E380BA8"/>
    <w:rsid w:val="2E8C0D89"/>
    <w:rsid w:val="2E8E7EF9"/>
    <w:rsid w:val="2F527179"/>
    <w:rsid w:val="2FD229CE"/>
    <w:rsid w:val="2FD46A86"/>
    <w:rsid w:val="307A7AF5"/>
    <w:rsid w:val="309701A0"/>
    <w:rsid w:val="30AA3BFA"/>
    <w:rsid w:val="31AE4CD1"/>
    <w:rsid w:val="31B6148A"/>
    <w:rsid w:val="322369AC"/>
    <w:rsid w:val="322C5A5F"/>
    <w:rsid w:val="3293788C"/>
    <w:rsid w:val="329D1546"/>
    <w:rsid w:val="34580D8D"/>
    <w:rsid w:val="34E84A88"/>
    <w:rsid w:val="351A24E7"/>
    <w:rsid w:val="355F23BB"/>
    <w:rsid w:val="356C4E18"/>
    <w:rsid w:val="358E3627"/>
    <w:rsid w:val="35901BEF"/>
    <w:rsid w:val="35A33759"/>
    <w:rsid w:val="36097DF5"/>
    <w:rsid w:val="364C52C5"/>
    <w:rsid w:val="366C4FC4"/>
    <w:rsid w:val="37206BED"/>
    <w:rsid w:val="37417AA5"/>
    <w:rsid w:val="376B0DD8"/>
    <w:rsid w:val="37C33FCE"/>
    <w:rsid w:val="392D778D"/>
    <w:rsid w:val="39391A7B"/>
    <w:rsid w:val="395C15BF"/>
    <w:rsid w:val="39617345"/>
    <w:rsid w:val="396F443C"/>
    <w:rsid w:val="39951ACA"/>
    <w:rsid w:val="3BBC6467"/>
    <w:rsid w:val="3C91782F"/>
    <w:rsid w:val="3CFD4BC8"/>
    <w:rsid w:val="3D90677F"/>
    <w:rsid w:val="3DA70333"/>
    <w:rsid w:val="3E29430C"/>
    <w:rsid w:val="3EA07555"/>
    <w:rsid w:val="3F7D5B4C"/>
    <w:rsid w:val="406D0FC7"/>
    <w:rsid w:val="40E23A1F"/>
    <w:rsid w:val="41014921"/>
    <w:rsid w:val="423053ED"/>
    <w:rsid w:val="428A332C"/>
    <w:rsid w:val="42E24311"/>
    <w:rsid w:val="42ED123B"/>
    <w:rsid w:val="432B7E32"/>
    <w:rsid w:val="43782C30"/>
    <w:rsid w:val="43E97513"/>
    <w:rsid w:val="442139B2"/>
    <w:rsid w:val="44894B89"/>
    <w:rsid w:val="453235A6"/>
    <w:rsid w:val="453A4BB1"/>
    <w:rsid w:val="45A24C35"/>
    <w:rsid w:val="465157E9"/>
    <w:rsid w:val="468F6406"/>
    <w:rsid w:val="472A2E92"/>
    <w:rsid w:val="475052AE"/>
    <w:rsid w:val="476615BC"/>
    <w:rsid w:val="480F3A01"/>
    <w:rsid w:val="48657AC5"/>
    <w:rsid w:val="48AA2445"/>
    <w:rsid w:val="49E23EFF"/>
    <w:rsid w:val="4A080708"/>
    <w:rsid w:val="4A643710"/>
    <w:rsid w:val="4A7E6C1C"/>
    <w:rsid w:val="4B77599F"/>
    <w:rsid w:val="4C3C28EB"/>
    <w:rsid w:val="4D9447F8"/>
    <w:rsid w:val="500B0F52"/>
    <w:rsid w:val="502B08AE"/>
    <w:rsid w:val="50630D8E"/>
    <w:rsid w:val="50691295"/>
    <w:rsid w:val="51AE540C"/>
    <w:rsid w:val="521567D7"/>
    <w:rsid w:val="524F3178"/>
    <w:rsid w:val="53245D51"/>
    <w:rsid w:val="54545CF2"/>
    <w:rsid w:val="549B61A8"/>
    <w:rsid w:val="54A37489"/>
    <w:rsid w:val="54AE1BF5"/>
    <w:rsid w:val="54FC6F75"/>
    <w:rsid w:val="55322D54"/>
    <w:rsid w:val="559F71D7"/>
    <w:rsid w:val="56EB7AB4"/>
    <w:rsid w:val="57E36851"/>
    <w:rsid w:val="57E80BD6"/>
    <w:rsid w:val="586236D9"/>
    <w:rsid w:val="58801E3B"/>
    <w:rsid w:val="59AB2E0B"/>
    <w:rsid w:val="5A11132E"/>
    <w:rsid w:val="5A8C18BA"/>
    <w:rsid w:val="5AF41484"/>
    <w:rsid w:val="5B1F7CA3"/>
    <w:rsid w:val="5C0D1E93"/>
    <w:rsid w:val="5C9D73D6"/>
    <w:rsid w:val="5CAF2C65"/>
    <w:rsid w:val="5CD03307"/>
    <w:rsid w:val="5D02461E"/>
    <w:rsid w:val="5D027239"/>
    <w:rsid w:val="5E1E2982"/>
    <w:rsid w:val="5E3E777F"/>
    <w:rsid w:val="5EBA675D"/>
    <w:rsid w:val="5F41229A"/>
    <w:rsid w:val="5FAD2E82"/>
    <w:rsid w:val="60FB1565"/>
    <w:rsid w:val="611D0AE5"/>
    <w:rsid w:val="61475B62"/>
    <w:rsid w:val="61B2276A"/>
    <w:rsid w:val="61DE12AA"/>
    <w:rsid w:val="620E357E"/>
    <w:rsid w:val="62634C1E"/>
    <w:rsid w:val="62B14C46"/>
    <w:rsid w:val="630C6354"/>
    <w:rsid w:val="643028DD"/>
    <w:rsid w:val="64B66AAD"/>
    <w:rsid w:val="64B67287"/>
    <w:rsid w:val="64B979ED"/>
    <w:rsid w:val="64C51278"/>
    <w:rsid w:val="64DC124E"/>
    <w:rsid w:val="64E42046"/>
    <w:rsid w:val="656F7435"/>
    <w:rsid w:val="6650370B"/>
    <w:rsid w:val="66621CB3"/>
    <w:rsid w:val="669E465B"/>
    <w:rsid w:val="67263F46"/>
    <w:rsid w:val="67674868"/>
    <w:rsid w:val="679D1690"/>
    <w:rsid w:val="67CB233E"/>
    <w:rsid w:val="67E06802"/>
    <w:rsid w:val="68183AB0"/>
    <w:rsid w:val="6841018C"/>
    <w:rsid w:val="6870599E"/>
    <w:rsid w:val="68A37B22"/>
    <w:rsid w:val="69382960"/>
    <w:rsid w:val="698124F0"/>
    <w:rsid w:val="6A7D6FE3"/>
    <w:rsid w:val="6AB73067"/>
    <w:rsid w:val="6AEF1B2B"/>
    <w:rsid w:val="6AFE76B8"/>
    <w:rsid w:val="6B5F7207"/>
    <w:rsid w:val="6B7A0198"/>
    <w:rsid w:val="6B7D0AFE"/>
    <w:rsid w:val="6BE8488D"/>
    <w:rsid w:val="6E484B11"/>
    <w:rsid w:val="6E9A20DE"/>
    <w:rsid w:val="6F0D67E6"/>
    <w:rsid w:val="704642E4"/>
    <w:rsid w:val="732B52E4"/>
    <w:rsid w:val="7333296E"/>
    <w:rsid w:val="73A34E7A"/>
    <w:rsid w:val="74F00593"/>
    <w:rsid w:val="74F5032F"/>
    <w:rsid w:val="75C86E1A"/>
    <w:rsid w:val="75D73501"/>
    <w:rsid w:val="762C5A04"/>
    <w:rsid w:val="76BE1FCB"/>
    <w:rsid w:val="776D0E41"/>
    <w:rsid w:val="78045832"/>
    <w:rsid w:val="784C73F8"/>
    <w:rsid w:val="785C7B97"/>
    <w:rsid w:val="797B3529"/>
    <w:rsid w:val="79BC4EE7"/>
    <w:rsid w:val="7A4C1074"/>
    <w:rsid w:val="7B901F91"/>
    <w:rsid w:val="7C5A2B02"/>
    <w:rsid w:val="7CA3413D"/>
    <w:rsid w:val="7CAC5DEA"/>
    <w:rsid w:val="7CE01B0D"/>
    <w:rsid w:val="7D28392F"/>
    <w:rsid w:val="7DD47FEB"/>
    <w:rsid w:val="7E22507B"/>
    <w:rsid w:val="7F2D5F40"/>
    <w:rsid w:val="7F6F0306"/>
    <w:rsid w:val="7F943E4E"/>
    <w:rsid w:val="7FB9503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qFormat="1" w:unhideWhenUsed="0" w:uiPriority="39" w:semiHidden="0" w:name="toc 3"/>
    <w:lsdException w:uiPriority="39" w:name="toc 4"/>
    <w:lsdException w:qFormat="1" w:unhideWhenUsed="0" w:uiPriority="39" w:semiHidden="0"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qFormat="1" w:uiPriority="99"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1"/>
    <w:autoRedefine/>
    <w:qFormat/>
    <w:uiPriority w:val="0"/>
    <w:pPr>
      <w:keepNext/>
      <w:keepLines/>
      <w:numPr>
        <w:ilvl w:val="0"/>
        <w:numId w:val="1"/>
      </w:numPr>
      <w:adjustRightInd w:val="0"/>
      <w:spacing w:before="340" w:after="330" w:line="578" w:lineRule="atLeast"/>
      <w:ind w:left="0"/>
      <w:jc w:val="left"/>
      <w:textAlignment w:val="baseline"/>
      <w:outlineLvl w:val="0"/>
    </w:pPr>
    <w:rPr>
      <w:rFonts w:ascii="Calibri" w:hAnsi="Calibri" w:eastAsia="宋体" w:cs="Times New Roman"/>
      <w:b/>
      <w:bCs/>
      <w:kern w:val="44"/>
      <w:sz w:val="44"/>
      <w:szCs w:val="44"/>
    </w:rPr>
  </w:style>
  <w:style w:type="paragraph" w:styleId="3">
    <w:name w:val="heading 2"/>
    <w:basedOn w:val="1"/>
    <w:next w:val="1"/>
    <w:link w:val="32"/>
    <w:autoRedefine/>
    <w:qFormat/>
    <w:uiPriority w:val="0"/>
    <w:pPr>
      <w:keepNext/>
      <w:keepLines/>
      <w:numPr>
        <w:ilvl w:val="1"/>
        <w:numId w:val="1"/>
      </w:numPr>
      <w:adjustRightInd w:val="0"/>
      <w:spacing w:before="260" w:after="260" w:line="416" w:lineRule="atLeast"/>
      <w:jc w:val="left"/>
      <w:textAlignment w:val="baseline"/>
      <w:outlineLvl w:val="1"/>
    </w:pPr>
    <w:rPr>
      <w:rFonts w:ascii="Arial" w:hAnsi="Arial" w:eastAsia="黑体" w:cs="Times New Roman"/>
      <w:b/>
      <w:bCs/>
      <w:kern w:val="0"/>
      <w:sz w:val="32"/>
      <w:szCs w:val="32"/>
    </w:rPr>
  </w:style>
  <w:style w:type="paragraph" w:styleId="4">
    <w:name w:val="heading 3"/>
    <w:basedOn w:val="1"/>
    <w:next w:val="1"/>
    <w:link w:val="33"/>
    <w:autoRedefine/>
    <w:qFormat/>
    <w:uiPriority w:val="0"/>
    <w:pPr>
      <w:autoSpaceDE w:val="0"/>
      <w:autoSpaceDN w:val="0"/>
      <w:adjustRightInd w:val="0"/>
      <w:spacing w:afterLines="50" w:line="360" w:lineRule="auto"/>
      <w:ind w:left="-4"/>
      <w:jc w:val="center"/>
      <w:outlineLvl w:val="2"/>
    </w:pPr>
    <w:rPr>
      <w:rFonts w:ascii="宋体" w:hAnsi="宋体" w:eastAsia="宋体" w:cs="Times New Roman"/>
      <w:b/>
      <w:color w:val="000000"/>
      <w:kern w:val="0"/>
      <w:sz w:val="24"/>
      <w:szCs w:val="20"/>
      <w:lang w:val="en-GB"/>
    </w:rPr>
  </w:style>
  <w:style w:type="paragraph" w:styleId="5">
    <w:name w:val="heading 4"/>
    <w:basedOn w:val="1"/>
    <w:next w:val="1"/>
    <w:link w:val="34"/>
    <w:autoRedefine/>
    <w:qFormat/>
    <w:uiPriority w:val="0"/>
    <w:pPr>
      <w:keepNext/>
      <w:keepLines/>
      <w:numPr>
        <w:ilvl w:val="3"/>
        <w:numId w:val="1"/>
      </w:numPr>
      <w:adjustRightInd w:val="0"/>
      <w:spacing w:before="280" w:after="290" w:line="376" w:lineRule="atLeast"/>
      <w:jc w:val="left"/>
      <w:textAlignment w:val="baseline"/>
      <w:outlineLvl w:val="3"/>
    </w:pPr>
    <w:rPr>
      <w:rFonts w:ascii="Arial" w:hAnsi="Arial" w:eastAsia="黑体" w:cs="Times New Roman"/>
      <w:b/>
      <w:bCs/>
      <w:kern w:val="0"/>
      <w:sz w:val="28"/>
      <w:szCs w:val="28"/>
    </w:rPr>
  </w:style>
  <w:style w:type="character" w:default="1" w:styleId="26">
    <w:name w:val="Default Paragraph Font"/>
    <w:semiHidden/>
    <w:unhideWhenUsed/>
    <w:qFormat/>
    <w:uiPriority w:val="1"/>
  </w:style>
  <w:style w:type="table" w:default="1" w:styleId="25">
    <w:name w:val="Normal Table"/>
    <w:autoRedefine/>
    <w:semiHidden/>
    <w:unhideWhenUsed/>
    <w:qFormat/>
    <w:uiPriority w:val="99"/>
    <w:tblPr>
      <w:tblCellMar>
        <w:top w:w="0" w:type="dxa"/>
        <w:left w:w="108" w:type="dxa"/>
        <w:bottom w:w="0" w:type="dxa"/>
        <w:right w:w="108" w:type="dxa"/>
      </w:tblCellMar>
    </w:tblPr>
  </w:style>
  <w:style w:type="paragraph" w:styleId="6">
    <w:name w:val="Normal Indent"/>
    <w:basedOn w:val="1"/>
    <w:autoRedefine/>
    <w:qFormat/>
    <w:uiPriority w:val="0"/>
    <w:pPr>
      <w:ind w:firstLine="425"/>
    </w:pPr>
    <w:rPr>
      <w:rFonts w:ascii="Times New Roman" w:hAnsi="Times New Roman" w:eastAsia="宋体" w:cs="Times New Roman"/>
      <w:szCs w:val="20"/>
    </w:rPr>
  </w:style>
  <w:style w:type="paragraph" w:styleId="7">
    <w:name w:val="caption"/>
    <w:basedOn w:val="1"/>
    <w:next w:val="1"/>
    <w:autoRedefine/>
    <w:qFormat/>
    <w:uiPriority w:val="0"/>
    <w:rPr>
      <w:rFonts w:ascii="Arial" w:hAnsi="Arial" w:eastAsia="黑体" w:cs="Arial"/>
      <w:sz w:val="20"/>
      <w:szCs w:val="20"/>
    </w:rPr>
  </w:style>
  <w:style w:type="paragraph" w:styleId="8">
    <w:name w:val="Body Text 3"/>
    <w:basedOn w:val="1"/>
    <w:link w:val="35"/>
    <w:autoRedefine/>
    <w:qFormat/>
    <w:uiPriority w:val="0"/>
    <w:rPr>
      <w:rFonts w:ascii="Times New Roman" w:hAnsi="Times New Roman" w:eastAsia="宋体" w:cs="Times New Roman"/>
      <w:color w:val="FF0000"/>
      <w:sz w:val="24"/>
      <w:szCs w:val="24"/>
    </w:rPr>
  </w:style>
  <w:style w:type="paragraph" w:styleId="9">
    <w:name w:val="Body Text"/>
    <w:basedOn w:val="1"/>
    <w:link w:val="36"/>
    <w:autoRedefine/>
    <w:semiHidden/>
    <w:unhideWhenUsed/>
    <w:qFormat/>
    <w:uiPriority w:val="99"/>
    <w:pPr>
      <w:spacing w:after="120"/>
    </w:pPr>
  </w:style>
  <w:style w:type="paragraph" w:styleId="10">
    <w:name w:val="Body Text Indent"/>
    <w:basedOn w:val="1"/>
    <w:next w:val="11"/>
    <w:link w:val="38"/>
    <w:autoRedefine/>
    <w:qFormat/>
    <w:uiPriority w:val="0"/>
    <w:pPr>
      <w:adjustRightInd w:val="0"/>
      <w:spacing w:after="120" w:line="360" w:lineRule="atLeast"/>
      <w:ind w:left="420" w:leftChars="200"/>
      <w:jc w:val="left"/>
      <w:textAlignment w:val="baseline"/>
    </w:pPr>
    <w:rPr>
      <w:kern w:val="0"/>
      <w:sz w:val="24"/>
      <w:szCs w:val="20"/>
    </w:rPr>
  </w:style>
  <w:style w:type="paragraph" w:styleId="11">
    <w:name w:val="Body Text First Indent 2"/>
    <w:basedOn w:val="10"/>
    <w:next w:val="1"/>
    <w:autoRedefine/>
    <w:qFormat/>
    <w:uiPriority w:val="0"/>
    <w:pPr>
      <w:ind w:firstLine="420" w:firstLineChars="200"/>
    </w:pPr>
    <w:rPr>
      <w:rFonts w:eastAsia="宋体"/>
    </w:rPr>
  </w:style>
  <w:style w:type="paragraph" w:styleId="12">
    <w:name w:val="toc 5"/>
    <w:basedOn w:val="1"/>
    <w:next w:val="1"/>
    <w:autoRedefine/>
    <w:qFormat/>
    <w:uiPriority w:val="39"/>
    <w:pPr>
      <w:spacing w:line="276" w:lineRule="auto"/>
      <w:ind w:left="960"/>
      <w:jc w:val="center"/>
    </w:pPr>
    <w:rPr>
      <w:rFonts w:ascii="Times New Roman" w:hAnsi="Times New Roman" w:eastAsia="宋体" w:cs="Times New Roman"/>
      <w:b/>
      <w:color w:val="000000"/>
      <w:sz w:val="36"/>
      <w:szCs w:val="36"/>
    </w:rPr>
  </w:style>
  <w:style w:type="paragraph" w:styleId="13">
    <w:name w:val="toc 3"/>
    <w:basedOn w:val="1"/>
    <w:next w:val="1"/>
    <w:autoRedefine/>
    <w:qFormat/>
    <w:uiPriority w:val="39"/>
    <w:pPr>
      <w:ind w:left="480"/>
      <w:jc w:val="left"/>
    </w:pPr>
    <w:rPr>
      <w:rFonts w:ascii="Times New Roman" w:hAnsi="Times New Roman" w:eastAsia="宋体" w:cs="Times New Roman"/>
      <w:i/>
      <w:iCs/>
      <w:color w:val="0000FF"/>
      <w:sz w:val="20"/>
      <w:szCs w:val="20"/>
    </w:rPr>
  </w:style>
  <w:style w:type="paragraph" w:styleId="14">
    <w:name w:val="Plain Text"/>
    <w:basedOn w:val="1"/>
    <w:link w:val="39"/>
    <w:autoRedefine/>
    <w:qFormat/>
    <w:uiPriority w:val="0"/>
    <w:rPr>
      <w:rFonts w:eastAsia="宋体"/>
      <w:sz w:val="24"/>
    </w:rPr>
  </w:style>
  <w:style w:type="paragraph" w:styleId="15">
    <w:name w:val="Date"/>
    <w:basedOn w:val="1"/>
    <w:next w:val="1"/>
    <w:link w:val="40"/>
    <w:autoRedefine/>
    <w:unhideWhenUsed/>
    <w:qFormat/>
    <w:uiPriority w:val="99"/>
    <w:pPr>
      <w:ind w:left="100" w:leftChars="2500"/>
    </w:pPr>
  </w:style>
  <w:style w:type="paragraph" w:styleId="16">
    <w:name w:val="Balloon Text"/>
    <w:basedOn w:val="1"/>
    <w:link w:val="42"/>
    <w:autoRedefine/>
    <w:semiHidden/>
    <w:unhideWhenUsed/>
    <w:qFormat/>
    <w:uiPriority w:val="99"/>
    <w:rPr>
      <w:sz w:val="18"/>
      <w:szCs w:val="18"/>
    </w:rPr>
  </w:style>
  <w:style w:type="paragraph" w:styleId="17">
    <w:name w:val="footer"/>
    <w:basedOn w:val="1"/>
    <w:link w:val="43"/>
    <w:autoRedefine/>
    <w:unhideWhenUsed/>
    <w:qFormat/>
    <w:uiPriority w:val="99"/>
    <w:pPr>
      <w:tabs>
        <w:tab w:val="center" w:pos="4153"/>
        <w:tab w:val="right" w:pos="8306"/>
      </w:tabs>
      <w:snapToGrid w:val="0"/>
      <w:jc w:val="left"/>
    </w:pPr>
    <w:rPr>
      <w:sz w:val="18"/>
      <w:szCs w:val="18"/>
    </w:rPr>
  </w:style>
  <w:style w:type="paragraph" w:styleId="18">
    <w:name w:val="envelope return"/>
    <w:basedOn w:val="1"/>
    <w:autoRedefine/>
    <w:unhideWhenUsed/>
    <w:qFormat/>
    <w:uiPriority w:val="99"/>
    <w:pPr>
      <w:snapToGrid w:val="0"/>
    </w:pPr>
    <w:rPr>
      <w:rFonts w:ascii="Arial" w:hAnsi="Arial"/>
    </w:rPr>
  </w:style>
  <w:style w:type="paragraph" w:styleId="19">
    <w:name w:val="header"/>
    <w:basedOn w:val="1"/>
    <w:link w:val="44"/>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20">
    <w:name w:val="toc 1"/>
    <w:basedOn w:val="1"/>
    <w:next w:val="1"/>
    <w:autoRedefine/>
    <w:qFormat/>
    <w:uiPriority w:val="39"/>
    <w:pPr>
      <w:spacing w:before="120" w:after="120"/>
      <w:jc w:val="left"/>
    </w:pPr>
    <w:rPr>
      <w:rFonts w:ascii="Times New Roman" w:hAnsi="Times New Roman" w:eastAsia="宋体" w:cs="Times New Roman"/>
      <w:b/>
      <w:bCs/>
      <w:caps/>
      <w:color w:val="0000FF"/>
      <w:sz w:val="20"/>
      <w:szCs w:val="20"/>
    </w:rPr>
  </w:style>
  <w:style w:type="paragraph" w:styleId="21">
    <w:name w:val="Body Text 2"/>
    <w:basedOn w:val="1"/>
    <w:autoRedefine/>
    <w:qFormat/>
    <w:uiPriority w:val="0"/>
    <w:pPr>
      <w:spacing w:after="120" w:line="480" w:lineRule="auto"/>
    </w:pPr>
  </w:style>
  <w:style w:type="paragraph" w:styleId="22">
    <w:name w:val="HTML Preformatted"/>
    <w:basedOn w:val="1"/>
    <w:link w:val="46"/>
    <w:autoRedefine/>
    <w:semiHidden/>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szCs w:val="24"/>
    </w:rPr>
  </w:style>
  <w:style w:type="paragraph" w:styleId="23">
    <w:name w:val="Normal (Web)"/>
    <w:basedOn w:val="1"/>
    <w:autoRedefine/>
    <w:qFormat/>
    <w:uiPriority w:val="99"/>
    <w:rPr>
      <w:rFonts w:ascii="Calibri" w:hAnsi="Calibri" w:eastAsia="宋体" w:cs="Times New Roman"/>
      <w:sz w:val="24"/>
      <w:szCs w:val="24"/>
    </w:rPr>
  </w:style>
  <w:style w:type="paragraph" w:styleId="24">
    <w:name w:val="Body Text First Indent"/>
    <w:basedOn w:val="9"/>
    <w:next w:val="11"/>
    <w:link w:val="47"/>
    <w:autoRedefine/>
    <w:qFormat/>
    <w:uiPriority w:val="0"/>
    <w:pPr>
      <w:ind w:firstLine="420" w:firstLineChars="100"/>
    </w:pPr>
    <w:rPr>
      <w:rFonts w:ascii="宋体" w:hAnsi="Times New Roman" w:eastAsia="宋体" w:cs="Times New Roman"/>
      <w:kern w:val="0"/>
      <w:sz w:val="34"/>
      <w:szCs w:val="20"/>
    </w:rPr>
  </w:style>
  <w:style w:type="character" w:styleId="27">
    <w:name w:val="Strong"/>
    <w:basedOn w:val="26"/>
    <w:autoRedefine/>
    <w:qFormat/>
    <w:uiPriority w:val="22"/>
    <w:rPr>
      <w:b/>
      <w:bCs/>
    </w:rPr>
  </w:style>
  <w:style w:type="character" w:styleId="28">
    <w:name w:val="Emphasis"/>
    <w:basedOn w:val="26"/>
    <w:autoRedefine/>
    <w:qFormat/>
    <w:uiPriority w:val="20"/>
    <w:rPr>
      <w:i/>
      <w:iCs/>
    </w:rPr>
  </w:style>
  <w:style w:type="character" w:styleId="29">
    <w:name w:val="Hyperlink"/>
    <w:basedOn w:val="26"/>
    <w:autoRedefine/>
    <w:unhideWhenUsed/>
    <w:qFormat/>
    <w:uiPriority w:val="99"/>
    <w:rPr>
      <w:color w:val="0000FF"/>
      <w:u w:val="single"/>
    </w:rPr>
  </w:style>
  <w:style w:type="paragraph" w:customStyle="1" w:styleId="30">
    <w:name w:val="列出段落1"/>
    <w:basedOn w:val="1"/>
    <w:autoRedefine/>
    <w:qFormat/>
    <w:uiPriority w:val="99"/>
    <w:pPr>
      <w:ind w:firstLine="420" w:firstLineChars="200"/>
    </w:pPr>
  </w:style>
  <w:style w:type="character" w:customStyle="1" w:styleId="31">
    <w:name w:val="标题 1 Char"/>
    <w:basedOn w:val="26"/>
    <w:link w:val="2"/>
    <w:autoRedefine/>
    <w:qFormat/>
    <w:uiPriority w:val="0"/>
    <w:rPr>
      <w:rFonts w:ascii="Calibri" w:hAnsi="Calibri" w:eastAsia="宋体" w:cs="Times New Roman"/>
      <w:b/>
      <w:bCs/>
      <w:kern w:val="44"/>
      <w:sz w:val="44"/>
      <w:szCs w:val="44"/>
    </w:rPr>
  </w:style>
  <w:style w:type="character" w:customStyle="1" w:styleId="32">
    <w:name w:val="标题 2 Char"/>
    <w:basedOn w:val="26"/>
    <w:link w:val="3"/>
    <w:autoRedefine/>
    <w:qFormat/>
    <w:uiPriority w:val="0"/>
    <w:rPr>
      <w:rFonts w:ascii="Arial" w:hAnsi="Arial" w:eastAsia="黑体" w:cs="Times New Roman"/>
      <w:b/>
      <w:bCs/>
      <w:sz w:val="32"/>
      <w:szCs w:val="32"/>
    </w:rPr>
  </w:style>
  <w:style w:type="character" w:customStyle="1" w:styleId="33">
    <w:name w:val="标题 3 Char"/>
    <w:basedOn w:val="26"/>
    <w:link w:val="4"/>
    <w:autoRedefine/>
    <w:qFormat/>
    <w:uiPriority w:val="0"/>
    <w:rPr>
      <w:rFonts w:ascii="宋体" w:hAnsi="宋体" w:eastAsia="宋体" w:cs="Times New Roman"/>
      <w:b/>
      <w:color w:val="000000"/>
      <w:kern w:val="0"/>
      <w:sz w:val="24"/>
      <w:szCs w:val="20"/>
      <w:lang w:val="en-GB"/>
    </w:rPr>
  </w:style>
  <w:style w:type="character" w:customStyle="1" w:styleId="34">
    <w:name w:val="标题 4 Char"/>
    <w:basedOn w:val="26"/>
    <w:link w:val="5"/>
    <w:autoRedefine/>
    <w:qFormat/>
    <w:uiPriority w:val="0"/>
    <w:rPr>
      <w:rFonts w:ascii="Arial" w:hAnsi="Arial" w:eastAsia="黑体" w:cs="Times New Roman"/>
      <w:b/>
      <w:bCs/>
      <w:sz w:val="28"/>
      <w:szCs w:val="28"/>
    </w:rPr>
  </w:style>
  <w:style w:type="character" w:customStyle="1" w:styleId="35">
    <w:name w:val="正文文本 3 Char"/>
    <w:basedOn w:val="26"/>
    <w:link w:val="8"/>
    <w:autoRedefine/>
    <w:qFormat/>
    <w:uiPriority w:val="0"/>
    <w:rPr>
      <w:rFonts w:ascii="Times New Roman" w:hAnsi="Times New Roman" w:eastAsia="宋体" w:cs="Times New Roman"/>
      <w:color w:val="FF0000"/>
      <w:sz w:val="24"/>
      <w:szCs w:val="24"/>
    </w:rPr>
  </w:style>
  <w:style w:type="character" w:customStyle="1" w:styleId="36">
    <w:name w:val="正文文本 Char"/>
    <w:basedOn w:val="26"/>
    <w:link w:val="9"/>
    <w:autoRedefine/>
    <w:semiHidden/>
    <w:qFormat/>
    <w:uiPriority w:val="99"/>
  </w:style>
  <w:style w:type="character" w:customStyle="1" w:styleId="37">
    <w:name w:val="正文文本缩进 Char"/>
    <w:basedOn w:val="26"/>
    <w:autoRedefine/>
    <w:qFormat/>
    <w:uiPriority w:val="0"/>
  </w:style>
  <w:style w:type="character" w:customStyle="1" w:styleId="38">
    <w:name w:val="正文文本缩进 Char1"/>
    <w:basedOn w:val="26"/>
    <w:link w:val="10"/>
    <w:autoRedefine/>
    <w:qFormat/>
    <w:uiPriority w:val="0"/>
    <w:rPr>
      <w:kern w:val="0"/>
      <w:sz w:val="24"/>
      <w:szCs w:val="20"/>
    </w:rPr>
  </w:style>
  <w:style w:type="character" w:customStyle="1" w:styleId="39">
    <w:name w:val="纯文本 Char"/>
    <w:basedOn w:val="26"/>
    <w:link w:val="14"/>
    <w:autoRedefine/>
    <w:qFormat/>
    <w:uiPriority w:val="0"/>
    <w:rPr>
      <w:rFonts w:eastAsia="宋体"/>
      <w:sz w:val="24"/>
    </w:rPr>
  </w:style>
  <w:style w:type="character" w:customStyle="1" w:styleId="40">
    <w:name w:val="日期 Char"/>
    <w:basedOn w:val="26"/>
    <w:link w:val="15"/>
    <w:autoRedefine/>
    <w:qFormat/>
    <w:uiPriority w:val="99"/>
  </w:style>
  <w:style w:type="character" w:customStyle="1" w:styleId="41">
    <w:name w:val="批注框文本 Char"/>
    <w:basedOn w:val="26"/>
    <w:autoRedefine/>
    <w:semiHidden/>
    <w:qFormat/>
    <w:uiPriority w:val="99"/>
    <w:rPr>
      <w:sz w:val="18"/>
      <w:szCs w:val="18"/>
    </w:rPr>
  </w:style>
  <w:style w:type="character" w:customStyle="1" w:styleId="42">
    <w:name w:val="批注框文本 Char1"/>
    <w:basedOn w:val="26"/>
    <w:link w:val="16"/>
    <w:autoRedefine/>
    <w:semiHidden/>
    <w:qFormat/>
    <w:uiPriority w:val="99"/>
    <w:rPr>
      <w:sz w:val="18"/>
      <w:szCs w:val="18"/>
    </w:rPr>
  </w:style>
  <w:style w:type="character" w:customStyle="1" w:styleId="43">
    <w:name w:val="页脚 Char"/>
    <w:basedOn w:val="26"/>
    <w:link w:val="17"/>
    <w:autoRedefine/>
    <w:qFormat/>
    <w:uiPriority w:val="99"/>
    <w:rPr>
      <w:sz w:val="18"/>
      <w:szCs w:val="18"/>
    </w:rPr>
  </w:style>
  <w:style w:type="character" w:customStyle="1" w:styleId="44">
    <w:name w:val="页眉 Char"/>
    <w:basedOn w:val="26"/>
    <w:link w:val="19"/>
    <w:autoRedefine/>
    <w:qFormat/>
    <w:uiPriority w:val="99"/>
    <w:rPr>
      <w:sz w:val="18"/>
      <w:szCs w:val="18"/>
    </w:rPr>
  </w:style>
  <w:style w:type="character" w:customStyle="1" w:styleId="45">
    <w:name w:val="HTML 预设格式 Char"/>
    <w:basedOn w:val="26"/>
    <w:autoRedefine/>
    <w:semiHidden/>
    <w:qFormat/>
    <w:uiPriority w:val="99"/>
    <w:rPr>
      <w:rFonts w:ascii="宋体" w:hAnsi="宋体" w:eastAsia="宋体" w:cs="宋体"/>
      <w:kern w:val="0"/>
      <w:sz w:val="24"/>
      <w:szCs w:val="24"/>
    </w:rPr>
  </w:style>
  <w:style w:type="character" w:customStyle="1" w:styleId="46">
    <w:name w:val="HTML 预设格式 Char1"/>
    <w:basedOn w:val="26"/>
    <w:link w:val="22"/>
    <w:autoRedefine/>
    <w:semiHidden/>
    <w:qFormat/>
    <w:uiPriority w:val="99"/>
    <w:rPr>
      <w:rFonts w:ascii="Courier New" w:hAnsi="Courier New" w:cs="Courier New"/>
      <w:sz w:val="20"/>
      <w:szCs w:val="20"/>
    </w:rPr>
  </w:style>
  <w:style w:type="character" w:customStyle="1" w:styleId="47">
    <w:name w:val="正文首行缩进 Char"/>
    <w:basedOn w:val="36"/>
    <w:link w:val="24"/>
    <w:autoRedefine/>
    <w:qFormat/>
    <w:uiPriority w:val="0"/>
    <w:rPr>
      <w:rFonts w:ascii="宋体" w:hAnsi="Times New Roman" w:eastAsia="宋体" w:cs="Times New Roman"/>
      <w:kern w:val="0"/>
      <w:sz w:val="34"/>
      <w:szCs w:val="20"/>
    </w:rPr>
  </w:style>
  <w:style w:type="character" w:customStyle="1" w:styleId="48">
    <w:name w:val="纯文本 Char1"/>
    <w:autoRedefine/>
    <w:qFormat/>
    <w:uiPriority w:val="0"/>
    <w:rPr>
      <w:rFonts w:eastAsia="宋体"/>
      <w:sz w:val="24"/>
    </w:rPr>
  </w:style>
  <w:style w:type="paragraph" w:customStyle="1" w:styleId="49">
    <w:name w:val="Default"/>
    <w:autoRedefine/>
    <w:qFormat/>
    <w:uiPriority w:val="0"/>
    <w:pPr>
      <w:widowControl w:val="0"/>
      <w:autoSpaceDE w:val="0"/>
      <w:autoSpaceDN w:val="0"/>
      <w:adjustRightInd w:val="0"/>
    </w:pPr>
    <w:rPr>
      <w:rFonts w:ascii="宋体" w:eastAsia="宋体" w:cs="宋体" w:hAnsiTheme="minorHAnsi"/>
      <w:color w:val="000000"/>
      <w:sz w:val="24"/>
      <w:szCs w:val="24"/>
      <w:lang w:val="en-US" w:eastAsia="zh-CN" w:bidi="ar-SA"/>
    </w:rPr>
  </w:style>
  <w:style w:type="paragraph" w:styleId="50">
    <w:name w:val="List Paragraph"/>
    <w:basedOn w:val="1"/>
    <w:autoRedefine/>
    <w:unhideWhenUsed/>
    <w:qFormat/>
    <w:uiPriority w:val="99"/>
    <w:pPr>
      <w:ind w:firstLine="420" w:firstLineChars="200"/>
    </w:pPr>
  </w:style>
  <w:style w:type="character" w:customStyle="1" w:styleId="51">
    <w:name w:val="正文文本缩进 Char Char"/>
    <w:link w:val="52"/>
    <w:autoRedefine/>
    <w:qFormat/>
    <w:uiPriority w:val="0"/>
    <w:rPr>
      <w:rFonts w:ascii="宋体"/>
      <w:sz w:val="24"/>
    </w:rPr>
  </w:style>
  <w:style w:type="paragraph" w:customStyle="1" w:styleId="52">
    <w:name w:val="正文文本缩进1"/>
    <w:basedOn w:val="1"/>
    <w:link w:val="51"/>
    <w:autoRedefine/>
    <w:qFormat/>
    <w:uiPriority w:val="0"/>
    <w:pPr>
      <w:spacing w:line="360" w:lineRule="auto"/>
      <w:ind w:firstLine="480" w:firstLineChars="200"/>
    </w:pPr>
    <w:rPr>
      <w:rFonts w:ascii="宋体"/>
      <w:sz w:val="24"/>
    </w:rPr>
  </w:style>
  <w:style w:type="character" w:customStyle="1" w:styleId="53">
    <w:name w:val="日期 Char Char"/>
    <w:link w:val="54"/>
    <w:autoRedefine/>
    <w:qFormat/>
    <w:uiPriority w:val="0"/>
    <w:rPr>
      <w:sz w:val="24"/>
    </w:rPr>
  </w:style>
  <w:style w:type="paragraph" w:customStyle="1" w:styleId="54">
    <w:name w:val="日期1"/>
    <w:basedOn w:val="1"/>
    <w:next w:val="1"/>
    <w:link w:val="53"/>
    <w:autoRedefine/>
    <w:qFormat/>
    <w:uiPriority w:val="0"/>
    <w:rPr>
      <w:sz w:val="24"/>
    </w:rPr>
  </w:style>
  <w:style w:type="paragraph" w:customStyle="1" w:styleId="55">
    <w:name w:val="正文缩进1"/>
    <w:basedOn w:val="1"/>
    <w:autoRedefine/>
    <w:qFormat/>
    <w:uiPriority w:val="0"/>
    <w:pPr>
      <w:adjustRightInd w:val="0"/>
      <w:spacing w:line="360" w:lineRule="atLeast"/>
      <w:ind w:firstLine="420" w:firstLineChars="200"/>
      <w:jc w:val="left"/>
      <w:textAlignment w:val="baseline"/>
    </w:pPr>
    <w:rPr>
      <w:rFonts w:ascii="Times New Roman" w:hAnsi="Times New Roman" w:eastAsia="宋体" w:cs="Times New Roman"/>
      <w:kern w:val="0"/>
      <w:sz w:val="24"/>
      <w:szCs w:val="20"/>
    </w:rPr>
  </w:style>
  <w:style w:type="paragraph" w:customStyle="1" w:styleId="56">
    <w:name w:val="样式1"/>
    <w:basedOn w:val="1"/>
    <w:autoRedefine/>
    <w:qFormat/>
    <w:uiPriority w:val="0"/>
    <w:pPr>
      <w:numPr>
        <w:ilvl w:val="0"/>
        <w:numId w:val="2"/>
      </w:numPr>
      <w:adjustRightInd w:val="0"/>
      <w:textAlignment w:val="baseline"/>
    </w:pPr>
    <w:rPr>
      <w:rFonts w:ascii="宋体" w:hAnsi="宋体" w:eastAsia="宋体" w:cs="Times New Roman"/>
      <w:kern w:val="0"/>
      <w:szCs w:val="21"/>
    </w:rPr>
  </w:style>
  <w:style w:type="paragraph" w:customStyle="1" w:styleId="57">
    <w:name w:val="图"/>
    <w:basedOn w:val="1"/>
    <w:autoRedefine/>
    <w:qFormat/>
    <w:uiPriority w:val="0"/>
    <w:pPr>
      <w:keepNext/>
      <w:adjustRightInd w:val="0"/>
      <w:spacing w:before="60" w:after="60" w:line="300" w:lineRule="auto"/>
      <w:jc w:val="center"/>
      <w:textAlignment w:val="center"/>
    </w:pPr>
    <w:rPr>
      <w:rFonts w:ascii="Times New Roman" w:hAnsi="Times New Roman" w:eastAsia="宋体" w:cs="Times New Roman"/>
      <w:snapToGrid w:val="0"/>
      <w:color w:val="0000FF"/>
      <w:spacing w:val="20"/>
      <w:kern w:val="0"/>
      <w:sz w:val="24"/>
      <w:szCs w:val="20"/>
    </w:rPr>
  </w:style>
  <w:style w:type="character" w:customStyle="1" w:styleId="58">
    <w:name w:val="edittexttarea"/>
    <w:basedOn w:val="26"/>
    <w:autoRedefine/>
    <w:qFormat/>
    <w:uiPriority w:val="0"/>
  </w:style>
  <w:style w:type="paragraph" w:customStyle="1" w:styleId="59">
    <w:name w:val="样式 标题 1 + 四号 居中 段前: 12 磅 段后: 12 磅 行距: 单倍行距"/>
    <w:basedOn w:val="2"/>
    <w:autoRedefine/>
    <w:qFormat/>
    <w:uiPriority w:val="0"/>
    <w:pPr>
      <w:spacing w:before="240" w:after="240" w:line="240" w:lineRule="auto"/>
      <w:ind w:left="-288"/>
      <w:jc w:val="center"/>
    </w:pPr>
    <w:rPr>
      <w:rFonts w:cs="宋体"/>
      <w:sz w:val="28"/>
      <w:szCs w:val="20"/>
    </w:rPr>
  </w:style>
  <w:style w:type="paragraph" w:customStyle="1" w:styleId="60">
    <w:name w:val="样式 样式 样式 样式 标题 2 + 宋体 五号 非加粗 黑色 + 段前: 6 磅 段后: 0 磅 行距: 单倍行距 + 段前:..."/>
    <w:basedOn w:val="1"/>
    <w:autoRedefine/>
    <w:qFormat/>
    <w:uiPriority w:val="0"/>
    <w:pPr>
      <w:keepNext/>
      <w:keepLines/>
      <w:numPr>
        <w:ilvl w:val="0"/>
        <w:numId w:val="3"/>
      </w:numPr>
      <w:adjustRightInd w:val="0"/>
      <w:spacing w:before="240"/>
      <w:jc w:val="left"/>
      <w:textAlignment w:val="baseline"/>
      <w:outlineLvl w:val="1"/>
    </w:pPr>
    <w:rPr>
      <w:rFonts w:ascii="宋体" w:hAnsi="宋体" w:eastAsia="宋体" w:cs="宋体"/>
      <w:b/>
      <w:bCs/>
      <w:color w:val="000000"/>
      <w:kern w:val="0"/>
      <w:szCs w:val="20"/>
    </w:rPr>
  </w:style>
  <w:style w:type="paragraph" w:customStyle="1" w:styleId="61">
    <w:name w:val="正文格式"/>
    <w:autoRedefine/>
    <w:qFormat/>
    <w:uiPriority w:val="99"/>
    <w:pPr>
      <w:spacing w:line="360" w:lineRule="auto"/>
      <w:ind w:firstLine="200" w:firstLineChars="200"/>
    </w:pPr>
    <w:rPr>
      <w:rFonts w:ascii="宋体" w:hAnsi="宋体" w:eastAsia="宋体" w:cs="Times New Roman"/>
      <w:kern w:val="2"/>
      <w:sz w:val="28"/>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716B3DD-3969-44D6-B8C9-935BD8E0F394}">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79</Pages>
  <Words>36413</Words>
  <Characters>38453</Characters>
  <Lines>216</Lines>
  <Paragraphs>60</Paragraphs>
  <TotalTime>6</TotalTime>
  <ScaleCrop>false</ScaleCrop>
  <LinksUpToDate>false</LinksUpToDate>
  <CharactersWithSpaces>43187</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2021-10-25T09:31:00Z</dcterms:created>
  <dc:creator>许昌市公共资源交易中心:孟莉</dc:creator>
  <cp:lastModifiedBy>叶子李</cp:lastModifiedBy>
  <cp:lastPrinted>2024-07-25T12:45:00Z</cp:lastPrinted>
  <dcterms:modified xsi:type="dcterms:W3CDTF">2024-07-30T08:42:14Z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AD19A04170E940ABBA9F0C66A4C407CE_13</vt:lpwstr>
  </property>
</Properties>
</file>