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pPr>
        <w:jc w:val="center"/>
        <w:rPr>
          <w:rFonts w:hint="eastAsia" w:asciiTheme="majorEastAsia" w:hAnsiTheme="majorEastAsia" w:eastAsiaTheme="majorEastAsia" w:cstheme="majorEastAsia"/>
          <w:b/>
          <w:bCs/>
          <w:color w:val="auto"/>
          <w:sz w:val="44"/>
          <w:szCs w:val="44"/>
          <w:lang w:eastAsia="zh-CN"/>
        </w:rPr>
      </w:pPr>
      <w:bookmarkStart w:id="11" w:name="_GoBack"/>
      <w:bookmarkEnd w:id="11"/>
      <w:r>
        <w:rPr>
          <w:rFonts w:hint="eastAsia" w:asciiTheme="majorEastAsia" w:hAnsiTheme="majorEastAsia" w:eastAsiaTheme="majorEastAsia" w:cstheme="majorEastAsia"/>
          <w:b/>
          <w:bCs/>
          <w:color w:val="auto"/>
          <w:sz w:val="44"/>
          <w:szCs w:val="44"/>
          <w:lang w:eastAsia="zh-CN"/>
        </w:rPr>
        <w:drawing>
          <wp:inline distT="0" distB="0" distL="114300" distR="114300">
            <wp:extent cx="5615305" cy="6602730"/>
            <wp:effectExtent l="0" t="0" r="4445" b="7620"/>
            <wp:docPr id="1" name="图片 1" descr="528d6f68e6cb351a6a405e1594ca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528d6f68e6cb351a6a405e1594ca760"/>
                    <pic:cNvPicPr>
                      <a:picLocks noChangeAspect="1"/>
                    </pic:cNvPicPr>
                  </pic:nvPicPr>
                  <pic:blipFill>
                    <a:blip r:embed="rId5"/>
                    <a:stretch>
                      <a:fillRect/>
                    </a:stretch>
                  </pic:blipFill>
                  <pic:spPr>
                    <a:xfrm>
                      <a:off x="0" y="0"/>
                      <a:ext cx="5615305" cy="6602730"/>
                    </a:xfrm>
                    <a:prstGeom prst="rect">
                      <a:avLst/>
                    </a:prstGeom>
                  </pic:spPr>
                </pic:pic>
              </a:graphicData>
            </a:graphic>
          </wp:inline>
        </w:drawing>
      </w:r>
    </w:p>
    <w:p>
      <w:pPr>
        <w:rPr>
          <w:rFonts w:asciiTheme="majorEastAsia" w:hAnsiTheme="majorEastAsia" w:eastAsiaTheme="majorEastAsia" w:cstheme="majorEastAsia"/>
          <w:b/>
          <w:bCs/>
          <w:color w:val="auto"/>
          <w:sz w:val="36"/>
          <w:szCs w:val="36"/>
        </w:rPr>
      </w:pPr>
    </w:p>
    <w:p>
      <w:pPr>
        <w:autoSpaceDE w:val="0"/>
        <w:autoSpaceDN w:val="0"/>
        <w:adjustRightInd w:val="0"/>
        <w:spacing w:line="700" w:lineRule="exact"/>
        <w:ind w:firstLine="551"/>
        <w:jc w:val="center"/>
        <w:rPr>
          <w:rFonts w:hint="eastAsia" w:cs="宋体" w:asciiTheme="majorEastAsia" w:hAnsiTheme="majorEastAsia" w:eastAsiaTheme="majorEastAsia"/>
          <w:b/>
          <w:color w:val="auto"/>
          <w:kern w:val="0"/>
          <w:sz w:val="44"/>
          <w:szCs w:val="44"/>
        </w:rPr>
      </w:pPr>
    </w:p>
    <w:p>
      <w:pPr>
        <w:autoSpaceDE w:val="0"/>
        <w:autoSpaceDN w:val="0"/>
        <w:adjustRightInd w:val="0"/>
        <w:spacing w:line="700" w:lineRule="exact"/>
        <w:ind w:firstLine="551"/>
        <w:jc w:val="center"/>
        <w:rPr>
          <w:rFonts w:hint="eastAsia" w:cs="宋体" w:asciiTheme="majorEastAsia" w:hAnsiTheme="majorEastAsia" w:eastAsiaTheme="majorEastAsia"/>
          <w:b/>
          <w:color w:val="auto"/>
          <w:kern w:val="0"/>
          <w:sz w:val="44"/>
          <w:szCs w:val="44"/>
        </w:rPr>
      </w:pPr>
    </w:p>
    <w:p>
      <w:pPr>
        <w:autoSpaceDE w:val="0"/>
        <w:autoSpaceDN w:val="0"/>
        <w:adjustRightInd w:val="0"/>
        <w:spacing w:line="700" w:lineRule="exact"/>
        <w:ind w:firstLine="551"/>
        <w:jc w:val="center"/>
        <w:rPr>
          <w:rFonts w:hint="eastAsia" w:cs="宋体" w:asciiTheme="majorEastAsia" w:hAnsiTheme="majorEastAsia" w:eastAsiaTheme="majorEastAsia"/>
          <w:b/>
          <w:color w:val="auto"/>
          <w:kern w:val="0"/>
          <w:sz w:val="44"/>
          <w:szCs w:val="44"/>
        </w:rPr>
      </w:pPr>
    </w:p>
    <w:p>
      <w:pPr>
        <w:autoSpaceDE w:val="0"/>
        <w:autoSpaceDN w:val="0"/>
        <w:adjustRightInd w:val="0"/>
        <w:spacing w:line="700" w:lineRule="exact"/>
        <w:ind w:firstLine="551"/>
        <w:jc w:val="center"/>
        <w:rPr>
          <w:rFonts w:cs="宋体" w:asciiTheme="majorEastAsia" w:hAnsiTheme="majorEastAsia" w:eastAsiaTheme="majorEastAsia"/>
          <w:b/>
          <w:color w:val="auto"/>
          <w:kern w:val="0"/>
          <w:sz w:val="44"/>
          <w:szCs w:val="44"/>
        </w:rPr>
      </w:pPr>
      <w:r>
        <w:rPr>
          <w:rFonts w:hint="eastAsia" w:cs="宋体" w:asciiTheme="majorEastAsia" w:hAnsiTheme="majorEastAsia" w:eastAsiaTheme="majorEastAsia"/>
          <w:b/>
          <w:color w:val="auto"/>
          <w:kern w:val="0"/>
          <w:sz w:val="44"/>
          <w:szCs w:val="44"/>
        </w:rPr>
        <w:t>招标文件目录</w:t>
      </w:r>
    </w:p>
    <w:p>
      <w:pPr>
        <w:autoSpaceDE w:val="0"/>
        <w:autoSpaceDN w:val="0"/>
        <w:adjustRightInd w:val="0"/>
        <w:spacing w:line="700" w:lineRule="exact"/>
        <w:ind w:firstLine="551"/>
        <w:rPr>
          <w:rFonts w:asciiTheme="majorEastAsia" w:hAnsiTheme="majorEastAsia" w:eastAsiaTheme="majorEastAsia" w:cstheme="majorEastAsia"/>
          <w:b/>
          <w:bCs/>
          <w:color w:val="auto"/>
          <w:sz w:val="32"/>
          <w:szCs w:val="32"/>
          <w:lang w:val="zh-CN"/>
        </w:rPr>
      </w:pPr>
    </w:p>
    <w:p>
      <w:pPr>
        <w:autoSpaceDE w:val="0"/>
        <w:autoSpaceDN w:val="0"/>
        <w:adjustRightInd w:val="0"/>
        <w:spacing w:line="700" w:lineRule="exact"/>
        <w:ind w:firstLine="551"/>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b/>
          <w:bCs/>
          <w:color w:val="auto"/>
          <w:sz w:val="30"/>
          <w:szCs w:val="30"/>
          <w:lang w:val="zh-CN"/>
        </w:rPr>
        <w:t>第一章 投标邀请</w:t>
      </w:r>
    </w:p>
    <w:p>
      <w:pPr>
        <w:autoSpaceDE w:val="0"/>
        <w:autoSpaceDN w:val="0"/>
        <w:adjustRightInd w:val="0"/>
        <w:spacing w:line="700" w:lineRule="exact"/>
        <w:ind w:firstLine="551"/>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b/>
          <w:bCs/>
          <w:color w:val="auto"/>
          <w:sz w:val="30"/>
          <w:szCs w:val="30"/>
          <w:lang w:val="zh-CN"/>
        </w:rPr>
        <w:t>第二章 项目需求</w:t>
      </w:r>
    </w:p>
    <w:p>
      <w:pPr>
        <w:autoSpaceDE w:val="0"/>
        <w:autoSpaceDN w:val="0"/>
        <w:adjustRightInd w:val="0"/>
        <w:spacing w:line="700" w:lineRule="exact"/>
        <w:ind w:firstLine="560"/>
        <w:rPr>
          <w:rFonts w:asciiTheme="majorEastAsia" w:hAnsiTheme="majorEastAsia" w:eastAsiaTheme="majorEastAsia" w:cstheme="majorEastAsia"/>
          <w:b/>
          <w:color w:val="auto"/>
          <w:kern w:val="0"/>
          <w:sz w:val="30"/>
          <w:szCs w:val="30"/>
        </w:rPr>
      </w:pPr>
      <w:r>
        <w:rPr>
          <w:rFonts w:hint="eastAsia" w:asciiTheme="majorEastAsia" w:hAnsiTheme="majorEastAsia" w:eastAsiaTheme="majorEastAsia" w:cstheme="majorEastAsia"/>
          <w:b/>
          <w:bCs/>
          <w:color w:val="auto"/>
          <w:sz w:val="30"/>
          <w:szCs w:val="30"/>
          <w:lang w:val="zh-CN"/>
        </w:rPr>
        <w:t xml:space="preserve">第三章 </w:t>
      </w:r>
      <w:r>
        <w:rPr>
          <w:rFonts w:hint="eastAsia" w:asciiTheme="majorEastAsia" w:hAnsiTheme="majorEastAsia" w:eastAsiaTheme="majorEastAsia" w:cstheme="majorEastAsia"/>
          <w:b/>
          <w:color w:val="auto"/>
          <w:kern w:val="0"/>
          <w:sz w:val="30"/>
          <w:szCs w:val="30"/>
        </w:rPr>
        <w:t>投标人须知前附表</w:t>
      </w:r>
    </w:p>
    <w:p>
      <w:pPr>
        <w:autoSpaceDE w:val="0"/>
        <w:autoSpaceDN w:val="0"/>
        <w:adjustRightInd w:val="0"/>
        <w:spacing w:line="700" w:lineRule="exact"/>
        <w:ind w:firstLine="560"/>
        <w:rPr>
          <w:rFonts w:asciiTheme="majorEastAsia" w:hAnsiTheme="majorEastAsia" w:eastAsiaTheme="majorEastAsia" w:cstheme="majorEastAsia"/>
          <w:b/>
          <w:color w:val="auto"/>
          <w:kern w:val="0"/>
          <w:sz w:val="30"/>
          <w:szCs w:val="30"/>
        </w:rPr>
      </w:pPr>
      <w:r>
        <w:rPr>
          <w:rFonts w:hint="eastAsia" w:asciiTheme="majorEastAsia" w:hAnsiTheme="majorEastAsia" w:eastAsiaTheme="majorEastAsia" w:cstheme="majorEastAsia"/>
          <w:b/>
          <w:bCs/>
          <w:color w:val="auto"/>
          <w:sz w:val="30"/>
          <w:szCs w:val="30"/>
          <w:lang w:val="zh-CN"/>
        </w:rPr>
        <w:t xml:space="preserve">第四章 </w:t>
      </w:r>
      <w:r>
        <w:rPr>
          <w:rFonts w:hint="eastAsia" w:asciiTheme="majorEastAsia" w:hAnsiTheme="majorEastAsia" w:eastAsiaTheme="majorEastAsia" w:cstheme="majorEastAsia"/>
          <w:b/>
          <w:color w:val="auto"/>
          <w:kern w:val="0"/>
          <w:sz w:val="30"/>
          <w:szCs w:val="30"/>
        </w:rPr>
        <w:t>投标人须知</w:t>
      </w:r>
    </w:p>
    <w:p>
      <w:pPr>
        <w:autoSpaceDE w:val="0"/>
        <w:autoSpaceDN w:val="0"/>
        <w:adjustRightInd w:val="0"/>
        <w:spacing w:line="700" w:lineRule="exact"/>
        <w:ind w:firstLine="560"/>
        <w:rPr>
          <w:rFonts w:asciiTheme="majorEastAsia" w:hAnsiTheme="majorEastAsia" w:eastAsiaTheme="majorEastAsia" w:cstheme="majorEastAsia"/>
          <w:color w:val="auto"/>
          <w:sz w:val="30"/>
          <w:szCs w:val="30"/>
          <w:lang w:val="zh-CN"/>
        </w:rPr>
      </w:pPr>
      <w:r>
        <w:rPr>
          <w:rFonts w:hint="eastAsia" w:asciiTheme="majorEastAsia" w:hAnsiTheme="majorEastAsia" w:eastAsiaTheme="majorEastAsia" w:cstheme="majorEastAsia"/>
          <w:color w:val="auto"/>
          <w:sz w:val="30"/>
          <w:szCs w:val="30"/>
          <w:lang w:val="zh-CN"/>
        </w:rPr>
        <w:t>一、概念释义</w:t>
      </w:r>
    </w:p>
    <w:p>
      <w:pPr>
        <w:autoSpaceDE w:val="0"/>
        <w:autoSpaceDN w:val="0"/>
        <w:adjustRightInd w:val="0"/>
        <w:spacing w:line="700" w:lineRule="exact"/>
        <w:ind w:firstLine="560"/>
        <w:rPr>
          <w:rFonts w:asciiTheme="majorEastAsia" w:hAnsiTheme="majorEastAsia" w:eastAsiaTheme="majorEastAsia" w:cstheme="majorEastAsia"/>
          <w:color w:val="auto"/>
          <w:sz w:val="30"/>
          <w:szCs w:val="30"/>
          <w:lang w:val="zh-CN"/>
        </w:rPr>
      </w:pPr>
      <w:r>
        <w:rPr>
          <w:rFonts w:hint="eastAsia" w:asciiTheme="majorEastAsia" w:hAnsiTheme="majorEastAsia" w:eastAsiaTheme="majorEastAsia" w:cstheme="majorEastAsia"/>
          <w:color w:val="auto"/>
          <w:sz w:val="30"/>
          <w:szCs w:val="30"/>
          <w:lang w:val="zh-CN"/>
        </w:rPr>
        <w:t>二、招标文件说明</w:t>
      </w:r>
    </w:p>
    <w:p>
      <w:pPr>
        <w:autoSpaceDE w:val="0"/>
        <w:autoSpaceDN w:val="0"/>
        <w:adjustRightInd w:val="0"/>
        <w:spacing w:line="700" w:lineRule="exact"/>
        <w:ind w:firstLine="560"/>
        <w:rPr>
          <w:rFonts w:asciiTheme="majorEastAsia" w:hAnsiTheme="majorEastAsia" w:eastAsiaTheme="majorEastAsia" w:cstheme="majorEastAsia"/>
          <w:color w:val="auto"/>
          <w:sz w:val="30"/>
          <w:szCs w:val="30"/>
          <w:lang w:val="zh-CN"/>
        </w:rPr>
      </w:pPr>
      <w:r>
        <w:rPr>
          <w:rFonts w:hint="eastAsia" w:asciiTheme="majorEastAsia" w:hAnsiTheme="majorEastAsia" w:eastAsiaTheme="majorEastAsia" w:cstheme="majorEastAsia"/>
          <w:color w:val="auto"/>
          <w:sz w:val="30"/>
          <w:szCs w:val="30"/>
          <w:lang w:val="zh-CN"/>
        </w:rPr>
        <w:t>三、投标文件的编制</w:t>
      </w:r>
    </w:p>
    <w:p>
      <w:pPr>
        <w:autoSpaceDE w:val="0"/>
        <w:autoSpaceDN w:val="0"/>
        <w:adjustRightInd w:val="0"/>
        <w:spacing w:line="700" w:lineRule="exact"/>
        <w:ind w:firstLine="560"/>
        <w:rPr>
          <w:rFonts w:asciiTheme="majorEastAsia" w:hAnsiTheme="majorEastAsia" w:eastAsiaTheme="majorEastAsia" w:cstheme="majorEastAsia"/>
          <w:color w:val="auto"/>
          <w:sz w:val="30"/>
          <w:szCs w:val="30"/>
          <w:lang w:val="zh-CN"/>
        </w:rPr>
      </w:pPr>
      <w:r>
        <w:rPr>
          <w:rFonts w:hint="eastAsia" w:asciiTheme="majorEastAsia" w:hAnsiTheme="majorEastAsia" w:eastAsiaTheme="majorEastAsia" w:cstheme="majorEastAsia"/>
          <w:color w:val="auto"/>
          <w:sz w:val="30"/>
          <w:szCs w:val="30"/>
          <w:lang w:val="zh-CN"/>
        </w:rPr>
        <w:t>四、投标文件的递交</w:t>
      </w:r>
    </w:p>
    <w:p>
      <w:pPr>
        <w:autoSpaceDE w:val="0"/>
        <w:autoSpaceDN w:val="0"/>
        <w:adjustRightInd w:val="0"/>
        <w:spacing w:line="700" w:lineRule="exact"/>
        <w:ind w:firstLine="560"/>
        <w:rPr>
          <w:rFonts w:asciiTheme="majorEastAsia" w:hAnsiTheme="majorEastAsia" w:eastAsiaTheme="majorEastAsia" w:cstheme="majorEastAsia"/>
          <w:color w:val="auto"/>
          <w:sz w:val="30"/>
          <w:szCs w:val="30"/>
          <w:lang w:val="zh-CN"/>
        </w:rPr>
      </w:pPr>
      <w:r>
        <w:rPr>
          <w:rFonts w:hint="eastAsia" w:asciiTheme="majorEastAsia" w:hAnsiTheme="majorEastAsia" w:eastAsiaTheme="majorEastAsia" w:cstheme="majorEastAsia"/>
          <w:color w:val="auto"/>
          <w:sz w:val="30"/>
          <w:szCs w:val="30"/>
          <w:lang w:val="zh-CN"/>
        </w:rPr>
        <w:t>五、开标和评标</w:t>
      </w:r>
    </w:p>
    <w:p>
      <w:pPr>
        <w:autoSpaceDE w:val="0"/>
        <w:autoSpaceDN w:val="0"/>
        <w:adjustRightInd w:val="0"/>
        <w:spacing w:line="700" w:lineRule="exact"/>
        <w:ind w:firstLine="551"/>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color w:val="auto"/>
          <w:sz w:val="30"/>
          <w:szCs w:val="30"/>
          <w:lang w:val="zh-CN"/>
        </w:rPr>
        <w:t>六、定标和授予合同</w:t>
      </w:r>
    </w:p>
    <w:p>
      <w:pPr>
        <w:autoSpaceDE w:val="0"/>
        <w:autoSpaceDN w:val="0"/>
        <w:adjustRightInd w:val="0"/>
        <w:spacing w:line="700" w:lineRule="exact"/>
        <w:ind w:firstLine="551"/>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b/>
          <w:bCs/>
          <w:color w:val="auto"/>
          <w:sz w:val="30"/>
          <w:szCs w:val="30"/>
          <w:lang w:val="zh-CN"/>
        </w:rPr>
        <w:t xml:space="preserve">第五章 </w:t>
      </w:r>
      <w:r>
        <w:rPr>
          <w:rFonts w:hint="eastAsia" w:asciiTheme="majorEastAsia" w:hAnsiTheme="majorEastAsia" w:eastAsiaTheme="majorEastAsia" w:cstheme="majorEastAsia"/>
          <w:b/>
          <w:color w:val="auto"/>
          <w:kern w:val="0"/>
          <w:sz w:val="30"/>
          <w:szCs w:val="30"/>
        </w:rPr>
        <w:t>政府采购政策功能</w:t>
      </w:r>
    </w:p>
    <w:p>
      <w:pPr>
        <w:autoSpaceDE w:val="0"/>
        <w:autoSpaceDN w:val="0"/>
        <w:adjustRightInd w:val="0"/>
        <w:spacing w:line="700" w:lineRule="exact"/>
        <w:ind w:firstLine="551"/>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b/>
          <w:bCs/>
          <w:color w:val="auto"/>
          <w:sz w:val="30"/>
          <w:szCs w:val="30"/>
          <w:lang w:val="zh-CN"/>
        </w:rPr>
        <w:t xml:space="preserve">第六章 </w:t>
      </w:r>
      <w:r>
        <w:rPr>
          <w:rFonts w:hint="eastAsia" w:asciiTheme="majorEastAsia" w:hAnsiTheme="majorEastAsia" w:eastAsiaTheme="majorEastAsia" w:cstheme="majorEastAsia"/>
          <w:b/>
          <w:color w:val="auto"/>
          <w:kern w:val="0"/>
          <w:sz w:val="30"/>
          <w:szCs w:val="30"/>
        </w:rPr>
        <w:t>资格审查与评标</w:t>
      </w:r>
    </w:p>
    <w:p>
      <w:pPr>
        <w:autoSpaceDE w:val="0"/>
        <w:autoSpaceDN w:val="0"/>
        <w:adjustRightInd w:val="0"/>
        <w:spacing w:line="700" w:lineRule="exact"/>
        <w:ind w:firstLine="551"/>
        <w:outlineLvl w:val="0"/>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b/>
          <w:bCs/>
          <w:color w:val="auto"/>
          <w:sz w:val="30"/>
          <w:szCs w:val="30"/>
          <w:lang w:val="zh-CN"/>
        </w:rPr>
        <w:t xml:space="preserve">第七章 </w:t>
      </w:r>
      <w:r>
        <w:rPr>
          <w:rFonts w:hint="eastAsia" w:asciiTheme="majorEastAsia" w:hAnsiTheme="majorEastAsia" w:eastAsiaTheme="majorEastAsia" w:cstheme="majorEastAsia"/>
          <w:b/>
          <w:color w:val="auto"/>
          <w:kern w:val="0"/>
          <w:sz w:val="30"/>
          <w:szCs w:val="30"/>
        </w:rPr>
        <w:t>拟签订的合同文本</w:t>
      </w:r>
    </w:p>
    <w:p>
      <w:pPr>
        <w:autoSpaceDE w:val="0"/>
        <w:autoSpaceDN w:val="0"/>
        <w:adjustRightInd w:val="0"/>
        <w:spacing w:line="700" w:lineRule="exact"/>
        <w:ind w:firstLine="551"/>
        <w:rPr>
          <w:rFonts w:asciiTheme="majorEastAsia" w:hAnsiTheme="majorEastAsia" w:eastAsiaTheme="majorEastAsia" w:cstheme="majorEastAsia"/>
          <w:b/>
          <w:color w:val="auto"/>
          <w:kern w:val="0"/>
          <w:sz w:val="30"/>
          <w:szCs w:val="30"/>
        </w:rPr>
      </w:pPr>
      <w:r>
        <w:rPr>
          <w:rFonts w:hint="eastAsia" w:asciiTheme="majorEastAsia" w:hAnsiTheme="majorEastAsia" w:eastAsiaTheme="majorEastAsia" w:cstheme="majorEastAsia"/>
          <w:b/>
          <w:bCs/>
          <w:color w:val="auto"/>
          <w:sz w:val="30"/>
          <w:szCs w:val="30"/>
          <w:lang w:val="zh-CN"/>
        </w:rPr>
        <w:t xml:space="preserve">第八章 </w:t>
      </w:r>
      <w:r>
        <w:rPr>
          <w:rFonts w:hint="eastAsia" w:asciiTheme="majorEastAsia" w:hAnsiTheme="majorEastAsia" w:eastAsiaTheme="majorEastAsia" w:cstheme="majorEastAsia"/>
          <w:b/>
          <w:color w:val="auto"/>
          <w:kern w:val="0"/>
          <w:sz w:val="30"/>
          <w:szCs w:val="30"/>
        </w:rPr>
        <w:t>投标文件有关格式</w:t>
      </w:r>
    </w:p>
    <w:p>
      <w:pPr>
        <w:autoSpaceDE w:val="0"/>
        <w:autoSpaceDN w:val="0"/>
        <w:adjustRightInd w:val="0"/>
        <w:spacing w:line="700" w:lineRule="exact"/>
        <w:ind w:firstLine="551"/>
        <w:rPr>
          <w:rFonts w:asciiTheme="majorEastAsia" w:hAnsiTheme="majorEastAsia" w:eastAsiaTheme="majorEastAsia" w:cstheme="majorEastAsia"/>
          <w:b/>
          <w:color w:val="auto"/>
          <w:kern w:val="0"/>
          <w:sz w:val="32"/>
          <w:szCs w:val="32"/>
        </w:rPr>
      </w:pPr>
    </w:p>
    <w:p>
      <w:pPr>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第一章 投标邀请</w:t>
      </w:r>
    </w:p>
    <w:p>
      <w:pPr>
        <w:wordWrap w:val="0"/>
        <w:topLinePunct/>
        <w:spacing w:line="360" w:lineRule="auto"/>
        <w:ind w:left="424" w:leftChars="202" w:firstLine="532" w:firstLineChars="222"/>
        <w:rPr>
          <w:rFonts w:ascii="宋体" w:cs="宋体"/>
          <w:color w:val="auto"/>
          <w:sz w:val="24"/>
          <w:lang w:val="zh-CN"/>
        </w:rPr>
      </w:pPr>
    </w:p>
    <w:p>
      <w:pPr>
        <w:adjustRightInd w:val="0"/>
        <w:spacing w:line="360" w:lineRule="auto"/>
        <w:ind w:firstLine="422" w:firstLineChars="201"/>
        <w:contextualSpacing/>
        <w:jc w:val="left"/>
        <w:rPr>
          <w:rFonts w:hint="eastAsia" w:ascii="宋体" w:hAnsi="宋体"/>
          <w:color w:val="auto"/>
          <w:szCs w:val="21"/>
          <w:lang w:val="zh-CN"/>
        </w:rPr>
      </w:pPr>
      <w:r>
        <w:rPr>
          <w:rFonts w:hint="eastAsia" w:ascii="宋体" w:hAnsi="宋体"/>
          <w:color w:val="auto"/>
          <w:szCs w:val="21"/>
          <w:lang w:val="zh-CN"/>
        </w:rPr>
        <w:t>许昌市政府采购服务中心（以下简称采购中心）受</w:t>
      </w:r>
      <w:r>
        <w:rPr>
          <w:rFonts w:hint="eastAsia" w:ascii="宋体" w:hAnsi="宋体"/>
          <w:color w:val="auto"/>
          <w:szCs w:val="21"/>
        </w:rPr>
        <w:t>许昌幼儿师范学校</w:t>
      </w:r>
      <w:r>
        <w:rPr>
          <w:rFonts w:hint="eastAsia" w:ascii="宋体" w:hAnsi="宋体"/>
          <w:color w:val="auto"/>
          <w:szCs w:val="21"/>
          <w:lang w:val="zh-CN"/>
        </w:rPr>
        <w:t>的委托，对“</w:t>
      </w:r>
      <w:r>
        <w:rPr>
          <w:rFonts w:hint="eastAsia" w:ascii="宋体" w:hAnsi="宋体"/>
          <w:color w:val="auto"/>
          <w:szCs w:val="21"/>
        </w:rPr>
        <w:t>许昌幼儿师范学校职教园区综合馆声光像设备采购项目</w:t>
      </w:r>
      <w:r>
        <w:rPr>
          <w:rFonts w:hint="eastAsia" w:ascii="宋体" w:hAnsi="宋体"/>
          <w:color w:val="auto"/>
          <w:szCs w:val="21"/>
          <w:lang w:val="zh-CN"/>
        </w:rPr>
        <w:t>(不见面开标)”的相关货物和服务进行国内公开招标。现邀请合格投标人前来投标。</w:t>
      </w:r>
    </w:p>
    <w:p>
      <w:pPr>
        <w:adjustRightInd w:val="0"/>
        <w:spacing w:line="360" w:lineRule="auto"/>
        <w:ind w:firstLine="424" w:firstLineChars="201"/>
        <w:contextualSpacing/>
        <w:jc w:val="left"/>
        <w:rPr>
          <w:rFonts w:ascii="宋体" w:hAnsi="宋体"/>
          <w:color w:val="auto"/>
          <w:szCs w:val="21"/>
        </w:rPr>
      </w:pPr>
      <w:r>
        <w:rPr>
          <w:rFonts w:hint="eastAsia" w:ascii="宋体" w:hAnsi="宋体"/>
          <w:b/>
          <w:color w:val="auto"/>
          <w:szCs w:val="21"/>
        </w:rPr>
        <w:t>一、项目编号：</w:t>
      </w:r>
      <w:r>
        <w:rPr>
          <w:rFonts w:hint="eastAsia" w:ascii="宋体" w:hAnsi="宋体"/>
          <w:color w:val="auto"/>
          <w:szCs w:val="21"/>
        </w:rPr>
        <w:t>ZFCG-G20</w:t>
      </w:r>
      <w:r>
        <w:rPr>
          <w:rFonts w:hint="eastAsia" w:ascii="宋体" w:hAnsi="宋体"/>
          <w:color w:val="auto"/>
          <w:szCs w:val="21"/>
          <w:lang w:val="en-US" w:eastAsia="zh-CN"/>
        </w:rPr>
        <w:t>24033</w:t>
      </w:r>
      <w:r>
        <w:rPr>
          <w:rFonts w:hint="eastAsia" w:ascii="宋体" w:hAnsi="宋体"/>
          <w:color w:val="auto"/>
          <w:szCs w:val="21"/>
        </w:rPr>
        <w:t>号</w:t>
      </w:r>
    </w:p>
    <w:p>
      <w:pPr>
        <w:adjustRightInd w:val="0"/>
        <w:spacing w:line="360" w:lineRule="auto"/>
        <w:ind w:firstLine="424" w:firstLineChars="201"/>
        <w:contextualSpacing/>
        <w:jc w:val="left"/>
        <w:rPr>
          <w:rFonts w:ascii="宋体" w:hAnsi="宋体"/>
          <w:b/>
          <w:color w:val="auto"/>
          <w:szCs w:val="21"/>
        </w:rPr>
      </w:pPr>
      <w:r>
        <w:rPr>
          <w:rFonts w:hint="eastAsia" w:ascii="宋体" w:hAnsi="宋体"/>
          <w:b/>
          <w:color w:val="auto"/>
          <w:szCs w:val="21"/>
        </w:rPr>
        <w:t>二、项目名称：</w:t>
      </w:r>
      <w:r>
        <w:rPr>
          <w:rFonts w:hint="eastAsia" w:ascii="宋体" w:hAnsi="宋体"/>
          <w:color w:val="auto"/>
          <w:szCs w:val="21"/>
        </w:rPr>
        <w:t>许昌幼儿师范学校职教园区综合馆声光像设备采购项目(不见面开标)</w:t>
      </w:r>
    </w:p>
    <w:p>
      <w:pPr>
        <w:adjustRightInd w:val="0"/>
        <w:spacing w:line="360" w:lineRule="auto"/>
        <w:ind w:firstLine="424" w:firstLineChars="201"/>
        <w:contextualSpacing/>
        <w:jc w:val="left"/>
        <w:rPr>
          <w:rFonts w:ascii="宋体" w:hAnsi="宋体"/>
          <w:color w:val="auto"/>
          <w:szCs w:val="21"/>
        </w:rPr>
      </w:pPr>
      <w:r>
        <w:rPr>
          <w:rFonts w:hint="eastAsia" w:ascii="宋体" w:hAnsi="宋体"/>
          <w:b/>
          <w:color w:val="auto"/>
          <w:szCs w:val="21"/>
        </w:rPr>
        <w:t>三、采购方式：</w:t>
      </w:r>
      <w:r>
        <w:rPr>
          <w:rFonts w:hint="eastAsia" w:ascii="宋体" w:hAnsi="宋体"/>
          <w:color w:val="auto"/>
          <w:szCs w:val="21"/>
        </w:rPr>
        <w:t>公开招标</w:t>
      </w:r>
    </w:p>
    <w:p>
      <w:pPr>
        <w:adjustRightInd w:val="0"/>
        <w:spacing w:line="360" w:lineRule="auto"/>
        <w:ind w:firstLine="424" w:firstLineChars="201"/>
        <w:contextualSpacing/>
        <w:jc w:val="left"/>
        <w:rPr>
          <w:rFonts w:ascii="宋体" w:hAnsi="宋体"/>
          <w:color w:val="auto"/>
          <w:szCs w:val="21"/>
        </w:rPr>
      </w:pPr>
      <w:r>
        <w:rPr>
          <w:rFonts w:hint="eastAsia" w:ascii="宋体" w:hAnsi="宋体"/>
          <w:b/>
          <w:color w:val="auto"/>
          <w:szCs w:val="21"/>
        </w:rPr>
        <w:t>四、项目属性：</w:t>
      </w:r>
      <w:r>
        <w:rPr>
          <w:rFonts w:hint="eastAsia" w:ascii="宋体" w:hAnsi="宋体"/>
          <w:color w:val="auto"/>
          <w:szCs w:val="21"/>
        </w:rPr>
        <w:t>货物</w:t>
      </w:r>
    </w:p>
    <w:p>
      <w:pPr>
        <w:adjustRightInd w:val="0"/>
        <w:spacing w:line="360" w:lineRule="auto"/>
        <w:ind w:firstLine="424" w:firstLineChars="201"/>
        <w:contextualSpacing/>
        <w:jc w:val="left"/>
        <w:rPr>
          <w:rFonts w:ascii="宋体" w:hAnsi="宋体"/>
          <w:b/>
          <w:color w:val="auto"/>
          <w:szCs w:val="21"/>
        </w:rPr>
      </w:pPr>
      <w:r>
        <w:rPr>
          <w:rFonts w:hint="eastAsia" w:ascii="宋体" w:hAnsi="宋体"/>
          <w:b/>
          <w:color w:val="auto"/>
          <w:szCs w:val="21"/>
        </w:rPr>
        <w:t>五、招标内容</w:t>
      </w:r>
    </w:p>
    <w:p>
      <w:pPr>
        <w:numPr>
          <w:ilvl w:val="0"/>
          <w:numId w:val="4"/>
        </w:numPr>
        <w:adjustRightInd w:val="0"/>
        <w:spacing w:line="360" w:lineRule="auto"/>
        <w:contextualSpacing/>
        <w:jc w:val="left"/>
        <w:rPr>
          <w:rFonts w:ascii="宋体" w:hAnsi="宋体"/>
          <w:color w:val="auto"/>
          <w:szCs w:val="21"/>
        </w:rPr>
      </w:pPr>
      <w:r>
        <w:rPr>
          <w:rFonts w:hint="eastAsia" w:ascii="宋体" w:hAnsi="宋体"/>
          <w:color w:val="auto"/>
          <w:szCs w:val="21"/>
        </w:rPr>
        <w:t>项目主要内容、数量及要求：</w:t>
      </w:r>
      <w:r>
        <w:rPr>
          <w:rFonts w:hint="eastAsia" w:ascii="宋体" w:hAnsi="宋体"/>
          <w:color w:val="auto"/>
          <w:szCs w:val="21"/>
          <w:lang w:val="en-US" w:eastAsia="zh-CN"/>
        </w:rPr>
        <w:t>采购内容为LED大屏显示系统、音频扩声及智能中控会议系统、舞台灯光系统、舞台机械及幕布系统</w:t>
      </w:r>
      <w:r>
        <w:rPr>
          <w:rFonts w:hint="eastAsia" w:ascii="宋体" w:hAnsi="宋体"/>
          <w:color w:val="auto"/>
          <w:szCs w:val="21"/>
        </w:rPr>
        <w:t>。</w:t>
      </w:r>
    </w:p>
    <w:p>
      <w:pPr>
        <w:numPr>
          <w:ilvl w:val="0"/>
          <w:numId w:val="4"/>
        </w:numPr>
        <w:adjustRightInd w:val="0"/>
        <w:spacing w:line="360" w:lineRule="auto"/>
        <w:contextualSpacing/>
        <w:jc w:val="left"/>
        <w:rPr>
          <w:rFonts w:hint="eastAsia" w:ascii="宋体" w:hAnsi="宋体"/>
          <w:color w:val="auto"/>
          <w:szCs w:val="21"/>
          <w:lang w:val="en-US" w:eastAsia="zh-CN"/>
        </w:rPr>
      </w:pPr>
      <w:r>
        <w:rPr>
          <w:rFonts w:hint="eastAsia" w:ascii="宋体" w:hAnsi="宋体"/>
          <w:color w:val="auto"/>
          <w:szCs w:val="21"/>
        </w:rPr>
        <w:t>预算金额：</w:t>
      </w:r>
      <w:r>
        <w:rPr>
          <w:rFonts w:hint="eastAsia" w:ascii="宋体" w:hAnsi="宋体"/>
          <w:color w:val="auto"/>
          <w:szCs w:val="21"/>
          <w:lang w:val="en-US" w:eastAsia="zh-CN"/>
        </w:rPr>
        <w:t>211.59963万元。</w:t>
      </w:r>
    </w:p>
    <w:p>
      <w:pPr>
        <w:numPr>
          <w:ilvl w:val="0"/>
          <w:numId w:val="4"/>
        </w:numPr>
        <w:adjustRightInd w:val="0"/>
        <w:spacing w:line="360" w:lineRule="auto"/>
        <w:contextualSpacing/>
        <w:jc w:val="left"/>
        <w:rPr>
          <w:rFonts w:hint="eastAsia" w:ascii="宋体" w:hAnsi="宋体"/>
          <w:color w:val="auto"/>
          <w:szCs w:val="21"/>
          <w:lang w:val="en-US" w:eastAsia="zh-CN"/>
        </w:rPr>
      </w:pPr>
      <w:r>
        <w:rPr>
          <w:rFonts w:hint="eastAsia" w:ascii="宋体" w:hAnsi="宋体"/>
          <w:color w:val="auto"/>
          <w:szCs w:val="21"/>
          <w:lang w:val="en-US" w:eastAsia="zh-CN"/>
        </w:rPr>
        <w:t>最高限价：211.59963万元。</w:t>
      </w:r>
    </w:p>
    <w:p>
      <w:pPr>
        <w:numPr>
          <w:ilvl w:val="0"/>
          <w:numId w:val="4"/>
        </w:numPr>
        <w:adjustRightInd w:val="0"/>
        <w:spacing w:line="360" w:lineRule="auto"/>
        <w:contextualSpacing/>
        <w:jc w:val="left"/>
        <w:rPr>
          <w:rFonts w:ascii="宋体" w:hAnsi="宋体"/>
          <w:color w:val="auto"/>
          <w:szCs w:val="21"/>
        </w:rPr>
      </w:pPr>
      <w:r>
        <w:rPr>
          <w:rFonts w:hint="eastAsia" w:ascii="宋体" w:hAnsi="宋体"/>
          <w:color w:val="auto"/>
          <w:szCs w:val="21"/>
        </w:rPr>
        <w:t>交付（实施）时间（期限）：</w:t>
      </w:r>
      <w:bookmarkStart w:id="0" w:name="交付日期"/>
      <w:r>
        <w:rPr>
          <w:rFonts w:hint="eastAsia" w:ascii="宋体" w:hAnsi="宋体"/>
          <w:color w:val="auto"/>
          <w:szCs w:val="21"/>
        </w:rPr>
        <w:t>自合同生效之日起</w:t>
      </w:r>
      <w:bookmarkEnd w:id="0"/>
      <w:r>
        <w:rPr>
          <w:rFonts w:hint="eastAsia" w:ascii="宋体" w:hAnsi="宋体"/>
          <w:color w:val="auto"/>
          <w:szCs w:val="21"/>
          <w:lang w:val="en-US" w:eastAsia="zh-CN"/>
        </w:rPr>
        <w:t>60</w:t>
      </w:r>
      <w:r>
        <w:rPr>
          <w:rFonts w:hint="eastAsia" w:ascii="宋体" w:hAnsi="宋体"/>
          <w:color w:val="auto"/>
          <w:szCs w:val="21"/>
        </w:rPr>
        <w:t>天内交货、完成安装调试并具备验收条件。</w:t>
      </w:r>
    </w:p>
    <w:p>
      <w:pPr>
        <w:numPr>
          <w:ilvl w:val="0"/>
          <w:numId w:val="4"/>
        </w:numPr>
        <w:adjustRightInd w:val="0"/>
        <w:spacing w:line="360" w:lineRule="auto"/>
        <w:contextualSpacing/>
        <w:jc w:val="left"/>
        <w:rPr>
          <w:rFonts w:ascii="宋体" w:hAnsi="宋体"/>
          <w:color w:val="auto"/>
          <w:szCs w:val="21"/>
        </w:rPr>
      </w:pPr>
      <w:r>
        <w:rPr>
          <w:rFonts w:hint="eastAsia" w:ascii="宋体" w:hAnsi="宋体"/>
          <w:color w:val="auto"/>
          <w:szCs w:val="21"/>
        </w:rPr>
        <w:t>交付（实施）地点（范</w:t>
      </w:r>
      <w:r>
        <w:rPr>
          <w:rFonts w:hint="eastAsia" w:ascii="宋体" w:hAnsi="宋体"/>
          <w:color w:val="auto"/>
          <w:szCs w:val="21"/>
          <w:lang w:val="en-US" w:eastAsia="zh-CN"/>
        </w:rPr>
        <w:t>围）：许昌市职教园区。</w:t>
      </w:r>
    </w:p>
    <w:p>
      <w:pPr>
        <w:numPr>
          <w:ilvl w:val="0"/>
          <w:numId w:val="4"/>
        </w:numPr>
        <w:adjustRightInd w:val="0"/>
        <w:spacing w:line="360" w:lineRule="auto"/>
        <w:contextualSpacing/>
        <w:jc w:val="left"/>
        <w:rPr>
          <w:rFonts w:ascii="宋体" w:hAnsi="宋体"/>
          <w:color w:val="auto"/>
          <w:szCs w:val="21"/>
        </w:rPr>
      </w:pPr>
      <w:r>
        <w:rPr>
          <w:rFonts w:hint="eastAsia" w:ascii="宋体" w:hAnsi="宋体"/>
          <w:color w:val="auto"/>
          <w:szCs w:val="21"/>
        </w:rPr>
        <w:t>分包：不允许</w:t>
      </w:r>
    </w:p>
    <w:p>
      <w:pPr>
        <w:adjustRightInd w:val="0"/>
        <w:spacing w:line="360" w:lineRule="auto"/>
        <w:ind w:firstLine="424" w:firstLineChars="201"/>
        <w:contextualSpacing/>
        <w:jc w:val="left"/>
        <w:rPr>
          <w:rFonts w:ascii="宋体" w:hAnsi="宋体"/>
          <w:b/>
          <w:color w:val="auto"/>
          <w:szCs w:val="21"/>
        </w:rPr>
      </w:pPr>
      <w:r>
        <w:rPr>
          <w:rFonts w:hint="eastAsia" w:ascii="宋体" w:hAnsi="宋体"/>
          <w:b/>
          <w:color w:val="auto"/>
          <w:szCs w:val="21"/>
        </w:rPr>
        <w:t>六、申请人的资格要求：</w:t>
      </w:r>
    </w:p>
    <w:p>
      <w:pPr>
        <w:numPr>
          <w:ilvl w:val="0"/>
          <w:numId w:val="5"/>
        </w:numPr>
        <w:adjustRightInd w:val="0"/>
        <w:spacing w:line="360" w:lineRule="auto"/>
        <w:contextualSpacing/>
        <w:jc w:val="left"/>
        <w:rPr>
          <w:rFonts w:ascii="宋体" w:hAnsi="宋体"/>
          <w:color w:val="auto"/>
          <w:szCs w:val="21"/>
        </w:rPr>
      </w:pPr>
      <w:r>
        <w:rPr>
          <w:rFonts w:hint="eastAsia" w:ascii="宋体" w:hAnsi="宋体"/>
          <w:color w:val="auto"/>
          <w:szCs w:val="21"/>
        </w:rPr>
        <w:t>满足《中华人民共和国政府采购法》第二十二条规定；</w:t>
      </w:r>
    </w:p>
    <w:p>
      <w:pPr>
        <w:numPr>
          <w:ilvl w:val="0"/>
          <w:numId w:val="5"/>
        </w:numPr>
        <w:adjustRightInd w:val="0"/>
        <w:spacing w:line="360" w:lineRule="auto"/>
        <w:contextualSpacing/>
        <w:jc w:val="left"/>
        <w:rPr>
          <w:rFonts w:ascii="宋体" w:hAnsi="宋体"/>
          <w:color w:val="auto"/>
          <w:szCs w:val="21"/>
        </w:rPr>
      </w:pPr>
      <w:r>
        <w:rPr>
          <w:rFonts w:hint="eastAsia" w:ascii="宋体" w:hAnsi="宋体"/>
          <w:color w:val="auto"/>
          <w:szCs w:val="21"/>
        </w:rPr>
        <w:t>落实政府采购政策需满足的资格要求：本项目面向大、中、小、微型等各类供应商采购；</w:t>
      </w:r>
    </w:p>
    <w:p>
      <w:pPr>
        <w:numPr>
          <w:ilvl w:val="0"/>
          <w:numId w:val="5"/>
        </w:numPr>
        <w:adjustRightInd w:val="0"/>
        <w:spacing w:line="360" w:lineRule="auto"/>
        <w:contextualSpacing/>
        <w:jc w:val="left"/>
        <w:rPr>
          <w:rFonts w:ascii="宋体" w:hAnsi="宋体"/>
          <w:color w:val="auto"/>
          <w:szCs w:val="21"/>
        </w:rPr>
      </w:pPr>
      <w:r>
        <w:rPr>
          <w:rFonts w:hint="eastAsia" w:ascii="宋体" w:hAnsi="宋体"/>
          <w:color w:val="auto"/>
          <w:szCs w:val="21"/>
        </w:rPr>
        <w:t>本项目的特定资格要求：无。</w:t>
      </w:r>
    </w:p>
    <w:p>
      <w:pPr>
        <w:adjustRightInd w:val="0"/>
        <w:spacing w:line="360" w:lineRule="auto"/>
        <w:ind w:firstLine="424" w:firstLineChars="201"/>
        <w:contextualSpacing/>
        <w:jc w:val="left"/>
        <w:rPr>
          <w:rFonts w:ascii="宋体" w:hAnsi="宋体"/>
          <w:b/>
          <w:color w:val="auto"/>
          <w:szCs w:val="21"/>
        </w:rPr>
      </w:pPr>
      <w:r>
        <w:rPr>
          <w:rFonts w:hint="eastAsia" w:ascii="宋体" w:hAnsi="宋体"/>
          <w:b/>
          <w:color w:val="auto"/>
          <w:szCs w:val="21"/>
        </w:rPr>
        <w:t>七、招标文件的获取</w:t>
      </w:r>
    </w:p>
    <w:p>
      <w:pPr>
        <w:adjustRightInd w:val="0"/>
        <w:spacing w:line="360" w:lineRule="auto"/>
        <w:ind w:left="424" w:leftChars="202" w:firstLine="413" w:firstLineChars="197"/>
        <w:contextualSpacing/>
        <w:jc w:val="left"/>
        <w:rPr>
          <w:rFonts w:ascii="宋体" w:hAnsi="宋体"/>
          <w:color w:val="auto"/>
          <w:szCs w:val="21"/>
        </w:rPr>
      </w:pPr>
      <w:r>
        <w:rPr>
          <w:rFonts w:hint="eastAsia" w:ascii="宋体" w:hAnsi="宋体"/>
          <w:color w:val="auto"/>
          <w:szCs w:val="21"/>
        </w:rPr>
        <w:t>即日起至投标截止时间，供应商使用 CA 数字证书登录《全国公共资源交易平台（河南省·许昌市）》“投标人/供应商登录”入口（</w:t>
      </w:r>
      <w:r>
        <w:rPr>
          <w:rFonts w:ascii="宋体" w:hAnsi="宋体"/>
          <w:color w:val="auto"/>
          <w:szCs w:val="21"/>
        </w:rPr>
        <w:t>http://ggzy.xuchang.gov.cn</w:t>
      </w:r>
      <w:r>
        <w:rPr>
          <w:rFonts w:hint="eastAsia" w:ascii="宋体" w:hAnsi="宋体"/>
          <w:color w:val="auto"/>
          <w:szCs w:val="21"/>
        </w:rPr>
        <w:t>:8088/ggzy/）免费获取本项目招标文件。</w:t>
      </w:r>
    </w:p>
    <w:p>
      <w:pPr>
        <w:adjustRightInd w:val="0"/>
        <w:spacing w:line="360" w:lineRule="auto"/>
        <w:ind w:firstLine="424" w:firstLineChars="201"/>
        <w:contextualSpacing/>
        <w:jc w:val="left"/>
        <w:rPr>
          <w:rFonts w:ascii="宋体" w:hAnsi="宋体"/>
          <w:b/>
          <w:color w:val="auto"/>
          <w:szCs w:val="21"/>
        </w:rPr>
      </w:pPr>
      <w:r>
        <w:rPr>
          <w:rFonts w:hint="eastAsia" w:ascii="宋体" w:hAnsi="宋体"/>
          <w:b/>
          <w:color w:val="auto"/>
          <w:szCs w:val="21"/>
        </w:rPr>
        <w:t>八、投标文件的提交方式及注意事项</w:t>
      </w:r>
    </w:p>
    <w:p>
      <w:pPr>
        <w:adjustRightInd w:val="0"/>
        <w:spacing w:line="360" w:lineRule="auto"/>
        <w:ind w:left="424" w:leftChars="202" w:firstLine="413" w:firstLineChars="197"/>
        <w:contextualSpacing/>
        <w:jc w:val="left"/>
        <w:rPr>
          <w:rFonts w:ascii="宋体" w:hAnsi="宋体"/>
          <w:color w:val="auto"/>
          <w:szCs w:val="21"/>
        </w:rPr>
      </w:pPr>
      <w:r>
        <w:rPr>
          <w:rFonts w:hint="eastAsia" w:ascii="宋体" w:hAnsi="宋体"/>
          <w:color w:val="auto"/>
          <w:szCs w:val="21"/>
        </w:rPr>
        <w:t>本项目为全流程电子化交易项目，投标人必须通过许昌公共资源交易系统下载“许昌投标文件制作系统SEARUN 最新版本”制作并上传加密电子投标文件。截至投标截止时间，交易系统投标通道将关闭，投标人未完成电子投标文件上传的，投标将被拒绝。</w:t>
      </w:r>
    </w:p>
    <w:p>
      <w:pPr>
        <w:adjustRightInd w:val="0"/>
        <w:spacing w:line="360" w:lineRule="auto"/>
        <w:ind w:firstLine="424" w:firstLineChars="201"/>
        <w:contextualSpacing/>
        <w:jc w:val="left"/>
        <w:rPr>
          <w:rFonts w:ascii="宋体" w:hAnsi="宋体"/>
          <w:b/>
          <w:color w:val="auto"/>
          <w:szCs w:val="21"/>
        </w:rPr>
      </w:pPr>
      <w:r>
        <w:rPr>
          <w:rFonts w:hint="eastAsia" w:ascii="宋体" w:hAnsi="宋体"/>
          <w:b/>
          <w:color w:val="auto"/>
          <w:szCs w:val="21"/>
        </w:rPr>
        <w:t>九、投标截止时间、开标时间及地点</w:t>
      </w:r>
    </w:p>
    <w:p>
      <w:pPr>
        <w:numPr>
          <w:ilvl w:val="0"/>
          <w:numId w:val="6"/>
        </w:numPr>
        <w:adjustRightInd w:val="0"/>
        <w:spacing w:line="360" w:lineRule="auto"/>
        <w:contextualSpacing/>
        <w:jc w:val="left"/>
        <w:rPr>
          <w:rFonts w:ascii="宋体" w:hAnsi="宋体"/>
          <w:color w:val="auto"/>
          <w:szCs w:val="21"/>
        </w:rPr>
      </w:pPr>
      <w:r>
        <w:rPr>
          <w:rFonts w:hint="eastAsia" w:ascii="宋体" w:hAnsi="宋体"/>
          <w:color w:val="auto"/>
          <w:szCs w:val="21"/>
        </w:rPr>
        <w:t>投标截止及开标时间：202</w:t>
      </w:r>
      <w:r>
        <w:rPr>
          <w:rFonts w:hint="eastAsia" w:ascii="宋体" w:hAnsi="宋体"/>
          <w:color w:val="auto"/>
          <w:szCs w:val="21"/>
          <w:lang w:val="en-US" w:eastAsia="zh-CN"/>
        </w:rPr>
        <w:t>4</w:t>
      </w:r>
      <w:r>
        <w:rPr>
          <w:rFonts w:hint="eastAsia" w:ascii="宋体" w:hAnsi="宋体"/>
          <w:color w:val="auto"/>
          <w:szCs w:val="21"/>
        </w:rPr>
        <w:t>年</w:t>
      </w:r>
      <w:r>
        <w:rPr>
          <w:rFonts w:hint="eastAsia" w:ascii="宋体" w:hAnsi="宋体"/>
          <w:color w:val="auto"/>
          <w:szCs w:val="21"/>
          <w:lang w:val="en-US" w:eastAsia="zh-CN"/>
        </w:rPr>
        <w:t>7</w:t>
      </w:r>
      <w:r>
        <w:rPr>
          <w:rFonts w:hint="eastAsia" w:ascii="宋体" w:hAnsi="宋体"/>
          <w:color w:val="auto"/>
          <w:szCs w:val="21"/>
        </w:rPr>
        <w:t>月</w:t>
      </w:r>
      <w:r>
        <w:rPr>
          <w:rFonts w:hint="eastAsia" w:ascii="宋体" w:hAnsi="宋体"/>
          <w:color w:val="auto"/>
          <w:szCs w:val="21"/>
          <w:lang w:val="en-US" w:eastAsia="zh-CN"/>
        </w:rPr>
        <w:t>3</w:t>
      </w:r>
      <w:r>
        <w:rPr>
          <w:rFonts w:hint="eastAsia" w:ascii="宋体" w:hAnsi="宋体"/>
          <w:color w:val="auto"/>
          <w:szCs w:val="21"/>
        </w:rPr>
        <w:t>日</w:t>
      </w:r>
      <w:r>
        <w:rPr>
          <w:rFonts w:hint="eastAsia" w:ascii="宋体" w:hAnsi="宋体"/>
          <w:color w:val="auto"/>
          <w:szCs w:val="21"/>
          <w:lang w:val="en-US" w:eastAsia="zh-CN"/>
        </w:rPr>
        <w:t>8</w:t>
      </w:r>
      <w:r>
        <w:rPr>
          <w:rFonts w:hint="eastAsia" w:ascii="宋体" w:hAnsi="宋体"/>
          <w:color w:val="auto"/>
          <w:szCs w:val="21"/>
        </w:rPr>
        <w:t>时</w:t>
      </w:r>
      <w:r>
        <w:rPr>
          <w:rFonts w:hint="eastAsia" w:ascii="宋体" w:hAnsi="宋体"/>
          <w:color w:val="auto"/>
          <w:szCs w:val="21"/>
          <w:lang w:val="en-US" w:eastAsia="zh-CN"/>
        </w:rPr>
        <w:t>30</w:t>
      </w:r>
      <w:r>
        <w:rPr>
          <w:rFonts w:hint="eastAsia" w:ascii="宋体" w:hAnsi="宋体"/>
          <w:color w:val="auto"/>
          <w:szCs w:val="21"/>
        </w:rPr>
        <w:t>分（北京时间），逾期提交或不符合规定的投标文件不予接受。</w:t>
      </w:r>
    </w:p>
    <w:p>
      <w:pPr>
        <w:numPr>
          <w:ilvl w:val="0"/>
          <w:numId w:val="6"/>
        </w:numPr>
        <w:adjustRightInd w:val="0"/>
        <w:spacing w:line="360" w:lineRule="auto"/>
        <w:contextualSpacing/>
        <w:jc w:val="left"/>
        <w:rPr>
          <w:rFonts w:ascii="宋体" w:hAnsi="宋体"/>
          <w:color w:val="auto"/>
          <w:szCs w:val="21"/>
        </w:rPr>
      </w:pPr>
      <w:r>
        <w:rPr>
          <w:rFonts w:hint="eastAsia" w:ascii="宋体" w:hAnsi="宋体"/>
          <w:color w:val="auto"/>
          <w:szCs w:val="21"/>
        </w:rPr>
        <w:t>开标地点：许昌市公共资源交易中心开标</w:t>
      </w:r>
      <w:r>
        <w:rPr>
          <w:rFonts w:hint="eastAsia" w:ascii="宋体" w:hAnsi="宋体"/>
          <w:color w:val="auto"/>
          <w:szCs w:val="21"/>
          <w:lang w:val="en-US" w:eastAsia="zh-CN"/>
        </w:rPr>
        <w:t>4</w:t>
      </w:r>
      <w:r>
        <w:rPr>
          <w:rFonts w:hint="eastAsia" w:ascii="宋体" w:hAnsi="宋体"/>
          <w:color w:val="auto"/>
          <w:szCs w:val="21"/>
        </w:rPr>
        <w:t>室。</w:t>
      </w:r>
      <w:r>
        <w:rPr>
          <w:rFonts w:hint="eastAsia" w:ascii="宋体" w:hAnsi="宋体"/>
          <w:b/>
          <w:color w:val="auto"/>
          <w:szCs w:val="21"/>
        </w:rPr>
        <w:t>（本项目采用远程不见面开标方式，投标人无须到现场）。</w:t>
      </w:r>
    </w:p>
    <w:p>
      <w:pPr>
        <w:adjustRightInd w:val="0"/>
        <w:spacing w:line="360" w:lineRule="auto"/>
        <w:ind w:firstLine="424" w:firstLineChars="201"/>
        <w:contextualSpacing/>
        <w:jc w:val="left"/>
        <w:rPr>
          <w:rFonts w:ascii="宋体" w:hAnsi="宋体"/>
          <w:b/>
          <w:color w:val="auto"/>
          <w:szCs w:val="21"/>
        </w:rPr>
      </w:pPr>
      <w:r>
        <w:rPr>
          <w:rFonts w:hint="eastAsia" w:ascii="宋体" w:hAnsi="宋体"/>
          <w:b/>
          <w:color w:val="auto"/>
          <w:szCs w:val="21"/>
        </w:rPr>
        <w:t>十、开标注意事项</w:t>
      </w:r>
    </w:p>
    <w:p>
      <w:pPr>
        <w:adjustRightInd w:val="0"/>
        <w:spacing w:line="360" w:lineRule="auto"/>
        <w:ind w:left="424" w:leftChars="202" w:firstLine="413" w:firstLineChars="197"/>
        <w:contextualSpacing/>
        <w:jc w:val="left"/>
        <w:rPr>
          <w:rFonts w:ascii="宋体" w:hAnsi="宋体"/>
          <w:color w:val="auto"/>
          <w:szCs w:val="21"/>
        </w:rPr>
      </w:pPr>
      <w:r>
        <w:rPr>
          <w:rFonts w:hint="eastAsia" w:ascii="宋体" w:hAnsi="宋体"/>
          <w:color w:val="auto"/>
          <w:szCs w:val="21"/>
        </w:rPr>
        <w:t>开标时间前，投标人使用CA数字证书登录全国公共资源交易平台（河南省·许昌市）——进入公共资源交易系统（http://ggzy.xuchang.gov.cn:8088/ggzy/）——点击“项目信息——项目名称”——在系统操作导航栏点击“开标——不见面开标大厅”，在规定的开标时间内进行解密开标。</w:t>
      </w:r>
    </w:p>
    <w:p>
      <w:pPr>
        <w:adjustRightInd w:val="0"/>
        <w:spacing w:line="360" w:lineRule="auto"/>
        <w:ind w:firstLine="424" w:firstLineChars="201"/>
        <w:contextualSpacing/>
        <w:jc w:val="left"/>
        <w:rPr>
          <w:rFonts w:ascii="宋体" w:hAnsi="宋体"/>
          <w:b/>
          <w:color w:val="auto"/>
          <w:szCs w:val="21"/>
        </w:rPr>
      </w:pPr>
      <w:r>
        <w:rPr>
          <w:rFonts w:hint="eastAsia" w:ascii="宋体" w:hAnsi="宋体"/>
          <w:b/>
          <w:color w:val="auto"/>
          <w:szCs w:val="21"/>
        </w:rPr>
        <w:t>十一、本次招标公告同时在《中国政府采购网》、《河南省政府采购网》、《许昌市政府采购网》、《全国公共资源交易平台（河南省·许昌市）》、《许昌市人民政府门户网站》发布。</w:t>
      </w:r>
    </w:p>
    <w:p>
      <w:pPr>
        <w:adjustRightInd w:val="0"/>
        <w:spacing w:line="360" w:lineRule="auto"/>
        <w:ind w:firstLine="424" w:firstLineChars="201"/>
        <w:contextualSpacing/>
        <w:jc w:val="left"/>
        <w:rPr>
          <w:rFonts w:ascii="宋体" w:hAnsi="宋体"/>
          <w:b/>
          <w:color w:val="auto"/>
          <w:szCs w:val="21"/>
        </w:rPr>
      </w:pPr>
      <w:r>
        <w:rPr>
          <w:rFonts w:hint="eastAsia" w:ascii="宋体" w:hAnsi="宋体"/>
          <w:b/>
          <w:color w:val="auto"/>
          <w:szCs w:val="21"/>
        </w:rPr>
        <w:t>十二、联系方式</w:t>
      </w:r>
    </w:p>
    <w:p>
      <w:pPr>
        <w:adjustRightInd w:val="0"/>
        <w:spacing w:line="360" w:lineRule="auto"/>
        <w:ind w:firstLine="843" w:firstLineChars="400"/>
        <w:contextualSpacing/>
        <w:jc w:val="left"/>
        <w:rPr>
          <w:rFonts w:ascii="宋体" w:hAnsi="宋体"/>
          <w:color w:val="auto"/>
          <w:szCs w:val="21"/>
        </w:rPr>
      </w:pPr>
      <w:r>
        <w:rPr>
          <w:rFonts w:hint="eastAsia" w:ascii="宋体" w:hAnsi="宋体"/>
          <w:b/>
          <w:color w:val="auto"/>
          <w:szCs w:val="21"/>
        </w:rPr>
        <w:t>采购人名称</w:t>
      </w:r>
      <w:r>
        <w:rPr>
          <w:rFonts w:hint="eastAsia" w:ascii="宋体" w:hAnsi="宋体"/>
          <w:color w:val="auto"/>
          <w:szCs w:val="21"/>
        </w:rPr>
        <w:t>：</w:t>
      </w:r>
      <w:r>
        <w:rPr>
          <w:rFonts w:hint="eastAsia" w:cs="仿宋_GB2312" w:asciiTheme="minorEastAsia" w:hAnsiTheme="minorEastAsia"/>
          <w:color w:val="auto"/>
          <w:szCs w:val="21"/>
        </w:rPr>
        <w:t>许昌幼儿师范学校</w:t>
      </w:r>
    </w:p>
    <w:p>
      <w:pPr>
        <w:adjustRightInd w:val="0"/>
        <w:spacing w:line="360" w:lineRule="auto"/>
        <w:ind w:firstLine="840" w:firstLineChars="400"/>
        <w:contextualSpacing/>
        <w:jc w:val="left"/>
        <w:rPr>
          <w:rFonts w:hint="eastAsia" w:cs="仿宋_GB2312" w:asciiTheme="minorEastAsia" w:hAnsiTheme="minorEastAsia"/>
          <w:color w:val="auto"/>
          <w:szCs w:val="21"/>
        </w:rPr>
      </w:pPr>
      <w:r>
        <w:rPr>
          <w:rFonts w:hint="eastAsia" w:cs="仿宋_GB2312" w:asciiTheme="minorEastAsia" w:hAnsiTheme="minorEastAsia"/>
          <w:color w:val="auto"/>
          <w:szCs w:val="21"/>
        </w:rPr>
        <w:t>地址：河南省许昌永昌大道</w:t>
      </w:r>
    </w:p>
    <w:p>
      <w:pPr>
        <w:adjustRightInd w:val="0"/>
        <w:spacing w:line="360" w:lineRule="auto"/>
        <w:ind w:firstLine="840" w:firstLineChars="400"/>
        <w:contextualSpacing/>
        <w:jc w:val="left"/>
        <w:rPr>
          <w:rFonts w:hint="eastAsia" w:cs="仿宋_GB2312" w:asciiTheme="minorEastAsia" w:hAnsiTheme="minorEastAsia"/>
          <w:color w:val="auto"/>
          <w:szCs w:val="21"/>
        </w:rPr>
      </w:pPr>
      <w:r>
        <w:rPr>
          <w:rFonts w:hint="eastAsia" w:cs="仿宋_GB2312" w:asciiTheme="minorEastAsia" w:hAnsiTheme="minorEastAsia"/>
          <w:color w:val="auto"/>
          <w:szCs w:val="21"/>
        </w:rPr>
        <w:t>联系人：赵国干                   联系电话：15393783539</w:t>
      </w:r>
    </w:p>
    <w:p>
      <w:pPr>
        <w:adjustRightInd w:val="0"/>
        <w:spacing w:line="360" w:lineRule="auto"/>
        <w:ind w:firstLine="843" w:firstLineChars="400"/>
        <w:contextualSpacing/>
        <w:jc w:val="left"/>
        <w:rPr>
          <w:rFonts w:ascii="宋体" w:hAnsi="宋体"/>
          <w:color w:val="auto"/>
          <w:szCs w:val="21"/>
        </w:rPr>
      </w:pPr>
      <w:r>
        <w:rPr>
          <w:rFonts w:hint="eastAsia" w:ascii="宋体" w:hAnsi="宋体"/>
          <w:b/>
          <w:color w:val="auto"/>
          <w:szCs w:val="21"/>
        </w:rPr>
        <w:t>集中采购机构</w:t>
      </w:r>
      <w:r>
        <w:rPr>
          <w:rFonts w:hint="eastAsia" w:ascii="宋体" w:hAnsi="宋体"/>
          <w:color w:val="auto"/>
          <w:szCs w:val="21"/>
        </w:rPr>
        <w:t xml:space="preserve">：许昌市政府采购服务中心 </w:t>
      </w:r>
    </w:p>
    <w:p>
      <w:pPr>
        <w:adjustRightInd w:val="0"/>
        <w:spacing w:line="360" w:lineRule="auto"/>
        <w:ind w:firstLine="840" w:firstLineChars="400"/>
        <w:contextualSpacing/>
        <w:jc w:val="left"/>
        <w:rPr>
          <w:rFonts w:ascii="宋体" w:hAnsi="宋体"/>
          <w:color w:val="auto"/>
          <w:szCs w:val="21"/>
        </w:rPr>
      </w:pPr>
      <w:r>
        <w:rPr>
          <w:rFonts w:hint="eastAsia" w:ascii="宋体" w:hAnsi="宋体"/>
          <w:color w:val="auto"/>
          <w:szCs w:val="21"/>
        </w:rPr>
        <w:t>地址：许昌市</w:t>
      </w:r>
      <w:r>
        <w:rPr>
          <w:rFonts w:cs="Arial" w:asciiTheme="minorEastAsia" w:hAnsiTheme="minorEastAsia"/>
          <w:color w:val="auto"/>
          <w:szCs w:val="21"/>
        </w:rPr>
        <w:t>龙兴路与竹林路交汇处</w:t>
      </w:r>
      <w:r>
        <w:rPr>
          <w:rFonts w:hint="eastAsia" w:cs="仿宋_GB2312" w:asciiTheme="minorEastAsia" w:hAnsiTheme="minorEastAsia"/>
          <w:color w:val="auto"/>
          <w:szCs w:val="21"/>
        </w:rPr>
        <w:t>创业服务中心C座</w:t>
      </w:r>
    </w:p>
    <w:p>
      <w:pPr>
        <w:adjustRightInd w:val="0"/>
        <w:spacing w:line="360" w:lineRule="auto"/>
        <w:ind w:firstLine="840" w:firstLineChars="400"/>
        <w:contextualSpacing/>
        <w:jc w:val="left"/>
        <w:rPr>
          <w:rFonts w:ascii="宋体" w:hAnsi="宋体"/>
          <w:color w:val="auto"/>
          <w:szCs w:val="21"/>
        </w:rPr>
      </w:pPr>
      <w:r>
        <w:rPr>
          <w:rFonts w:hint="eastAsia" w:ascii="宋体" w:hAnsi="宋体"/>
          <w:color w:val="auto"/>
          <w:szCs w:val="21"/>
        </w:rPr>
        <w:t>联系人：</w:t>
      </w:r>
      <w:r>
        <w:rPr>
          <w:rFonts w:hint="eastAsia" w:ascii="宋体" w:hAnsi="宋体"/>
          <w:color w:val="auto"/>
          <w:szCs w:val="21"/>
          <w:lang w:val="en-US" w:eastAsia="zh-CN"/>
        </w:rPr>
        <w:t>沙先生</w:t>
      </w:r>
      <w:r>
        <w:rPr>
          <w:rFonts w:hint="eastAsia" w:ascii="宋体" w:hAnsi="宋体"/>
          <w:color w:val="auto"/>
          <w:szCs w:val="21"/>
        </w:rPr>
        <w:t xml:space="preserve">                   联系电话：</w:t>
      </w:r>
      <w:bookmarkStart w:id="1" w:name="联系人电话"/>
      <w:r>
        <w:rPr>
          <w:rFonts w:ascii="宋体" w:hAnsi="宋体"/>
          <w:color w:val="auto"/>
          <w:szCs w:val="21"/>
        </w:rPr>
        <w:t>0</w:t>
      </w:r>
      <w:bookmarkEnd w:id="1"/>
      <w:r>
        <w:rPr>
          <w:rFonts w:hint="eastAsia" w:ascii="宋体" w:hAnsi="宋体"/>
          <w:color w:val="auto"/>
          <w:szCs w:val="21"/>
        </w:rPr>
        <w:t>374-2968687</w:t>
      </w:r>
    </w:p>
    <w:p>
      <w:pPr>
        <w:adjustRightInd w:val="0"/>
        <w:spacing w:line="360" w:lineRule="auto"/>
        <w:ind w:firstLine="843" w:firstLineChars="400"/>
        <w:contextualSpacing/>
        <w:jc w:val="left"/>
        <w:rPr>
          <w:rFonts w:ascii="宋体" w:hAnsi="宋体"/>
          <w:color w:val="auto"/>
          <w:szCs w:val="21"/>
        </w:rPr>
      </w:pPr>
      <w:r>
        <w:rPr>
          <w:rFonts w:hint="eastAsia" w:ascii="宋体" w:hAnsi="宋体"/>
          <w:b/>
          <w:color w:val="auto"/>
          <w:szCs w:val="21"/>
        </w:rPr>
        <w:t>监管部门：</w:t>
      </w:r>
      <w:r>
        <w:rPr>
          <w:rFonts w:hint="eastAsia" w:ascii="宋体" w:hAnsi="宋体"/>
          <w:color w:val="auto"/>
          <w:szCs w:val="21"/>
        </w:rPr>
        <w:t>许昌市财政局</w:t>
      </w:r>
    </w:p>
    <w:p>
      <w:pPr>
        <w:adjustRightInd w:val="0"/>
        <w:spacing w:line="360" w:lineRule="auto"/>
        <w:ind w:firstLine="840" w:firstLineChars="400"/>
        <w:contextualSpacing/>
        <w:jc w:val="left"/>
        <w:rPr>
          <w:rFonts w:ascii="宋体" w:hAnsi="宋体"/>
          <w:color w:val="auto"/>
          <w:szCs w:val="21"/>
        </w:rPr>
      </w:pPr>
      <w:r>
        <w:rPr>
          <w:rFonts w:hint="eastAsia" w:ascii="宋体" w:hAnsi="宋体"/>
          <w:color w:val="auto"/>
          <w:szCs w:val="21"/>
        </w:rPr>
        <w:t>联系人：许昌市政府采购监督管理办公室</w:t>
      </w:r>
    </w:p>
    <w:p>
      <w:pPr>
        <w:adjustRightInd w:val="0"/>
        <w:spacing w:line="360" w:lineRule="auto"/>
        <w:ind w:firstLine="840" w:firstLineChars="400"/>
        <w:contextualSpacing/>
        <w:jc w:val="left"/>
        <w:rPr>
          <w:rFonts w:ascii="宋体" w:hAnsi="宋体"/>
          <w:color w:val="auto"/>
          <w:szCs w:val="21"/>
        </w:rPr>
      </w:pPr>
      <w:r>
        <w:rPr>
          <w:rFonts w:hint="eastAsia" w:ascii="宋体" w:hAnsi="宋体"/>
          <w:color w:val="auto"/>
          <w:szCs w:val="21"/>
        </w:rPr>
        <w:t>联系电话：0374-2676018</w:t>
      </w:r>
    </w:p>
    <w:p>
      <w:pPr>
        <w:adjustRightInd w:val="0"/>
        <w:snapToGrid w:val="0"/>
        <w:spacing w:line="360" w:lineRule="auto"/>
        <w:ind w:firstLine="840" w:firstLineChars="400"/>
        <w:jc w:val="left"/>
        <w:rPr>
          <w:rFonts w:ascii="宋体" w:hAnsi="宋体"/>
          <w:color w:val="auto"/>
          <w:szCs w:val="21"/>
        </w:rPr>
      </w:pPr>
    </w:p>
    <w:p>
      <w:pPr>
        <w:adjustRightInd w:val="0"/>
        <w:snapToGrid w:val="0"/>
        <w:spacing w:line="360" w:lineRule="auto"/>
        <w:ind w:firstLine="840" w:firstLineChars="400"/>
        <w:jc w:val="left"/>
        <w:rPr>
          <w:rFonts w:ascii="宋体" w:hAnsi="宋体"/>
          <w:color w:val="auto"/>
          <w:szCs w:val="21"/>
        </w:rPr>
      </w:pPr>
    </w:p>
    <w:p>
      <w:pPr>
        <w:adjustRightInd w:val="0"/>
        <w:snapToGrid w:val="0"/>
        <w:spacing w:line="360" w:lineRule="auto"/>
        <w:ind w:firstLine="840" w:firstLineChars="400"/>
        <w:jc w:val="left"/>
        <w:rPr>
          <w:rFonts w:ascii="宋体" w:hAnsi="宋体"/>
          <w:color w:val="auto"/>
          <w:szCs w:val="21"/>
        </w:rPr>
      </w:pPr>
    </w:p>
    <w:p>
      <w:pPr>
        <w:spacing w:line="360" w:lineRule="auto"/>
        <w:ind w:firstLine="422" w:firstLineChars="150"/>
        <w:rPr>
          <w:rFonts w:hAnsi="宋体"/>
          <w:b/>
          <w:color w:val="auto"/>
          <w:sz w:val="28"/>
          <w:szCs w:val="28"/>
        </w:rPr>
      </w:pPr>
      <w:r>
        <w:rPr>
          <w:rFonts w:hint="eastAsia" w:hAnsi="宋体"/>
          <w:b/>
          <w:color w:val="auto"/>
          <w:sz w:val="28"/>
          <w:szCs w:val="28"/>
        </w:rPr>
        <w:t>温馨提示：本项目为全流程电子化交易项目，请注意以下事项。</w:t>
      </w:r>
    </w:p>
    <w:p>
      <w:pPr>
        <w:numPr>
          <w:ilvl w:val="0"/>
          <w:numId w:val="7"/>
        </w:numPr>
        <w:tabs>
          <w:tab w:val="left" w:pos="7095"/>
        </w:tabs>
        <w:spacing w:line="360" w:lineRule="auto"/>
        <w:contextualSpacing/>
        <w:rPr>
          <w:rFonts w:asciiTheme="minorEastAsia" w:hAnsiTheme="minorEastAsia"/>
          <w:b/>
          <w:color w:val="auto"/>
        </w:rPr>
      </w:pPr>
      <w:r>
        <w:rPr>
          <w:rFonts w:hint="eastAsia" w:cs="Helvetica"/>
          <w:color w:val="auto"/>
        </w:rPr>
        <w:t>供应商参加本项目投标，需提前自行联系CA服务机构办理数字认证证书并进行电子签章。</w:t>
      </w:r>
    </w:p>
    <w:p>
      <w:pPr>
        <w:numPr>
          <w:ilvl w:val="0"/>
          <w:numId w:val="7"/>
        </w:numPr>
        <w:tabs>
          <w:tab w:val="left" w:pos="7095"/>
        </w:tabs>
        <w:spacing w:line="360" w:lineRule="auto"/>
        <w:contextualSpacing/>
        <w:rPr>
          <w:rFonts w:hAnsi="宋体"/>
          <w:color w:val="auto"/>
        </w:rPr>
      </w:pPr>
      <w:r>
        <w:rPr>
          <w:rFonts w:hint="eastAsia" w:hAnsi="宋体"/>
          <w:color w:val="auto"/>
        </w:rPr>
        <w:t>招标文件下载、投标文件制作、提交、远程不见面开标（电子投标文件的解密）环节，投标人须使用同一个</w:t>
      </w:r>
      <w:r>
        <w:rPr>
          <w:rFonts w:hAnsi="宋体"/>
          <w:color w:val="auto"/>
        </w:rPr>
        <w:t>CA数字证书</w:t>
      </w:r>
      <w:r>
        <w:rPr>
          <w:rFonts w:hint="eastAsia" w:hAnsi="宋体"/>
          <w:color w:val="auto"/>
        </w:rPr>
        <w:t>（证书须在有效期内并可正常使用）</w:t>
      </w:r>
      <w:r>
        <w:rPr>
          <w:rFonts w:hAnsi="宋体"/>
          <w:color w:val="auto"/>
        </w:rPr>
        <w:t>。</w:t>
      </w:r>
    </w:p>
    <w:p>
      <w:pPr>
        <w:numPr>
          <w:ilvl w:val="0"/>
          <w:numId w:val="7"/>
        </w:numPr>
        <w:tabs>
          <w:tab w:val="left" w:pos="7095"/>
        </w:tabs>
        <w:spacing w:line="360" w:lineRule="auto"/>
        <w:contextualSpacing/>
        <w:rPr>
          <w:rFonts w:hAnsi="宋体"/>
          <w:b/>
          <w:color w:val="auto"/>
        </w:rPr>
      </w:pPr>
      <w:r>
        <w:rPr>
          <w:rFonts w:hint="eastAsia" w:hAnsi="宋体"/>
          <w:b/>
          <w:color w:val="auto"/>
        </w:rPr>
        <w:t>电子投标文件的制作</w:t>
      </w:r>
    </w:p>
    <w:p>
      <w:pPr>
        <w:numPr>
          <w:ilvl w:val="1"/>
          <w:numId w:val="8"/>
        </w:numPr>
        <w:tabs>
          <w:tab w:val="left" w:pos="7095"/>
        </w:tabs>
        <w:spacing w:line="360" w:lineRule="auto"/>
        <w:contextualSpacing/>
        <w:rPr>
          <w:rFonts w:hAnsi="宋体"/>
          <w:color w:val="auto"/>
        </w:rPr>
      </w:pPr>
      <w:r>
        <w:rPr>
          <w:rFonts w:hint="eastAsia" w:hAnsi="宋体"/>
          <w:color w:val="auto"/>
        </w:rPr>
        <w:t>投标人登录《全国公共资源交易平台</w:t>
      </w:r>
      <w:r>
        <w:rPr>
          <w:rFonts w:hint="eastAsia" w:asciiTheme="majorEastAsia" w:hAnsiTheme="majorEastAsia" w:eastAsiaTheme="majorEastAsia"/>
          <w:color w:val="auto"/>
        </w:rPr>
        <w:t>(</w:t>
      </w:r>
      <w:r>
        <w:rPr>
          <w:rFonts w:hint="eastAsia" w:hAnsi="宋体"/>
          <w:color w:val="auto"/>
        </w:rPr>
        <w:t>河南省</w:t>
      </w:r>
      <w:r>
        <w:rPr>
          <w:rFonts w:hint="eastAsia" w:ascii="MS Mincho" w:hAnsi="MS Mincho" w:eastAsia="MS Mincho" w:cs="MS Mincho"/>
          <w:color w:val="auto"/>
        </w:rPr>
        <w:t>▪</w:t>
      </w:r>
      <w:r>
        <w:rPr>
          <w:rFonts w:hint="eastAsia" w:ascii="宋体" w:hAnsi="宋体" w:cs="宋体"/>
          <w:color w:val="auto"/>
        </w:rPr>
        <w:t>许昌市</w:t>
      </w:r>
      <w:r>
        <w:rPr>
          <w:rFonts w:hint="eastAsia" w:asciiTheme="minorEastAsia" w:hAnsiTheme="minorEastAsia"/>
          <w:color w:val="auto"/>
        </w:rPr>
        <w:t>)</w:t>
      </w:r>
      <w:r>
        <w:rPr>
          <w:rFonts w:hint="eastAsia" w:hAnsi="宋体"/>
          <w:color w:val="auto"/>
        </w:rPr>
        <w:t>》公共资源交易系统（</w:t>
      </w:r>
      <w:r>
        <w:rPr>
          <w:color w:val="auto"/>
        </w:rPr>
        <w:fldChar w:fldCharType="begin"/>
      </w:r>
      <w:r>
        <w:rPr>
          <w:color w:val="auto"/>
        </w:rPr>
        <w:instrText xml:space="preserve"> HYPERLINK "http://221.14.6.70:8088/ggzy/" </w:instrText>
      </w:r>
      <w:r>
        <w:rPr>
          <w:color w:val="auto"/>
        </w:rPr>
        <w:fldChar w:fldCharType="separate"/>
      </w:r>
      <w:r>
        <w:rPr>
          <w:rFonts w:hAnsi="宋体"/>
          <w:color w:val="auto"/>
          <w:u w:val="single"/>
        </w:rPr>
        <w:t>http://ggzy.xuchang.gov.cn:8088/ggzy/</w:t>
      </w:r>
      <w:r>
        <w:rPr>
          <w:rFonts w:hAnsi="宋体"/>
          <w:color w:val="auto"/>
          <w:u w:val="single"/>
        </w:rPr>
        <w:fldChar w:fldCharType="end"/>
      </w:r>
      <w:r>
        <w:rPr>
          <w:rFonts w:hint="eastAsia" w:hAnsi="宋体"/>
          <w:color w:val="auto"/>
        </w:rPr>
        <w:t>）下载“许昌投标文件制作系统SEARUN 最新版本”，制作投标文件。</w:t>
      </w:r>
    </w:p>
    <w:p>
      <w:pPr>
        <w:numPr>
          <w:ilvl w:val="1"/>
          <w:numId w:val="9"/>
        </w:numPr>
        <w:tabs>
          <w:tab w:val="left" w:pos="7095"/>
        </w:tabs>
        <w:spacing w:line="360" w:lineRule="auto"/>
        <w:contextualSpacing/>
        <w:rPr>
          <w:rFonts w:hAnsi="宋体"/>
          <w:color w:val="auto"/>
        </w:rPr>
      </w:pPr>
      <w:r>
        <w:rPr>
          <w:rFonts w:hint="eastAsia" w:hAnsi="宋体"/>
          <w:color w:val="auto"/>
        </w:rPr>
        <w:t>投标人对同一项目多个标段进行投标的，应分别下载所投标段的招标文件，按标段制作投标文件。一个标段对应生成一个文件夹（xxxx项目xx标段）,其中后缀名为“</w:t>
      </w:r>
      <w:r>
        <w:rPr>
          <w:rFonts w:hAnsi="宋体"/>
          <w:color w:val="auto"/>
        </w:rPr>
        <w:t>.file</w:t>
      </w:r>
      <w:r>
        <w:rPr>
          <w:rFonts w:hint="eastAsia" w:hAnsi="宋体"/>
          <w:color w:val="auto"/>
        </w:rPr>
        <w:t>”的文件用于投标。</w:t>
      </w:r>
    </w:p>
    <w:p>
      <w:pPr>
        <w:numPr>
          <w:ilvl w:val="0"/>
          <w:numId w:val="10"/>
        </w:numPr>
        <w:tabs>
          <w:tab w:val="left" w:pos="7095"/>
        </w:tabs>
        <w:spacing w:line="360" w:lineRule="auto"/>
        <w:contextualSpacing/>
        <w:rPr>
          <w:rFonts w:hAnsi="宋体"/>
          <w:b/>
          <w:color w:val="auto"/>
        </w:rPr>
      </w:pPr>
      <w:r>
        <w:rPr>
          <w:rFonts w:hint="eastAsia" w:asciiTheme="minorEastAsia" w:hAnsiTheme="minorEastAsia"/>
          <w:b/>
          <w:color w:val="auto"/>
        </w:rPr>
        <w:t>加密</w:t>
      </w:r>
      <w:r>
        <w:rPr>
          <w:rFonts w:hint="eastAsia" w:hAnsi="宋体"/>
          <w:b/>
          <w:color w:val="auto"/>
        </w:rPr>
        <w:t>电子投标文件的提交</w:t>
      </w:r>
    </w:p>
    <w:p>
      <w:pPr>
        <w:numPr>
          <w:ilvl w:val="0"/>
          <w:numId w:val="11"/>
        </w:numPr>
        <w:tabs>
          <w:tab w:val="left" w:pos="7095"/>
        </w:tabs>
        <w:spacing w:line="360" w:lineRule="auto"/>
        <w:ind w:left="1276" w:hanging="425"/>
        <w:contextualSpacing/>
        <w:rPr>
          <w:rFonts w:hAnsi="宋体"/>
          <w:color w:val="auto"/>
        </w:rPr>
      </w:pPr>
      <w:r>
        <w:rPr>
          <w:rFonts w:hint="eastAsia" w:hAnsi="宋体"/>
          <w:color w:val="auto"/>
        </w:rPr>
        <w:t>投标人对同一项目多个标段进行投标的，加密电子投标文件应按标段分别提交。</w:t>
      </w:r>
    </w:p>
    <w:p>
      <w:pPr>
        <w:numPr>
          <w:ilvl w:val="0"/>
          <w:numId w:val="12"/>
        </w:numPr>
        <w:tabs>
          <w:tab w:val="left" w:pos="7095"/>
        </w:tabs>
        <w:spacing w:line="360" w:lineRule="auto"/>
        <w:contextualSpacing/>
        <w:rPr>
          <w:rFonts w:hAnsi="宋体"/>
          <w:color w:val="auto"/>
        </w:rPr>
      </w:pPr>
      <w:r>
        <w:rPr>
          <w:rFonts w:hint="eastAsia" w:asciiTheme="minorEastAsia" w:hAnsiTheme="minorEastAsia"/>
          <w:color w:val="auto"/>
        </w:rPr>
        <w:t>加密</w:t>
      </w:r>
      <w:r>
        <w:rPr>
          <w:rFonts w:hint="eastAsia" w:hAnsi="宋体"/>
          <w:color w:val="auto"/>
        </w:rPr>
        <w:t>电子投标文件成功提交后，《全国公共资源交易平台(河南省</w:t>
      </w:r>
      <w:r>
        <w:rPr>
          <w:rFonts w:hint="eastAsia" w:ascii="MS Mincho" w:hAnsi="MS Mincho" w:eastAsia="MS Mincho" w:cs="MS Mincho"/>
          <w:color w:val="auto"/>
        </w:rPr>
        <w:t>▪</w:t>
      </w:r>
      <w:r>
        <w:rPr>
          <w:rFonts w:hint="eastAsia" w:ascii="宋体" w:hAnsi="宋体" w:cs="宋体"/>
          <w:color w:val="auto"/>
        </w:rPr>
        <w:t>许昌市</w:t>
      </w:r>
      <w:r>
        <w:rPr>
          <w:rFonts w:hint="eastAsia" w:hAnsi="宋体"/>
          <w:color w:val="auto"/>
        </w:rPr>
        <w:t>)》公共资源交易系统（</w:t>
      </w:r>
      <w:r>
        <w:rPr>
          <w:color w:val="auto"/>
        </w:rPr>
        <w:fldChar w:fldCharType="begin"/>
      </w:r>
      <w:r>
        <w:rPr>
          <w:color w:val="auto"/>
        </w:rPr>
        <w:instrText xml:space="preserve"> HYPERLINK "http://221.14.6.70:8088/ggzy/" </w:instrText>
      </w:r>
      <w:r>
        <w:rPr>
          <w:color w:val="auto"/>
        </w:rPr>
        <w:fldChar w:fldCharType="separate"/>
      </w:r>
      <w:r>
        <w:rPr>
          <w:rFonts w:hAnsi="宋体"/>
          <w:color w:val="auto"/>
          <w:u w:val="single"/>
        </w:rPr>
        <w:t>http://ggzy.xuchang.gov.cn:8088/ggzy/</w:t>
      </w:r>
      <w:r>
        <w:rPr>
          <w:rFonts w:hAnsi="宋体"/>
          <w:color w:val="auto"/>
          <w:u w:val="single"/>
        </w:rPr>
        <w:fldChar w:fldCharType="end"/>
      </w:r>
      <w:r>
        <w:rPr>
          <w:rFonts w:hint="eastAsia" w:hAnsi="宋体"/>
          <w:color w:val="auto"/>
        </w:rPr>
        <w:t>）</w:t>
      </w:r>
      <w:r>
        <w:rPr>
          <w:rFonts w:hint="eastAsia" w:cs="仿宋_GB2312" w:asciiTheme="minorEastAsia" w:hAnsiTheme="minorEastAsia"/>
          <w:color w:val="auto"/>
        </w:rPr>
        <w:t>生成“投标文件提交回执单”。</w:t>
      </w:r>
    </w:p>
    <w:p>
      <w:pPr>
        <w:numPr>
          <w:ilvl w:val="0"/>
          <w:numId w:val="10"/>
        </w:numPr>
        <w:tabs>
          <w:tab w:val="left" w:pos="7095"/>
        </w:tabs>
        <w:spacing w:line="360" w:lineRule="auto"/>
        <w:contextualSpacing/>
        <w:rPr>
          <w:rFonts w:hAnsi="宋体"/>
          <w:b/>
          <w:color w:val="auto"/>
        </w:rPr>
      </w:pPr>
      <w:r>
        <w:rPr>
          <w:rFonts w:hint="eastAsia" w:asciiTheme="minorEastAsia" w:hAnsiTheme="minorEastAsia"/>
          <w:b/>
          <w:color w:val="auto"/>
        </w:rPr>
        <w:t>远程不见面开标（</w:t>
      </w:r>
      <w:r>
        <w:rPr>
          <w:rFonts w:hint="eastAsia" w:hAnsi="宋体"/>
          <w:b/>
          <w:color w:val="auto"/>
        </w:rPr>
        <w:t>电子投标文件的解密</w:t>
      </w:r>
      <w:r>
        <w:rPr>
          <w:rFonts w:hint="eastAsia" w:asciiTheme="minorEastAsia" w:hAnsiTheme="minorEastAsia"/>
          <w:b/>
          <w:color w:val="auto"/>
        </w:rPr>
        <w:t>）</w:t>
      </w:r>
    </w:p>
    <w:p>
      <w:pPr>
        <w:numPr>
          <w:ilvl w:val="0"/>
          <w:numId w:val="13"/>
        </w:numPr>
        <w:tabs>
          <w:tab w:val="left" w:pos="7095"/>
        </w:tabs>
        <w:spacing w:line="360" w:lineRule="auto"/>
        <w:ind w:left="1276" w:hanging="425"/>
        <w:contextualSpacing/>
        <w:rPr>
          <w:rFonts w:hAnsi="宋体"/>
          <w:color w:val="auto"/>
        </w:rPr>
      </w:pPr>
      <w:r>
        <w:rPr>
          <w:rFonts w:hint="eastAsia" w:hAnsi="宋体"/>
          <w:color w:val="auto"/>
        </w:rPr>
        <w:t>本项目采用远程“不见面”开标方式，投标前请详细阅读全国公共资源交易平台（河南省·许昌市）首页“资料下载”栏目的《许昌市不见面操作手册</w:t>
      </w:r>
      <w:r>
        <w:rPr>
          <w:rFonts w:ascii="微软雅黑" w:hAnsi="微软雅黑"/>
          <w:color w:val="auto"/>
        </w:rPr>
        <w:t>（代理机构/投标人）</w:t>
      </w:r>
      <w:r>
        <w:rPr>
          <w:rFonts w:hint="eastAsia" w:hAnsi="宋体"/>
          <w:color w:val="auto"/>
        </w:rPr>
        <w:t>》。</w:t>
      </w:r>
    </w:p>
    <w:p>
      <w:pPr>
        <w:numPr>
          <w:ilvl w:val="0"/>
          <w:numId w:val="14"/>
        </w:numPr>
        <w:tabs>
          <w:tab w:val="left" w:pos="7095"/>
        </w:tabs>
        <w:spacing w:line="360" w:lineRule="auto"/>
        <w:contextualSpacing/>
        <w:rPr>
          <w:rFonts w:hAnsi="宋体"/>
          <w:color w:val="auto"/>
        </w:rPr>
      </w:pPr>
      <w:r>
        <w:rPr>
          <w:rFonts w:hint="eastAsia" w:hAnsi="宋体"/>
          <w:color w:val="auto"/>
        </w:rPr>
        <w:t>投标人提前设置不见面开标浏览器，并于开标时间前登录本项目不见面开标大厅，按照规定的开标时间准时参加网上开标。</w:t>
      </w:r>
    </w:p>
    <w:p>
      <w:pPr>
        <w:numPr>
          <w:ilvl w:val="0"/>
          <w:numId w:val="15"/>
        </w:numPr>
        <w:tabs>
          <w:tab w:val="left" w:pos="7095"/>
        </w:tabs>
        <w:spacing w:line="360" w:lineRule="auto"/>
        <w:contextualSpacing/>
        <w:rPr>
          <w:rFonts w:hAnsi="宋体"/>
          <w:color w:val="auto"/>
        </w:rPr>
      </w:pPr>
      <w:r>
        <w:rPr>
          <w:rFonts w:hint="eastAsia" w:hAnsi="宋体"/>
          <w:color w:val="auto"/>
        </w:rPr>
        <w:t>根据采购代理机构在“文字互动”对话框的通知，投标人选择功能栏“解密环节”按钮进行电子投标文件解密（投标人解密应自采购代理机构点击“开标开始”按钮后120分钟内完成）。投标人未解密或因投标人原因解密失败的，其投标将被拒绝。</w:t>
      </w:r>
    </w:p>
    <w:p>
      <w:pPr>
        <w:numPr>
          <w:ilvl w:val="0"/>
          <w:numId w:val="16"/>
        </w:numPr>
        <w:tabs>
          <w:tab w:val="left" w:pos="7095"/>
        </w:tabs>
        <w:spacing w:line="360" w:lineRule="auto"/>
        <w:contextualSpacing/>
        <w:rPr>
          <w:rFonts w:hAnsi="宋体"/>
          <w:color w:val="auto"/>
        </w:rPr>
      </w:pPr>
      <w:r>
        <w:rPr>
          <w:rFonts w:hint="eastAsia" w:hAnsi="宋体"/>
          <w:color w:val="auto"/>
        </w:rPr>
        <w:t>开标活动结束时，投标人应在《开标记录表》上进行电子签章。投标人未签章的，视同认可开标结果。</w:t>
      </w:r>
    </w:p>
    <w:p>
      <w:pPr>
        <w:numPr>
          <w:ilvl w:val="0"/>
          <w:numId w:val="17"/>
        </w:numPr>
        <w:tabs>
          <w:tab w:val="left" w:pos="7095"/>
        </w:tabs>
        <w:spacing w:line="360" w:lineRule="auto"/>
        <w:contextualSpacing/>
        <w:rPr>
          <w:rFonts w:hAnsi="宋体"/>
          <w:color w:val="auto"/>
        </w:rPr>
      </w:pPr>
      <w:r>
        <w:rPr>
          <w:rFonts w:hint="eastAsia" w:hAnsi="宋体"/>
          <w:color w:val="auto"/>
        </w:rPr>
        <w:t>投标人对开标过程和开标记录如有疑义，可在本项目不见面开标大厅“文字互动”对话框或“新增质疑”处在线提出询问。</w:t>
      </w:r>
    </w:p>
    <w:p>
      <w:pPr>
        <w:numPr>
          <w:ilvl w:val="0"/>
          <w:numId w:val="18"/>
        </w:numPr>
        <w:tabs>
          <w:tab w:val="left" w:pos="7095"/>
        </w:tabs>
        <w:spacing w:line="360" w:lineRule="auto"/>
        <w:contextualSpacing/>
        <w:rPr>
          <w:rFonts w:hAnsi="宋体"/>
          <w:b/>
          <w:color w:val="auto"/>
        </w:rPr>
      </w:pPr>
      <w:r>
        <w:rPr>
          <w:rFonts w:hint="eastAsia" w:hAnsi="宋体"/>
          <w:b/>
          <w:color w:val="auto"/>
        </w:rPr>
        <w:t>评标依据</w:t>
      </w:r>
    </w:p>
    <w:p>
      <w:pPr>
        <w:numPr>
          <w:ilvl w:val="0"/>
          <w:numId w:val="19"/>
        </w:numPr>
        <w:tabs>
          <w:tab w:val="left" w:pos="7095"/>
        </w:tabs>
        <w:spacing w:line="360" w:lineRule="auto"/>
        <w:ind w:left="1276" w:hanging="425"/>
        <w:contextualSpacing/>
        <w:rPr>
          <w:rFonts w:hAnsi="宋体"/>
          <w:color w:val="auto"/>
        </w:rPr>
      </w:pPr>
      <w:r>
        <w:rPr>
          <w:rFonts w:hint="eastAsia" w:hAnsi="宋体"/>
          <w:color w:val="auto"/>
        </w:rPr>
        <w:t>全流程电子化交易（不见面开标）项目，评标委员会以成功上传、解密的电子投标文件为依据评审。</w:t>
      </w:r>
    </w:p>
    <w:p>
      <w:pPr>
        <w:numPr>
          <w:ilvl w:val="0"/>
          <w:numId w:val="20"/>
        </w:numPr>
        <w:tabs>
          <w:tab w:val="left" w:pos="7095"/>
        </w:tabs>
        <w:spacing w:line="360" w:lineRule="auto"/>
        <w:contextualSpacing/>
        <w:rPr>
          <w:rFonts w:hAnsi="宋体"/>
          <w:color w:val="auto"/>
        </w:rPr>
      </w:pPr>
      <w:r>
        <w:rPr>
          <w:rFonts w:hint="eastAsia" w:hAnsi="宋体"/>
          <w:color w:val="auto"/>
        </w:rPr>
        <w:t>评标期间，投标人应保持通讯手机畅通。评标委员会如要求投标人作出澄清、说明或者补正等，投标人应在评标委员会要求的评标期间合理的时间内通过电子邮件形式提供。</w:t>
      </w:r>
    </w:p>
    <w:p>
      <w:pPr>
        <w:numPr>
          <w:ilvl w:val="0"/>
          <w:numId w:val="21"/>
        </w:numPr>
        <w:tabs>
          <w:tab w:val="left" w:pos="7095"/>
        </w:tabs>
        <w:spacing w:line="360" w:lineRule="auto"/>
        <w:contextualSpacing/>
        <w:rPr>
          <w:rFonts w:hAnsi="宋体"/>
          <w:color w:val="auto"/>
        </w:rPr>
      </w:pPr>
      <w:r>
        <w:rPr>
          <w:rFonts w:hint="eastAsia" w:hAnsi="宋体"/>
          <w:color w:val="auto"/>
        </w:rPr>
        <w:t>投标人通过电子邮件提供的书面说明或相关证明材料应加盖公章，或者由法定代表人或其授权的代表签字。</w:t>
      </w:r>
    </w:p>
    <w:p>
      <w:pPr>
        <w:numPr>
          <w:ilvl w:val="0"/>
          <w:numId w:val="18"/>
        </w:numPr>
        <w:tabs>
          <w:tab w:val="left" w:pos="7095"/>
        </w:tabs>
        <w:spacing w:line="360" w:lineRule="auto"/>
        <w:contextualSpacing/>
        <w:rPr>
          <w:rFonts w:hAnsi="宋体"/>
          <w:b/>
          <w:color w:val="auto"/>
        </w:rPr>
      </w:pPr>
      <w:r>
        <w:rPr>
          <w:rFonts w:hint="eastAsia" w:hAnsi="宋体"/>
          <w:b/>
          <w:color w:val="auto"/>
        </w:rPr>
        <w:t>相关事项</w:t>
      </w:r>
    </w:p>
    <w:p>
      <w:pPr>
        <w:numPr>
          <w:ilvl w:val="0"/>
          <w:numId w:val="22"/>
        </w:numPr>
        <w:tabs>
          <w:tab w:val="left" w:pos="7095"/>
        </w:tabs>
        <w:spacing w:line="360" w:lineRule="auto"/>
        <w:contextualSpacing/>
        <w:rPr>
          <w:rFonts w:hAnsi="宋体"/>
          <w:color w:val="auto"/>
        </w:rPr>
      </w:pPr>
      <w:r>
        <w:rPr>
          <w:rFonts w:hint="eastAsia" w:hAnsi="宋体"/>
          <w:color w:val="auto"/>
        </w:rPr>
        <w:t>为使更多供应商能参加投标，本项目招标文件公告期限届满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numPr>
          <w:ilvl w:val="0"/>
          <w:numId w:val="22"/>
        </w:numPr>
        <w:tabs>
          <w:tab w:val="left" w:pos="7095"/>
        </w:tabs>
        <w:wordWrap w:val="0"/>
        <w:spacing w:line="360" w:lineRule="auto"/>
        <w:ind w:left="1259"/>
        <w:contextualSpacing/>
        <w:rPr>
          <w:rFonts w:hAnsi="宋体"/>
          <w:color w:val="auto"/>
        </w:rPr>
      </w:pPr>
      <w:r>
        <w:rPr>
          <w:rFonts w:hint="eastAsia" w:hAnsi="宋体"/>
          <w:color w:val="auto"/>
        </w:rPr>
        <w:t>《全国公共资源交易平台（河南省·许昌市）》（</w:t>
      </w:r>
      <w:r>
        <w:rPr>
          <w:rFonts w:hAnsi="宋体"/>
          <w:color w:val="auto"/>
        </w:rPr>
        <w:t>http://ggzy.xuchang.gov.cn/</w:t>
      </w:r>
      <w:r>
        <w:rPr>
          <w:rFonts w:hint="eastAsia" w:hAnsi="宋体"/>
          <w:color w:val="auto"/>
        </w:rPr>
        <w:t>）采购公告栏提供的招标文件仅供浏览。供应商下载招标文件应使用 CA 数字证书登录《全国公共资源交易平台（河南省·许昌市）》“投标人/供应商登录”入口（http://ggzy.xuchang.gov.cn:8088/ggzy/）获取。</w:t>
      </w:r>
    </w:p>
    <w:p>
      <w:pPr>
        <w:widowControl/>
        <w:jc w:val="left"/>
        <w:rPr>
          <w:rFonts w:hAnsi="宋体"/>
          <w:color w:val="auto"/>
        </w:rPr>
      </w:pPr>
    </w:p>
    <w:p>
      <w:pPr>
        <w:widowControl/>
        <w:jc w:val="left"/>
        <w:rPr>
          <w:rFonts w:hAnsi="宋体"/>
          <w:color w:val="auto"/>
        </w:rPr>
      </w:pPr>
    </w:p>
    <w:p>
      <w:pPr>
        <w:widowControl/>
        <w:jc w:val="left"/>
        <w:rPr>
          <w:rFonts w:hAnsi="宋体"/>
          <w:color w:val="auto"/>
        </w:rPr>
      </w:pPr>
    </w:p>
    <w:p>
      <w:pPr>
        <w:widowControl/>
        <w:jc w:val="left"/>
        <w:rPr>
          <w:rFonts w:hAnsi="宋体"/>
          <w:color w:val="auto"/>
        </w:rPr>
      </w:pPr>
    </w:p>
    <w:p>
      <w:pPr>
        <w:widowControl/>
        <w:jc w:val="left"/>
        <w:rPr>
          <w:rFonts w:hAnsi="宋体"/>
          <w:color w:val="auto"/>
        </w:rPr>
      </w:pPr>
    </w:p>
    <w:p>
      <w:pPr>
        <w:widowControl/>
        <w:jc w:val="left"/>
        <w:rPr>
          <w:rFonts w:hAnsi="宋体"/>
          <w:color w:val="auto"/>
        </w:rPr>
      </w:pPr>
    </w:p>
    <w:p>
      <w:pPr>
        <w:widowControl/>
        <w:jc w:val="left"/>
        <w:rPr>
          <w:rFonts w:hAnsi="宋体"/>
          <w:color w:val="auto"/>
        </w:rPr>
      </w:pPr>
    </w:p>
    <w:p>
      <w:pPr>
        <w:widowControl/>
        <w:jc w:val="left"/>
        <w:rPr>
          <w:rFonts w:hAnsi="宋体"/>
          <w:color w:val="auto"/>
        </w:rPr>
      </w:pPr>
    </w:p>
    <w:p>
      <w:pPr>
        <w:widowControl/>
        <w:jc w:val="left"/>
        <w:rPr>
          <w:rFonts w:hAnsi="宋体"/>
          <w:color w:val="auto"/>
        </w:rPr>
      </w:pPr>
    </w:p>
    <w:p>
      <w:pPr>
        <w:widowControl/>
        <w:jc w:val="left"/>
        <w:rPr>
          <w:rFonts w:hAnsi="宋体"/>
          <w:color w:val="auto"/>
        </w:rPr>
      </w:pPr>
    </w:p>
    <w:p>
      <w:pPr>
        <w:widowControl/>
        <w:jc w:val="left"/>
        <w:rPr>
          <w:rFonts w:hAnsi="宋体"/>
          <w:color w:val="auto"/>
        </w:rPr>
      </w:pPr>
    </w:p>
    <w:p>
      <w:pPr>
        <w:widowControl/>
        <w:jc w:val="left"/>
        <w:rPr>
          <w:rFonts w:hAnsi="宋体"/>
          <w:color w:val="auto"/>
        </w:rPr>
      </w:pPr>
    </w:p>
    <w:p>
      <w:pPr>
        <w:numPr>
          <w:ilvl w:val="0"/>
          <w:numId w:val="23"/>
        </w:numPr>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项目需求</w:t>
      </w:r>
    </w:p>
    <w:p>
      <w:pPr>
        <w:rPr>
          <w:rFonts w:cs="宋体" w:asciiTheme="majorEastAsia" w:hAnsiTheme="majorEastAsia" w:eastAsiaTheme="majorEastAsia"/>
          <w:b/>
          <w:color w:val="auto"/>
          <w:kern w:val="0"/>
          <w:sz w:val="32"/>
          <w:szCs w:val="32"/>
        </w:rPr>
      </w:pPr>
    </w:p>
    <w:p>
      <w:pPr>
        <w:wordWrap w:val="0"/>
        <w:topLinePunct/>
        <w:spacing w:line="360" w:lineRule="auto"/>
        <w:ind w:firstLine="482" w:firstLineChars="200"/>
        <w:rPr>
          <w:rFonts w:ascii="宋体" w:cs="宋体"/>
          <w:b/>
          <w:color w:val="auto"/>
          <w:sz w:val="24"/>
          <w:lang w:val="zh-CN"/>
        </w:rPr>
      </w:pPr>
      <w:r>
        <w:rPr>
          <w:rFonts w:hint="eastAsia" w:ascii="宋体" w:cs="宋体"/>
          <w:b/>
          <w:color w:val="auto"/>
          <w:sz w:val="24"/>
          <w:lang w:val="zh-CN"/>
        </w:rPr>
        <w:t>一、项目概况</w:t>
      </w:r>
    </w:p>
    <w:p>
      <w:pPr>
        <w:wordWrap w:val="0"/>
        <w:topLinePunct/>
        <w:spacing w:line="360" w:lineRule="auto"/>
        <w:ind w:firstLine="480" w:firstLineChars="200"/>
        <w:rPr>
          <w:rFonts w:ascii="宋体" w:cs="宋体"/>
          <w:b/>
          <w:color w:val="auto"/>
          <w:sz w:val="24"/>
          <w:lang w:val="zh-CN"/>
        </w:rPr>
      </w:pPr>
      <w:r>
        <w:rPr>
          <w:rFonts w:hint="eastAsia" w:ascii="宋体" w:cs="宋体"/>
          <w:color w:val="auto"/>
          <w:sz w:val="24"/>
          <w:lang w:val="zh-CN"/>
        </w:rPr>
        <w:t>许昌幼儿师范学校职教园区综合馆声光像设备采购项目</w:t>
      </w:r>
      <w:r>
        <w:rPr>
          <w:rFonts w:hint="eastAsia" w:ascii="宋体" w:cs="宋体"/>
          <w:color w:val="auto"/>
          <w:sz w:val="24"/>
          <w:lang w:val="zh-CN" w:eastAsia="zh-CN"/>
        </w:rPr>
        <w:t>，</w:t>
      </w:r>
      <w:r>
        <w:rPr>
          <w:rFonts w:hint="eastAsia" w:ascii="宋体" w:cs="宋体"/>
          <w:color w:val="auto"/>
          <w:sz w:val="24"/>
          <w:lang w:val="en-US" w:eastAsia="zh-CN"/>
        </w:rPr>
        <w:t>采购内容为LED大屏显示系统、音频扩声及智能中控会议系统、舞台灯光系统、舞台机械及幕布系统</w:t>
      </w:r>
      <w:r>
        <w:rPr>
          <w:rFonts w:hint="eastAsia" w:ascii="宋体" w:cs="宋体"/>
          <w:color w:val="auto"/>
          <w:sz w:val="24"/>
          <w:lang w:val="zh-CN"/>
        </w:rPr>
        <w:t>。</w:t>
      </w:r>
    </w:p>
    <w:p>
      <w:pPr>
        <w:wordWrap w:val="0"/>
        <w:topLinePunct/>
        <w:spacing w:line="360" w:lineRule="auto"/>
        <w:ind w:firstLine="482" w:firstLineChars="200"/>
        <w:rPr>
          <w:rFonts w:ascii="宋体" w:cs="宋体"/>
          <w:b/>
          <w:color w:val="auto"/>
          <w:sz w:val="24"/>
          <w:lang w:val="zh-CN"/>
        </w:rPr>
      </w:pPr>
      <w:r>
        <w:rPr>
          <w:rFonts w:hint="eastAsia" w:ascii="宋体" w:cs="宋体"/>
          <w:b/>
          <w:color w:val="auto"/>
          <w:sz w:val="24"/>
          <w:lang w:val="zh-CN"/>
        </w:rPr>
        <w:t>二、采购清单</w:t>
      </w:r>
    </w:p>
    <w:tbl>
      <w:tblPr>
        <w:tblStyle w:val="22"/>
        <w:tblW w:w="92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642"/>
        <w:gridCol w:w="1306"/>
        <w:gridCol w:w="3827"/>
        <w:gridCol w:w="993"/>
        <w:gridCol w:w="1106"/>
        <w:gridCol w:w="13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序号</w:t>
            </w:r>
          </w:p>
        </w:tc>
        <w:tc>
          <w:tcPr>
            <w:tcW w:w="1306"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货物名称</w:t>
            </w:r>
          </w:p>
        </w:tc>
        <w:tc>
          <w:tcPr>
            <w:tcW w:w="3827"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技术规格及主要参数</w:t>
            </w:r>
          </w:p>
        </w:tc>
        <w:tc>
          <w:tcPr>
            <w:tcW w:w="993"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单位</w:t>
            </w:r>
          </w:p>
        </w:tc>
        <w:tc>
          <w:tcPr>
            <w:tcW w:w="1106"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数量</w:t>
            </w:r>
          </w:p>
        </w:tc>
        <w:tc>
          <w:tcPr>
            <w:tcW w:w="1366" w:type="dxa"/>
            <w:shd w:val="clear" w:color="auto" w:fill="auto"/>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采购标的对应的中小企业划分标准所属行业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70" w:hRule="atLeast"/>
        </w:trPr>
        <w:tc>
          <w:tcPr>
            <w:tcW w:w="9240" w:type="dxa"/>
            <w:gridSpan w:val="6"/>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b/>
                <w:bCs/>
                <w:color w:val="auto"/>
                <w:sz w:val="18"/>
                <w:szCs w:val="18"/>
              </w:rPr>
            </w:pPr>
            <w:r>
              <w:rPr>
                <w:rFonts w:hint="eastAsia" w:ascii="宋体" w:hAnsi="宋体" w:eastAsia="宋体" w:cs="宋体"/>
                <w:b/>
                <w:bCs/>
                <w:color w:val="auto"/>
                <w:kern w:val="0"/>
                <w:sz w:val="18"/>
                <w:szCs w:val="18"/>
              </w:rPr>
              <w:t>LED大屏显示系统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37"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1</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显示屏体</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sz w:val="24"/>
              </w:rPr>
              <w:t>1.屏幕净显示尺寸:21.12米*高4.8米=101.376平方米，屏幕分辨率≥11352*2580；</w:t>
            </w:r>
          </w:p>
          <w:p>
            <w:pPr>
              <w:widowControl/>
              <w:jc w:val="left"/>
              <w:textAlignment w:val="center"/>
              <w:rPr>
                <w:rFonts w:ascii="宋体" w:hAnsi="宋体" w:eastAsia="宋体" w:cs="宋体"/>
                <w:color w:val="auto"/>
                <w:sz w:val="24"/>
              </w:rPr>
            </w:pPr>
            <w:r>
              <w:rPr>
                <w:rFonts w:hint="eastAsia" w:ascii="宋体" w:hAnsi="宋体" w:eastAsia="宋体" w:cs="宋体"/>
                <w:color w:val="auto"/>
                <w:sz w:val="24"/>
              </w:rPr>
              <w:t>2.像素间距：≤2.0mm；</w:t>
            </w:r>
          </w:p>
          <w:p>
            <w:pPr>
              <w:widowControl/>
              <w:jc w:val="left"/>
              <w:textAlignment w:val="center"/>
              <w:rPr>
                <w:rFonts w:ascii="宋体" w:hAnsi="宋体" w:eastAsia="宋体" w:cs="宋体"/>
                <w:color w:val="auto"/>
                <w:sz w:val="24"/>
              </w:rPr>
            </w:pPr>
            <w:r>
              <w:rPr>
                <w:rFonts w:hint="eastAsia" w:ascii="宋体" w:hAnsi="宋体" w:eastAsia="宋体" w:cs="宋体"/>
                <w:color w:val="auto"/>
                <w:sz w:val="24"/>
              </w:rPr>
              <w:t>3.安装结构：显示屏专用支架；</w:t>
            </w:r>
          </w:p>
          <w:p>
            <w:pPr>
              <w:widowControl/>
              <w:jc w:val="left"/>
              <w:textAlignment w:val="center"/>
              <w:rPr>
                <w:rFonts w:ascii="宋体" w:hAnsi="宋体" w:eastAsia="宋体" w:cs="宋体"/>
                <w:color w:val="auto"/>
                <w:sz w:val="24"/>
              </w:rPr>
            </w:pPr>
            <w:r>
              <w:rPr>
                <w:rFonts w:hint="eastAsia" w:ascii="宋体" w:hAnsi="宋体" w:eastAsia="宋体" w:cs="宋体"/>
                <w:color w:val="auto"/>
                <w:sz w:val="24"/>
              </w:rPr>
              <w:t>4.维护方式：同时兼容前，后维护：模组采用前维护磁吸式结构，支持用户级模组前维护，可正面拆卸、安装灯板、接收卡、电源。同时箱体结构满足模组、电源、转接板等全部用户级模组后维护。支持模组、接收卡的带电维护、热插拔；</w:t>
            </w:r>
          </w:p>
          <w:p>
            <w:pPr>
              <w:widowControl/>
              <w:jc w:val="left"/>
              <w:textAlignment w:val="center"/>
              <w:rPr>
                <w:rFonts w:ascii="宋体" w:hAnsi="宋体" w:eastAsia="宋体" w:cs="宋体"/>
                <w:color w:val="auto"/>
                <w:sz w:val="24"/>
              </w:rPr>
            </w:pPr>
            <w:r>
              <w:rPr>
                <w:rFonts w:hint="eastAsia" w:ascii="宋体" w:hAnsi="宋体" w:eastAsia="宋体" w:cs="宋体"/>
                <w:color w:val="auto"/>
                <w:sz w:val="24"/>
              </w:rPr>
              <w:t>5.热插拔测试：满足模组等低压器件多次带电热插拔测试后都能正常工作；</w:t>
            </w:r>
          </w:p>
          <w:p>
            <w:pPr>
              <w:widowControl/>
              <w:jc w:val="left"/>
              <w:textAlignment w:val="center"/>
              <w:rPr>
                <w:rFonts w:ascii="宋体" w:hAnsi="宋体" w:eastAsia="宋体" w:cs="宋体"/>
                <w:color w:val="auto"/>
                <w:sz w:val="24"/>
              </w:rPr>
            </w:pPr>
            <w:r>
              <w:rPr>
                <w:rFonts w:hint="eastAsia" w:ascii="宋体" w:hAnsi="宋体" w:eastAsia="宋体" w:cs="宋体"/>
                <w:color w:val="auto"/>
                <w:sz w:val="24"/>
              </w:rPr>
              <w:t>6.刷新频率：≥3840Hz，亮度：≥800cd/㎡，最大对比度：≥8000:1；</w:t>
            </w:r>
          </w:p>
          <w:p>
            <w:pPr>
              <w:widowControl/>
              <w:jc w:val="left"/>
              <w:textAlignment w:val="center"/>
              <w:rPr>
                <w:rFonts w:ascii="宋体" w:hAnsi="宋体" w:eastAsia="宋体" w:cs="宋体"/>
                <w:color w:val="auto"/>
                <w:sz w:val="24"/>
              </w:rPr>
            </w:pPr>
            <w:r>
              <w:rPr>
                <w:rFonts w:hint="eastAsia" w:ascii="宋体" w:hAnsi="宋体" w:eastAsia="宋体" w:cs="宋体"/>
                <w:color w:val="auto"/>
                <w:sz w:val="24"/>
              </w:rPr>
              <w:t>7.防护等级：≥IP68防护等级；</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w:t>
            </w:r>
            <w:r>
              <w:rPr>
                <w:rFonts w:hint="eastAsia" w:ascii="宋体" w:hAnsi="宋体" w:eastAsia="宋体" w:cs="宋体"/>
                <w:color w:val="auto"/>
                <w:sz w:val="24"/>
              </w:rPr>
              <w:t>8.支持TOP-COB处理：对LED封装单元形成</w:t>
            </w:r>
            <w:r>
              <w:rPr>
                <w:rFonts w:hint="eastAsia" w:ascii="宋体" w:hAnsi="宋体" w:eastAsia="宋体" w:cs="宋体"/>
                <w:color w:val="auto"/>
                <w:kern w:val="0"/>
                <w:sz w:val="24"/>
              </w:rPr>
              <w:t>有效的保护，足以对抗极端恶劣的使用环境，实现真正的防水、防潮、防尘、防撞击、抗UV,有效避免掉灯的现象发生。</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▲9.要求共阳方案和共阴方案的兼容性设计，可匹配相应LED、IC来做出共阳产品或是共阴产品；</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10.功耗：峰值功耗≤450W/㎡，平均功耗≤140W/㎡</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11.色温、色域：2000K-9000K连续可调，可设冷色、暖色、标准等多档白场调节，色域≥110%NTSC；</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▲12.色彩标准：灯珠色域满足16bit, 281万亿色，支持BT.2020、 DCI.P3、BT.709、sRGB 等多种色域转换；</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13.显示屏拍照等级：≥10bits；</w:t>
            </w:r>
          </w:p>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 xml:space="preserve">14.电源：产品使用无风扇静音设计并带PFC功能的开关电源，功率因素≥0.95 </w:t>
            </w:r>
            <w:r>
              <w:rPr>
                <w:rFonts w:hint="eastAsia" w:ascii="宋体" w:hAnsi="宋体" w:eastAsia="宋体" w:cs="宋体"/>
                <w:color w:val="auto"/>
                <w:sz w:val="24"/>
              </w:rPr>
              <w:t>,电源效率≥90%@25°</w:t>
            </w:r>
          </w:p>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w:t>
            </w:r>
            <w:r>
              <w:rPr>
                <w:rFonts w:hint="eastAsia" w:ascii="宋体" w:hAnsi="宋体" w:eastAsia="宋体" w:cs="宋体"/>
                <w:color w:val="auto"/>
                <w:sz w:val="24"/>
              </w:rPr>
              <w:t>15.亮度与可视角度关系：中央法线上亮度=100cd/m2白场时，水平视角80°时亮度衰减率≤10%,垂直视角60°时亮度衰减率≤10%；</w:t>
            </w:r>
          </w:p>
          <w:p>
            <w:pPr>
              <w:widowControl/>
              <w:jc w:val="left"/>
              <w:textAlignment w:val="center"/>
              <w:rPr>
                <w:rFonts w:ascii="宋体" w:hAnsi="宋体" w:eastAsia="宋体" w:cs="宋体"/>
                <w:color w:val="auto"/>
                <w:sz w:val="24"/>
              </w:rPr>
            </w:pPr>
            <w:r>
              <w:rPr>
                <w:rFonts w:hint="eastAsia" w:ascii="宋体" w:hAnsi="宋体" w:eastAsia="宋体" w:cs="宋体"/>
                <w:color w:val="auto"/>
                <w:sz w:val="24"/>
              </w:rPr>
              <w:t>16.满足节能待机：支持无信号输入自动熄屏待机，有信号时输入自动唤展屏体；</w:t>
            </w:r>
          </w:p>
          <w:p>
            <w:pPr>
              <w:widowControl/>
              <w:jc w:val="left"/>
              <w:textAlignment w:val="center"/>
              <w:rPr>
                <w:rFonts w:ascii="宋体" w:hAnsi="宋体" w:eastAsia="宋体" w:cs="宋体"/>
                <w:color w:val="auto"/>
                <w:sz w:val="24"/>
              </w:rPr>
            </w:pPr>
            <w:r>
              <w:rPr>
                <w:rFonts w:hint="eastAsia" w:ascii="宋体" w:hAnsi="宋体" w:eastAsia="宋体" w:cs="宋体"/>
                <w:color w:val="auto"/>
                <w:sz w:val="24"/>
              </w:rPr>
              <w:t>17.支持屏体多点测温：支持单个屏幕温度检测，针对大屏启动多点测温系统，均衡散热，防止局部温度过高造成色彩漂移；</w:t>
            </w:r>
          </w:p>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w:t>
            </w:r>
            <w:r>
              <w:rPr>
                <w:rFonts w:hint="eastAsia" w:ascii="宋体" w:hAnsi="宋体" w:eastAsia="宋体" w:cs="宋体"/>
                <w:color w:val="auto"/>
                <w:sz w:val="24"/>
              </w:rPr>
              <w:t>18.配电系统：支持智能控制：产品支持分步时序开关机，减少显示屏上电瞬间对电网的冲击，同时可支持PC联网控制、远程定时开关机；</w:t>
            </w:r>
          </w:p>
          <w:p>
            <w:pPr>
              <w:widowControl/>
              <w:jc w:val="left"/>
              <w:textAlignment w:val="center"/>
              <w:rPr>
                <w:rFonts w:ascii="宋体" w:hAnsi="宋体" w:eastAsia="宋体" w:cs="宋体"/>
                <w:color w:val="auto"/>
                <w:sz w:val="24"/>
              </w:rPr>
            </w:pPr>
            <w:r>
              <w:rPr>
                <w:rFonts w:hint="eastAsia" w:ascii="宋体" w:hAnsi="宋体" w:eastAsia="宋体" w:cs="宋体"/>
                <w:color w:val="auto"/>
                <w:sz w:val="24"/>
              </w:rPr>
              <w:t>19.图像旋转功能：无需拼控器，可实现对底图或信源画面进行中心旋转，适用于特殊场景或异型屏幕拼接；</w:t>
            </w:r>
          </w:p>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w:t>
            </w:r>
            <w:r>
              <w:rPr>
                <w:rFonts w:hint="eastAsia" w:ascii="宋体" w:hAnsi="宋体" w:eastAsia="宋体" w:cs="宋体"/>
                <w:color w:val="auto"/>
                <w:sz w:val="24"/>
              </w:rPr>
              <w:t>20.UI菜单遥控交互：屏体支持屏幕UI菜单显示，可通过遥控器调节屏幕参数、屏幕亮度调节、信号切换、 场景切换、色温调节、开关机控制等，支持在屏幕上显示主要变化信息；</w:t>
            </w:r>
          </w:p>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w:t>
            </w:r>
            <w:r>
              <w:rPr>
                <w:rFonts w:hint="eastAsia" w:ascii="宋体" w:hAnsi="宋体" w:eastAsia="宋体" w:cs="宋体"/>
                <w:color w:val="auto"/>
                <w:sz w:val="24"/>
              </w:rPr>
              <w:t>21.对地漏电流：LED全彩显示屏显示模组可承受T=60S,1500V（交流有效值）；</w:t>
            </w:r>
          </w:p>
          <w:p>
            <w:pPr>
              <w:widowControl/>
              <w:jc w:val="left"/>
              <w:textAlignment w:val="center"/>
              <w:rPr>
                <w:rFonts w:ascii="宋体" w:hAnsi="宋体" w:eastAsia="宋体" w:cs="宋体"/>
                <w:color w:val="auto"/>
                <w:sz w:val="24"/>
              </w:rPr>
            </w:pPr>
            <w:r>
              <w:rPr>
                <w:rFonts w:hint="eastAsia" w:ascii="宋体" w:hAnsi="宋体" w:eastAsia="宋体" w:cs="宋体"/>
                <w:color w:val="auto"/>
                <w:sz w:val="24"/>
              </w:rPr>
              <w:t>22.耐压试验：电源插头或电源引入端与外壳裸露金属部件之间，应能承受1.5KV交流电压/历时1min 的抗电强度试验，应无击穿和飞弧现象；</w:t>
            </w:r>
          </w:p>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w:t>
            </w:r>
            <w:r>
              <w:rPr>
                <w:rFonts w:hint="eastAsia" w:ascii="宋体" w:hAnsi="宋体" w:eastAsia="宋体" w:cs="宋体"/>
                <w:color w:val="auto"/>
                <w:sz w:val="24"/>
              </w:rPr>
              <w:t>23.视频监控墙：要求连续使用时视频监控墙即开即显，长期停用（30日以上）再次上电至开机正常显示画面的等待时间小于1小时；</w:t>
            </w:r>
          </w:p>
        </w:tc>
        <w:tc>
          <w:tcPr>
            <w:tcW w:w="993"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 </w:t>
            </w:r>
            <w:r>
              <w:rPr>
                <w:rFonts w:hint="eastAsia" w:ascii="宋体" w:hAnsi="宋体" w:eastAsia="宋体" w:cs="宋体"/>
                <w:color w:val="auto"/>
                <w:kern w:val="0"/>
                <w:sz w:val="24"/>
              </w:rPr>
              <w:t>㎡</w:t>
            </w:r>
          </w:p>
        </w:tc>
        <w:tc>
          <w:tcPr>
            <w:tcW w:w="1106" w:type="dxa"/>
            <w:shd w:val="clear" w:color="auto" w:fill="auto"/>
            <w:tcMar>
              <w:top w:w="0" w:type="dxa"/>
              <w:left w:w="105" w:type="dxa"/>
              <w:bottom w:w="0" w:type="dxa"/>
              <w:right w:w="105" w:type="dxa"/>
            </w:tcMar>
            <w:vAlign w:val="center"/>
          </w:tcPr>
          <w:p>
            <w:pPr>
              <w:snapToGrid w:val="0"/>
              <w:spacing w:before="156" w:beforeLines="50"/>
              <w:rPr>
                <w:rFonts w:ascii="宋体" w:hAnsi="宋体" w:eastAsia="宋体" w:cs="宋体"/>
                <w:color w:val="auto"/>
                <w:sz w:val="24"/>
                <w:szCs w:val="24"/>
              </w:rPr>
            </w:pPr>
            <w:r>
              <w:rPr>
                <w:rFonts w:hint="eastAsia" w:ascii="宋体" w:hAnsi="宋体" w:eastAsia="宋体" w:cs="宋体"/>
                <w:color w:val="auto"/>
                <w:sz w:val="24"/>
                <w:szCs w:val="24"/>
              </w:rPr>
              <w:t>101.376</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37"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2</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sz w:val="24"/>
              </w:rPr>
              <w:t>压铸铝箱体</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sz w:val="24"/>
              </w:rPr>
              <w:t>1.压铸铝材质；</w:t>
            </w:r>
          </w:p>
          <w:p>
            <w:pPr>
              <w:widowControl/>
              <w:jc w:val="left"/>
              <w:textAlignment w:val="center"/>
              <w:rPr>
                <w:rFonts w:ascii="宋体" w:hAnsi="宋体" w:eastAsia="宋体" w:cs="宋体"/>
                <w:color w:val="auto"/>
                <w:sz w:val="24"/>
              </w:rPr>
            </w:pPr>
            <w:r>
              <w:rPr>
                <w:rFonts w:hint="eastAsia" w:ascii="宋体" w:hAnsi="宋体" w:eastAsia="宋体" w:cs="宋体"/>
                <w:color w:val="auto"/>
                <w:sz w:val="24"/>
              </w:rPr>
              <w:t>2.前维护</w:t>
            </w:r>
          </w:p>
          <w:p>
            <w:pPr>
              <w:widowControl/>
              <w:jc w:val="left"/>
              <w:textAlignment w:val="center"/>
              <w:rPr>
                <w:rFonts w:ascii="宋体" w:hAnsi="宋体" w:eastAsia="宋体" w:cs="宋体"/>
                <w:color w:val="auto"/>
                <w:sz w:val="24"/>
              </w:rPr>
            </w:pPr>
            <w:r>
              <w:rPr>
                <w:rFonts w:hint="eastAsia" w:ascii="宋体" w:hAnsi="宋体" w:eastAsia="宋体" w:cs="宋体"/>
                <w:color w:val="auto"/>
                <w:sz w:val="24"/>
              </w:rPr>
              <w:t>3.规格：640mm*480mm</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sz w:val="24"/>
              </w:rPr>
              <w:t>㎡</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sz w:val="24"/>
              </w:rPr>
              <w:t>101.376</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rPr>
            </w:pPr>
            <w:r>
              <w:rPr>
                <w:rFonts w:hint="eastAsia" w:ascii="宋体" w:hAnsi="宋体" w:eastAsia="宋体" w:cs="宋体"/>
                <w:color w:val="auto"/>
                <w:sz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3</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专用开关电源</w:t>
            </w:r>
          </w:p>
        </w:tc>
        <w:tc>
          <w:tcPr>
            <w:tcW w:w="3827" w:type="dxa"/>
            <w:shd w:val="clear" w:color="auto" w:fill="auto"/>
            <w:tcMar>
              <w:top w:w="0" w:type="dxa"/>
              <w:left w:w="105" w:type="dxa"/>
              <w:bottom w:w="0" w:type="dxa"/>
              <w:right w:w="105" w:type="dxa"/>
            </w:tcMar>
            <w:vAlign w:val="center"/>
          </w:tcPr>
          <w:p>
            <w:pPr>
              <w:widowControl/>
              <w:numPr>
                <w:ilvl w:val="0"/>
                <w:numId w:val="24"/>
              </w:numPr>
              <w:jc w:val="left"/>
              <w:textAlignment w:val="center"/>
              <w:rPr>
                <w:rFonts w:ascii="宋体" w:hAnsi="宋体" w:eastAsia="宋体" w:cs="宋体"/>
                <w:color w:val="auto"/>
                <w:sz w:val="24"/>
              </w:rPr>
            </w:pPr>
            <w:r>
              <w:rPr>
                <w:rFonts w:hint="eastAsia" w:ascii="宋体" w:hAnsi="宋体" w:eastAsia="宋体" w:cs="宋体"/>
                <w:color w:val="auto"/>
                <w:kern w:val="0"/>
                <w:sz w:val="24"/>
              </w:rPr>
              <w:t>输入:AC200-240V,50/60HZ</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2.输出：DC2.8-5V ,60A</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块</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330</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 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4</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接收控制卡</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1.灵活带载，单卡支持 8 组、16 组、24 组、32组数据输出模式。</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2.无需转接板，单卡自带 HB320,HUB75E 接口。</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3.支持逐点亮色度校正，可以对每个灯点的亮度和色度进行校正。</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4.快速亮暗线调节在调试软件上进行快速亮暗线调节，快速解决因箱体及模组拼接造成的显示屏亮暗线，调节过程中即时生效。</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5.支持灯板 flash 管理，校正系数双备份，更换灯板后，无需重新上传校正系数，屏体重新断上电即可使用对应灯板校正系数；</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6.检测发送设备与接收卡间或接收卡与接收卡间的网络通讯质量，记录错误包数，协助排除网络通讯隐患</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7.可以监测自身的温度和电压，无需其他外设，在软件上可以查看接收卡的温度和电压。</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张</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330</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5</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图像拼接服务器</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1.设备采用9U金属结构机箱。</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2.采用插卡式结构,内置数据交换背板，可监测设备温度、电压、风扇在线状态：支持将预监板卡槽复用为输入板卡槽位，可自动自适应识别板卡类型</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3.设备可智能识别板卡接口组合，且支持板卡和接口状态监测，输入源信号丢失实现主动上报预警：内置板卡支持输入输出组合的母子卡结构，支持HDMI/DVI/VGA/CVBS 两接口任意组合</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4.支持自检功能，包括：运行情况、CPU、EMMC、交叉点通信、内存、电压、温度等状态</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▲5.单个二合一网口输出卡最大榆出视频分辨率为10240×1016 或 1016×10240,整卡带载最高可达 1040 万像素点：输出可直接连接 LED 显示屏显示，无需其他设备</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6.DVI 输入卡、HDMI 输入卡可实现单链路和双链路输入模式切换，支持 4 路 2560X972 @60Hz 或 2 路 3840X1080@60Hz 的视频同时接入，支持10bit 视频源接入：DVI 和 HDMI 输出卡 2K 视频输出接口输出视频宽度或高度最大支持 2560 像素，单张 DVI 和 HDMI 输出卡支持最大分辨率为10240X972@60Hz 或 884X10420@60Hz</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▲7.单个输出板卡最大支持 16 个图层，每个图层可放大到 4K 显示；支持图层在输出接口间漫游，可进行图层参数设置，包括：无极缩放、图层画面截取、水平和垂直镜像翻转、冻结、叠加、图层优先级；可对图层无极缩放、图层全屏和自适应接口全屏</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8.单拼接屏幕支持1个 OSD叠加显示, OSD可为文字或图片,最大尺寸支持 19200×3240，且透明度和位置可调,支持对字体间距、颜色、位置、透明度、运动特效等参数设置、支持任意比例缩放</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9.支持设置 2000 个用户场景，场景可以设置为图片或视频，场景切换支持淡入淡出、直切效果，场景调取响应时间不大于 60ms,支持多场景分组和场景一键轮巡</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10.支持对所有输入源同时预监,支持对所有输出进行回显（包含 IP 流回显）</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▲11.4K 输入卡 DP 接口和 HDMI 接口支持4096X2160@60Hz、RGB4：4：4、YCbCr 4：4： 4、YCbCr 4：2：2 格式视频图像；DP 接口支持10bit 视频接入</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12.支持板卡热插拔功能，设备无需重启和设置，更换板卡后可自动恢复之前的图层数数据，图像显示应正常</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13.支持输入输出分辨率自定义设置，可保存为EDID模板,并可导入导出,多种分辨率设置模式可选,包括:预设分辨率、自定义分辨率、EDID 模板，自定义分辨率最大支持 8KX1K；支持高级时序设置</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▲14.内嵌 BS 拼接器配置软件，支持windows、麒麟（Kylin）、IOS、Android、Linux 操作系统访问设备及交互操作。</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1</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6</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专业拼接播控软件</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1.支持多种视频格式、图片、动画、Office文件、文字、时钟、走马灯、天气、流媒体、网页、采集卡等视频数据；</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2.丰富的媒体属性：包括透明、背景颜色、背景图片、透明度、音量、显示比例、出入场特效、特效速度、文字颜色、炫彩效果、字体、风格等；</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3.支持多个窗口个数不同的页面按次数或播放时长切换播放，且切换过程平滑无黑帧；</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套</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1</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7</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1路HDMI2.0+1路DP1.2输入卡</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4K输入卡，可以通过软件选择使用HDMI2.0 或 DP1.2</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张</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3</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8</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4路KHDMI输入卡</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4*HDMI输入、单路支持1080P，可以设置HDMI1.3/HDMI1.4，HDMI1.4模式支持4K1K</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张</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1</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9</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10路网口输出卡</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二合一输出卡，16网口输出+2光纤口，4K输出，单卡最宽10240，最高10240，单卡支持16图层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张</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3</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10</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4路HDMI输出卡</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4*HDMI输出、单路输出最宽2560，最高2560，单卡支持16图层，跨接口不减图层；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张</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2</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11</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控制电脑</w:t>
            </w:r>
          </w:p>
        </w:tc>
        <w:tc>
          <w:tcPr>
            <w:tcW w:w="3827" w:type="dxa"/>
            <w:shd w:val="clear" w:color="auto" w:fill="auto"/>
            <w:tcMar>
              <w:top w:w="0" w:type="dxa"/>
              <w:left w:w="105" w:type="dxa"/>
              <w:bottom w:w="0" w:type="dxa"/>
              <w:right w:w="105" w:type="dxa"/>
            </w:tcMar>
            <w:vAlign w:val="center"/>
          </w:tcPr>
          <w:p>
            <w:pPr>
              <w:widowControl/>
              <w:adjustRightInd w:val="0"/>
              <w:snapToGrid w:val="0"/>
              <w:spacing w:line="360" w:lineRule="auto"/>
              <w:jc w:val="left"/>
              <w:rPr>
                <w:rFonts w:ascii="宋体" w:hAnsi="宋体" w:eastAsia="宋体" w:cs="宋体"/>
                <w:color w:val="auto"/>
                <w:kern w:val="0"/>
                <w:sz w:val="24"/>
                <w:szCs w:val="24"/>
              </w:rPr>
            </w:pPr>
            <w:r>
              <w:rPr>
                <w:rFonts w:hint="eastAsia" w:ascii="宋体" w:hAnsi="宋体" w:eastAsia="宋体" w:cs="宋体"/>
                <w:color w:val="auto"/>
                <w:kern w:val="0"/>
                <w:sz w:val="24"/>
                <w:szCs w:val="24"/>
              </w:rPr>
              <w:t>1.CPU:≥i5-12400，（主频2.5GHz以上);CPU支持的内存最高速率≥2666MT/s，散热风扇寿命</w:t>
            </w:r>
            <w:r>
              <w:rPr>
                <w:rFonts w:ascii="宋体" w:hAnsi="宋体" w:eastAsia="宋体"/>
                <w:color w:val="auto"/>
                <w:kern w:val="0"/>
              </w:rPr>
              <w:t>≥</w:t>
            </w:r>
            <w:r>
              <w:rPr>
                <w:rFonts w:hint="eastAsia" w:ascii="宋体" w:hAnsi="宋体" w:eastAsia="宋体" w:cs="宋体"/>
                <w:color w:val="auto"/>
                <w:kern w:val="0"/>
                <w:sz w:val="24"/>
                <w:szCs w:val="24"/>
              </w:rPr>
              <w:t>4万小时；</w:t>
            </w:r>
          </w:p>
          <w:p>
            <w:pPr>
              <w:widowControl/>
              <w:adjustRightInd w:val="0"/>
              <w:snapToGrid w:val="0"/>
              <w:spacing w:line="360" w:lineRule="auto"/>
              <w:jc w:val="left"/>
              <w:rPr>
                <w:rFonts w:ascii="宋体" w:hAnsi="宋体" w:eastAsia="宋体" w:cs="宋体"/>
                <w:color w:val="auto"/>
                <w:kern w:val="0"/>
                <w:sz w:val="24"/>
                <w:szCs w:val="24"/>
              </w:rPr>
            </w:pPr>
            <w:r>
              <w:rPr>
                <w:rFonts w:hint="eastAsia" w:ascii="宋体" w:hAnsi="宋体" w:eastAsia="宋体" w:cs="宋体"/>
                <w:color w:val="auto"/>
                <w:kern w:val="0"/>
                <w:sz w:val="24"/>
                <w:szCs w:val="24"/>
              </w:rPr>
              <w:t>2.主板:H610 及以上芯片组;集成资源扩展模块、计算处理模块、音频扩展模块等:主板USB支持瞬间过流保护功能;支持防静电保护功能；</w:t>
            </w:r>
          </w:p>
          <w:p>
            <w:pPr>
              <w:widowControl/>
              <w:adjustRightInd w:val="0"/>
              <w:snapToGrid w:val="0"/>
              <w:spacing w:line="360" w:lineRule="auto"/>
              <w:rPr>
                <w:rFonts w:ascii="宋体" w:hAnsi="宋体" w:eastAsia="宋体" w:cs="宋体"/>
                <w:color w:val="auto"/>
                <w:kern w:val="0"/>
                <w:sz w:val="24"/>
                <w:szCs w:val="24"/>
              </w:rPr>
            </w:pPr>
            <w:r>
              <w:rPr>
                <w:rFonts w:hint="eastAsia" w:ascii="宋体" w:hAnsi="宋体" w:eastAsia="宋体" w:cs="宋体"/>
                <w:color w:val="auto"/>
                <w:kern w:val="0"/>
                <w:sz w:val="24"/>
                <w:szCs w:val="24"/>
              </w:rPr>
              <w:t>3.内存:≥内存:16GB DDR4 3200MHz及以上，最高可支持3200MHZ/64GB，使用双内存通道;单内存插槽最大可支持容量≥16G最大支持64G:内存扩展口≥2个；</w:t>
            </w:r>
          </w:p>
          <w:p>
            <w:pPr>
              <w:widowControl/>
              <w:adjustRightInd w:val="0"/>
              <w:snapToGrid w:val="0"/>
              <w:spacing w:line="360" w:lineRule="auto"/>
              <w:jc w:val="left"/>
              <w:rPr>
                <w:rFonts w:ascii="宋体" w:hAnsi="宋体" w:eastAsia="宋体" w:cs="宋体"/>
                <w:color w:val="auto"/>
                <w:kern w:val="0"/>
                <w:sz w:val="24"/>
                <w:szCs w:val="24"/>
              </w:rPr>
            </w:pPr>
            <w:r>
              <w:rPr>
                <w:rFonts w:hint="eastAsia" w:ascii="宋体" w:hAnsi="宋体" w:eastAsia="宋体" w:cs="宋体"/>
                <w:color w:val="auto"/>
                <w:kern w:val="0"/>
                <w:sz w:val="24"/>
                <w:szCs w:val="24"/>
              </w:rPr>
              <w:t>4.声卡:集成;支持3.5mm孔径3段式或4段式接口;</w:t>
            </w:r>
          </w:p>
          <w:p>
            <w:pPr>
              <w:widowControl/>
              <w:adjustRightInd w:val="0"/>
              <w:snapToGrid w:val="0"/>
              <w:spacing w:line="360" w:lineRule="auto"/>
              <w:jc w:val="left"/>
              <w:rPr>
                <w:rFonts w:ascii="宋体" w:hAnsi="宋体" w:eastAsia="宋体" w:cs="宋体"/>
                <w:color w:val="auto"/>
                <w:kern w:val="0"/>
                <w:sz w:val="24"/>
                <w:szCs w:val="24"/>
              </w:rPr>
            </w:pPr>
            <w:r>
              <w:rPr>
                <w:rFonts w:hint="eastAsia" w:ascii="宋体" w:hAnsi="宋体" w:eastAsia="宋体" w:cs="宋体"/>
                <w:color w:val="auto"/>
                <w:kern w:val="0"/>
                <w:sz w:val="24"/>
                <w:szCs w:val="24"/>
              </w:rPr>
              <w:t>5.显卡:集成显卡，英特尔UHD Graphics集成核心显卡</w:t>
            </w:r>
          </w:p>
          <w:p>
            <w:pPr>
              <w:widowControl/>
              <w:adjustRightInd w:val="0"/>
              <w:snapToGrid w:val="0"/>
              <w:spacing w:line="360" w:lineRule="auto"/>
              <w:jc w:val="left"/>
              <w:rPr>
                <w:rFonts w:ascii="宋体" w:hAnsi="宋体" w:eastAsia="宋体" w:cs="宋体"/>
                <w:color w:val="auto"/>
                <w:kern w:val="0"/>
                <w:sz w:val="24"/>
                <w:szCs w:val="24"/>
              </w:rPr>
            </w:pPr>
            <w:r>
              <w:rPr>
                <w:rFonts w:hint="eastAsia" w:ascii="宋体" w:hAnsi="宋体" w:eastAsia="宋体" w:cs="宋体"/>
                <w:color w:val="auto"/>
                <w:kern w:val="0"/>
                <w:sz w:val="24"/>
                <w:szCs w:val="24"/>
              </w:rPr>
              <w:t>6.硬盘:≥512GB SSD 固态硬盘;;固态储存选用符合M.2标准的插卡形态;存储设备其他参数要求:固态盘应符合 SJ/T11654 相关规定;固态存储寿命TBW≥80TB;机械硬盘寿命通电时间≥5万小时；</w:t>
            </w:r>
          </w:p>
          <w:p>
            <w:pPr>
              <w:widowControl/>
              <w:adjustRightInd w:val="0"/>
              <w:snapToGrid w:val="0"/>
              <w:spacing w:line="360" w:lineRule="auto"/>
              <w:jc w:val="left"/>
              <w:rPr>
                <w:rFonts w:ascii="宋体" w:hAnsi="宋体" w:eastAsia="宋体" w:cs="宋体"/>
                <w:color w:val="auto"/>
                <w:kern w:val="0"/>
                <w:sz w:val="24"/>
                <w:szCs w:val="24"/>
              </w:rPr>
            </w:pPr>
            <w:r>
              <w:rPr>
                <w:rFonts w:hint="eastAsia" w:ascii="宋体" w:hAnsi="宋体" w:eastAsia="宋体" w:cs="宋体"/>
                <w:color w:val="auto"/>
                <w:kern w:val="0"/>
                <w:sz w:val="24"/>
                <w:szCs w:val="24"/>
              </w:rPr>
              <w:t>7.网卡:千兆及以上有线网卡;有线网卡数量≥1;网络功能:a)支持网络连接网络开启/关闭功能;b)支持访问网络和数据交换功能;数据传输:支持数据传输能力，并提供数据流量和异常日志记录功能;有线网卡接口:支持RJ45接口；</w:t>
            </w:r>
          </w:p>
          <w:p>
            <w:pPr>
              <w:widowControl/>
              <w:adjustRightInd w:val="0"/>
              <w:snapToGrid w:val="0"/>
              <w:spacing w:line="360" w:lineRule="auto"/>
              <w:jc w:val="left"/>
              <w:rPr>
                <w:rFonts w:ascii="宋体" w:hAnsi="宋体" w:eastAsia="宋体" w:cs="宋体"/>
                <w:color w:val="auto"/>
                <w:kern w:val="0"/>
                <w:sz w:val="24"/>
                <w:szCs w:val="24"/>
              </w:rPr>
            </w:pPr>
            <w:r>
              <w:rPr>
                <w:rFonts w:hint="eastAsia" w:ascii="宋体" w:hAnsi="宋体" w:eastAsia="宋体" w:cs="宋体"/>
                <w:color w:val="auto"/>
                <w:kern w:val="0"/>
                <w:sz w:val="24"/>
                <w:szCs w:val="24"/>
              </w:rPr>
              <w:t>8.键鼠:USB 抗菌键盘+USB 抗菌鼠标:键盘按键寿命≥1000万次;鼠标按键寿命≥500万次;键盘鼠标所用线材经±60°弯折不低于3000次，功能、外观完好;键盘有线;键盘键程2.3mm~4.0mm;按键数目 104 键;按键压力应在0.54N±0.14N;有线键盘连接线≥1.5米;键盘颜色采用黑色色系;鼠标连接方式为有线或无线;有线鼠标连接线≥1.5 米;鼠标 DPI分辨率 800~1600;鼠标其它参数应符合GB/T26245的相关规定；</w:t>
            </w:r>
          </w:p>
          <w:p>
            <w:pPr>
              <w:widowControl/>
              <w:adjustRightInd w:val="0"/>
              <w:snapToGrid w:val="0"/>
              <w:spacing w:line="360" w:lineRule="auto"/>
              <w:jc w:val="left"/>
              <w:rPr>
                <w:rFonts w:ascii="宋体" w:hAnsi="宋体" w:eastAsia="宋体" w:cs="宋体"/>
                <w:color w:val="auto"/>
                <w:kern w:val="0"/>
                <w:sz w:val="24"/>
                <w:szCs w:val="24"/>
              </w:rPr>
            </w:pPr>
            <w:r>
              <w:rPr>
                <w:rFonts w:hint="eastAsia" w:ascii="宋体" w:hAnsi="宋体" w:eastAsia="宋体" w:cs="宋体"/>
                <w:color w:val="auto"/>
                <w:kern w:val="0"/>
                <w:sz w:val="24"/>
                <w:szCs w:val="24"/>
              </w:rPr>
              <w:t>9.整机可靠性要求:电磁兼容性要求的抗扰度，符合GB/T9254.2的规定;环境条件要求的气候环境适应性、冲击适应性、碰撞适应性、运输包装跌落适应性，符合GB/T9813.1中规定；环境条件要求的振动适应性符合GB/T9813.1 中规定；MTBF(m1)≥3万小时；</w:t>
            </w:r>
          </w:p>
          <w:p>
            <w:pPr>
              <w:widowControl/>
              <w:adjustRightInd w:val="0"/>
              <w:snapToGrid w:val="0"/>
              <w:spacing w:line="360" w:lineRule="auto"/>
              <w:jc w:val="left"/>
              <w:rPr>
                <w:rFonts w:ascii="宋体" w:hAnsi="宋体" w:eastAsia="宋体" w:cs="宋体"/>
                <w:color w:val="auto"/>
                <w:kern w:val="0"/>
                <w:sz w:val="24"/>
                <w:szCs w:val="24"/>
              </w:rPr>
            </w:pPr>
            <w:r>
              <w:rPr>
                <w:rFonts w:hint="eastAsia" w:ascii="宋体" w:hAnsi="宋体" w:eastAsia="宋体" w:cs="宋体"/>
                <w:color w:val="auto"/>
                <w:kern w:val="0"/>
                <w:sz w:val="24"/>
                <w:szCs w:val="24"/>
              </w:rPr>
              <w:t>10.显示器:≥23.8英寸宽屏液晶显示器，分辨率≥1920x1080;与主机同品牌;显示屏屏占比≥80%;显示屏比例16:9，显示屏防蓝光;显示器外观颜色:黑色;显示屏刷新率≥75Hz;显示屏位深≥8位;显示屏色域&gt;99%SRGB;显示屏色准△E≤ 4;显示屏响应时间≤8ms;显示屏亮度≥250尼特;显示屏亮度一致性≥70%;显示屏对比度≥500:1;显示屏其他参数符合 SJ/T11292的相关规定;显示屏屏幕失效点符合GB/T9813.2的要求;显示器应与显卡外接显示接口匹配;显示器应提供显示器支架，根据采购人需求支持屏幕旋转、升降等;a)提供OSD选单按钮用于调节色彩.模式等，支持色温、亮度、对比度调节;底座升降旋转和人体工学保护颈椎功能，支持13cm高度的升降调节，顺时针90度旋转可竖屏(DP+HDMI+USB接口)，内置音响，带侧出USB2.0接口、多功能TYPE-C接口、三段耳机接口。</w:t>
            </w:r>
          </w:p>
          <w:p>
            <w:pPr>
              <w:widowControl/>
              <w:adjustRightInd w:val="0"/>
              <w:snapToGrid w:val="0"/>
              <w:spacing w:line="360" w:lineRule="auto"/>
              <w:jc w:val="left"/>
              <w:rPr>
                <w:rFonts w:ascii="宋体" w:hAnsi="宋体" w:eastAsia="宋体" w:cs="宋体"/>
                <w:color w:val="auto"/>
                <w:kern w:val="0"/>
                <w:sz w:val="24"/>
                <w:szCs w:val="24"/>
              </w:rPr>
            </w:pPr>
            <w:r>
              <w:rPr>
                <w:rFonts w:hint="eastAsia" w:ascii="宋体" w:hAnsi="宋体" w:eastAsia="宋体" w:cs="宋体"/>
                <w:color w:val="auto"/>
                <w:kern w:val="0"/>
                <w:sz w:val="24"/>
                <w:szCs w:val="24"/>
              </w:rPr>
              <w:t>11.前置接口：耳机接口×1；麦克风接口×1；电源按钮×1；USB3.0×2机箱接口：1×HDMI接口、1×DP接口、1×COM接口、1×RJ45接口、4×USB2.0接口 、2×USB3.0接口 、1×OUT接口、1×MIC接口； WI-FI6 X1；TYPE-A X1；</w:t>
            </w:r>
          </w:p>
          <w:p>
            <w:pPr>
              <w:widowControl/>
              <w:adjustRightInd w:val="0"/>
              <w:snapToGrid w:val="0"/>
              <w:spacing w:line="360" w:lineRule="auto"/>
              <w:jc w:val="left"/>
              <w:rPr>
                <w:rFonts w:ascii="宋体" w:hAnsi="宋体" w:eastAsia="宋体" w:cs="宋体"/>
                <w:color w:val="auto"/>
                <w:kern w:val="0"/>
                <w:sz w:val="24"/>
                <w:szCs w:val="24"/>
              </w:rPr>
            </w:pPr>
            <w:r>
              <w:rPr>
                <w:rFonts w:hint="eastAsia" w:ascii="宋体" w:hAnsi="宋体" w:eastAsia="宋体" w:cs="宋体"/>
                <w:color w:val="auto"/>
                <w:kern w:val="0"/>
                <w:sz w:val="24"/>
                <w:szCs w:val="24"/>
              </w:rPr>
              <w:t>12.机箱:整机外观 a)产品表面不应有凹痕、划伤、裂缝、变形和污染等。表面涂层均匀，不应起泡、龟裂、脱落和磨损，金属零部件无锈蚀及其它机械损伤;b)产品表面说明功能的文字、符号标志，应清晰、端正、牢固;</w:t>
            </w:r>
          </w:p>
          <w:p>
            <w:pPr>
              <w:widowControl/>
              <w:adjustRightInd w:val="0"/>
              <w:snapToGrid w:val="0"/>
              <w:spacing w:line="360" w:lineRule="auto"/>
              <w:jc w:val="left"/>
              <w:rPr>
                <w:rFonts w:ascii="宋体" w:hAnsi="宋体" w:eastAsia="宋体" w:cs="宋体"/>
                <w:color w:val="auto"/>
                <w:kern w:val="0"/>
                <w:sz w:val="24"/>
                <w:szCs w:val="24"/>
              </w:rPr>
            </w:pPr>
            <w:r>
              <w:rPr>
                <w:rFonts w:hint="eastAsia" w:ascii="宋体" w:hAnsi="宋体" w:eastAsia="宋体" w:cs="宋体"/>
                <w:color w:val="auto"/>
                <w:kern w:val="0"/>
                <w:sz w:val="24"/>
                <w:szCs w:val="24"/>
              </w:rPr>
              <w:t>状态指示整机结构a)机箱应符合GB/T4208、GB/T 26246的相关规定;b)产品内部结构应符合通用部件的安装需求;c)所有输入输出接口应符合相关国家或行业标准;d)产品零部件应紧固无松动，可插拔部件应可靠连接，开关、按钮和其它控制部件应灵活可靠，布局应方便使用;e)所有I/O连接器及需插接线缆的部位应预留采购人操作空间，方便插拔解锁与插拔线缆;f)可插拔板卡插槽部位应预留安装、拆卸或更换板卡空间;g)拆装可能接触到的金属剪口或金属尖角部位应做防划伤处理，以保证安全;h)整机内部走线应规整固线结构和位置要合理可靠并做防割线处理，需便于理线和插拔操作，走线应不影响系统各主要部件组装和拆卸;i)如需通过孔走线，过线孔应做防割线处理;j)各插头位置和插拔方向应合理，应做到插拔无障碍设计，具备防呆设计，有效避免误操作;k)各主要部件拆装无障碍，使用常规工具拆装，无特殊拆装工具需求;1)各主要部件拆装步骤要少，各自拆装需避免相互干扰;m)对于整机或零部件外表面为高亮面的，应粘贴保护膜，保护膜需粘贴牢固，运输、组装等过程不易脱落，撕下无残留:n)其它要求应符合GB/T9813.1的相关规定;机箱防护要求:机箱应符合GB/T4208中IP20防护要求;整机噪音:产品工作在空闲状态下，产品的声功率级应不超过 4.5 Bel;整机散热在环境温度25℃及处理器满载情况下，产品表面温度应符合如下要求:a)出风口在机箱后面板情况下，出风口温度不高55℃;b)可触及面温度不高于45℃;c)显示器表面温度:显示屏不高于38℃，显示屏上下灯带位置温度(如涉及)不高于 40℃，出风口温度不高于45℃;整机能效限定值应达到GB</w:t>
            </w:r>
          </w:p>
          <w:p>
            <w:pPr>
              <w:widowControl/>
              <w:adjustRightInd w:val="0"/>
              <w:snapToGrid w:val="0"/>
              <w:spacing w:line="360" w:lineRule="auto"/>
              <w:jc w:val="left"/>
              <w:rPr>
                <w:rFonts w:ascii="宋体" w:hAnsi="宋体" w:eastAsia="宋体" w:cs="宋体"/>
                <w:color w:val="auto"/>
                <w:kern w:val="0"/>
                <w:sz w:val="24"/>
                <w:szCs w:val="24"/>
              </w:rPr>
            </w:pPr>
            <w:r>
              <w:rPr>
                <w:rFonts w:hint="eastAsia" w:ascii="宋体" w:hAnsi="宋体" w:eastAsia="宋体" w:cs="宋体"/>
                <w:color w:val="auto"/>
                <w:kern w:val="0"/>
                <w:sz w:val="24"/>
                <w:szCs w:val="24"/>
              </w:rPr>
              <w:t>28380-2012标准汇总能效等级2级及以上;机身颜色黑色;机箱尺寸≤15L;机身材质:塑料/金属;整机可靠性要求:符合 GB/T 9254.2、GB/T 9813.1、GB/T9813.1的相关规定;MTBF(m1)≥3万小时；</w:t>
            </w:r>
          </w:p>
          <w:p>
            <w:pPr>
              <w:widowControl/>
              <w:adjustRightInd w:val="0"/>
              <w:snapToGrid w:val="0"/>
              <w:spacing w:line="360" w:lineRule="auto"/>
              <w:jc w:val="left"/>
              <w:rPr>
                <w:rFonts w:ascii="宋体" w:hAnsi="宋体" w:eastAsia="宋体" w:cs="宋体"/>
                <w:color w:val="auto"/>
                <w:kern w:val="0"/>
                <w:sz w:val="24"/>
                <w:szCs w:val="24"/>
              </w:rPr>
            </w:pPr>
            <w:r>
              <w:rPr>
                <w:rFonts w:hint="eastAsia" w:ascii="宋体" w:hAnsi="宋体" w:eastAsia="宋体" w:cs="宋体"/>
                <w:color w:val="auto"/>
                <w:kern w:val="0"/>
                <w:sz w:val="24"/>
                <w:szCs w:val="24"/>
              </w:rPr>
              <w:t>13.电源:≥400W（适配器电源，更节能）高效电源;电源能效比≥90%;电源适配器电线组件应符合GB/T15934的要求,可拆线的插头和连接器可以不做要求；</w:t>
            </w:r>
          </w:p>
          <w:p>
            <w:pPr>
              <w:widowControl/>
              <w:adjustRightInd w:val="0"/>
              <w:snapToGrid w:val="0"/>
              <w:spacing w:line="360" w:lineRule="auto"/>
              <w:jc w:val="left"/>
              <w:rPr>
                <w:rFonts w:ascii="宋体" w:hAnsi="宋体" w:eastAsia="宋体" w:cs="宋体"/>
                <w:color w:val="auto"/>
                <w:kern w:val="0"/>
                <w:sz w:val="24"/>
                <w:szCs w:val="24"/>
              </w:rPr>
            </w:pPr>
            <w:r>
              <w:rPr>
                <w:rFonts w:hint="eastAsia" w:ascii="宋体" w:hAnsi="宋体" w:eastAsia="宋体" w:cs="宋体"/>
                <w:color w:val="auto"/>
                <w:kern w:val="0"/>
                <w:sz w:val="24"/>
                <w:szCs w:val="24"/>
              </w:rPr>
              <w:t>14.操作系统及软件:预装符合桌面操作</w:t>
            </w:r>
          </w:p>
          <w:p>
            <w:pPr>
              <w:widowControl/>
              <w:adjustRightInd w:val="0"/>
              <w:snapToGrid w:val="0"/>
              <w:spacing w:line="360" w:lineRule="auto"/>
              <w:jc w:val="left"/>
              <w:rPr>
                <w:rFonts w:ascii="宋体" w:hAnsi="宋体" w:eastAsia="宋体" w:cs="宋体"/>
                <w:color w:val="auto"/>
                <w:kern w:val="0"/>
                <w:sz w:val="24"/>
                <w:szCs w:val="24"/>
              </w:rPr>
            </w:pPr>
            <w:r>
              <w:rPr>
                <w:rFonts w:hint="eastAsia" w:ascii="宋体" w:hAnsi="宋体" w:eastAsia="宋体" w:cs="宋体"/>
                <w:color w:val="auto"/>
                <w:kern w:val="0"/>
                <w:sz w:val="24"/>
                <w:szCs w:val="24"/>
              </w:rPr>
              <w:t>系统政府采购需求标准的正版操作系统;中文信息处理要求符合GB18030相关规定;支持操作系统备份及还原功能;支持通过网络、闪存盘等方式对操作系统、驱动进行升级;支持BIOS关闭以太网及USB接口;支持查看固件版本、内存信息、主板信息、处理器信息和系统时间信息等功能;支持设置启动顺序功能，并按照设置的启动顺序启动;支持设置口令、修改口令、验证口令功能;支持网络引导启动和关闭功能;支持流式软件、版式软件、浏览器邮件采购人端、解压软件、多媒体、图形图像处理等常用软件;兼容3个及以上厂商的数据库产品;兼容3个及以上厂商中间件产品;兼容3个及以上厂商云计算及大数据平台:</w:t>
            </w:r>
          </w:p>
          <w:p>
            <w:pPr>
              <w:widowControl/>
              <w:adjustRightInd w:val="0"/>
              <w:snapToGrid w:val="0"/>
              <w:spacing w:line="360" w:lineRule="auto"/>
              <w:jc w:val="left"/>
              <w:rPr>
                <w:rFonts w:ascii="宋体" w:hAnsi="宋体" w:eastAsia="宋体" w:cs="宋体"/>
                <w:color w:val="auto"/>
                <w:kern w:val="0"/>
                <w:sz w:val="24"/>
                <w:szCs w:val="24"/>
              </w:rPr>
            </w:pPr>
            <w:r>
              <w:rPr>
                <w:rFonts w:hint="eastAsia" w:ascii="宋体" w:hAnsi="宋体" w:eastAsia="宋体" w:cs="宋体"/>
                <w:color w:val="auto"/>
                <w:kern w:val="0"/>
                <w:sz w:val="24"/>
                <w:szCs w:val="24"/>
              </w:rPr>
              <w:t>15.供应商提供自检测试工具;供应商提供培训材料、产品手册、培训视频等培训相关内容;供应商提供典型问题解决说明文档或视频:供应商提供上门升级部件/软件与扩容的增值服务:供应商提供产品合格证:供应商提供开箱组装/使用指导:供应商提供驱动光盘或下载方式:</w:t>
            </w:r>
          </w:p>
          <w:p>
            <w:pPr>
              <w:widowControl/>
              <w:adjustRightInd w:val="0"/>
              <w:snapToGrid w:val="0"/>
              <w:spacing w:line="360" w:lineRule="auto"/>
              <w:jc w:val="left"/>
              <w:rPr>
                <w:rFonts w:ascii="宋体" w:hAnsi="宋体" w:eastAsia="宋体" w:cs="宋体"/>
                <w:color w:val="auto"/>
                <w:sz w:val="24"/>
              </w:rPr>
            </w:pPr>
            <w:r>
              <w:rPr>
                <w:rFonts w:hint="eastAsia" w:ascii="宋体" w:hAnsi="宋体" w:eastAsia="宋体" w:cs="宋体"/>
                <w:color w:val="auto"/>
                <w:kern w:val="0"/>
                <w:sz w:val="24"/>
                <w:szCs w:val="24"/>
              </w:rPr>
              <w:t xml:space="preserve">16.安全要求:a) 产 品 应 符 合 GB/T39276 的 5.2 的规定；b)生产厂商应建立漏洞跟踪表，保证产品版本涉及到的漏洞(如驱动程序 等)可查看；c)产品不得包含已知的恶意代码或漏洞，不存在未声明的指令、功能、接口；支持固件安全启动功能，固件启动过程中只有通过启动校验才能正常启动；限用物质的限量要求符合 GB/T 26572 中规定。 </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1</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12</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智能电视</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 xml:space="preserve">1、≥85英寸液晶显示屏；                                       </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 xml:space="preserve">2、分辨率：3840*2160；                                     </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 xml:space="preserve">3、扫描频率：120Hz；                                       </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 xml:space="preserve">4、对比度：5000:1；                                         </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 xml:space="preserve">5、扫描方式：逐行；                                         </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 xml:space="preserve">6、最大可视角：178°；                                      </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 xml:space="preserve">7、动态响应：6.5ms；                                        </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8、能耗：2级；</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6</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13</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配电柜</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1.配电功率≥80KW；</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2.具备防浪涌、过压过流、短路断路保护、定时开关与远程控制功能</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3.含各种电器元件、自动空气开关、熔断器、接触器、电流表、电压表、铜排、防电磁浪涌等；</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1</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14</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显示屏体</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1.屏幕净显示尺寸：24.96米*高0.8米=19.968平方米，屏幕分辨率≥9984*320；</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2.像素间距：＜3.0mm</w:t>
            </w:r>
            <w:r>
              <w:rPr>
                <w:rFonts w:hint="eastAsia" w:ascii="宋体" w:hAnsi="宋体" w:eastAsia="宋体" w:cs="宋体"/>
                <w:color w:val="auto"/>
                <w:kern w:val="0"/>
                <w:sz w:val="24"/>
              </w:rPr>
              <w:br w:type="textWrapping"/>
            </w:r>
            <w:r>
              <w:rPr>
                <w:rFonts w:hint="eastAsia" w:ascii="宋体" w:hAnsi="宋体" w:eastAsia="宋体" w:cs="宋体"/>
                <w:color w:val="auto"/>
                <w:sz w:val="24"/>
              </w:rPr>
              <w:t>3.安装结构：显示屏专用支架，固定安装或吊装，满足现场使用要求；</w:t>
            </w:r>
          </w:p>
          <w:p>
            <w:pPr>
              <w:widowControl/>
              <w:jc w:val="left"/>
              <w:textAlignment w:val="center"/>
              <w:rPr>
                <w:rFonts w:ascii="宋体" w:hAnsi="宋体" w:eastAsia="宋体" w:cs="宋体"/>
                <w:color w:val="auto"/>
                <w:sz w:val="24"/>
              </w:rPr>
            </w:pPr>
            <w:r>
              <w:rPr>
                <w:rFonts w:hint="eastAsia" w:ascii="宋体" w:hAnsi="宋体" w:eastAsia="宋体" w:cs="宋体"/>
                <w:color w:val="auto"/>
                <w:sz w:val="24"/>
              </w:rPr>
              <w:t>4.维护方式：同时兼容前，后维护：模组采用前维护磁吸式结构，支持用户级模组前维护，可正面拆卸、安装灯板、接收卡、电源。同时箱体结构满足模组、电源、转接板等全部用户级模组后维护。支持模组、接收卡的带电维护、热插拔；</w:t>
            </w:r>
          </w:p>
          <w:p>
            <w:pPr>
              <w:widowControl/>
              <w:jc w:val="left"/>
              <w:textAlignment w:val="center"/>
              <w:rPr>
                <w:rFonts w:ascii="宋体" w:hAnsi="宋体" w:eastAsia="宋体" w:cs="宋体"/>
                <w:color w:val="auto"/>
                <w:sz w:val="24"/>
              </w:rPr>
            </w:pPr>
            <w:r>
              <w:rPr>
                <w:rFonts w:hint="eastAsia" w:ascii="宋体" w:hAnsi="宋体" w:eastAsia="宋体" w:cs="宋体"/>
                <w:color w:val="auto"/>
                <w:sz w:val="24"/>
              </w:rPr>
              <w:t>5.热插拔测试：满足模组等低压器件多次带电热插拔测试后都能正常工作；</w:t>
            </w:r>
          </w:p>
          <w:p>
            <w:pPr>
              <w:widowControl/>
              <w:jc w:val="left"/>
              <w:textAlignment w:val="center"/>
              <w:rPr>
                <w:rFonts w:ascii="宋体" w:hAnsi="宋体" w:eastAsia="宋体" w:cs="宋体"/>
                <w:color w:val="auto"/>
                <w:sz w:val="24"/>
              </w:rPr>
            </w:pPr>
            <w:r>
              <w:rPr>
                <w:rFonts w:hint="eastAsia" w:ascii="宋体" w:hAnsi="宋体" w:eastAsia="宋体" w:cs="宋体"/>
                <w:color w:val="auto"/>
                <w:sz w:val="24"/>
              </w:rPr>
              <w:t>6.刷新频率：≥3840Hz，亮度：≥800cd/㎡，最大对比度：≥8000:1；</w:t>
            </w:r>
          </w:p>
          <w:p>
            <w:pPr>
              <w:widowControl/>
              <w:jc w:val="left"/>
              <w:textAlignment w:val="center"/>
              <w:rPr>
                <w:rFonts w:ascii="宋体" w:hAnsi="宋体" w:eastAsia="宋体" w:cs="宋体"/>
                <w:color w:val="auto"/>
                <w:sz w:val="24"/>
              </w:rPr>
            </w:pPr>
            <w:r>
              <w:rPr>
                <w:rFonts w:hint="eastAsia" w:ascii="宋体" w:hAnsi="宋体" w:eastAsia="宋体" w:cs="宋体"/>
                <w:color w:val="auto"/>
                <w:sz w:val="24"/>
              </w:rPr>
              <w:t>7.防护等级：≥IP68防护等级；</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sz w:val="24"/>
              </w:rPr>
              <w:t>8.支持TOP-COB处理：对LED封装单元形成</w:t>
            </w:r>
            <w:r>
              <w:rPr>
                <w:rFonts w:hint="eastAsia" w:ascii="宋体" w:hAnsi="宋体" w:eastAsia="宋体" w:cs="宋体"/>
                <w:color w:val="auto"/>
                <w:kern w:val="0"/>
                <w:sz w:val="24"/>
              </w:rPr>
              <w:t>有效的保护，足以对抗极端恶劣的使用环境，实现真正的防水、防潮、防尘、防撞击、抗UV,有效避免掉灯的现象发生。</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9.要求共阳方案和共阴方案的兼容性设计，可匹配相应LED、IC来做出共阳产品或是共阴产品；</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10.功耗：峰值功耗≤450W/㎡，平均功耗≤140W/㎡</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11.色温、色域：2000K-9000K连续可调，可设冷色、暖色、标准等多档白场调节，色域≥110%NTSC；</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12.色彩标准：灯珠色域满足16bit, 281万亿色，支持BT.2020、 DCI.P3、BT.709、RGB 等多种色域转换；</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13.显示屏拍照等级：≥10bits；</w:t>
            </w:r>
          </w:p>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 xml:space="preserve">14.电源：产品使用无风扇静音设计并带PFC功能的开关电源，功率因素≥0.95 </w:t>
            </w:r>
            <w:r>
              <w:rPr>
                <w:rFonts w:hint="eastAsia" w:ascii="宋体" w:hAnsi="宋体" w:eastAsia="宋体" w:cs="宋体"/>
                <w:color w:val="auto"/>
                <w:sz w:val="24"/>
              </w:rPr>
              <w:t>,电源效率≥90% @25°</w:t>
            </w:r>
          </w:p>
          <w:p>
            <w:pPr>
              <w:widowControl/>
              <w:jc w:val="left"/>
              <w:textAlignment w:val="center"/>
              <w:rPr>
                <w:rFonts w:ascii="宋体" w:hAnsi="宋体" w:eastAsia="宋体" w:cs="宋体"/>
                <w:color w:val="auto"/>
                <w:sz w:val="24"/>
              </w:rPr>
            </w:pPr>
            <w:r>
              <w:rPr>
                <w:rFonts w:hint="eastAsia" w:ascii="宋体" w:hAnsi="宋体" w:eastAsia="宋体" w:cs="宋体"/>
                <w:color w:val="auto"/>
                <w:sz w:val="24"/>
              </w:rPr>
              <w:t>15.亮度与可视角度关系：中央法线上亮度=100cd/m2白场时，水平视角80°时亮度衰减率≤10%,垂直视角60°时亮度衰减率≤10%；</w:t>
            </w:r>
          </w:p>
          <w:p>
            <w:pPr>
              <w:widowControl/>
              <w:jc w:val="left"/>
              <w:textAlignment w:val="center"/>
              <w:rPr>
                <w:rFonts w:ascii="宋体" w:hAnsi="宋体" w:eastAsia="宋体" w:cs="宋体"/>
                <w:color w:val="auto"/>
                <w:sz w:val="24"/>
              </w:rPr>
            </w:pPr>
            <w:r>
              <w:rPr>
                <w:rFonts w:hint="eastAsia" w:ascii="宋体" w:hAnsi="宋体" w:eastAsia="宋体" w:cs="宋体"/>
                <w:color w:val="auto"/>
                <w:sz w:val="24"/>
              </w:rPr>
              <w:t>16.满足节能待机：支持无信号输入自动熄屏待机，有信号时输入自动唤展屏体；</w:t>
            </w:r>
          </w:p>
          <w:p>
            <w:pPr>
              <w:widowControl/>
              <w:jc w:val="left"/>
              <w:textAlignment w:val="center"/>
              <w:rPr>
                <w:rFonts w:ascii="宋体" w:hAnsi="宋体" w:eastAsia="宋体" w:cs="宋体"/>
                <w:color w:val="auto"/>
                <w:sz w:val="24"/>
              </w:rPr>
            </w:pPr>
            <w:r>
              <w:rPr>
                <w:rFonts w:hint="eastAsia" w:ascii="宋体" w:hAnsi="宋体" w:eastAsia="宋体" w:cs="宋体"/>
                <w:color w:val="auto"/>
                <w:sz w:val="24"/>
              </w:rPr>
              <w:t>17.支持屏体多点测温：支持单个屏幕温度检测，针对大屏启动多点测温系统，均衡散热，防止局部温度过高造成色彩漂移；</w:t>
            </w:r>
          </w:p>
          <w:p>
            <w:pPr>
              <w:widowControl/>
              <w:jc w:val="left"/>
              <w:textAlignment w:val="center"/>
              <w:rPr>
                <w:rFonts w:ascii="宋体" w:hAnsi="宋体" w:eastAsia="宋体" w:cs="宋体"/>
                <w:color w:val="auto"/>
                <w:sz w:val="24"/>
              </w:rPr>
            </w:pPr>
            <w:r>
              <w:rPr>
                <w:rFonts w:hint="eastAsia" w:ascii="宋体" w:hAnsi="宋体" w:eastAsia="宋体" w:cs="宋体"/>
                <w:color w:val="auto"/>
                <w:sz w:val="24"/>
              </w:rPr>
              <w:t>18.配电系统：支持智能控制：产品支持分步时序开关机，减少显示屏上电瞬间对电网的冲击，同时可支持PC联网控制、远程定时开关机；</w:t>
            </w:r>
          </w:p>
          <w:p>
            <w:pPr>
              <w:widowControl/>
              <w:jc w:val="left"/>
              <w:textAlignment w:val="center"/>
              <w:rPr>
                <w:rFonts w:ascii="宋体" w:hAnsi="宋体" w:eastAsia="宋体" w:cs="宋体"/>
                <w:color w:val="auto"/>
                <w:sz w:val="24"/>
              </w:rPr>
            </w:pPr>
            <w:r>
              <w:rPr>
                <w:rFonts w:hint="eastAsia" w:ascii="宋体" w:hAnsi="宋体" w:eastAsia="宋体" w:cs="宋体"/>
                <w:color w:val="auto"/>
                <w:sz w:val="24"/>
              </w:rPr>
              <w:t>19.图像旋转功能：无需拼控器，可实现对底图或信源画面进行中心旋转，适用于特殊场景或异型屏幕拼接；</w:t>
            </w:r>
          </w:p>
          <w:p>
            <w:pPr>
              <w:widowControl/>
              <w:jc w:val="left"/>
              <w:textAlignment w:val="center"/>
              <w:rPr>
                <w:rFonts w:ascii="宋体" w:hAnsi="宋体" w:eastAsia="宋体" w:cs="宋体"/>
                <w:color w:val="auto"/>
                <w:sz w:val="24"/>
              </w:rPr>
            </w:pPr>
            <w:r>
              <w:rPr>
                <w:rFonts w:hint="eastAsia" w:ascii="宋体" w:hAnsi="宋体" w:eastAsia="宋体" w:cs="宋体"/>
                <w:color w:val="auto"/>
                <w:sz w:val="24"/>
              </w:rPr>
              <w:t>20.UI菜单遥控交互：屏体支持屏幕UI菜单显示，可通过遥控 器调节屏幕参数、屏幕亮度调节、信号切换、 场景切换、色温调节、开关机控制等，支持在屏幕上显示主要变化信息；</w:t>
            </w:r>
          </w:p>
          <w:p>
            <w:pPr>
              <w:widowControl/>
              <w:jc w:val="left"/>
              <w:textAlignment w:val="center"/>
              <w:rPr>
                <w:rFonts w:ascii="宋体" w:hAnsi="宋体" w:eastAsia="宋体" w:cs="宋体"/>
                <w:color w:val="auto"/>
                <w:sz w:val="24"/>
              </w:rPr>
            </w:pPr>
            <w:r>
              <w:rPr>
                <w:rFonts w:hint="eastAsia" w:ascii="宋体" w:hAnsi="宋体" w:eastAsia="宋体" w:cs="宋体"/>
                <w:color w:val="auto"/>
                <w:sz w:val="24"/>
              </w:rPr>
              <w:t>21.对地漏电流：LED全彩显示屏显示模组可承受T=60S,1500V（交流有效值）；</w:t>
            </w:r>
          </w:p>
          <w:p>
            <w:pPr>
              <w:widowControl/>
              <w:jc w:val="left"/>
              <w:textAlignment w:val="center"/>
              <w:rPr>
                <w:rFonts w:ascii="宋体" w:hAnsi="宋体" w:eastAsia="宋体" w:cs="宋体"/>
                <w:color w:val="auto"/>
                <w:sz w:val="24"/>
              </w:rPr>
            </w:pPr>
            <w:r>
              <w:rPr>
                <w:rFonts w:hint="eastAsia" w:ascii="宋体" w:hAnsi="宋体" w:eastAsia="宋体" w:cs="宋体"/>
                <w:color w:val="auto"/>
                <w:sz w:val="24"/>
              </w:rPr>
              <w:t>22.耐压试验：电源插头或电源引入端与外壳裸露金属部件之间，应能承受1.5KV交流电压/历时1min 的抗电强度试验，应无击穿和飞弧现象；</w:t>
            </w:r>
          </w:p>
          <w:p>
            <w:pPr>
              <w:widowControl/>
              <w:jc w:val="left"/>
              <w:textAlignment w:val="center"/>
              <w:rPr>
                <w:rFonts w:ascii="宋体" w:hAnsi="宋体" w:eastAsia="宋体" w:cs="宋体"/>
                <w:color w:val="auto"/>
                <w:sz w:val="24"/>
              </w:rPr>
            </w:pPr>
            <w:r>
              <w:rPr>
                <w:rFonts w:hint="eastAsia" w:ascii="宋体" w:hAnsi="宋体" w:eastAsia="宋体" w:cs="宋体"/>
                <w:color w:val="auto"/>
                <w:sz w:val="24"/>
              </w:rPr>
              <w:t>23.视频监控墙：要求连续使用时视频监控墙即开即显，长期停用（30日以上）再次上电至开机正常显示画面的等待时间小于1小时；</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19.968</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15</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专用开关电源</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1.输入:AC200-240V,50/60HZ</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2.输出：DC2.8-5V ,40A</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块</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78</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16</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控制接收卡</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1.灵活带载，单卡支持 8 组、16 组、24 组、32组数据输出模式。</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2.无需转接板，单卡自带 HB320,HUB75E 接口，更加稳定。</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3.支持逐点亮色度校正，可以对每个灯点的亮度和色度进行校正，有效消除色差，使整屏的亮度和色度达到高度均匀一致。</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4.快速亮暗线调节在调试软件上进行快速亮暗线调节，快速解决因箱体及模组拼接造成的显示屏亮暗线，调节过程中即时生效。</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5.支持灯板 flash 管理，校正系数双备份，更换灯板后，无需重新上传校正系数，屏体重新断上电即可使用对应灯板校正系数；</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6.检测发送设备与接收卡间或接收卡与接收卡间的网络通讯质量，记录错误包数，协助排除网络通讯隐患</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7.可以监测自身的温度和电压，无需其他外设，在软件上可以查看接收卡的温度和电压。</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张</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39</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17</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异步播放器</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1.处理器不低于4核心处理，每个核心处理器不低于1.8GHz</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2.最宽支持4096（4096*2160@60Hz）、最高支持4096( 2160*4096@60Hz)。</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3.支持主流视频格式：MPG、AVI、MP4、RMVB、MKV、MOV。</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4.支持主流图片格式：JPG、PNG、GIF、BMP、JPEG。</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5.支持主流文档格式：PDF、PPT、WORD、EXCEL。</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6. 支持流媒体协议：HLS、RTMP、RTSP。</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7. 支持4K@60Hz、H265, H264、VP9 视频硬解码播放。</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8. 支持多路视频开窗，2路4K、6路1080P、10路720P、20路360P。</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9. 支持USB3.0接口，支持U盘节目导入播放和即插即播两种方式。</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10. 支持Wifi ap和Wifi sta可以随时切换。</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11. 支持HDMI2.0输出接口，支持自适应和自定义两种模式。</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12. 支持232接口，支持第三方中控设备进行控制。</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13. 支持通过USB接口与独立发送主控连接，实现远程对LED屏体的亮度、电源和开关屏等控制。</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14. 支持千兆以太网通信。</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15. 支持板载4G模块和5G模块。</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16. 支持手动、射频模块、GPS和NTP对时同步播放机制。</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17. 支持1路3.5mm音频输出接口。</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18. 支持网页自动浏览刷新等。</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19. 支持SNMP协议和诺瓦标准SDK协议。</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20. 使用环境温度-20—60摄氏度。</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21. 操作系统为Android11版本及以上。</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1</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18</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视频处理器</w:t>
            </w:r>
          </w:p>
        </w:tc>
        <w:tc>
          <w:tcPr>
            <w:tcW w:w="3827" w:type="dxa"/>
            <w:shd w:val="clear" w:color="auto" w:fill="auto"/>
            <w:tcMar>
              <w:top w:w="0" w:type="dxa"/>
              <w:left w:w="105" w:type="dxa"/>
              <w:bottom w:w="0" w:type="dxa"/>
              <w:right w:w="105" w:type="dxa"/>
            </w:tcMar>
            <w:vAlign w:val="center"/>
          </w:tcPr>
          <w:p>
            <w:pPr>
              <w:widowControl/>
              <w:numPr>
                <w:ilvl w:val="0"/>
                <w:numId w:val="25"/>
              </w:numPr>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视频输出支持 6 个千兆网口输出，最大带载高达 390 万像素，</w:t>
            </w:r>
          </w:p>
          <w:p>
            <w:pPr>
              <w:widowControl/>
              <w:numPr>
                <w:ilvl w:val="0"/>
                <w:numId w:val="25"/>
              </w:numPr>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支持常见的视频接口，包括 1 路 3G-SDI，2 路 HDMI1.3，1 路 DVI，1 路 CVBS，1 路VGA，1 路 USB 播放。支持 HDMI、DVI 输入分辨率自定义调节。</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3.无需电脑，支持通过设备旋转按钮快捷配屏和高级配屏功能点亮屏体。</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4.发送卡和视频处理器二合一。</w:t>
            </w:r>
          </w:p>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5.支持逐点亮度校正，可以对每个灯点的亮度和色度进行校正，有效消除色差，使整屏的亮度和色度达到一致。</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1</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19</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屏体电缆线</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 xml:space="preserve">由配电柜输出到主屏幕及条屏；国标rvv3*2.5平方纯铜电缆线；     </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米</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800</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20</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信号网线</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1.超六类国标铜线；                                                                   2.控制室输出到屏体；                                             3.主屏及条屏控制线；</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米</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2300</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21</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高清传输线</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1.80米HDMI国标线；                                            2.满足6台85英寸及以上显示屏、控制室视频信号接入传输使用；</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条</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6</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22</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金属桥架</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国标200㎜*100㎜*0.15㎜含安装附材</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米</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60</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23</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高清传输线</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1.40米HDMI国标线；                                            2.满足控制室及舞台地插视频信号接入传输使用；</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条</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6</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24</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电视支架及安装技术</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 xml:space="preserve">85英寸及以上显示屏专用可伸缩、可调角度安装臂架；                          </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6</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25</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支撑结构及包边</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结构依据现场实际情况定制，选材及用料符合行业标准；</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126.5</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9240" w:type="dxa"/>
            <w:gridSpan w:val="6"/>
            <w:shd w:val="clear" w:color="auto" w:fill="auto"/>
            <w:tcMar>
              <w:top w:w="0" w:type="dxa"/>
              <w:left w:w="105" w:type="dxa"/>
              <w:bottom w:w="0" w:type="dxa"/>
              <w:right w:w="105" w:type="dxa"/>
            </w:tcMar>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b/>
                <w:bCs/>
                <w:color w:val="auto"/>
                <w:kern w:val="0"/>
                <w:sz w:val="24"/>
              </w:rPr>
              <w:t>音频扩声及智能中控会议系统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1</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双10寸专业线阵音箱</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▲1.响应优化设计的分频器</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 xml:space="preserve">▲2.具有合适的低频切除频率，有效减少频段重叠和杜绝相位失真 </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3.特性灵敏度级(1W/1m)105dB</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4.最大声压级133dB</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5.额定功率≥700W；最大功率≥1400W；</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6.额定阻抗8Ω；辐射角(HxV)120°X10°</w:t>
            </w:r>
          </w:p>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7.接线形式2XspeakonIN/OUT</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8</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2</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线性音箱田字吊架</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1.采用高强度金属材料。</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2.包含田字架1个，吊环4个，插销4个</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副</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2</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3</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阵列低音音箱</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1.1x18"LF；频率范围35Hz-200Hz</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2.特性灵敏度级(1W/1m)104dB</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3.最大声压级132dB</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4.额定功率≥600W；最大功率≥1200W</w:t>
            </w:r>
          </w:p>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5.额定阻抗8Ω</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2</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4</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舞台返听音箱</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1. 额定功率（AES）： ≥400W；最大功率： ≥800W；</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2. 额定阻抗：8Ω；辐射角（H×V）：80°×50°</w:t>
            </w:r>
          </w:p>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3. 接线形式：两个专业四芯插座1+ 1-；</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6</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5</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台唇音箱</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1. 额定功率（AES）： ≥300W；最大功率： ≥600W；</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2. 额定阻抗：8Ω；辐射角（H×V）：80°×50°</w:t>
            </w:r>
          </w:p>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3. 接线形式：两个专业四芯插座1+ 1-；</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6</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6</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辅助音箱</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1. 额定功率（AES）： ≥400W；最大功率： ≥800W；</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2. 额定阻抗：8Ω；辐射角（H×V）：80°×50°</w:t>
            </w:r>
          </w:p>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3. 接线形式：两个专业四芯插座1+ 1-；</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6</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7</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有源监听音箱</w:t>
            </w:r>
          </w:p>
        </w:tc>
        <w:tc>
          <w:tcPr>
            <w:tcW w:w="3827" w:type="dxa"/>
            <w:shd w:val="clear" w:color="auto" w:fill="auto"/>
            <w:tcMar>
              <w:top w:w="0" w:type="dxa"/>
              <w:left w:w="105" w:type="dxa"/>
              <w:bottom w:w="0" w:type="dxa"/>
              <w:right w:w="105" w:type="dxa"/>
            </w:tcMar>
            <w:vAlign w:val="center"/>
          </w:tcPr>
          <w:p>
            <w:pPr>
              <w:widowControl/>
              <w:textAlignment w:val="top"/>
              <w:rPr>
                <w:rFonts w:ascii="宋体" w:hAnsi="宋体" w:eastAsia="宋体" w:cs="宋体"/>
                <w:color w:val="auto"/>
                <w:sz w:val="24"/>
              </w:rPr>
            </w:pPr>
            <w:r>
              <w:rPr>
                <w:rFonts w:hint="eastAsia" w:ascii="宋体" w:hAnsi="宋体" w:eastAsia="宋体" w:cs="宋体"/>
                <w:color w:val="auto"/>
                <w:kern w:val="0"/>
                <w:sz w:val="24"/>
              </w:rPr>
              <w:t>≥6寸监听音箱；低频驱动器：6寸；高音喇叭：1.25英寸天然丝穹顶，频率响应：45Hz- 22KHz</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2</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8</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线性阵列音箱功放</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▲1.智能压限功能设计，保护电路，开关机冲击保护，温度保护，短路保护，直流保护</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▲2.HiFi线路设计，电路元件排布，全独立声道</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▲3.导风筒散热器散热，智能温控风扇散热，智能化检测</w:t>
            </w:r>
            <w:r>
              <w:rPr>
                <w:rFonts w:hint="eastAsia" w:ascii="宋体" w:hAnsi="宋体" w:eastAsia="宋体" w:cs="宋体"/>
                <w:color w:val="auto"/>
                <w:kern w:val="0"/>
                <w:sz w:val="24"/>
                <w:lang w:eastAsia="zh-CN"/>
              </w:rPr>
              <w:t>，</w:t>
            </w:r>
            <w:r>
              <w:rPr>
                <w:rFonts w:hint="eastAsia" w:ascii="宋体" w:hAnsi="宋体" w:eastAsia="宋体" w:cs="宋体"/>
                <w:color w:val="auto"/>
                <w:kern w:val="0"/>
                <w:sz w:val="24"/>
              </w:rPr>
              <w:t>控制风扇转速。</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4.输出功率：8Ω≥2*1200W；4Ω≥2*1800W；2Ω≥2*2400W；</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5.桥接输出功率：（8Ω）4200W（4Ω）5600W</w:t>
            </w:r>
          </w:p>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6.频率响应：20Hz-20KHz</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6</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9</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超重低音音箱功放</w:t>
            </w:r>
          </w:p>
        </w:tc>
        <w:tc>
          <w:tcPr>
            <w:tcW w:w="3827" w:type="dxa"/>
            <w:shd w:val="clear" w:color="auto" w:fill="auto"/>
            <w:tcMar>
              <w:top w:w="0" w:type="dxa"/>
              <w:left w:w="105" w:type="dxa"/>
              <w:bottom w:w="0" w:type="dxa"/>
              <w:right w:w="105" w:type="dxa"/>
            </w:tcMar>
          </w:tcPr>
          <w:p>
            <w:pPr>
              <w:widowControl/>
              <w:jc w:val="left"/>
              <w:textAlignment w:val="top"/>
              <w:rPr>
                <w:rFonts w:ascii="宋体" w:hAnsi="宋体" w:eastAsia="宋体" w:cs="宋体"/>
                <w:color w:val="auto"/>
                <w:kern w:val="0"/>
                <w:sz w:val="24"/>
              </w:rPr>
            </w:pPr>
            <w:r>
              <w:rPr>
                <w:rFonts w:hint="eastAsia" w:ascii="宋体" w:hAnsi="宋体" w:eastAsia="宋体" w:cs="宋体"/>
                <w:color w:val="auto"/>
                <w:kern w:val="0"/>
                <w:sz w:val="24"/>
              </w:rPr>
              <w:t>1.输出功率：8Ω ≥2*1000W；4Ω ≥2*1500W；2Ω  ≥2*2000W；</w:t>
            </w:r>
          </w:p>
          <w:p>
            <w:pPr>
              <w:widowControl/>
              <w:jc w:val="left"/>
              <w:textAlignment w:val="top"/>
              <w:rPr>
                <w:rFonts w:ascii="宋体" w:hAnsi="宋体" w:eastAsia="宋体" w:cs="宋体"/>
                <w:color w:val="auto"/>
                <w:kern w:val="0"/>
                <w:sz w:val="24"/>
              </w:rPr>
            </w:pPr>
            <w:r>
              <w:rPr>
                <w:rFonts w:hint="eastAsia" w:ascii="宋体" w:hAnsi="宋体" w:eastAsia="宋体" w:cs="宋体"/>
                <w:color w:val="auto"/>
                <w:kern w:val="0"/>
                <w:sz w:val="24"/>
              </w:rPr>
              <w:t>2.桥接输出功率：（8Ω）≥4200W  （4Ω）≥5600W</w:t>
            </w:r>
          </w:p>
          <w:p>
            <w:pPr>
              <w:widowControl/>
              <w:jc w:val="left"/>
              <w:textAlignment w:val="top"/>
              <w:rPr>
                <w:rFonts w:ascii="宋体" w:hAnsi="宋体" w:eastAsia="宋体" w:cs="宋体"/>
                <w:color w:val="auto"/>
                <w:sz w:val="24"/>
              </w:rPr>
            </w:pPr>
            <w:r>
              <w:rPr>
                <w:rFonts w:hint="eastAsia" w:ascii="宋体" w:hAnsi="宋体" w:eastAsia="宋体" w:cs="宋体"/>
                <w:color w:val="auto"/>
                <w:kern w:val="0"/>
                <w:sz w:val="24"/>
              </w:rPr>
              <w:t>3.频率响应：20Hz-20KHz</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1</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10</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舞台返听音箱功放</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1.输出功率：8Ω ≥2*600W；4Ω ≥2*900W；2Ω  ≥2*1200W；</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2.桥接输出功率：（8Ω）≥4200W  （4Ω）≥5600W</w:t>
            </w:r>
          </w:p>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3.频率响应：20Hz-20KHz</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3</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11</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台唇音箱功放</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1.输出功率：8Ω ≥2*500W；4Ω ≥2*750W；2Ω  ≥2*1000W；</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2.桥接输出功率：（8Ω）≥4200W  （4Ω）≥5600W</w:t>
            </w:r>
          </w:p>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3.频率响应：20Hz-20KHz</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3</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12</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辅助音箱功放</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1.输出功率：8Ω ≥2*800W；4Ω ≥2*1200W；2Ω  ≥2*1600W；</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2.桥接输出功率：（8Ω）≥4200W  （4Ω）≥5600W</w:t>
            </w:r>
          </w:p>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3.频率响应：20Hz-20KHz</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3</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13</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数字调音台</w:t>
            </w:r>
          </w:p>
        </w:tc>
        <w:tc>
          <w:tcPr>
            <w:tcW w:w="3827" w:type="dxa"/>
            <w:shd w:val="clear" w:color="auto" w:fill="auto"/>
            <w:tcMar>
              <w:top w:w="0" w:type="dxa"/>
              <w:left w:w="105" w:type="dxa"/>
              <w:bottom w:w="0" w:type="dxa"/>
              <w:right w:w="105" w:type="dxa"/>
            </w:tcMar>
          </w:tcPr>
          <w:p>
            <w:pPr>
              <w:widowControl/>
              <w:jc w:val="left"/>
              <w:textAlignment w:val="top"/>
              <w:rPr>
                <w:rFonts w:ascii="宋体" w:hAnsi="宋体" w:eastAsia="宋体" w:cs="宋体"/>
                <w:color w:val="auto"/>
                <w:kern w:val="0"/>
                <w:sz w:val="24"/>
              </w:rPr>
            </w:pPr>
            <w:r>
              <w:rPr>
                <w:rFonts w:hint="eastAsia" w:ascii="宋体" w:hAnsi="宋体" w:eastAsia="宋体" w:cs="宋体"/>
                <w:color w:val="auto"/>
                <w:kern w:val="0"/>
                <w:sz w:val="24"/>
              </w:rPr>
              <w:t>1.≥16路信号输入（≥8 路 MIC 输入，≥2 组立体声输入）</w:t>
            </w:r>
          </w:p>
          <w:p>
            <w:pPr>
              <w:widowControl/>
              <w:jc w:val="left"/>
              <w:textAlignment w:val="top"/>
              <w:rPr>
                <w:rFonts w:ascii="宋体" w:hAnsi="宋体" w:eastAsia="宋体" w:cs="宋体"/>
                <w:color w:val="auto"/>
                <w:kern w:val="0"/>
                <w:sz w:val="24"/>
              </w:rPr>
            </w:pPr>
            <w:r>
              <w:rPr>
                <w:rFonts w:hint="eastAsia" w:ascii="宋体" w:hAnsi="宋体" w:eastAsia="宋体" w:cs="宋体"/>
                <w:color w:val="auto"/>
                <w:kern w:val="0"/>
                <w:sz w:val="24"/>
              </w:rPr>
              <w:t>2.数字输入：光纤/声卡，MP3</w:t>
            </w:r>
          </w:p>
          <w:p>
            <w:pPr>
              <w:widowControl/>
              <w:jc w:val="left"/>
              <w:textAlignment w:val="top"/>
              <w:rPr>
                <w:rFonts w:ascii="宋体" w:hAnsi="宋体" w:eastAsia="宋体" w:cs="宋体"/>
                <w:color w:val="auto"/>
                <w:kern w:val="0"/>
                <w:sz w:val="24"/>
              </w:rPr>
            </w:pPr>
            <w:r>
              <w:rPr>
                <w:rFonts w:hint="eastAsia" w:ascii="宋体" w:hAnsi="宋体" w:eastAsia="宋体" w:cs="宋体"/>
                <w:color w:val="auto"/>
                <w:kern w:val="0"/>
                <w:sz w:val="24"/>
              </w:rPr>
              <w:t>3.输入通道声像调节</w:t>
            </w:r>
          </w:p>
          <w:p>
            <w:pPr>
              <w:widowControl/>
              <w:jc w:val="left"/>
              <w:textAlignment w:val="top"/>
              <w:rPr>
                <w:rFonts w:ascii="宋体" w:hAnsi="宋体" w:eastAsia="宋体" w:cs="宋体"/>
                <w:color w:val="auto"/>
                <w:kern w:val="0"/>
                <w:sz w:val="24"/>
              </w:rPr>
            </w:pPr>
            <w:r>
              <w:rPr>
                <w:rFonts w:hint="eastAsia" w:ascii="宋体" w:hAnsi="宋体" w:eastAsia="宋体" w:cs="宋体"/>
                <w:color w:val="auto"/>
                <w:kern w:val="0"/>
                <w:sz w:val="24"/>
              </w:rPr>
              <w:t>4.MIC 输入增益调节（数字增益）</w:t>
            </w:r>
          </w:p>
          <w:p>
            <w:pPr>
              <w:widowControl/>
              <w:jc w:val="left"/>
              <w:textAlignment w:val="top"/>
              <w:rPr>
                <w:rFonts w:ascii="宋体" w:hAnsi="宋体" w:eastAsia="宋体" w:cs="宋体"/>
                <w:color w:val="auto"/>
                <w:kern w:val="0"/>
                <w:sz w:val="24"/>
              </w:rPr>
            </w:pPr>
            <w:r>
              <w:rPr>
                <w:rFonts w:hint="eastAsia" w:ascii="宋体" w:hAnsi="宋体" w:eastAsia="宋体" w:cs="宋体"/>
                <w:color w:val="auto"/>
                <w:kern w:val="0"/>
                <w:sz w:val="24"/>
              </w:rPr>
              <w:t>5.+48V 幻象电源（MIC 通道均可独立打开关闭）</w:t>
            </w:r>
          </w:p>
          <w:p>
            <w:pPr>
              <w:widowControl/>
              <w:jc w:val="left"/>
              <w:textAlignment w:val="top"/>
              <w:rPr>
                <w:rFonts w:ascii="宋体" w:hAnsi="宋体" w:eastAsia="宋体" w:cs="宋体"/>
                <w:color w:val="auto"/>
                <w:kern w:val="0"/>
                <w:sz w:val="24"/>
              </w:rPr>
            </w:pPr>
            <w:r>
              <w:rPr>
                <w:rFonts w:hint="eastAsia" w:ascii="宋体" w:hAnsi="宋体" w:eastAsia="宋体" w:cs="宋体"/>
                <w:color w:val="auto"/>
                <w:kern w:val="0"/>
                <w:sz w:val="24"/>
              </w:rPr>
              <w:t>6.内置压限器，高低通，4 段参数均衡，延时，输通道声像平衡调节</w:t>
            </w:r>
          </w:p>
          <w:p>
            <w:pPr>
              <w:widowControl/>
              <w:jc w:val="left"/>
              <w:textAlignment w:val="top"/>
              <w:rPr>
                <w:rFonts w:ascii="宋体" w:hAnsi="宋体" w:eastAsia="宋体" w:cs="宋体"/>
                <w:color w:val="auto"/>
                <w:kern w:val="0"/>
                <w:sz w:val="24"/>
              </w:rPr>
            </w:pPr>
            <w:r>
              <w:rPr>
                <w:rFonts w:hint="eastAsia" w:ascii="宋体" w:hAnsi="宋体" w:eastAsia="宋体" w:cs="宋体"/>
                <w:color w:val="auto"/>
                <w:kern w:val="0"/>
                <w:sz w:val="24"/>
              </w:rPr>
              <w:t>7.通道均设有行程≥100MM 电动推杆，信号、峰值灯（≥13 个电动推子）</w:t>
            </w:r>
          </w:p>
          <w:p>
            <w:pPr>
              <w:widowControl/>
              <w:jc w:val="left"/>
              <w:textAlignment w:val="top"/>
              <w:rPr>
                <w:rFonts w:ascii="宋体" w:hAnsi="宋体" w:eastAsia="宋体" w:cs="宋体"/>
                <w:color w:val="auto"/>
                <w:kern w:val="0"/>
                <w:sz w:val="24"/>
              </w:rPr>
            </w:pPr>
            <w:r>
              <w:rPr>
                <w:rFonts w:hint="eastAsia" w:ascii="宋体" w:hAnsi="宋体" w:eastAsia="宋体" w:cs="宋体"/>
                <w:color w:val="auto"/>
                <w:kern w:val="0"/>
                <w:sz w:val="24"/>
              </w:rPr>
              <w:t>8.≥10 路信号输出（立体声主输出,≥6 路 AUX 输出，≥2 路辅助输出）</w:t>
            </w:r>
          </w:p>
          <w:p>
            <w:pPr>
              <w:widowControl/>
              <w:jc w:val="left"/>
              <w:textAlignment w:val="top"/>
              <w:rPr>
                <w:rFonts w:ascii="宋体" w:hAnsi="宋体" w:eastAsia="宋体" w:cs="宋体"/>
                <w:color w:val="auto"/>
                <w:sz w:val="24"/>
              </w:rPr>
            </w:pPr>
            <w:r>
              <w:rPr>
                <w:rFonts w:hint="eastAsia" w:ascii="宋体" w:hAnsi="宋体" w:eastAsia="宋体" w:cs="宋体"/>
                <w:color w:val="auto"/>
                <w:kern w:val="0"/>
                <w:sz w:val="24"/>
              </w:rPr>
              <w:t>9.≥4.3寸高清触摸彩屏</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1</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14</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kern w:val="0"/>
                <w:sz w:val="24"/>
              </w:rPr>
            </w:pPr>
            <w:r>
              <w:rPr>
                <w:rFonts w:hint="eastAsia" w:ascii="宋体" w:hAnsi="宋体" w:eastAsia="宋体" w:cs="宋体"/>
                <w:color w:val="auto"/>
                <w:kern w:val="0"/>
                <w:sz w:val="24"/>
              </w:rPr>
              <w:t>数字音频矩阵处理器</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1.自带中英文操作软件，直观．图形化软件控制界面。</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▲2.中控接入可以选择232.485. TCPIP以及GPIO。</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▲3.多种连接方式，支持安卓端APP控制，墙面板控制，支持多台机器组网联调，远程监控。</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4.主要技术参数： DSP芯片，音频系统延迟：&lt;1ms, 数模转换：24-bit。</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5.输入通道： ≥16 路输入，≥16 路输出，每一路均具有 48V 幻象电源开关</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6.自适应反馈消除 AFC，并且能分两个等级，抑制系统啸叫</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7.带自动混音功能</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8.多种参量均衡类型可选，包括 PEQ、High-Shelf、Low-Shelf、LP、HP,可灵活应用于更多的场合                                          9.自带中英文操作软件，直观、图形化软件控制界面; 灵活多样的控制方式：可选择 COM、USB,TCP 等多种连接方式；</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kern w:val="0"/>
                <w:sz w:val="24"/>
              </w:rPr>
            </w:pPr>
            <w:r>
              <w:rPr>
                <w:rFonts w:hint="eastAsia" w:ascii="宋体" w:hAnsi="宋体" w:eastAsia="宋体" w:cs="宋体"/>
                <w:color w:val="auto"/>
                <w:kern w:val="0"/>
                <w:sz w:val="24"/>
              </w:rPr>
              <w:t>套</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kern w:val="0"/>
                <w:sz w:val="24"/>
              </w:rPr>
            </w:pPr>
            <w:r>
              <w:rPr>
                <w:rFonts w:hint="eastAsia" w:ascii="宋体" w:hAnsi="宋体" w:eastAsia="宋体" w:cs="宋体"/>
                <w:color w:val="auto"/>
                <w:kern w:val="0"/>
                <w:sz w:val="24"/>
              </w:rPr>
              <w:t>1</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15</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反馈抑制器</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1.≥2.0寸TFT彩屏，中英文可选。</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2.自动扫描啸叫点并抑制。</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▲3.每路设有四档移频选择，移频分辨精度2Hz, 工作频响20-20KHz。</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▲4.具有USB通讯接口，可以联接上位机调试各功能参数。</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▲5.2—XLR和2-TRS平衡或非平衡输入方式，2-XLR和2-TRS平衡或非平衡输出方式。</w:t>
            </w:r>
          </w:p>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6、输出阻抗：平衡 &gt;120Ω，不平衡 &gt;60Ω，频率响应：20Hz-20KHz,±0. 3dB</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1</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16</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话筒数字处理器</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1.兼容多种应用方式，如电容麦+混音器.手拉手会议话筒.电容麦+调音器；</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 xml:space="preserve">2.能显著的提升扩声系统传声增益，扩声系统有效声压提升≥11dB； </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 xml:space="preserve">3.能显著的提升话筒有效拾音距离，扩声系统有效声压不变，话筒拾音距离增加≥3倍； </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 xml:space="preserve">4.设备全智能化，免调试。 </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 xml:space="preserve">5.自适应高速浮点算法，设备接驳后30秒内自动运算且锁定达到稳态。                             </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 xml:space="preserve">6.带有宽幅工作的功能，工作电压：≥60-306V。                           </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7.采样率：48K</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 xml:space="preserve">8.频率响应：20HZ-20kHz </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 xml:space="preserve">9.通道噪声：&lt;-90dBu  </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10.动态范围：99dBU</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11.输入\输出接口类型：免焊接插拔式接线端口</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 xml:space="preserve">12.工作电压：220V AC  50~60HZ </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 xml:space="preserve">13.输入接口：≥2路平衡输入（In Put） </w:t>
            </w:r>
          </w:p>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14.输出接口：≥2路平衡输出（Out Put）</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1</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17</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电源时序器</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1.有保护音响器材免受电流冲击，减少用电设备对输电线路的冲击电流；</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 xml:space="preserve">2.电压：100V-240V电压通用； </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 xml:space="preserve">3.采用30A优质继电器，单路最大输出30A； </w:t>
            </w:r>
          </w:p>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4.可选≥1路RS232接口与可编程中控主机通信，≥1路RS232级联串口。</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3</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18</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无线手持话筒</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1.通道数：≥四通道</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2.载波频段：UHF520~940MHz</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3.振荡方式：PLL相位锁定频率合成</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4.谐波幅射：&lt;-65dBm</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 xml:space="preserve">5.最大偏移度：±45KHz </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6.频率响应：45Hz~18KHZ ±3dB</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7.频带宽度：120MHz</w:t>
            </w:r>
          </w:p>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8.音头：动圈式</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套</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4</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19</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无线头戴话筒</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1.通道数：≥二通道</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2.载波频段：UHF520~940MHz</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3.振荡方式：PLL相位锁定频率合成</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4.谐波幅射：&lt;-65dBm</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 xml:space="preserve">5.最大偏移度：±45KHz </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6.频率响应：45Hz~18KHZ ±3dB</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7.频带宽度：120MHz</w:t>
            </w:r>
          </w:p>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8.音头：动圈式</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套</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4</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20</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宽频天线分配器</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1.一拖四天线放大器，最远距离≥400米</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2.提供使用≥4台UHF无线系列或其他系列各种自动选讯接收机的多频道系统，共用一对天线</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3.能在多频道同時使用排除混频干扰</w:t>
            </w:r>
          </w:p>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4.天线输入插座可以直接配置适用频率范围內的各种单竿天线、同轴天线、延长天线组及对数定向天线组。</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1</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21</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宽频定向天线</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1.一拖四天线放大器，最远距离≥400米</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2.提供使用≥4台UHF无线系列或其他系列各种自动选讯接收机的多频道系统，共用一对天线</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3.能在多频道同時使用排除混频干扰</w:t>
            </w:r>
          </w:p>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4.天线输入插座可以直接配置适用频率范围內的各种单竿天线、同轴天线、延长天线组及对数定向天线组。</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2</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22</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有线大合唱话筒</w:t>
            </w:r>
          </w:p>
        </w:tc>
        <w:tc>
          <w:tcPr>
            <w:tcW w:w="3827" w:type="dxa"/>
            <w:shd w:val="clear" w:color="auto" w:fill="auto"/>
            <w:tcMar>
              <w:top w:w="0" w:type="dxa"/>
              <w:left w:w="105" w:type="dxa"/>
              <w:bottom w:w="0" w:type="dxa"/>
              <w:right w:w="105" w:type="dxa"/>
            </w:tcMar>
          </w:tcPr>
          <w:p>
            <w:pPr>
              <w:widowControl/>
              <w:jc w:val="left"/>
              <w:textAlignment w:val="top"/>
              <w:rPr>
                <w:rFonts w:ascii="宋体" w:hAnsi="宋体" w:eastAsia="宋体" w:cs="宋体"/>
                <w:color w:val="auto"/>
                <w:kern w:val="0"/>
                <w:sz w:val="24"/>
              </w:rPr>
            </w:pPr>
            <w:r>
              <w:rPr>
                <w:rFonts w:hint="eastAsia" w:ascii="宋体" w:hAnsi="宋体" w:eastAsia="宋体" w:cs="宋体"/>
                <w:color w:val="auto"/>
                <w:kern w:val="0"/>
                <w:sz w:val="24"/>
              </w:rPr>
              <w:t>1.换能方式：电容式</w:t>
            </w:r>
          </w:p>
          <w:p>
            <w:pPr>
              <w:widowControl/>
              <w:jc w:val="left"/>
              <w:textAlignment w:val="top"/>
              <w:rPr>
                <w:rFonts w:ascii="宋体" w:hAnsi="宋体" w:eastAsia="宋体" w:cs="宋体"/>
                <w:color w:val="auto"/>
                <w:kern w:val="0"/>
                <w:sz w:val="24"/>
              </w:rPr>
            </w:pPr>
            <w:r>
              <w:rPr>
                <w:rFonts w:hint="eastAsia" w:ascii="宋体" w:hAnsi="宋体" w:eastAsia="宋体" w:cs="宋体"/>
                <w:color w:val="auto"/>
                <w:kern w:val="0"/>
                <w:sz w:val="24"/>
              </w:rPr>
              <w:t>2.指向性：超心型单一指向</w:t>
            </w:r>
          </w:p>
          <w:p>
            <w:pPr>
              <w:widowControl/>
              <w:jc w:val="left"/>
              <w:textAlignment w:val="top"/>
              <w:rPr>
                <w:rFonts w:ascii="宋体" w:hAnsi="宋体" w:eastAsia="宋体" w:cs="宋体"/>
                <w:color w:val="auto"/>
                <w:kern w:val="0"/>
                <w:sz w:val="24"/>
              </w:rPr>
            </w:pPr>
            <w:r>
              <w:rPr>
                <w:rFonts w:hint="eastAsia" w:ascii="宋体" w:hAnsi="宋体" w:eastAsia="宋体" w:cs="宋体"/>
                <w:color w:val="auto"/>
                <w:kern w:val="0"/>
                <w:sz w:val="24"/>
              </w:rPr>
              <w:t>3.频率响应：80Hz-20KHz</w:t>
            </w:r>
          </w:p>
          <w:p>
            <w:pPr>
              <w:widowControl/>
              <w:jc w:val="left"/>
              <w:textAlignment w:val="top"/>
              <w:rPr>
                <w:rFonts w:ascii="宋体" w:hAnsi="宋体" w:eastAsia="宋体" w:cs="宋体"/>
                <w:color w:val="auto"/>
                <w:kern w:val="0"/>
                <w:sz w:val="24"/>
              </w:rPr>
            </w:pPr>
            <w:r>
              <w:rPr>
                <w:rFonts w:hint="eastAsia" w:ascii="宋体" w:hAnsi="宋体" w:eastAsia="宋体" w:cs="宋体"/>
                <w:color w:val="auto"/>
                <w:kern w:val="0"/>
                <w:sz w:val="24"/>
              </w:rPr>
              <w:t>4.信噪比：&gt;65db</w:t>
            </w:r>
          </w:p>
          <w:p>
            <w:pPr>
              <w:widowControl/>
              <w:jc w:val="left"/>
              <w:textAlignment w:val="top"/>
              <w:rPr>
                <w:rFonts w:ascii="宋体" w:hAnsi="宋体" w:eastAsia="宋体" w:cs="宋体"/>
                <w:color w:val="auto"/>
                <w:kern w:val="0"/>
                <w:sz w:val="24"/>
              </w:rPr>
            </w:pPr>
            <w:r>
              <w:rPr>
                <w:rFonts w:hint="eastAsia" w:ascii="宋体" w:hAnsi="宋体" w:eastAsia="宋体" w:cs="宋体"/>
                <w:color w:val="auto"/>
                <w:kern w:val="0"/>
                <w:sz w:val="24"/>
              </w:rPr>
              <w:t>5.输出阻抗：200Ω</w:t>
            </w:r>
          </w:p>
          <w:p>
            <w:pPr>
              <w:widowControl/>
              <w:jc w:val="left"/>
              <w:textAlignment w:val="top"/>
              <w:rPr>
                <w:rFonts w:ascii="宋体" w:hAnsi="宋体" w:eastAsia="宋体" w:cs="宋体"/>
                <w:color w:val="auto"/>
                <w:sz w:val="24"/>
              </w:rPr>
            </w:pPr>
            <w:r>
              <w:rPr>
                <w:rFonts w:hint="eastAsia" w:ascii="宋体" w:hAnsi="宋体" w:eastAsia="宋体" w:cs="宋体"/>
                <w:color w:val="auto"/>
                <w:kern w:val="0"/>
                <w:sz w:val="24"/>
              </w:rPr>
              <w:t>6.灵敏度：-30db</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支</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3</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23</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kern w:val="0"/>
                <w:sz w:val="24"/>
              </w:rPr>
            </w:pPr>
            <w:r>
              <w:rPr>
                <w:rFonts w:hint="eastAsia" w:ascii="宋体" w:hAnsi="宋体" w:eastAsia="宋体" w:cs="宋体"/>
                <w:color w:val="auto"/>
                <w:kern w:val="0"/>
                <w:sz w:val="24"/>
              </w:rPr>
              <w:t>数字会议系统主机</w:t>
            </w:r>
          </w:p>
        </w:tc>
        <w:tc>
          <w:tcPr>
            <w:tcW w:w="3827" w:type="dxa"/>
            <w:shd w:val="clear" w:color="auto" w:fill="auto"/>
            <w:tcMar>
              <w:top w:w="0" w:type="dxa"/>
              <w:left w:w="105" w:type="dxa"/>
              <w:bottom w:w="0" w:type="dxa"/>
              <w:right w:w="105" w:type="dxa"/>
            </w:tcMar>
          </w:tcPr>
          <w:p>
            <w:pPr>
              <w:widowControl/>
              <w:jc w:val="left"/>
              <w:textAlignment w:val="top"/>
              <w:rPr>
                <w:rFonts w:ascii="宋体" w:hAnsi="宋体" w:eastAsia="宋体" w:cs="宋体"/>
                <w:color w:val="auto"/>
                <w:kern w:val="0"/>
                <w:sz w:val="24"/>
              </w:rPr>
            </w:pPr>
            <w:r>
              <w:rPr>
                <w:rFonts w:hint="eastAsia" w:ascii="宋体" w:hAnsi="宋体" w:eastAsia="宋体" w:cs="宋体"/>
                <w:color w:val="auto"/>
                <w:kern w:val="0"/>
                <w:sz w:val="24"/>
              </w:rPr>
              <w:t>1.可配合任意会议系统主机,实现视频跟踪功能。</w:t>
            </w:r>
          </w:p>
          <w:p>
            <w:pPr>
              <w:widowControl/>
              <w:jc w:val="left"/>
              <w:textAlignment w:val="top"/>
              <w:rPr>
                <w:rFonts w:ascii="宋体" w:hAnsi="宋体" w:eastAsia="宋体" w:cs="宋体"/>
                <w:color w:val="auto"/>
                <w:kern w:val="0"/>
                <w:sz w:val="24"/>
              </w:rPr>
            </w:pPr>
            <w:r>
              <w:rPr>
                <w:rFonts w:hint="eastAsia" w:ascii="宋体" w:hAnsi="宋体" w:eastAsia="宋体" w:cs="宋体"/>
                <w:color w:val="auto"/>
                <w:kern w:val="0"/>
                <w:sz w:val="24"/>
              </w:rPr>
              <w:t>2.内置嵌入式视频处理器，可对H.264.1080P高分辨率视频进行高速处理。</w:t>
            </w:r>
          </w:p>
          <w:p>
            <w:pPr>
              <w:widowControl/>
              <w:jc w:val="left"/>
              <w:textAlignment w:val="top"/>
              <w:rPr>
                <w:rFonts w:ascii="宋体" w:hAnsi="宋体" w:eastAsia="宋体" w:cs="宋体"/>
                <w:color w:val="auto"/>
                <w:kern w:val="0"/>
                <w:sz w:val="24"/>
              </w:rPr>
            </w:pPr>
            <w:r>
              <w:rPr>
                <w:rFonts w:hint="eastAsia" w:ascii="宋体" w:hAnsi="宋体" w:eastAsia="宋体" w:cs="宋体"/>
                <w:color w:val="auto"/>
                <w:kern w:val="0"/>
                <w:sz w:val="24"/>
              </w:rPr>
              <w:t>3.主机具备一个百兆以太网口，可与中央控制系统连接，通过中控系统控制视频跟踪。</w:t>
            </w:r>
          </w:p>
          <w:p>
            <w:pPr>
              <w:widowControl/>
              <w:jc w:val="left"/>
              <w:textAlignment w:val="top"/>
              <w:rPr>
                <w:rFonts w:ascii="宋体" w:hAnsi="宋体" w:eastAsia="宋体" w:cs="宋体"/>
                <w:color w:val="auto"/>
                <w:kern w:val="0"/>
                <w:sz w:val="24"/>
              </w:rPr>
            </w:pPr>
            <w:r>
              <w:rPr>
                <w:rFonts w:hint="eastAsia" w:ascii="宋体" w:hAnsi="宋体" w:eastAsia="宋体" w:cs="宋体"/>
                <w:color w:val="auto"/>
                <w:kern w:val="0"/>
                <w:sz w:val="24"/>
              </w:rPr>
              <w:t>4.可实现自动显示即时发言者的定位特写镜头图像，并可用于进行会议录像。</w:t>
            </w:r>
          </w:p>
          <w:p>
            <w:pPr>
              <w:widowControl/>
              <w:jc w:val="left"/>
              <w:textAlignment w:val="top"/>
              <w:rPr>
                <w:rFonts w:ascii="宋体" w:hAnsi="宋体" w:eastAsia="宋体" w:cs="宋体"/>
                <w:color w:val="auto"/>
                <w:kern w:val="0"/>
                <w:sz w:val="24"/>
              </w:rPr>
            </w:pPr>
            <w:r>
              <w:rPr>
                <w:rFonts w:hint="eastAsia" w:ascii="宋体" w:hAnsi="宋体" w:eastAsia="宋体" w:cs="宋体"/>
                <w:color w:val="auto"/>
                <w:kern w:val="0"/>
                <w:sz w:val="24"/>
              </w:rPr>
              <w:t>5.具有画面静止功能和OSD功能。</w:t>
            </w:r>
          </w:p>
          <w:p>
            <w:pPr>
              <w:widowControl/>
              <w:jc w:val="left"/>
              <w:textAlignment w:val="top"/>
              <w:rPr>
                <w:rFonts w:ascii="宋体" w:hAnsi="宋体" w:eastAsia="宋体" w:cs="宋体"/>
                <w:color w:val="auto"/>
                <w:kern w:val="0"/>
                <w:sz w:val="24"/>
              </w:rPr>
            </w:pPr>
            <w:r>
              <w:rPr>
                <w:rFonts w:hint="eastAsia" w:ascii="宋体" w:hAnsi="宋体" w:eastAsia="宋体" w:cs="宋体"/>
                <w:color w:val="auto"/>
                <w:kern w:val="0"/>
                <w:sz w:val="24"/>
              </w:rPr>
              <w:t>7.具有摄像联动视频冻结功能，可以将一些无意义的画面不做显示，摄像机转动的过程画面不用显示。</w:t>
            </w:r>
          </w:p>
          <w:p>
            <w:pPr>
              <w:widowControl/>
              <w:jc w:val="left"/>
              <w:textAlignment w:val="top"/>
              <w:rPr>
                <w:rFonts w:ascii="宋体" w:hAnsi="宋体" w:eastAsia="宋体" w:cs="宋体"/>
                <w:color w:val="auto"/>
                <w:kern w:val="0"/>
                <w:sz w:val="24"/>
              </w:rPr>
            </w:pPr>
            <w:r>
              <w:rPr>
                <w:rFonts w:hint="eastAsia" w:ascii="宋体" w:hAnsi="宋体" w:eastAsia="宋体" w:cs="宋体"/>
                <w:color w:val="auto"/>
                <w:kern w:val="0"/>
                <w:sz w:val="24"/>
              </w:rPr>
              <w:t>8.内置4进4出DVI高清视频矩阵，内置4进4出HDMI高清视频矩阵，支持多种接口的高清摄像机进行视频跟踪。</w:t>
            </w:r>
          </w:p>
          <w:p>
            <w:pPr>
              <w:widowControl/>
              <w:jc w:val="left"/>
              <w:textAlignment w:val="top"/>
              <w:rPr>
                <w:rFonts w:ascii="宋体" w:hAnsi="宋体" w:eastAsia="宋体" w:cs="宋体"/>
                <w:color w:val="auto"/>
                <w:kern w:val="0"/>
                <w:sz w:val="24"/>
              </w:rPr>
            </w:pPr>
            <w:r>
              <w:rPr>
                <w:rFonts w:hint="eastAsia" w:ascii="宋体" w:hAnsi="宋体" w:eastAsia="宋体" w:cs="宋体"/>
                <w:color w:val="auto"/>
                <w:kern w:val="0"/>
                <w:sz w:val="24"/>
              </w:rPr>
              <w:t>9. 可支持≥8台高清摄像机进行视频跟踪，支持连接高清视频矩阵进行扩展至无限个</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kern w:val="0"/>
                <w:sz w:val="24"/>
              </w:rPr>
            </w:pPr>
            <w:r>
              <w:rPr>
                <w:rFonts w:hint="eastAsia" w:ascii="宋体" w:hAnsi="宋体" w:eastAsia="宋体" w:cs="宋体"/>
                <w:color w:val="auto"/>
                <w:kern w:val="0"/>
                <w:sz w:val="24"/>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kern w:val="0"/>
                <w:sz w:val="24"/>
              </w:rPr>
            </w:pPr>
            <w:r>
              <w:rPr>
                <w:rFonts w:hint="eastAsia" w:ascii="宋体" w:hAnsi="宋体" w:eastAsia="宋体" w:cs="宋体"/>
                <w:color w:val="auto"/>
                <w:kern w:val="0"/>
                <w:sz w:val="24"/>
              </w:rPr>
              <w:t>1</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24</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主席会议话筒</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1.具有优先发言权、发言讨论、摄像跟踪、会议服务于一体的多功能会议终端</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2.采用WiFi通信技术，5G频率</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3.可以和其他无线会议系统和有线会议系统兼容，同时使用，统一管理</w:t>
            </w:r>
          </w:p>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4.采用≥3.5寸电容触摸屏。具备与其它单元或主机进行通讯，可以显示本地时间、发言时间、可以对发言时间定时、显示万年历功能</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支</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1</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25</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代表会议话筒</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1.具有发言讨论、摄像跟踪、会议服务于一体的多功能会议终端</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2.采用WiFi通信技术，5G频率</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3.可以和其他无线会议系统和有线会议系统兼容，同时使用，统一管理</w:t>
            </w:r>
          </w:p>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4.采用≥3.5寸电容触摸屏。具备与其它单元或主机进行通讯，可以显示本地时间、发言时间、可以对发言时间定时、显示万年历功能</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支</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9</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26</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kern w:val="0"/>
                <w:sz w:val="24"/>
              </w:rPr>
            </w:pPr>
            <w:r>
              <w:rPr>
                <w:rFonts w:hint="eastAsia" w:ascii="宋体" w:hAnsi="宋体" w:eastAsia="宋体" w:cs="宋体"/>
                <w:color w:val="auto"/>
                <w:kern w:val="0"/>
                <w:sz w:val="24"/>
              </w:rPr>
              <w:t>地插盒</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会议话筒专用</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kern w:val="0"/>
                <w:sz w:val="24"/>
              </w:rPr>
            </w:pPr>
            <w:r>
              <w:rPr>
                <w:rFonts w:hint="eastAsia" w:ascii="宋体" w:hAnsi="宋体" w:eastAsia="宋体" w:cs="宋体"/>
                <w:color w:val="auto"/>
                <w:kern w:val="0"/>
                <w:sz w:val="24"/>
              </w:rPr>
              <w:t>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kern w:val="0"/>
                <w:sz w:val="24"/>
              </w:rPr>
            </w:pPr>
            <w:r>
              <w:rPr>
                <w:rFonts w:hint="eastAsia" w:ascii="宋体" w:hAnsi="宋体" w:eastAsia="宋体" w:cs="宋体"/>
                <w:color w:val="auto"/>
                <w:kern w:val="0"/>
                <w:sz w:val="24"/>
              </w:rPr>
              <w:t>2</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27</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kern w:val="0"/>
                <w:sz w:val="24"/>
              </w:rPr>
            </w:pPr>
            <w:r>
              <w:rPr>
                <w:rFonts w:hint="eastAsia" w:ascii="宋体" w:hAnsi="宋体" w:eastAsia="宋体" w:cs="宋体"/>
                <w:color w:val="auto"/>
                <w:kern w:val="0"/>
                <w:sz w:val="24"/>
              </w:rPr>
              <w:t>会议系统延长线</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会议话筒专用≥30米</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kern w:val="0"/>
                <w:sz w:val="24"/>
              </w:rPr>
            </w:pPr>
            <w:r>
              <w:rPr>
                <w:rFonts w:hint="eastAsia" w:ascii="宋体" w:hAnsi="宋体" w:eastAsia="宋体" w:cs="宋体"/>
                <w:color w:val="auto"/>
                <w:kern w:val="0"/>
                <w:sz w:val="24"/>
              </w:rPr>
              <w:t>根</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kern w:val="0"/>
                <w:sz w:val="24"/>
              </w:rPr>
            </w:pPr>
            <w:r>
              <w:rPr>
                <w:rFonts w:hint="eastAsia" w:ascii="宋体" w:hAnsi="宋体" w:eastAsia="宋体" w:cs="宋体"/>
                <w:color w:val="auto"/>
                <w:kern w:val="0"/>
                <w:sz w:val="24"/>
              </w:rPr>
              <w:t>1</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28</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高清会议摄像机</w:t>
            </w:r>
          </w:p>
        </w:tc>
        <w:tc>
          <w:tcPr>
            <w:tcW w:w="3827" w:type="dxa"/>
            <w:shd w:val="clear" w:color="auto" w:fill="auto"/>
            <w:tcMar>
              <w:top w:w="0" w:type="dxa"/>
              <w:left w:w="105" w:type="dxa"/>
              <w:bottom w:w="0" w:type="dxa"/>
              <w:right w:w="105" w:type="dxa"/>
            </w:tcMar>
          </w:tcPr>
          <w:p>
            <w:pPr>
              <w:widowControl/>
              <w:jc w:val="left"/>
              <w:textAlignment w:val="top"/>
              <w:rPr>
                <w:rFonts w:ascii="宋体" w:hAnsi="宋体" w:eastAsia="宋体" w:cs="宋体"/>
                <w:color w:val="auto"/>
                <w:kern w:val="0"/>
                <w:sz w:val="24"/>
              </w:rPr>
            </w:pPr>
            <w:r>
              <w:rPr>
                <w:rFonts w:hint="eastAsia" w:ascii="宋体" w:hAnsi="宋体" w:eastAsia="宋体" w:cs="宋体"/>
                <w:color w:val="auto"/>
                <w:kern w:val="0"/>
                <w:sz w:val="24"/>
              </w:rPr>
              <w:t>1.采用1/1.8英寸.≥842万像素的高品质UHDCMOS传感器，可实现4K(3840x2160)超高分辨率的优质图像。≥20倍光学变焦，视场角最大≥60°。</w:t>
            </w:r>
          </w:p>
          <w:p>
            <w:pPr>
              <w:widowControl/>
              <w:jc w:val="left"/>
              <w:textAlignment w:val="top"/>
              <w:rPr>
                <w:rFonts w:ascii="宋体" w:hAnsi="宋体" w:eastAsia="宋体" w:cs="宋体"/>
                <w:color w:val="auto"/>
                <w:kern w:val="0"/>
                <w:sz w:val="24"/>
              </w:rPr>
            </w:pPr>
            <w:r>
              <w:rPr>
                <w:rFonts w:hint="eastAsia" w:ascii="宋体" w:hAnsi="宋体" w:eastAsia="宋体" w:cs="宋体"/>
                <w:color w:val="auto"/>
                <w:kern w:val="0"/>
                <w:sz w:val="24"/>
              </w:rPr>
              <w:t>2.支持HDMI2.0规格，可直接输出4K无压缩数字视频。</w:t>
            </w:r>
          </w:p>
          <w:p>
            <w:pPr>
              <w:widowControl/>
              <w:jc w:val="left"/>
              <w:textAlignment w:val="top"/>
              <w:rPr>
                <w:rFonts w:ascii="宋体" w:hAnsi="宋体" w:eastAsia="宋体" w:cs="宋体"/>
                <w:color w:val="auto"/>
                <w:kern w:val="0"/>
                <w:sz w:val="24"/>
              </w:rPr>
            </w:pPr>
            <w:r>
              <w:rPr>
                <w:rFonts w:hint="eastAsia" w:ascii="宋体" w:hAnsi="宋体" w:eastAsia="宋体" w:cs="宋体"/>
                <w:color w:val="auto"/>
                <w:kern w:val="0"/>
                <w:sz w:val="24"/>
              </w:rPr>
              <w:t>3.支持HDMI2.0高清输出，另配备3G-SDI接口，有效传输距离最高长达150米（1080p30）。HDMI.3G-SDI.USB3.0.LAN四路可同时输出≥4路高清数字信号。</w:t>
            </w:r>
          </w:p>
          <w:p>
            <w:pPr>
              <w:widowControl/>
              <w:jc w:val="left"/>
              <w:textAlignment w:val="top"/>
              <w:rPr>
                <w:rFonts w:ascii="宋体" w:hAnsi="宋体" w:eastAsia="宋体" w:cs="宋体"/>
                <w:color w:val="auto"/>
                <w:kern w:val="0"/>
                <w:sz w:val="24"/>
              </w:rPr>
            </w:pPr>
            <w:r>
              <w:rPr>
                <w:rFonts w:hint="eastAsia" w:ascii="宋体" w:hAnsi="宋体" w:eastAsia="宋体" w:cs="宋体"/>
                <w:color w:val="auto"/>
                <w:kern w:val="0"/>
                <w:sz w:val="24"/>
              </w:rPr>
              <w:t>4.支持图像自动翻转功能，方便工程安装使用</w:t>
            </w:r>
          </w:p>
          <w:p>
            <w:pPr>
              <w:widowControl/>
              <w:jc w:val="left"/>
              <w:textAlignment w:val="top"/>
              <w:rPr>
                <w:rFonts w:ascii="宋体" w:hAnsi="宋体" w:eastAsia="宋体" w:cs="宋体"/>
                <w:color w:val="auto"/>
                <w:kern w:val="0"/>
                <w:sz w:val="24"/>
              </w:rPr>
            </w:pPr>
            <w:r>
              <w:rPr>
                <w:rFonts w:hint="eastAsia" w:ascii="宋体" w:hAnsi="宋体" w:eastAsia="宋体" w:cs="宋体"/>
                <w:color w:val="auto"/>
                <w:kern w:val="0"/>
                <w:sz w:val="24"/>
              </w:rPr>
              <w:t>5.支持低功耗休眠/唤醒，休眠状态下功耗低于400mW。</w:t>
            </w:r>
          </w:p>
          <w:p>
            <w:pPr>
              <w:widowControl/>
              <w:jc w:val="left"/>
              <w:textAlignment w:val="top"/>
              <w:rPr>
                <w:rFonts w:ascii="宋体" w:hAnsi="宋体" w:eastAsia="宋体" w:cs="宋体"/>
                <w:color w:val="auto"/>
                <w:kern w:val="0"/>
                <w:sz w:val="24"/>
              </w:rPr>
            </w:pPr>
            <w:r>
              <w:rPr>
                <w:rFonts w:hint="eastAsia" w:ascii="宋体" w:hAnsi="宋体" w:eastAsia="宋体" w:cs="宋体"/>
                <w:color w:val="auto"/>
                <w:kern w:val="0"/>
                <w:sz w:val="24"/>
              </w:rPr>
              <w:t>6.多种控制方式，可使用RS232.RS485.网络以及USB，可对摄像机进行控制。</w:t>
            </w:r>
          </w:p>
          <w:p>
            <w:pPr>
              <w:widowControl/>
              <w:jc w:val="left"/>
              <w:textAlignment w:val="top"/>
              <w:rPr>
                <w:rFonts w:ascii="宋体" w:hAnsi="宋体" w:eastAsia="宋体" w:cs="宋体"/>
                <w:color w:val="auto"/>
                <w:kern w:val="0"/>
                <w:sz w:val="24"/>
              </w:rPr>
            </w:pPr>
            <w:r>
              <w:rPr>
                <w:rFonts w:hint="eastAsia" w:ascii="宋体" w:hAnsi="宋体" w:eastAsia="宋体" w:cs="宋体"/>
                <w:color w:val="auto"/>
                <w:kern w:val="0"/>
                <w:sz w:val="24"/>
              </w:rPr>
              <w:t>▲7.ISP图像处理算法，白平衡和自动曝光功能。</w:t>
            </w:r>
          </w:p>
          <w:p>
            <w:pPr>
              <w:widowControl/>
              <w:jc w:val="left"/>
              <w:textAlignment w:val="top"/>
              <w:rPr>
                <w:rFonts w:ascii="宋体" w:hAnsi="宋体" w:eastAsia="宋体" w:cs="宋体"/>
                <w:color w:val="auto"/>
                <w:kern w:val="0"/>
                <w:sz w:val="24"/>
              </w:rPr>
            </w:pPr>
            <w:r>
              <w:rPr>
                <w:rFonts w:hint="eastAsia" w:ascii="宋体" w:hAnsi="宋体" w:eastAsia="宋体" w:cs="宋体"/>
                <w:color w:val="auto"/>
                <w:kern w:val="0"/>
                <w:sz w:val="24"/>
              </w:rPr>
              <w:t>▲9.采用升级版AI技术，采用行人重识别技术，可以根据行人穿着、体型、发型以及人脸识别等信息能够准确判断每一个人所在位置，实现自动识别目标人形并跟踪，自动框选，会议智能隐私虚化功能。</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4</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29</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网络中央控制主机</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1.支持搭配语音系统实现语音控制功能；</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▲2.支持实时预览网络摄像机画面，支持各种传感器接入；</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▲3.主机内置红外学习器，可把红外数据保存到电脑成为红外库文件；</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4.主机配有≥24个串口（≥16个RS232串口.≥8个RS485\422串口）.≥16个红外口.≥8-Relays继电器口.≥8个IO口；</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5.支持设备状态反馈，可实时反馈设备状态；</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6.支持实时预览网络摄像机画面；</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7.支持各种传感器接入：温湿度，PM2.5，PM10，一氧化碳和二氧化碳等；</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8.支持电脑脚本语言；</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9.支持串口转发；</w:t>
            </w:r>
          </w:p>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10.前面板有≥4.3寸彩色触摸屏和USB编程接口，提供专用编程软件；</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1</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30</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网络中控管理系统</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1.软件支持安卓平板电脑.射频触摸屏.windows电脑控制等；</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2.支持所有平台，并且安卓平板.射频触屏及windows电脑的控制界面相同；</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3.多种操作方式，可同时使用，互为备份；</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4.采用字体自动识别技术，在Windows电脑上设计界面时使用的任何字体，都能在IPAD平板.安卓平板上正确显示；</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5.支持图片按钮，支持PNG.WMF.ICO.GIF图片的透明效果，可实现任意形状的按钮，各种效果的界面；</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6.可直接通过以太网络，利用Internet互联网传输来更改程序的内容；</w:t>
            </w:r>
          </w:p>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7.现场编程调试(技术服务)。</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套</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1</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31</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串口服务器</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1.10/100M自适应以太网接口，支持动态IP和静态IP</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2.串口服务器，同时也具备Modbus网关的功能</w:t>
            </w:r>
          </w:p>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3.支持软件或网页双重配置方式，配置设备参数方便灵活</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4</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32</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无线路由器</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无线速率300Mbps</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4个10/100M自适应LAN口，支持自动翻转（AutoMDI/MDIX）</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1个10/100M自适应WAN口，支持自动翻转（AutoMDI/MDIX）</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Reset复用按钮</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SYS系统指示</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各端口Link/Act指示</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天线2根外置固定全向天线</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1</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33</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触摸控制屏</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屏幕分辨率2000x1200</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屏幕类型TDDI LCD</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WiFi功能802.11 a/b/g/n/ac</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蓝牙功能BT 5.0</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接口Type C 2.0</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重力感应支持</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光线感应支持</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内置感应震动马达</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电池容量7700mAh</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1</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34</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电源控制器</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1.单路额定功率≥5000W。</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▲2.采用高性能STC单片机处理，模块化设计，强弱电分开</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▲3.独立电源开关控制，支持设定某通道关闭与打开</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4.控制方式：串口RS-232，可支持网络接口UDP控制。</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5.可编程控制，适用于各种中控系统.电脑等第三方设备控制。</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6.初始状态：上电时，全部为断开状态。</w:t>
            </w:r>
          </w:p>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7.通道数量:不低于8路万用插座继电器受控。</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2</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35</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8进8出HDMI矩阵</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(支持4K30)</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▲1.支持EDID的自动读取，支持HDCP解析，支持蓝光DVD；</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▲2.3D图像倍频修复.临近像素复读处理和3D去除隔行处理功能进行图像修复功能；</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3.支持EDID管理，现场可通过串口软件更改板卡EDID数据；</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4.HDMI输入端带数字均衡调整电路，输出带信号预加重增强电路，使信号能进行更长距离传输，输入加输出都可超过40米距离（不需配带芯片的HDMI线）；</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5.所有板卡和主板，采用高速连接器；</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6.支持RS-232.红外（选配）.网口（选配）控制信号切换功能；</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7.一体化全铝拉丝面板.蓝光液晶显示屏；</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8.采用Contrex嵌入式ARM处理器控制；</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9.支持一键快速查询功能，方便察看矩阵的切换状态；</w:t>
            </w:r>
          </w:p>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10.具有掉电记忆功能带有断电现场保护，上电自动恢复关机前状态；</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1</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36</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护套音箱线</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2*2.5mm²专业带护套音箱线 ，无氧铜</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米</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800</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37</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音频信号线缆</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128编双芯带屏蔽音频线缆，无氧铜</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米</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200</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38</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音响设备网络机柜</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类型：音响设备机柜</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机柜容量：42U</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外形尺寸：H2000*W600*D800(不含脚轮高度)</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颜色：黑色</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2</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39</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控制台</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大小根据控制室实际情况定制</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1</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40</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音箱壁架</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金属墙壁音箱架</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适合：10-12寸全频音箱使用</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左右角度可调，向下3个调度可调</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臂展：250-350可调</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对</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3</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41</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膨胀螺丝</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10厘/M10膨胀螺丝</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48</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42</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AV电脑音频线</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5米，3.5mm一分二音频线转双莲花手机电脑音箱连接线</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根</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2</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43</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莲花对莲花音频线</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3米，单莲花音频线</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根</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2</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44</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音箱插头</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NL4FC四芯专业音箱插头</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68</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45</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卡侬公母音频线</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2米，卡侬线公对母延长平衡线话筒麦克风线</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根</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60</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46</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三芯电源线</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RVV3*2.5平方护套线/电源线</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米</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100</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47</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BNC插头</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BNC插头</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8</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48</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50欧姆同轴线</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50欧姆同轴线，线径5.3mm,128编织</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米</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50</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49</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网线</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6类</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米</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300</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50</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金属桥架</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国标200㎜*100㎜*0.15㎜含安装附材</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米</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60</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51</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舞台信息地插</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类型：多媒体地插</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材质：铜</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插口：Neutrik（纽垂克）音箱插座笔记本电脑、HDMI等</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套</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6</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52</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主席台信息地插</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接笔记本电脑、HDMI等</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套</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1</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53</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钢丝绳</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4mm 包塑钢丝绳，极限拉力400kg</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批</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1</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54</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钢丝绳锁扣</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M5锁扣，适用3mm/4mm钢丝绳</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批</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1</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55</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安全扣</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M6*60安全扣  吊中、小音箱适用，承重200斤，M8*80安全扣   吊大型重音箱用，承重≥450斤</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批</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1</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56</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8mm吊环</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M8*30mm吊环</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批</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1</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9240" w:type="dxa"/>
            <w:gridSpan w:val="6"/>
            <w:shd w:val="clear" w:color="auto" w:fill="auto"/>
            <w:tcMar>
              <w:top w:w="0" w:type="dxa"/>
              <w:left w:w="105" w:type="dxa"/>
              <w:bottom w:w="0" w:type="dxa"/>
              <w:right w:w="105" w:type="dxa"/>
            </w:tcMar>
            <w:vAlign w:val="center"/>
          </w:tcPr>
          <w:p>
            <w:pPr>
              <w:snapToGrid w:val="0"/>
              <w:spacing w:before="156" w:beforeLines="50"/>
              <w:ind w:left="1" w:leftChars="-2" w:hanging="5" w:hangingChars="2"/>
              <w:jc w:val="center"/>
              <w:rPr>
                <w:rFonts w:ascii="宋体" w:hAnsi="宋体" w:eastAsia="宋体" w:cs="宋体"/>
                <w:color w:val="auto"/>
                <w:sz w:val="24"/>
                <w:szCs w:val="24"/>
              </w:rPr>
            </w:pPr>
            <w:r>
              <w:rPr>
                <w:rFonts w:hint="eastAsia" w:ascii="宋体" w:hAnsi="宋体" w:eastAsia="宋体" w:cs="宋体"/>
                <w:b/>
                <w:bCs/>
                <w:color w:val="auto"/>
                <w:kern w:val="0"/>
                <w:sz w:val="24"/>
              </w:rPr>
              <w:t>舞台灯光系统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1</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LED成像灯</w:t>
            </w:r>
          </w:p>
        </w:tc>
        <w:tc>
          <w:tcPr>
            <w:tcW w:w="3827" w:type="dxa"/>
            <w:shd w:val="clear" w:color="auto" w:fill="auto"/>
            <w:tcMar>
              <w:top w:w="0" w:type="dxa"/>
              <w:left w:w="105" w:type="dxa"/>
              <w:bottom w:w="0" w:type="dxa"/>
              <w:right w:w="105" w:type="dxa"/>
            </w:tcMar>
          </w:tcPr>
          <w:p>
            <w:pPr>
              <w:widowControl/>
              <w:jc w:val="left"/>
              <w:textAlignment w:val="top"/>
              <w:rPr>
                <w:rFonts w:ascii="宋体" w:hAnsi="宋体" w:eastAsia="宋体" w:cs="宋体"/>
                <w:color w:val="auto"/>
                <w:kern w:val="0"/>
                <w:sz w:val="24"/>
              </w:rPr>
            </w:pPr>
            <w:r>
              <w:rPr>
                <w:rFonts w:hint="eastAsia" w:ascii="宋体" w:hAnsi="宋体" w:eastAsia="宋体" w:cs="宋体"/>
                <w:color w:val="auto"/>
                <w:kern w:val="0"/>
                <w:sz w:val="24"/>
              </w:rPr>
              <w:t>工作电压：AC100-240V，50/60Hz</w:t>
            </w:r>
          </w:p>
          <w:p>
            <w:pPr>
              <w:widowControl/>
              <w:jc w:val="left"/>
              <w:textAlignment w:val="top"/>
              <w:rPr>
                <w:rFonts w:ascii="宋体" w:hAnsi="宋体" w:eastAsia="宋体" w:cs="宋体"/>
                <w:color w:val="auto"/>
                <w:kern w:val="0"/>
                <w:sz w:val="24"/>
              </w:rPr>
            </w:pPr>
            <w:r>
              <w:rPr>
                <w:rFonts w:hint="eastAsia" w:ascii="宋体" w:hAnsi="宋体" w:eastAsia="宋体" w:cs="宋体"/>
                <w:color w:val="auto"/>
                <w:kern w:val="0"/>
                <w:sz w:val="24"/>
              </w:rPr>
              <w:t>总功率：≥220W</w:t>
            </w:r>
          </w:p>
          <w:p>
            <w:pPr>
              <w:widowControl/>
              <w:jc w:val="left"/>
              <w:textAlignment w:val="top"/>
              <w:rPr>
                <w:rFonts w:ascii="宋体" w:hAnsi="宋体" w:eastAsia="宋体" w:cs="宋体"/>
                <w:color w:val="auto"/>
                <w:kern w:val="0"/>
                <w:sz w:val="24"/>
              </w:rPr>
            </w:pPr>
            <w:r>
              <w:rPr>
                <w:rFonts w:hint="eastAsia" w:ascii="宋体" w:hAnsi="宋体" w:eastAsia="宋体" w:cs="宋体"/>
                <w:color w:val="auto"/>
                <w:kern w:val="0"/>
                <w:sz w:val="24"/>
              </w:rPr>
              <w:t>光源：1颗200W单白光LED集成灯珠                                                   色温：3200K/5600K（可选）</w:t>
            </w:r>
          </w:p>
          <w:p>
            <w:pPr>
              <w:widowControl/>
              <w:jc w:val="left"/>
              <w:textAlignment w:val="top"/>
              <w:rPr>
                <w:rFonts w:ascii="宋体" w:hAnsi="宋体" w:eastAsia="宋体" w:cs="宋体"/>
                <w:color w:val="auto"/>
                <w:kern w:val="0"/>
                <w:sz w:val="24"/>
              </w:rPr>
            </w:pPr>
            <w:r>
              <w:rPr>
                <w:rFonts w:hint="eastAsia" w:ascii="宋体" w:hAnsi="宋体" w:eastAsia="宋体" w:cs="宋体"/>
                <w:color w:val="auto"/>
                <w:kern w:val="0"/>
                <w:sz w:val="24"/>
              </w:rPr>
              <w:t xml:space="preserve">显色指数：≥92Ra   </w:t>
            </w:r>
          </w:p>
          <w:p>
            <w:pPr>
              <w:widowControl/>
              <w:jc w:val="left"/>
              <w:textAlignment w:val="top"/>
              <w:rPr>
                <w:rFonts w:ascii="宋体" w:hAnsi="宋体" w:eastAsia="宋体" w:cs="宋体"/>
                <w:color w:val="auto"/>
                <w:kern w:val="0"/>
                <w:sz w:val="24"/>
              </w:rPr>
            </w:pPr>
            <w:r>
              <w:rPr>
                <w:rFonts w:hint="eastAsia" w:ascii="宋体" w:hAnsi="宋体" w:eastAsia="宋体" w:cs="宋体"/>
                <w:color w:val="auto"/>
                <w:kern w:val="0"/>
                <w:sz w:val="24"/>
              </w:rPr>
              <w:t>通道：≥2通道</w:t>
            </w:r>
          </w:p>
          <w:p>
            <w:pPr>
              <w:widowControl/>
              <w:jc w:val="left"/>
              <w:textAlignment w:val="top"/>
              <w:rPr>
                <w:rFonts w:ascii="宋体" w:hAnsi="宋体" w:eastAsia="宋体" w:cs="宋体"/>
                <w:color w:val="auto"/>
                <w:sz w:val="24"/>
              </w:rPr>
            </w:pP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24</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2</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LED染色灯</w:t>
            </w:r>
          </w:p>
        </w:tc>
        <w:tc>
          <w:tcPr>
            <w:tcW w:w="3827" w:type="dxa"/>
            <w:shd w:val="clear" w:color="auto" w:fill="auto"/>
            <w:tcMar>
              <w:top w:w="0" w:type="dxa"/>
              <w:left w:w="105" w:type="dxa"/>
              <w:bottom w:w="0" w:type="dxa"/>
              <w:right w:w="105" w:type="dxa"/>
            </w:tcMar>
          </w:tcPr>
          <w:p>
            <w:pPr>
              <w:widowControl/>
              <w:jc w:val="left"/>
              <w:textAlignment w:val="top"/>
              <w:rPr>
                <w:rFonts w:ascii="宋体" w:hAnsi="宋体" w:eastAsia="宋体" w:cs="宋体"/>
                <w:color w:val="auto"/>
                <w:sz w:val="24"/>
              </w:rPr>
            </w:pPr>
            <w:r>
              <w:rPr>
                <w:rFonts w:hint="eastAsia" w:ascii="宋体" w:hAnsi="宋体" w:eastAsia="宋体" w:cs="宋体"/>
                <w:color w:val="auto"/>
                <w:kern w:val="0"/>
                <w:sz w:val="24"/>
              </w:rPr>
              <w:t>电源：AC90-220V/50HZ-60HZ</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功率：≥300W</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控制模式：DMX512/声控/自动运行/主从联机</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控制通道数：≥9CH</w:t>
            </w:r>
            <w:r>
              <w:rPr>
                <w:rFonts w:hint="eastAsia" w:ascii="宋体" w:hAnsi="宋体" w:eastAsia="宋体" w:cs="宋体"/>
                <w:color w:val="auto"/>
                <w:kern w:val="0"/>
                <w:sz w:val="24"/>
              </w:rPr>
              <w:br w:type="textWrapping"/>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20</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3</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LED平板会议灯</w:t>
            </w:r>
          </w:p>
        </w:tc>
        <w:tc>
          <w:tcPr>
            <w:tcW w:w="3827" w:type="dxa"/>
            <w:shd w:val="clear" w:color="auto" w:fill="auto"/>
            <w:tcMar>
              <w:top w:w="0" w:type="dxa"/>
              <w:left w:w="105" w:type="dxa"/>
              <w:bottom w:w="0" w:type="dxa"/>
              <w:right w:w="105" w:type="dxa"/>
            </w:tcMar>
          </w:tcPr>
          <w:p>
            <w:pPr>
              <w:widowControl/>
              <w:jc w:val="left"/>
              <w:textAlignment w:val="top"/>
              <w:rPr>
                <w:rFonts w:ascii="宋体" w:hAnsi="宋体" w:eastAsia="宋体" w:cs="宋体"/>
                <w:color w:val="auto"/>
                <w:sz w:val="24"/>
              </w:rPr>
            </w:pPr>
            <w:r>
              <w:rPr>
                <w:rFonts w:hint="eastAsia" w:ascii="宋体" w:hAnsi="宋体" w:eastAsia="宋体" w:cs="宋体"/>
                <w:color w:val="auto"/>
                <w:kern w:val="0"/>
                <w:sz w:val="24"/>
              </w:rPr>
              <w:t>电源: 110-220V/50HZ-60HZ</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光源: 432X0.5W 5730白光LED贴片灯珠                                色温：3200K或5600K（可选)</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功率: ≥200W</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 xml:space="preserve">控制通道: DMX512 2CH  </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 xml:space="preserve">显色指数：≥92Ra                                                     </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10</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4</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LED染色灯</w:t>
            </w:r>
          </w:p>
        </w:tc>
        <w:tc>
          <w:tcPr>
            <w:tcW w:w="3827" w:type="dxa"/>
            <w:shd w:val="clear" w:color="auto" w:fill="auto"/>
            <w:tcMar>
              <w:top w:w="0" w:type="dxa"/>
              <w:left w:w="105" w:type="dxa"/>
              <w:bottom w:w="0" w:type="dxa"/>
              <w:right w:w="105" w:type="dxa"/>
            </w:tcMar>
          </w:tcPr>
          <w:p>
            <w:pPr>
              <w:widowControl/>
              <w:jc w:val="left"/>
              <w:textAlignment w:val="top"/>
              <w:rPr>
                <w:rFonts w:ascii="宋体" w:hAnsi="宋体" w:eastAsia="宋体" w:cs="宋体"/>
                <w:color w:val="auto"/>
                <w:sz w:val="24"/>
              </w:rPr>
            </w:pPr>
            <w:r>
              <w:rPr>
                <w:rFonts w:hint="eastAsia" w:ascii="宋体" w:hAnsi="宋体" w:eastAsia="宋体" w:cs="宋体"/>
                <w:color w:val="auto"/>
                <w:kern w:val="0"/>
                <w:sz w:val="24"/>
              </w:rPr>
              <w:t>电源：AC90-220V/50HZ-60HZ</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功率：≥300W</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控制模式：DMX512/声控/自动运行/主从联机</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控制通道数：≥9CH</w:t>
            </w:r>
            <w:r>
              <w:rPr>
                <w:rFonts w:hint="eastAsia" w:ascii="宋体" w:hAnsi="宋体" w:eastAsia="宋体" w:cs="宋体"/>
                <w:color w:val="auto"/>
                <w:kern w:val="0"/>
                <w:sz w:val="24"/>
              </w:rPr>
              <w:br w:type="textWrapping"/>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20</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5</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LED平板会议灯</w:t>
            </w:r>
          </w:p>
        </w:tc>
        <w:tc>
          <w:tcPr>
            <w:tcW w:w="3827" w:type="dxa"/>
            <w:shd w:val="clear" w:color="auto" w:fill="auto"/>
            <w:tcMar>
              <w:top w:w="0" w:type="dxa"/>
              <w:left w:w="105" w:type="dxa"/>
              <w:bottom w:w="0" w:type="dxa"/>
              <w:right w:w="105" w:type="dxa"/>
            </w:tcMar>
          </w:tcPr>
          <w:p>
            <w:pPr>
              <w:widowControl/>
              <w:jc w:val="left"/>
              <w:textAlignment w:val="top"/>
              <w:rPr>
                <w:rFonts w:ascii="宋体" w:hAnsi="宋体" w:eastAsia="宋体" w:cs="宋体"/>
                <w:color w:val="auto"/>
                <w:sz w:val="24"/>
              </w:rPr>
            </w:pPr>
            <w:r>
              <w:rPr>
                <w:rFonts w:hint="eastAsia" w:ascii="宋体" w:hAnsi="宋体" w:eastAsia="宋体" w:cs="宋体"/>
                <w:color w:val="auto"/>
                <w:kern w:val="0"/>
                <w:sz w:val="24"/>
              </w:rPr>
              <w:t>电源: 110-220V/50HZ-60HZ</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光源: 432X0.5W 5730白光LED贴片灯珠                                色温：3200K或5600K（可选)</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功率: ≥200W</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 xml:space="preserve">控制通道: DMX512 2CH  </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 xml:space="preserve">显色指数：≥92Ra  </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10</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6</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摇头灯</w:t>
            </w:r>
          </w:p>
        </w:tc>
        <w:tc>
          <w:tcPr>
            <w:tcW w:w="3827" w:type="dxa"/>
            <w:shd w:val="clear" w:color="auto" w:fill="auto"/>
            <w:tcMar>
              <w:top w:w="0" w:type="dxa"/>
              <w:left w:w="105" w:type="dxa"/>
              <w:bottom w:w="0" w:type="dxa"/>
              <w:right w:w="105" w:type="dxa"/>
            </w:tcMar>
          </w:tcPr>
          <w:p>
            <w:pPr>
              <w:widowControl/>
              <w:jc w:val="left"/>
              <w:textAlignment w:val="top"/>
              <w:rPr>
                <w:rFonts w:ascii="宋体" w:hAnsi="宋体" w:eastAsia="宋体" w:cs="宋体"/>
                <w:color w:val="auto"/>
                <w:kern w:val="0"/>
                <w:sz w:val="24"/>
              </w:rPr>
            </w:pPr>
            <w:r>
              <w:rPr>
                <w:rFonts w:hint="eastAsia" w:ascii="宋体" w:hAnsi="宋体" w:eastAsia="宋体" w:cs="宋体"/>
                <w:color w:val="auto"/>
                <w:kern w:val="0"/>
                <w:sz w:val="24"/>
              </w:rPr>
              <w:t xml:space="preserve">总功率：≥600W　                                                    </w:t>
            </w:r>
          </w:p>
          <w:p>
            <w:pPr>
              <w:widowControl/>
              <w:jc w:val="left"/>
              <w:textAlignment w:val="top"/>
              <w:rPr>
                <w:rFonts w:ascii="宋体" w:hAnsi="宋体" w:eastAsia="宋体" w:cs="宋体"/>
                <w:color w:val="auto"/>
                <w:sz w:val="24"/>
              </w:rPr>
            </w:pPr>
            <w:r>
              <w:rPr>
                <w:rFonts w:hint="eastAsia" w:ascii="宋体" w:hAnsi="宋体" w:eastAsia="宋体" w:cs="宋体"/>
                <w:color w:val="auto"/>
                <w:kern w:val="0"/>
                <w:sz w:val="24"/>
              </w:rPr>
              <w:t>灯泡： ≥380W灯泡                                                    色温：8000K　</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通道：≥18个标准DMX控制通道</w:t>
            </w:r>
            <w:r>
              <w:rPr>
                <w:rFonts w:hint="eastAsia" w:ascii="宋体" w:hAnsi="宋体" w:eastAsia="宋体" w:cs="宋体"/>
                <w:color w:val="auto"/>
                <w:kern w:val="0"/>
                <w:sz w:val="24"/>
              </w:rPr>
              <w:br w:type="textWrapping"/>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8</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7</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LED染色灯</w:t>
            </w:r>
          </w:p>
        </w:tc>
        <w:tc>
          <w:tcPr>
            <w:tcW w:w="3827" w:type="dxa"/>
            <w:shd w:val="clear" w:color="auto" w:fill="auto"/>
            <w:tcMar>
              <w:top w:w="0" w:type="dxa"/>
              <w:left w:w="105" w:type="dxa"/>
              <w:bottom w:w="0" w:type="dxa"/>
              <w:right w:w="105" w:type="dxa"/>
            </w:tcMar>
          </w:tcPr>
          <w:p>
            <w:pPr>
              <w:widowControl/>
              <w:jc w:val="left"/>
              <w:textAlignment w:val="top"/>
              <w:rPr>
                <w:rFonts w:ascii="宋体" w:hAnsi="宋体" w:eastAsia="宋体" w:cs="宋体"/>
                <w:color w:val="auto"/>
                <w:sz w:val="24"/>
              </w:rPr>
            </w:pPr>
            <w:r>
              <w:rPr>
                <w:rFonts w:hint="eastAsia" w:ascii="宋体" w:hAnsi="宋体" w:eastAsia="宋体" w:cs="宋体"/>
                <w:color w:val="auto"/>
                <w:kern w:val="0"/>
                <w:sz w:val="24"/>
              </w:rPr>
              <w:t>电源：AC90-220V/50HZ-60HZ</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功率：≥300W</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控制模式：DMX512/声控/自动运行/主从联机</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控制通道数：≥9CH</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20</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8</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LED染色灯</w:t>
            </w:r>
          </w:p>
        </w:tc>
        <w:tc>
          <w:tcPr>
            <w:tcW w:w="3827" w:type="dxa"/>
            <w:shd w:val="clear" w:color="auto" w:fill="auto"/>
            <w:tcMar>
              <w:top w:w="0" w:type="dxa"/>
              <w:left w:w="105" w:type="dxa"/>
              <w:bottom w:w="0" w:type="dxa"/>
              <w:right w:w="105" w:type="dxa"/>
            </w:tcMar>
          </w:tcPr>
          <w:p>
            <w:pPr>
              <w:widowControl/>
              <w:jc w:val="left"/>
              <w:textAlignment w:val="top"/>
              <w:rPr>
                <w:rFonts w:ascii="宋体" w:hAnsi="宋体" w:eastAsia="宋体" w:cs="宋体"/>
                <w:color w:val="auto"/>
                <w:sz w:val="24"/>
              </w:rPr>
            </w:pPr>
            <w:r>
              <w:rPr>
                <w:rFonts w:hint="eastAsia" w:ascii="宋体" w:hAnsi="宋体" w:eastAsia="宋体" w:cs="宋体"/>
                <w:color w:val="auto"/>
                <w:kern w:val="0"/>
                <w:sz w:val="24"/>
              </w:rPr>
              <w:t>电源：AC90-220V/50HZ-60HZ</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功率：≥300W</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控制模式：DMX512/声控/自动运行/主从联机</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控制通道数：≥9CH</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16</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9</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光束灯</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 xml:space="preserve">总功率：≥600W　                                                    </w:t>
            </w:r>
          </w:p>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灯泡：≥ 380W灯泡                                                    色温：8000K　</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通道：≥18个标准DMX控制通道</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10</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10</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追光灯</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 xml:space="preserve">总功率:≥530W   </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 xml:space="preserve">频率:50Hz-60Hz </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 xml:space="preserve">电压:110V-240V                                   </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颜色:5种彩色加白光 红。黄。兰。绿。升温片。</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 xml:space="preserve">光束角度:8-15度                                              </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2</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11</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数字灯光控台</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≥DMX512/1990标准，≥1024个DMX控制通道，两路光电隔离信号输出。</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控制≥120台电脑灯或≥120路调光。</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使用珍珠灯库（R20格式灯库），且控台上可自行编写灯库。</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1</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12</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信号放大器</w:t>
            </w:r>
          </w:p>
        </w:tc>
        <w:tc>
          <w:tcPr>
            <w:tcW w:w="3827" w:type="dxa"/>
            <w:shd w:val="clear" w:color="auto" w:fill="auto"/>
            <w:tcMar>
              <w:top w:w="0" w:type="dxa"/>
              <w:left w:w="105" w:type="dxa"/>
              <w:bottom w:w="0" w:type="dxa"/>
              <w:right w:w="105" w:type="dxa"/>
            </w:tcMar>
          </w:tcPr>
          <w:p>
            <w:pPr>
              <w:widowControl/>
              <w:jc w:val="left"/>
              <w:textAlignment w:val="top"/>
              <w:rPr>
                <w:rFonts w:ascii="宋体" w:hAnsi="宋体" w:eastAsia="宋体" w:cs="宋体"/>
                <w:color w:val="auto"/>
                <w:sz w:val="24"/>
              </w:rPr>
            </w:pPr>
            <w:r>
              <w:rPr>
                <w:rFonts w:hint="eastAsia" w:ascii="宋体" w:hAnsi="宋体" w:eastAsia="宋体" w:cs="宋体"/>
                <w:color w:val="auto"/>
                <w:kern w:val="0"/>
                <w:sz w:val="24"/>
              </w:rPr>
              <w:t>≥8路DMX信号分配器</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采用抗高压保护措施</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输入与输出信号(包括信号地线)完全隔离</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宽电压输入,适应不同国家的电压输入</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可匹配3针的卡侬插座（可选5芯）</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各路均有独立的放大器及信号指示灯</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2</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13</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直通箱</w:t>
            </w:r>
          </w:p>
        </w:tc>
        <w:tc>
          <w:tcPr>
            <w:tcW w:w="3827" w:type="dxa"/>
            <w:shd w:val="clear" w:color="auto" w:fill="auto"/>
            <w:tcMar>
              <w:top w:w="0" w:type="dxa"/>
              <w:left w:w="105" w:type="dxa"/>
              <w:bottom w:w="0" w:type="dxa"/>
              <w:right w:w="105" w:type="dxa"/>
            </w:tcMar>
          </w:tcPr>
          <w:p>
            <w:pPr>
              <w:widowControl/>
              <w:jc w:val="left"/>
              <w:textAlignment w:val="top"/>
              <w:rPr>
                <w:rFonts w:ascii="宋体" w:hAnsi="宋体" w:eastAsia="宋体" w:cs="宋体"/>
                <w:color w:val="auto"/>
                <w:sz w:val="24"/>
              </w:rPr>
            </w:pPr>
            <w:r>
              <w:rPr>
                <w:rFonts w:hint="eastAsia" w:ascii="宋体" w:hAnsi="宋体" w:eastAsia="宋体" w:cs="宋体"/>
                <w:color w:val="auto"/>
                <w:kern w:val="0"/>
                <w:sz w:val="24"/>
              </w:rPr>
              <w:t>供电：三相五线制AC380V±10％，频率50Hz±5％.</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 xml:space="preserve"> 额定功率：≥12路×4KW；</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 xml:space="preserve"> 每路20A空开，过载与短路双重保护高分断空气开关.</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2</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14</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晨雾烟机</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 xml:space="preserve">电压：AC220V 50Hz/ 110V 60Hz               </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 xml:space="preserve">功率：≥2000W                                            </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 xml:space="preserve">烟油容量：≥3.5L                                                                               烟雾覆盖量：≥3500cu.ft/min                        </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 xml:space="preserve">控制器：DMX512控制、遥控控制                      </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 xml:space="preserve">DMX通道：≥2                                            </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 xml:space="preserve">预热时间：≥1分钟                                     </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 xml:space="preserve">耗油量：≥99min/L                                                                                 </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2</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15</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大泡泡机</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 xml:space="preserve">电压：AAC220V 50Hz/ 110V 60Hz                                       功率：≥300W                                                     </w:t>
            </w:r>
          </w:p>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 xml:space="preserve">泡泡油容量：≥2.5L                                           </w:t>
            </w:r>
          </w:p>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泡泡覆盖面积：≥200平方米                                                 控制方式：遥控</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2</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16</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烟油</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5L，专用于烟机，地烟机</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桶</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4</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17</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泡泡油</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专用，无异味。</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桶</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4</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18</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灯钩</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金属材质、安全牢固</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132</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19</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保险绳</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表面包胶，铝固定圈</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132</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20</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三芯电源线</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RVV3*2.5平方护套线/电源线</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米</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800</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21</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音频信号线缆</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128编双芯带屏蔽音频线缆，无氧铜</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米</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700</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22</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金属桥架</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国标200㎜*100㎜*0.15㎜含安装附材</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米</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30</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23</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卡侬公头</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卡侬公话筒音频信号插头</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50</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24</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卡侬母头</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卡侬母话筒音频信号插头</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50</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9240" w:type="dxa"/>
            <w:gridSpan w:val="6"/>
            <w:shd w:val="clear" w:color="auto" w:fill="auto"/>
            <w:tcMar>
              <w:top w:w="0" w:type="dxa"/>
              <w:left w:w="105" w:type="dxa"/>
              <w:bottom w:w="0" w:type="dxa"/>
              <w:right w:w="105" w:type="dxa"/>
            </w:tcMar>
            <w:vAlign w:val="center"/>
          </w:tcPr>
          <w:p>
            <w:pPr>
              <w:snapToGrid w:val="0"/>
              <w:spacing w:before="156" w:beforeLines="50"/>
              <w:ind w:left="1" w:leftChars="-2" w:hanging="5" w:hangingChars="2"/>
              <w:jc w:val="center"/>
              <w:rPr>
                <w:rFonts w:ascii="宋体" w:hAnsi="宋体" w:eastAsia="宋体" w:cs="宋体"/>
                <w:color w:val="auto"/>
                <w:sz w:val="24"/>
                <w:szCs w:val="24"/>
              </w:rPr>
            </w:pPr>
            <w:r>
              <w:rPr>
                <w:rFonts w:hint="eastAsia" w:ascii="宋体" w:hAnsi="宋体" w:eastAsia="宋体" w:cs="宋体"/>
                <w:b/>
                <w:bCs/>
                <w:color w:val="auto"/>
                <w:kern w:val="0"/>
                <w:sz w:val="24"/>
              </w:rPr>
              <w:t>舞台机械及幕布系统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1</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变频调速大幕机</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首车牵引对开速度：v=0.1-0.8m/s；变频调速;</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对开拉力：≥500N；</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电机功率：≥1.1KW；</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最大悬吊重量≤400Kg；</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运行噪音：≤50dB</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保护装置：水平限位开关、极限开关、</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安全措施：左右及中间限位。配置铝合金轨道。</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套</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1</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2</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灯光吊杆机</w:t>
            </w:r>
            <w:r>
              <w:rPr>
                <w:rFonts w:hint="eastAsia" w:ascii="宋体" w:hAnsi="宋体" w:eastAsia="宋体" w:cs="宋体"/>
                <w:color w:val="auto"/>
                <w:kern w:val="0"/>
                <w:sz w:val="24"/>
              </w:rPr>
              <w:br w:type="textWrapping"/>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提升载荷：≥600Kg</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 xml:space="preserve">升降速度：≤0.25m/s </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升降行程：≥9.0m</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定位精度：±5㎜</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吊点数：5吊点</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运行噪音：≤50dB</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吊杆机总成：钢丝绳多层缠绕吊杆机。</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道</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4</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3</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匀速底幕机</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首车牵引对开速度：v=0.44m/s；</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对开拉力：≥400N；</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电机功率：≥0.75Kw；</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最大悬吊重量≤400Kg；</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运行噪音：≤50dB</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保护装置：水平限位开关、极限开关、</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安全措施：左右及中间限位。</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套</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1</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4</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灯杆杆体</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 xml:space="preserve">三角形灯杆，钢制,现场焊制 </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道</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4</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5</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侧光架（固定安装）</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钢制,现场焊制“目”字形吊架 高2.2m*宽4.2m</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套</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2</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6</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对开幕轨道</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钢制,现场焊制 单根轨道长度14.5m,重叠2.0m.每道总长27m</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套</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2</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7</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电源线</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国标RVV-4*2.5mm²</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米</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500</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8</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控制线</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国标RVV-3*0.75mm</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米</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500</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9</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安装辅材</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各类五金、油漆、焊条、易耗品</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项</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1</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10</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灯光收线框</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现场定制焊接</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套</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4</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11</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金属桥架</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国标200㎜*100㎜*0.15㎜含安装附材</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米</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40</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12</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智能控制柜</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前面板配置1个手动应急开关；</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前面板内嵌7.0英寸触摸控制屏；</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提供1组外接远程控制接口；</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内置1个检修插座及独立断路器；</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内置16个交流接触器 ；</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内置2个断路器；</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配置零地排接口。</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套</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1</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13</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舞台承重钢构基础架</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单层栅顶，单层设备安装层（33.4m*6.5m）</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满足现场使用要求。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m2</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217.1</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31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14</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面光基础架</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独立式钢结构基础架，采用6吊点支撑。现场焊接。</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套</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1</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15</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 xml:space="preserve">会标幕      </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 xml:space="preserve">规格：27m×1.2m×3×1    </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材质：枣红色丝绒阻燃等级B1级，</w:t>
            </w:r>
          </w:p>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折比：3：1</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97.2</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16</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会标幕衬里</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 xml:space="preserve">规格：27m×1.2m×1  </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 xml:space="preserve">材质：枣红色舞美段阻燃等级B1级   </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折比：3：1</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32.4</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17</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大幕</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kern w:val="0"/>
                <w:sz w:val="24"/>
              </w:rPr>
            </w:pPr>
            <w:r>
              <w:rPr>
                <w:rFonts w:hint="eastAsia" w:ascii="宋体" w:hAnsi="宋体" w:eastAsia="宋体" w:cs="宋体"/>
                <w:color w:val="auto"/>
                <w:kern w:val="0"/>
                <w:sz w:val="24"/>
              </w:rPr>
              <w:t xml:space="preserve">规格：14.5m×5.5m×3×2          </w:t>
            </w:r>
          </w:p>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 xml:space="preserve">材质：枣红色丝绒阻燃等级B1级           </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折比：3：1</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478.5</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18</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大幕衬里</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 xml:space="preserve">规格：14.5m×5.5m×2         </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 xml:space="preserve">材质：枣红色舞美段阻燃等级B1级      </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 xml:space="preserve">折比：3：1 </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159.5</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19</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 xml:space="preserve">横条幕   </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 xml:space="preserve">规格：27m×1.5m×3×2   </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 xml:space="preserve">材质：墨绿色丝绒阻燃等级B1级                 </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 xml:space="preserve">折比：3：1 </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243</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20</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 xml:space="preserve">竖条幕   </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 xml:space="preserve">规格：3m×5.5m×3×4        </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 xml:space="preserve">材质：墨绿色丝绒阻燃等级B1级                 </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 xml:space="preserve">折比：3：1  </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198</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5" w:hRule="atLeast"/>
        </w:trPr>
        <w:tc>
          <w:tcPr>
            <w:tcW w:w="642" w:type="dxa"/>
            <w:shd w:val="clear" w:color="auto" w:fill="auto"/>
            <w:tcMar>
              <w:top w:w="0" w:type="dxa"/>
              <w:left w:w="105" w:type="dxa"/>
              <w:bottom w:w="0" w:type="dxa"/>
              <w:right w:w="105" w:type="dxa"/>
            </w:tcMar>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21</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底幕</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rPr>
            </w:pPr>
            <w:r>
              <w:rPr>
                <w:rFonts w:hint="eastAsia" w:ascii="宋体" w:hAnsi="宋体" w:eastAsia="宋体" w:cs="宋体"/>
                <w:color w:val="auto"/>
                <w:kern w:val="0"/>
                <w:sz w:val="24"/>
              </w:rPr>
              <w:t xml:space="preserve">规格：27m×5.5m×3×2         </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 xml:space="preserve">材质：金黄色丝绒阻燃等级B1级             </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 xml:space="preserve">折比：3：1 </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rPr>
            </w:pPr>
            <w:r>
              <w:rPr>
                <w:rFonts w:hint="eastAsia" w:ascii="宋体" w:hAnsi="宋体" w:eastAsia="宋体" w:cs="宋体"/>
                <w:color w:val="auto"/>
                <w:kern w:val="0"/>
                <w:sz w:val="24"/>
              </w:rPr>
              <w:t>478.5</w:t>
            </w:r>
          </w:p>
        </w:tc>
        <w:tc>
          <w:tcPr>
            <w:tcW w:w="1366" w:type="dxa"/>
            <w:shd w:val="clear" w:color="auto" w:fill="auto"/>
            <w:vAlign w:val="center"/>
          </w:tcPr>
          <w:p>
            <w:pPr>
              <w:snapToGrid w:val="0"/>
              <w:spacing w:before="156"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bl>
    <w:p>
      <w:pPr>
        <w:spacing w:line="360" w:lineRule="auto"/>
        <w:ind w:firstLine="482" w:firstLineChars="200"/>
        <w:contextualSpacing/>
        <w:rPr>
          <w:rFonts w:hint="eastAsia" w:cs="微软雅黑" w:asciiTheme="minorEastAsia" w:hAnsiTheme="minorEastAsia" w:eastAsiaTheme="minorEastAsia"/>
          <w:b/>
          <w:color w:val="auto"/>
          <w:sz w:val="24"/>
          <w:szCs w:val="24"/>
          <w:lang w:eastAsia="zh-CN"/>
        </w:rPr>
      </w:pPr>
      <w:r>
        <w:rPr>
          <w:rFonts w:hint="eastAsia" w:cs="微软雅黑" w:asciiTheme="minorEastAsia" w:hAnsiTheme="minorEastAsia"/>
          <w:b/>
          <w:color w:val="auto"/>
          <w:sz w:val="24"/>
          <w:szCs w:val="24"/>
        </w:rPr>
        <w:t>本项目核心产品为：LED大屏显示系统序号1、序号14</w:t>
      </w:r>
      <w:r>
        <w:rPr>
          <w:rFonts w:hint="eastAsia" w:cs="微软雅黑" w:asciiTheme="minorEastAsia" w:hAnsiTheme="minorEastAsia"/>
          <w:b/>
          <w:color w:val="auto"/>
          <w:sz w:val="24"/>
          <w:szCs w:val="24"/>
          <w:lang w:eastAsia="zh-CN"/>
        </w:rPr>
        <w:t>。</w:t>
      </w:r>
    </w:p>
    <w:p>
      <w:pPr>
        <w:spacing w:line="360" w:lineRule="auto"/>
        <w:ind w:firstLine="482" w:firstLineChars="200"/>
        <w:contextualSpacing/>
        <w:rPr>
          <w:rFonts w:cs="微软雅黑" w:asciiTheme="minorEastAsia" w:hAnsiTheme="minorEastAsia"/>
          <w:b/>
          <w:color w:val="auto"/>
          <w:sz w:val="24"/>
          <w:szCs w:val="24"/>
        </w:rPr>
      </w:pPr>
      <w:r>
        <w:rPr>
          <w:rFonts w:hint="eastAsia" w:cs="微软雅黑" w:asciiTheme="minorEastAsia" w:hAnsiTheme="minorEastAsia"/>
          <w:b/>
          <w:color w:val="auto"/>
          <w:sz w:val="24"/>
          <w:szCs w:val="24"/>
        </w:rPr>
        <w:t>本采购清单中所列技术规格或主要参数为最低要求，不允许负偏离，否则将承担其投标被视为非实质性响应投标的风险。</w:t>
      </w:r>
    </w:p>
    <w:p>
      <w:pPr>
        <w:wordWrap w:val="0"/>
        <w:topLinePunct/>
        <w:spacing w:line="360" w:lineRule="auto"/>
        <w:ind w:firstLine="482" w:firstLineChars="200"/>
        <w:rPr>
          <w:rFonts w:ascii="宋体" w:cs="宋体"/>
          <w:b/>
          <w:color w:val="auto"/>
          <w:sz w:val="24"/>
          <w:lang w:val="zh-CN"/>
        </w:rPr>
      </w:pPr>
      <w:r>
        <w:rPr>
          <w:rFonts w:hint="eastAsia" w:ascii="宋体" w:cs="宋体"/>
          <w:b/>
          <w:color w:val="auto"/>
          <w:sz w:val="24"/>
          <w:lang w:val="zh-CN"/>
        </w:rPr>
        <w:t>三、商务要求</w:t>
      </w:r>
    </w:p>
    <w:p>
      <w:pPr>
        <w:wordWrap w:val="0"/>
        <w:topLinePunct/>
        <w:spacing w:line="360" w:lineRule="auto"/>
        <w:ind w:firstLine="480" w:firstLineChars="200"/>
        <w:rPr>
          <w:rFonts w:hint="eastAsia" w:ascii="宋体" w:cs="宋体"/>
          <w:color w:val="auto"/>
          <w:sz w:val="24"/>
          <w:lang w:val="zh-CN"/>
        </w:rPr>
      </w:pPr>
      <w:r>
        <w:rPr>
          <w:rFonts w:hint="eastAsia" w:ascii="宋体" w:cs="宋体"/>
          <w:color w:val="auto"/>
          <w:sz w:val="24"/>
          <w:lang w:val="zh-CN"/>
        </w:rPr>
        <w:t>1、交付（实施）时间（期限）：自合同生效之日起60天。</w:t>
      </w:r>
    </w:p>
    <w:p>
      <w:pPr>
        <w:wordWrap w:val="0"/>
        <w:topLinePunct/>
        <w:spacing w:line="360" w:lineRule="auto"/>
        <w:ind w:firstLine="480" w:firstLineChars="200"/>
        <w:rPr>
          <w:rFonts w:hint="eastAsia" w:ascii="宋体" w:cs="宋体"/>
          <w:color w:val="auto"/>
          <w:sz w:val="24"/>
          <w:lang w:val="zh-CN"/>
        </w:rPr>
      </w:pPr>
      <w:r>
        <w:rPr>
          <w:rFonts w:hint="eastAsia" w:ascii="宋体" w:cs="宋体"/>
          <w:color w:val="auto"/>
          <w:sz w:val="24"/>
          <w:lang w:val="zh-CN"/>
        </w:rPr>
        <w:t>2、交付（实施）地点（范围）：许昌市职教园区</w:t>
      </w:r>
    </w:p>
    <w:p>
      <w:pPr>
        <w:wordWrap w:val="0"/>
        <w:topLinePunct/>
        <w:spacing w:line="360" w:lineRule="auto"/>
        <w:ind w:firstLine="480" w:firstLineChars="200"/>
        <w:rPr>
          <w:rFonts w:hint="eastAsia" w:ascii="宋体" w:cs="宋体"/>
          <w:color w:val="auto"/>
          <w:sz w:val="24"/>
          <w:lang w:val="zh-CN"/>
        </w:rPr>
      </w:pPr>
      <w:r>
        <w:rPr>
          <w:rFonts w:hint="eastAsia" w:ascii="宋体" w:cs="宋体"/>
          <w:color w:val="auto"/>
          <w:sz w:val="24"/>
          <w:lang w:val="zh-CN"/>
        </w:rPr>
        <w:t>3、付款条件：</w:t>
      </w:r>
    </w:p>
    <w:p>
      <w:pPr>
        <w:wordWrap w:val="0"/>
        <w:topLinePunct/>
        <w:spacing w:line="360" w:lineRule="auto"/>
        <w:ind w:firstLine="480" w:firstLineChars="200"/>
        <w:rPr>
          <w:rFonts w:hint="eastAsia" w:ascii="宋体" w:cs="宋体"/>
          <w:color w:val="auto"/>
          <w:sz w:val="24"/>
          <w:lang w:val="zh-CN"/>
        </w:rPr>
      </w:pPr>
      <w:r>
        <w:rPr>
          <w:rFonts w:hint="eastAsia" w:ascii="宋体" w:cs="宋体"/>
          <w:color w:val="auto"/>
          <w:sz w:val="24"/>
          <w:lang w:val="zh-CN"/>
        </w:rPr>
        <w:t>（1）支付方式：银行转账</w:t>
      </w:r>
    </w:p>
    <w:p>
      <w:pPr>
        <w:wordWrap w:val="0"/>
        <w:topLinePunct/>
        <w:spacing w:line="360" w:lineRule="auto"/>
        <w:ind w:firstLine="480" w:firstLineChars="200"/>
        <w:rPr>
          <w:rFonts w:hint="eastAsia" w:ascii="宋体" w:cs="宋体"/>
          <w:color w:val="auto"/>
          <w:sz w:val="24"/>
          <w:lang w:val="zh-CN"/>
        </w:rPr>
      </w:pPr>
      <w:r>
        <w:rPr>
          <w:rFonts w:hint="eastAsia" w:ascii="宋体" w:cs="宋体"/>
          <w:color w:val="auto"/>
          <w:sz w:val="24"/>
          <w:lang w:val="zh-CN"/>
        </w:rPr>
        <w:t>（2）支付进度：经验收合格采购人收到发票后5个工作日内一次付清。</w:t>
      </w:r>
    </w:p>
    <w:p>
      <w:pPr>
        <w:wordWrap w:val="0"/>
        <w:topLinePunct/>
        <w:spacing w:line="360" w:lineRule="auto"/>
        <w:ind w:firstLine="480" w:firstLineChars="200"/>
        <w:rPr>
          <w:rFonts w:hint="eastAsia" w:ascii="宋体" w:cs="宋体"/>
          <w:color w:val="auto"/>
          <w:sz w:val="24"/>
          <w:lang w:val="zh-CN"/>
        </w:rPr>
      </w:pPr>
      <w:r>
        <w:rPr>
          <w:rFonts w:hint="eastAsia" w:ascii="宋体" w:cs="宋体"/>
          <w:color w:val="auto"/>
          <w:sz w:val="24"/>
          <w:lang w:val="zh-CN"/>
        </w:rPr>
        <w:t>4、包装和运输</w:t>
      </w:r>
    </w:p>
    <w:p>
      <w:pPr>
        <w:wordWrap w:val="0"/>
        <w:topLinePunct/>
        <w:spacing w:line="360" w:lineRule="auto"/>
        <w:ind w:firstLine="480" w:firstLineChars="200"/>
        <w:rPr>
          <w:rFonts w:hint="eastAsia" w:ascii="宋体" w:cs="宋体"/>
          <w:color w:val="auto"/>
          <w:sz w:val="24"/>
          <w:lang w:val="zh-CN"/>
        </w:rPr>
      </w:pPr>
      <w:r>
        <w:rPr>
          <w:rFonts w:hint="eastAsia" w:ascii="宋体" w:cs="宋体"/>
          <w:color w:val="auto"/>
          <w:sz w:val="24"/>
          <w:lang w:val="zh-CN"/>
        </w:rPr>
        <w:t>涉及商品包装和快递包装的项目，投标人提供产品及相关快递服务的具体包装要求和履约验收相关条款应符合财政部办公厅生态环境部办公厅国家邮政局办公室关于印发《商品包装政府采购需求标准（试行）》、《快递包装政府采购需求标准（试行）》的通知（财办库〔2020〕123号）的规定。</w:t>
      </w:r>
    </w:p>
    <w:p>
      <w:pPr>
        <w:wordWrap w:val="0"/>
        <w:topLinePunct/>
        <w:spacing w:line="360" w:lineRule="auto"/>
        <w:ind w:firstLine="480" w:firstLineChars="200"/>
        <w:rPr>
          <w:rFonts w:hint="eastAsia" w:ascii="宋体" w:cs="宋体"/>
          <w:color w:val="auto"/>
          <w:sz w:val="24"/>
          <w:lang w:val="zh-CN"/>
        </w:rPr>
      </w:pPr>
      <w:r>
        <w:rPr>
          <w:rFonts w:hint="eastAsia" w:ascii="宋体" w:cs="宋体"/>
          <w:color w:val="auto"/>
          <w:sz w:val="24"/>
          <w:lang w:val="zh-CN"/>
        </w:rPr>
        <w:t>5、售后服务</w:t>
      </w:r>
    </w:p>
    <w:p>
      <w:pPr>
        <w:wordWrap w:val="0"/>
        <w:topLinePunct/>
        <w:spacing w:line="360" w:lineRule="auto"/>
        <w:ind w:firstLine="480" w:firstLineChars="200"/>
        <w:rPr>
          <w:rFonts w:hint="eastAsia" w:ascii="宋体" w:cs="宋体"/>
          <w:color w:val="auto"/>
          <w:sz w:val="24"/>
          <w:lang w:val="zh-CN"/>
        </w:rPr>
      </w:pPr>
      <w:r>
        <w:rPr>
          <w:rFonts w:hint="eastAsia" w:ascii="宋体" w:cs="宋体"/>
          <w:color w:val="auto"/>
          <w:sz w:val="24"/>
          <w:lang w:val="zh-CN" w:eastAsia="zh-CN"/>
        </w:rPr>
        <w:t>（</w:t>
      </w:r>
      <w:r>
        <w:rPr>
          <w:rFonts w:hint="eastAsia" w:ascii="宋体" w:cs="宋体"/>
          <w:color w:val="auto"/>
          <w:sz w:val="24"/>
          <w:lang w:val="en-US" w:eastAsia="zh-CN"/>
        </w:rPr>
        <w:t>1</w:t>
      </w:r>
      <w:r>
        <w:rPr>
          <w:rFonts w:hint="eastAsia" w:ascii="宋体" w:cs="宋体"/>
          <w:color w:val="auto"/>
          <w:sz w:val="24"/>
          <w:lang w:val="zh-CN" w:eastAsia="zh-CN"/>
        </w:rPr>
        <w:t>）</w:t>
      </w:r>
      <w:r>
        <w:rPr>
          <w:rFonts w:hint="eastAsia" w:ascii="宋体" w:cs="宋体"/>
          <w:color w:val="auto"/>
          <w:sz w:val="24"/>
          <w:lang w:val="zh-CN"/>
        </w:rPr>
        <w:t>投标人所投</w:t>
      </w:r>
      <w:r>
        <w:rPr>
          <w:rFonts w:hint="eastAsia" w:ascii="宋体" w:cs="宋体"/>
          <w:color w:val="auto"/>
          <w:sz w:val="24"/>
          <w:lang w:val="en-US" w:eastAsia="zh-CN"/>
        </w:rPr>
        <w:t>全部</w:t>
      </w:r>
      <w:r>
        <w:rPr>
          <w:rFonts w:hint="eastAsia" w:ascii="宋体" w:cs="宋体"/>
          <w:color w:val="auto"/>
          <w:sz w:val="24"/>
          <w:lang w:val="zh-CN"/>
        </w:rPr>
        <w:t>产品免费质保期为1年（从验收合格之日起计算）并提供终身免费技术支持。保修期内，非人为原因造成的设备故障，投标人须免费维修或更换设备或部件，直至恢复设备正常性能，此间发生的一切费用由中标人自行承担。</w:t>
      </w:r>
    </w:p>
    <w:p>
      <w:pPr>
        <w:wordWrap w:val="0"/>
        <w:topLinePunct/>
        <w:spacing w:line="360" w:lineRule="auto"/>
        <w:ind w:firstLine="480" w:firstLineChars="200"/>
        <w:rPr>
          <w:rFonts w:hint="eastAsia" w:ascii="宋体" w:cs="宋体"/>
          <w:color w:val="auto"/>
          <w:sz w:val="24"/>
          <w:lang w:val="zh-CN"/>
        </w:rPr>
      </w:pPr>
      <w:r>
        <w:rPr>
          <w:rFonts w:hint="eastAsia" w:ascii="宋体" w:cs="宋体"/>
          <w:color w:val="auto"/>
          <w:sz w:val="24"/>
          <w:lang w:val="zh-CN"/>
        </w:rPr>
        <w:t>（</w:t>
      </w:r>
      <w:r>
        <w:rPr>
          <w:rFonts w:hint="eastAsia" w:ascii="宋体" w:cs="宋体"/>
          <w:color w:val="auto"/>
          <w:sz w:val="24"/>
          <w:lang w:val="en-US" w:eastAsia="zh-CN"/>
        </w:rPr>
        <w:t>2</w:t>
      </w:r>
      <w:r>
        <w:rPr>
          <w:rFonts w:hint="eastAsia" w:ascii="宋体" w:cs="宋体"/>
          <w:color w:val="auto"/>
          <w:sz w:val="24"/>
          <w:lang w:val="zh-CN"/>
        </w:rPr>
        <w:t>）投标人须明确维修地点、负责人、联系人和联系电话。</w:t>
      </w:r>
    </w:p>
    <w:p>
      <w:pPr>
        <w:wordWrap w:val="0"/>
        <w:topLinePunct/>
        <w:spacing w:line="360" w:lineRule="auto"/>
        <w:ind w:firstLine="480" w:firstLineChars="200"/>
        <w:rPr>
          <w:rFonts w:hint="eastAsia" w:ascii="宋体" w:cs="宋体"/>
          <w:color w:val="auto"/>
          <w:sz w:val="24"/>
          <w:lang w:val="zh-CN"/>
        </w:rPr>
      </w:pPr>
      <w:r>
        <w:rPr>
          <w:rFonts w:hint="eastAsia" w:ascii="宋体" w:cs="宋体"/>
          <w:color w:val="auto"/>
          <w:sz w:val="24"/>
          <w:lang w:val="zh-CN" w:eastAsia="zh-CN"/>
        </w:rPr>
        <w:t>（</w:t>
      </w:r>
      <w:r>
        <w:rPr>
          <w:rFonts w:hint="eastAsia" w:ascii="宋体" w:cs="宋体"/>
          <w:color w:val="auto"/>
          <w:sz w:val="24"/>
          <w:lang w:val="en-US" w:eastAsia="zh-CN"/>
        </w:rPr>
        <w:t>3</w:t>
      </w:r>
      <w:r>
        <w:rPr>
          <w:rFonts w:hint="eastAsia" w:ascii="宋体" w:cs="宋体"/>
          <w:color w:val="auto"/>
          <w:sz w:val="24"/>
          <w:lang w:val="zh-CN" w:eastAsia="zh-CN"/>
        </w:rPr>
        <w:t>）</w:t>
      </w:r>
      <w:r>
        <w:rPr>
          <w:rFonts w:hint="eastAsia" w:ascii="宋体" w:cs="宋体"/>
          <w:color w:val="auto"/>
          <w:sz w:val="24"/>
          <w:lang w:val="zh-CN"/>
        </w:rPr>
        <w:t>中标人免费负责设备的安装及调试。</w:t>
      </w:r>
    </w:p>
    <w:p>
      <w:pPr>
        <w:wordWrap w:val="0"/>
        <w:topLinePunct/>
        <w:spacing w:line="360" w:lineRule="auto"/>
        <w:ind w:firstLine="480" w:firstLineChars="200"/>
        <w:rPr>
          <w:rFonts w:hint="default" w:ascii="宋体" w:cs="宋体"/>
          <w:color w:val="auto"/>
          <w:sz w:val="24"/>
          <w:lang w:val="en-US" w:eastAsia="zh-CN"/>
        </w:rPr>
      </w:pPr>
      <w:r>
        <w:rPr>
          <w:rFonts w:hint="eastAsia" w:ascii="宋体" w:cs="宋体"/>
          <w:color w:val="auto"/>
          <w:sz w:val="24"/>
          <w:lang w:val="en-US" w:eastAsia="zh-CN"/>
        </w:rPr>
        <w:t>（4）免费质保期内，每年不低于2次培训，一次不少于1个工作日，负责培训的授课老师不少于2人。</w:t>
      </w:r>
    </w:p>
    <w:p>
      <w:pPr>
        <w:wordWrap w:val="0"/>
        <w:topLinePunct/>
        <w:spacing w:line="360" w:lineRule="auto"/>
        <w:ind w:firstLine="480" w:firstLineChars="200"/>
        <w:rPr>
          <w:rFonts w:hint="eastAsia" w:ascii="宋体" w:cs="宋体"/>
          <w:color w:val="auto"/>
          <w:sz w:val="24"/>
          <w:lang w:val="zh-CN"/>
        </w:rPr>
      </w:pPr>
      <w:r>
        <w:rPr>
          <w:rFonts w:hint="eastAsia" w:ascii="宋体" w:cs="宋体"/>
          <w:color w:val="auto"/>
          <w:sz w:val="24"/>
          <w:lang w:val="zh-CN"/>
        </w:rPr>
        <w:t>6、保险：中标人在项目实施过程中直至验收之前所发生的货物保险和人员保险均由中标人承担。</w:t>
      </w:r>
    </w:p>
    <w:p>
      <w:pPr>
        <w:wordWrap w:val="0"/>
        <w:topLinePunct/>
        <w:spacing w:line="360" w:lineRule="auto"/>
        <w:ind w:firstLine="482" w:firstLineChars="200"/>
        <w:rPr>
          <w:rFonts w:ascii="宋体" w:cs="宋体"/>
          <w:b/>
          <w:color w:val="auto"/>
          <w:sz w:val="24"/>
          <w:lang w:val="zh-CN"/>
        </w:rPr>
      </w:pPr>
      <w:r>
        <w:rPr>
          <w:rFonts w:hint="eastAsia" w:ascii="宋体" w:cs="宋体"/>
          <w:b/>
          <w:color w:val="auto"/>
          <w:sz w:val="24"/>
          <w:lang w:val="en-US" w:eastAsia="zh-CN"/>
        </w:rPr>
        <w:t>四</w:t>
      </w:r>
      <w:r>
        <w:rPr>
          <w:rFonts w:hint="eastAsia" w:ascii="宋体" w:cs="宋体"/>
          <w:b/>
          <w:color w:val="auto"/>
          <w:sz w:val="24"/>
          <w:lang w:val="zh-CN"/>
        </w:rPr>
        <w:t>、验收标准</w:t>
      </w:r>
    </w:p>
    <w:p>
      <w:pPr>
        <w:wordWrap w:val="0"/>
        <w:topLinePunct/>
        <w:spacing w:line="360" w:lineRule="auto"/>
        <w:ind w:firstLine="480" w:firstLineChars="200"/>
        <w:rPr>
          <w:rFonts w:ascii="宋体" w:cs="宋体"/>
          <w:color w:val="auto"/>
          <w:sz w:val="24"/>
          <w:lang w:val="zh-CN"/>
        </w:rPr>
      </w:pPr>
      <w:r>
        <w:rPr>
          <w:rFonts w:hint="eastAsia" w:ascii="宋体" w:cs="宋体"/>
          <w:color w:val="auto"/>
          <w:sz w:val="24"/>
          <w:lang w:val="zh-CN"/>
        </w:rPr>
        <w:t>1、采购人在收到供应商项目验收建议之日起7个工作日内，由采购人成立验收小组,按照采购合同的约定对中标人履约情况进行实质性验收。</w:t>
      </w:r>
      <w:r>
        <w:rPr>
          <w:rFonts w:ascii="宋体" w:cs="宋体"/>
          <w:color w:val="auto"/>
          <w:sz w:val="24"/>
          <w:lang w:val="zh-CN"/>
        </w:rPr>
        <w:t>验收时,按照采购合同的约定对每一项技术、服务、安全标准的履约情况进行确认。验收结束后,出具验收书,列明各项标准的验收情况及项目总体评价,由验收双方共同签署。</w:t>
      </w:r>
    </w:p>
    <w:p>
      <w:pPr>
        <w:wordWrap w:val="0"/>
        <w:topLinePunct/>
        <w:spacing w:line="360" w:lineRule="auto"/>
        <w:ind w:firstLine="480" w:firstLineChars="200"/>
        <w:rPr>
          <w:rFonts w:ascii="宋体" w:cs="宋体"/>
          <w:color w:val="auto"/>
          <w:sz w:val="24"/>
          <w:lang w:val="zh-CN"/>
        </w:rPr>
      </w:pPr>
      <w:r>
        <w:rPr>
          <w:rFonts w:hint="eastAsia" w:ascii="宋体" w:cs="宋体"/>
          <w:color w:val="auto"/>
          <w:sz w:val="24"/>
          <w:lang w:val="zh-CN"/>
        </w:rPr>
        <w:t>2、按照招标文件要求、投标文件响应和承诺验收。</w:t>
      </w:r>
    </w:p>
    <w:p>
      <w:pPr>
        <w:wordWrap w:val="0"/>
        <w:topLinePunct/>
        <w:spacing w:line="360" w:lineRule="auto"/>
        <w:ind w:firstLine="482" w:firstLineChars="200"/>
        <w:rPr>
          <w:rFonts w:ascii="宋体" w:cs="宋体"/>
          <w:b/>
          <w:color w:val="auto"/>
          <w:sz w:val="24"/>
          <w:lang w:val="zh-CN"/>
        </w:rPr>
      </w:pPr>
      <w:r>
        <w:rPr>
          <w:rFonts w:hint="eastAsia" w:ascii="宋体" w:cs="宋体"/>
          <w:b/>
          <w:color w:val="auto"/>
          <w:sz w:val="24"/>
          <w:lang w:val="en-US" w:eastAsia="zh-CN"/>
        </w:rPr>
        <w:t>五</w:t>
      </w:r>
      <w:r>
        <w:rPr>
          <w:rFonts w:hint="eastAsia" w:ascii="宋体" w:cs="宋体"/>
          <w:b/>
          <w:color w:val="auto"/>
          <w:sz w:val="24"/>
          <w:lang w:val="zh-CN"/>
        </w:rPr>
        <w:t>、采购标的的其他技术、服务等要求</w:t>
      </w:r>
    </w:p>
    <w:p>
      <w:pPr>
        <w:wordWrap w:val="0"/>
        <w:topLinePunct/>
        <w:spacing w:line="360" w:lineRule="auto"/>
        <w:ind w:firstLine="480" w:firstLineChars="200"/>
        <w:rPr>
          <w:rFonts w:ascii="宋体" w:cs="宋体"/>
          <w:color w:val="auto"/>
          <w:sz w:val="24"/>
          <w:lang w:val="zh-CN"/>
        </w:rPr>
      </w:pPr>
      <w:r>
        <w:rPr>
          <w:rFonts w:hint="eastAsia" w:ascii="宋体" w:cs="宋体"/>
          <w:color w:val="auto"/>
          <w:sz w:val="24"/>
          <w:lang w:val="zh-CN"/>
        </w:rPr>
        <w:t>1、投标人须明确投标产品的厂家、品牌、型号、参数（LED大屏显示系统序号1、3、5、6、8、11、12、14、15、17、18；音频扩声及智能中控会议系统序号1、3、4、5、6、7、8、9、10、11、12、13、14、15、16、17、18、19、20、21、22、23、24、25、28、29、30、31、32、33、34、35、38；舞台灯光系统序号1、2、3、4、5、6、7、8、9、10、11、12、13、14、15；舞台机械及幕布系统1、2、3。），</w:t>
      </w:r>
      <w:r>
        <w:rPr>
          <w:rFonts w:hint="eastAsia" w:ascii="宋体" w:cs="宋体"/>
          <w:b/>
          <w:color w:val="auto"/>
          <w:sz w:val="24"/>
          <w:lang w:val="zh-CN"/>
        </w:rPr>
        <w:t>否则为无效投标。</w:t>
      </w:r>
    </w:p>
    <w:p>
      <w:pPr>
        <w:wordWrap w:val="0"/>
        <w:topLinePunct/>
        <w:autoSpaceDE w:val="0"/>
        <w:autoSpaceDN w:val="0"/>
        <w:adjustRightInd w:val="0"/>
        <w:spacing w:line="360" w:lineRule="auto"/>
        <w:ind w:firstLine="482"/>
        <w:rPr>
          <w:rFonts w:ascii="宋体" w:cs="宋体"/>
          <w:b/>
          <w:color w:val="auto"/>
          <w:sz w:val="24"/>
          <w:lang w:val="zh-CN"/>
        </w:rPr>
      </w:pPr>
      <w:r>
        <w:rPr>
          <w:rFonts w:hint="eastAsia" w:ascii="宋体" w:cs="宋体"/>
          <w:color w:val="auto"/>
          <w:sz w:val="24"/>
          <w:lang w:val="zh-CN"/>
        </w:rPr>
        <w:t>2、投标人应就本项目（每包或者标段）完整投标，</w:t>
      </w:r>
      <w:r>
        <w:rPr>
          <w:rFonts w:hint="eastAsia" w:ascii="宋体" w:cs="宋体"/>
          <w:b/>
          <w:color w:val="auto"/>
          <w:sz w:val="24"/>
          <w:lang w:val="zh-CN"/>
        </w:rPr>
        <w:t>否则为无效投标。</w:t>
      </w:r>
    </w:p>
    <w:p>
      <w:pPr>
        <w:wordWrap w:val="0"/>
        <w:topLinePunct/>
        <w:spacing w:line="360" w:lineRule="auto"/>
        <w:ind w:firstLine="480" w:firstLineChars="200"/>
        <w:rPr>
          <w:rFonts w:ascii="宋体" w:cs="宋体"/>
          <w:color w:val="auto"/>
          <w:sz w:val="24"/>
          <w:lang w:val="zh-CN"/>
        </w:rPr>
      </w:pPr>
      <w:r>
        <w:rPr>
          <w:rFonts w:hint="eastAsia" w:ascii="宋体" w:cs="宋体"/>
          <w:color w:val="auto"/>
          <w:sz w:val="24"/>
          <w:lang w:val="zh-CN"/>
        </w:rPr>
        <w:t>3、所投产品应为符合本招标文件规定标准的全新正品现货。</w:t>
      </w:r>
    </w:p>
    <w:p>
      <w:pPr>
        <w:wordWrap w:val="0"/>
        <w:topLinePunct/>
        <w:spacing w:line="360" w:lineRule="auto"/>
        <w:ind w:firstLine="480" w:firstLineChars="200"/>
        <w:rPr>
          <w:rFonts w:ascii="宋体" w:cs="宋体"/>
          <w:color w:val="auto"/>
          <w:sz w:val="24"/>
          <w:lang w:val="zh-CN"/>
        </w:rPr>
      </w:pPr>
      <w:r>
        <w:rPr>
          <w:rFonts w:hint="eastAsia" w:ascii="宋体" w:cs="宋体"/>
          <w:color w:val="auto"/>
          <w:sz w:val="24"/>
          <w:lang w:val="zh-CN"/>
        </w:rPr>
        <w:t>4、本项目为交钥匙工程。</w:t>
      </w:r>
    </w:p>
    <w:p>
      <w:pPr>
        <w:wordWrap w:val="0"/>
        <w:topLinePunct/>
        <w:spacing w:line="360" w:lineRule="auto"/>
        <w:ind w:firstLine="480" w:firstLineChars="200"/>
        <w:rPr>
          <w:rFonts w:ascii="宋体" w:cs="宋体"/>
          <w:color w:val="auto"/>
          <w:sz w:val="24"/>
          <w:lang w:val="zh-CN"/>
        </w:rPr>
      </w:pPr>
      <w:r>
        <w:rPr>
          <w:rFonts w:hint="eastAsia" w:ascii="宋体" w:cs="宋体"/>
          <w:color w:val="auto"/>
          <w:sz w:val="24"/>
          <w:lang w:val="zh-CN"/>
        </w:rPr>
        <w:t>5、本项目执行《许昌市市级行政事业单位国有资产配置管理办法的通知》》（许政文[2017]15号）的相关规定。</w:t>
      </w:r>
    </w:p>
    <w:p>
      <w:pPr>
        <w:wordWrap w:val="0"/>
        <w:topLinePunct/>
        <w:spacing w:line="360" w:lineRule="auto"/>
        <w:ind w:firstLine="482" w:firstLineChars="200"/>
        <w:rPr>
          <w:rFonts w:hint="eastAsia" w:ascii="宋体" w:cs="宋体"/>
          <w:b/>
          <w:color w:val="auto"/>
          <w:sz w:val="24"/>
          <w:lang w:val="zh-CN"/>
        </w:rPr>
      </w:pPr>
      <w:r>
        <w:rPr>
          <w:rFonts w:hint="eastAsia" w:ascii="宋体" w:cs="宋体"/>
          <w:b/>
          <w:color w:val="auto"/>
          <w:sz w:val="24"/>
          <w:lang w:val="en-US" w:eastAsia="zh-CN"/>
        </w:rPr>
        <w:t>六</w:t>
      </w:r>
      <w:r>
        <w:rPr>
          <w:rFonts w:hint="eastAsia" w:ascii="宋体" w:cs="宋体"/>
          <w:b/>
          <w:color w:val="auto"/>
          <w:sz w:val="24"/>
          <w:lang w:val="zh-CN"/>
        </w:rPr>
        <w:t>、本项目预算金额211.59963</w:t>
      </w:r>
      <w:r>
        <w:rPr>
          <w:rFonts w:hint="eastAsia" w:ascii="宋体" w:cs="宋体"/>
          <w:b/>
          <w:color w:val="auto"/>
          <w:sz w:val="24"/>
          <w:lang w:val="en-US" w:eastAsia="zh-CN"/>
        </w:rPr>
        <w:t>万元</w:t>
      </w:r>
      <w:r>
        <w:rPr>
          <w:rFonts w:hint="eastAsia" w:ascii="宋体" w:cs="宋体"/>
          <w:b/>
          <w:color w:val="auto"/>
          <w:sz w:val="24"/>
          <w:lang w:val="zh-CN"/>
        </w:rPr>
        <w:t>。最高限价211.59963</w:t>
      </w:r>
      <w:r>
        <w:rPr>
          <w:rFonts w:hint="eastAsia" w:ascii="宋体" w:cs="宋体"/>
          <w:b/>
          <w:color w:val="auto"/>
          <w:sz w:val="24"/>
          <w:lang w:val="en-US" w:eastAsia="zh-CN"/>
        </w:rPr>
        <w:t>万元</w:t>
      </w:r>
      <w:r>
        <w:rPr>
          <w:rFonts w:hint="eastAsia" w:ascii="宋体" w:cs="宋体"/>
          <w:b/>
          <w:color w:val="auto"/>
          <w:sz w:val="24"/>
          <w:lang w:val="zh-CN"/>
        </w:rPr>
        <w:t>。超出最高限价的投标无效。</w:t>
      </w:r>
    </w:p>
    <w:p>
      <w:pPr>
        <w:widowControl/>
        <w:jc w:val="center"/>
        <w:rPr>
          <w:rFonts w:cs="宋体" w:asciiTheme="majorEastAsia" w:hAnsiTheme="majorEastAsia" w:eastAsiaTheme="majorEastAsia"/>
          <w:b/>
          <w:color w:val="auto"/>
          <w:kern w:val="0"/>
          <w:sz w:val="32"/>
          <w:szCs w:val="32"/>
        </w:rPr>
      </w:pPr>
      <w:r>
        <w:rPr>
          <w:rFonts w:cs="宋体" w:asciiTheme="majorEastAsia" w:hAnsiTheme="majorEastAsia" w:eastAsiaTheme="majorEastAsia"/>
          <w:b/>
          <w:color w:val="auto"/>
          <w:kern w:val="0"/>
          <w:sz w:val="32"/>
          <w:szCs w:val="32"/>
        </w:rPr>
        <w:br w:type="page"/>
      </w:r>
      <w:r>
        <w:rPr>
          <w:rFonts w:hint="eastAsia" w:cs="宋体" w:asciiTheme="majorEastAsia" w:hAnsiTheme="majorEastAsia" w:eastAsiaTheme="majorEastAsia"/>
          <w:b/>
          <w:color w:val="auto"/>
          <w:kern w:val="0"/>
          <w:sz w:val="32"/>
          <w:szCs w:val="32"/>
        </w:rPr>
        <w:t>第三章 投标人须知前附表</w:t>
      </w:r>
    </w:p>
    <w:p>
      <w:pPr>
        <w:autoSpaceDE w:val="0"/>
        <w:autoSpaceDN w:val="0"/>
        <w:adjustRightInd w:val="0"/>
        <w:spacing w:line="360" w:lineRule="auto"/>
        <w:ind w:right="-11"/>
        <w:jc w:val="left"/>
        <w:rPr>
          <w:rFonts w:cs="宋体" w:asciiTheme="minorEastAsia" w:hAnsiTheme="minorEastAsia"/>
          <w:b/>
          <w:color w:val="auto"/>
          <w:kern w:val="0"/>
          <w:szCs w:val="21"/>
        </w:rPr>
      </w:pPr>
      <w:r>
        <w:rPr>
          <w:rFonts w:hint="eastAsia" w:cs="微软雅黑"/>
          <w:b/>
          <w:color w:val="auto"/>
          <w:szCs w:val="21"/>
        </w:rPr>
        <w:t>招标文件中凡标有</w:t>
      </w:r>
      <w:r>
        <w:rPr>
          <w:rFonts w:hint="eastAsia" w:cs="微软雅黑" w:asciiTheme="minorEastAsia" w:hAnsiTheme="minorEastAsia"/>
          <w:b/>
          <w:color w:val="auto"/>
          <w:szCs w:val="21"/>
        </w:rPr>
        <w:t>★</w:t>
      </w:r>
      <w:r>
        <w:rPr>
          <w:rFonts w:hint="eastAsia" w:cs="微软雅黑"/>
          <w:b/>
          <w:color w:val="auto"/>
          <w:szCs w:val="21"/>
        </w:rPr>
        <w:t>条款均为实质性要求条款，投标文件须完全响应，未实质响应的，按照无效投标处理。</w:t>
      </w:r>
    </w:p>
    <w:tbl>
      <w:tblPr>
        <w:tblStyle w:val="22"/>
        <w:tblW w:w="98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2268"/>
        <w:gridCol w:w="68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806" w:type="dxa"/>
            <w:vAlign w:val="center"/>
          </w:tcPr>
          <w:p>
            <w:pPr>
              <w:autoSpaceDE w:val="0"/>
              <w:autoSpaceDN w:val="0"/>
              <w:adjustRightInd w:val="0"/>
              <w:spacing w:line="276" w:lineRule="auto"/>
              <w:jc w:val="center"/>
              <w:rPr>
                <w:rFonts w:cs="仿宋_GB2312" w:asciiTheme="minorEastAsia" w:hAnsiTheme="minorEastAsia"/>
                <w:b/>
                <w:color w:val="auto"/>
                <w:szCs w:val="21"/>
              </w:rPr>
            </w:pPr>
            <w:r>
              <w:rPr>
                <w:rFonts w:hint="eastAsia" w:cs="仿宋_GB2312" w:asciiTheme="minorEastAsia" w:hAnsiTheme="minorEastAsia"/>
                <w:b/>
                <w:color w:val="auto"/>
                <w:szCs w:val="21"/>
              </w:rPr>
              <w:t>序号</w:t>
            </w:r>
          </w:p>
        </w:tc>
        <w:tc>
          <w:tcPr>
            <w:tcW w:w="2268" w:type="dxa"/>
            <w:vAlign w:val="center"/>
          </w:tcPr>
          <w:p>
            <w:pPr>
              <w:autoSpaceDE w:val="0"/>
              <w:autoSpaceDN w:val="0"/>
              <w:adjustRightInd w:val="0"/>
              <w:spacing w:line="276" w:lineRule="auto"/>
              <w:jc w:val="center"/>
              <w:rPr>
                <w:rFonts w:cs="仿宋_GB2312" w:asciiTheme="minorEastAsia" w:hAnsiTheme="minorEastAsia"/>
                <w:b/>
                <w:color w:val="auto"/>
                <w:szCs w:val="21"/>
              </w:rPr>
            </w:pPr>
            <w:r>
              <w:rPr>
                <w:rFonts w:hint="eastAsia" w:cs="仿宋_GB2312" w:asciiTheme="minorEastAsia" w:hAnsiTheme="minorEastAsia"/>
                <w:b/>
                <w:color w:val="auto"/>
                <w:szCs w:val="21"/>
              </w:rPr>
              <w:t>条款名称</w:t>
            </w:r>
          </w:p>
        </w:tc>
        <w:tc>
          <w:tcPr>
            <w:tcW w:w="6813" w:type="dxa"/>
            <w:vAlign w:val="center"/>
          </w:tcPr>
          <w:p>
            <w:pPr>
              <w:autoSpaceDE w:val="0"/>
              <w:autoSpaceDN w:val="0"/>
              <w:adjustRightInd w:val="0"/>
              <w:spacing w:line="276" w:lineRule="auto"/>
              <w:jc w:val="center"/>
              <w:rPr>
                <w:rFonts w:cs="仿宋_GB2312" w:asciiTheme="minorEastAsia" w:hAnsiTheme="minorEastAsia"/>
                <w:b/>
                <w:color w:val="auto"/>
                <w:szCs w:val="21"/>
              </w:rPr>
            </w:pPr>
            <w:r>
              <w:rPr>
                <w:rFonts w:hint="eastAsia" w:cs="仿宋_GB2312" w:asciiTheme="minorEastAsia" w:hAnsiTheme="minorEastAsia"/>
                <w:b/>
                <w:color w:val="auto"/>
                <w:szCs w:val="21"/>
              </w:rPr>
              <w:t>说明和要求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采购项目</w:t>
            </w:r>
          </w:p>
        </w:tc>
        <w:tc>
          <w:tcPr>
            <w:tcW w:w="6813" w:type="dxa"/>
          </w:tcPr>
          <w:p>
            <w:pPr>
              <w:autoSpaceDE w:val="0"/>
              <w:autoSpaceDN w:val="0"/>
              <w:adjustRightInd w:val="0"/>
              <w:spacing w:line="360" w:lineRule="auto"/>
              <w:jc w:val="left"/>
              <w:rPr>
                <w:rFonts w:hint="eastAsia" w:cs="仿宋_GB2312" w:asciiTheme="minorEastAsia" w:hAnsiTheme="minorEastAsia"/>
                <w:color w:val="auto"/>
                <w:szCs w:val="21"/>
              </w:rPr>
            </w:pPr>
            <w:r>
              <w:rPr>
                <w:rFonts w:hint="eastAsia" w:cs="仿宋_GB2312" w:asciiTheme="minorEastAsia" w:hAnsiTheme="minorEastAsia"/>
                <w:color w:val="auto"/>
                <w:szCs w:val="21"/>
              </w:rPr>
              <w:t>项目名称：许昌幼儿师范学校职教园区综合馆声光像设备采购项目(不见面开标)</w:t>
            </w:r>
          </w:p>
          <w:p>
            <w:pPr>
              <w:autoSpaceDE w:val="0"/>
              <w:autoSpaceDN w:val="0"/>
              <w:adjustRightInd w:val="0"/>
              <w:spacing w:line="360" w:lineRule="auto"/>
              <w:jc w:val="left"/>
              <w:rPr>
                <w:rFonts w:hint="eastAsia" w:cs="仿宋_GB2312" w:asciiTheme="minorEastAsia" w:hAnsiTheme="minorEastAsia"/>
                <w:color w:val="auto"/>
                <w:szCs w:val="21"/>
              </w:rPr>
            </w:pPr>
            <w:r>
              <w:rPr>
                <w:rFonts w:hint="eastAsia" w:cs="仿宋_GB2312" w:asciiTheme="minorEastAsia" w:hAnsiTheme="minorEastAsia"/>
                <w:color w:val="auto"/>
                <w:szCs w:val="21"/>
              </w:rPr>
              <w:t>项目编号：ZFCG-G202</w:t>
            </w:r>
            <w:r>
              <w:rPr>
                <w:rFonts w:hint="eastAsia" w:cs="仿宋_GB2312" w:asciiTheme="minorEastAsia" w:hAnsiTheme="minorEastAsia"/>
                <w:color w:val="auto"/>
                <w:szCs w:val="21"/>
                <w:lang w:val="en-US" w:eastAsia="zh-CN"/>
              </w:rPr>
              <w:t>4033</w:t>
            </w:r>
            <w:r>
              <w:rPr>
                <w:rFonts w:hint="eastAsia" w:cs="仿宋_GB2312" w:asciiTheme="minorEastAsia" w:hAnsiTheme="minorEastAsia"/>
                <w:color w:val="auto"/>
                <w:szCs w:val="21"/>
              </w:rPr>
              <w:t>号</w:t>
            </w:r>
          </w:p>
          <w:p>
            <w:pPr>
              <w:autoSpaceDE w:val="0"/>
              <w:autoSpaceDN w:val="0"/>
              <w:adjustRightInd w:val="0"/>
              <w:spacing w:line="360" w:lineRule="auto"/>
              <w:jc w:val="left"/>
              <w:rPr>
                <w:rFonts w:hint="eastAsia" w:cs="仿宋_GB2312" w:asciiTheme="minorEastAsia" w:hAnsiTheme="minorEastAsia"/>
                <w:color w:val="auto"/>
                <w:szCs w:val="21"/>
              </w:rPr>
            </w:pPr>
            <w:r>
              <w:rPr>
                <w:rFonts w:hint="eastAsia" w:cs="仿宋_GB2312" w:asciiTheme="minorEastAsia" w:hAnsiTheme="minorEastAsia"/>
                <w:color w:val="auto"/>
                <w:szCs w:val="21"/>
              </w:rPr>
              <w:t>项目内容：</w:t>
            </w:r>
            <w:r>
              <w:rPr>
                <w:rFonts w:hint="eastAsia" w:cs="仿宋_GB2312" w:asciiTheme="minorEastAsia" w:hAnsiTheme="minorEastAsia"/>
                <w:color w:val="auto"/>
                <w:szCs w:val="21"/>
                <w:lang w:val="en-US" w:eastAsia="zh-CN"/>
              </w:rPr>
              <w:t>采购内容为LED大屏显示系统、音频扩声及智能中控会议系统、舞台灯光系统、舞台机械及幕布系统</w:t>
            </w:r>
            <w:r>
              <w:rPr>
                <w:rFonts w:hint="eastAsia" w:cs="仿宋_GB2312" w:asciiTheme="minorEastAsia" w:hAnsiTheme="minorEastAsia"/>
                <w:color w:val="auto"/>
                <w:szCs w:val="21"/>
              </w:rPr>
              <w:t>。</w:t>
            </w:r>
          </w:p>
          <w:p>
            <w:pPr>
              <w:autoSpaceDE w:val="0"/>
              <w:autoSpaceDN w:val="0"/>
              <w:adjustRightInd w:val="0"/>
              <w:spacing w:line="360" w:lineRule="auto"/>
              <w:jc w:val="left"/>
              <w:rPr>
                <w:rFonts w:hint="eastAsia" w:cs="仿宋_GB2312" w:asciiTheme="minorEastAsia" w:hAnsiTheme="minorEastAsia"/>
                <w:color w:val="auto"/>
                <w:szCs w:val="21"/>
              </w:rPr>
            </w:pPr>
            <w:r>
              <w:rPr>
                <w:rFonts w:hint="eastAsia" w:cs="仿宋_GB2312" w:asciiTheme="minorEastAsia" w:hAnsiTheme="minorEastAsia"/>
                <w:color w:val="auto"/>
                <w:szCs w:val="21"/>
              </w:rPr>
              <w:t>项目地址：许昌市职教园区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1" w:hRule="atLeast"/>
          <w:jc w:val="center"/>
        </w:trPr>
        <w:tc>
          <w:tcPr>
            <w:tcW w:w="806" w:type="dxa"/>
            <w:vAlign w:val="center"/>
          </w:tcPr>
          <w:p>
            <w:pPr>
              <w:autoSpaceDE w:val="0"/>
              <w:autoSpaceDN w:val="0"/>
              <w:adjustRightInd w:val="0"/>
              <w:spacing w:line="276" w:lineRule="auto"/>
              <w:jc w:val="center"/>
              <w:rPr>
                <w:rFonts w:cs="TimesNewRomanPSMT" w:asciiTheme="minorEastAsia" w:hAnsiTheme="minorEastAsia"/>
                <w:color w:val="auto"/>
                <w:szCs w:val="21"/>
              </w:rPr>
            </w:pPr>
            <w:r>
              <w:rPr>
                <w:rFonts w:hint="eastAsia" w:cs="TimesNewRomanPSMT" w:asciiTheme="minorEastAsia" w:hAnsiTheme="minorEastAsia"/>
                <w:color w:val="auto"/>
                <w:szCs w:val="21"/>
              </w:rPr>
              <w:t>2</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采购人</w:t>
            </w:r>
          </w:p>
        </w:tc>
        <w:tc>
          <w:tcPr>
            <w:tcW w:w="6813" w:type="dxa"/>
            <w:vAlign w:val="center"/>
          </w:tcPr>
          <w:p>
            <w:pPr>
              <w:autoSpaceDE w:val="0"/>
              <w:autoSpaceDN w:val="0"/>
              <w:adjustRightInd w:val="0"/>
              <w:spacing w:line="360" w:lineRule="auto"/>
              <w:jc w:val="left"/>
              <w:rPr>
                <w:rFonts w:hint="eastAsia" w:cs="仿宋_GB2312" w:asciiTheme="minorEastAsia" w:hAnsiTheme="minorEastAsia"/>
                <w:color w:val="auto"/>
                <w:szCs w:val="21"/>
              </w:rPr>
            </w:pPr>
            <w:r>
              <w:rPr>
                <w:rFonts w:hint="eastAsia" w:cs="仿宋_GB2312" w:asciiTheme="minorEastAsia" w:hAnsiTheme="minorEastAsia"/>
                <w:color w:val="auto"/>
                <w:szCs w:val="21"/>
              </w:rPr>
              <w:t>名称：许昌幼儿师范学校</w:t>
            </w:r>
          </w:p>
          <w:p>
            <w:pPr>
              <w:autoSpaceDE w:val="0"/>
              <w:autoSpaceDN w:val="0"/>
              <w:adjustRightInd w:val="0"/>
              <w:spacing w:line="360" w:lineRule="auto"/>
              <w:jc w:val="left"/>
              <w:rPr>
                <w:rFonts w:hint="eastAsia" w:cs="仿宋_GB2312" w:asciiTheme="minorEastAsia" w:hAnsiTheme="minorEastAsia"/>
                <w:color w:val="auto"/>
                <w:szCs w:val="21"/>
              </w:rPr>
            </w:pPr>
            <w:r>
              <w:rPr>
                <w:rFonts w:hint="eastAsia" w:cs="仿宋_GB2312" w:asciiTheme="minorEastAsia" w:hAnsiTheme="minorEastAsia"/>
                <w:color w:val="auto"/>
                <w:szCs w:val="21"/>
              </w:rPr>
              <w:t>地址：河南省许昌永昌大道</w:t>
            </w:r>
          </w:p>
          <w:p>
            <w:pPr>
              <w:autoSpaceDE w:val="0"/>
              <w:autoSpaceDN w:val="0"/>
              <w:adjustRightInd w:val="0"/>
              <w:spacing w:line="360" w:lineRule="auto"/>
              <w:jc w:val="left"/>
              <w:rPr>
                <w:rFonts w:hint="eastAsia" w:cs="仿宋_GB2312" w:asciiTheme="minorEastAsia" w:hAnsiTheme="minorEastAsia"/>
                <w:color w:val="auto"/>
                <w:szCs w:val="21"/>
              </w:rPr>
            </w:pPr>
            <w:r>
              <w:rPr>
                <w:rFonts w:hint="eastAsia" w:cs="仿宋_GB2312" w:asciiTheme="minorEastAsia" w:hAnsiTheme="minorEastAsia"/>
                <w:color w:val="auto"/>
                <w:szCs w:val="21"/>
              </w:rPr>
              <w:t>联系人：赵国干                    电话：15393783539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3</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代理机构</w:t>
            </w:r>
          </w:p>
        </w:tc>
        <w:tc>
          <w:tcPr>
            <w:tcW w:w="6813" w:type="dxa"/>
            <w:vAlign w:val="center"/>
          </w:tcPr>
          <w:p>
            <w:pPr>
              <w:autoSpaceDE w:val="0"/>
              <w:autoSpaceDN w:val="0"/>
              <w:adjustRightInd w:val="0"/>
              <w:spacing w:line="360" w:lineRule="auto"/>
              <w:jc w:val="left"/>
              <w:rPr>
                <w:rFonts w:cs="仿宋_GB2312" w:asciiTheme="minorEastAsia" w:hAnsiTheme="minorEastAsia"/>
                <w:color w:val="auto"/>
                <w:szCs w:val="21"/>
              </w:rPr>
            </w:pPr>
            <w:r>
              <w:rPr>
                <w:rFonts w:hint="eastAsia" w:cs="仿宋_GB2312" w:asciiTheme="minorEastAsia" w:hAnsiTheme="minorEastAsia"/>
                <w:color w:val="auto"/>
                <w:szCs w:val="21"/>
              </w:rPr>
              <w:t>名称：许昌市政府采购服务中心</w:t>
            </w:r>
          </w:p>
          <w:p>
            <w:pPr>
              <w:autoSpaceDE w:val="0"/>
              <w:autoSpaceDN w:val="0"/>
              <w:adjustRightInd w:val="0"/>
              <w:spacing w:line="360" w:lineRule="auto"/>
              <w:jc w:val="left"/>
              <w:rPr>
                <w:rFonts w:cs="仿宋_GB2312" w:asciiTheme="minorEastAsia" w:hAnsiTheme="minorEastAsia"/>
                <w:color w:val="auto"/>
                <w:sz w:val="24"/>
                <w:szCs w:val="24"/>
              </w:rPr>
            </w:pPr>
            <w:r>
              <w:rPr>
                <w:rFonts w:hint="eastAsia" w:cs="仿宋_GB2312" w:asciiTheme="minorEastAsia" w:hAnsiTheme="minorEastAsia"/>
                <w:color w:val="auto"/>
                <w:szCs w:val="21"/>
              </w:rPr>
              <w:t>地址：许昌市龙兴路与竹林路交汇处创业服务中心C座</w:t>
            </w:r>
          </w:p>
          <w:p>
            <w:pPr>
              <w:autoSpaceDE w:val="0"/>
              <w:autoSpaceDN w:val="0"/>
              <w:adjustRightInd w:val="0"/>
              <w:spacing w:line="360" w:lineRule="auto"/>
              <w:jc w:val="left"/>
              <w:rPr>
                <w:rFonts w:hint="default" w:cs="仿宋_GB2312" w:asciiTheme="minorEastAsia" w:hAnsiTheme="minorEastAsia" w:eastAsiaTheme="minorEastAsia"/>
                <w:color w:val="auto"/>
                <w:szCs w:val="21"/>
                <w:lang w:val="en-US" w:eastAsia="zh-CN"/>
              </w:rPr>
            </w:pPr>
            <w:r>
              <w:rPr>
                <w:rFonts w:hint="eastAsia" w:cs="仿宋_GB2312" w:asciiTheme="minorEastAsia" w:hAnsiTheme="minorEastAsia"/>
                <w:color w:val="auto"/>
                <w:szCs w:val="21"/>
              </w:rPr>
              <w:t>联系人：</w:t>
            </w:r>
            <w:r>
              <w:rPr>
                <w:rFonts w:hint="eastAsia" w:cs="仿宋_GB2312" w:asciiTheme="minorEastAsia" w:hAnsiTheme="minorEastAsia"/>
                <w:color w:val="auto"/>
                <w:szCs w:val="21"/>
                <w:lang w:val="en-US" w:eastAsia="zh-CN"/>
              </w:rPr>
              <w:t>沙先生</w:t>
            </w:r>
            <w:r>
              <w:rPr>
                <w:rFonts w:hint="eastAsia" w:cs="仿宋_GB2312" w:asciiTheme="minorEastAsia" w:hAnsiTheme="minorEastAsia"/>
                <w:color w:val="auto"/>
                <w:szCs w:val="21"/>
              </w:rPr>
              <w:t xml:space="preserve">                    电话：0374-</w:t>
            </w:r>
            <w:r>
              <w:rPr>
                <w:rFonts w:hint="eastAsia" w:cs="仿宋_GB2312" w:asciiTheme="minorEastAsia" w:hAnsiTheme="minorEastAsia"/>
                <w:color w:val="auto"/>
                <w:szCs w:val="21"/>
                <w:lang w:val="en-US" w:eastAsia="zh-CN"/>
              </w:rPr>
              <w:t>2968687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6" w:type="dxa"/>
            <w:vMerge w:val="restart"/>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4</w:t>
            </w:r>
          </w:p>
        </w:tc>
        <w:tc>
          <w:tcPr>
            <w:tcW w:w="2268" w:type="dxa"/>
            <w:vMerge w:val="restart"/>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微软雅黑" w:asciiTheme="minorEastAsia" w:hAnsiTheme="minorEastAsia"/>
                <w:b/>
                <w:color w:val="auto"/>
                <w:szCs w:val="21"/>
              </w:rPr>
              <w:t>★</w:t>
            </w:r>
            <w:r>
              <w:rPr>
                <w:rFonts w:hint="eastAsia" w:cs="仿宋_GB2312" w:asciiTheme="minorEastAsia" w:hAnsiTheme="minorEastAsia"/>
                <w:color w:val="auto"/>
                <w:szCs w:val="21"/>
              </w:rPr>
              <w:t>投标人资格</w:t>
            </w:r>
          </w:p>
        </w:tc>
        <w:tc>
          <w:tcPr>
            <w:tcW w:w="6813" w:type="dxa"/>
            <w:vAlign w:val="center"/>
          </w:tcPr>
          <w:p>
            <w:pPr>
              <w:autoSpaceDE w:val="0"/>
              <w:autoSpaceDN w:val="0"/>
              <w:adjustRightInd w:val="0"/>
              <w:spacing w:line="360" w:lineRule="auto"/>
              <w:contextualSpacing/>
              <w:jc w:val="left"/>
              <w:rPr>
                <w:rFonts w:cs="仿宋_GB2312" w:asciiTheme="minorEastAsia" w:hAnsiTheme="minorEastAsia"/>
                <w:b/>
                <w:color w:val="auto"/>
                <w:szCs w:val="21"/>
              </w:rPr>
            </w:pPr>
            <w:r>
              <w:rPr>
                <w:rFonts w:hint="eastAsia" w:cs="仿宋_GB2312" w:asciiTheme="minorEastAsia" w:hAnsiTheme="minorEastAsia"/>
                <w:b/>
                <w:color w:val="auto"/>
                <w:szCs w:val="21"/>
              </w:rPr>
              <w:t>符合《政府采购法》第二十二条规定</w:t>
            </w:r>
          </w:p>
          <w:p>
            <w:pPr>
              <w:autoSpaceDE w:val="0"/>
              <w:autoSpaceDN w:val="0"/>
              <w:adjustRightInd w:val="0"/>
              <w:spacing w:line="360" w:lineRule="auto"/>
              <w:contextualSpacing/>
              <w:rPr>
                <w:rFonts w:cs="宋体" w:asciiTheme="minorEastAsia" w:hAnsiTheme="minorEastAsia"/>
                <w:color w:val="auto"/>
                <w:szCs w:val="21"/>
              </w:rPr>
            </w:pPr>
            <w:r>
              <w:rPr>
                <w:rFonts w:hint="eastAsia" w:cs="宋体" w:asciiTheme="minorEastAsia" w:hAnsiTheme="minorEastAsia"/>
                <w:color w:val="auto"/>
                <w:szCs w:val="21"/>
              </w:rPr>
              <w:t>1．具有独立承担民事责任的能力；</w:t>
            </w:r>
          </w:p>
          <w:p>
            <w:pPr>
              <w:autoSpaceDE w:val="0"/>
              <w:autoSpaceDN w:val="0"/>
              <w:adjustRightInd w:val="0"/>
              <w:spacing w:line="360" w:lineRule="auto"/>
              <w:contextualSpacing/>
              <w:rPr>
                <w:rFonts w:cs="宋体" w:asciiTheme="minorEastAsia" w:hAnsiTheme="minorEastAsia"/>
                <w:color w:val="auto"/>
                <w:szCs w:val="21"/>
              </w:rPr>
            </w:pPr>
            <w:r>
              <w:rPr>
                <w:rFonts w:hint="eastAsia" w:cs="宋体" w:asciiTheme="minorEastAsia" w:hAnsiTheme="minorEastAsia"/>
                <w:color w:val="auto"/>
                <w:szCs w:val="21"/>
              </w:rPr>
              <w:t>2．具有良好的商业信誉和健全的财务会计制度；</w:t>
            </w:r>
          </w:p>
          <w:p>
            <w:pPr>
              <w:autoSpaceDE w:val="0"/>
              <w:autoSpaceDN w:val="0"/>
              <w:adjustRightInd w:val="0"/>
              <w:spacing w:line="360" w:lineRule="auto"/>
              <w:contextualSpacing/>
              <w:rPr>
                <w:rFonts w:cs="宋体" w:asciiTheme="minorEastAsia" w:hAnsiTheme="minorEastAsia"/>
                <w:color w:val="auto"/>
                <w:szCs w:val="21"/>
              </w:rPr>
            </w:pPr>
            <w:r>
              <w:rPr>
                <w:rFonts w:hint="eastAsia" w:cs="宋体" w:asciiTheme="minorEastAsia" w:hAnsiTheme="minorEastAsia"/>
                <w:color w:val="auto"/>
                <w:szCs w:val="21"/>
              </w:rPr>
              <w:t>3．具有履行合同所必需的设备和专业技术能力；</w:t>
            </w:r>
          </w:p>
          <w:p>
            <w:pPr>
              <w:autoSpaceDE w:val="0"/>
              <w:autoSpaceDN w:val="0"/>
              <w:adjustRightInd w:val="0"/>
              <w:spacing w:line="360" w:lineRule="auto"/>
              <w:contextualSpacing/>
              <w:rPr>
                <w:rFonts w:cs="宋体" w:asciiTheme="minorEastAsia" w:hAnsiTheme="minorEastAsia"/>
                <w:color w:val="auto"/>
                <w:szCs w:val="21"/>
              </w:rPr>
            </w:pPr>
            <w:r>
              <w:rPr>
                <w:rFonts w:hint="eastAsia" w:cs="宋体" w:asciiTheme="minorEastAsia" w:hAnsiTheme="minorEastAsia"/>
                <w:color w:val="auto"/>
                <w:szCs w:val="21"/>
              </w:rPr>
              <w:t>4．具有依法缴纳税收和社会保障资金的良好记录；</w:t>
            </w:r>
          </w:p>
          <w:p>
            <w:pPr>
              <w:autoSpaceDE w:val="0"/>
              <w:autoSpaceDN w:val="0"/>
              <w:adjustRightInd w:val="0"/>
              <w:spacing w:line="360" w:lineRule="auto"/>
              <w:contextualSpacing/>
              <w:rPr>
                <w:rFonts w:cs="仿宋_GB2312" w:asciiTheme="minorEastAsia" w:hAnsiTheme="minorEastAsia"/>
                <w:color w:val="auto"/>
                <w:szCs w:val="21"/>
              </w:rPr>
            </w:pPr>
            <w:r>
              <w:rPr>
                <w:rFonts w:hint="eastAsia" w:cs="宋体" w:asciiTheme="minorEastAsia" w:hAnsiTheme="minorEastAsia"/>
                <w:color w:val="auto"/>
                <w:szCs w:val="21"/>
              </w:rPr>
              <w:t>5．参加政府采购活动前三年内，在经营活动中没有重大违法记录；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Merge w:val="continue"/>
            <w:vAlign w:val="center"/>
          </w:tcPr>
          <w:p>
            <w:pPr>
              <w:autoSpaceDE w:val="0"/>
              <w:autoSpaceDN w:val="0"/>
              <w:adjustRightInd w:val="0"/>
              <w:spacing w:line="276" w:lineRule="auto"/>
              <w:jc w:val="center"/>
              <w:rPr>
                <w:rFonts w:cs="黑体" w:asciiTheme="minorEastAsia" w:hAnsiTheme="minorEastAsia"/>
                <w:color w:val="auto"/>
                <w:szCs w:val="21"/>
              </w:rPr>
            </w:pPr>
          </w:p>
        </w:tc>
        <w:tc>
          <w:tcPr>
            <w:tcW w:w="2268" w:type="dxa"/>
            <w:vMerge w:val="continue"/>
            <w:vAlign w:val="center"/>
          </w:tcPr>
          <w:p>
            <w:pPr>
              <w:autoSpaceDE w:val="0"/>
              <w:autoSpaceDN w:val="0"/>
              <w:adjustRightInd w:val="0"/>
              <w:spacing w:line="276" w:lineRule="auto"/>
              <w:jc w:val="center"/>
              <w:rPr>
                <w:rFonts w:cs="微软雅黑" w:asciiTheme="minorEastAsia" w:hAnsiTheme="minorEastAsia"/>
                <w:b/>
                <w:color w:val="auto"/>
                <w:szCs w:val="21"/>
              </w:rPr>
            </w:pPr>
          </w:p>
        </w:tc>
        <w:tc>
          <w:tcPr>
            <w:tcW w:w="6813" w:type="dxa"/>
            <w:vAlign w:val="center"/>
          </w:tcPr>
          <w:p>
            <w:pPr>
              <w:autoSpaceDE w:val="0"/>
              <w:autoSpaceDN w:val="0"/>
              <w:adjustRightInd w:val="0"/>
              <w:spacing w:line="360" w:lineRule="auto"/>
              <w:contextualSpacing/>
              <w:rPr>
                <w:rFonts w:cs="仿宋_GB2312" w:asciiTheme="minorEastAsia" w:hAnsiTheme="minorEastAsia"/>
                <w:b/>
                <w:color w:val="auto"/>
                <w:spacing w:val="-11"/>
                <w:szCs w:val="21"/>
              </w:rPr>
            </w:pPr>
            <w:r>
              <w:rPr>
                <w:rFonts w:hint="eastAsia" w:cs="仿宋_GB2312" w:asciiTheme="minorEastAsia" w:hAnsiTheme="minorEastAsia"/>
                <w:b/>
                <w:color w:val="auto"/>
                <w:spacing w:val="-11"/>
                <w:szCs w:val="21"/>
              </w:rPr>
              <w:t>注：</w:t>
            </w:r>
          </w:p>
          <w:p>
            <w:pPr>
              <w:numPr>
                <w:ilvl w:val="0"/>
                <w:numId w:val="26"/>
              </w:numPr>
              <w:autoSpaceDE w:val="0"/>
              <w:autoSpaceDN w:val="0"/>
              <w:adjustRightInd w:val="0"/>
              <w:spacing w:line="360" w:lineRule="auto"/>
              <w:ind w:left="357" w:hanging="357" w:hangingChars="170"/>
              <w:contextualSpacing/>
              <w:rPr>
                <w:rFonts w:ascii="ˎ̥" w:hAnsi="ˎ̥"/>
                <w:color w:val="auto"/>
              </w:rPr>
            </w:pPr>
            <w:r>
              <w:rPr>
                <w:rFonts w:hint="eastAsia" w:ascii="ˎ̥" w:hAnsi="ˎ̥"/>
                <w:color w:val="auto"/>
              </w:rPr>
              <w:t>供应商在投标时，提供《许昌市政府采购供应商信用承诺函》（详见招标文件第八章3.5格式），无需再提交上述证明材料。</w:t>
            </w:r>
          </w:p>
          <w:p>
            <w:pPr>
              <w:numPr>
                <w:ilvl w:val="0"/>
                <w:numId w:val="26"/>
              </w:numPr>
              <w:autoSpaceDE w:val="0"/>
              <w:autoSpaceDN w:val="0"/>
              <w:adjustRightInd w:val="0"/>
              <w:spacing w:line="360" w:lineRule="auto"/>
              <w:ind w:left="357" w:hanging="357" w:hangingChars="170"/>
              <w:contextualSpacing/>
              <w:rPr>
                <w:rFonts w:ascii="ˎ̥" w:hAnsi="ˎ̥"/>
                <w:color w:val="auto"/>
              </w:rPr>
            </w:pPr>
            <w:r>
              <w:rPr>
                <w:rFonts w:hint="eastAsia" w:ascii="ˎ̥" w:hAnsi="ˎ̥"/>
                <w:color w:val="auto"/>
              </w:rPr>
              <w:t>采购人有权在签订合同前要求中标供应商提供相关证明材料以核实中标供应商承诺事项的真实性。</w:t>
            </w:r>
          </w:p>
          <w:p>
            <w:pPr>
              <w:numPr>
                <w:ilvl w:val="0"/>
                <w:numId w:val="26"/>
              </w:numPr>
              <w:autoSpaceDE w:val="0"/>
              <w:autoSpaceDN w:val="0"/>
              <w:adjustRightInd w:val="0"/>
              <w:spacing w:line="360" w:lineRule="auto"/>
              <w:ind w:left="357" w:hanging="357" w:hangingChars="170"/>
              <w:contextualSpacing/>
              <w:rPr>
                <w:rFonts w:cs="宋体" w:asciiTheme="minorEastAsia" w:hAnsiTheme="minorEastAsia"/>
                <w:color w:val="auto"/>
                <w:kern w:val="0"/>
                <w:szCs w:val="21"/>
              </w:rPr>
            </w:pPr>
            <w:r>
              <w:rPr>
                <w:rFonts w:hint="eastAsia" w:ascii="ˎ̥" w:hAnsi="ˎ̥"/>
                <w:color w:val="auto"/>
              </w:rPr>
              <w:t>供应商对信用承诺内容的真实性、合法性、有效性负责。如作出虚假信用承诺，视同为“提供虚假材料谋取中标”的违法行为。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5</w:t>
            </w:r>
          </w:p>
        </w:tc>
        <w:tc>
          <w:tcPr>
            <w:tcW w:w="2268" w:type="dxa"/>
            <w:vAlign w:val="center"/>
          </w:tcPr>
          <w:p>
            <w:pPr>
              <w:autoSpaceDE w:val="0"/>
              <w:autoSpaceDN w:val="0"/>
              <w:adjustRightInd w:val="0"/>
              <w:spacing w:line="276" w:lineRule="auto"/>
              <w:jc w:val="center"/>
              <w:rPr>
                <w:rFonts w:cs="宋体" w:asciiTheme="minorEastAsia" w:hAnsiTheme="minorEastAsia"/>
                <w:bCs/>
                <w:color w:val="auto"/>
                <w:szCs w:val="21"/>
                <w:lang w:val="zh-CN"/>
              </w:rPr>
            </w:pPr>
            <w:r>
              <w:rPr>
                <w:rFonts w:hint="eastAsia" w:cs="微软雅黑" w:asciiTheme="minorEastAsia" w:hAnsiTheme="minorEastAsia"/>
                <w:b/>
                <w:color w:val="auto"/>
                <w:szCs w:val="21"/>
              </w:rPr>
              <w:t>★</w:t>
            </w:r>
            <w:r>
              <w:rPr>
                <w:rFonts w:hint="eastAsia" w:cs="宋体" w:asciiTheme="minorEastAsia" w:hAnsiTheme="minorEastAsia"/>
                <w:bCs/>
                <w:color w:val="auto"/>
                <w:szCs w:val="21"/>
                <w:lang w:val="zh-CN"/>
              </w:rPr>
              <w:t>联合体投标</w:t>
            </w:r>
          </w:p>
        </w:tc>
        <w:tc>
          <w:tcPr>
            <w:tcW w:w="6813" w:type="dxa"/>
            <w:vAlign w:val="center"/>
          </w:tcPr>
          <w:p>
            <w:pPr>
              <w:autoSpaceDE w:val="0"/>
              <w:autoSpaceDN w:val="0"/>
              <w:adjustRightInd w:val="0"/>
              <w:spacing w:line="276" w:lineRule="auto"/>
              <w:rPr>
                <w:rFonts w:cs="宋体" w:asciiTheme="minorEastAsia" w:hAnsiTheme="minorEastAsia"/>
                <w:bCs/>
                <w:color w:val="auto"/>
                <w:szCs w:val="21"/>
                <w:lang w:val="zh-CN"/>
              </w:rPr>
            </w:pPr>
            <w:r>
              <w:rPr>
                <w:rFonts w:hint="eastAsia" w:cs="宋体" w:asciiTheme="minorEastAsia" w:hAnsiTheme="minorEastAsia"/>
                <w:color w:val="auto"/>
                <w:kern w:val="0"/>
                <w:szCs w:val="21"/>
              </w:rPr>
              <w:t>本项目</w:t>
            </w: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color w:val="auto"/>
                <w:kern w:val="0"/>
                <w:szCs w:val="21"/>
              </w:rPr>
              <w:t>不接受</w:t>
            </w:r>
            <w:r>
              <w:rPr>
                <w:rFonts w:hint="eastAsia" w:cs="宋体" w:asciiTheme="minorEastAsia" w:hAnsiTheme="minorEastAsia"/>
                <w:bCs/>
                <w:color w:val="auto"/>
                <w:szCs w:val="21"/>
                <w:lang w:val="zh-CN"/>
              </w:rPr>
              <w:t>□接受</w:t>
            </w:r>
            <w:r>
              <w:rPr>
                <w:rFonts w:hint="eastAsia" w:cs="宋体" w:asciiTheme="minorEastAsia" w:hAnsiTheme="minorEastAsia"/>
                <w:color w:val="auto"/>
                <w:kern w:val="0"/>
                <w:szCs w:val="21"/>
              </w:rPr>
              <w:t>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6</w:t>
            </w:r>
          </w:p>
        </w:tc>
        <w:tc>
          <w:tcPr>
            <w:tcW w:w="2268" w:type="dxa"/>
            <w:vAlign w:val="center"/>
          </w:tcPr>
          <w:p>
            <w:pPr>
              <w:autoSpaceDE w:val="0"/>
              <w:autoSpaceDN w:val="0"/>
              <w:adjustRightInd w:val="0"/>
              <w:spacing w:line="276" w:lineRule="auto"/>
              <w:jc w:val="center"/>
              <w:rPr>
                <w:rFonts w:cs="宋体" w:asciiTheme="minorEastAsia" w:hAnsiTheme="minorEastAsia"/>
                <w:bCs/>
                <w:color w:val="auto"/>
                <w:szCs w:val="21"/>
                <w:lang w:val="zh-CN"/>
              </w:rPr>
            </w:pPr>
            <w:r>
              <w:rPr>
                <w:rFonts w:hint="eastAsia" w:cs="微软雅黑" w:asciiTheme="minorEastAsia" w:hAnsiTheme="minorEastAsia"/>
                <w:b/>
                <w:color w:val="auto"/>
                <w:szCs w:val="21"/>
              </w:rPr>
              <w:t>★</w:t>
            </w:r>
            <w:r>
              <w:rPr>
                <w:rFonts w:hint="eastAsia" w:cs="宋体" w:asciiTheme="minorEastAsia" w:hAnsiTheme="minorEastAsia"/>
                <w:bCs/>
                <w:color w:val="auto"/>
                <w:szCs w:val="21"/>
                <w:lang w:val="zh-CN"/>
              </w:rPr>
              <w:t>最高限价</w:t>
            </w:r>
          </w:p>
        </w:tc>
        <w:tc>
          <w:tcPr>
            <w:tcW w:w="6813" w:type="dxa"/>
            <w:vAlign w:val="center"/>
          </w:tcPr>
          <w:p>
            <w:pPr>
              <w:autoSpaceDE w:val="0"/>
              <w:autoSpaceDN w:val="0"/>
              <w:adjustRightInd w:val="0"/>
              <w:spacing w:line="276" w:lineRule="auto"/>
              <w:ind w:firstLine="210" w:firstLineChars="100"/>
              <w:rPr>
                <w:rFonts w:cs="宋体" w:asciiTheme="minorEastAsia" w:hAnsiTheme="minorEastAsia"/>
                <w:bCs/>
                <w:color w:val="auto"/>
                <w:szCs w:val="21"/>
                <w:lang w:val="zh-CN"/>
              </w:rPr>
            </w:pPr>
            <w:r>
              <w:rPr>
                <w:rFonts w:hint="eastAsia" w:cs="宋体" w:asciiTheme="minorEastAsia" w:hAnsiTheme="minorEastAsia"/>
                <w:bCs/>
                <w:color w:val="auto"/>
                <w:szCs w:val="21"/>
                <w:lang w:val="zh-CN"/>
              </w:rPr>
              <w:t>211.59963万元，超出最高限价的投标无效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7</w:t>
            </w:r>
          </w:p>
        </w:tc>
        <w:tc>
          <w:tcPr>
            <w:tcW w:w="2268" w:type="dxa"/>
            <w:vAlign w:val="center"/>
          </w:tcPr>
          <w:p>
            <w:pPr>
              <w:autoSpaceDE w:val="0"/>
              <w:autoSpaceDN w:val="0"/>
              <w:adjustRightInd w:val="0"/>
              <w:spacing w:line="276" w:lineRule="auto"/>
              <w:jc w:val="center"/>
              <w:rPr>
                <w:rFonts w:cs="宋体" w:asciiTheme="minorEastAsia" w:hAnsiTheme="minorEastAsia"/>
                <w:bCs/>
                <w:color w:val="auto"/>
                <w:szCs w:val="21"/>
                <w:lang w:val="zh-CN"/>
              </w:rPr>
            </w:pPr>
            <w:r>
              <w:rPr>
                <w:rFonts w:cs="宋体" w:asciiTheme="minorEastAsia" w:hAnsiTheme="minorEastAsia"/>
                <w:bCs/>
                <w:color w:val="auto"/>
                <w:szCs w:val="21"/>
                <w:lang w:val="zh-CN"/>
              </w:rPr>
              <w:t>现场考察</w:t>
            </w:r>
          </w:p>
        </w:tc>
        <w:tc>
          <w:tcPr>
            <w:tcW w:w="6813" w:type="dxa"/>
            <w:vAlign w:val="center"/>
          </w:tcPr>
          <w:p>
            <w:pPr>
              <w:autoSpaceDE w:val="0"/>
              <w:autoSpaceDN w:val="0"/>
              <w:adjustRightInd w:val="0"/>
              <w:spacing w:line="360" w:lineRule="auto"/>
              <w:rPr>
                <w:rFonts w:cs="宋体" w:asciiTheme="minorEastAsia" w:hAnsiTheme="minorEastAsia"/>
                <w:color w:val="auto"/>
                <w:kern w:val="0"/>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不组织</w:t>
            </w:r>
          </w:p>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
                <w:bCs/>
                <w:color w:val="auto"/>
                <w:szCs w:val="21"/>
                <w:lang w:val="zh-CN"/>
              </w:rPr>
              <w:t>□</w:t>
            </w:r>
            <w:r>
              <w:rPr>
                <w:rFonts w:hint="eastAsia" w:cs="宋体" w:asciiTheme="minorEastAsia" w:hAnsiTheme="minorEastAsia"/>
                <w:bCs/>
                <w:color w:val="auto"/>
                <w:szCs w:val="21"/>
                <w:lang w:val="zh-CN"/>
              </w:rPr>
              <w:t>组织，时间：      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8</w:t>
            </w:r>
          </w:p>
        </w:tc>
        <w:tc>
          <w:tcPr>
            <w:tcW w:w="2268" w:type="dxa"/>
            <w:vAlign w:val="center"/>
          </w:tcPr>
          <w:p>
            <w:pPr>
              <w:autoSpaceDE w:val="0"/>
              <w:autoSpaceDN w:val="0"/>
              <w:adjustRightInd w:val="0"/>
              <w:spacing w:line="276" w:lineRule="auto"/>
              <w:jc w:val="center"/>
              <w:rPr>
                <w:rFonts w:cs="宋体" w:asciiTheme="minorEastAsia" w:hAnsiTheme="minorEastAsia"/>
                <w:bCs/>
                <w:color w:val="auto"/>
                <w:szCs w:val="21"/>
                <w:lang w:val="zh-CN"/>
              </w:rPr>
            </w:pPr>
            <w:r>
              <w:rPr>
                <w:rFonts w:cs="宋体" w:asciiTheme="minorEastAsia" w:hAnsiTheme="minorEastAsia"/>
                <w:bCs/>
                <w:color w:val="auto"/>
                <w:szCs w:val="21"/>
                <w:lang w:val="zh-CN"/>
              </w:rPr>
              <w:t>开标前答疑会</w:t>
            </w:r>
          </w:p>
        </w:tc>
        <w:tc>
          <w:tcPr>
            <w:tcW w:w="6813" w:type="dxa"/>
            <w:vAlign w:val="center"/>
          </w:tcPr>
          <w:p>
            <w:pPr>
              <w:autoSpaceDE w:val="0"/>
              <w:autoSpaceDN w:val="0"/>
              <w:adjustRightInd w:val="0"/>
              <w:spacing w:line="360" w:lineRule="auto"/>
              <w:rPr>
                <w:rFonts w:cs="宋体" w:asciiTheme="minorEastAsia" w:hAnsiTheme="minorEastAsia"/>
                <w:color w:val="auto"/>
                <w:kern w:val="0"/>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不召开</w:t>
            </w:r>
          </w:p>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□召开，时间：      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9</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进口产品参与</w:t>
            </w:r>
          </w:p>
        </w:tc>
        <w:tc>
          <w:tcPr>
            <w:tcW w:w="6813" w:type="dxa"/>
            <w:vAlign w:val="center"/>
          </w:tcPr>
          <w:p>
            <w:pPr>
              <w:autoSpaceDE w:val="0"/>
              <w:autoSpaceDN w:val="0"/>
              <w:adjustRightInd w:val="0"/>
              <w:spacing w:line="276" w:lineRule="auto"/>
              <w:rPr>
                <w:rFonts w:asciiTheme="minorEastAsia" w:hAnsiTheme="minorEastAsia"/>
                <w:color w:val="auto"/>
                <w:szCs w:val="21"/>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 xml:space="preserve">不允许    </w:t>
            </w:r>
            <w:r>
              <w:rPr>
                <w:rFonts w:hint="eastAsia" w:cs="宋体" w:asciiTheme="minorEastAsia" w:hAnsiTheme="minorEastAsia"/>
                <w:b/>
                <w:bCs/>
                <w:color w:val="auto"/>
                <w:szCs w:val="21"/>
                <w:lang w:val="zh-CN"/>
              </w:rPr>
              <w:t>□</w:t>
            </w:r>
            <w:r>
              <w:rPr>
                <w:rFonts w:hint="eastAsia" w:asciiTheme="minorEastAsia" w:hAnsiTheme="minorEastAsia"/>
                <w:color w:val="auto"/>
                <w:szCs w:val="21"/>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10</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微软雅黑" w:asciiTheme="minorEastAsia" w:hAnsiTheme="minorEastAsia"/>
                <w:b/>
                <w:color w:val="auto"/>
                <w:szCs w:val="21"/>
              </w:rPr>
              <w:t>★</w:t>
            </w:r>
            <w:r>
              <w:rPr>
                <w:rFonts w:hint="eastAsia" w:cs="仿宋_GB2312" w:asciiTheme="minorEastAsia" w:hAnsiTheme="minorEastAsia"/>
                <w:color w:val="auto"/>
                <w:szCs w:val="21"/>
              </w:rPr>
              <w:t>投标有效期</w:t>
            </w:r>
          </w:p>
        </w:tc>
        <w:tc>
          <w:tcPr>
            <w:tcW w:w="6813" w:type="dxa"/>
            <w:vAlign w:val="center"/>
          </w:tcPr>
          <w:p>
            <w:pPr>
              <w:autoSpaceDE w:val="0"/>
              <w:autoSpaceDN w:val="0"/>
              <w:adjustRightInd w:val="0"/>
              <w:spacing w:line="360" w:lineRule="auto"/>
              <w:rPr>
                <w:rFonts w:cs="仿宋_GB2312" w:asciiTheme="minorEastAsia" w:hAnsiTheme="minorEastAsia"/>
                <w:color w:val="auto"/>
                <w:szCs w:val="21"/>
              </w:rPr>
            </w:pPr>
            <w:r>
              <w:rPr>
                <w:rFonts w:hint="eastAsia" w:cs="仿宋_GB2312" w:asciiTheme="minorEastAsia" w:hAnsiTheme="minorEastAsia"/>
                <w:color w:val="auto"/>
                <w:szCs w:val="21"/>
              </w:rPr>
              <w:t>90天（自</w:t>
            </w:r>
            <w:r>
              <w:rPr>
                <w:rFonts w:hint="eastAsia" w:cs="宋体" w:asciiTheme="minorEastAsia" w:hAnsiTheme="minorEastAsia"/>
                <w:color w:val="auto"/>
                <w:kern w:val="0"/>
                <w:szCs w:val="21"/>
              </w:rPr>
              <w:t>提交投标文件的截止之日起算</w:t>
            </w:r>
            <w:r>
              <w:rPr>
                <w:rFonts w:hint="eastAsia" w:cs="仿宋_GB2312" w:asciiTheme="minorEastAsia" w:hAnsiTheme="minorEastAsia"/>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11</w:t>
            </w:r>
          </w:p>
        </w:tc>
        <w:tc>
          <w:tcPr>
            <w:tcW w:w="2268" w:type="dxa"/>
            <w:vAlign w:val="center"/>
          </w:tcPr>
          <w:p>
            <w:pPr>
              <w:autoSpaceDE w:val="0"/>
              <w:autoSpaceDN w:val="0"/>
              <w:adjustRightInd w:val="0"/>
              <w:spacing w:line="360" w:lineRule="auto"/>
              <w:rPr>
                <w:rFonts w:cs="仿宋_GB2312" w:asciiTheme="minorEastAsia" w:hAnsiTheme="minorEastAsia"/>
                <w:color w:val="auto"/>
                <w:szCs w:val="21"/>
              </w:rPr>
            </w:pPr>
            <w:r>
              <w:rPr>
                <w:rFonts w:cs="宋体" w:asciiTheme="minorEastAsia" w:hAnsiTheme="minorEastAsia"/>
                <w:bCs/>
                <w:color w:val="auto"/>
                <w:szCs w:val="21"/>
                <w:lang w:val="zh-CN"/>
              </w:rPr>
              <w:t>中标人将本项目非主体、非关键性工作分包</w:t>
            </w:r>
          </w:p>
        </w:tc>
        <w:tc>
          <w:tcPr>
            <w:tcW w:w="6813" w:type="dxa"/>
            <w:vAlign w:val="center"/>
          </w:tcPr>
          <w:p>
            <w:pPr>
              <w:autoSpaceDE w:val="0"/>
              <w:autoSpaceDN w:val="0"/>
              <w:adjustRightInd w:val="0"/>
              <w:spacing w:line="276" w:lineRule="auto"/>
              <w:rPr>
                <w:rFonts w:cs="仿宋_GB2312" w:asciiTheme="minorEastAsia" w:hAnsiTheme="minorEastAsia"/>
                <w:color w:val="auto"/>
                <w:szCs w:val="21"/>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 xml:space="preserve">不允许   </w:t>
            </w:r>
            <w:r>
              <w:rPr>
                <w:rFonts w:hint="eastAsia" w:cs="宋体" w:asciiTheme="minorEastAsia" w:hAnsiTheme="minorEastAsia"/>
                <w:b/>
                <w:bCs/>
                <w:color w:val="auto"/>
                <w:szCs w:val="21"/>
                <w:lang w:val="zh-CN"/>
              </w:rPr>
              <w:t>□</w:t>
            </w:r>
            <w:r>
              <w:rPr>
                <w:rFonts w:hint="eastAsia" w:cs="仿宋_GB2312" w:asciiTheme="minorEastAsia" w:hAnsiTheme="minorEastAsia"/>
                <w:color w:val="auto"/>
                <w:szCs w:val="21"/>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12</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投标截止及开标时间</w:t>
            </w:r>
          </w:p>
        </w:tc>
        <w:tc>
          <w:tcPr>
            <w:tcW w:w="6813" w:type="dxa"/>
            <w:vAlign w:val="center"/>
          </w:tcPr>
          <w:p>
            <w:pPr>
              <w:autoSpaceDE w:val="0"/>
              <w:autoSpaceDN w:val="0"/>
              <w:adjustRightInd w:val="0"/>
              <w:spacing w:line="360" w:lineRule="auto"/>
              <w:ind w:firstLine="210" w:firstLineChars="100"/>
              <w:rPr>
                <w:rFonts w:cs="宋体" w:asciiTheme="minorEastAsia" w:hAnsiTheme="minorEastAsia"/>
                <w:bCs/>
                <w:color w:val="auto"/>
                <w:szCs w:val="21"/>
                <w:lang w:val="zh-CN"/>
              </w:rPr>
            </w:pPr>
            <w:r>
              <w:rPr>
                <w:rFonts w:hint="eastAsia" w:cs="宋体" w:asciiTheme="minorEastAsia" w:hAnsiTheme="minorEastAsia"/>
                <w:bCs/>
                <w:color w:val="auto"/>
                <w:szCs w:val="21"/>
                <w:lang w:val="zh-CN"/>
              </w:rPr>
              <w:t xml:space="preserve">     </w:t>
            </w:r>
            <w:r>
              <w:rPr>
                <w:rFonts w:hint="eastAsia" w:cs="宋体" w:asciiTheme="minorEastAsia" w:hAnsiTheme="minorEastAsia"/>
                <w:bCs/>
                <w:color w:val="auto"/>
                <w:szCs w:val="21"/>
                <w:lang w:val="en-US" w:eastAsia="zh-CN"/>
              </w:rPr>
              <w:t>2024</w:t>
            </w:r>
            <w:r>
              <w:rPr>
                <w:rFonts w:hint="eastAsia" w:cs="宋体" w:asciiTheme="minorEastAsia" w:hAnsiTheme="minorEastAsia"/>
                <w:bCs/>
                <w:color w:val="auto"/>
                <w:szCs w:val="21"/>
                <w:lang w:val="zh-CN"/>
              </w:rPr>
              <w:t>年</w:t>
            </w:r>
            <w:r>
              <w:rPr>
                <w:rFonts w:hint="eastAsia" w:cs="宋体" w:asciiTheme="minorEastAsia" w:hAnsiTheme="minorEastAsia"/>
                <w:bCs/>
                <w:color w:val="auto"/>
                <w:szCs w:val="21"/>
                <w:lang w:val="en-US" w:eastAsia="zh-CN"/>
              </w:rPr>
              <w:t>7</w:t>
            </w:r>
            <w:r>
              <w:rPr>
                <w:rFonts w:hint="eastAsia" w:cs="宋体" w:asciiTheme="minorEastAsia" w:hAnsiTheme="minorEastAsia"/>
                <w:bCs/>
                <w:color w:val="auto"/>
                <w:szCs w:val="21"/>
                <w:lang w:val="zh-CN"/>
              </w:rPr>
              <w:t>月</w:t>
            </w:r>
            <w:r>
              <w:rPr>
                <w:rFonts w:hint="eastAsia" w:cs="宋体" w:asciiTheme="minorEastAsia" w:hAnsiTheme="minorEastAsia"/>
                <w:bCs/>
                <w:color w:val="auto"/>
                <w:szCs w:val="21"/>
                <w:lang w:val="en-US" w:eastAsia="zh-CN"/>
              </w:rPr>
              <w:t>3</w:t>
            </w:r>
            <w:r>
              <w:rPr>
                <w:rFonts w:hint="eastAsia" w:cs="宋体" w:asciiTheme="minorEastAsia" w:hAnsiTheme="minorEastAsia"/>
                <w:bCs/>
                <w:color w:val="auto"/>
                <w:szCs w:val="21"/>
                <w:lang w:val="zh-CN"/>
              </w:rPr>
              <w:t>日</w:t>
            </w:r>
            <w:r>
              <w:rPr>
                <w:rFonts w:hint="eastAsia" w:cs="宋体" w:asciiTheme="minorEastAsia" w:hAnsiTheme="minorEastAsia"/>
                <w:bCs/>
                <w:color w:val="auto"/>
                <w:szCs w:val="21"/>
                <w:lang w:val="en-US" w:eastAsia="zh-CN"/>
              </w:rPr>
              <w:t>8</w:t>
            </w:r>
            <w:r>
              <w:rPr>
                <w:rFonts w:hint="eastAsia" w:cs="宋体" w:asciiTheme="minorEastAsia" w:hAnsiTheme="minorEastAsia"/>
                <w:bCs/>
                <w:color w:val="auto"/>
                <w:szCs w:val="21"/>
                <w:lang w:val="zh-CN"/>
              </w:rPr>
              <w:t>时</w:t>
            </w:r>
            <w:r>
              <w:rPr>
                <w:rFonts w:hint="eastAsia" w:cs="宋体" w:asciiTheme="minorEastAsia" w:hAnsiTheme="minorEastAsia"/>
                <w:bCs/>
                <w:color w:val="auto"/>
                <w:szCs w:val="21"/>
                <w:lang w:val="en-US" w:eastAsia="zh-CN"/>
              </w:rPr>
              <w:t>30</w:t>
            </w:r>
            <w:r>
              <w:rPr>
                <w:rFonts w:hint="eastAsia" w:cs="宋体" w:asciiTheme="minorEastAsia" w:hAnsiTheme="minorEastAsia"/>
                <w:bCs/>
                <w:color w:val="auto"/>
                <w:szCs w:val="21"/>
                <w:lang w:val="zh-CN"/>
              </w:rPr>
              <w:t>分（北京时间）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13</w:t>
            </w:r>
          </w:p>
        </w:tc>
        <w:tc>
          <w:tcPr>
            <w:tcW w:w="2268" w:type="dxa"/>
            <w:vAlign w:val="center"/>
          </w:tcPr>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开标地点</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仿宋_GB2312" w:asciiTheme="minorEastAsia" w:hAnsiTheme="minorEastAsia"/>
                <w:color w:val="auto"/>
                <w:szCs w:val="21"/>
              </w:rPr>
              <w:t>开标地点：许昌市公共资源交易中心开标</w:t>
            </w:r>
            <w:r>
              <w:rPr>
                <w:rFonts w:hint="eastAsia" w:cs="仿宋_GB2312" w:asciiTheme="minorEastAsia" w:hAnsiTheme="minorEastAsia"/>
                <w:color w:val="auto"/>
                <w:szCs w:val="21"/>
                <w:lang w:val="en-US" w:eastAsia="zh-CN"/>
              </w:rPr>
              <w:t>4</w:t>
            </w:r>
            <w:r>
              <w:rPr>
                <w:rFonts w:hint="eastAsia" w:cs="仿宋_GB2312" w:asciiTheme="minorEastAsia" w:hAnsiTheme="minorEastAsia"/>
                <w:color w:val="auto"/>
                <w:szCs w:val="21"/>
              </w:rPr>
              <w:t>室（</w:t>
            </w:r>
            <w:r>
              <w:rPr>
                <w:rFonts w:hint="eastAsia" w:cs="Arial" w:asciiTheme="minorEastAsia" w:hAnsiTheme="minorEastAsia"/>
                <w:b/>
                <w:color w:val="auto"/>
                <w:szCs w:val="21"/>
              </w:rPr>
              <w:t>本项目采用远程不见面开标，投标人无须到交易中心现场</w:t>
            </w:r>
            <w:r>
              <w:rPr>
                <w:rFonts w:hint="eastAsia" w:cs="Arial" w:asciiTheme="minorEastAsia" w:hAnsiTheme="minorEastAsia"/>
                <w:color w:val="auto"/>
                <w:szCs w:val="21"/>
              </w:rPr>
              <w:t>）</w:t>
            </w:r>
            <w:r>
              <w:rPr>
                <w:rFonts w:hint="eastAsia" w:cs="仿宋_GB2312" w:asciiTheme="minorEastAsia" w:hAnsiTheme="minorEastAsia"/>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14</w:t>
            </w:r>
          </w:p>
        </w:tc>
        <w:tc>
          <w:tcPr>
            <w:tcW w:w="2268" w:type="dxa"/>
            <w:vAlign w:val="center"/>
          </w:tcPr>
          <w:p>
            <w:pPr>
              <w:autoSpaceDE w:val="0"/>
              <w:autoSpaceDN w:val="0"/>
              <w:adjustRightInd w:val="0"/>
              <w:spacing w:line="276" w:lineRule="auto"/>
              <w:jc w:val="center"/>
              <w:rPr>
                <w:rFonts w:cs="宋体" w:asciiTheme="minorEastAsia" w:hAnsiTheme="minorEastAsia"/>
                <w:bCs/>
                <w:color w:val="auto"/>
                <w:szCs w:val="21"/>
                <w:lang w:val="zh-CN"/>
              </w:rPr>
            </w:pPr>
            <w:r>
              <w:rPr>
                <w:rFonts w:hint="eastAsia" w:cs="宋体" w:asciiTheme="minorEastAsia" w:hAnsiTheme="minorEastAsia"/>
                <w:color w:val="auto"/>
                <w:kern w:val="0"/>
                <w:szCs w:val="21"/>
              </w:rPr>
              <w:t>投标保证金</w:t>
            </w:r>
          </w:p>
        </w:tc>
        <w:tc>
          <w:tcPr>
            <w:tcW w:w="6813" w:type="dxa"/>
            <w:vAlign w:val="center"/>
          </w:tcPr>
          <w:p>
            <w:pPr>
              <w:tabs>
                <w:tab w:val="left" w:pos="1260"/>
              </w:tabs>
              <w:autoSpaceDE w:val="0"/>
              <w:autoSpaceDN w:val="0"/>
              <w:adjustRightInd w:val="0"/>
              <w:spacing w:line="360" w:lineRule="auto"/>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本项目不收取。</w:t>
            </w:r>
          </w:p>
          <w:p>
            <w:pPr>
              <w:tabs>
                <w:tab w:val="left" w:pos="1260"/>
              </w:tabs>
              <w:autoSpaceDE w:val="0"/>
              <w:autoSpaceDN w:val="0"/>
              <w:adjustRightInd w:val="0"/>
              <w:spacing w:line="360" w:lineRule="auto"/>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投标人应提供投标承诺函。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15</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公告发布</w:t>
            </w:r>
          </w:p>
        </w:tc>
        <w:tc>
          <w:tcPr>
            <w:tcW w:w="6813" w:type="dxa"/>
            <w:tcBorders>
              <w:top w:val="single" w:color="auto" w:sz="4" w:space="0"/>
            </w:tcBorders>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color w:val="auto"/>
                <w:szCs w:val="21"/>
              </w:rPr>
              <w:t>招标公告、中标公告、变更（更正）公告、现场勘察答复等相关信息同时在以下网站发布：《中国政府采购网》、《河南省政府采购网》、《许昌市政府采购网》、《全国公共资源交易平台（河南省·许昌市）》、《</w:t>
            </w:r>
            <w:r>
              <w:rPr>
                <w:color w:val="auto"/>
              </w:rPr>
              <w:fldChar w:fldCharType="begin"/>
            </w:r>
            <w:r>
              <w:rPr>
                <w:color w:val="auto"/>
              </w:rPr>
              <w:instrText xml:space="preserve"> HYPERLINK "https://www.baidu.com/link?url=8rmedzOhlAuXDcXgh4Ih79cf3oX63OtO_HyxHSCPnTT6Bb4nFcbI-6b-kaJFEjJrZKGkaq6fZ0YCvibRAKulsXONz3kZBFBKcnun2fra-tu&amp;wd=&amp;eqid=f166cd3a00044721000000025acd62c1" \t "_blank" </w:instrText>
            </w:r>
            <w:r>
              <w:rPr>
                <w:color w:val="auto"/>
              </w:rPr>
              <w:fldChar w:fldCharType="separate"/>
            </w:r>
            <w:r>
              <w:rPr>
                <w:rFonts w:cs="宋体" w:asciiTheme="minorEastAsia" w:hAnsiTheme="minorEastAsia"/>
                <w:color w:val="auto"/>
                <w:szCs w:val="21"/>
              </w:rPr>
              <w:t>许昌市人民政府门户网站</w:t>
            </w:r>
            <w:r>
              <w:rPr>
                <w:rFonts w:cs="宋体" w:asciiTheme="minorEastAsia" w:hAnsiTheme="minorEastAsia"/>
                <w:color w:val="auto"/>
                <w:szCs w:val="21"/>
              </w:rPr>
              <w:fldChar w:fldCharType="end"/>
            </w:r>
            <w:r>
              <w:rPr>
                <w:rFonts w:hint="eastAsia" w:cs="宋体" w:asciiTheme="minorEastAsia" w:hAnsiTheme="minorEastAsia"/>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16</w:t>
            </w:r>
          </w:p>
        </w:tc>
        <w:tc>
          <w:tcPr>
            <w:tcW w:w="2268" w:type="dxa"/>
            <w:vAlign w:val="center"/>
          </w:tcPr>
          <w:p>
            <w:pPr>
              <w:autoSpaceDE w:val="0"/>
              <w:autoSpaceDN w:val="0"/>
              <w:adjustRightInd w:val="0"/>
              <w:spacing w:line="360"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采购人澄清或修改</w:t>
            </w:r>
          </w:p>
          <w:p>
            <w:pPr>
              <w:autoSpaceDE w:val="0"/>
              <w:autoSpaceDN w:val="0"/>
              <w:adjustRightInd w:val="0"/>
              <w:spacing w:line="360" w:lineRule="auto"/>
              <w:jc w:val="center"/>
              <w:rPr>
                <w:rFonts w:cs="黑体" w:asciiTheme="minorEastAsia" w:hAnsiTheme="minorEastAsia"/>
                <w:color w:val="auto"/>
                <w:szCs w:val="21"/>
              </w:rPr>
            </w:pPr>
            <w:r>
              <w:rPr>
                <w:rFonts w:hint="eastAsia" w:cs="仿宋_GB2312" w:asciiTheme="minorEastAsia" w:hAnsiTheme="minorEastAsia"/>
                <w:color w:val="auto"/>
                <w:szCs w:val="21"/>
              </w:rPr>
              <w:t>招标文件时间</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投标截止时间15日前（</w:t>
            </w:r>
            <w:r>
              <w:rPr>
                <w:rFonts w:hint="eastAsia" w:cs="仿宋_GB2312" w:asciiTheme="minorEastAsia" w:hAnsiTheme="minorEastAsia"/>
                <w:color w:val="auto"/>
                <w:szCs w:val="21"/>
                <w:lang w:val="zh-CN"/>
              </w:rPr>
              <w:t>澄清内容可能影响投标文件编制的）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17</w:t>
            </w:r>
          </w:p>
        </w:tc>
        <w:tc>
          <w:tcPr>
            <w:tcW w:w="2268" w:type="dxa"/>
            <w:vAlign w:val="center"/>
          </w:tcPr>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投标人对采购文件</w:t>
            </w:r>
          </w:p>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质疑截止时间</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招标公告期满之日起七个工作日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18</w:t>
            </w:r>
          </w:p>
        </w:tc>
        <w:tc>
          <w:tcPr>
            <w:tcW w:w="2268" w:type="dxa"/>
            <w:vAlign w:val="center"/>
          </w:tcPr>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投标文件份数</w:t>
            </w:r>
          </w:p>
        </w:tc>
        <w:tc>
          <w:tcPr>
            <w:tcW w:w="6813" w:type="dxa"/>
            <w:vAlign w:val="center"/>
          </w:tcPr>
          <w:p>
            <w:pPr>
              <w:autoSpaceDE w:val="0"/>
              <w:autoSpaceDN w:val="0"/>
              <w:adjustRightInd w:val="0"/>
              <w:spacing w:line="360" w:lineRule="auto"/>
              <w:rPr>
                <w:rFonts w:cs="宋体" w:asciiTheme="minorEastAsia" w:hAnsiTheme="minorEastAsia"/>
                <w:color w:val="auto"/>
                <w:szCs w:val="21"/>
              </w:rPr>
            </w:pPr>
            <w:r>
              <w:rPr>
                <w:rFonts w:ascii="新宋体" w:hAnsi="新宋体" w:eastAsia="新宋体"/>
                <w:b/>
                <w:color w:val="auto"/>
                <w:szCs w:val="21"/>
              </w:rPr>
              <w:fldChar w:fldCharType="begin"/>
            </w:r>
            <w:r>
              <w:rPr>
                <w:rFonts w:hint="eastAsia" w:ascii="新宋体" w:hAnsi="新宋体" w:eastAsia="新宋体"/>
                <w:b/>
                <w:color w:val="auto"/>
                <w:szCs w:val="21"/>
              </w:rPr>
              <w:instrText xml:space="preserve">eq \o\ac(□,√)</w:instrText>
            </w:r>
            <w:r>
              <w:rPr>
                <w:rFonts w:ascii="新宋体" w:hAnsi="新宋体" w:eastAsia="新宋体"/>
                <w:b/>
                <w:color w:val="auto"/>
                <w:szCs w:val="21"/>
              </w:rPr>
              <w:fldChar w:fldCharType="end"/>
            </w:r>
            <w:r>
              <w:rPr>
                <w:rFonts w:hint="eastAsia" w:ascii="新宋体" w:hAnsi="新宋体" w:eastAsia="新宋体"/>
                <w:color w:val="auto"/>
                <w:szCs w:val="21"/>
              </w:rPr>
              <w:t>电子投标文件：成功上传至《全国公共资源交易平台（河南省·许昌市）》公共资源交易系统加密电子投标文件1份</w:t>
            </w:r>
            <w:r>
              <w:rPr>
                <w:rFonts w:hint="eastAsia" w:hAnsi="宋体" w:cs="宋体"/>
                <w:color w:val="auto"/>
                <w:szCs w:val="21"/>
                <w:lang w:val="zh-CN"/>
              </w:rPr>
              <w:t>（文件格式为： XXX公司XXX项目编号.file）。</w:t>
            </w:r>
          </w:p>
          <w:p>
            <w:pPr>
              <w:autoSpaceDE w:val="0"/>
              <w:autoSpaceDN w:val="0"/>
              <w:adjustRightInd w:val="0"/>
              <w:spacing w:line="360" w:lineRule="auto"/>
              <w:rPr>
                <w:rFonts w:ascii="新宋体" w:hAnsi="新宋体" w:eastAsia="新宋体"/>
                <w:color w:val="auto"/>
                <w:szCs w:val="21"/>
              </w:rPr>
            </w:pPr>
            <w:r>
              <w:rPr>
                <w:rFonts w:hint="eastAsia" w:cs="宋体" w:asciiTheme="minorEastAsia" w:hAnsiTheme="minorEastAsia"/>
                <w:b/>
                <w:bCs/>
                <w:color w:val="auto"/>
                <w:szCs w:val="21"/>
                <w:lang w:val="zh-CN"/>
              </w:rPr>
              <w:t>□</w:t>
            </w:r>
            <w:r>
              <w:rPr>
                <w:rFonts w:hint="eastAsia" w:ascii="新宋体" w:hAnsi="新宋体" w:eastAsia="新宋体"/>
                <w:color w:val="auto"/>
                <w:szCs w:val="21"/>
              </w:rPr>
              <w:t>纸质投标文件：</w:t>
            </w:r>
            <w:r>
              <w:rPr>
                <w:rFonts w:hint="eastAsia" w:cs="仿宋_GB2312" w:asciiTheme="minorEastAsia" w:hAnsiTheme="minorEastAsia"/>
                <w:color w:val="auto"/>
                <w:szCs w:val="21"/>
              </w:rPr>
              <w:t>正本</w:t>
            </w:r>
            <w:r>
              <w:rPr>
                <w:rFonts w:hint="eastAsia" w:cs="仿宋_GB2312" w:asciiTheme="minorEastAsia" w:hAnsiTheme="minorEastAsia"/>
                <w:b/>
                <w:color w:val="auto"/>
                <w:szCs w:val="21"/>
              </w:rPr>
              <w:t>一</w:t>
            </w:r>
            <w:r>
              <w:rPr>
                <w:rFonts w:hint="eastAsia" w:cs="仿宋_GB2312" w:asciiTheme="minorEastAsia" w:hAnsiTheme="minorEastAsia"/>
                <w:color w:val="auto"/>
                <w:szCs w:val="21"/>
              </w:rPr>
              <w:t>份，副本</w:t>
            </w:r>
            <w:r>
              <w:rPr>
                <w:rFonts w:hint="eastAsia" w:cs="仿宋_GB2312" w:asciiTheme="minorEastAsia" w:hAnsiTheme="minorEastAsia"/>
                <w:color w:val="auto"/>
                <w:szCs w:val="21"/>
                <w:u w:val="single"/>
              </w:rPr>
              <w:t xml:space="preserve"> 一 </w:t>
            </w:r>
            <w:r>
              <w:rPr>
                <w:rFonts w:hint="eastAsia" w:cs="仿宋_GB2312" w:asciiTheme="minorEastAsia" w:hAnsiTheme="minorEastAsia"/>
                <w:color w:val="auto"/>
                <w:szCs w:val="21"/>
              </w:rPr>
              <w:t>份。使用</w:t>
            </w:r>
            <w:r>
              <w:rPr>
                <w:rFonts w:hint="eastAsia" w:ascii="新宋体" w:hAnsi="新宋体" w:eastAsia="新宋体"/>
                <w:color w:val="auto"/>
                <w:szCs w:val="21"/>
              </w:rPr>
              <w:t>格式为“投标文件（供打印）.PDF”的文件。</w:t>
            </w:r>
          </w:p>
          <w:p>
            <w:pPr>
              <w:autoSpaceDE w:val="0"/>
              <w:autoSpaceDN w:val="0"/>
              <w:adjustRightInd w:val="0"/>
              <w:spacing w:line="360" w:lineRule="auto"/>
              <w:rPr>
                <w:rFonts w:cs="宋体" w:asciiTheme="minorEastAsia" w:hAnsiTheme="minorEastAsia"/>
                <w:bCs/>
                <w:color w:val="auto"/>
                <w:szCs w:val="21"/>
                <w:highlight w:val="lightGray"/>
                <w:lang w:val="zh-CN"/>
              </w:rPr>
            </w:pPr>
            <w:r>
              <w:rPr>
                <w:rFonts w:hint="eastAsia" w:ascii="新宋体" w:hAnsi="新宋体" w:eastAsia="新宋体"/>
                <w:color w:val="auto"/>
                <w:szCs w:val="21"/>
              </w:rPr>
              <w:t>电子投标文件和纸质投标文件的内容、格式、水印码、签章应一致。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19</w:t>
            </w:r>
          </w:p>
        </w:tc>
        <w:tc>
          <w:tcPr>
            <w:tcW w:w="2268" w:type="dxa"/>
            <w:vAlign w:val="center"/>
          </w:tcPr>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投标文件的</w:t>
            </w:r>
          </w:p>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签署盖章</w:t>
            </w:r>
          </w:p>
        </w:tc>
        <w:tc>
          <w:tcPr>
            <w:tcW w:w="6813" w:type="dxa"/>
            <w:vAlign w:val="center"/>
          </w:tcPr>
          <w:p>
            <w:pPr>
              <w:autoSpaceDE w:val="0"/>
              <w:autoSpaceDN w:val="0"/>
              <w:adjustRightInd w:val="0"/>
              <w:spacing w:line="420" w:lineRule="exact"/>
              <w:rPr>
                <w:rFonts w:ascii="新宋体" w:hAnsi="新宋体" w:eastAsia="新宋体"/>
                <w:color w:val="auto"/>
                <w:szCs w:val="21"/>
              </w:rPr>
            </w:pPr>
            <w:r>
              <w:rPr>
                <w:rFonts w:ascii="新宋体" w:hAnsi="新宋体" w:eastAsia="新宋体"/>
                <w:b/>
                <w:color w:val="auto"/>
                <w:szCs w:val="21"/>
              </w:rPr>
              <w:fldChar w:fldCharType="begin"/>
            </w:r>
            <w:r>
              <w:rPr>
                <w:rFonts w:hint="eastAsia" w:ascii="新宋体" w:hAnsi="新宋体" w:eastAsia="新宋体"/>
                <w:b/>
                <w:color w:val="auto"/>
                <w:szCs w:val="21"/>
              </w:rPr>
              <w:instrText xml:space="preserve">eq \o\ac(□,√)</w:instrText>
            </w:r>
            <w:r>
              <w:rPr>
                <w:rFonts w:ascii="新宋体" w:hAnsi="新宋体" w:eastAsia="新宋体"/>
                <w:b/>
                <w:color w:val="auto"/>
                <w:szCs w:val="21"/>
              </w:rPr>
              <w:fldChar w:fldCharType="end"/>
            </w:r>
            <w:r>
              <w:rPr>
                <w:rFonts w:hint="eastAsia" w:ascii="新宋体" w:hAnsi="新宋体" w:eastAsia="新宋体"/>
                <w:color w:val="auto"/>
                <w:szCs w:val="21"/>
              </w:rPr>
              <w:t>电子投标文件：按招标文件要求加盖投标人电子印章和法定代表人电子印章。</w:t>
            </w:r>
          </w:p>
          <w:p>
            <w:pPr>
              <w:autoSpaceDE w:val="0"/>
              <w:autoSpaceDN w:val="0"/>
              <w:adjustRightInd w:val="0"/>
              <w:spacing w:line="420" w:lineRule="exact"/>
              <w:rPr>
                <w:rFonts w:cs="仿宋_GB2312" w:asciiTheme="minorEastAsia" w:hAnsiTheme="minorEastAsia"/>
                <w:color w:val="auto"/>
                <w:szCs w:val="21"/>
                <w:highlight w:val="lightGray"/>
              </w:rPr>
            </w:pPr>
            <w:r>
              <w:rPr>
                <w:rFonts w:hint="eastAsia" w:cs="宋体" w:asciiTheme="minorEastAsia" w:hAnsiTheme="minorEastAsia"/>
                <w:b/>
                <w:bCs/>
                <w:color w:val="auto"/>
                <w:szCs w:val="21"/>
                <w:lang w:val="zh-CN"/>
              </w:rPr>
              <w:t>□</w:t>
            </w:r>
            <w:r>
              <w:rPr>
                <w:rFonts w:hint="eastAsia" w:ascii="新宋体" w:hAnsi="新宋体" w:eastAsia="新宋体"/>
                <w:color w:val="auto"/>
                <w:szCs w:val="21"/>
              </w:rPr>
              <w:t>纸质投标文件：投标文件封面加盖投标人公章（投标文件是指投标人电子投标文件制作完成后生成的后缀名为</w:t>
            </w:r>
            <w:r>
              <w:rPr>
                <w:rFonts w:hint="eastAsia" w:hAnsi="宋体"/>
                <w:color w:val="auto"/>
                <w:szCs w:val="21"/>
              </w:rPr>
              <w:t>“.PDF”的文件</w:t>
            </w:r>
            <w:r>
              <w:rPr>
                <w:rFonts w:hint="eastAsia" w:ascii="新宋体" w:hAnsi="新宋体" w:eastAsia="新宋体"/>
                <w:color w:val="auto"/>
                <w:szCs w:val="21"/>
              </w:rPr>
              <w:t>打印的纸质投标文件）。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TimesNewRomanPSMT" w:asciiTheme="minorEastAsia" w:hAnsiTheme="minorEastAsia"/>
                <w:color w:val="auto"/>
                <w:szCs w:val="21"/>
              </w:rPr>
            </w:pPr>
            <w:r>
              <w:rPr>
                <w:rFonts w:hint="eastAsia" w:cs="TimesNewRomanPSMT" w:asciiTheme="minorEastAsia" w:hAnsiTheme="minorEastAsia"/>
                <w:color w:val="auto"/>
                <w:szCs w:val="21"/>
              </w:rPr>
              <w:t>20</w:t>
            </w:r>
          </w:p>
        </w:tc>
        <w:tc>
          <w:tcPr>
            <w:tcW w:w="2268" w:type="dxa"/>
            <w:vAlign w:val="center"/>
          </w:tcPr>
          <w:p>
            <w:pPr>
              <w:autoSpaceDE w:val="0"/>
              <w:autoSpaceDN w:val="0"/>
              <w:adjustRightInd w:val="0"/>
              <w:spacing w:line="360" w:lineRule="auto"/>
              <w:jc w:val="center"/>
              <w:rPr>
                <w:rFonts w:cs="仿宋_GB2312" w:asciiTheme="minorEastAsia" w:hAnsiTheme="minorEastAsia"/>
                <w:color w:val="auto"/>
                <w:szCs w:val="21"/>
              </w:rPr>
            </w:pPr>
            <w:r>
              <w:rPr>
                <w:rFonts w:hint="eastAsia" w:cs="黑体" w:asciiTheme="minorEastAsia" w:hAnsiTheme="minorEastAsia"/>
                <w:color w:val="auto"/>
                <w:szCs w:val="21"/>
              </w:rPr>
              <w:t>评标委员会组建</w:t>
            </w:r>
          </w:p>
        </w:tc>
        <w:tc>
          <w:tcPr>
            <w:tcW w:w="6813" w:type="dxa"/>
            <w:vAlign w:val="center"/>
          </w:tcPr>
          <w:p>
            <w:pPr>
              <w:autoSpaceDE w:val="0"/>
              <w:autoSpaceDN w:val="0"/>
              <w:adjustRightInd w:val="0"/>
              <w:spacing w:line="360" w:lineRule="auto"/>
              <w:rPr>
                <w:rFonts w:cs="仿宋_GB2312" w:asciiTheme="minorEastAsia" w:hAnsiTheme="minorEastAsia"/>
                <w:color w:val="auto"/>
                <w:szCs w:val="21"/>
                <w:lang w:val="zh-CN"/>
              </w:rPr>
            </w:pPr>
            <w:r>
              <w:rPr>
                <w:rFonts w:ascii="新宋体" w:hAnsi="新宋体" w:eastAsia="新宋体"/>
                <w:b/>
                <w:color w:val="auto"/>
                <w:szCs w:val="21"/>
              </w:rPr>
              <w:fldChar w:fldCharType="begin"/>
            </w:r>
            <w:r>
              <w:rPr>
                <w:rFonts w:hint="eastAsia" w:ascii="新宋体" w:hAnsi="新宋体" w:eastAsia="新宋体"/>
                <w:b/>
                <w:color w:val="auto"/>
                <w:szCs w:val="21"/>
              </w:rPr>
              <w:instrText xml:space="preserve">eq \o\ac(□)</w:instrText>
            </w:r>
            <w:r>
              <w:rPr>
                <w:rFonts w:ascii="新宋体" w:hAnsi="新宋体" w:eastAsia="新宋体"/>
                <w:b/>
                <w:color w:val="auto"/>
                <w:szCs w:val="21"/>
              </w:rPr>
              <w:fldChar w:fldCharType="end"/>
            </w:r>
            <w:r>
              <w:rPr>
                <w:rFonts w:hint="eastAsia" w:cs="仿宋_GB2312" w:asciiTheme="minorEastAsia" w:hAnsiTheme="minorEastAsia"/>
                <w:color w:val="auto"/>
                <w:szCs w:val="21"/>
                <w:lang w:val="zh-CN"/>
              </w:rPr>
              <w:t>由采购人代表和评审专家组成，其中评审专家的人数不少于评标委员会成员总数的三分之二。评审专家从政府采购评审专家库中随机抽取。</w:t>
            </w:r>
          </w:p>
          <w:p>
            <w:pPr>
              <w:autoSpaceDE w:val="0"/>
              <w:autoSpaceDN w:val="0"/>
              <w:adjustRightInd w:val="0"/>
              <w:spacing w:line="360" w:lineRule="auto"/>
              <w:rPr>
                <w:rFonts w:cs="宋体" w:asciiTheme="minorEastAsia" w:hAnsiTheme="minorEastAsia"/>
                <w:bCs/>
                <w:color w:val="auto"/>
                <w:szCs w:val="21"/>
                <w:lang w:val="zh-CN"/>
              </w:rPr>
            </w:pPr>
            <w:r>
              <w:rPr>
                <w:rFonts w:hint="eastAsia" w:cs="仿宋_GB2312" w:asciiTheme="minorEastAsia" w:hAnsiTheme="minorEastAsia"/>
                <w:color w:val="auto"/>
                <w:szCs w:val="21"/>
                <w:lang w:val="zh-CN"/>
              </w:rPr>
              <w:sym w:font="Wingdings 2" w:char="0052"/>
            </w:r>
            <w:r>
              <w:rPr>
                <w:rFonts w:hint="eastAsia" w:cs="仿宋_GB2312" w:asciiTheme="minorEastAsia" w:hAnsiTheme="minorEastAsia"/>
                <w:color w:val="auto"/>
                <w:szCs w:val="21"/>
                <w:lang w:val="zh-CN"/>
              </w:rPr>
              <w:t>由评审专家组成。评审专家从政府采购评审专家库中随机抽取。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21</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仿宋_GB2312" w:asciiTheme="minorEastAsia" w:hAnsiTheme="minorEastAsia"/>
                <w:color w:val="auto"/>
                <w:szCs w:val="21"/>
              </w:rPr>
              <w:t>评标方法</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综合评分法</w:t>
            </w:r>
            <w:r>
              <w:rPr>
                <w:rFonts w:hint="eastAsia" w:cs="宋体" w:asciiTheme="minorEastAsia" w:hAnsiTheme="minorEastAsia"/>
                <w:b/>
                <w:bCs/>
                <w:color w:val="auto"/>
                <w:szCs w:val="21"/>
                <w:lang w:val="zh-CN"/>
              </w:rPr>
              <w:t>□</w:t>
            </w:r>
            <w:r>
              <w:rPr>
                <w:rFonts w:hint="eastAsia" w:cs="仿宋_GB2312" w:asciiTheme="minorEastAsia" w:hAnsiTheme="minorEastAsia"/>
                <w:color w:val="auto"/>
                <w:szCs w:val="21"/>
                <w:lang w:val="zh-CN"/>
              </w:rPr>
              <w:t>最低评标价法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22</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中小企业有关政策</w:t>
            </w:r>
          </w:p>
        </w:tc>
        <w:tc>
          <w:tcPr>
            <w:tcW w:w="6813" w:type="dxa"/>
            <w:vAlign w:val="center"/>
          </w:tcPr>
          <w:p>
            <w:pPr>
              <w:autoSpaceDE w:val="0"/>
              <w:autoSpaceDN w:val="0"/>
              <w:adjustRightInd w:val="0"/>
              <w:spacing w:line="360" w:lineRule="auto"/>
              <w:contextualSpacing/>
              <w:rPr>
                <w:rFonts w:ascii="ˎ̥" w:hAnsi="ˎ̥"/>
                <w:color w:val="auto"/>
              </w:rPr>
            </w:pPr>
            <w:r>
              <w:rPr>
                <w:rFonts w:hint="eastAsia" w:ascii="ˎ̥" w:hAnsi="ˎ̥"/>
                <w:color w:val="auto"/>
              </w:rPr>
              <w:t>1、根据工信部等部委发布的《关于印发中小企业划型标准规定的通知》（工信部联企业〔2011〕300号），按照本次采购标的所属行业的划型标准，符合条件的中小企业应按照招标文件格式要求提供《中小企业声明函》，</w:t>
            </w:r>
            <w:r>
              <w:rPr>
                <w:rFonts w:ascii="ˎ̥" w:hAnsi="ˎ̥"/>
                <w:color w:val="auto"/>
              </w:rPr>
              <w:t>否则不得享受相关中小企业扶持政策。</w:t>
            </w:r>
          </w:p>
          <w:p>
            <w:pPr>
              <w:autoSpaceDE w:val="0"/>
              <w:autoSpaceDN w:val="0"/>
              <w:adjustRightInd w:val="0"/>
              <w:spacing w:line="360" w:lineRule="auto"/>
              <w:contextualSpacing/>
              <w:rPr>
                <w:rFonts w:ascii="ˎ̥" w:hAnsi="ˎ̥"/>
                <w:color w:val="auto"/>
              </w:rPr>
            </w:pPr>
            <w:r>
              <w:rPr>
                <w:rFonts w:hint="eastAsia" w:ascii="ˎ̥" w:hAnsi="ˎ̥"/>
                <w:color w:val="auto"/>
              </w:rPr>
              <w:t>2、根据财政部、工业和信息化部发布的《政府采购促进中小企业发展管理办法》（财库〔2020〕46号）、《关于进一步加大政府采购支持中小企业力度的通知》（财库〔2022〕19号）规定，对小型和微型企业投标价格给予20%（10%-20%）的扣除，用扣除后的价格参与评审。</w:t>
            </w:r>
          </w:p>
          <w:p>
            <w:pPr>
              <w:spacing w:line="360" w:lineRule="auto"/>
              <w:contextualSpacing/>
              <w:rPr>
                <w:rFonts w:ascii="ˎ̥" w:hAnsi="ˎ̥"/>
                <w:color w:val="auto"/>
              </w:rPr>
            </w:pPr>
            <w:r>
              <w:rPr>
                <w:rFonts w:hint="eastAsia" w:ascii="ˎ̥" w:hAnsi="ˎ̥"/>
                <w:color w:val="auto"/>
              </w:rPr>
              <w:t>3、</w:t>
            </w:r>
            <w:r>
              <w:rPr>
                <w:rFonts w:ascii="ˎ̥" w:hAnsi="ˎ̥"/>
                <w:color w:val="auto"/>
              </w:rPr>
              <w:t>以联合体形式参加政府采购活动，联合体各方均为中小企业的，联合体视同中小企业。其中，联合体各方均为小微企业的，联合体视同小微企业。</w:t>
            </w:r>
          </w:p>
          <w:p>
            <w:pPr>
              <w:autoSpaceDE w:val="0"/>
              <w:autoSpaceDN w:val="0"/>
              <w:adjustRightInd w:val="0"/>
              <w:spacing w:line="360" w:lineRule="auto"/>
              <w:contextualSpacing/>
              <w:rPr>
                <w:rFonts w:ascii="ˎ̥" w:hAnsi="ˎ̥"/>
                <w:color w:val="auto"/>
              </w:rPr>
            </w:pPr>
            <w:r>
              <w:rPr>
                <w:rFonts w:hint="eastAsia" w:ascii="ˎ̥" w:hAnsi="ˎ̥"/>
                <w:color w:val="auto"/>
              </w:rPr>
              <w:t>4、</w:t>
            </w:r>
            <w:r>
              <w:rPr>
                <w:rFonts w:ascii="ˎ̥" w:hAnsi="ˎ̥"/>
                <w:color w:val="auto"/>
              </w:rPr>
              <w:t>接受大中型企业与小微企业组成联合体或者允许大中型企业向一家或者多家小微企业分包的采购项目，对于联合协议或者分包意向协议约定小微企业的合同份额占到合同总金额 30%以上的，采购人、采购代理机构应当对联合体或者大中型企业的报价给予</w:t>
            </w:r>
            <w:r>
              <w:rPr>
                <w:rFonts w:ascii="ˎ̥" w:hAnsi="ˎ̥"/>
                <w:color w:val="auto"/>
                <w:u w:val="single"/>
              </w:rPr>
              <w:t>4</w:t>
            </w:r>
            <w:r>
              <w:rPr>
                <w:rFonts w:ascii="ˎ̥" w:hAnsi="ˎ̥"/>
                <w:color w:val="auto"/>
              </w:rPr>
              <w:t>%（</w:t>
            </w:r>
            <w:r>
              <w:rPr>
                <w:rFonts w:hint="eastAsia" w:ascii="ˎ̥" w:hAnsi="ˎ̥"/>
                <w:color w:val="auto"/>
              </w:rPr>
              <w:t>4</w:t>
            </w:r>
            <w:r>
              <w:rPr>
                <w:rFonts w:ascii="ˎ̥" w:hAnsi="ˎ̥"/>
                <w:color w:val="auto"/>
              </w:rPr>
              <w:t>—</w:t>
            </w:r>
            <w:r>
              <w:rPr>
                <w:rFonts w:hint="eastAsia" w:ascii="ˎ̥" w:hAnsi="ˎ̥"/>
                <w:color w:val="auto"/>
              </w:rPr>
              <w:t>6</w:t>
            </w:r>
            <w:r>
              <w:rPr>
                <w:rFonts w:ascii="ˎ̥" w:hAnsi="ˎ̥"/>
                <w:color w:val="auto"/>
              </w:rPr>
              <w:t>%）的扣除，用扣除后的价格参加评审。组成联合体或者接受分包的小微企业与联合体内其他企业、分包企业之间存在直接控股、管理关系的，不享受价格扣除优惠政策。</w:t>
            </w:r>
          </w:p>
          <w:p>
            <w:pPr>
              <w:autoSpaceDE w:val="0"/>
              <w:autoSpaceDN w:val="0"/>
              <w:adjustRightInd w:val="0"/>
              <w:spacing w:line="360" w:lineRule="auto"/>
              <w:contextualSpacing/>
              <w:rPr>
                <w:rFonts w:ascii="ˎ̥" w:hAnsi="ˎ̥"/>
                <w:color w:val="auto"/>
              </w:rPr>
            </w:pPr>
            <w:r>
              <w:rPr>
                <w:rFonts w:hint="eastAsia" w:ascii="ˎ̥" w:hAnsi="ˎ̥"/>
                <w:color w:val="auto"/>
              </w:rPr>
              <w:t>5、提供由省级以上监狱管理局、戒毒管理局（含新疆生产建设兵团）出具的属于监狱企业证明文件的，视同为小型和微型企业。</w:t>
            </w:r>
          </w:p>
          <w:p>
            <w:pPr>
              <w:autoSpaceDE w:val="0"/>
              <w:autoSpaceDN w:val="0"/>
              <w:adjustRightInd w:val="0"/>
              <w:spacing w:line="360" w:lineRule="auto"/>
              <w:contextualSpacing/>
              <w:rPr>
                <w:rFonts w:cs="宋体" w:asciiTheme="minorEastAsia" w:hAnsiTheme="minorEastAsia"/>
                <w:b/>
                <w:color w:val="auto"/>
                <w:kern w:val="0"/>
                <w:szCs w:val="21"/>
                <w:lang w:val="zh-CN"/>
              </w:rPr>
            </w:pPr>
            <w:r>
              <w:rPr>
                <w:rFonts w:hint="eastAsia" w:ascii="ˎ̥" w:hAnsi="ˎ̥"/>
                <w:color w:val="auto"/>
              </w:rPr>
              <w:t>6、符合享受政府采购支持政策的残疾人福利性单位条件且提供《残疾人福利性单位声明函》的，视同为小型和微型企业。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23</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节能环保要求</w:t>
            </w:r>
          </w:p>
        </w:tc>
        <w:tc>
          <w:tcPr>
            <w:tcW w:w="6813" w:type="dxa"/>
            <w:vAlign w:val="center"/>
          </w:tcPr>
          <w:p>
            <w:pPr>
              <w:autoSpaceDE w:val="0"/>
              <w:autoSpaceDN w:val="0"/>
              <w:adjustRightInd w:val="0"/>
              <w:spacing w:line="360" w:lineRule="auto"/>
              <w:rPr>
                <w:rFonts w:cs="宋体" w:asciiTheme="minorEastAsia" w:hAnsiTheme="minorEastAsia"/>
                <w:b/>
                <w:bCs/>
                <w:color w:val="auto"/>
                <w:szCs w:val="21"/>
                <w:lang w:val="zh-CN"/>
              </w:rPr>
            </w:pPr>
            <w:r>
              <w:rPr>
                <w:rFonts w:hint="eastAsia" w:cs="宋体" w:asciiTheme="minorEastAsia" w:hAnsiTheme="minorEastAsia"/>
                <w:bCs/>
                <w:color w:val="auto"/>
                <w:szCs w:val="21"/>
                <w:lang w:val="zh-CN"/>
              </w:rPr>
              <w:t>1、本项目强制采购的节能产品：</w:t>
            </w:r>
            <w:r>
              <w:rPr>
                <w:rFonts w:hint="eastAsia" w:cs="宋体" w:asciiTheme="minorEastAsia" w:hAnsiTheme="minorEastAsia"/>
                <w:b/>
                <w:bCs/>
                <w:color w:val="auto"/>
                <w:szCs w:val="21"/>
                <w:lang w:val="zh-CN"/>
              </w:rPr>
              <w:t>（招标文件采购清单中LED大屏显示系统序号11、序号12）</w:t>
            </w:r>
          </w:p>
          <w:p>
            <w:pPr>
              <w:autoSpaceDE w:val="0"/>
              <w:autoSpaceDN w:val="0"/>
              <w:adjustRightInd w:val="0"/>
              <w:spacing w:line="360" w:lineRule="auto"/>
              <w:rPr>
                <w:rFonts w:ascii="ˎ̥" w:hAnsi="ˎ̥"/>
                <w:color w:val="auto"/>
              </w:rPr>
            </w:pPr>
            <w:r>
              <w:rPr>
                <w:rFonts w:hint="eastAsia" w:cs="宋体" w:asciiTheme="minorEastAsia" w:hAnsiTheme="minorEastAsia"/>
                <w:bCs/>
                <w:color w:val="auto"/>
                <w:szCs w:val="21"/>
                <w:lang w:val="zh-CN"/>
              </w:rPr>
              <w:t>2、执行《财政部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属于政府强制采购产品的，须提供国家确定的认证机构出具的、处于有效期之内的节能产品认证证书，否则投标无效；属于政府优先采购产品的，须提供国家确定的认证机构出具的、处于有效期之内的节能产品、环境标志产品认证证书，否则不予认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24</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网络关键设备、网络安全专用产品要求</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1、本项目网络关键设备：</w:t>
            </w:r>
            <w:r>
              <w:rPr>
                <w:rFonts w:hint="eastAsia" w:cs="宋体" w:asciiTheme="minorEastAsia" w:hAnsiTheme="minorEastAsia"/>
                <w:b/>
                <w:bCs/>
                <w:color w:val="auto"/>
                <w:szCs w:val="21"/>
                <w:lang w:val="zh-CN"/>
              </w:rPr>
              <w:t>（</w:t>
            </w:r>
            <w:r>
              <w:rPr>
                <w:rFonts w:hint="eastAsia" w:cs="宋体" w:asciiTheme="minorEastAsia" w:hAnsiTheme="minorEastAsia"/>
                <w:b/>
                <w:bCs/>
                <w:color w:val="auto"/>
                <w:szCs w:val="21"/>
                <w:lang w:val="en-US" w:eastAsia="zh-CN"/>
              </w:rPr>
              <w:t>无</w:t>
            </w:r>
            <w:r>
              <w:rPr>
                <w:rFonts w:hint="eastAsia" w:cs="宋体" w:asciiTheme="minorEastAsia" w:hAnsiTheme="minorEastAsia"/>
                <w:b/>
                <w:bCs/>
                <w:color w:val="auto"/>
                <w:szCs w:val="21"/>
                <w:lang w:val="zh-CN"/>
              </w:rPr>
              <w:t>）；</w:t>
            </w:r>
            <w:r>
              <w:rPr>
                <w:rFonts w:hint="eastAsia" w:cs="宋体" w:asciiTheme="minorEastAsia" w:hAnsiTheme="minorEastAsia"/>
                <w:bCs/>
                <w:color w:val="auto"/>
                <w:szCs w:val="21"/>
                <w:lang w:val="zh-CN"/>
              </w:rPr>
              <w:t>网络安全专用产品：</w:t>
            </w:r>
            <w:r>
              <w:rPr>
                <w:rFonts w:hint="eastAsia" w:cs="宋体" w:asciiTheme="minorEastAsia" w:hAnsiTheme="minorEastAsia"/>
                <w:b/>
                <w:bCs/>
                <w:color w:val="auto"/>
                <w:szCs w:val="21"/>
                <w:lang w:val="zh-CN"/>
              </w:rPr>
              <w:t>（</w:t>
            </w:r>
            <w:r>
              <w:rPr>
                <w:rFonts w:hint="eastAsia" w:cs="宋体" w:asciiTheme="minorEastAsia" w:hAnsiTheme="minorEastAsia"/>
                <w:b/>
                <w:bCs/>
                <w:color w:val="auto"/>
                <w:szCs w:val="21"/>
                <w:lang w:val="en-US" w:eastAsia="zh-CN"/>
              </w:rPr>
              <w:t>无</w:t>
            </w:r>
            <w:r>
              <w:rPr>
                <w:rFonts w:hint="eastAsia" w:cs="宋体" w:asciiTheme="minorEastAsia" w:hAnsiTheme="minorEastAsia"/>
                <w:b/>
                <w:bCs/>
                <w:color w:val="auto"/>
                <w:szCs w:val="21"/>
                <w:lang w:val="zh-CN"/>
              </w:rPr>
              <w:t>）</w:t>
            </w:r>
          </w:p>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2、本项目中涉及网络关键设备或网络安全专用产品的，执行国家互联网信息办公室、工业和信息化部、公安部和国家认证认可监督管理委员会 2023 年第 2 号《关于调整&lt;网络关键设备和网络安全专用产品目录&gt;的公告》及国家互联网信息办公室、工业和信息化部、公安部、财政部和国家认证认可监督管理委员会 2023 年第 1 号《关于调整网络安全专用产品安全管理有关事项的公告》等相关文件要求，本次投标（响应）设备或产品至少符合以下条件之一：一是已由具备资格的机构安全认证合格或安全检测符合要求；二是已获得《计算机信息系统安全专用产品销售许可证》，且在有效期内。</w:t>
            </w:r>
          </w:p>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3、提供资料（下列资料任意一项）</w:t>
            </w:r>
          </w:p>
          <w:p>
            <w:pPr>
              <w:autoSpaceDE w:val="0"/>
              <w:autoSpaceDN w:val="0"/>
              <w:adjustRightInd w:val="0"/>
              <w:spacing w:line="360" w:lineRule="auto"/>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1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①</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网络关键设备和网络安全专用产品安全认证证书；</w:t>
            </w:r>
          </w:p>
          <w:p>
            <w:pPr>
              <w:autoSpaceDE w:val="0"/>
              <w:autoSpaceDN w:val="0"/>
              <w:adjustRightInd w:val="0"/>
              <w:spacing w:line="360" w:lineRule="auto"/>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2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②</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网络关键设备安全检测证书、网络安全专用产品安全检测证书；</w:t>
            </w:r>
          </w:p>
          <w:p>
            <w:pPr>
              <w:autoSpaceDE w:val="0"/>
              <w:autoSpaceDN w:val="0"/>
              <w:adjustRightInd w:val="0"/>
              <w:spacing w:line="360" w:lineRule="auto"/>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3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③</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计算机信息系统安全专用产品销售许可证；</w:t>
            </w:r>
          </w:p>
          <w:p>
            <w:pPr>
              <w:autoSpaceDE w:val="0"/>
              <w:autoSpaceDN w:val="0"/>
              <w:adjustRightInd w:val="0"/>
              <w:spacing w:line="360" w:lineRule="auto"/>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4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④</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中国网信网</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工业和信息化部网站</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公安部网站</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国家认证认可监督管理委员会网站公布的认证、检测结果（提供公布安全认证、安全检测结果页面网址和安全认证、检测结果截图）。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25</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履约保证金</w:t>
            </w:r>
          </w:p>
        </w:tc>
        <w:tc>
          <w:tcPr>
            <w:tcW w:w="6813" w:type="dxa"/>
            <w:vAlign w:val="center"/>
          </w:tcPr>
          <w:p>
            <w:pPr>
              <w:autoSpaceDE w:val="0"/>
              <w:autoSpaceDN w:val="0"/>
              <w:adjustRightInd w:val="0"/>
              <w:spacing w:line="360" w:lineRule="auto"/>
              <w:rPr>
                <w:rFonts w:cs="宋体" w:asciiTheme="minorEastAsia" w:hAnsiTheme="minorEastAsia"/>
                <w:color w:val="auto"/>
                <w:kern w:val="0"/>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无要求</w:t>
            </w:r>
          </w:p>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
                <w:bCs/>
                <w:color w:val="auto"/>
                <w:szCs w:val="21"/>
                <w:lang w:val="zh-CN"/>
              </w:rPr>
              <w:t>□</w:t>
            </w:r>
            <w:r>
              <w:rPr>
                <w:rFonts w:hint="eastAsia" w:cs="宋体" w:asciiTheme="minorEastAsia" w:hAnsiTheme="minorEastAsia"/>
                <w:color w:val="auto"/>
                <w:szCs w:val="21"/>
              </w:rPr>
              <w:t>要求提交。</w:t>
            </w:r>
            <w:r>
              <w:rPr>
                <w:rFonts w:hint="eastAsia" w:ascii="ˎ̥" w:hAnsi="ˎ̥"/>
                <w:color w:val="auto"/>
              </w:rPr>
              <w:t>履约保证金的数额为合同金额的</w:t>
            </w:r>
            <w:r>
              <w:rPr>
                <w:rFonts w:hint="eastAsia" w:ascii="ˎ̥" w:hAnsi="ˎ̥"/>
                <w:color w:val="auto"/>
                <w:u w:val="single"/>
              </w:rPr>
              <w:t xml:space="preserve">  </w:t>
            </w:r>
            <w:r>
              <w:rPr>
                <w:rFonts w:hint="eastAsia" w:ascii="ˎ̥" w:hAnsi="ˎ̥"/>
                <w:color w:val="auto"/>
              </w:rPr>
              <w:t>%（不超过政府采购合同金额的10%）</w:t>
            </w:r>
            <w:r>
              <w:rPr>
                <w:rFonts w:hint="eastAsia" w:cs="宋体" w:asciiTheme="minorEastAsia" w:hAnsiTheme="minorEastAsia"/>
                <w:bCs/>
                <w:color w:val="auto"/>
                <w:szCs w:val="21"/>
                <w:lang w:val="zh-CN"/>
              </w:rPr>
              <w:t>。</w:t>
            </w:r>
            <w:r>
              <w:rPr>
                <w:rFonts w:hint="eastAsia" w:cs="宋体" w:asciiTheme="minorEastAsia" w:hAnsiTheme="minorEastAsia"/>
                <w:color w:val="auto"/>
                <w:szCs w:val="21"/>
              </w:rPr>
              <w:t>中标人以支票、汇票、本票或者金融机构、担保机构出具的保函等非现金形式向采购人提交。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26</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代理服务费</w:t>
            </w:r>
          </w:p>
        </w:tc>
        <w:tc>
          <w:tcPr>
            <w:tcW w:w="6813" w:type="dxa"/>
            <w:vAlign w:val="center"/>
          </w:tcPr>
          <w:p>
            <w:pPr>
              <w:autoSpaceDE w:val="0"/>
              <w:autoSpaceDN w:val="0"/>
              <w:spacing w:line="360" w:lineRule="auto"/>
              <w:contextualSpacing/>
              <w:rPr>
                <w:rFonts w:cs="宋体" w:asciiTheme="minorEastAsia" w:hAnsiTheme="minorEastAsia"/>
                <w:bCs/>
                <w:color w:val="auto"/>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不收取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27</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授权函</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仿宋_GB2312" w:asciiTheme="minorEastAsia" w:hAnsiTheme="minorEastAsia"/>
                <w:color w:val="auto"/>
                <w:szCs w:val="21"/>
                <w:lang w:val="zh-CN"/>
              </w:rPr>
              <w:t>采购单位委派代表参加资格审</w:t>
            </w:r>
            <w:r>
              <w:rPr>
                <w:rFonts w:hint="eastAsia" w:ascii="新宋体" w:hAnsi="新宋体" w:eastAsia="新宋体"/>
                <w:color w:val="auto"/>
                <w:szCs w:val="21"/>
              </w:rPr>
              <w:t>查、</w:t>
            </w:r>
            <w:r>
              <w:rPr>
                <w:rFonts w:hint="eastAsia" w:cs="仿宋_GB2312" w:asciiTheme="minorEastAsia" w:hAnsiTheme="minorEastAsia"/>
                <w:color w:val="auto"/>
                <w:szCs w:val="21"/>
                <w:lang w:val="zh-CN"/>
              </w:rPr>
              <w:t>评审委员会的，须向采购代理机构出具授权函。除授权代表外，采购单位委派纪检监察人员对评标过程实施监督的须进入许昌市公共资源交易中心五楼电子监督室，并向采购代理机构出具授权函，且不得超过2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28</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电子化采购模式</w:t>
            </w:r>
          </w:p>
        </w:tc>
        <w:tc>
          <w:tcPr>
            <w:tcW w:w="6813" w:type="dxa"/>
            <w:vAlign w:val="center"/>
          </w:tcPr>
          <w:p>
            <w:pPr>
              <w:autoSpaceDE w:val="0"/>
              <w:autoSpaceDN w:val="0"/>
              <w:adjustRightInd w:val="0"/>
              <w:spacing w:line="360" w:lineRule="auto"/>
              <w:contextualSpacing/>
              <w:rPr>
                <w:rFonts w:hAnsi="宋体" w:cs="宋体"/>
                <w:color w:val="auto"/>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是。</w:t>
            </w:r>
            <w:r>
              <w:rPr>
                <w:rFonts w:hint="eastAsia" w:hAnsi="宋体" w:cs="宋体"/>
                <w:color w:val="auto"/>
                <w:szCs w:val="21"/>
                <w:lang w:val="zh-CN"/>
              </w:rPr>
              <w:t>投标人投标时须成功上传、解密电子投标文件。投标人资质、业绩、荣誉及相关人员证明材料等资料原件不再提交（本招标文件第六章另有要求提供原件的除外）。</w:t>
            </w:r>
          </w:p>
          <w:p>
            <w:pPr>
              <w:autoSpaceDE w:val="0"/>
              <w:autoSpaceDN w:val="0"/>
              <w:adjustRightInd w:val="0"/>
              <w:spacing w:line="360" w:lineRule="auto"/>
              <w:contextualSpacing/>
              <w:rPr>
                <w:rFonts w:cs="宋体" w:asciiTheme="minorEastAsia" w:hAnsiTheme="minorEastAsia"/>
                <w:bCs/>
                <w:color w:val="auto"/>
                <w:szCs w:val="21"/>
                <w:lang w:val="zh-CN"/>
              </w:rPr>
            </w:pPr>
            <w:r>
              <w:rPr>
                <w:rFonts w:hint="eastAsia" w:hAnsi="宋体" w:cs="宋体"/>
                <w:color w:val="auto"/>
                <w:szCs w:val="21"/>
                <w:lang w:val="zh-CN"/>
              </w:rPr>
              <w:t>□否。投标人投标时须提供纸质投标文件。投标人资质、业绩、荣誉及相关人员证明材料等资料原件根据招标文件要求提供。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29</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特别提示</w:t>
            </w:r>
          </w:p>
        </w:tc>
        <w:tc>
          <w:tcPr>
            <w:tcW w:w="6813" w:type="dxa"/>
            <w:vAlign w:val="center"/>
          </w:tcPr>
          <w:p>
            <w:pPr>
              <w:autoSpaceDE w:val="0"/>
              <w:autoSpaceDN w:val="0"/>
              <w:adjustRightInd w:val="0"/>
              <w:spacing w:line="360" w:lineRule="auto"/>
              <w:contextualSpacing/>
              <w:rPr>
                <w:rFonts w:ascii="ˎ̥" w:hAnsi="ˎ̥"/>
                <w:color w:val="auto"/>
              </w:rPr>
            </w:pPr>
            <w:r>
              <w:rPr>
                <w:rFonts w:hint="eastAsia" w:ascii="ˎ̥" w:hAnsi="ˎ̥"/>
                <w:color w:val="auto"/>
              </w:rPr>
              <w:t>按照《关于推进全流程电子化交易和在线监管工作有关问题的通知》（许公管办[2019]3号）规定：</w:t>
            </w:r>
          </w:p>
          <w:p>
            <w:pPr>
              <w:autoSpaceDE w:val="0"/>
              <w:autoSpaceDN w:val="0"/>
              <w:adjustRightInd w:val="0"/>
              <w:spacing w:line="360" w:lineRule="auto"/>
              <w:contextualSpacing/>
              <w:rPr>
                <w:rFonts w:ascii="ˎ̥" w:hAnsi="ˎ̥"/>
                <w:color w:val="auto"/>
              </w:rPr>
            </w:pPr>
            <w:r>
              <w:rPr>
                <w:rFonts w:hint="eastAsia" w:ascii="ˎ̥" w:hAnsi="ˎ̥"/>
                <w:color w:val="auto"/>
              </w:rPr>
              <w:t>不同供应商电子投标文件制作硬件特征码（网卡MAC地址、CPU序号、硬盘序列号）均一致时，视为‘</w:t>
            </w:r>
            <w:r>
              <w:rPr>
                <w:rFonts w:ascii="ˎ̥" w:hAnsi="ˎ̥"/>
                <w:color w:val="auto"/>
              </w:rPr>
              <w:t>不同</w:t>
            </w:r>
            <w:r>
              <w:rPr>
                <w:rFonts w:hint="eastAsia" w:ascii="ˎ̥" w:hAnsi="ˎ̥"/>
                <w:color w:val="auto"/>
              </w:rPr>
              <w:t>投标人的投标</w:t>
            </w:r>
            <w:r>
              <w:rPr>
                <w:rFonts w:ascii="ˎ̥" w:hAnsi="ˎ̥"/>
                <w:color w:val="auto"/>
              </w:rPr>
              <w:t>文件由同一单位或者个人编制</w:t>
            </w:r>
            <w:r>
              <w:rPr>
                <w:rFonts w:hint="eastAsia" w:ascii="ˎ̥" w:hAnsi="ˎ̥"/>
                <w:color w:val="auto"/>
              </w:rPr>
              <w:t>’或‘</w:t>
            </w:r>
            <w:r>
              <w:rPr>
                <w:rFonts w:ascii="ˎ̥" w:hAnsi="ˎ̥"/>
                <w:color w:val="auto"/>
              </w:rPr>
              <w:t>不同</w:t>
            </w:r>
            <w:r>
              <w:rPr>
                <w:rFonts w:hint="eastAsia" w:ascii="ˎ̥" w:hAnsi="ˎ̥"/>
                <w:color w:val="auto"/>
              </w:rPr>
              <w:t>投标人</w:t>
            </w:r>
            <w:r>
              <w:rPr>
                <w:rFonts w:ascii="ˎ̥" w:hAnsi="ˎ̥"/>
                <w:color w:val="auto"/>
              </w:rPr>
              <w:t>委托同一单位或者个人办理</w:t>
            </w:r>
            <w:r>
              <w:rPr>
                <w:rFonts w:hint="eastAsia" w:ascii="ˎ̥" w:hAnsi="ˎ̥"/>
                <w:color w:val="auto"/>
              </w:rPr>
              <w:t>响应</w:t>
            </w:r>
            <w:r>
              <w:rPr>
                <w:rFonts w:ascii="ˎ̥" w:hAnsi="ˎ̥"/>
                <w:color w:val="auto"/>
              </w:rPr>
              <w:t>事宜</w:t>
            </w:r>
            <w:r>
              <w:rPr>
                <w:rFonts w:hint="eastAsia" w:ascii="ˎ̥" w:hAnsi="ˎ̥"/>
                <w:color w:val="auto"/>
              </w:rPr>
              <w:t>’，其投标无效。</w:t>
            </w:r>
          </w:p>
          <w:p>
            <w:pPr>
              <w:autoSpaceDE w:val="0"/>
              <w:autoSpaceDN w:val="0"/>
              <w:adjustRightInd w:val="0"/>
              <w:spacing w:line="360" w:lineRule="auto"/>
              <w:contextualSpacing/>
              <w:rPr>
                <w:rFonts w:cs="宋体" w:asciiTheme="minorEastAsia" w:hAnsiTheme="minorEastAsia"/>
                <w:b/>
                <w:color w:val="auto"/>
                <w:kern w:val="0"/>
                <w:szCs w:val="21"/>
                <w:lang w:val="zh-CN"/>
              </w:rPr>
            </w:pPr>
            <w:r>
              <w:rPr>
                <w:rFonts w:hint="eastAsia" w:ascii="ˎ̥" w:hAnsi="ˎ̥"/>
                <w:color w:val="auto"/>
              </w:rPr>
              <w:t>评审专家应严格按照要求查看“硬件特征码”相关信息并进行评审，在评审报告中显示“不同投标人电子投标文件制作硬件特征码”是否雷同的分析及判定结果。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30</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投标人资格核验</w:t>
            </w:r>
          </w:p>
        </w:tc>
        <w:tc>
          <w:tcPr>
            <w:tcW w:w="6813" w:type="dxa"/>
            <w:vAlign w:val="center"/>
          </w:tcPr>
          <w:p>
            <w:pPr>
              <w:autoSpaceDE w:val="0"/>
              <w:autoSpaceDN w:val="0"/>
              <w:adjustRightInd w:val="0"/>
              <w:spacing w:line="360" w:lineRule="auto"/>
              <w:ind w:right="-11"/>
              <w:rPr>
                <w:rFonts w:ascii="ˎ̥" w:hAnsi="ˎ̥"/>
                <w:color w:val="auto"/>
              </w:rPr>
            </w:pPr>
            <w:r>
              <w:rPr>
                <w:rFonts w:hint="eastAsia" w:ascii="ˎ̥" w:hAnsi="ˎ̥"/>
                <w:color w:val="auto"/>
              </w:rPr>
              <w:t>供应商在中标后，应将由《许昌市政府采购供应商信用承诺函》替代的证明材料提交采购人核验。</w:t>
            </w:r>
            <w:r>
              <w:rPr>
                <w:rFonts w:ascii="ˎ̥" w:hAnsi="ˎ̥"/>
                <w:color w:val="auto"/>
              </w:rPr>
              <w:t xml:space="preserve"> </w:t>
            </w:r>
          </w:p>
          <w:p>
            <w:pPr>
              <w:autoSpaceDE w:val="0"/>
              <w:autoSpaceDN w:val="0"/>
              <w:adjustRightInd w:val="0"/>
              <w:spacing w:line="360" w:lineRule="auto"/>
              <w:ind w:right="-11"/>
              <w:rPr>
                <w:rFonts w:cs="宋体" w:asciiTheme="minorEastAsia" w:hAnsiTheme="minorEastAsia"/>
                <w:b/>
                <w:bCs/>
                <w:color w:val="auto"/>
                <w:szCs w:val="21"/>
                <w:lang w:val="zh-CN"/>
              </w:rPr>
            </w:pPr>
            <w:r>
              <w:rPr>
                <w:rFonts w:hint="eastAsia" w:cs="宋体" w:asciiTheme="minorEastAsia" w:hAnsiTheme="minorEastAsia"/>
                <w:b/>
                <w:bCs/>
                <w:color w:val="auto"/>
                <w:szCs w:val="21"/>
                <w:lang w:val="zh-CN"/>
              </w:rPr>
              <w:t>一、法定代表人</w:t>
            </w:r>
            <w:r>
              <w:rPr>
                <w:rFonts w:cs="宋体" w:asciiTheme="minorEastAsia" w:hAnsiTheme="minorEastAsia"/>
                <w:b/>
                <w:bCs/>
                <w:color w:val="auto"/>
                <w:szCs w:val="21"/>
                <w:lang w:val="zh-CN"/>
              </w:rPr>
              <w:t>或者其他组织的营业执照等证明文件，自然人的身份证明</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1、企业法人营业执照或营业执照。（企业投标提供）</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2、事业单位法人证书。（事业单位投标提供）</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3、执业许可证。（非企业专业服务机构投标提供）</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4、个体工商户营业执照。（个体工商户投标提供）</w:t>
            </w:r>
          </w:p>
          <w:p>
            <w:pPr>
              <w:autoSpaceDE w:val="0"/>
              <w:autoSpaceDN w:val="0"/>
              <w:adjustRightInd w:val="0"/>
              <w:spacing w:line="360" w:lineRule="auto"/>
              <w:jc w:val="left"/>
              <w:rPr>
                <w:rFonts w:cs="宋体" w:asciiTheme="minorEastAsia" w:hAnsiTheme="minorEastAsia"/>
                <w:bCs/>
                <w:color w:val="auto"/>
                <w:szCs w:val="21"/>
                <w:lang w:val="zh-CN"/>
              </w:rPr>
            </w:pPr>
            <w:r>
              <w:rPr>
                <w:rFonts w:hint="eastAsia" w:cs="宋体" w:asciiTheme="minorEastAsia" w:hAnsiTheme="minorEastAsia"/>
                <w:bCs/>
                <w:color w:val="auto"/>
                <w:szCs w:val="21"/>
                <w:lang w:val="zh-CN"/>
              </w:rPr>
              <w:t>5、自然人身份证明。（自然人投标提供）</w:t>
            </w:r>
          </w:p>
          <w:p>
            <w:pPr>
              <w:autoSpaceDE w:val="0"/>
              <w:autoSpaceDN w:val="0"/>
              <w:adjustRightInd w:val="0"/>
              <w:spacing w:line="360" w:lineRule="auto"/>
              <w:jc w:val="left"/>
              <w:rPr>
                <w:rFonts w:cs="宋体" w:asciiTheme="minorEastAsia" w:hAnsiTheme="minorEastAsia"/>
                <w:bCs/>
                <w:color w:val="auto"/>
                <w:szCs w:val="21"/>
                <w:lang w:val="zh-CN"/>
              </w:rPr>
            </w:pPr>
            <w:r>
              <w:rPr>
                <w:rFonts w:hint="eastAsia" w:cs="宋体" w:asciiTheme="minorEastAsia" w:hAnsiTheme="minorEastAsia"/>
                <w:bCs/>
                <w:color w:val="auto"/>
                <w:szCs w:val="21"/>
                <w:lang w:val="zh-CN"/>
              </w:rPr>
              <w:t>6、民办非企业单位登记证书。（民办非企业单位投标提供）</w:t>
            </w:r>
          </w:p>
          <w:p>
            <w:pPr>
              <w:autoSpaceDE w:val="0"/>
              <w:autoSpaceDN w:val="0"/>
              <w:adjustRightInd w:val="0"/>
              <w:spacing w:line="360" w:lineRule="auto"/>
              <w:jc w:val="left"/>
              <w:rPr>
                <w:rFonts w:cs="仿宋_GB2312" w:asciiTheme="minorEastAsia" w:hAnsiTheme="minorEastAsia"/>
                <w:b/>
                <w:color w:val="auto"/>
                <w:szCs w:val="21"/>
              </w:rPr>
            </w:pPr>
            <w:r>
              <w:rPr>
                <w:rFonts w:hint="eastAsia" w:cs="仿宋_GB2312" w:asciiTheme="minorEastAsia" w:hAnsiTheme="minorEastAsia"/>
                <w:b/>
                <w:color w:val="auto"/>
                <w:szCs w:val="21"/>
              </w:rPr>
              <w:t>二、财务状况报告相关材料</w:t>
            </w:r>
          </w:p>
          <w:p>
            <w:pPr>
              <w:spacing w:line="360" w:lineRule="auto"/>
              <w:rPr>
                <w:rFonts w:asciiTheme="minorEastAsia" w:hAnsiTheme="minorEastAsia"/>
                <w:bCs/>
                <w:color w:val="auto"/>
                <w:szCs w:val="21"/>
              </w:rPr>
            </w:pPr>
            <w:r>
              <w:rPr>
                <w:rFonts w:hint="eastAsia" w:asciiTheme="minorEastAsia" w:hAnsiTheme="minorEastAsia"/>
                <w:bCs/>
                <w:color w:val="auto"/>
                <w:szCs w:val="21"/>
              </w:rPr>
              <w:t>1、投标人是法定代表人（法定代表人包括企业法定代表人、机关法定代表人、事业单位法定代表人和社会团体法定代表人），提供本单位：</w:t>
            </w:r>
          </w:p>
          <w:p>
            <w:pPr>
              <w:spacing w:line="360" w:lineRule="auto"/>
              <w:rPr>
                <w:rFonts w:asciiTheme="minorEastAsia" w:hAnsiTheme="minorEastAsia"/>
                <w:bCs/>
                <w:color w:val="auto"/>
                <w:szCs w:val="21"/>
              </w:rPr>
            </w:pPr>
            <w:r>
              <w:rPr>
                <w:rFonts w:hint="eastAsia" w:asciiTheme="minorEastAsia" w:hAnsiTheme="minorEastAsia"/>
                <w:bCs/>
                <w:color w:val="auto"/>
                <w:szCs w:val="21"/>
              </w:rPr>
              <w:t>①</w:t>
            </w:r>
            <w:r>
              <w:rPr>
                <w:rFonts w:hint="eastAsia" w:asciiTheme="minorEastAsia" w:hAnsiTheme="minorEastAsia"/>
                <w:b/>
                <w:bCs/>
                <w:color w:val="auto"/>
                <w:szCs w:val="21"/>
              </w:rPr>
              <w:t>2022</w:t>
            </w:r>
            <w:r>
              <w:rPr>
                <w:rFonts w:hint="eastAsia" w:asciiTheme="minorEastAsia" w:hAnsiTheme="minorEastAsia"/>
                <w:b/>
                <w:bCs/>
                <w:color w:val="auto"/>
                <w:szCs w:val="21"/>
                <w:lang w:val="en-US" w:eastAsia="zh-CN"/>
              </w:rPr>
              <w:t>或2023</w:t>
            </w:r>
            <w:r>
              <w:rPr>
                <w:rFonts w:hint="eastAsia" w:asciiTheme="minorEastAsia" w:hAnsiTheme="minorEastAsia"/>
                <w:b/>
                <w:bCs/>
                <w:color w:val="auto"/>
                <w:szCs w:val="21"/>
              </w:rPr>
              <w:t>年度经审计的财务报告</w:t>
            </w:r>
            <w:r>
              <w:rPr>
                <w:rFonts w:hint="eastAsia" w:asciiTheme="minorEastAsia" w:hAnsiTheme="minorEastAsia"/>
                <w:bCs/>
                <w:color w:val="auto"/>
                <w:szCs w:val="21"/>
              </w:rPr>
              <w:t>，包括资产负债表、利润表、现金流量表、所有者权益变动表及其附注；</w:t>
            </w:r>
          </w:p>
          <w:p>
            <w:pPr>
              <w:spacing w:line="360" w:lineRule="auto"/>
              <w:rPr>
                <w:rFonts w:asciiTheme="minorEastAsia" w:hAnsiTheme="minorEastAsia"/>
                <w:bCs/>
                <w:color w:val="auto"/>
                <w:szCs w:val="21"/>
              </w:rPr>
            </w:pPr>
            <w:r>
              <w:rPr>
                <w:rFonts w:hint="eastAsia" w:asciiTheme="minorEastAsia" w:hAnsiTheme="minorEastAsia"/>
                <w:bCs/>
                <w:color w:val="auto"/>
                <w:szCs w:val="21"/>
              </w:rPr>
              <w:t>②基本开户银行出具的资信证明；</w:t>
            </w:r>
          </w:p>
          <w:p>
            <w:pPr>
              <w:spacing w:line="360" w:lineRule="auto"/>
              <w:rPr>
                <w:rFonts w:asciiTheme="minorEastAsia" w:hAnsiTheme="minorEastAsia"/>
                <w:bCs/>
                <w:color w:val="auto"/>
                <w:szCs w:val="21"/>
              </w:rPr>
            </w:pPr>
            <w:r>
              <w:rPr>
                <w:rFonts w:hint="eastAsia" w:asciiTheme="minorEastAsia" w:hAnsiTheme="minorEastAsia"/>
                <w:bCs/>
                <w:color w:val="auto"/>
                <w:szCs w:val="21"/>
              </w:rPr>
              <w:t>③财政部门认可的政府采购专业担保机构的证明文件和担保机构出具的投标担保函。</w:t>
            </w:r>
          </w:p>
          <w:p>
            <w:pPr>
              <w:spacing w:line="360" w:lineRule="auto"/>
              <w:rPr>
                <w:rFonts w:asciiTheme="minorEastAsia" w:hAnsiTheme="minorEastAsia"/>
                <w:bCs/>
                <w:color w:val="auto"/>
                <w:szCs w:val="21"/>
              </w:rPr>
            </w:pPr>
            <w:r>
              <w:rPr>
                <w:rFonts w:hint="eastAsia" w:ascii="楷体" w:hAnsi="楷体" w:eastAsia="楷体" w:cs="仿宋_GB2312"/>
                <w:color w:val="auto"/>
                <w:sz w:val="24"/>
                <w:szCs w:val="24"/>
                <w:lang w:val="zh-CN"/>
              </w:rPr>
              <w:t>注：仅需提供序号</w:t>
            </w:r>
            <w:r>
              <w:rPr>
                <w:rFonts w:hint="eastAsia" w:ascii="楷体" w:hAnsi="楷体" w:eastAsia="楷体"/>
                <w:color w:val="auto"/>
                <w:sz w:val="24"/>
                <w:szCs w:val="24"/>
              </w:rPr>
              <w:t>①～③其中之一即可。</w:t>
            </w:r>
          </w:p>
          <w:p>
            <w:pPr>
              <w:spacing w:line="360" w:lineRule="auto"/>
              <w:rPr>
                <w:rFonts w:asciiTheme="minorEastAsia" w:hAnsiTheme="minorEastAsia"/>
                <w:bCs/>
                <w:color w:val="auto"/>
                <w:szCs w:val="21"/>
              </w:rPr>
            </w:pPr>
            <w:r>
              <w:rPr>
                <w:rFonts w:hint="eastAsia" w:asciiTheme="minorEastAsia" w:hAnsiTheme="minorEastAsia"/>
                <w:bCs/>
                <w:color w:val="auto"/>
                <w:szCs w:val="21"/>
              </w:rPr>
              <w:t>2、投标人（其他组织和自然人）提供本单位：</w:t>
            </w:r>
          </w:p>
          <w:p>
            <w:pPr>
              <w:spacing w:line="360" w:lineRule="auto"/>
              <w:rPr>
                <w:rFonts w:asciiTheme="minorEastAsia" w:hAnsiTheme="minorEastAsia"/>
                <w:bCs/>
                <w:color w:val="auto"/>
                <w:szCs w:val="21"/>
              </w:rPr>
            </w:pPr>
            <w:r>
              <w:rPr>
                <w:rFonts w:hint="eastAsia" w:asciiTheme="minorEastAsia" w:hAnsiTheme="minorEastAsia"/>
                <w:bCs/>
                <w:color w:val="auto"/>
                <w:szCs w:val="21"/>
              </w:rPr>
              <w:t>①</w:t>
            </w:r>
            <w:r>
              <w:rPr>
                <w:rFonts w:hint="eastAsia" w:asciiTheme="minorEastAsia" w:hAnsiTheme="minorEastAsia"/>
                <w:b/>
                <w:bCs/>
                <w:color w:val="auto"/>
                <w:szCs w:val="21"/>
              </w:rPr>
              <w:t>2022</w:t>
            </w:r>
            <w:r>
              <w:rPr>
                <w:rFonts w:hint="eastAsia" w:asciiTheme="minorEastAsia" w:hAnsiTheme="minorEastAsia"/>
                <w:b/>
                <w:bCs/>
                <w:color w:val="auto"/>
                <w:szCs w:val="21"/>
                <w:lang w:val="en-US" w:eastAsia="zh-CN"/>
              </w:rPr>
              <w:t>或2023</w:t>
            </w:r>
            <w:r>
              <w:rPr>
                <w:rFonts w:hint="eastAsia" w:asciiTheme="minorEastAsia" w:hAnsiTheme="minorEastAsia"/>
                <w:b/>
                <w:bCs/>
                <w:color w:val="auto"/>
                <w:szCs w:val="21"/>
              </w:rPr>
              <w:t>年度经审计的财务报告</w:t>
            </w:r>
            <w:r>
              <w:rPr>
                <w:rFonts w:hint="eastAsia" w:asciiTheme="minorEastAsia" w:hAnsiTheme="minorEastAsia"/>
                <w:bCs/>
                <w:color w:val="auto"/>
                <w:szCs w:val="21"/>
              </w:rPr>
              <w:t>，包括资产负债表、利润表、现金流量表、所有者权益变动表及其附注；</w:t>
            </w:r>
          </w:p>
          <w:p>
            <w:pPr>
              <w:spacing w:line="360" w:lineRule="auto"/>
              <w:rPr>
                <w:rFonts w:asciiTheme="minorEastAsia" w:hAnsiTheme="minorEastAsia"/>
                <w:bCs/>
                <w:color w:val="auto"/>
                <w:szCs w:val="21"/>
              </w:rPr>
            </w:pPr>
            <w:r>
              <w:rPr>
                <w:rFonts w:hint="eastAsia" w:asciiTheme="minorEastAsia" w:hAnsiTheme="minorEastAsia"/>
                <w:bCs/>
                <w:color w:val="auto"/>
                <w:szCs w:val="21"/>
              </w:rPr>
              <w:t>②银行出具的资信证明；</w:t>
            </w:r>
          </w:p>
          <w:p>
            <w:pPr>
              <w:spacing w:line="360" w:lineRule="auto"/>
              <w:rPr>
                <w:rFonts w:asciiTheme="minorEastAsia" w:hAnsiTheme="minorEastAsia"/>
                <w:bCs/>
                <w:color w:val="auto"/>
                <w:szCs w:val="21"/>
              </w:rPr>
            </w:pPr>
            <w:r>
              <w:rPr>
                <w:rFonts w:hint="eastAsia" w:asciiTheme="minorEastAsia" w:hAnsiTheme="minorEastAsia"/>
                <w:bCs/>
                <w:color w:val="auto"/>
                <w:szCs w:val="21"/>
              </w:rPr>
              <w:t>③财政部门认可的政府采购专业担保机构的证明文件和担保机构出具的投标担保函。</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ascii="楷体" w:hAnsi="楷体" w:eastAsia="楷体" w:cs="仿宋_GB2312"/>
                <w:color w:val="auto"/>
                <w:sz w:val="24"/>
                <w:szCs w:val="24"/>
                <w:lang w:val="zh-CN"/>
              </w:rPr>
              <w:t>注：仅需提供序号</w:t>
            </w:r>
            <w:r>
              <w:rPr>
                <w:rFonts w:hint="eastAsia" w:ascii="楷体" w:hAnsi="楷体" w:eastAsia="楷体"/>
                <w:color w:val="auto"/>
                <w:sz w:val="24"/>
                <w:szCs w:val="24"/>
              </w:rPr>
              <w:t>①～③其中之一即可。</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仿宋_GB2312" w:asciiTheme="minorEastAsia" w:hAnsiTheme="minorEastAsia"/>
                <w:b/>
                <w:color w:val="auto"/>
                <w:szCs w:val="21"/>
              </w:rPr>
              <w:t>三、依法缴纳税收相关材料</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参加本次政府采购项目投标截止时间前一年内任意一个月缴纳税收凭据。（依法免税的投标人，应提供相应文件证明依法免税）</w:t>
            </w:r>
          </w:p>
          <w:p>
            <w:pPr>
              <w:autoSpaceDE w:val="0"/>
              <w:autoSpaceDN w:val="0"/>
              <w:adjustRightInd w:val="0"/>
              <w:spacing w:line="360" w:lineRule="auto"/>
              <w:ind w:right="-11"/>
              <w:rPr>
                <w:rFonts w:cs="宋体" w:asciiTheme="minorEastAsia" w:hAnsiTheme="minorEastAsia"/>
                <w:b/>
                <w:bCs/>
                <w:color w:val="auto"/>
                <w:szCs w:val="21"/>
                <w:lang w:val="zh-CN"/>
              </w:rPr>
            </w:pPr>
            <w:r>
              <w:rPr>
                <w:rFonts w:hint="eastAsia" w:cs="宋体" w:asciiTheme="minorEastAsia" w:hAnsiTheme="minorEastAsia"/>
                <w:b/>
                <w:bCs/>
                <w:color w:val="auto"/>
                <w:szCs w:val="21"/>
                <w:lang w:val="zh-CN"/>
              </w:rPr>
              <w:t>四、依法缴纳社会保障资金的证明材料</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参加本次政府采购项目投标截止时间前一年内任意一个月缴纳社会保险凭据。（依法不需要缴纳社会保障资金的投标人，应提供相应文件证明依法不需要缴纳社会保障资金）</w:t>
            </w:r>
          </w:p>
          <w:p>
            <w:pPr>
              <w:autoSpaceDE w:val="0"/>
              <w:autoSpaceDN w:val="0"/>
              <w:adjustRightInd w:val="0"/>
              <w:spacing w:line="360" w:lineRule="auto"/>
              <w:ind w:right="-11"/>
              <w:contextualSpacing/>
              <w:rPr>
                <w:rFonts w:cs="宋体" w:asciiTheme="minorEastAsia" w:hAnsiTheme="minorEastAsia"/>
                <w:b/>
                <w:bCs/>
                <w:color w:val="auto"/>
                <w:szCs w:val="21"/>
                <w:lang w:val="zh-CN"/>
              </w:rPr>
            </w:pPr>
            <w:r>
              <w:rPr>
                <w:rFonts w:hint="eastAsia" w:cs="宋体" w:asciiTheme="minorEastAsia" w:hAnsiTheme="minorEastAsia"/>
                <w:b/>
                <w:bCs/>
                <w:color w:val="auto"/>
                <w:szCs w:val="21"/>
                <w:lang w:val="zh-CN"/>
              </w:rPr>
              <w:t>五、履行合同所必须的设备和专业技术能力的证明材料</w:t>
            </w:r>
          </w:p>
          <w:p>
            <w:pPr>
              <w:autoSpaceDE w:val="0"/>
              <w:autoSpaceDN w:val="0"/>
              <w:adjustRightInd w:val="0"/>
              <w:spacing w:line="360" w:lineRule="auto"/>
              <w:contextualSpacing/>
              <w:jc w:val="left"/>
              <w:rPr>
                <w:rFonts w:cs="宋体" w:asciiTheme="minorEastAsia" w:hAnsiTheme="minorEastAsia"/>
                <w:bCs/>
                <w:color w:val="auto"/>
                <w:szCs w:val="21"/>
                <w:lang w:val="zh-CN"/>
              </w:rPr>
            </w:pPr>
            <w:r>
              <w:rPr>
                <w:rFonts w:hint="eastAsia" w:cs="宋体" w:asciiTheme="minorEastAsia" w:hAnsiTheme="minorEastAsia"/>
                <w:bCs/>
                <w:color w:val="auto"/>
                <w:szCs w:val="21"/>
                <w:lang w:val="zh-CN"/>
              </w:rPr>
              <w:t>1、相关设备的购置发票、专业技术人员职称证书、用工合同等；</w:t>
            </w:r>
          </w:p>
          <w:p>
            <w:pPr>
              <w:spacing w:line="360" w:lineRule="auto"/>
              <w:contextualSpacing/>
              <w:rPr>
                <w:rFonts w:asciiTheme="minorEastAsia" w:hAnsiTheme="minorEastAsia"/>
                <w:bCs/>
                <w:color w:val="auto"/>
                <w:szCs w:val="21"/>
              </w:rPr>
            </w:pPr>
            <w:r>
              <w:rPr>
                <w:rFonts w:hint="eastAsia" w:asciiTheme="minorEastAsia" w:hAnsiTheme="minorEastAsia"/>
                <w:bCs/>
                <w:color w:val="auto"/>
                <w:szCs w:val="21"/>
              </w:rPr>
              <w:t>2、投标人具备履行合同所必须的设备和专业技术能力承诺函或声明（承诺函或声明格式自拟）。</w:t>
            </w:r>
          </w:p>
          <w:p>
            <w:pPr>
              <w:autoSpaceDE w:val="0"/>
              <w:autoSpaceDN w:val="0"/>
              <w:adjustRightInd w:val="0"/>
              <w:spacing w:line="360" w:lineRule="auto"/>
              <w:ind w:right="-11"/>
              <w:contextualSpacing/>
              <w:rPr>
                <w:rFonts w:ascii="楷体" w:hAnsi="楷体" w:eastAsia="楷体"/>
                <w:color w:val="auto"/>
                <w:sz w:val="24"/>
                <w:szCs w:val="24"/>
              </w:rPr>
            </w:pPr>
            <w:r>
              <w:rPr>
                <w:rFonts w:hint="eastAsia" w:ascii="楷体" w:hAnsi="楷体" w:eastAsia="楷体" w:cs="仿宋_GB2312"/>
                <w:color w:val="auto"/>
                <w:sz w:val="24"/>
                <w:szCs w:val="24"/>
                <w:lang w:val="zh-CN"/>
              </w:rPr>
              <w:t>注：仅需提供序号</w:t>
            </w:r>
            <w:r>
              <w:rPr>
                <w:rFonts w:hint="eastAsia" w:ascii="楷体" w:hAnsi="楷体" w:eastAsia="楷体"/>
                <w:color w:val="auto"/>
                <w:sz w:val="24"/>
                <w:szCs w:val="24"/>
              </w:rPr>
              <w:t>1～2其中之一即可。</w:t>
            </w:r>
          </w:p>
          <w:p>
            <w:pPr>
              <w:autoSpaceDE w:val="0"/>
              <w:autoSpaceDN w:val="0"/>
              <w:adjustRightInd w:val="0"/>
              <w:spacing w:line="360" w:lineRule="auto"/>
              <w:ind w:right="-11"/>
              <w:contextualSpacing/>
              <w:rPr>
                <w:rFonts w:cs="宋体" w:asciiTheme="minorEastAsia" w:hAnsiTheme="minorEastAsia"/>
                <w:b/>
                <w:bCs/>
                <w:color w:val="auto"/>
                <w:szCs w:val="21"/>
                <w:lang w:val="zh-CN"/>
              </w:rPr>
            </w:pPr>
            <w:r>
              <w:rPr>
                <w:rFonts w:hint="eastAsia" w:cs="宋体" w:asciiTheme="minorEastAsia" w:hAnsiTheme="minorEastAsia"/>
                <w:b/>
                <w:color w:val="auto"/>
                <w:kern w:val="0"/>
                <w:szCs w:val="21"/>
              </w:rPr>
              <w:t>六、</w:t>
            </w:r>
            <w:r>
              <w:rPr>
                <w:rFonts w:cs="宋体" w:asciiTheme="minorEastAsia" w:hAnsiTheme="minorEastAsia"/>
                <w:b/>
                <w:bCs/>
                <w:color w:val="auto"/>
                <w:szCs w:val="21"/>
                <w:lang w:val="zh-CN"/>
              </w:rPr>
              <w:t>参加政府采购活动前3年内在经营活动中没有重大违法记录的声明</w:t>
            </w:r>
          </w:p>
          <w:p>
            <w:pPr>
              <w:autoSpaceDE w:val="0"/>
              <w:autoSpaceDN w:val="0"/>
              <w:spacing w:line="360" w:lineRule="auto"/>
              <w:contextualSpacing/>
              <w:jc w:val="left"/>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投标人“</w:t>
            </w:r>
            <w:r>
              <w:rPr>
                <w:rFonts w:cs="宋体" w:asciiTheme="minorEastAsia" w:hAnsiTheme="minorEastAsia"/>
                <w:bCs/>
                <w:color w:val="auto"/>
                <w:szCs w:val="21"/>
                <w:lang w:val="zh-CN"/>
              </w:rPr>
              <w:t>参加政府采购活动前3年内在经营活动中没有重大违法记录的书面声明</w:t>
            </w:r>
            <w:r>
              <w:rPr>
                <w:rFonts w:hint="eastAsia" w:cs="宋体" w:asciiTheme="minorEastAsia" w:hAnsiTheme="minorEastAsia"/>
                <w:bCs/>
                <w:color w:val="auto"/>
                <w:szCs w:val="21"/>
                <w:lang w:val="zh-CN"/>
              </w:rPr>
              <w:t>”。 重大违法记录，是指投标人因违法经营受到刑事处罚或者责令停产停业、吊销许可证或者执照、较大数额罚款等行政处罚。</w:t>
            </w:r>
          </w:p>
          <w:p>
            <w:pPr>
              <w:autoSpaceDE w:val="0"/>
              <w:autoSpaceDN w:val="0"/>
              <w:spacing w:line="360" w:lineRule="auto"/>
              <w:contextualSpacing/>
              <w:jc w:val="left"/>
              <w:rPr>
                <w:rFonts w:cs="宋体" w:asciiTheme="minorEastAsia" w:hAnsiTheme="minorEastAsia"/>
                <w:color w:val="auto"/>
                <w:kern w:val="0"/>
                <w:szCs w:val="21"/>
              </w:rPr>
            </w:pPr>
            <w:r>
              <w:rPr>
                <w:rFonts w:hint="eastAsia" w:cs="宋体" w:asciiTheme="minorEastAsia" w:hAnsiTheme="minorEastAsia"/>
                <w:b/>
                <w:bCs/>
                <w:color w:val="auto"/>
                <w:szCs w:val="21"/>
                <w:lang w:val="zh-CN"/>
              </w:rPr>
              <w:t>七、</w:t>
            </w:r>
            <w:r>
              <w:rPr>
                <w:rFonts w:cs="宋体" w:asciiTheme="minorEastAsia" w:hAnsiTheme="minorEastAsia"/>
                <w:b/>
                <w:bCs/>
                <w:color w:val="auto"/>
                <w:szCs w:val="21"/>
                <w:lang w:val="zh-CN"/>
              </w:rPr>
              <w:t>未被列入“信用中国”网站(www.creditchina.gov.cn)失信被执行人、</w:t>
            </w:r>
            <w:r>
              <w:rPr>
                <w:rFonts w:hint="eastAsia" w:cs="宋体" w:asciiTheme="minorEastAsia" w:hAnsiTheme="minorEastAsia"/>
                <w:b/>
                <w:bCs/>
                <w:color w:val="auto"/>
                <w:szCs w:val="21"/>
                <w:lang w:val="zh-CN"/>
              </w:rPr>
              <w:t>税收</w:t>
            </w:r>
            <w:r>
              <w:rPr>
                <w:rFonts w:cs="宋体" w:asciiTheme="minorEastAsia" w:hAnsiTheme="minorEastAsia"/>
                <w:b/>
                <w:bCs/>
                <w:color w:val="auto"/>
                <w:szCs w:val="21"/>
                <w:lang w:val="zh-CN"/>
              </w:rPr>
              <w:t>违法黑名单的投标人；</w:t>
            </w:r>
            <w:r>
              <w:rPr>
                <w:rFonts w:hint="eastAsia" w:cs="宋体" w:asciiTheme="minorEastAsia" w:hAnsiTheme="minorEastAsia"/>
                <w:b/>
                <w:bCs/>
                <w:color w:val="auto"/>
                <w:szCs w:val="21"/>
                <w:lang w:val="zh-CN"/>
              </w:rPr>
              <w:t>“</w:t>
            </w:r>
            <w:r>
              <w:rPr>
                <w:rFonts w:cs="宋体" w:asciiTheme="minorEastAsia" w:hAnsiTheme="minorEastAsia"/>
                <w:b/>
                <w:bCs/>
                <w:color w:val="auto"/>
                <w:szCs w:val="21"/>
                <w:lang w:val="zh-CN"/>
              </w:rPr>
              <w:t>中国政府采购网</w:t>
            </w:r>
            <w:r>
              <w:rPr>
                <w:rFonts w:hint="eastAsia" w:cs="宋体" w:asciiTheme="minorEastAsia" w:hAnsiTheme="minorEastAsia"/>
                <w:b/>
                <w:bCs/>
                <w:color w:val="auto"/>
                <w:szCs w:val="21"/>
                <w:lang w:val="zh-CN"/>
              </w:rPr>
              <w:t>”</w:t>
            </w:r>
            <w:r>
              <w:rPr>
                <w:rFonts w:cs="宋体" w:asciiTheme="minorEastAsia" w:hAnsiTheme="minorEastAsia"/>
                <w:b/>
                <w:bCs/>
                <w:color w:val="auto"/>
                <w:szCs w:val="21"/>
                <w:lang w:val="zh-CN"/>
              </w:rPr>
              <w:t xml:space="preserve"> (www.ccgp.gov.cn)政府采购严重违法失信行为记录名单的投标人</w:t>
            </w:r>
            <w:r>
              <w:rPr>
                <w:rFonts w:hint="eastAsia" w:cs="宋体" w:asciiTheme="minorEastAsia" w:hAnsiTheme="minorEastAsia"/>
                <w:b/>
                <w:bCs/>
                <w:color w:val="auto"/>
                <w:szCs w:val="21"/>
                <w:lang w:val="zh-CN"/>
              </w:rPr>
              <w:t>； “中国社会组织政务服务平台”网站（</w:t>
            </w:r>
            <w:r>
              <w:rPr>
                <w:rFonts w:cs="宋体" w:asciiTheme="minorEastAsia" w:hAnsiTheme="minorEastAsia"/>
                <w:b/>
                <w:bCs/>
                <w:color w:val="auto"/>
                <w:szCs w:val="21"/>
                <w:lang w:val="zh-CN"/>
              </w:rPr>
              <w:t>https://chinanpo.mca.gov.cn</w:t>
            </w:r>
            <w:r>
              <w:rPr>
                <w:rFonts w:hint="eastAsia" w:cs="宋体" w:asciiTheme="minorEastAsia" w:hAnsiTheme="minorEastAsia"/>
                <w:b/>
                <w:bCs/>
                <w:color w:val="auto"/>
                <w:szCs w:val="21"/>
                <w:lang w:val="zh-CN"/>
              </w:rPr>
              <w:t>）严重违法失信社会组织</w:t>
            </w:r>
            <w:r>
              <w:rPr>
                <w:rFonts w:hint="eastAsia" w:cs="宋体" w:asciiTheme="minorEastAsia" w:hAnsiTheme="minorEastAsia"/>
                <w:color w:val="auto"/>
                <w:kern w:val="0"/>
                <w:szCs w:val="21"/>
              </w:rPr>
              <w:t>（联合体形式投标的，联合体成员存在不良信用记录，视同联合体存在不良信用记录）。</w:t>
            </w:r>
          </w:p>
          <w:p>
            <w:pPr>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1、查询渠道：</w:t>
            </w:r>
          </w:p>
          <w:p>
            <w:pPr>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①“信用中国”网站（</w:t>
            </w:r>
            <w:r>
              <w:rPr>
                <w:color w:val="auto"/>
              </w:rPr>
              <w:fldChar w:fldCharType="begin"/>
            </w:r>
            <w:r>
              <w:rPr>
                <w:color w:val="auto"/>
              </w:rPr>
              <w:instrText xml:space="preserve"> HYPERLINK "http://www.creditchina.gov.cn" </w:instrText>
            </w:r>
            <w:r>
              <w:rPr>
                <w:color w:val="auto"/>
              </w:rPr>
              <w:fldChar w:fldCharType="separate"/>
            </w:r>
            <w:r>
              <w:rPr>
                <w:rFonts w:hint="eastAsia" w:cs="宋体"/>
                <w:color w:val="auto"/>
                <w:kern w:val="0"/>
              </w:rPr>
              <w:t>www.creditchina.gov.cn</w:t>
            </w:r>
            <w:r>
              <w:rPr>
                <w:rFonts w:hint="eastAsia" w:cs="宋体"/>
                <w:color w:val="auto"/>
                <w:kern w:val="0"/>
              </w:rPr>
              <w:fldChar w:fldCharType="end"/>
            </w:r>
            <w:r>
              <w:rPr>
                <w:rFonts w:hint="eastAsia" w:cs="宋体" w:asciiTheme="minorEastAsia" w:hAnsiTheme="minorEastAsia"/>
                <w:color w:val="auto"/>
                <w:kern w:val="0"/>
                <w:szCs w:val="21"/>
              </w:rPr>
              <w:t>）</w:t>
            </w:r>
          </w:p>
          <w:p>
            <w:pPr>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②“中国政府采购网”（www.ccgp.gov.cn）</w:t>
            </w:r>
          </w:p>
          <w:p>
            <w:pPr>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③“中国社会组织政务服务平台”网站（</w:t>
            </w:r>
            <w:r>
              <w:rPr>
                <w:rFonts w:cs="宋体" w:asciiTheme="minorEastAsia" w:hAnsiTheme="minorEastAsia"/>
                <w:color w:val="auto"/>
                <w:kern w:val="0"/>
                <w:szCs w:val="21"/>
              </w:rPr>
              <w:t>https://chinanpo.mca.gov.cn</w:t>
            </w:r>
            <w:r>
              <w:rPr>
                <w:rFonts w:hint="eastAsia" w:cs="宋体" w:asciiTheme="minorEastAsia" w:hAnsiTheme="minorEastAsia"/>
                <w:color w:val="auto"/>
                <w:kern w:val="0"/>
                <w:szCs w:val="21"/>
              </w:rPr>
              <w:t>）（仅查询社会组织）；</w:t>
            </w:r>
          </w:p>
          <w:p>
            <w:p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2、截止时间：同投标截止时间；</w:t>
            </w:r>
          </w:p>
          <w:p>
            <w:pPr>
              <w:autoSpaceDE w:val="0"/>
              <w:autoSpaceDN w:val="0"/>
              <w:spacing w:line="360" w:lineRule="auto"/>
              <w:contextualSpacing/>
              <w:rPr>
                <w:rFonts w:cs="仿宋_GB2312" w:asciiTheme="minorEastAsia" w:hAnsiTheme="minorEastAsia"/>
                <w:color w:val="auto"/>
                <w:szCs w:val="21"/>
              </w:rPr>
            </w:pPr>
            <w:r>
              <w:rPr>
                <w:rFonts w:hint="eastAsia" w:cs="宋体" w:asciiTheme="minorEastAsia" w:hAnsiTheme="minorEastAsia"/>
                <w:color w:val="auto"/>
                <w:kern w:val="0"/>
                <w:szCs w:val="21"/>
              </w:rPr>
              <w:t>3、信用信息的使用原则：经采购人认定的被列入失信被执行人、税收违法黑名单、</w:t>
            </w:r>
            <w:r>
              <w:rPr>
                <w:rFonts w:cs="宋体" w:asciiTheme="minorEastAsia" w:hAnsiTheme="minorEastAsia"/>
                <w:color w:val="auto"/>
                <w:kern w:val="0"/>
                <w:szCs w:val="21"/>
              </w:rPr>
              <w:t>政府采购严重违法失信行为记录名单</w:t>
            </w:r>
            <w:r>
              <w:rPr>
                <w:rFonts w:hint="eastAsia" w:cs="宋体" w:asciiTheme="minorEastAsia" w:hAnsiTheme="minorEastAsia"/>
                <w:color w:val="auto"/>
                <w:kern w:val="0"/>
                <w:szCs w:val="21"/>
              </w:rPr>
              <w:t>的投标人、严重违法失信社会组织，将拒绝其参与本次政府采购活动。</w:t>
            </w:r>
          </w:p>
        </w:tc>
      </w:tr>
    </w:tbl>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第四章 投标人须知</w:t>
      </w:r>
    </w:p>
    <w:p>
      <w:pPr>
        <w:tabs>
          <w:tab w:val="left" w:pos="1260"/>
        </w:tabs>
        <w:autoSpaceDE w:val="0"/>
        <w:autoSpaceDN w:val="0"/>
        <w:adjustRightInd w:val="0"/>
        <w:spacing w:line="360" w:lineRule="auto"/>
        <w:contextualSpacing/>
        <w:jc w:val="center"/>
        <w:rPr>
          <w:rFonts w:cs="宋体" w:asciiTheme="minorEastAsia" w:hAnsiTheme="minorEastAsia"/>
          <w:b/>
          <w:color w:val="auto"/>
          <w:kern w:val="0"/>
          <w:sz w:val="28"/>
          <w:szCs w:val="28"/>
        </w:rPr>
      </w:pPr>
    </w:p>
    <w:p>
      <w:pPr>
        <w:tabs>
          <w:tab w:val="left" w:pos="1260"/>
        </w:tabs>
        <w:autoSpaceDE w:val="0"/>
        <w:autoSpaceDN w:val="0"/>
        <w:adjustRightInd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一、概念释义</w:t>
      </w:r>
    </w:p>
    <w:p>
      <w:pPr>
        <w:numPr>
          <w:ilvl w:val="0"/>
          <w:numId w:val="2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适用范围</w:t>
      </w:r>
    </w:p>
    <w:p>
      <w:pPr>
        <w:numPr>
          <w:ilvl w:val="0"/>
          <w:numId w:val="28"/>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本招标文件仅适用于本次“投标邀请”中所述采购项目。</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本招标文件解释权属于“投标邀请”所述的采购人。</w:t>
      </w:r>
    </w:p>
    <w:p>
      <w:pPr>
        <w:autoSpaceDE w:val="0"/>
        <w:autoSpaceDN w:val="0"/>
        <w:spacing w:line="360" w:lineRule="auto"/>
        <w:ind w:left="780"/>
        <w:contextualSpacing/>
        <w:rPr>
          <w:rFonts w:cs="宋体" w:asciiTheme="minorEastAsia" w:hAnsiTheme="minorEastAsia"/>
          <w:color w:val="auto"/>
          <w:kern w:val="0"/>
          <w:szCs w:val="21"/>
        </w:rPr>
      </w:pPr>
    </w:p>
    <w:p>
      <w:pPr>
        <w:numPr>
          <w:ilvl w:val="0"/>
          <w:numId w:val="2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定义</w:t>
      </w:r>
    </w:p>
    <w:p>
      <w:pPr>
        <w:numPr>
          <w:ilvl w:val="0"/>
          <w:numId w:val="28"/>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“采购项目”：“投标人须知前附表”中所述的采购项目。</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“招标人”：“投标人须知前附表”中所述的组织本次招标的代理机构和采购人。</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“采购人”：是指依法进行政府采购的国家机关、事业单位、团体组织。采购人名称、     地址、电话、联系人见“投标人须知前附表”。</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“代理机构”：接受采购人委托，代理采购项目的采购代理机构。代理机构名称、地址、 电话、联系人见“投标人须知前附表”。</w:t>
      </w:r>
    </w:p>
    <w:p>
      <w:pPr>
        <w:autoSpaceDE w:val="0"/>
        <w:autoSpaceDN w:val="0"/>
        <w:spacing w:line="360" w:lineRule="auto"/>
        <w:ind w:left="991" w:leftChars="450" w:hanging="46" w:hangingChars="2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采购代理机构及其分支机构不得在所代理的采购项目中投标或者代理投标，不得为所代理的采购项目的投标人参加本项目提供投标咨询。</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“潜在投标人”指符合《中华人民共和国政府采购法》及相关法律法规和本招标文件的各项规定，且按照本项目招标公告及招标文件规定的方式获取招标文件的法定代表人、其他组 织或者自然人。</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是指符合《中华人民共和国政府采购法》及相关法律法规和本招标文件的各项规定，响应招标、参加投标竞争，从招标人处按规定获取招标文件，并按照招标文件要求向招标人提交投标文件的法定代表人、其他组织或者自然人。</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“进口产品”：是指通过中国海关报关验放进入中国境内且产自关境外的产品，包括已经进入中国境内的进口产品。详见《</w:t>
      </w:r>
      <w:r>
        <w:rPr>
          <w:rFonts w:cs="宋体" w:asciiTheme="minorEastAsia" w:hAnsiTheme="minorEastAsia"/>
          <w:color w:val="auto"/>
          <w:kern w:val="0"/>
          <w:szCs w:val="21"/>
        </w:rPr>
        <w:t>政府采购进口产品管理办法</w:t>
      </w:r>
      <w:r>
        <w:rPr>
          <w:rFonts w:hint="eastAsia" w:cs="宋体" w:asciiTheme="minorEastAsia" w:hAnsiTheme="minorEastAsia"/>
          <w:color w:val="auto"/>
          <w:kern w:val="0"/>
          <w:szCs w:val="21"/>
        </w:rPr>
        <w:t>》(财库[2007]119号)、《关于政府采购进口产品管理有关问题的通知》（财办库［</w:t>
      </w:r>
      <w:r>
        <w:rPr>
          <w:rFonts w:cs="宋体" w:asciiTheme="minorEastAsia" w:hAnsiTheme="minorEastAsia"/>
          <w:color w:val="auto"/>
          <w:kern w:val="0"/>
          <w:szCs w:val="21"/>
        </w:rPr>
        <w:t>2008</w:t>
      </w:r>
      <w:r>
        <w:rPr>
          <w:rFonts w:hint="eastAsia" w:cs="宋体" w:asciiTheme="minorEastAsia" w:hAnsiTheme="minorEastAsia"/>
          <w:color w:val="auto"/>
          <w:kern w:val="0"/>
          <w:szCs w:val="21"/>
        </w:rPr>
        <w:t>］</w:t>
      </w:r>
      <w:r>
        <w:rPr>
          <w:rFonts w:cs="宋体" w:asciiTheme="minorEastAsia" w:hAnsiTheme="minorEastAsia"/>
          <w:color w:val="auto"/>
          <w:kern w:val="0"/>
          <w:szCs w:val="21"/>
        </w:rPr>
        <w:t xml:space="preserve">248 </w:t>
      </w:r>
      <w:r>
        <w:rPr>
          <w:rFonts w:hint="eastAsia" w:cs="宋体" w:asciiTheme="minorEastAsia" w:hAnsiTheme="minorEastAsia"/>
          <w:color w:val="auto"/>
          <w:kern w:val="0"/>
          <w:szCs w:val="21"/>
        </w:rPr>
        <w:t>号）。</w:t>
      </w:r>
    </w:p>
    <w:p>
      <w:pPr>
        <w:autoSpaceDE w:val="0"/>
        <w:autoSpaceDN w:val="0"/>
        <w:spacing w:line="360" w:lineRule="auto"/>
        <w:ind w:left="1274" w:leftChars="1" w:hanging="1272" w:hangingChars="60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2.7.1    </w:t>
      </w:r>
      <w:r>
        <w:rPr>
          <w:rFonts w:cs="宋体" w:asciiTheme="minorEastAsia" w:hAnsiTheme="minorEastAsia"/>
          <w:color w:val="auto"/>
          <w:kern w:val="0"/>
          <w:szCs w:val="21"/>
        </w:rPr>
        <w:t>招标文件列明不允许或未列明允许进口产品参加投标的，均视为拒绝进口产品参加投标。</w:t>
      </w:r>
    </w:p>
    <w:p>
      <w:pPr>
        <w:autoSpaceDE w:val="0"/>
        <w:autoSpaceDN w:val="0"/>
        <w:spacing w:line="360" w:lineRule="auto"/>
        <w:ind w:left="991" w:leftChars="1" w:hanging="989" w:hangingChars="471"/>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2.7.2    </w:t>
      </w:r>
      <w:r>
        <w:rPr>
          <w:rFonts w:cs="宋体" w:asciiTheme="minorEastAsia" w:hAnsiTheme="minorEastAsia"/>
          <w:color w:val="auto"/>
          <w:kern w:val="0"/>
          <w:szCs w:val="21"/>
        </w:rPr>
        <w:t>如</w:t>
      </w:r>
      <w:r>
        <w:rPr>
          <w:rFonts w:hint="eastAsia" w:cs="宋体" w:asciiTheme="minorEastAsia" w:hAnsiTheme="minorEastAsia"/>
          <w:color w:val="auto"/>
          <w:kern w:val="0"/>
          <w:szCs w:val="21"/>
        </w:rPr>
        <w:t>招标</w:t>
      </w:r>
      <w:r>
        <w:rPr>
          <w:rFonts w:cs="宋体" w:asciiTheme="minorEastAsia" w:hAnsiTheme="minorEastAsia"/>
          <w:color w:val="auto"/>
          <w:kern w:val="0"/>
          <w:szCs w:val="21"/>
        </w:rPr>
        <w:t>文件中已说明，经财政部门审核同意，允许部分或全部产品采购进口产品，投标人既可提供本国产品，也可以提供进口产品。</w:t>
      </w:r>
    </w:p>
    <w:p>
      <w:pPr>
        <w:numPr>
          <w:ilvl w:val="1"/>
          <w:numId w:val="27"/>
        </w:numPr>
        <w:autoSpaceDE w:val="0"/>
        <w:autoSpaceDN w:val="0"/>
        <w:spacing w:line="360" w:lineRule="auto"/>
        <w:ind w:left="991" w:leftChars="1" w:hanging="989" w:hangingChars="471"/>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招标文件中凡标有“★”的条款均系实质性要求条款。</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2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合格的投标人</w:t>
      </w:r>
    </w:p>
    <w:p>
      <w:pPr>
        <w:numPr>
          <w:ilvl w:val="0"/>
          <w:numId w:val="28"/>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在中华人民共和国境内注册，具有本项目生产、制造、供应或实施能力，符合、承认并承诺履行本招标文件各项规定的法定代表人、其他组织或者自然人。</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符合本项目“投标邀请”和“投标人须知前附表”中规定的合格投标人所必须具备的条件。</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ascii="宋体" w:hAnsi="宋体"/>
          <w:color w:val="auto"/>
          <w:szCs w:val="21"/>
        </w:rPr>
        <w:t>按照财政部《</w:t>
      </w:r>
      <w:r>
        <w:rPr>
          <w:rFonts w:hint="eastAsia" w:ascii="宋体" w:hAnsi="宋体" w:cs="微软雅黑"/>
          <w:bCs/>
          <w:color w:val="auto"/>
          <w:szCs w:val="21"/>
        </w:rPr>
        <w:t>关于在政府采购活动中查询及使用信用记录有关问题的通知</w:t>
      </w:r>
      <w:r>
        <w:rPr>
          <w:rFonts w:hint="eastAsia" w:ascii="宋体" w:hAnsi="宋体"/>
          <w:color w:val="auto"/>
          <w:szCs w:val="21"/>
        </w:rPr>
        <w:t>》（财库</w:t>
      </w:r>
      <w:r>
        <w:rPr>
          <w:rFonts w:hint="eastAsia" w:ascii="宋体" w:hAnsi="宋体" w:cs="微软雅黑"/>
          <w:bCs/>
          <w:color w:val="auto"/>
          <w:szCs w:val="21"/>
        </w:rPr>
        <w:t>〔2016〕</w:t>
      </w:r>
      <w:r>
        <w:rPr>
          <w:rFonts w:hint="eastAsia" w:ascii="宋体" w:hAnsi="宋体"/>
          <w:color w:val="auto"/>
          <w:szCs w:val="21"/>
        </w:rPr>
        <w:t>125号）要求，</w:t>
      </w:r>
      <w:r>
        <w:rPr>
          <w:rFonts w:hint="eastAsia" w:cs="宋体" w:asciiTheme="minorEastAsia" w:hAnsiTheme="minorEastAsia"/>
          <w:color w:val="auto"/>
          <w:kern w:val="0"/>
          <w:szCs w:val="21"/>
        </w:rPr>
        <w:t>政府采购活动中查询及使用投标人信用记录的具体要求为：投标人未被列入失信被执行人、税收违法黑名单、</w:t>
      </w:r>
      <w:r>
        <w:rPr>
          <w:rFonts w:ascii="宋体" w:hAnsi="宋体"/>
          <w:color w:val="auto"/>
          <w:szCs w:val="21"/>
        </w:rPr>
        <w:t>政府采购严重违法失信行为记录名单</w:t>
      </w:r>
      <w:r>
        <w:rPr>
          <w:rFonts w:hint="eastAsia" w:ascii="宋体" w:hAnsi="宋体"/>
          <w:color w:val="auto"/>
          <w:szCs w:val="21"/>
        </w:rPr>
        <w:t>、严重</w:t>
      </w:r>
      <w:r>
        <w:rPr>
          <w:rFonts w:hint="eastAsia" w:cs="宋体" w:asciiTheme="minorEastAsia" w:hAnsiTheme="minorEastAsia"/>
          <w:color w:val="auto"/>
          <w:kern w:val="0"/>
          <w:szCs w:val="21"/>
        </w:rPr>
        <w:t>违法失信社会组织名单（联合体形式投标的，联合体成员存在不良信用记录，视同联合体存在不良信用记录）。</w:t>
      </w:r>
    </w:p>
    <w:p>
      <w:pPr>
        <w:numPr>
          <w:ilvl w:val="0"/>
          <w:numId w:val="29"/>
        </w:numPr>
        <w:autoSpaceDE w:val="0"/>
        <w:autoSpaceDN w:val="0"/>
        <w:spacing w:line="360" w:lineRule="auto"/>
        <w:ind w:left="1418" w:hanging="141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查询渠道：“信用中国”网站（</w:t>
      </w:r>
      <w:r>
        <w:rPr>
          <w:rFonts w:cs="宋体" w:asciiTheme="minorEastAsia" w:hAnsiTheme="minorEastAsia"/>
          <w:color w:val="auto"/>
          <w:kern w:val="0"/>
          <w:szCs w:val="21"/>
        </w:rPr>
        <w:t>www.creditchina.gov.cn</w:t>
      </w:r>
      <w:r>
        <w:rPr>
          <w:rFonts w:hint="eastAsia" w:cs="宋体" w:asciiTheme="minorEastAsia" w:hAnsiTheme="minorEastAsia"/>
          <w:color w:val="auto"/>
          <w:kern w:val="0"/>
          <w:szCs w:val="21"/>
        </w:rPr>
        <w:t>）、“中国政府采购网”（</w:t>
      </w:r>
      <w:r>
        <w:rPr>
          <w:rFonts w:cs="宋体" w:asciiTheme="minorEastAsia" w:hAnsiTheme="minorEastAsia"/>
          <w:color w:val="auto"/>
          <w:kern w:val="0"/>
          <w:szCs w:val="21"/>
        </w:rPr>
        <w:t>www.ccgp.gov.cn</w:t>
      </w:r>
      <w:r>
        <w:rPr>
          <w:rFonts w:hint="eastAsia" w:cs="宋体" w:asciiTheme="minorEastAsia" w:hAnsiTheme="minorEastAsia"/>
          <w:color w:val="auto"/>
          <w:kern w:val="0"/>
          <w:szCs w:val="21"/>
        </w:rPr>
        <w:t>）、“中国社会组织政务服务平台”网站（</w:t>
      </w:r>
      <w:r>
        <w:rPr>
          <w:color w:val="auto"/>
        </w:rPr>
        <w:fldChar w:fldCharType="begin"/>
      </w:r>
      <w:r>
        <w:rPr>
          <w:color w:val="auto"/>
        </w:rPr>
        <w:instrText xml:space="preserve"> HYPERLINK "http://www.chinanpo.gov.cn" </w:instrText>
      </w:r>
      <w:r>
        <w:rPr>
          <w:color w:val="auto"/>
        </w:rPr>
        <w:fldChar w:fldCharType="separate"/>
      </w:r>
      <w:r>
        <w:rPr>
          <w:rFonts w:cs="宋体" w:asciiTheme="minorEastAsia" w:hAnsiTheme="minorEastAsia"/>
          <w:color w:val="auto"/>
          <w:kern w:val="0"/>
          <w:szCs w:val="21"/>
          <w:u w:val="single"/>
        </w:rPr>
        <w:t>https://chinanpo.mca.gov.cn</w:t>
      </w:r>
      <w:r>
        <w:rPr>
          <w:rFonts w:cs="宋体" w:asciiTheme="minorEastAsia" w:hAnsiTheme="minorEastAsia"/>
          <w:color w:val="auto"/>
          <w:kern w:val="0"/>
          <w:szCs w:val="21"/>
          <w:u w:val="single"/>
        </w:rPr>
        <w:fldChar w:fldCharType="end"/>
      </w:r>
      <w:r>
        <w:rPr>
          <w:rFonts w:hint="eastAsia" w:cs="宋体" w:asciiTheme="minorEastAsia" w:hAnsiTheme="minorEastAsia"/>
          <w:color w:val="auto"/>
          <w:kern w:val="0"/>
          <w:szCs w:val="21"/>
        </w:rPr>
        <w:t>）；</w:t>
      </w:r>
    </w:p>
    <w:p>
      <w:pPr>
        <w:numPr>
          <w:ilvl w:val="0"/>
          <w:numId w:val="29"/>
        </w:numPr>
        <w:autoSpaceDE w:val="0"/>
        <w:autoSpaceDN w:val="0"/>
        <w:spacing w:line="360" w:lineRule="auto"/>
        <w:ind w:left="1418" w:hanging="141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截止时间：同投标截止时间；</w:t>
      </w:r>
    </w:p>
    <w:p>
      <w:pPr>
        <w:numPr>
          <w:ilvl w:val="0"/>
          <w:numId w:val="29"/>
        </w:numPr>
        <w:autoSpaceDE w:val="0"/>
        <w:autoSpaceDN w:val="0"/>
        <w:spacing w:line="360" w:lineRule="auto"/>
        <w:ind w:left="1418" w:hanging="141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信用信息查询记录和证据留存具体方式：经采购人确认的查询结果网页截图作为查询记录和证据，与其他采购文件一并保存；</w:t>
      </w:r>
    </w:p>
    <w:p>
      <w:pPr>
        <w:numPr>
          <w:ilvl w:val="0"/>
          <w:numId w:val="29"/>
        </w:numPr>
        <w:autoSpaceDE w:val="0"/>
        <w:autoSpaceDN w:val="0"/>
        <w:spacing w:line="360" w:lineRule="auto"/>
        <w:ind w:left="1418" w:hanging="141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信用信息的使用原则：经采购人认定的被列入失信被执行人、税收违法黑名单、</w:t>
      </w:r>
      <w:r>
        <w:rPr>
          <w:rFonts w:ascii="宋体" w:hAnsi="宋体"/>
          <w:color w:val="auto"/>
          <w:szCs w:val="21"/>
        </w:rPr>
        <w:t>政府采购严重违法失信行为记录名单</w:t>
      </w:r>
      <w:r>
        <w:rPr>
          <w:rFonts w:hint="eastAsia" w:ascii="宋体" w:hAnsi="宋体"/>
          <w:color w:val="auto"/>
          <w:szCs w:val="21"/>
        </w:rPr>
        <w:t>的投标人、严</w:t>
      </w:r>
      <w:r>
        <w:rPr>
          <w:rFonts w:hint="eastAsia" w:cs="宋体" w:asciiTheme="minorEastAsia" w:hAnsiTheme="minorEastAsia"/>
          <w:color w:val="auto"/>
          <w:kern w:val="0"/>
          <w:szCs w:val="21"/>
        </w:rPr>
        <w:t>重违法失信社会组织名单的社会组织，将拒绝其参与本次政府采购活动；</w:t>
      </w:r>
    </w:p>
    <w:p>
      <w:pPr>
        <w:numPr>
          <w:ilvl w:val="0"/>
          <w:numId w:val="29"/>
        </w:numPr>
        <w:autoSpaceDE w:val="0"/>
        <w:autoSpaceDN w:val="0"/>
        <w:spacing w:line="360" w:lineRule="auto"/>
        <w:ind w:left="1418" w:hanging="141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投标人无须提供</w:t>
      </w:r>
      <w:r>
        <w:rPr>
          <w:rFonts w:hint="eastAsia" w:ascii="宋体" w:hAnsi="宋体" w:cs="微软雅黑"/>
          <w:bCs/>
          <w:color w:val="auto"/>
          <w:szCs w:val="21"/>
        </w:rPr>
        <w:t>信用记录查询结果网页截屏。</w:t>
      </w:r>
      <w:r>
        <w:rPr>
          <w:rFonts w:hint="eastAsia" w:cs="宋体" w:asciiTheme="minorEastAsia" w:hAnsiTheme="minorEastAsia"/>
          <w:color w:val="auto"/>
          <w:kern w:val="0"/>
          <w:szCs w:val="21"/>
        </w:rPr>
        <w:t>投标人不良信用记录以采购人查询结果为准，采购人查询之后，网站信息发生的任何变更不再作为评审依据，投标人自行提供的与网站信息不一致的其他证明材料亦不作为评审依据。</w:t>
      </w:r>
    </w:p>
    <w:p>
      <w:pPr>
        <w:numPr>
          <w:ilvl w:val="1"/>
          <w:numId w:val="27"/>
        </w:numPr>
        <w:autoSpaceDE w:val="0"/>
        <w:autoSpaceDN w:val="0"/>
        <w:spacing w:line="360" w:lineRule="auto"/>
        <w:ind w:hanging="964"/>
        <w:contextualSpacing/>
        <w:rPr>
          <w:rFonts w:ascii="宋体" w:hAnsi="宋体"/>
          <w:color w:val="auto"/>
          <w:szCs w:val="21"/>
        </w:rPr>
      </w:pPr>
      <w:r>
        <w:rPr>
          <w:rFonts w:hint="eastAsia" w:ascii="宋体" w:hAnsi="宋体"/>
          <w:color w:val="auto"/>
          <w:szCs w:val="21"/>
        </w:rPr>
        <w:t>单位负责人为同一人或者存在直接控股、管理关系的不同供应商，不得同时参加本项目投标。违反规定的，相关投标均无效。</w:t>
      </w:r>
    </w:p>
    <w:p>
      <w:pPr>
        <w:numPr>
          <w:ilvl w:val="1"/>
          <w:numId w:val="27"/>
        </w:numPr>
        <w:autoSpaceDE w:val="0"/>
        <w:autoSpaceDN w:val="0"/>
        <w:spacing w:line="360" w:lineRule="auto"/>
        <w:ind w:hanging="964"/>
        <w:contextualSpacing/>
        <w:rPr>
          <w:rFonts w:ascii="宋体" w:hAnsi="宋体"/>
          <w:color w:val="auto"/>
          <w:szCs w:val="21"/>
        </w:rPr>
      </w:pPr>
      <w:r>
        <w:rPr>
          <w:rFonts w:hint="eastAsia" w:cs="宋体" w:asciiTheme="minorEastAsia" w:hAnsiTheme="minorEastAsia"/>
          <w:color w:val="auto"/>
          <w:kern w:val="0"/>
          <w:szCs w:val="21"/>
        </w:rPr>
        <w:t>为采购项目提供整体设计、规范编制或者项目管理、监理、检测等服务的供应商，不得再参加该采购项目的其他采购活动。</w:t>
      </w:r>
    </w:p>
    <w:p>
      <w:pPr>
        <w:numPr>
          <w:ilvl w:val="1"/>
          <w:numId w:val="27"/>
        </w:numPr>
        <w:autoSpaceDE w:val="0"/>
        <w:autoSpaceDN w:val="0"/>
        <w:spacing w:line="360" w:lineRule="auto"/>
        <w:ind w:hanging="964"/>
        <w:contextualSpacing/>
        <w:rPr>
          <w:rFonts w:ascii="宋体" w:hAnsi="宋体"/>
          <w:color w:val="auto"/>
          <w:szCs w:val="21"/>
        </w:rPr>
      </w:pPr>
      <w:r>
        <w:rPr>
          <w:rFonts w:hint="eastAsia" w:cs="宋体" w:asciiTheme="minorEastAsia" w:hAnsiTheme="minorEastAsia"/>
          <w:color w:val="auto"/>
          <w:kern w:val="0"/>
          <w:szCs w:val="21"/>
        </w:rPr>
        <w:t>“投标邀请”和“投标人须知前附表”规定接受联合体投标的，除应符合本章第</w:t>
      </w:r>
      <w:r>
        <w:rPr>
          <w:rFonts w:cs="宋体" w:asciiTheme="minorEastAsia" w:hAnsiTheme="minorEastAsia"/>
          <w:color w:val="auto"/>
          <w:kern w:val="0"/>
          <w:szCs w:val="21"/>
        </w:rPr>
        <w:t>3.1</w:t>
      </w:r>
      <w:r>
        <w:rPr>
          <w:rFonts w:hint="eastAsia" w:cs="宋体" w:asciiTheme="minorEastAsia" w:hAnsiTheme="minorEastAsia"/>
          <w:color w:val="auto"/>
          <w:kern w:val="0"/>
          <w:szCs w:val="21"/>
        </w:rPr>
        <w:t>项和3.2项要求外，还应遵守以下规定：</w:t>
      </w:r>
    </w:p>
    <w:p>
      <w:pPr>
        <w:numPr>
          <w:ilvl w:val="0"/>
          <w:numId w:val="30"/>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在投标文件中向采购人提交联合体协议书，明确联合体各方承担的工作和义务；</w:t>
      </w:r>
    </w:p>
    <w:p>
      <w:pPr>
        <w:numPr>
          <w:ilvl w:val="0"/>
          <w:numId w:val="30"/>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联合体中有同类资质的供应商按联合体分工承担相同工作的，应当按照资质等级较低的供应商确定资质等级；</w:t>
      </w:r>
    </w:p>
    <w:p>
      <w:pPr>
        <w:numPr>
          <w:ilvl w:val="0"/>
          <w:numId w:val="30"/>
        </w:numPr>
        <w:autoSpaceDE w:val="0"/>
        <w:autoSpaceDN w:val="0"/>
        <w:spacing w:line="360" w:lineRule="auto"/>
        <w:ind w:left="1418" w:hanging="141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招标人根据采购项目的特殊要求规定投标人特定条件的，联合体各方中至少应当有一方符合采购规定的特定条件。</w:t>
      </w:r>
    </w:p>
    <w:p>
      <w:pPr>
        <w:numPr>
          <w:ilvl w:val="0"/>
          <w:numId w:val="30"/>
        </w:numPr>
        <w:autoSpaceDE w:val="0"/>
        <w:autoSpaceDN w:val="0"/>
        <w:spacing w:line="360" w:lineRule="auto"/>
        <w:ind w:left="1418" w:hanging="141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联合体各方不得再单独参加或者与其他供应商另外组成联合体参加同一合同项下的政府采购活动。</w:t>
      </w:r>
    </w:p>
    <w:p>
      <w:pPr>
        <w:numPr>
          <w:ilvl w:val="0"/>
          <w:numId w:val="30"/>
        </w:numPr>
        <w:autoSpaceDE w:val="0"/>
        <w:autoSpaceDN w:val="0"/>
        <w:spacing w:line="360" w:lineRule="auto"/>
        <w:ind w:left="1418" w:hanging="1416"/>
        <w:contextualSpacing/>
        <w:rPr>
          <w:rFonts w:cs="宋体" w:asciiTheme="minorEastAsia" w:hAnsiTheme="minorEastAsia"/>
          <w:color w:val="auto"/>
          <w:kern w:val="0"/>
          <w:szCs w:val="21"/>
        </w:rPr>
      </w:pPr>
      <w:r>
        <w:rPr>
          <w:rFonts w:cs="宋体" w:asciiTheme="minorEastAsia" w:hAnsiTheme="minorEastAsia"/>
          <w:color w:val="auto"/>
          <w:kern w:val="0"/>
          <w:szCs w:val="21"/>
        </w:rPr>
        <w:t>联合体各方应当共同与采购人签订采购合同，就采购合同约定的事项对采购人</w:t>
      </w:r>
      <w:r>
        <w:rPr>
          <w:color w:val="auto"/>
        </w:rPr>
        <w:fldChar w:fldCharType="begin"/>
      </w:r>
      <w:r>
        <w:rPr>
          <w:color w:val="auto"/>
        </w:rPr>
        <w:instrText xml:space="preserve"> HYPERLINK "https://baike.baidu.com/item/%E6%89%BF%E6%8B%85%E8%BF%9E%E5%B8%A6%E8%B4%A3%E4%BB%BB" \t "_blank" </w:instrText>
      </w:r>
      <w:r>
        <w:rPr>
          <w:color w:val="auto"/>
        </w:rPr>
        <w:fldChar w:fldCharType="separate"/>
      </w:r>
      <w:r>
        <w:rPr>
          <w:rFonts w:cs="宋体" w:asciiTheme="minorEastAsia" w:hAnsiTheme="minorEastAsia"/>
          <w:color w:val="auto"/>
          <w:kern w:val="0"/>
          <w:szCs w:val="21"/>
        </w:rPr>
        <w:t>承担连带责任</w:t>
      </w:r>
      <w:r>
        <w:rPr>
          <w:rFonts w:cs="宋体" w:asciiTheme="minorEastAsia" w:hAnsiTheme="minorEastAsia"/>
          <w:color w:val="auto"/>
          <w:kern w:val="0"/>
          <w:szCs w:val="21"/>
        </w:rPr>
        <w:fldChar w:fldCharType="end"/>
      </w:r>
      <w:r>
        <w:rPr>
          <w:rFonts w:cs="宋体" w:asciiTheme="minorEastAsia" w:hAnsiTheme="minorEastAsia"/>
          <w:color w:val="auto"/>
          <w:kern w:val="0"/>
          <w:szCs w:val="21"/>
        </w:rPr>
        <w:t>。</w:t>
      </w:r>
    </w:p>
    <w:p>
      <w:pPr>
        <w:numPr>
          <w:ilvl w:val="0"/>
          <w:numId w:val="31"/>
        </w:num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法律、行政法规规定的其他条件。</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2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合格的货物和服务</w:t>
      </w:r>
    </w:p>
    <w:p>
      <w:pPr>
        <w:numPr>
          <w:ilvl w:val="0"/>
          <w:numId w:val="28"/>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提供的货物应当符合招标文件的要求，并且其质量完全符合国家标准、行业标准或地方标准，均有标准的以高（严格）者为准。没有国家标准、行业标准和企业标准的，按照通常标准或者符合采购目的的特定标准确定。</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投标人所提供的服务应当没有侵犯任何第三方的知识产权、技术秘密等合法权利。</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根据《财政部、发展改革委、生态环境部、市场监管总局关于调整优化节能产品、环境标志产品政府采购执行机制的通知》（财库〔2019〕9号）要求，采购属于政府强制采购产品的，该产品必须具有国家确定的认证机构出具的、处于有效期之内的节能产品认证证书，否则其投标将被拒绝。</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根据</w:t>
      </w:r>
      <w:r>
        <w:rPr>
          <w:rFonts w:hint="eastAsia" w:cs="宋体" w:asciiTheme="minorEastAsia" w:hAnsiTheme="minorEastAsia"/>
          <w:bCs/>
          <w:color w:val="auto"/>
          <w:szCs w:val="21"/>
          <w:lang w:val="zh-CN"/>
        </w:rPr>
        <w:t>国家互联网信息办公室、工业和信息化部、公安部和国家认证认可监督管理委员会 2023 年第 2 号《关于调整&lt;网络关键设备和网络安全专用产品目录&gt;的公告》及国家互联网信息办公室、工业和信息化部、公安部、财政部和国家认证认可监督管理委员会 2023 年第 1 号《关于调整网络安全专用产品安全管理有关事项的公告》等相关文件要求，项目中涉及网络关键设备或网络安全专用产品的，至少符合以下条件之一：一是已由具备资格的机构安全认证合格或安全检测符合要求；二是已获得《计算机信息系统安全专用产品销售许可证》，且在有效期内。</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2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投标费用</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不论投标的结果如何，投标人均应自行承担所有与投标有关的全部费用，招标人在任何情况下均无义务和责任承担这些费用。</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2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信息发布</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采购项目需要公开的有关信息，包括招标公告、招标文件澄清或修改公告、中标公告以及延长投标截止时间等与招标活动有关的通知，招标人均将通过在《中国政府采购网》、《河南省政府采购网》、《许昌市政府采购网》和《全国公共资源交易平台（河南省·许昌市）》、《许昌市人民政府门户网站》公开发布。投标人在参与本采购项目招投标活动期间，请及时关注以上媒体上的相关信息，投标人因没有及时关注而未能如期获取相关信息，及因此所产生的一切后果和责任，由投标人自行承担，招标人在任何情况下均不对此承担任何责任。</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2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采购代理机构代理费用收取标准和方式</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本项目不收取代理费用。详见投标人须知前附表。</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2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其他</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本“投标人须知”的条款如与“投标邀请”、“项目需求”、“投标人须知前附表”和“资格审查与评标”就同一内容的表述不一致的，以“投标邀请”、“ 项目需求”、 “投标人须知前附表”和“资格审查与评标”中规定的内容为准。</w:t>
      </w:r>
    </w:p>
    <w:p>
      <w:pPr>
        <w:autoSpaceDE w:val="0"/>
        <w:autoSpaceDN w:val="0"/>
        <w:spacing w:line="360" w:lineRule="auto"/>
        <w:contextualSpacing/>
        <w:rPr>
          <w:rFonts w:cs="宋体" w:asciiTheme="minorEastAsia" w:hAnsiTheme="minorEastAsia"/>
          <w:color w:val="auto"/>
          <w:kern w:val="0"/>
          <w:szCs w:val="21"/>
        </w:rPr>
      </w:pPr>
    </w:p>
    <w:p>
      <w:pPr>
        <w:tabs>
          <w:tab w:val="left" w:pos="1260"/>
        </w:tabs>
        <w:autoSpaceDE w:val="0"/>
        <w:autoSpaceDN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二、招标文件说明</w:t>
      </w:r>
    </w:p>
    <w:p>
      <w:pPr>
        <w:numPr>
          <w:ilvl w:val="0"/>
          <w:numId w:val="2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招标文件构成</w:t>
      </w:r>
    </w:p>
    <w:p>
      <w:pPr>
        <w:numPr>
          <w:ilvl w:val="0"/>
          <w:numId w:val="32"/>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招标文件由以下部分组成：</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（1）投标邀请（招标公告）</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（2）项目需求</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（3）投标人须知前附表</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（4）投标人须知</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（5）政府采购政策功能</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（6）资格审查与评标</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（7）拟签订的合同文本</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（8）投标文件有关格式</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（9）本项目招标文件的澄清、答复、修改、补充内容（如有的话）</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认真阅读、并充分理解招标文件的全部内容（包括所有的补充、修改内容、重要事项、格式、条款和技术规范、参数及要求等），按招标文件要求和规定编制投标文件，并保证所提供的全部资料的真实性，否则有可能导致投标被拒绝，其风险由投标人自行承担。</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认真了解本次招标的具体工作要求、工作范围以及职责，了解一切可能影响投标报价的资料。一经中标，不得以不完全了解项目要求、项目情况等为借口而提出额外补偿等要求，否则，由此引起的一切后果由中标人负责。</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2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现场考察、开标前答疑会</w:t>
      </w:r>
    </w:p>
    <w:p>
      <w:pPr>
        <w:numPr>
          <w:ilvl w:val="0"/>
          <w:numId w:val="32"/>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招标人根据采购项目的具体情况，可以在招标文件公告期满后，组织已获取招标文件的潜在投标人现场考察或者召开开标前答疑会。</w:t>
      </w:r>
    </w:p>
    <w:p>
      <w:pPr>
        <w:autoSpaceDE w:val="0"/>
        <w:autoSpaceDN w:val="0"/>
        <w:spacing w:line="360" w:lineRule="auto"/>
        <w:ind w:left="964" w:firstLine="29"/>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组织现场考察或者召开开标前答疑会的，所有投标人应按“投标人须知前附表”规定的时间、地点前往参加现场考察或者开标前答疑会。投标人如不参加，其风险由投标人自行承担，招标人不承担任何责任。</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招标人组织现场考察或者召开答疑会的，应当在招标文件中载明，或者在招标文件公告期满后在财政部门指定的政府采购信息发布媒体和《全国公共资源交易平台（河南省·许昌市）》发布更正公告。</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在考察现场和开标前答疑会口头介绍的情况，除招标人事后形成书面记录、并以澄清或修改公告的形式发布、构成招标文件的组成部分以外，其他内容仅供投标人在编制投标文件时参考，招标人不对投标人据此作出的判断和决策负责。</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现场考察及参加开标前答疑会所发生的费用及一切责任由投标人自行承担。</w:t>
      </w:r>
    </w:p>
    <w:p>
      <w:pPr>
        <w:autoSpaceDE w:val="0"/>
        <w:autoSpaceDN w:val="0"/>
        <w:spacing w:line="360" w:lineRule="auto"/>
        <w:ind w:left="420"/>
        <w:contextualSpacing/>
        <w:rPr>
          <w:rFonts w:cs="宋体" w:asciiTheme="minorEastAsia" w:hAnsiTheme="minorEastAsia"/>
          <w:color w:val="auto"/>
          <w:kern w:val="0"/>
          <w:szCs w:val="21"/>
        </w:rPr>
      </w:pPr>
    </w:p>
    <w:p>
      <w:pPr>
        <w:numPr>
          <w:ilvl w:val="0"/>
          <w:numId w:val="2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招标文件的澄清或修改</w:t>
      </w:r>
    </w:p>
    <w:p>
      <w:pPr>
        <w:numPr>
          <w:ilvl w:val="0"/>
          <w:numId w:val="33"/>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在投标截止期前，无论出于何种原因，招标人可主动地或在解答潜在投标人提出的澄清问题时对招标文件进行修改。</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招标人可以对已发出的招标文件进行必要的澄清或者修改。澄清或者修改的内容可能影响投标文件编制的，招标人将在投标截止时间</w:t>
      </w:r>
      <w:r>
        <w:rPr>
          <w:rFonts w:cs="宋体" w:asciiTheme="minorEastAsia" w:hAnsiTheme="minorEastAsia"/>
          <w:color w:val="auto"/>
          <w:kern w:val="0"/>
          <w:szCs w:val="21"/>
        </w:rPr>
        <w:t>15</w:t>
      </w:r>
      <w:r>
        <w:rPr>
          <w:rFonts w:hint="eastAsia" w:cs="宋体" w:asciiTheme="minorEastAsia" w:hAnsiTheme="minorEastAsia"/>
          <w:color w:val="auto"/>
          <w:kern w:val="0"/>
          <w:szCs w:val="21"/>
        </w:rPr>
        <w:t>日前，在财政部门指定的政府采购信息发布媒体和《全国公共资源交易平台（河南省·许昌市）》发布更正公告。</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澄清或修改公告的内容为招标文件的组成部分，并对投标人具有约束力。当招标文件与澄清或修改公告就同一内容的表述不一致时，以最后发出的文件内容为准。</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如果澄清或者修改发出的时间距规定的投标截止时间不足15日，招标人将顺延提交投标文件的截止时间。</w:t>
      </w:r>
    </w:p>
    <w:p>
      <w:pPr>
        <w:autoSpaceDE w:val="0"/>
        <w:autoSpaceDN w:val="0"/>
        <w:spacing w:line="360" w:lineRule="auto"/>
        <w:contextualSpacing/>
        <w:rPr>
          <w:rFonts w:cs="宋体" w:asciiTheme="minorEastAsia" w:hAnsiTheme="minorEastAsia"/>
          <w:color w:val="auto"/>
          <w:kern w:val="0"/>
          <w:szCs w:val="21"/>
        </w:rPr>
      </w:pPr>
    </w:p>
    <w:p>
      <w:pPr>
        <w:autoSpaceDE w:val="0"/>
        <w:autoSpaceDN w:val="0"/>
        <w:spacing w:line="360" w:lineRule="auto"/>
        <w:contextualSpacing/>
        <w:rPr>
          <w:rFonts w:cs="宋体" w:asciiTheme="minorEastAsia" w:hAnsiTheme="minorEastAsia"/>
          <w:color w:val="auto"/>
          <w:kern w:val="0"/>
          <w:szCs w:val="21"/>
        </w:rPr>
      </w:pPr>
    </w:p>
    <w:p>
      <w:pPr>
        <w:tabs>
          <w:tab w:val="left" w:pos="1260"/>
        </w:tabs>
        <w:autoSpaceDE w:val="0"/>
        <w:autoSpaceDN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三、投标文件的编制</w:t>
      </w:r>
    </w:p>
    <w:p>
      <w:pPr>
        <w:numPr>
          <w:ilvl w:val="0"/>
          <w:numId w:val="2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投标的语言及计量单位</w:t>
      </w:r>
    </w:p>
    <w:p>
      <w:pPr>
        <w:numPr>
          <w:ilvl w:val="0"/>
          <w:numId w:val="34"/>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投标人提交的投标文件以及投标人与招标人就有关投标事宜的所有来往书面文件均应使用中文。除签名、盖章、专用名称等特殊情形外，以中文以外的文字表述的投标文件视同未提供。</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投标计量单位，招标文件已有明确规定的，使用招标文件规定的计量单位；招标文件没有规定的，一律采用中华人民共和国法定计量单位。</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2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投标报价</w:t>
      </w:r>
    </w:p>
    <w:p>
      <w:pPr>
        <w:numPr>
          <w:ilvl w:val="0"/>
          <w:numId w:val="34"/>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本次招标项目的投标均以人民币为计算单位。</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采购人不得向投标人索要或者接受其给予的赠品、回扣或者与采购无关的其他商品、服务。</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投标人应对项目要求的全部内容进行报价，少报漏报将导致其投标为非实质性响应予以拒绝。</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当按照国家相关规定，结合自身服务水平和承受能力进行报价。投标报价应是履行合同的最终价格，除“项目需求”中另有说明外，投标报价应当是投标人为提供本项目所要求的全部服务所发生的一切成本、税费和利润，包括人工（含工资、社会统筹保险金、加班工资、工作餐、相关福利、关于人员聘用的费用等）、设备、国家规定检测、外发包、材料（含辅材）、管理、税费及利润等。</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本项目所涉及的运输、施工、安装、集成、调试、验收、备品和工具等费用均包含在投标报价中。</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本次招标不接受可选择或可调整的投标方案和报价，任何有选择的或可调整的投标方案和报价将被视为非实质性响应投标而作无效投标处理。</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报价不得高于本项目最高限价，且不低于成本价。本次招标实行“最高限价（项目控制金额上限）”,投标人的投标报价高于最高限价（项目控制金额上限）的，该投标人的投标文件将被视为非实质性响应予以拒绝。</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最低报价不能作为中标的保证。</w:t>
      </w:r>
    </w:p>
    <w:p>
      <w:pPr>
        <w:autoSpaceDE w:val="0"/>
        <w:autoSpaceDN w:val="0"/>
        <w:spacing w:line="360" w:lineRule="auto"/>
        <w:ind w:left="420"/>
        <w:contextualSpacing/>
        <w:rPr>
          <w:rFonts w:cs="宋体" w:asciiTheme="minorEastAsia" w:hAnsiTheme="minorEastAsia"/>
          <w:color w:val="auto"/>
          <w:kern w:val="0"/>
          <w:szCs w:val="21"/>
        </w:rPr>
      </w:pPr>
    </w:p>
    <w:p>
      <w:pPr>
        <w:numPr>
          <w:ilvl w:val="0"/>
          <w:numId w:val="2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投标有效期</w:t>
      </w:r>
    </w:p>
    <w:p>
      <w:pPr>
        <w:numPr>
          <w:ilvl w:val="0"/>
          <w:numId w:val="34"/>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有效期从提交投标文件的截止之日起算。本项目投标有效期详见投标人须知前附表。投标文件中承诺的投标有效期应当不少于“投标人须知前附表”载明的投标有效期。投标有效期比招标文件规定短的属于非实质性响应，将被认定为无效投标。</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投标有效期内投标人撤销投标文件的，投标人将承担违背投标承诺函的责任追究。</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特殊情况下，在原投标有效期截止之前，招标人可要求投标人延长投标有效期。这种要求与答复均应以书面形式提交。投标人可拒绝招标人的这种要求，但其投标在原投标有效期期满后将不再有效。同意延长投标有效期的投标人将不会被要求和允许修正其投标，而只会被要求相应地延长其投标承诺函的有效期。在这种情况下，有关投标人违背投标承诺的责任追究措施将在延长了的有效期内继续有效。同意延期的投标人在原投标有效期内应享之权利及应负之责任也相应延续。</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中标人的投标文件作为项目合同的附件，其有效期至中标人全部合同义务履行完毕为止。</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2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投标文件构成</w:t>
      </w:r>
    </w:p>
    <w:p>
      <w:pPr>
        <w:numPr>
          <w:ilvl w:val="0"/>
          <w:numId w:val="34"/>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投标文件的构成应符合法律法规及招标文件的要求。</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投标人应当按照招标文件的要求编制投标文件。投标文件应当对招标文件提出的要求和条件作出明确响应。</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投标文件由资格证明材料、符合性证明材料、其它材料等组成。</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投标人根据招标文件的规定和采购项目的实际情况，拟在中标后将中标项目的非主体、非关键性工作分包的，应当在投标文件中载明分包承担主体，分包承担主体应当具备相应资质条件且不得再次分包。</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投标人登录许昌公共资源交易系统下载“许昌投标文件制作系统SEARUN 最新版本”，按招标文件要求根据所投标段制作电子投标文件。 一个标段对应生成一个文件夹（xxxx项目xx标段）,后缀名为“</w:t>
      </w:r>
      <w:r>
        <w:rPr>
          <w:rFonts w:cs="宋体" w:asciiTheme="minorEastAsia" w:hAnsiTheme="minorEastAsia"/>
          <w:color w:val="auto"/>
          <w:kern w:val="0"/>
          <w:szCs w:val="21"/>
        </w:rPr>
        <w:t>.file</w:t>
      </w:r>
      <w:r>
        <w:rPr>
          <w:rFonts w:hint="eastAsia" w:cs="宋体" w:asciiTheme="minorEastAsia" w:hAnsiTheme="minorEastAsia"/>
          <w:color w:val="auto"/>
          <w:kern w:val="0"/>
          <w:szCs w:val="21"/>
        </w:rPr>
        <w:t>”的文件用于电子投标使用。</w:t>
      </w:r>
    </w:p>
    <w:p>
      <w:pPr>
        <w:autoSpaceDE w:val="0"/>
        <w:autoSpaceDN w:val="0"/>
        <w:spacing w:line="360" w:lineRule="auto"/>
        <w:ind w:left="105" w:leftChars="50" w:firstLine="840" w:firstLineChars="40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电子投标文件制作技术咨询：</w:t>
      </w:r>
      <w:r>
        <w:rPr>
          <w:rFonts w:hint="eastAsia" w:cs="宋体" w:asciiTheme="minorEastAsia" w:hAnsiTheme="minorEastAsia"/>
          <w:b/>
          <w:color w:val="auto"/>
          <w:kern w:val="0"/>
          <w:szCs w:val="21"/>
        </w:rPr>
        <w:t>0374-2961598</w:t>
      </w:r>
      <w:r>
        <w:rPr>
          <w:rFonts w:hint="eastAsia" w:cs="宋体" w:asciiTheme="minorEastAsia" w:hAnsiTheme="minorEastAsia"/>
          <w:color w:val="auto"/>
          <w:kern w:val="0"/>
          <w:szCs w:val="21"/>
        </w:rPr>
        <w:t>。</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2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投标文件格式</w:t>
      </w:r>
    </w:p>
    <w:p>
      <w:pPr>
        <w:numPr>
          <w:ilvl w:val="0"/>
          <w:numId w:val="34"/>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为便于评审及规范统一，建议投标文件参照招标文件第八部分（投标文件有关格式）的内容要求、编排顺序和格式要求，以A4幅面编上的连贯页码，并在投标文件封面上注明：所投项目名称、项目编号、投标人名称、日期等字样。</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招标文件未提供标准格式的投标人可自行拟定。</w:t>
      </w:r>
    </w:p>
    <w:p>
      <w:pPr>
        <w:autoSpaceDE w:val="0"/>
        <w:autoSpaceDN w:val="0"/>
        <w:spacing w:line="360" w:lineRule="auto"/>
        <w:ind w:left="420"/>
        <w:contextualSpacing/>
        <w:rPr>
          <w:rFonts w:cs="宋体" w:asciiTheme="minorEastAsia" w:hAnsiTheme="minorEastAsia"/>
          <w:color w:val="auto"/>
          <w:kern w:val="0"/>
          <w:szCs w:val="21"/>
        </w:rPr>
      </w:pPr>
    </w:p>
    <w:p>
      <w:pPr>
        <w:numPr>
          <w:ilvl w:val="0"/>
          <w:numId w:val="2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投标保证金</w:t>
      </w:r>
    </w:p>
    <w:p>
      <w:pPr>
        <w:numPr>
          <w:ilvl w:val="0"/>
          <w:numId w:val="34"/>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本项目不收取投标保证金。</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投标人应提供投标承诺函。</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2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投标文件的数量和签署盖章</w:t>
      </w:r>
    </w:p>
    <w:p>
      <w:pPr>
        <w:numPr>
          <w:ilvl w:val="0"/>
          <w:numId w:val="34"/>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投标人应提交投标文件份数见“投标人须知前附表”。</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在招标文件中已明示需盖章及签名之处，电子投标文件应按招标文件要求加盖投标人电子印章和法定代表人电子印章或授权代表电子印章。</w:t>
      </w:r>
    </w:p>
    <w:p>
      <w:pPr>
        <w:tabs>
          <w:tab w:val="left" w:pos="1260"/>
        </w:tabs>
        <w:autoSpaceDE w:val="0"/>
        <w:autoSpaceDN w:val="0"/>
        <w:spacing w:line="360" w:lineRule="auto"/>
        <w:contextualSpacing/>
        <w:rPr>
          <w:rFonts w:cs="仿宋_GB2312" w:asciiTheme="minorEastAsia" w:hAnsiTheme="minorEastAsia"/>
          <w:color w:val="auto"/>
          <w:szCs w:val="21"/>
          <w:lang w:val="zh-CN"/>
        </w:rPr>
      </w:pPr>
    </w:p>
    <w:p>
      <w:pPr>
        <w:tabs>
          <w:tab w:val="left" w:pos="1260"/>
        </w:tabs>
        <w:autoSpaceDE w:val="0"/>
        <w:autoSpaceDN w:val="0"/>
        <w:spacing w:line="360" w:lineRule="auto"/>
        <w:contextualSpacing/>
        <w:rPr>
          <w:rFonts w:cs="仿宋_GB2312" w:asciiTheme="minorEastAsia" w:hAnsiTheme="minorEastAsia"/>
          <w:color w:val="auto"/>
          <w:szCs w:val="21"/>
          <w:lang w:val="zh-CN"/>
        </w:rPr>
      </w:pPr>
    </w:p>
    <w:p>
      <w:pPr>
        <w:tabs>
          <w:tab w:val="left" w:pos="1260"/>
        </w:tabs>
        <w:autoSpaceDE w:val="0"/>
        <w:autoSpaceDN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四、投标文件的提交</w:t>
      </w:r>
    </w:p>
    <w:p>
      <w:pPr>
        <w:numPr>
          <w:ilvl w:val="0"/>
          <w:numId w:val="2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投标截止时间</w:t>
      </w:r>
    </w:p>
    <w:p>
      <w:pPr>
        <w:numPr>
          <w:ilvl w:val="0"/>
          <w:numId w:val="34"/>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投标人必须在“投标邀请”和“投标人须知前附表”中规定的投标截止时间前，将</w:t>
      </w:r>
      <w:r>
        <w:rPr>
          <w:rFonts w:hint="eastAsia" w:cs="仿宋_GB2312" w:asciiTheme="minorEastAsia" w:hAnsiTheme="minorEastAsia"/>
          <w:color w:val="auto"/>
          <w:szCs w:val="21"/>
        </w:rPr>
        <w:t>加密电子投标文件</w:t>
      </w:r>
      <w:r>
        <w:rPr>
          <w:rFonts w:hint="eastAsia" w:cs="宋体" w:asciiTheme="minorEastAsia" w:hAnsiTheme="minorEastAsia"/>
          <w:color w:val="auto"/>
          <w:szCs w:val="21"/>
        </w:rPr>
        <w:t>（</w:t>
      </w:r>
      <w:r>
        <w:rPr>
          <w:rFonts w:asciiTheme="minorEastAsia" w:hAnsiTheme="minorEastAsia"/>
          <w:color w:val="auto"/>
          <w:szCs w:val="21"/>
        </w:rPr>
        <w:t>.file</w:t>
      </w:r>
      <w:r>
        <w:rPr>
          <w:rFonts w:hint="eastAsia" w:cs="宋体" w:asciiTheme="minorEastAsia" w:hAnsiTheme="minorEastAsia"/>
          <w:color w:val="auto"/>
          <w:szCs w:val="21"/>
        </w:rPr>
        <w:t>格式）</w:t>
      </w:r>
      <w:r>
        <w:rPr>
          <w:rFonts w:hint="eastAsia" w:cs="仿宋_GB2312" w:asciiTheme="minorEastAsia" w:hAnsiTheme="minorEastAsia"/>
          <w:color w:val="auto"/>
          <w:szCs w:val="21"/>
        </w:rPr>
        <w:t>通过《全国公共资源交易平台(河南省</w:t>
      </w:r>
      <w:r>
        <w:rPr>
          <w:rFonts w:hint="eastAsia" w:ascii="MS Mincho" w:hAnsi="MS Mincho" w:eastAsia="MS Mincho" w:cs="MS Mincho"/>
          <w:color w:val="auto"/>
          <w:szCs w:val="21"/>
        </w:rPr>
        <w:t>▪</w:t>
      </w:r>
      <w:r>
        <w:rPr>
          <w:rFonts w:hint="eastAsia" w:ascii="宋体" w:hAnsi="宋体" w:cs="宋体"/>
          <w:color w:val="auto"/>
          <w:szCs w:val="21"/>
        </w:rPr>
        <w:t>许昌市</w:t>
      </w:r>
      <w:r>
        <w:rPr>
          <w:rFonts w:hint="eastAsia" w:cs="仿宋_GB2312" w:asciiTheme="minorEastAsia" w:hAnsiTheme="minorEastAsia"/>
          <w:color w:val="auto"/>
          <w:szCs w:val="21"/>
        </w:rPr>
        <w:t>)》公共资源交易系统成功上传。</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可以按本须知第14条规定，通过修改招标文件自行决定酌情延长投标截止期。在此情况下，招标人和投标人受投标截止期制约的所有权利和义务均应延长至新的截止日期和时间。投标人按招标人修改通知规定的时间提交投标文件。</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2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迟交的投标文件</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投标截止时间之后上传的投标文件，招标人将拒绝接收。</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2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投标文件的修改和撤回</w:t>
      </w:r>
    </w:p>
    <w:p>
      <w:pPr>
        <w:numPr>
          <w:ilvl w:val="0"/>
          <w:numId w:val="3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投标人在投标截止时间前，对投标文件进行补充、修改或者撤回的，须书面通知招标人。</w:t>
      </w:r>
    </w:p>
    <w:p>
      <w:pPr>
        <w:autoSpaceDE w:val="0"/>
        <w:autoSpaceDN w:val="0"/>
        <w:spacing w:line="360" w:lineRule="auto"/>
        <w:ind w:left="964" w:firstLine="29"/>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投标人应当在投标截止时间前完成电子投标文件的提交，可以补充、修改或撤回。投标截止时间前未完成电子投标文件提交的，视为撤回投标文件。</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投标人补充、修改的内容并作为投标文件的组成部分。补充或修改应当按招标文件要求签署、盖章、提交，并应注明“修改</w:t>
      </w:r>
      <w:r>
        <w:rPr>
          <w:rFonts w:cs="宋体" w:asciiTheme="minorEastAsia" w:hAnsiTheme="minorEastAsia"/>
          <w:color w:val="auto"/>
          <w:kern w:val="0"/>
          <w:szCs w:val="21"/>
        </w:rPr>
        <w:t>”</w:t>
      </w:r>
      <w:r>
        <w:rPr>
          <w:rFonts w:hint="eastAsia" w:cs="宋体" w:asciiTheme="minorEastAsia" w:hAnsiTheme="minorEastAsia"/>
          <w:color w:val="auto"/>
          <w:kern w:val="0"/>
          <w:szCs w:val="21"/>
        </w:rPr>
        <w:t>或“补充</w:t>
      </w:r>
      <w:r>
        <w:rPr>
          <w:rFonts w:cs="宋体" w:asciiTheme="minorEastAsia" w:hAnsiTheme="minorEastAsia"/>
          <w:color w:val="auto"/>
          <w:kern w:val="0"/>
          <w:szCs w:val="21"/>
        </w:rPr>
        <w:t>”</w:t>
      </w:r>
      <w:r>
        <w:rPr>
          <w:rFonts w:hint="eastAsia" w:cs="宋体" w:asciiTheme="minorEastAsia" w:hAnsiTheme="minorEastAsia"/>
          <w:color w:val="auto"/>
          <w:kern w:val="0"/>
          <w:szCs w:val="21"/>
        </w:rPr>
        <w:t>字样。</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投标人在提交投标文件后，可以撤回其投标，但投标人必须在规定的投标截止时间前以书面形式告知招标人。</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投标人不得在投标有效期内撤销投标文件，否则投标人将承担违背投标承诺函的责任追究。</w:t>
      </w:r>
    </w:p>
    <w:p>
      <w:pPr>
        <w:autoSpaceDE w:val="0"/>
        <w:autoSpaceDN w:val="0"/>
        <w:spacing w:line="360" w:lineRule="auto"/>
        <w:ind w:left="420"/>
        <w:contextualSpacing/>
        <w:rPr>
          <w:rFonts w:cs="宋体" w:asciiTheme="minorEastAsia" w:hAnsiTheme="minorEastAsia"/>
          <w:color w:val="auto"/>
          <w:kern w:val="0"/>
          <w:szCs w:val="21"/>
        </w:rPr>
      </w:pPr>
    </w:p>
    <w:p>
      <w:pPr>
        <w:numPr>
          <w:ilvl w:val="0"/>
          <w:numId w:val="2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除投标人须知前附表另有规定外，投标人所提交的电子投标文件不予退还。</w:t>
      </w:r>
    </w:p>
    <w:p>
      <w:pPr>
        <w:autoSpaceDE w:val="0"/>
        <w:autoSpaceDN w:val="0"/>
        <w:spacing w:line="360" w:lineRule="auto"/>
        <w:contextualSpacing/>
        <w:rPr>
          <w:rFonts w:cs="宋体" w:asciiTheme="minorEastAsia" w:hAnsiTheme="minorEastAsia"/>
          <w:color w:val="auto"/>
          <w:kern w:val="0"/>
          <w:szCs w:val="21"/>
        </w:rPr>
      </w:pPr>
    </w:p>
    <w:p>
      <w:pPr>
        <w:autoSpaceDE w:val="0"/>
        <w:autoSpaceDN w:val="0"/>
        <w:spacing w:line="360" w:lineRule="auto"/>
        <w:contextualSpacing/>
        <w:rPr>
          <w:rFonts w:cs="宋体" w:asciiTheme="minorEastAsia" w:hAnsiTheme="minorEastAsia"/>
          <w:color w:val="auto"/>
          <w:kern w:val="0"/>
          <w:szCs w:val="21"/>
        </w:rPr>
      </w:pPr>
    </w:p>
    <w:p>
      <w:pPr>
        <w:tabs>
          <w:tab w:val="left" w:pos="1260"/>
        </w:tabs>
        <w:autoSpaceDE w:val="0"/>
        <w:autoSpaceDN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五、开标和评标</w:t>
      </w:r>
    </w:p>
    <w:p>
      <w:pPr>
        <w:numPr>
          <w:ilvl w:val="0"/>
          <w:numId w:val="2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开标</w:t>
      </w:r>
    </w:p>
    <w:p>
      <w:pPr>
        <w:numPr>
          <w:ilvl w:val="0"/>
          <w:numId w:val="36"/>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招标人将按招标文件规定的时间和地点组织远程不见面开标。开标由代理机构主持，投标人无须到现场。评标委员会成员不得参加开标活动。</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招标人应当对开标、评标现场活动进行全程录音录像。录音录像应当清晰可辨，音像资料作为采购文件一并存档。</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开标时，由代理机构开通远程不见面开标大厅及开启“文字互动”等功能；投标人、代理机构进行电子投标文件的解密。解密后</w:t>
      </w:r>
      <w:r>
        <w:rPr>
          <w:rFonts w:hint="eastAsia" w:asciiTheme="minorEastAsia" w:hAnsiTheme="minorEastAsia"/>
          <w:color w:val="auto"/>
          <w:szCs w:val="21"/>
        </w:rPr>
        <w:t>投标人选择功能栏“开标记录”按钮可查看</w:t>
      </w:r>
      <w:r>
        <w:rPr>
          <w:rFonts w:hint="eastAsia" w:cs="宋体" w:asciiTheme="minorEastAsia" w:hAnsiTheme="minorEastAsia"/>
          <w:color w:val="auto"/>
          <w:kern w:val="0"/>
          <w:szCs w:val="21"/>
        </w:rPr>
        <w:t>投标人名称、投标价格、修改和撤回投标的通知（如有的话）和招标文件规定的需要宣布的其他内容。</w:t>
      </w:r>
    </w:p>
    <w:p>
      <w:pPr>
        <w:numPr>
          <w:ilvl w:val="1"/>
          <w:numId w:val="37"/>
        </w:numPr>
        <w:autoSpaceDE w:val="0"/>
        <w:autoSpaceDN w:val="0"/>
        <w:spacing w:line="360" w:lineRule="auto"/>
        <w:ind w:left="1841" w:leftChars="671" w:hanging="432" w:hangingChars="20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电子投标文件的解密。全流程电子化交易项目电子投标文件采用双重加密。解密需分标段进行两次解密。</w:t>
      </w:r>
    </w:p>
    <w:p>
      <w:pPr>
        <w:numPr>
          <w:ilvl w:val="1"/>
          <w:numId w:val="38"/>
        </w:numPr>
        <w:autoSpaceDE w:val="0"/>
        <w:autoSpaceDN w:val="0"/>
        <w:spacing w:line="360" w:lineRule="auto"/>
        <w:ind w:left="1843" w:hanging="1843"/>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投标人解密：投标人使用本单位CA数字证书远程进行解密。</w:t>
      </w:r>
    </w:p>
    <w:p>
      <w:pPr>
        <w:autoSpaceDE w:val="0"/>
        <w:autoSpaceDN w:val="0"/>
        <w:spacing w:line="360" w:lineRule="auto"/>
        <w:ind w:left="1842" w:hanging="1841" w:hangingChars="877"/>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23.3.1.2         代理机构解密：代理机构</w:t>
      </w:r>
      <w:r>
        <w:rPr>
          <w:rFonts w:cs="宋体" w:asciiTheme="minorEastAsia" w:hAnsiTheme="minorEastAsia"/>
          <w:color w:val="auto"/>
          <w:kern w:val="0"/>
          <w:szCs w:val="21"/>
        </w:rPr>
        <w:t>按</w:t>
      </w:r>
      <w:r>
        <w:rPr>
          <w:rFonts w:hint="eastAsia" w:cs="宋体" w:asciiTheme="minorEastAsia" w:hAnsiTheme="minorEastAsia"/>
          <w:color w:val="auto"/>
          <w:kern w:val="0"/>
          <w:szCs w:val="21"/>
        </w:rPr>
        <w:t>电子</w:t>
      </w:r>
      <w:r>
        <w:rPr>
          <w:rFonts w:cs="宋体" w:asciiTheme="minorEastAsia" w:hAnsiTheme="minorEastAsia"/>
          <w:color w:val="auto"/>
          <w:kern w:val="0"/>
          <w:szCs w:val="21"/>
        </w:rPr>
        <w:t>投标</w:t>
      </w:r>
      <w:r>
        <w:rPr>
          <w:rFonts w:hint="eastAsia" w:cs="宋体" w:asciiTheme="minorEastAsia" w:hAnsiTheme="minorEastAsia"/>
          <w:color w:val="auto"/>
          <w:kern w:val="0"/>
          <w:szCs w:val="21"/>
        </w:rPr>
        <w:t>文件到达交易系统</w:t>
      </w:r>
      <w:r>
        <w:rPr>
          <w:rFonts w:cs="宋体" w:asciiTheme="minorEastAsia" w:hAnsiTheme="minorEastAsia"/>
          <w:color w:val="auto"/>
          <w:kern w:val="0"/>
          <w:szCs w:val="21"/>
        </w:rPr>
        <w:t>的先后顺序</w:t>
      </w:r>
      <w:r>
        <w:rPr>
          <w:rFonts w:hint="eastAsia" w:cs="宋体" w:asciiTheme="minorEastAsia" w:hAnsiTheme="minorEastAsia"/>
          <w:color w:val="auto"/>
          <w:kern w:val="0"/>
          <w:szCs w:val="21"/>
        </w:rPr>
        <w:t>，使用本单位CA数字证书进行再次解密。</w:t>
      </w:r>
    </w:p>
    <w:p>
      <w:pPr>
        <w:numPr>
          <w:ilvl w:val="1"/>
          <w:numId w:val="39"/>
        </w:numPr>
        <w:autoSpaceDE w:val="0"/>
        <w:autoSpaceDN w:val="0"/>
        <w:spacing w:line="360" w:lineRule="auto"/>
        <w:ind w:left="1843" w:hanging="1843"/>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因投标人原因电子投标文件解密失败的，其投标将被拒绝。</w:t>
      </w:r>
    </w:p>
    <w:p>
      <w:pPr>
        <w:numPr>
          <w:ilvl w:val="1"/>
          <w:numId w:val="37"/>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投标人不足3家的，不得开标。</w:t>
      </w:r>
    </w:p>
    <w:p>
      <w:pPr>
        <w:numPr>
          <w:ilvl w:val="1"/>
          <w:numId w:val="40"/>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开标过程由采购代理机构负责记录，</w:t>
      </w:r>
      <w:r>
        <w:rPr>
          <w:rFonts w:hint="eastAsia" w:hAnsi="宋体"/>
          <w:color w:val="auto"/>
          <w:szCs w:val="21"/>
        </w:rPr>
        <w:t>《开标记录表》经投标人进行电子签章、</w:t>
      </w:r>
      <w:r>
        <w:rPr>
          <w:rFonts w:hint="eastAsia" w:cs="宋体" w:asciiTheme="minorEastAsia" w:hAnsiTheme="minorEastAsia"/>
          <w:color w:val="auto"/>
          <w:kern w:val="0"/>
          <w:szCs w:val="21"/>
        </w:rPr>
        <w:t>由参加开标相关工作人员签字确认后随采购文件一并存档。</w:t>
      </w:r>
      <w:r>
        <w:rPr>
          <w:rFonts w:hint="eastAsia" w:hAnsi="宋体"/>
          <w:color w:val="auto"/>
          <w:szCs w:val="21"/>
        </w:rPr>
        <w:t>投标人未电子签章的，视同认可开标结果。</w:t>
      </w:r>
    </w:p>
    <w:p>
      <w:pPr>
        <w:numPr>
          <w:ilvl w:val="1"/>
          <w:numId w:val="40"/>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对开标过程和开标记录如有疑义，以及认为采购人、采购代理机构相关工作人员有需要回避的情形的，应在不见面开标大厅“文字互动”对话框或“新增质疑”处在线提出询问或者回避申请。采购人、采购代理机构对投标人代表提出的询问或者回避申请应当及时处理。</w:t>
      </w:r>
    </w:p>
    <w:p>
      <w:pPr>
        <w:numPr>
          <w:ilvl w:val="1"/>
          <w:numId w:val="40"/>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项目远程不见面开标活动结束时，投标人应在《开标记录表》上进行电子签章。投标人未签章的，视同认可开标结果。</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40"/>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资格审查</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开标结束后，采购人依法对投标人的资格进行审查。合格投标人不足3家的，不得评标。</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40"/>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评标委员会的组成</w:t>
      </w:r>
    </w:p>
    <w:p>
      <w:pPr>
        <w:numPr>
          <w:ilvl w:val="0"/>
          <w:numId w:val="41"/>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将依法组建评标委员会，评标委员会由采购人代表和评审专家组成，成员人数应当为5人以上单数，其中评审专家的人数不少于评标委员会成员总数的三分之二。评审专家依法从政府采购评审专家库中随机抽取。</w:t>
      </w:r>
    </w:p>
    <w:p>
      <w:pPr>
        <w:numPr>
          <w:ilvl w:val="0"/>
          <w:numId w:val="42"/>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招标人将依法组建评标委员会，评标委员会由评审专家组成，成员人数应当为5人以上单数。评审专家依法从政府采购评审专家库中随机抽取。</w:t>
      </w:r>
    </w:p>
    <w:p>
      <w:pPr>
        <w:numPr>
          <w:ilvl w:val="0"/>
          <w:numId w:val="42"/>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采购项目符合下列情形之一的，评标委员会成员人数应当为7人以上单数：</w:t>
      </w:r>
    </w:p>
    <w:p>
      <w:pPr>
        <w:numPr>
          <w:ilvl w:val="0"/>
          <w:numId w:val="43"/>
        </w:numPr>
        <w:autoSpaceDE w:val="0"/>
        <w:autoSpaceDN w:val="0"/>
        <w:spacing w:line="360" w:lineRule="auto"/>
        <w:ind w:left="1843" w:hanging="1843"/>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采购预算金额在1000万元以上；</w:t>
      </w:r>
    </w:p>
    <w:p>
      <w:pPr>
        <w:numPr>
          <w:ilvl w:val="0"/>
          <w:numId w:val="43"/>
        </w:numPr>
        <w:autoSpaceDE w:val="0"/>
        <w:autoSpaceDN w:val="0"/>
        <w:spacing w:line="360" w:lineRule="auto"/>
        <w:ind w:left="1843" w:hanging="1843"/>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技术复杂；</w:t>
      </w:r>
    </w:p>
    <w:p>
      <w:pPr>
        <w:numPr>
          <w:ilvl w:val="0"/>
          <w:numId w:val="43"/>
        </w:numPr>
        <w:autoSpaceDE w:val="0"/>
        <w:autoSpaceDN w:val="0"/>
        <w:spacing w:line="360" w:lineRule="auto"/>
        <w:ind w:left="1843" w:hanging="1843"/>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社会影响较大。</w:t>
      </w:r>
    </w:p>
    <w:p>
      <w:pPr>
        <w:numPr>
          <w:ilvl w:val="0"/>
          <w:numId w:val="42"/>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评审专家对本单位的采购项目只能作为采购人代表参与评标。采购代理机构工作人员不得参加由本机构代理的政府采购项目的评标。</w:t>
      </w:r>
    </w:p>
    <w:p>
      <w:pPr>
        <w:numPr>
          <w:ilvl w:val="0"/>
          <w:numId w:val="44"/>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评审专家与投标人存在下列利害关系之一的,应当回避:</w:t>
      </w:r>
    </w:p>
    <w:p>
      <w:pPr>
        <w:numPr>
          <w:ilvl w:val="0"/>
          <w:numId w:val="45"/>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参加采购活动前三年内,与供应商存在劳动关系,或者担任过供应商的董事、监事,或者是供应商的控股股东或实际控制人；</w:t>
      </w:r>
    </w:p>
    <w:p>
      <w:pPr>
        <w:numPr>
          <w:ilvl w:val="0"/>
          <w:numId w:val="45"/>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与供应商的法定代表人或者负责人有夫妻、直系血亲、三代以内旁系血亲或者近姻亲关系；</w:t>
      </w:r>
    </w:p>
    <w:p>
      <w:pPr>
        <w:numPr>
          <w:ilvl w:val="0"/>
          <w:numId w:val="45"/>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与供应商有其他可能影响政府采购活动公平、公正进行的关系。</w:t>
      </w:r>
    </w:p>
    <w:p>
      <w:pPr>
        <w:numPr>
          <w:ilvl w:val="1"/>
          <w:numId w:val="46"/>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评审专家发现本人与参加采购活动的供应商有利害关系的,应当主动提出回避。采购人或者代理机构发现评审专家与参加采购活动的供应商有利害关系的,应当要求其回避。</w:t>
      </w:r>
    </w:p>
    <w:p>
      <w:pPr>
        <w:numPr>
          <w:ilvl w:val="1"/>
          <w:numId w:val="46"/>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采购人不得担任评标小组长。</w:t>
      </w:r>
    </w:p>
    <w:p>
      <w:pPr>
        <w:numPr>
          <w:ilvl w:val="1"/>
          <w:numId w:val="46"/>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采购人可以在评标前说明项目背景和采购需求，说明内容不得含有歧视性、倾向性意见，不得超出招标文件所述范围。说明应当提交书面材料，并随采购文件一并存档。</w:t>
      </w:r>
    </w:p>
    <w:p>
      <w:pPr>
        <w:numPr>
          <w:ilvl w:val="1"/>
          <w:numId w:val="46"/>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评标委员会成员名单在评标结果公告前应当保密。</w:t>
      </w:r>
    </w:p>
    <w:p>
      <w:pPr>
        <w:autoSpaceDE w:val="0"/>
        <w:autoSpaceDN w:val="0"/>
        <w:spacing w:line="360" w:lineRule="auto"/>
        <w:ind w:left="420"/>
        <w:contextualSpacing/>
        <w:rPr>
          <w:rFonts w:cs="宋体" w:asciiTheme="minorEastAsia" w:hAnsiTheme="minorEastAsia"/>
          <w:color w:val="auto"/>
          <w:kern w:val="0"/>
          <w:szCs w:val="21"/>
        </w:rPr>
      </w:pPr>
    </w:p>
    <w:p>
      <w:pPr>
        <w:numPr>
          <w:ilvl w:val="0"/>
          <w:numId w:val="46"/>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符合性审查</w:t>
      </w:r>
    </w:p>
    <w:p>
      <w:pPr>
        <w:numPr>
          <w:ilvl w:val="0"/>
          <w:numId w:val="4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评标委员会依据有关法律法规和招标文件的规定，对符合资格的投标人的投标文件进行符合性审查，以确定其是否满足招标文件的实质性要求。</w:t>
      </w:r>
    </w:p>
    <w:p>
      <w:pPr>
        <w:numPr>
          <w:ilvl w:val="0"/>
          <w:numId w:val="4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审查、评价投标文件是否符合招标文件的商务、技术等实质性要求。</w:t>
      </w:r>
    </w:p>
    <w:p>
      <w:pPr>
        <w:numPr>
          <w:ilvl w:val="0"/>
          <w:numId w:val="4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可要求投标人对投标文件有关事项作出澄清或者说明。</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48"/>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投标文件的澄清</w:t>
      </w:r>
    </w:p>
    <w:p>
      <w:pPr>
        <w:numPr>
          <w:ilvl w:val="0"/>
          <w:numId w:val="49"/>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对于投标文件中含义不明确、同类问题表述不一致或者有明显文字和计算错误的内容，评标委员会应当以书面形式要求投标人作出必要的澄清、说明或者补正。</w:t>
      </w:r>
    </w:p>
    <w:p>
      <w:pPr>
        <w:numPr>
          <w:ilvl w:val="0"/>
          <w:numId w:val="50"/>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投标人的澄清、说明或者补正应当采用书面形式，并加盖公章，或者由法定代表人或其授权的代表签字。投标人的澄清、说明或者补正不得超出投标文件的范围或者改变投标文件的实质性内容。</w:t>
      </w:r>
    </w:p>
    <w:p>
      <w:pPr>
        <w:numPr>
          <w:ilvl w:val="0"/>
          <w:numId w:val="51"/>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投标人的澄清文件是其投标文件的组成部分。</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48"/>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投标文件报价出现前后不一致的修正</w:t>
      </w:r>
    </w:p>
    <w:p>
      <w:pPr>
        <w:numPr>
          <w:ilvl w:val="0"/>
          <w:numId w:val="52"/>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投标文件中开标一览表(报价表)内容与投标文件中相应内容不一致的，以开标一览表(报价表)为准；</w:t>
      </w:r>
    </w:p>
    <w:p>
      <w:pPr>
        <w:numPr>
          <w:ilvl w:val="0"/>
          <w:numId w:val="52"/>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大写金额和小写金额不一致的，以大写金额为准；</w:t>
      </w:r>
    </w:p>
    <w:p>
      <w:pPr>
        <w:numPr>
          <w:ilvl w:val="0"/>
          <w:numId w:val="52"/>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单价金额小数点或者百分比有明显错位的，以开标一览表的总价为准，并修改单价；</w:t>
      </w:r>
    </w:p>
    <w:p>
      <w:pPr>
        <w:numPr>
          <w:ilvl w:val="0"/>
          <w:numId w:val="52"/>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总价金额与按单价汇总金额不一致的，以单价金额计算结果为准。同时出现两种以上不一致的，按照前款规定的顺序修正。修正后的报价按照“投标人须知”27.2规定经投标人确认后产生约束力，投标人不确认的，其投标无效。</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48"/>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投标无效情形</w:t>
      </w:r>
    </w:p>
    <w:p>
      <w:pPr>
        <w:numPr>
          <w:ilvl w:val="0"/>
          <w:numId w:val="53"/>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投标文件属下列情况之一的，按照无效投标处理：</w:t>
      </w:r>
    </w:p>
    <w:p>
      <w:pPr>
        <w:numPr>
          <w:ilvl w:val="0"/>
          <w:numId w:val="54"/>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未按照招标文件的规定提交《许昌市政府采购供应商信用承诺函》的；</w:t>
      </w:r>
    </w:p>
    <w:p>
      <w:pPr>
        <w:numPr>
          <w:ilvl w:val="0"/>
          <w:numId w:val="54"/>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未按照招标文件的规定提交投标承诺函的；</w:t>
      </w:r>
    </w:p>
    <w:p>
      <w:pPr>
        <w:numPr>
          <w:ilvl w:val="0"/>
          <w:numId w:val="54"/>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投标文件未按招标文件要求签署、盖章的；</w:t>
      </w:r>
    </w:p>
    <w:p>
      <w:pPr>
        <w:numPr>
          <w:ilvl w:val="0"/>
          <w:numId w:val="54"/>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报价超过招标文件中规定的预算金额或者最高限价的；</w:t>
      </w:r>
    </w:p>
    <w:p>
      <w:pPr>
        <w:numPr>
          <w:ilvl w:val="0"/>
          <w:numId w:val="54"/>
        </w:numPr>
        <w:autoSpaceDE w:val="0"/>
        <w:autoSpaceDN w:val="0"/>
        <w:spacing w:line="360" w:lineRule="auto"/>
        <w:ind w:left="1418" w:hanging="1418"/>
        <w:contextualSpacing/>
        <w:rPr>
          <w:rFonts w:cs="宋体" w:asciiTheme="minorEastAsia" w:hAnsiTheme="minorEastAsia"/>
          <w:color w:val="auto"/>
          <w:kern w:val="0"/>
          <w:szCs w:val="21"/>
        </w:rPr>
      </w:pPr>
      <w:r>
        <w:rPr>
          <w:rFonts w:cs="宋体" w:asciiTheme="minorEastAsia" w:hAnsiTheme="minorEastAsia"/>
          <w:color w:val="auto"/>
          <w:kern w:val="0"/>
          <w:szCs w:val="21"/>
        </w:rPr>
        <w:t>投标文件含有采购人不能接受的附加条件的</w:t>
      </w:r>
      <w:r>
        <w:rPr>
          <w:rFonts w:hint="eastAsia" w:cs="宋体" w:asciiTheme="minorEastAsia" w:hAnsiTheme="minorEastAsia"/>
          <w:color w:val="auto"/>
          <w:kern w:val="0"/>
          <w:szCs w:val="21"/>
        </w:rPr>
        <w:t>。</w:t>
      </w:r>
    </w:p>
    <w:p>
      <w:pPr>
        <w:numPr>
          <w:ilvl w:val="0"/>
          <w:numId w:val="5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根据《河南省财政厅关于防范供应商串通投标促进政府采购公平竞争的通知》（豫财购﹝2021﹞6号）要求，参与同一个标段的供应商存在下列情形之一的，其投标文件无效：</w:t>
      </w:r>
    </w:p>
    <w:p>
      <w:pPr>
        <w:numPr>
          <w:ilvl w:val="0"/>
          <w:numId w:val="56"/>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不同供应商的电子投标文件上传计算机的网卡MAC地址、CPU序列号和硬盘序列号等硬件信息相同的；</w:t>
      </w:r>
    </w:p>
    <w:p>
      <w:pPr>
        <w:numPr>
          <w:ilvl w:val="0"/>
          <w:numId w:val="57"/>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不同供应商的投标文件由同一电子设备编制、打印加密或者上传；</w:t>
      </w:r>
    </w:p>
    <w:p>
      <w:pPr>
        <w:numPr>
          <w:ilvl w:val="0"/>
          <w:numId w:val="58"/>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不同供应商的投标文件由同一电子设备打印、复印；</w:t>
      </w:r>
    </w:p>
    <w:p>
      <w:pPr>
        <w:numPr>
          <w:ilvl w:val="0"/>
          <w:numId w:val="59"/>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不同供应商的投标文件由同一人送达或者分发，或者不同供应商联系人为同一人或不同联系人的联系电话一致的；</w:t>
      </w:r>
    </w:p>
    <w:p>
      <w:pPr>
        <w:numPr>
          <w:ilvl w:val="0"/>
          <w:numId w:val="60"/>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不同供应商的投标文件的内容存在两处以上细节错误一致；</w:t>
      </w:r>
    </w:p>
    <w:p>
      <w:pPr>
        <w:numPr>
          <w:ilvl w:val="0"/>
          <w:numId w:val="61"/>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不同供应商的法定代表人、委托代理人、项目经理、项目负责人等由同一个单位缴纳社会保险或者领取报酬的；</w:t>
      </w:r>
    </w:p>
    <w:p>
      <w:pPr>
        <w:numPr>
          <w:ilvl w:val="0"/>
          <w:numId w:val="62"/>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不同供应商投标文件中法定代表人或者负责人签字出自同一人之手；</w:t>
      </w:r>
    </w:p>
    <w:p>
      <w:pPr>
        <w:numPr>
          <w:ilvl w:val="0"/>
          <w:numId w:val="63"/>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其它涉嫌串通的情形。</w:t>
      </w:r>
    </w:p>
    <w:p>
      <w:pPr>
        <w:numPr>
          <w:ilvl w:val="0"/>
          <w:numId w:val="64"/>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有下列情形之一的，视为投标人串通投标，其投标无效：</w:t>
      </w:r>
    </w:p>
    <w:p>
      <w:pPr>
        <w:numPr>
          <w:ilvl w:val="0"/>
          <w:numId w:val="65"/>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不同投标人的投标文件由同一单位或者个人编制；</w:t>
      </w:r>
    </w:p>
    <w:p>
      <w:pPr>
        <w:numPr>
          <w:ilvl w:val="0"/>
          <w:numId w:val="66"/>
        </w:numPr>
        <w:autoSpaceDE w:val="0"/>
        <w:autoSpaceDN w:val="0"/>
        <w:spacing w:line="360" w:lineRule="auto"/>
        <w:ind w:hanging="138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不同投标人委托同一单位或者个人办理投标事宜；</w:t>
      </w:r>
    </w:p>
    <w:p>
      <w:pPr>
        <w:numPr>
          <w:ilvl w:val="0"/>
          <w:numId w:val="67"/>
        </w:numPr>
        <w:autoSpaceDE w:val="0"/>
        <w:autoSpaceDN w:val="0"/>
        <w:spacing w:line="360" w:lineRule="auto"/>
        <w:ind w:hanging="138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不同投标人的投标文件载明的项目管理成员或者联系人员为同一人；</w:t>
      </w:r>
    </w:p>
    <w:p>
      <w:pPr>
        <w:numPr>
          <w:ilvl w:val="0"/>
          <w:numId w:val="68"/>
        </w:numPr>
        <w:autoSpaceDE w:val="0"/>
        <w:autoSpaceDN w:val="0"/>
        <w:spacing w:line="360" w:lineRule="auto"/>
        <w:ind w:hanging="138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不同投标人的投标文件异常一致或者投标报价呈规律性差异；</w:t>
      </w:r>
    </w:p>
    <w:p>
      <w:pPr>
        <w:numPr>
          <w:ilvl w:val="0"/>
          <w:numId w:val="69"/>
        </w:numPr>
        <w:autoSpaceDE w:val="0"/>
        <w:autoSpaceDN w:val="0"/>
        <w:spacing w:line="360" w:lineRule="auto"/>
        <w:ind w:hanging="138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不同投标人的投标文件相互混装。</w:t>
      </w:r>
    </w:p>
    <w:p>
      <w:pPr>
        <w:numPr>
          <w:ilvl w:val="0"/>
          <w:numId w:val="70"/>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p>
    <w:p>
      <w:pPr>
        <w:numPr>
          <w:ilvl w:val="0"/>
          <w:numId w:val="71"/>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委员会认为投标人的报价明显低于其他通过符合性审查投标人的报价，有可能影响产品质量或者不能诚信履约的，应当要求其在评标期间合理的时间内提供书面说明，必要时提交相关证明材料；投标人不能证明其报价合理性的，评标委员会应当将其作为无效投标处理。</w:t>
      </w:r>
    </w:p>
    <w:p>
      <w:pPr>
        <w:numPr>
          <w:ilvl w:val="0"/>
          <w:numId w:val="72"/>
        </w:numPr>
        <w:autoSpaceDE w:val="0"/>
        <w:autoSpaceDN w:val="0"/>
        <w:spacing w:line="360" w:lineRule="auto"/>
        <w:ind w:hanging="964"/>
        <w:contextualSpacing/>
        <w:rPr>
          <w:rFonts w:cs="宋体" w:asciiTheme="minorEastAsia" w:hAnsiTheme="minorEastAsia"/>
          <w:color w:val="auto"/>
          <w:kern w:val="0"/>
          <w:szCs w:val="21"/>
        </w:rPr>
      </w:pPr>
      <w:r>
        <w:rPr>
          <w:rFonts w:hint="eastAsia" w:ascii="ˎ̥" w:hAnsi="ˎ̥"/>
          <w:color w:val="auto"/>
        </w:rPr>
        <w:t>按照《关于推进全流程电子化交易和在线监管工作有关问题的通知》（许公管办[2019]3号）规定，不同投标人电子投标文件记录的网卡MAC地址、CPU序号、硬盘序列号等硬件特征码均相同时，视为‘</w:t>
      </w:r>
      <w:r>
        <w:rPr>
          <w:rFonts w:ascii="ˎ̥" w:hAnsi="ˎ̥"/>
          <w:color w:val="auto"/>
        </w:rPr>
        <w:t>不同</w:t>
      </w:r>
      <w:r>
        <w:rPr>
          <w:rFonts w:hint="eastAsia" w:ascii="ˎ̥" w:hAnsi="ˎ̥"/>
          <w:color w:val="auto"/>
        </w:rPr>
        <w:t>投标人</w:t>
      </w:r>
      <w:r>
        <w:rPr>
          <w:rFonts w:ascii="ˎ̥" w:hAnsi="ˎ̥"/>
          <w:color w:val="auto"/>
        </w:rPr>
        <w:t>的</w:t>
      </w:r>
      <w:r>
        <w:rPr>
          <w:rFonts w:hint="eastAsia" w:ascii="ˎ̥" w:hAnsi="ˎ̥"/>
          <w:color w:val="auto"/>
        </w:rPr>
        <w:t>投标</w:t>
      </w:r>
      <w:r>
        <w:rPr>
          <w:rFonts w:ascii="ˎ̥" w:hAnsi="ˎ̥"/>
          <w:color w:val="auto"/>
        </w:rPr>
        <w:t>文件由同一单位或者个人编制</w:t>
      </w:r>
      <w:r>
        <w:rPr>
          <w:rFonts w:hint="eastAsia" w:ascii="ˎ̥" w:hAnsi="ˎ̥"/>
          <w:color w:val="auto"/>
        </w:rPr>
        <w:t>’或‘</w:t>
      </w:r>
      <w:r>
        <w:rPr>
          <w:rFonts w:ascii="ˎ̥" w:hAnsi="ˎ̥"/>
          <w:color w:val="auto"/>
        </w:rPr>
        <w:t>不同</w:t>
      </w:r>
      <w:r>
        <w:rPr>
          <w:rFonts w:hint="eastAsia" w:ascii="ˎ̥" w:hAnsi="ˎ̥"/>
          <w:color w:val="auto"/>
        </w:rPr>
        <w:t>投标人</w:t>
      </w:r>
      <w:r>
        <w:rPr>
          <w:rFonts w:ascii="ˎ̥" w:hAnsi="ˎ̥"/>
          <w:color w:val="auto"/>
        </w:rPr>
        <w:t>委托同一单位或者个人办理</w:t>
      </w:r>
      <w:r>
        <w:rPr>
          <w:rFonts w:hint="eastAsia" w:ascii="ˎ̥" w:hAnsi="ˎ̥"/>
          <w:color w:val="auto"/>
        </w:rPr>
        <w:t>响应</w:t>
      </w:r>
      <w:r>
        <w:rPr>
          <w:rFonts w:ascii="ˎ̥" w:hAnsi="ˎ̥"/>
          <w:color w:val="auto"/>
        </w:rPr>
        <w:t>事宜</w:t>
      </w:r>
      <w:r>
        <w:rPr>
          <w:rFonts w:hint="eastAsia" w:ascii="ˎ̥" w:hAnsi="ˎ̥"/>
          <w:color w:val="auto"/>
        </w:rPr>
        <w:t>’，其投标无效。</w:t>
      </w:r>
    </w:p>
    <w:p>
      <w:pPr>
        <w:numPr>
          <w:ilvl w:val="0"/>
          <w:numId w:val="73"/>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法</w:t>
      </w:r>
      <w:r>
        <w:rPr>
          <w:rFonts w:cs="宋体" w:asciiTheme="minorEastAsia" w:hAnsiTheme="minorEastAsia"/>
          <w:color w:val="auto"/>
          <w:kern w:val="0"/>
          <w:szCs w:val="21"/>
        </w:rPr>
        <w:t>律、法规和招标文件规定的其他无效情形。</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48"/>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相同品牌投标人的认定</w:t>
      </w:r>
      <w:r>
        <w:rPr>
          <w:rFonts w:cs="仿宋_GB2312" w:asciiTheme="minorEastAsia" w:hAnsiTheme="minorEastAsia"/>
          <w:b/>
          <w:bCs/>
          <w:color w:val="auto"/>
          <w:szCs w:val="21"/>
          <w:lang w:val="zh-CN"/>
        </w:rPr>
        <w:t>（服务类项目不适用本条款规定）</w:t>
      </w:r>
    </w:p>
    <w:p>
      <w:pPr>
        <w:numPr>
          <w:ilvl w:val="0"/>
          <w:numId w:val="74"/>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pPr>
        <w:numPr>
          <w:ilvl w:val="0"/>
          <w:numId w:val="7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48"/>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投标文件的比较与评价</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评标委员会按照招标文件中规定的评标方法和标准，对符合性审查合格的投标文件进行商务和技术评估，综合比较与评价。</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48"/>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评标方法、评标标准</w:t>
      </w:r>
    </w:p>
    <w:p>
      <w:pPr>
        <w:numPr>
          <w:ilvl w:val="0"/>
          <w:numId w:val="76"/>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评标方法分为最低评标价法和综合评分法。</w:t>
      </w:r>
    </w:p>
    <w:p>
      <w:pPr>
        <w:numPr>
          <w:ilvl w:val="0"/>
          <w:numId w:val="77"/>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最低评标价法</w:t>
      </w:r>
    </w:p>
    <w:p>
      <w:pPr>
        <w:numPr>
          <w:ilvl w:val="0"/>
          <w:numId w:val="78"/>
        </w:numPr>
        <w:autoSpaceDE w:val="0"/>
        <w:autoSpaceDN w:val="0"/>
        <w:spacing w:line="360" w:lineRule="auto"/>
        <w:ind w:left="1841" w:leftChars="1" w:hanging="1839" w:hangingChars="87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最低评标价法，是指投标文件满足招标文件全部实质性要求，且投标报价最低的投标人为中标候选人的评标方法。</w:t>
      </w:r>
    </w:p>
    <w:p>
      <w:pPr>
        <w:numPr>
          <w:ilvl w:val="0"/>
          <w:numId w:val="78"/>
        </w:numPr>
        <w:autoSpaceDE w:val="0"/>
        <w:autoSpaceDN w:val="0"/>
        <w:spacing w:line="360" w:lineRule="auto"/>
        <w:ind w:left="1841" w:leftChars="1" w:hanging="1839" w:hangingChars="87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采用最低评标价法评标时，除了算术修正和落实政府采购政策需进行的价格扣除外，不能对投标人的投标价格进行任何调整。</w:t>
      </w:r>
    </w:p>
    <w:p>
      <w:pPr>
        <w:numPr>
          <w:ilvl w:val="0"/>
          <w:numId w:val="77"/>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综合评分法，是指投标文件满足招标文件全部实质性要求，且按照评审因素的量化指标评审得分最高的投标人为中标候选人的评标方法。</w:t>
      </w:r>
    </w:p>
    <w:p>
      <w:pPr>
        <w:numPr>
          <w:ilvl w:val="0"/>
          <w:numId w:val="79"/>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价格分</w:t>
      </w:r>
    </w:p>
    <w:p>
      <w:pPr>
        <w:numPr>
          <w:ilvl w:val="0"/>
          <w:numId w:val="80"/>
        </w:numPr>
        <w:autoSpaceDE w:val="0"/>
        <w:autoSpaceDN w:val="0"/>
        <w:spacing w:line="360" w:lineRule="auto"/>
        <w:ind w:left="851" w:hanging="851"/>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价格分采用低价优先法计算，即满足招标文件要求且投标价格最低的投标报价为评标基准价，其价格分为满分。其他投标人的价格分统一按照下列公式计算：</w:t>
      </w:r>
    </w:p>
    <w:p>
      <w:pPr>
        <w:autoSpaceDE w:val="0"/>
        <w:autoSpaceDN w:val="0"/>
        <w:spacing w:line="360" w:lineRule="auto"/>
        <w:ind w:left="964" w:firstLine="840" w:firstLineChars="40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投标报价得分=(评标基准价/投标报价)×100</w:t>
      </w:r>
    </w:p>
    <w:p>
      <w:pPr>
        <w:autoSpaceDE w:val="0"/>
        <w:autoSpaceDN w:val="0"/>
        <w:spacing w:line="360" w:lineRule="auto"/>
        <w:ind w:left="964" w:firstLine="840" w:firstLineChars="40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评标总得分=F1×A1+F2×A2+……+Fn×An</w:t>
      </w:r>
    </w:p>
    <w:p>
      <w:pPr>
        <w:autoSpaceDE w:val="0"/>
        <w:autoSpaceDN w:val="0"/>
        <w:spacing w:line="360" w:lineRule="auto"/>
        <w:ind w:left="964" w:firstLine="840" w:firstLineChars="40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F1、F2……Fn分别为各项评审因素的得分;</w:t>
      </w:r>
    </w:p>
    <w:p>
      <w:pPr>
        <w:autoSpaceDE w:val="0"/>
        <w:autoSpaceDN w:val="0"/>
        <w:spacing w:line="360" w:lineRule="auto"/>
        <w:ind w:left="964" w:firstLine="840" w:firstLineChars="40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A1、A2、……An 分别为各项评审因素所占的权重(A1+A2+……+An=1)。</w:t>
      </w:r>
    </w:p>
    <w:p>
      <w:pPr>
        <w:numPr>
          <w:ilvl w:val="0"/>
          <w:numId w:val="81"/>
        </w:numPr>
        <w:autoSpaceDE w:val="0"/>
        <w:autoSpaceDN w:val="0"/>
        <w:spacing w:line="360" w:lineRule="auto"/>
        <w:ind w:left="1276" w:hanging="127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评标过程中，不得去掉报价中的最高报价和最低报价。</w:t>
      </w:r>
    </w:p>
    <w:p>
      <w:pPr>
        <w:numPr>
          <w:ilvl w:val="0"/>
          <w:numId w:val="82"/>
        </w:num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因落实政府采购政策进行价格调整的，以调整后的价格计算评标基准价和投标报价。</w:t>
      </w:r>
    </w:p>
    <w:p>
      <w:pPr>
        <w:numPr>
          <w:ilvl w:val="0"/>
          <w:numId w:val="83"/>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本次评标具体评标方法、评标标准见（第六章 资格审查与评标）。</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84"/>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推荐中标候选人</w:t>
      </w:r>
    </w:p>
    <w:p>
      <w:pPr>
        <w:numPr>
          <w:ilvl w:val="0"/>
          <w:numId w:val="85"/>
        </w:numPr>
        <w:autoSpaceDE w:val="0"/>
        <w:autoSpaceDN w:val="0"/>
        <w:spacing w:line="360" w:lineRule="auto"/>
        <w:ind w:left="993" w:hanging="993"/>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采用最低评标价法的，评标结果按投标报价由低到高顺序排列。投标报价相同的并列。投标文件满足招标文件全部实质性要求且投标报价最低的投标人为排名第一的中标候选人。</w:t>
      </w:r>
    </w:p>
    <w:p>
      <w:pPr>
        <w:numPr>
          <w:ilvl w:val="0"/>
          <w:numId w:val="86"/>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8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评审意见无效情形</w:t>
      </w:r>
    </w:p>
    <w:p>
      <w:pPr>
        <w:numPr>
          <w:ilvl w:val="0"/>
          <w:numId w:val="88"/>
        </w:numPr>
        <w:autoSpaceDE w:val="0"/>
        <w:autoSpaceDN w:val="0"/>
        <w:spacing w:line="360" w:lineRule="auto"/>
        <w:ind w:left="993" w:hanging="993"/>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评标委员会及其成员有下列行为之一的，其评审意见无效：</w:t>
      </w:r>
    </w:p>
    <w:p>
      <w:pPr>
        <w:numPr>
          <w:ilvl w:val="0"/>
          <w:numId w:val="89"/>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确定参与评标至评标结束前私自接触投标人；</w:t>
      </w:r>
    </w:p>
    <w:p>
      <w:pPr>
        <w:numPr>
          <w:ilvl w:val="0"/>
          <w:numId w:val="89"/>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接受投标人提出的与投标文件不一致的澄清或者说明，《投标人须知》26条规定的情形除外；</w:t>
      </w:r>
    </w:p>
    <w:p>
      <w:pPr>
        <w:numPr>
          <w:ilvl w:val="0"/>
          <w:numId w:val="89"/>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违反评标纪律发表倾向性意见或者征询采购人的倾向性意见；</w:t>
      </w:r>
    </w:p>
    <w:p>
      <w:pPr>
        <w:numPr>
          <w:ilvl w:val="0"/>
          <w:numId w:val="89"/>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对需要专业判断的主观评审因素协商评分；</w:t>
      </w:r>
    </w:p>
    <w:p>
      <w:pPr>
        <w:numPr>
          <w:ilvl w:val="0"/>
          <w:numId w:val="89"/>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在评标过程中擅离职守，影响评标程序正常进行的；</w:t>
      </w:r>
    </w:p>
    <w:p>
      <w:pPr>
        <w:numPr>
          <w:ilvl w:val="0"/>
          <w:numId w:val="89"/>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记录、复制或者带走任何评标资料；</w:t>
      </w:r>
    </w:p>
    <w:p>
      <w:pPr>
        <w:numPr>
          <w:ilvl w:val="0"/>
          <w:numId w:val="89"/>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其他不遵守评标纪律的行为。</w:t>
      </w:r>
    </w:p>
    <w:p>
      <w:pPr>
        <w:autoSpaceDE w:val="0"/>
        <w:autoSpaceDN w:val="0"/>
        <w:spacing w:line="360" w:lineRule="auto"/>
        <w:ind w:left="1384"/>
        <w:contextualSpacing/>
        <w:rPr>
          <w:rFonts w:cs="宋体" w:asciiTheme="minorEastAsia" w:hAnsiTheme="minorEastAsia"/>
          <w:color w:val="auto"/>
          <w:kern w:val="0"/>
          <w:szCs w:val="21"/>
        </w:rPr>
      </w:pPr>
    </w:p>
    <w:p>
      <w:pPr>
        <w:numPr>
          <w:ilvl w:val="0"/>
          <w:numId w:val="8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保密</w:t>
      </w:r>
    </w:p>
    <w:p>
      <w:pPr>
        <w:numPr>
          <w:ilvl w:val="0"/>
          <w:numId w:val="90"/>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评审专家应当遵守评审工作纪律，不得泄露评审文件、评审情况和评审中获悉的商业秘密。</w:t>
      </w:r>
    </w:p>
    <w:p>
      <w:pPr>
        <w:numPr>
          <w:ilvl w:val="0"/>
          <w:numId w:val="91"/>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采购人、采购代理机构应当采取必要措施，保证评标在严格保密的情况下进行。有关人员对评标情况以及在评标过程中获悉的国家秘密、商业秘密负有保密责任。</w:t>
      </w:r>
    </w:p>
    <w:p>
      <w:pPr>
        <w:tabs>
          <w:tab w:val="left" w:pos="1260"/>
        </w:tabs>
        <w:autoSpaceDE w:val="0"/>
        <w:autoSpaceDN w:val="0"/>
        <w:spacing w:line="360" w:lineRule="auto"/>
        <w:contextualSpacing/>
        <w:rPr>
          <w:rFonts w:cs="仿宋_GB2312" w:asciiTheme="minorEastAsia" w:hAnsiTheme="minorEastAsia"/>
          <w:color w:val="auto"/>
          <w:szCs w:val="21"/>
          <w:lang w:val="zh-CN"/>
        </w:rPr>
      </w:pPr>
    </w:p>
    <w:p>
      <w:pPr>
        <w:tabs>
          <w:tab w:val="left" w:pos="1260"/>
        </w:tabs>
        <w:autoSpaceDE w:val="0"/>
        <w:autoSpaceDN w:val="0"/>
        <w:spacing w:line="360" w:lineRule="auto"/>
        <w:contextualSpacing/>
        <w:rPr>
          <w:rFonts w:cs="仿宋_GB2312" w:asciiTheme="minorEastAsia" w:hAnsiTheme="minorEastAsia"/>
          <w:color w:val="auto"/>
          <w:szCs w:val="21"/>
          <w:lang w:val="zh-CN"/>
        </w:rPr>
      </w:pPr>
    </w:p>
    <w:p>
      <w:pPr>
        <w:tabs>
          <w:tab w:val="left" w:pos="1260"/>
        </w:tabs>
        <w:autoSpaceDE w:val="0"/>
        <w:autoSpaceDN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六、定标和授予合同</w:t>
      </w:r>
    </w:p>
    <w:p>
      <w:pPr>
        <w:numPr>
          <w:ilvl w:val="0"/>
          <w:numId w:val="8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确定中标人</w:t>
      </w:r>
    </w:p>
    <w:p>
      <w:pPr>
        <w:numPr>
          <w:ilvl w:val="0"/>
          <w:numId w:val="90"/>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采购人应当自收到评标报告之日起1个工作日内，在评标报告确定的中标候选人名单中按顺序确定中标人（核验中标供应商由《许昌市政府采购供应商信用承诺函》替代的证明材料）。</w:t>
      </w:r>
    </w:p>
    <w:p>
      <w:pPr>
        <w:numPr>
          <w:ilvl w:val="0"/>
          <w:numId w:val="92"/>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采购人在收到评标报告1个工作日内未按评标报告推荐的中标候选人顺序确定中标人，又不能说明合法理由的，视同按评标报告推荐的顺序确定排名第一的中标候选人为中标人。</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8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中标公告、发出中标通知书</w:t>
      </w:r>
    </w:p>
    <w:p>
      <w:pPr>
        <w:numPr>
          <w:ilvl w:val="0"/>
          <w:numId w:val="90"/>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采购人确认中标人后公告中标结果的同时，许昌市政府采购服务中心向中标人发出中标通知书。</w:t>
      </w:r>
    </w:p>
    <w:p>
      <w:pPr>
        <w:numPr>
          <w:ilvl w:val="0"/>
          <w:numId w:val="93"/>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中标通知书发出后，采购人不得违法改变中标结果，中标人无正当理由不得放弃中标。</w:t>
      </w:r>
    </w:p>
    <w:p>
      <w:pPr>
        <w:autoSpaceDE w:val="0"/>
        <w:autoSpaceDN w:val="0"/>
        <w:spacing w:line="360" w:lineRule="auto"/>
        <w:ind w:left="420"/>
        <w:contextualSpacing/>
        <w:rPr>
          <w:rFonts w:cs="宋体" w:asciiTheme="minorEastAsia" w:hAnsiTheme="minorEastAsia"/>
          <w:color w:val="auto"/>
          <w:kern w:val="0"/>
          <w:szCs w:val="21"/>
        </w:rPr>
      </w:pPr>
    </w:p>
    <w:p>
      <w:pPr>
        <w:numPr>
          <w:ilvl w:val="0"/>
          <w:numId w:val="8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质疑提出与答复</w:t>
      </w:r>
    </w:p>
    <w:p>
      <w:pPr>
        <w:numPr>
          <w:ilvl w:val="0"/>
          <w:numId w:val="94"/>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供应商认为采购文件、采购过程和中标结果使自己的权益受到损害的，可以按照《政府采购质疑和投诉办法》（财政部令第94号）提出质疑，</w:t>
      </w:r>
      <w:r>
        <w:rPr>
          <w:rFonts w:cs="宋体" w:asciiTheme="minorEastAsia" w:hAnsiTheme="minorEastAsia"/>
          <w:color w:val="auto"/>
          <w:kern w:val="0"/>
          <w:szCs w:val="21"/>
        </w:rPr>
        <w:t>提出质疑的供应商应当是参与</w:t>
      </w:r>
      <w:r>
        <w:rPr>
          <w:rFonts w:hint="eastAsia" w:cs="宋体" w:asciiTheme="minorEastAsia" w:hAnsiTheme="minorEastAsia"/>
          <w:color w:val="auto"/>
          <w:kern w:val="0"/>
          <w:szCs w:val="21"/>
        </w:rPr>
        <w:t>本</w:t>
      </w:r>
      <w:r>
        <w:rPr>
          <w:rFonts w:cs="宋体" w:asciiTheme="minorEastAsia" w:hAnsiTheme="minorEastAsia"/>
          <w:color w:val="auto"/>
          <w:kern w:val="0"/>
          <w:szCs w:val="21"/>
        </w:rPr>
        <w:t>项目采购活动的供应商</w:t>
      </w:r>
      <w:r>
        <w:rPr>
          <w:rFonts w:hint="eastAsia" w:cs="宋体" w:asciiTheme="minorEastAsia" w:hAnsiTheme="minorEastAsia"/>
          <w:color w:val="auto"/>
          <w:kern w:val="0"/>
          <w:szCs w:val="21"/>
        </w:rPr>
        <w:t>，提出时应按照《政府采购质疑和投诉办法》（财政部令第94号）第十二条规定提交质疑函和必要的证明材料，如未提出视为全面接受。</w:t>
      </w:r>
    </w:p>
    <w:p>
      <w:pPr>
        <w:numPr>
          <w:ilvl w:val="0"/>
          <w:numId w:val="95"/>
        </w:numPr>
        <w:autoSpaceDE w:val="0"/>
        <w:autoSpaceDN w:val="0"/>
        <w:spacing w:line="360" w:lineRule="auto"/>
        <w:ind w:hanging="1407"/>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对采购文件提出质疑的，</w:t>
      </w:r>
      <w:r>
        <w:rPr>
          <w:rFonts w:cs="宋体" w:asciiTheme="minorEastAsia" w:hAnsiTheme="minorEastAsia"/>
          <w:color w:val="auto"/>
          <w:kern w:val="0"/>
          <w:szCs w:val="21"/>
        </w:rPr>
        <w:t>潜在</w:t>
      </w:r>
      <w:r>
        <w:rPr>
          <w:rFonts w:hint="eastAsia" w:cs="宋体" w:asciiTheme="minorEastAsia" w:hAnsiTheme="minorEastAsia"/>
          <w:color w:val="auto"/>
          <w:kern w:val="0"/>
          <w:szCs w:val="21"/>
        </w:rPr>
        <w:t>投标人应</w:t>
      </w:r>
      <w:r>
        <w:rPr>
          <w:rFonts w:cs="宋体" w:asciiTheme="minorEastAsia" w:hAnsiTheme="minorEastAsia"/>
          <w:color w:val="auto"/>
          <w:kern w:val="0"/>
          <w:szCs w:val="21"/>
        </w:rPr>
        <w:t>已依法获取采购文件</w:t>
      </w:r>
      <w:r>
        <w:rPr>
          <w:rFonts w:hint="eastAsia" w:cs="宋体" w:asciiTheme="minorEastAsia" w:hAnsiTheme="minorEastAsia"/>
          <w:color w:val="auto"/>
          <w:kern w:val="0"/>
          <w:szCs w:val="21"/>
        </w:rPr>
        <w:t>，且应当在</w:t>
      </w:r>
      <w:r>
        <w:rPr>
          <w:rFonts w:cs="宋体" w:asciiTheme="minorEastAsia" w:hAnsiTheme="minorEastAsia"/>
          <w:color w:val="auto"/>
          <w:kern w:val="0"/>
          <w:szCs w:val="21"/>
        </w:rPr>
        <w:t>获取采购文件或者采购文件公告期限届满之日起7个工作日内</w:t>
      </w:r>
      <w:r>
        <w:rPr>
          <w:rFonts w:hint="eastAsia" w:cs="宋体" w:asciiTheme="minorEastAsia" w:hAnsiTheme="minorEastAsia"/>
          <w:color w:val="auto"/>
          <w:kern w:val="0"/>
          <w:szCs w:val="21"/>
        </w:rPr>
        <w:t>使用CA数字证书登录《全国公共资源交易平台（河南省·许昌市）》，通过许昌公共资源交易系统一次性提出，逾期提交或未按照要求提交的质疑函将不予受理。质疑提出后</w:t>
      </w:r>
      <w:r>
        <w:rPr>
          <w:rFonts w:cs="宋体" w:asciiTheme="minorEastAsia" w:hAnsiTheme="minorEastAsia"/>
          <w:color w:val="auto"/>
          <w:kern w:val="0"/>
          <w:szCs w:val="21"/>
        </w:rPr>
        <w:t>潜在</w:t>
      </w:r>
      <w:r>
        <w:rPr>
          <w:rFonts w:hint="eastAsia" w:cs="宋体" w:asciiTheme="minorEastAsia" w:hAnsiTheme="minorEastAsia"/>
          <w:color w:val="auto"/>
          <w:kern w:val="0"/>
          <w:szCs w:val="21"/>
        </w:rPr>
        <w:t>投标人应及时联系招标公告中集采机构联系人查看。</w:t>
      </w:r>
    </w:p>
    <w:p>
      <w:pPr>
        <w:numPr>
          <w:ilvl w:val="0"/>
          <w:numId w:val="95"/>
        </w:numPr>
        <w:autoSpaceDE w:val="0"/>
        <w:autoSpaceDN w:val="0"/>
        <w:spacing w:line="360" w:lineRule="auto"/>
        <w:ind w:hanging="1407"/>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对采购过程提出质疑的，为各采购程序环节结束之日起七个工作日内，投标人使用CA数字证书登录《全国公共资源交易平台（河南省·许昌市）》，通过许昌公共资源交易系统一次性提出，逾期提交或未按照要求提交的质疑函将不予受理。质疑提出后投标人应及时联系招标公告中集采机构联系人查看。</w:t>
      </w:r>
    </w:p>
    <w:p>
      <w:pPr>
        <w:numPr>
          <w:ilvl w:val="0"/>
          <w:numId w:val="95"/>
        </w:numPr>
        <w:autoSpaceDE w:val="0"/>
        <w:autoSpaceDN w:val="0"/>
        <w:spacing w:line="360" w:lineRule="auto"/>
        <w:ind w:hanging="1407"/>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对中标结果提出质疑的，为中标结果公告期限届满之日起七个工作日内，投标人使用CA数字证书登录《全国公共资源交易平台（河南省·许昌市）》，通过许昌公共资源交易系统一次性提出，逾期提交或未按照要求提交的质疑函将不予受理。质疑提出后投标人应及时联系招标公告中集采机构联系人查看。</w:t>
      </w:r>
    </w:p>
    <w:p>
      <w:pPr>
        <w:autoSpaceDE w:val="0"/>
        <w:autoSpaceDN w:val="0"/>
        <w:spacing w:line="360" w:lineRule="auto"/>
        <w:ind w:left="1365" w:hanging="1365" w:hangingChars="65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38.2         </w:t>
      </w:r>
      <w:r>
        <w:rPr>
          <w:rFonts w:cs="宋体" w:asciiTheme="minorEastAsia" w:hAnsiTheme="minorEastAsia"/>
          <w:color w:val="auto"/>
          <w:kern w:val="0"/>
          <w:szCs w:val="21"/>
        </w:rPr>
        <w:t>采购人、采购代理机构认为供应商质疑不成立，或者成立但未对中标结果构成影响的，</w:t>
      </w:r>
      <w:r>
        <w:rPr>
          <w:rFonts w:hint="eastAsia" w:cs="宋体" w:asciiTheme="minorEastAsia" w:hAnsiTheme="minorEastAsia"/>
          <w:color w:val="auto"/>
          <w:kern w:val="0"/>
          <w:szCs w:val="21"/>
        </w:rPr>
        <w:t>在收到质疑函7个工作日内通过《全国公共资源交易平台（河南省·许昌市）》交易系统作出答复，并</w:t>
      </w:r>
      <w:r>
        <w:rPr>
          <w:rFonts w:cs="宋体" w:asciiTheme="minorEastAsia" w:hAnsiTheme="minorEastAsia"/>
          <w:color w:val="auto"/>
          <w:kern w:val="0"/>
          <w:szCs w:val="21"/>
        </w:rPr>
        <w:t>继续开展采购活动；认为供应商质疑成立且影响或者可能影响中标结果的，</w:t>
      </w:r>
      <w:r>
        <w:rPr>
          <w:rFonts w:hint="eastAsia" w:cs="宋体" w:asciiTheme="minorEastAsia" w:hAnsiTheme="minorEastAsia"/>
          <w:color w:val="auto"/>
          <w:kern w:val="0"/>
          <w:szCs w:val="21"/>
        </w:rPr>
        <w:t>在收到质疑函7个工作日内通过《全国公共资源交易平台（河南省·许昌市）》交易系统作出答复，并</w:t>
      </w:r>
      <w:r>
        <w:rPr>
          <w:rFonts w:cs="宋体" w:asciiTheme="minorEastAsia" w:hAnsiTheme="minorEastAsia"/>
          <w:color w:val="auto"/>
          <w:kern w:val="0"/>
          <w:szCs w:val="21"/>
        </w:rPr>
        <w:t>按照下列情况处理：</w:t>
      </w:r>
    </w:p>
    <w:p>
      <w:pPr>
        <w:numPr>
          <w:ilvl w:val="0"/>
          <w:numId w:val="96"/>
        </w:numPr>
        <w:autoSpaceDE w:val="0"/>
        <w:autoSpaceDN w:val="0"/>
        <w:spacing w:line="360" w:lineRule="auto"/>
        <w:ind w:hanging="1384"/>
        <w:contextualSpacing/>
        <w:rPr>
          <w:rFonts w:cs="宋体" w:asciiTheme="minorEastAsia" w:hAnsiTheme="minorEastAsia"/>
          <w:color w:val="auto"/>
          <w:kern w:val="0"/>
          <w:szCs w:val="21"/>
        </w:rPr>
      </w:pPr>
      <w:r>
        <w:rPr>
          <w:rFonts w:cs="宋体" w:asciiTheme="minorEastAsia" w:hAnsiTheme="minorEastAsia"/>
          <w:color w:val="auto"/>
          <w:kern w:val="0"/>
          <w:szCs w:val="21"/>
        </w:rPr>
        <w:t>对采购文件提出的质疑，依法通过澄清或者修改可以继续开展采购活动的，澄清或者修改采购文件后继续开展采购活动；否则应当修改采购文件后重新开展采购活动。</w:t>
      </w:r>
    </w:p>
    <w:p>
      <w:pPr>
        <w:numPr>
          <w:ilvl w:val="0"/>
          <w:numId w:val="96"/>
        </w:numPr>
        <w:autoSpaceDE w:val="0"/>
        <w:autoSpaceDN w:val="0"/>
        <w:spacing w:line="360" w:lineRule="auto"/>
        <w:ind w:hanging="1384"/>
        <w:contextualSpacing/>
        <w:rPr>
          <w:rFonts w:cs="宋体" w:asciiTheme="minorEastAsia" w:hAnsiTheme="minorEastAsia"/>
          <w:color w:val="auto"/>
          <w:kern w:val="0"/>
          <w:szCs w:val="21"/>
        </w:rPr>
      </w:pPr>
      <w:r>
        <w:rPr>
          <w:rFonts w:cs="宋体" w:asciiTheme="minorEastAsia" w:hAnsiTheme="minorEastAsia"/>
          <w:color w:val="auto"/>
          <w:kern w:val="0"/>
          <w:szCs w:val="21"/>
        </w:rPr>
        <w:t>对采购过程、中标结果提出的质疑，合格供应商符合法定数量时，可以从合格的中标</w:t>
      </w:r>
      <w:r>
        <w:rPr>
          <w:rFonts w:hint="eastAsia" w:cs="宋体" w:asciiTheme="minorEastAsia" w:hAnsiTheme="minorEastAsia"/>
          <w:color w:val="auto"/>
          <w:kern w:val="0"/>
          <w:szCs w:val="21"/>
        </w:rPr>
        <w:t>候选人</w:t>
      </w:r>
      <w:r>
        <w:rPr>
          <w:rFonts w:cs="宋体" w:asciiTheme="minorEastAsia" w:hAnsiTheme="minorEastAsia"/>
          <w:color w:val="auto"/>
          <w:kern w:val="0"/>
          <w:szCs w:val="21"/>
        </w:rPr>
        <w:t>中另行确定中标供应商的，应当依法另行确定中标供应商；否则应当重新开展采购活动</w:t>
      </w:r>
      <w:r>
        <w:rPr>
          <w:rFonts w:hint="eastAsia" w:cs="宋体" w:asciiTheme="minorEastAsia" w:hAnsiTheme="minorEastAsia"/>
          <w:color w:val="auto"/>
          <w:kern w:val="0"/>
          <w:szCs w:val="21"/>
        </w:rPr>
        <w:t>。</w:t>
      </w:r>
    </w:p>
    <w:p>
      <w:pPr>
        <w:numPr>
          <w:ilvl w:val="0"/>
          <w:numId w:val="9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投诉</w:t>
      </w:r>
    </w:p>
    <w:p>
      <w:pPr>
        <w:autoSpaceDE w:val="0"/>
        <w:autoSpaceDN w:val="0"/>
        <w:spacing w:line="360" w:lineRule="auto"/>
        <w:ind w:left="991" w:hanging="991" w:hangingChars="47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39.1     </w:t>
      </w:r>
      <w:r>
        <w:rPr>
          <w:rFonts w:cs="宋体" w:asciiTheme="minorEastAsia" w:hAnsiTheme="minorEastAsia"/>
          <w:color w:val="auto"/>
          <w:kern w:val="0"/>
          <w:szCs w:val="21"/>
        </w:rPr>
        <w:t>若对质疑答复不满意或质疑答复未在答复期限内作出，质疑</w:t>
      </w:r>
      <w:r>
        <w:rPr>
          <w:rFonts w:hint="eastAsia" w:cs="宋体" w:asciiTheme="minorEastAsia" w:hAnsiTheme="minorEastAsia"/>
          <w:color w:val="auto"/>
          <w:kern w:val="0"/>
          <w:szCs w:val="21"/>
        </w:rPr>
        <w:t>供应商</w:t>
      </w:r>
      <w:r>
        <w:rPr>
          <w:rFonts w:cs="宋体" w:asciiTheme="minorEastAsia" w:hAnsiTheme="minorEastAsia"/>
          <w:color w:val="auto"/>
          <w:kern w:val="0"/>
          <w:szCs w:val="21"/>
        </w:rPr>
        <w:t>可在答复期满</w:t>
      </w:r>
      <w:r>
        <w:rPr>
          <w:rFonts w:hint="eastAsia" w:cs="宋体" w:asciiTheme="minorEastAsia" w:hAnsiTheme="minorEastAsia"/>
          <w:color w:val="auto"/>
          <w:kern w:val="0"/>
          <w:szCs w:val="21"/>
        </w:rPr>
        <w:t>后</w:t>
      </w:r>
      <w:r>
        <w:rPr>
          <w:rFonts w:cs="宋体" w:asciiTheme="minorEastAsia" w:hAnsiTheme="minorEastAsia"/>
          <w:color w:val="auto"/>
          <w:kern w:val="0"/>
          <w:szCs w:val="21"/>
        </w:rPr>
        <w:t>15个工作日内按照</w:t>
      </w:r>
      <w:r>
        <w:rPr>
          <w:rFonts w:hint="eastAsia" w:cs="宋体" w:asciiTheme="minorEastAsia" w:hAnsiTheme="minorEastAsia"/>
          <w:color w:val="auto"/>
          <w:kern w:val="0"/>
          <w:szCs w:val="21"/>
        </w:rPr>
        <w:t>《</w:t>
      </w:r>
      <w:r>
        <w:rPr>
          <w:rFonts w:cs="宋体" w:asciiTheme="minorEastAsia" w:hAnsiTheme="minorEastAsia"/>
          <w:color w:val="auto"/>
          <w:kern w:val="0"/>
          <w:szCs w:val="21"/>
        </w:rPr>
        <w:t>政府采购质疑和投诉办法</w:t>
      </w:r>
      <w:r>
        <w:rPr>
          <w:rFonts w:hint="eastAsia" w:cs="宋体" w:asciiTheme="minorEastAsia" w:hAnsiTheme="minorEastAsia"/>
          <w:color w:val="auto"/>
          <w:kern w:val="0"/>
          <w:szCs w:val="21"/>
        </w:rPr>
        <w:t>》</w:t>
      </w:r>
      <w:r>
        <w:rPr>
          <w:rFonts w:cs="宋体" w:asciiTheme="minorEastAsia" w:hAnsiTheme="minorEastAsia"/>
          <w:color w:val="auto"/>
          <w:kern w:val="0"/>
          <w:szCs w:val="21"/>
        </w:rPr>
        <w:t>的有关规定向招标文件第</w:t>
      </w:r>
      <w:r>
        <w:rPr>
          <w:rFonts w:hint="eastAsia" w:cs="宋体" w:asciiTheme="minorEastAsia" w:hAnsiTheme="minorEastAsia"/>
          <w:color w:val="auto"/>
          <w:kern w:val="0"/>
          <w:szCs w:val="21"/>
        </w:rPr>
        <w:t>一</w:t>
      </w:r>
      <w:r>
        <w:rPr>
          <w:rFonts w:cs="宋体" w:asciiTheme="minorEastAsia" w:hAnsiTheme="minorEastAsia"/>
          <w:color w:val="auto"/>
          <w:kern w:val="0"/>
          <w:szCs w:val="21"/>
        </w:rPr>
        <w:t>章载明的本项目监督管理部门提起投诉。</w:t>
      </w:r>
    </w:p>
    <w:p>
      <w:p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39</w:t>
      </w:r>
      <w:r>
        <w:rPr>
          <w:rFonts w:cs="宋体" w:asciiTheme="minorEastAsia" w:hAnsiTheme="minorEastAsia"/>
          <w:color w:val="auto"/>
          <w:kern w:val="0"/>
          <w:szCs w:val="21"/>
        </w:rPr>
        <w:t>.2</w:t>
      </w:r>
      <w:r>
        <w:rPr>
          <w:rFonts w:hint="eastAsia" w:cs="宋体" w:asciiTheme="minorEastAsia" w:hAnsiTheme="minorEastAsia"/>
          <w:color w:val="auto"/>
          <w:kern w:val="0"/>
          <w:szCs w:val="21"/>
        </w:rPr>
        <w:t xml:space="preserve">     </w:t>
      </w:r>
      <w:r>
        <w:rPr>
          <w:rFonts w:cs="宋体" w:asciiTheme="minorEastAsia" w:hAnsiTheme="minorEastAsia"/>
          <w:color w:val="auto"/>
          <w:kern w:val="0"/>
          <w:szCs w:val="21"/>
        </w:rPr>
        <w:t>投诉应有明确的请求和必要的证明材料，投诉的事项不得超出已质疑事项的范围。</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9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签订合同与备案</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采购人应当自中标通知书发出之日起2日内，按照招标文件和中标人投标文件的规定，与中标人签订书面合同。所签订的合同不得对招标文件确定的事项和中标人投标文件作实质性修改。</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采购人自采购合同签订之日起，1个</w:t>
      </w:r>
      <w:r>
        <w:rPr>
          <w:rFonts w:cs="宋体" w:asciiTheme="minorEastAsia" w:hAnsiTheme="minorEastAsia"/>
          <w:color w:val="auto"/>
          <w:kern w:val="0"/>
          <w:szCs w:val="21"/>
        </w:rPr>
        <w:t>工作日内</w:t>
      </w:r>
      <w:r>
        <w:rPr>
          <w:rFonts w:hint="eastAsia" w:cs="宋体" w:asciiTheme="minorEastAsia" w:hAnsiTheme="minorEastAsia"/>
          <w:color w:val="auto"/>
          <w:kern w:val="0"/>
          <w:szCs w:val="21"/>
        </w:rPr>
        <w:t>到许昌市政府采购监督管理办公室进行合同备案，并登陆“许昌市政府采购网”进行网上备案。</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9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履约保证金</w:t>
      </w:r>
    </w:p>
    <w:p>
      <w:pPr>
        <w:autoSpaceDE w:val="0"/>
        <w:autoSpaceDN w:val="0"/>
        <w:spacing w:line="360" w:lineRule="auto"/>
        <w:ind w:left="964"/>
        <w:contextualSpacing/>
        <w:jc w:val="left"/>
        <w:rPr>
          <w:rFonts w:cs="宋体" w:asciiTheme="majorEastAsia" w:hAnsiTheme="majorEastAsia" w:eastAsiaTheme="majorEastAsia"/>
          <w:b/>
          <w:color w:val="auto"/>
          <w:kern w:val="0"/>
          <w:sz w:val="32"/>
          <w:szCs w:val="32"/>
        </w:rPr>
      </w:pPr>
      <w:r>
        <w:rPr>
          <w:rFonts w:hint="eastAsia" w:cs="宋体" w:asciiTheme="minorEastAsia" w:hAnsiTheme="minorEastAsia"/>
          <w:color w:val="auto"/>
          <w:kern w:val="0"/>
          <w:szCs w:val="21"/>
        </w:rPr>
        <w:t>“投标人须知前附表”中规定中标人提交履约保证金的，中标人应当以支票、汇票、本票或者金融机构、担保机构出具的保函等非现金形式向采购人提交。履约保证金的数额不得超过政府采购合同金额的10%。</w:t>
      </w:r>
      <w:r>
        <w:rPr>
          <w:rFonts w:hint="eastAsia" w:ascii="宋体" w:hAnsi="宋体" w:eastAsia="宋体" w:cs="宋体"/>
          <w:color w:val="auto"/>
          <w:sz w:val="24"/>
          <w:szCs w:val="24"/>
        </w:rPr>
        <w:br w:type="textWrapping"/>
      </w:r>
    </w:p>
    <w:p>
      <w:pPr>
        <w:numPr>
          <w:ilvl w:val="0"/>
          <w:numId w:val="97"/>
        </w:num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b/>
          <w:color w:val="auto"/>
          <w:kern w:val="0"/>
          <w:szCs w:val="21"/>
        </w:rPr>
        <w:t>政府采购合同融资</w:t>
      </w:r>
    </w:p>
    <w:p>
      <w:pPr>
        <w:numPr>
          <w:ilvl w:val="0"/>
          <w:numId w:val="98"/>
        </w:numPr>
        <w:wordWrap w:val="0"/>
        <w:topLinePunct/>
        <w:autoSpaceDE w:val="0"/>
        <w:autoSpaceDN w:val="0"/>
        <w:adjustRightInd w:val="0"/>
        <w:spacing w:line="360" w:lineRule="auto"/>
        <w:contextualSpacing/>
        <w:rPr>
          <w:rFonts w:cs="宋体" w:asciiTheme="minorEastAsia" w:hAnsiTheme="minorEastAsia"/>
          <w:vanish/>
          <w:color w:val="auto"/>
          <w:kern w:val="0"/>
          <w:szCs w:val="21"/>
        </w:rPr>
      </w:pPr>
    </w:p>
    <w:p>
      <w:pPr>
        <w:numPr>
          <w:ilvl w:val="0"/>
          <w:numId w:val="98"/>
        </w:numPr>
        <w:wordWrap w:val="0"/>
        <w:topLinePunct/>
        <w:autoSpaceDE w:val="0"/>
        <w:autoSpaceDN w:val="0"/>
        <w:adjustRightInd w:val="0"/>
        <w:spacing w:line="360" w:lineRule="auto"/>
        <w:contextualSpacing/>
        <w:rPr>
          <w:rFonts w:cs="宋体" w:asciiTheme="minorEastAsia" w:hAnsiTheme="minorEastAsia"/>
          <w:vanish/>
          <w:color w:val="auto"/>
          <w:kern w:val="0"/>
          <w:szCs w:val="21"/>
        </w:rPr>
      </w:pPr>
    </w:p>
    <w:p>
      <w:pPr>
        <w:numPr>
          <w:ilvl w:val="1"/>
          <w:numId w:val="98"/>
        </w:numPr>
        <w:wordWrap w:val="0"/>
        <w:topLinePunct/>
        <w:autoSpaceDE w:val="0"/>
        <w:autoSpaceDN w:val="0"/>
        <w:adjustRightInd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缓解中小企业融资难题</w:t>
      </w:r>
    </w:p>
    <w:p>
      <w:pPr>
        <w:autoSpaceDE w:val="0"/>
        <w:autoSpaceDN w:val="0"/>
        <w:spacing w:line="360" w:lineRule="auto"/>
        <w:ind w:left="850" w:leftChars="405"/>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政府采购合同融资是支持中小微企业发展，针对参与政府采购活动的供应商融资难、融资贵问题推出的一项融资政策。根据河南省财政厅《关于印发深入推进政府采购合同融资工作实施方案的通知》精神，我市目前已与以下金融机构合作开展政府采购信用融资业务，中标供应商可持政府采购合同，通过“许昌市政府采购网”向所选的金融机构申请贷款，无需抵押、担保，融资机构将根据《河南省政府采购合同融资工作实施方案》（豫财购〔2017〕10号），按照双方自愿的原则提供便捷、优惠的贷款服务。</w:t>
      </w:r>
    </w:p>
    <w:p>
      <w:pPr>
        <w:numPr>
          <w:ilvl w:val="1"/>
          <w:numId w:val="98"/>
        </w:numPr>
        <w:wordWrap w:val="0"/>
        <w:topLinePunct/>
        <w:autoSpaceDE w:val="0"/>
        <w:autoSpaceDN w:val="0"/>
        <w:adjustRightInd w:val="0"/>
        <w:spacing w:line="360" w:lineRule="auto"/>
        <w:ind w:left="851" w:hanging="851"/>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合作金融机构（排名不分先后）</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1）合作金融机构名称：中原银行许昌分行（小微金融部）</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联系人及电话：陈阳 13137407575   方金龙  15836539901</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地址：许昌市建安大道与紫云路交汇处中原银行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2）合作金融机构名称：浦发银行许昌分行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联系人及电话：赵勇  0374-7313569、7313502 18937459920</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地址：许昌市许继大道1163号许继花园</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3）合作金融机构名称：交通银行许昌分行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联系人：宋纪刚  0374-2369912  13733951305</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地址：许昌市莲城大道114号</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4）合作金融机构名称：光大银行许昌分行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联系人：李东磊  0374-2928168 18569936868</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地址：许昌市魏都区八一路文峰路交叉口西北角</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5）合作金融机构名称：招商银行许昌分行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联系人及电话：崔星迪  0374-5376058  18839983051</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地址：许昌市建安大道中段新天下AB座</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6）合作金融机构名称：邮储银行许昌市分行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联系人及电话：张彦峰13839001972 武松涛18839902679</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徐亚爽15038297574</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地址：许昌市莲城大道邮储银行莲城支行二楼</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7）合作金融机构名称：中国银行许昌分行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联系人及电话：白炜 13938772680   刘晓飞  0374-3338596</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地址：许昌市魏都区建设路1488号</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8）合作金融机构名称：中信银行郑州红专路支行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联系人：韩晨  13253490679</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地址：郑州市金水区经三路北26号中信银行郑州红专路支行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9）合作金融机构名称：</w:t>
      </w:r>
      <w:r>
        <w:rPr>
          <w:rFonts w:hint="eastAsia" w:cs="宋体" w:asciiTheme="minorEastAsia" w:hAnsiTheme="minorEastAsia"/>
          <w:bCs/>
          <w:color w:val="auto"/>
          <w:kern w:val="0"/>
          <w:szCs w:val="21"/>
        </w:rPr>
        <w:t>郑州银行许昌分行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联系人：王晶  0374-2298011 18339062222</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地址：河南省许昌市魏都区莲城大道与魏文路交叉口西南角亨通君成国际大厦</w:t>
      </w:r>
    </w:p>
    <w:p>
      <w:pPr>
        <w:numPr>
          <w:ilvl w:val="1"/>
          <w:numId w:val="98"/>
        </w:numPr>
        <w:wordWrap w:val="0"/>
        <w:topLinePunct/>
        <w:autoSpaceDE w:val="0"/>
        <w:autoSpaceDN w:val="0"/>
        <w:adjustRightInd w:val="0"/>
        <w:spacing w:line="360" w:lineRule="auto"/>
        <w:ind w:left="851" w:hanging="851"/>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“许昌市政府采购合同融资金融产品推介名录”链接</w:t>
      </w:r>
    </w:p>
    <w:p>
      <w:pPr>
        <w:autoSpaceDE w:val="0"/>
        <w:autoSpaceDN w:val="0"/>
        <w:spacing w:line="360" w:lineRule="auto"/>
        <w:ind w:left="964"/>
        <w:contextualSpacing/>
        <w:jc w:val="left"/>
        <w:rPr>
          <w:rFonts w:cs="宋体" w:asciiTheme="minorEastAsia" w:hAnsiTheme="minorEastAsia"/>
          <w:color w:val="auto"/>
          <w:kern w:val="0"/>
          <w:szCs w:val="21"/>
        </w:rPr>
      </w:pPr>
      <w:r>
        <w:rPr>
          <w:color w:val="auto"/>
        </w:rPr>
        <w:fldChar w:fldCharType="begin"/>
      </w:r>
      <w:r>
        <w:rPr>
          <w:color w:val="auto"/>
        </w:rPr>
        <w:instrText xml:space="preserve"> HYPERLINK "http://xuchang.hngp.gov.cn/xuchang/content?infoId=1606365368231095&amp;channelCode=H711001" </w:instrText>
      </w:r>
      <w:r>
        <w:rPr>
          <w:color w:val="auto"/>
        </w:rPr>
        <w:fldChar w:fldCharType="separate"/>
      </w:r>
      <w:r>
        <w:rPr>
          <w:rFonts w:hint="eastAsia" w:cs="宋体" w:asciiTheme="minorEastAsia" w:hAnsiTheme="minorEastAsia"/>
          <w:color w:val="auto"/>
          <w:kern w:val="0"/>
          <w:szCs w:val="21"/>
          <w:u w:val="single"/>
        </w:rPr>
        <w:t>http://xuchang.hngp.gov.cn/xuchang/content?infoId=1606365368231095&amp;channelCode=H711001</w:t>
      </w:r>
      <w:r>
        <w:rPr>
          <w:rFonts w:hint="eastAsia" w:cs="宋体" w:asciiTheme="minorEastAsia" w:hAnsiTheme="minorEastAsia"/>
          <w:color w:val="auto"/>
          <w:kern w:val="0"/>
          <w:szCs w:val="21"/>
          <w:u w:val="single"/>
        </w:rPr>
        <w:fldChar w:fldCharType="end"/>
      </w:r>
    </w:p>
    <w:p>
      <w:pPr>
        <w:autoSpaceDE w:val="0"/>
        <w:autoSpaceDN w:val="0"/>
        <w:spacing w:line="360" w:lineRule="auto"/>
        <w:ind w:left="964"/>
        <w:contextualSpacing/>
        <w:jc w:val="left"/>
        <w:rPr>
          <w:rFonts w:cs="宋体" w:asciiTheme="minorEastAsia" w:hAnsiTheme="minorEastAsia"/>
          <w:color w:val="auto"/>
          <w:kern w:val="0"/>
          <w:szCs w:val="21"/>
        </w:rPr>
      </w:pPr>
    </w:p>
    <w:p>
      <w:pPr>
        <w:numPr>
          <w:ilvl w:val="0"/>
          <w:numId w:val="9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“采小帮”政府采购服务体系</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为持续优化我市政府采购营商环境,</w:t>
      </w:r>
      <w:r>
        <w:rPr>
          <w:rFonts w:hint="eastAsia"/>
          <w:color w:val="auto"/>
        </w:rPr>
        <w:t xml:space="preserve"> </w:t>
      </w:r>
      <w:r>
        <w:rPr>
          <w:rFonts w:hint="eastAsia" w:cs="宋体" w:asciiTheme="minorEastAsia" w:hAnsiTheme="minorEastAsia"/>
          <w:color w:val="auto"/>
          <w:kern w:val="0"/>
          <w:szCs w:val="21"/>
        </w:rPr>
        <w:t>许昌市财政局政府采购监督管理办公室人员、许昌市政府采购服务中心人员组成“采小帮”服务团队，提供政府采购政策咨询服务，以及项目实施全程跟踪提醒、监督预警服务。</w:t>
      </w:r>
    </w:p>
    <w:p>
      <w:pPr>
        <w:numPr>
          <w:ilvl w:val="0"/>
          <w:numId w:val="98"/>
        </w:numPr>
        <w:wordWrap w:val="0"/>
        <w:topLinePunct/>
        <w:autoSpaceDE w:val="0"/>
        <w:autoSpaceDN w:val="0"/>
        <w:adjustRightInd w:val="0"/>
        <w:spacing w:line="360" w:lineRule="auto"/>
        <w:contextualSpacing/>
        <w:rPr>
          <w:rFonts w:cs="宋体" w:asciiTheme="minorEastAsia" w:hAnsiTheme="minorEastAsia"/>
          <w:vanish/>
          <w:color w:val="auto"/>
          <w:kern w:val="0"/>
          <w:szCs w:val="21"/>
        </w:rPr>
      </w:pPr>
    </w:p>
    <w:p>
      <w:pPr>
        <w:numPr>
          <w:ilvl w:val="1"/>
          <w:numId w:val="98"/>
        </w:numPr>
        <w:wordWrap w:val="0"/>
        <w:topLinePunct/>
        <w:autoSpaceDE w:val="0"/>
        <w:autoSpaceDN w:val="0"/>
        <w:adjustRightInd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“采小帮”服务团队依据职责分工，向供应商提供个性化、精准化服务，包括政策咨询、   政策宣传、采购辅导、节点提醒、风险提示、问题反馈等。</w:t>
      </w:r>
    </w:p>
    <w:p>
      <w:pPr>
        <w:numPr>
          <w:ilvl w:val="1"/>
          <w:numId w:val="98"/>
        </w:numPr>
        <w:wordWrap w:val="0"/>
        <w:topLinePunct/>
        <w:autoSpaceDE w:val="0"/>
        <w:autoSpaceDN w:val="0"/>
        <w:adjustRightInd w:val="0"/>
        <w:spacing w:line="360" w:lineRule="auto"/>
        <w:ind w:left="991" w:hanging="991" w:hangingChars="47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小帮”服务团队帮助供应商在政府采购活动中维护自身合法权益，及时发现和制止采购人利用自身优势地位拒绝或延迟支付款项，强制要求供应商接受不合理的付款期限、方式、条件，拒不按政府采购政策规定和采购合同约定履行责任等行为。</w:t>
      </w:r>
    </w:p>
    <w:p>
      <w:pPr>
        <w:numPr>
          <w:ilvl w:val="1"/>
          <w:numId w:val="98"/>
        </w:numPr>
        <w:wordWrap w:val="0"/>
        <w:topLinePunct/>
        <w:autoSpaceDE w:val="0"/>
        <w:autoSpaceDN w:val="0"/>
        <w:adjustRightInd w:val="0"/>
        <w:spacing w:line="360" w:lineRule="auto"/>
        <w:ind w:left="991" w:hanging="991" w:hangingChars="47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助手团队</w:t>
      </w:r>
    </w:p>
    <w:tbl>
      <w:tblPr>
        <w:tblStyle w:val="22"/>
        <w:tblW w:w="90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08"/>
        <w:gridCol w:w="1620"/>
        <w:gridCol w:w="1717"/>
        <w:gridCol w:w="37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shd w:val="clear" w:color="auto" w:fill="auto"/>
          </w:tcPr>
          <w:p>
            <w:pPr>
              <w:spacing w:line="360" w:lineRule="auto"/>
              <w:jc w:val="center"/>
              <w:rPr>
                <w:rFonts w:ascii="黑体" w:hAnsi="黑体" w:eastAsia="黑体"/>
                <w:color w:val="auto"/>
                <w:szCs w:val="21"/>
              </w:rPr>
            </w:pPr>
            <w:r>
              <w:rPr>
                <w:rFonts w:hint="eastAsia" w:ascii="黑体" w:hAnsi="黑体" w:eastAsia="黑体"/>
                <w:color w:val="auto"/>
                <w:szCs w:val="21"/>
              </w:rPr>
              <w:t>部门</w:t>
            </w:r>
          </w:p>
        </w:tc>
        <w:tc>
          <w:tcPr>
            <w:tcW w:w="1620" w:type="dxa"/>
            <w:shd w:val="clear" w:color="auto" w:fill="auto"/>
          </w:tcPr>
          <w:p>
            <w:pPr>
              <w:spacing w:line="360" w:lineRule="auto"/>
              <w:jc w:val="center"/>
              <w:rPr>
                <w:rFonts w:ascii="黑体" w:hAnsi="黑体" w:eastAsia="黑体"/>
                <w:color w:val="auto"/>
                <w:szCs w:val="21"/>
              </w:rPr>
            </w:pPr>
            <w:r>
              <w:rPr>
                <w:rFonts w:hint="eastAsia" w:ascii="黑体" w:hAnsi="黑体" w:eastAsia="黑体"/>
                <w:color w:val="auto"/>
                <w:szCs w:val="21"/>
              </w:rPr>
              <w:t>姓名</w:t>
            </w:r>
          </w:p>
        </w:tc>
        <w:tc>
          <w:tcPr>
            <w:tcW w:w="1717" w:type="dxa"/>
            <w:shd w:val="clear" w:color="auto" w:fill="auto"/>
          </w:tcPr>
          <w:p>
            <w:pPr>
              <w:spacing w:line="360" w:lineRule="auto"/>
              <w:jc w:val="center"/>
              <w:rPr>
                <w:rFonts w:ascii="黑体" w:hAnsi="黑体" w:eastAsia="黑体"/>
                <w:color w:val="auto"/>
                <w:szCs w:val="21"/>
              </w:rPr>
            </w:pPr>
            <w:r>
              <w:rPr>
                <w:rFonts w:hint="eastAsia" w:ascii="黑体" w:hAnsi="黑体" w:eastAsia="黑体"/>
                <w:color w:val="auto"/>
                <w:szCs w:val="21"/>
              </w:rPr>
              <w:t>联系方式</w:t>
            </w:r>
          </w:p>
        </w:tc>
        <w:tc>
          <w:tcPr>
            <w:tcW w:w="3794" w:type="dxa"/>
            <w:shd w:val="clear" w:color="auto" w:fill="auto"/>
          </w:tcPr>
          <w:p>
            <w:pPr>
              <w:spacing w:line="360" w:lineRule="auto"/>
              <w:jc w:val="center"/>
              <w:rPr>
                <w:rFonts w:ascii="黑体" w:hAnsi="黑体" w:eastAsia="黑体"/>
                <w:color w:val="auto"/>
                <w:szCs w:val="21"/>
              </w:rPr>
            </w:pPr>
            <w:r>
              <w:rPr>
                <w:rFonts w:hint="eastAsia" w:ascii="黑体" w:hAnsi="黑体" w:eastAsia="黑体"/>
                <w:color w:val="auto"/>
                <w:szCs w:val="21"/>
              </w:rPr>
              <w:t>服务领域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restart"/>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许昌市政府采购</w:t>
            </w:r>
          </w:p>
          <w:p>
            <w:pPr>
              <w:spacing w:line="360" w:lineRule="auto"/>
              <w:jc w:val="center"/>
              <w:rPr>
                <w:rFonts w:asciiTheme="minorEastAsia" w:hAnsiTheme="minorEastAsia"/>
                <w:color w:val="auto"/>
                <w:szCs w:val="21"/>
              </w:rPr>
            </w:pPr>
            <w:r>
              <w:rPr>
                <w:rFonts w:hint="eastAsia" w:asciiTheme="minorEastAsia" w:hAnsiTheme="minorEastAsia"/>
                <w:color w:val="auto"/>
                <w:szCs w:val="21"/>
              </w:rPr>
              <w:t>监督管理办公室</w:t>
            </w:r>
          </w:p>
        </w:tc>
        <w:tc>
          <w:tcPr>
            <w:tcW w:w="1620" w:type="dxa"/>
            <w:shd w:val="clear" w:color="auto" w:fill="auto"/>
          </w:tcPr>
          <w:p>
            <w:pPr>
              <w:spacing w:line="360" w:lineRule="auto"/>
              <w:jc w:val="center"/>
              <w:rPr>
                <w:rFonts w:hint="eastAsia" w:asciiTheme="minorEastAsia" w:hAnsiTheme="minorEastAsia" w:eastAsiaTheme="minorEastAsia"/>
                <w:color w:val="auto"/>
                <w:szCs w:val="21"/>
                <w:lang w:eastAsia="zh-CN"/>
              </w:rPr>
            </w:pPr>
            <w:r>
              <w:rPr>
                <w:rFonts w:hint="eastAsia" w:asciiTheme="minorEastAsia" w:hAnsiTheme="minorEastAsia"/>
                <w:color w:val="auto"/>
                <w:szCs w:val="21"/>
                <w:lang w:val="en-US" w:eastAsia="zh-CN"/>
              </w:rPr>
              <w:t>李  力</w:t>
            </w:r>
          </w:p>
        </w:tc>
        <w:tc>
          <w:tcPr>
            <w:tcW w:w="1717" w:type="dxa"/>
            <w:shd w:val="clear" w:color="auto" w:fill="auto"/>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0374-2676018</w:t>
            </w:r>
          </w:p>
        </w:tc>
        <w:tc>
          <w:tcPr>
            <w:tcW w:w="3794" w:type="dxa"/>
            <w:shd w:val="clear" w:color="auto" w:fill="auto"/>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优化政府采购营商环境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霍春育</w:t>
            </w:r>
          </w:p>
        </w:tc>
        <w:tc>
          <w:tcPr>
            <w:tcW w:w="1717" w:type="dxa"/>
            <w:shd w:val="clear" w:color="auto" w:fill="auto"/>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0374-2676171</w:t>
            </w:r>
          </w:p>
        </w:tc>
        <w:tc>
          <w:tcPr>
            <w:tcW w:w="3794" w:type="dxa"/>
            <w:shd w:val="clear" w:color="auto" w:fill="auto"/>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优化政府采购营商环境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袁  航</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0374-2676018</w:t>
            </w:r>
          </w:p>
        </w:tc>
        <w:tc>
          <w:tcPr>
            <w:tcW w:w="3794" w:type="dxa"/>
            <w:shd w:val="clear" w:color="auto" w:fill="auto"/>
          </w:tcPr>
          <w:p>
            <w:pPr>
              <w:contextualSpacing/>
              <w:rPr>
                <w:rFonts w:asciiTheme="minorEastAsia" w:hAnsiTheme="minorEastAsia"/>
                <w:color w:val="auto"/>
                <w:szCs w:val="21"/>
              </w:rPr>
            </w:pPr>
            <w:r>
              <w:rPr>
                <w:rFonts w:hint="eastAsia" w:asciiTheme="minorEastAsia" w:hAnsiTheme="minorEastAsia"/>
                <w:color w:val="auto"/>
                <w:szCs w:val="21"/>
              </w:rPr>
              <w:t>集采机构监管、进口产品、支持中小企业发展、政府采购专家管理、质疑投诉处理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丁  姚</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0374-2676171</w:t>
            </w:r>
          </w:p>
        </w:tc>
        <w:tc>
          <w:tcPr>
            <w:tcW w:w="3794" w:type="dxa"/>
            <w:shd w:val="clear" w:color="auto" w:fill="auto"/>
          </w:tcPr>
          <w:p>
            <w:pPr>
              <w:contextualSpacing/>
              <w:rPr>
                <w:rFonts w:asciiTheme="minorEastAsia" w:hAnsiTheme="minorEastAsia"/>
                <w:color w:val="auto"/>
                <w:szCs w:val="21"/>
              </w:rPr>
            </w:pPr>
            <w:r>
              <w:rPr>
                <w:rFonts w:hint="eastAsia" w:asciiTheme="minorEastAsia" w:hAnsiTheme="minorEastAsia"/>
                <w:color w:val="auto"/>
                <w:szCs w:val="21"/>
              </w:rPr>
              <w:t>政府采购政策制度、信用信息收集、政府采购专家管理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郭逸飞</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0374-2676166</w:t>
            </w:r>
          </w:p>
        </w:tc>
        <w:tc>
          <w:tcPr>
            <w:tcW w:w="3794" w:type="dxa"/>
            <w:shd w:val="clear" w:color="auto" w:fill="auto"/>
          </w:tcPr>
          <w:p>
            <w:pPr>
              <w:contextualSpacing/>
              <w:rPr>
                <w:rFonts w:asciiTheme="minorEastAsia" w:hAnsiTheme="minorEastAsia"/>
                <w:color w:val="auto"/>
                <w:szCs w:val="21"/>
              </w:rPr>
            </w:pPr>
            <w:r>
              <w:rPr>
                <w:rFonts w:hint="eastAsia" w:asciiTheme="minorEastAsia" w:hAnsiTheme="minorEastAsia"/>
                <w:color w:val="auto"/>
                <w:szCs w:val="21"/>
              </w:rPr>
              <w:t>政府采购政策咨询、信息公开、质疑投诉处理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段尧方</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0374-2676166</w:t>
            </w:r>
          </w:p>
        </w:tc>
        <w:tc>
          <w:tcPr>
            <w:tcW w:w="3794" w:type="dxa"/>
            <w:shd w:val="clear" w:color="auto" w:fill="auto"/>
          </w:tcPr>
          <w:p>
            <w:pPr>
              <w:contextualSpacing/>
              <w:rPr>
                <w:rFonts w:asciiTheme="minorEastAsia" w:hAnsiTheme="minorEastAsia"/>
                <w:color w:val="auto"/>
                <w:szCs w:val="21"/>
              </w:rPr>
            </w:pPr>
            <w:r>
              <w:rPr>
                <w:rFonts w:hint="eastAsia" w:asciiTheme="minorEastAsia" w:hAnsiTheme="minorEastAsia"/>
                <w:color w:val="auto"/>
                <w:szCs w:val="21"/>
              </w:rPr>
              <w:t>绿色采购、832平台、供应商监管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1908" w:type="dxa"/>
            <w:vMerge w:val="restart"/>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许昌市政府采购服务中心</w:t>
            </w:r>
          </w:p>
        </w:tc>
        <w:tc>
          <w:tcPr>
            <w:tcW w:w="1620" w:type="dxa"/>
            <w:shd w:val="clear" w:color="auto" w:fill="auto"/>
            <w:vAlign w:val="center"/>
          </w:tcPr>
          <w:p>
            <w:pPr>
              <w:spacing w:line="360" w:lineRule="auto"/>
              <w:jc w:val="center"/>
              <w:rPr>
                <w:rFonts w:hint="default" w:asciiTheme="minorEastAsia" w:hAnsiTheme="minorEastAsia" w:eastAsiaTheme="minorEastAsia"/>
                <w:color w:val="auto"/>
                <w:szCs w:val="21"/>
                <w:lang w:val="en-US" w:eastAsia="zh-CN"/>
              </w:rPr>
            </w:pPr>
            <w:r>
              <w:rPr>
                <w:rFonts w:hint="eastAsia" w:asciiTheme="minorEastAsia" w:hAnsiTheme="minorEastAsia"/>
                <w:color w:val="auto"/>
                <w:szCs w:val="21"/>
                <w:lang w:val="en-US" w:eastAsia="zh-CN"/>
              </w:rPr>
              <w:t>尚晓燕</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0374-2968687</w:t>
            </w:r>
          </w:p>
        </w:tc>
        <w:tc>
          <w:tcPr>
            <w:tcW w:w="3794" w:type="dxa"/>
            <w:shd w:val="clear" w:color="auto" w:fill="auto"/>
            <w:vAlign w:val="center"/>
          </w:tcPr>
          <w:p>
            <w:pPr>
              <w:contextualSpacing/>
              <w:jc w:val="center"/>
              <w:rPr>
                <w:rFonts w:asciiTheme="minorEastAsia" w:hAnsiTheme="minorEastAsia"/>
                <w:color w:val="auto"/>
                <w:szCs w:val="21"/>
              </w:rPr>
            </w:pPr>
            <w:r>
              <w:rPr>
                <w:rFonts w:hint="eastAsia" w:asciiTheme="minorEastAsia" w:hAnsiTheme="minorEastAsia"/>
                <w:color w:val="auto"/>
                <w:szCs w:val="21"/>
              </w:rPr>
              <w:t>优化政府采购营商环境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李 轩</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0374-2968687</w:t>
            </w:r>
          </w:p>
        </w:tc>
        <w:tc>
          <w:tcPr>
            <w:tcW w:w="3794" w:type="dxa"/>
            <w:shd w:val="clear" w:color="auto" w:fill="auto"/>
            <w:vAlign w:val="center"/>
          </w:tcPr>
          <w:p>
            <w:pPr>
              <w:contextualSpacing/>
              <w:jc w:val="left"/>
              <w:rPr>
                <w:rFonts w:asciiTheme="minorEastAsia" w:hAnsiTheme="minorEastAsia"/>
                <w:color w:val="auto"/>
                <w:szCs w:val="21"/>
              </w:rPr>
            </w:pPr>
            <w:r>
              <w:rPr>
                <w:rFonts w:hint="eastAsia" w:asciiTheme="minorEastAsia" w:hAnsiTheme="minorEastAsia"/>
                <w:color w:val="auto"/>
                <w:szCs w:val="21"/>
              </w:rPr>
              <w:t>集采交易文件编制，信息（公告、文件）发布，集采项目答疑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沙 鑫</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0374-2968687</w:t>
            </w:r>
          </w:p>
        </w:tc>
        <w:tc>
          <w:tcPr>
            <w:tcW w:w="3794" w:type="dxa"/>
            <w:shd w:val="clear" w:color="auto" w:fill="auto"/>
            <w:vAlign w:val="center"/>
          </w:tcPr>
          <w:p>
            <w:pPr>
              <w:contextualSpacing/>
              <w:rPr>
                <w:rFonts w:asciiTheme="minorEastAsia" w:hAnsiTheme="minorEastAsia"/>
                <w:color w:val="auto"/>
                <w:szCs w:val="21"/>
              </w:rPr>
            </w:pPr>
            <w:r>
              <w:rPr>
                <w:rFonts w:hint="eastAsia" w:asciiTheme="minorEastAsia" w:hAnsiTheme="minorEastAsia"/>
                <w:color w:val="auto"/>
                <w:szCs w:val="21"/>
              </w:rPr>
              <w:t>交易文件编制、核验，信息（公告、文件）发布，集采项目答疑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黄莹莹</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0374-2968687</w:t>
            </w:r>
          </w:p>
        </w:tc>
        <w:tc>
          <w:tcPr>
            <w:tcW w:w="3794" w:type="dxa"/>
            <w:shd w:val="clear" w:color="auto" w:fill="auto"/>
            <w:vAlign w:val="center"/>
          </w:tcPr>
          <w:p>
            <w:pPr>
              <w:contextualSpacing/>
              <w:rPr>
                <w:rFonts w:asciiTheme="minorEastAsia" w:hAnsiTheme="minorEastAsia"/>
                <w:color w:val="auto"/>
                <w:szCs w:val="21"/>
              </w:rPr>
            </w:pPr>
            <w:r>
              <w:rPr>
                <w:rFonts w:hint="eastAsia" w:asciiTheme="minorEastAsia" w:hAnsiTheme="minorEastAsia"/>
                <w:color w:val="auto"/>
                <w:szCs w:val="21"/>
              </w:rPr>
              <w:t>交易文件编制、核验，信息（公告、文件）发布，集采项目答疑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张玲霞</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0374-2968687</w:t>
            </w:r>
          </w:p>
        </w:tc>
        <w:tc>
          <w:tcPr>
            <w:tcW w:w="3794" w:type="dxa"/>
            <w:shd w:val="clear" w:color="auto" w:fill="auto"/>
            <w:vAlign w:val="center"/>
          </w:tcPr>
          <w:p>
            <w:pPr>
              <w:contextualSpacing/>
              <w:rPr>
                <w:rFonts w:asciiTheme="minorEastAsia" w:hAnsiTheme="minorEastAsia"/>
                <w:color w:val="auto"/>
                <w:szCs w:val="21"/>
              </w:rPr>
            </w:pPr>
            <w:r>
              <w:rPr>
                <w:rFonts w:hint="eastAsia" w:asciiTheme="minorEastAsia" w:hAnsiTheme="minorEastAsia"/>
                <w:color w:val="auto"/>
                <w:szCs w:val="21"/>
              </w:rPr>
              <w:t>交易文件编制，交易数据统计，集采项目答疑</w:t>
            </w:r>
          </w:p>
        </w:tc>
      </w:tr>
    </w:tbl>
    <w:p>
      <w:pPr>
        <w:numPr>
          <w:ilvl w:val="1"/>
          <w:numId w:val="98"/>
        </w:numPr>
        <w:wordWrap w:val="0"/>
        <w:topLinePunct/>
        <w:autoSpaceDE w:val="0"/>
        <w:autoSpaceDN w:val="0"/>
        <w:adjustRightInd w:val="0"/>
        <w:spacing w:line="360" w:lineRule="auto"/>
        <w:ind w:left="991" w:hanging="991" w:hangingChars="47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咨询途径： </w:t>
      </w:r>
    </w:p>
    <w:p>
      <w:pPr>
        <w:autoSpaceDE w:val="0"/>
        <w:autoSpaceDN w:val="0"/>
        <w:spacing w:line="360" w:lineRule="auto"/>
        <w:ind w:left="964" w:firstLine="27" w:firstLineChars="13"/>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（1）电话咨询：采购人、供应商对照助手团队人员，通过电话方式直接咨询。</w:t>
      </w:r>
    </w:p>
    <w:p>
      <w:pPr>
        <w:autoSpaceDE w:val="0"/>
        <w:autoSpaceDN w:val="0"/>
        <w:spacing w:line="360" w:lineRule="auto"/>
        <w:ind w:left="993"/>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（2）邮箱咨询：</w:t>
      </w:r>
    </w:p>
    <w:p>
      <w:pPr>
        <w:wordWrap w:val="0"/>
        <w:autoSpaceDE w:val="0"/>
        <w:autoSpaceDN w:val="0"/>
        <w:spacing w:line="360" w:lineRule="auto"/>
        <w:ind w:left="1418"/>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①发送电子邮件至许昌市政府采购监督管理办公室咨询邮箱，邮箱地址：</w:t>
      </w:r>
      <w:r>
        <w:rPr>
          <w:color w:val="auto"/>
        </w:rPr>
        <w:fldChar w:fldCharType="begin"/>
      </w:r>
      <w:r>
        <w:rPr>
          <w:color w:val="auto"/>
        </w:rPr>
        <w:instrText xml:space="preserve"> HYPERLINK "mailto:xcscgb@126.com" </w:instrText>
      </w:r>
      <w:r>
        <w:rPr>
          <w:color w:val="auto"/>
        </w:rPr>
        <w:fldChar w:fldCharType="separate"/>
      </w:r>
      <w:r>
        <w:rPr>
          <w:rFonts w:hint="eastAsia" w:cs="宋体" w:asciiTheme="minorEastAsia" w:hAnsiTheme="minorEastAsia"/>
          <w:color w:val="auto"/>
          <w:kern w:val="0"/>
          <w:szCs w:val="21"/>
          <w:u w:val="single"/>
        </w:rPr>
        <w:t>xcscgb@126.com</w:t>
      </w:r>
      <w:r>
        <w:rPr>
          <w:rFonts w:hint="eastAsia" w:cs="宋体" w:asciiTheme="minorEastAsia" w:hAnsiTheme="minorEastAsia"/>
          <w:color w:val="auto"/>
          <w:kern w:val="0"/>
          <w:szCs w:val="21"/>
          <w:u w:val="single"/>
        </w:rPr>
        <w:fldChar w:fldCharType="end"/>
      </w:r>
      <w:r>
        <w:rPr>
          <w:rFonts w:hint="eastAsia" w:cs="宋体" w:asciiTheme="minorEastAsia" w:hAnsiTheme="minorEastAsia"/>
          <w:color w:val="auto"/>
          <w:kern w:val="0"/>
          <w:szCs w:val="21"/>
        </w:rPr>
        <w:t>；</w:t>
      </w:r>
    </w:p>
    <w:p>
      <w:pPr>
        <w:autoSpaceDE w:val="0"/>
        <w:autoSpaceDN w:val="0"/>
        <w:spacing w:line="360" w:lineRule="auto"/>
        <w:ind w:left="964" w:firstLine="453" w:firstLineChars="216"/>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②发送电子邮件至许昌市政府采购中心咨询邮箱，邮箱地址：</w:t>
      </w:r>
      <w:r>
        <w:rPr>
          <w:color w:val="auto"/>
        </w:rPr>
        <w:fldChar w:fldCharType="begin"/>
      </w:r>
      <w:r>
        <w:rPr>
          <w:color w:val="auto"/>
        </w:rPr>
        <w:instrText xml:space="preserve"> HYPERLINK "mailto:xcszfcgzx@126.com" </w:instrText>
      </w:r>
      <w:r>
        <w:rPr>
          <w:color w:val="auto"/>
        </w:rPr>
        <w:fldChar w:fldCharType="separate"/>
      </w:r>
      <w:r>
        <w:rPr>
          <w:rFonts w:hint="eastAsia" w:cs="宋体" w:asciiTheme="minorEastAsia" w:hAnsiTheme="minorEastAsia"/>
          <w:color w:val="auto"/>
          <w:kern w:val="0"/>
          <w:szCs w:val="21"/>
          <w:u w:val="single"/>
        </w:rPr>
        <w:t>xcszfcgzx@126.com</w:t>
      </w:r>
      <w:r>
        <w:rPr>
          <w:rFonts w:hint="eastAsia" w:cs="宋体" w:asciiTheme="minorEastAsia" w:hAnsiTheme="minorEastAsia"/>
          <w:color w:val="auto"/>
          <w:kern w:val="0"/>
          <w:szCs w:val="21"/>
          <w:u w:val="single"/>
        </w:rPr>
        <w:fldChar w:fldCharType="end"/>
      </w:r>
      <w:r>
        <w:rPr>
          <w:rFonts w:hint="eastAsia" w:cs="宋体" w:asciiTheme="minorEastAsia" w:hAnsiTheme="minorEastAsia"/>
          <w:color w:val="auto"/>
          <w:kern w:val="0"/>
          <w:szCs w:val="21"/>
        </w:rPr>
        <w:t>；</w:t>
      </w:r>
    </w:p>
    <w:p>
      <w:pPr>
        <w:autoSpaceDE w:val="0"/>
        <w:autoSpaceDN w:val="0"/>
        <w:spacing w:line="360" w:lineRule="auto"/>
        <w:ind w:left="993"/>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（3）微信咨询：有咨询需求的供应商拨打电话申请加入微信群，在线提出咨询问题。</w:t>
      </w:r>
    </w:p>
    <w:p>
      <w:pPr>
        <w:autoSpaceDE w:val="0"/>
        <w:autoSpaceDN w:val="0"/>
        <w:spacing w:line="360" w:lineRule="auto"/>
        <w:ind w:left="964"/>
        <w:contextualSpacing/>
        <w:jc w:val="left"/>
        <w:rPr>
          <w:rFonts w:cs="宋体" w:asciiTheme="majorEastAsia" w:hAnsiTheme="majorEastAsia" w:eastAsiaTheme="majorEastAsia"/>
          <w:b/>
          <w:color w:val="auto"/>
          <w:kern w:val="0"/>
          <w:sz w:val="32"/>
          <w:szCs w:val="32"/>
        </w:rPr>
      </w:pPr>
    </w:p>
    <w:p>
      <w:pPr>
        <w:autoSpaceDE w:val="0"/>
        <w:autoSpaceDN w:val="0"/>
        <w:spacing w:line="360" w:lineRule="auto"/>
        <w:ind w:left="964" w:firstLine="1446" w:firstLineChars="450"/>
        <w:contextualSpacing/>
        <w:jc w:val="left"/>
        <w:rPr>
          <w:rFonts w:cs="宋体" w:asciiTheme="majorEastAsia" w:hAnsiTheme="majorEastAsia" w:eastAsiaTheme="majorEastAsia"/>
          <w:b/>
          <w:color w:val="auto"/>
          <w:kern w:val="0"/>
          <w:sz w:val="32"/>
          <w:szCs w:val="32"/>
        </w:rPr>
      </w:pPr>
    </w:p>
    <w:p>
      <w:pPr>
        <w:autoSpaceDE w:val="0"/>
        <w:autoSpaceDN w:val="0"/>
        <w:spacing w:line="360" w:lineRule="auto"/>
        <w:ind w:left="964" w:firstLine="1446" w:firstLineChars="450"/>
        <w:contextualSpacing/>
        <w:jc w:val="left"/>
        <w:rPr>
          <w:rFonts w:cs="宋体" w:asciiTheme="majorEastAsia" w:hAnsiTheme="majorEastAsia" w:eastAsiaTheme="majorEastAsia"/>
          <w:b/>
          <w:color w:val="auto"/>
          <w:kern w:val="0"/>
          <w:sz w:val="32"/>
          <w:szCs w:val="32"/>
        </w:rPr>
      </w:pPr>
    </w:p>
    <w:p>
      <w:pPr>
        <w:autoSpaceDE w:val="0"/>
        <w:autoSpaceDN w:val="0"/>
        <w:spacing w:line="360" w:lineRule="auto"/>
        <w:ind w:left="964" w:firstLine="1446" w:firstLineChars="450"/>
        <w:contextualSpacing/>
        <w:jc w:val="left"/>
        <w:rPr>
          <w:rFonts w:cs="宋体" w:asciiTheme="majorEastAsia" w:hAnsiTheme="majorEastAsia" w:eastAsiaTheme="majorEastAsia"/>
          <w:b/>
          <w:color w:val="auto"/>
          <w:kern w:val="0"/>
          <w:sz w:val="32"/>
          <w:szCs w:val="32"/>
        </w:rPr>
      </w:pPr>
    </w:p>
    <w:p>
      <w:pPr>
        <w:autoSpaceDE w:val="0"/>
        <w:autoSpaceDN w:val="0"/>
        <w:spacing w:line="360" w:lineRule="auto"/>
        <w:ind w:left="964" w:firstLine="1446" w:firstLineChars="450"/>
        <w:contextualSpacing/>
        <w:jc w:val="left"/>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第五章 政府采购政策功能</w:t>
      </w:r>
    </w:p>
    <w:p>
      <w:pPr>
        <w:jc w:val="center"/>
        <w:rPr>
          <w:rFonts w:cs="宋体" w:asciiTheme="majorEastAsia" w:hAnsiTheme="majorEastAsia" w:eastAsiaTheme="majorEastAsia"/>
          <w:b/>
          <w:color w:val="auto"/>
          <w:kern w:val="0"/>
          <w:sz w:val="36"/>
          <w:szCs w:val="36"/>
        </w:rPr>
      </w:pP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根据《中华人民共和国政府采购法》、《中华人民共和国政府采购法实施条例》、《政府采购货物和服务招标投标管理办法》等规定，本项目落实节约能源、保护环境、促进中小企业发展、支持监狱企业发展、促进残疾人就业等政府采购政策。</w:t>
      </w:r>
    </w:p>
    <w:p>
      <w:pPr>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一、节约能源、保护环境</w:t>
      </w: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按照《财政部、发展改革委、生态环境部、市场监管总局关于调整优化节能产品、环境标志产品政府采购执行机制的通知》（财库〔2019〕9号）和</w:t>
      </w:r>
      <w:r>
        <w:rPr>
          <w:rFonts w:hint="eastAsia" w:cs="仿宋_GB2312" w:asciiTheme="minorEastAsia" w:hAnsiTheme="minorEastAsia"/>
          <w:color w:val="auto"/>
          <w:szCs w:val="21"/>
        </w:rPr>
        <w:t>财政部、生态环境部</w:t>
      </w:r>
      <w:r>
        <w:rPr>
          <w:rFonts w:hint="eastAsia" w:cs="仿宋_GB2312" w:asciiTheme="minorEastAsia" w:hAnsiTheme="minorEastAsia"/>
          <w:color w:val="auto"/>
          <w:szCs w:val="21"/>
          <w:lang w:val="zh-CN"/>
        </w:rPr>
        <w:t>《关于印发环境标志产品政府采购品目清单的通知》</w:t>
      </w:r>
      <w:r>
        <w:rPr>
          <w:rFonts w:hint="eastAsia" w:cs="仿宋_GB2312" w:asciiTheme="minorEastAsia" w:hAnsiTheme="minorEastAsia"/>
          <w:color w:val="auto"/>
          <w:szCs w:val="21"/>
        </w:rPr>
        <w:t>（财库[2019]18号）以及</w:t>
      </w:r>
      <w:r>
        <w:rPr>
          <w:rFonts w:hint="eastAsia" w:cs="仿宋_GB2312" w:asciiTheme="minorEastAsia" w:hAnsiTheme="minorEastAsia"/>
          <w:color w:val="auto"/>
          <w:szCs w:val="21"/>
          <w:lang w:val="zh-CN"/>
        </w:rPr>
        <w:t>财政部、发展改革委</w:t>
      </w:r>
      <w:r>
        <w:rPr>
          <w:rFonts w:hint="eastAsia" w:cs="仿宋_GB2312" w:asciiTheme="minorEastAsia" w:hAnsiTheme="minorEastAsia"/>
          <w:color w:val="auto"/>
          <w:szCs w:val="21"/>
        </w:rPr>
        <w:t>《关于印发节能产品政府采购品目清单的通知》（财库[2019]19号）</w:t>
      </w:r>
      <w:r>
        <w:rPr>
          <w:rFonts w:hint="eastAsia" w:cs="仿宋_GB2312" w:asciiTheme="minorEastAsia" w:hAnsiTheme="minorEastAsia"/>
          <w:color w:val="auto"/>
          <w:szCs w:val="21"/>
          <w:lang w:val="zh-CN"/>
        </w:rPr>
        <w:t>，</w:t>
      </w:r>
      <w:r>
        <w:rPr>
          <w:rFonts w:hint="eastAsia" w:cs="仿宋_GB2312" w:asciiTheme="minorEastAsia" w:hAnsiTheme="minorEastAsia"/>
          <w:color w:val="auto"/>
          <w:szCs w:val="21"/>
        </w:rPr>
        <w:t>采购政府强</w:t>
      </w:r>
      <w:r>
        <w:rPr>
          <w:rFonts w:hint="eastAsia" w:cs="仿宋_GB2312" w:asciiTheme="minorEastAsia" w:hAnsiTheme="minorEastAsia"/>
          <w:color w:val="auto"/>
          <w:szCs w:val="21"/>
          <w:lang w:val="zh-CN"/>
        </w:rPr>
        <w:t>制采购产品的，该产品必须具有国家确定的认证机构出具的、处于有效期之内的节能产品认证证书；采购政府优先采购产品的，该产品具有国家确定的认证机构出具的、处于有效期之内的节能产品、环境标志产品认证证书，应当优先采购。</w:t>
      </w:r>
    </w:p>
    <w:p>
      <w:pPr>
        <w:spacing w:line="360" w:lineRule="auto"/>
        <w:ind w:firstLine="422" w:firstLineChars="200"/>
        <w:contextualSpacing/>
        <w:rPr>
          <w:rFonts w:eastAsia="宋体" w:cs="仿宋_GB2312" w:asciiTheme="minorEastAsia" w:hAnsiTheme="minorEastAsia"/>
          <w:b/>
          <w:color w:val="auto"/>
          <w:szCs w:val="21"/>
          <w:lang w:val="zh-CN"/>
        </w:rPr>
      </w:pPr>
      <w:r>
        <w:rPr>
          <w:rFonts w:hint="eastAsia" w:cs="仿宋_GB2312" w:asciiTheme="minorEastAsia" w:hAnsiTheme="minorEastAsia"/>
          <w:b/>
          <w:color w:val="auto"/>
          <w:szCs w:val="21"/>
          <w:lang w:val="zh-CN"/>
        </w:rPr>
        <w:t>二、</w:t>
      </w:r>
      <w:r>
        <w:rPr>
          <w:rFonts w:hint="eastAsia" w:eastAsia="宋体" w:cs="仿宋_GB2312" w:asciiTheme="minorEastAsia" w:hAnsiTheme="minorEastAsia"/>
          <w:b/>
          <w:color w:val="auto"/>
          <w:szCs w:val="21"/>
          <w:lang w:val="zh-CN"/>
        </w:rPr>
        <w:t>促进中小企业发展（不含民办非企业）</w:t>
      </w:r>
    </w:p>
    <w:p>
      <w:pPr>
        <w:topLinePunct/>
        <w:spacing w:line="360" w:lineRule="auto"/>
        <w:ind w:firstLine="420" w:firstLineChars="200"/>
        <w:contextualSpacing/>
        <w:rPr>
          <w:rFonts w:cs="仿宋_GB2312" w:asciiTheme="minorEastAsia" w:hAnsiTheme="minorEastAsia"/>
          <w:color w:val="auto"/>
          <w:szCs w:val="21"/>
          <w:lang w:val="zh-CN"/>
        </w:rPr>
      </w:pPr>
      <w:r>
        <w:rPr>
          <w:rFonts w:hint="eastAsia" w:ascii="ˎ̥" w:hAnsi="ˎ̥"/>
          <w:color w:val="auto"/>
        </w:rPr>
        <w:t>1、本</w:t>
      </w:r>
      <w:r>
        <w:rPr>
          <w:rFonts w:hint="eastAsia" w:cs="仿宋_GB2312" w:asciiTheme="minorEastAsia" w:hAnsiTheme="minorEastAsia"/>
          <w:color w:val="auto"/>
          <w:szCs w:val="21"/>
          <w:lang w:val="zh-CN"/>
        </w:rPr>
        <w:t>项目为非专门面向中小企业采购的项目，根据财政部、工业和信息化部《政府采购促进中小企业发展管理办法》（财库[2020]46号）</w:t>
      </w:r>
      <w:r>
        <w:rPr>
          <w:rFonts w:hint="eastAsia" w:ascii="ˎ̥" w:hAnsi="ˎ̥"/>
          <w:color w:val="auto"/>
        </w:rPr>
        <w:t>、《关于进一步加大政府采购支持中小企业力度的通知》（财库〔2022〕19号）</w:t>
      </w:r>
      <w:r>
        <w:rPr>
          <w:rFonts w:hint="eastAsia" w:cs="仿宋_GB2312" w:asciiTheme="minorEastAsia" w:hAnsiTheme="minorEastAsia"/>
          <w:color w:val="auto"/>
          <w:szCs w:val="21"/>
          <w:lang w:val="zh-CN"/>
        </w:rPr>
        <w:t>规定，对符合该办法规定的小型和微型企业报价给予10%-20%的扣除，用扣除后的价格参与评审。</w:t>
      </w:r>
    </w:p>
    <w:p>
      <w:pPr>
        <w:spacing w:line="360" w:lineRule="auto"/>
        <w:ind w:firstLine="420" w:firstLineChars="200"/>
        <w:contextualSpacing/>
        <w:rPr>
          <w:rFonts w:ascii="ˎ̥" w:hAnsi="ˎ̥"/>
          <w:color w:val="auto"/>
        </w:rPr>
      </w:pPr>
      <w:r>
        <w:rPr>
          <w:rFonts w:hint="eastAsia" w:ascii="ˎ̥" w:hAnsi="ˎ̥"/>
          <w:color w:val="auto"/>
        </w:rPr>
        <w:t>2、</w:t>
      </w:r>
      <w:r>
        <w:rPr>
          <w:rFonts w:ascii="ˎ̥" w:hAnsi="ˎ̥"/>
          <w:color w:val="auto"/>
        </w:rPr>
        <w:t>在货物采购项目中，供应商提供的货物既有中小企业制造货物，也有大型企业制造货物的，不享受</w:t>
      </w:r>
      <w:r>
        <w:rPr>
          <w:rFonts w:hint="eastAsia" w:cs="仿宋_GB2312" w:asciiTheme="minorEastAsia" w:hAnsiTheme="minorEastAsia"/>
          <w:color w:val="auto"/>
          <w:szCs w:val="21"/>
          <w:lang w:val="zh-CN"/>
        </w:rPr>
        <w:t>《政府采购促进中小企业发展管理办法》（财库[2020]46号）</w:t>
      </w:r>
      <w:r>
        <w:rPr>
          <w:rFonts w:ascii="ˎ̥" w:hAnsi="ˎ̥"/>
          <w:color w:val="auto"/>
        </w:rPr>
        <w:t>规定的中小企业扶持政策。</w:t>
      </w:r>
    </w:p>
    <w:p>
      <w:pPr>
        <w:spacing w:line="360" w:lineRule="auto"/>
        <w:ind w:firstLine="420" w:firstLineChars="200"/>
        <w:contextualSpacing/>
        <w:rPr>
          <w:rFonts w:ascii="ˎ̥" w:hAnsi="ˎ̥"/>
          <w:color w:val="auto"/>
        </w:rPr>
      </w:pPr>
      <w:r>
        <w:rPr>
          <w:rFonts w:hint="eastAsia" w:ascii="ˎ̥" w:hAnsi="ˎ̥"/>
          <w:color w:val="auto"/>
        </w:rPr>
        <w:t>3、</w:t>
      </w:r>
      <w:r>
        <w:rPr>
          <w:rFonts w:ascii="ˎ̥" w:hAnsi="ˎ̥"/>
          <w:color w:val="auto"/>
        </w:rPr>
        <w:t>以联合体形式参加政府采购活动，联合体各方均为中小企业的，联合体视同中小企业。其中，联合体各方均为小微企业的，联合体视同小微企业。</w:t>
      </w:r>
    </w:p>
    <w:p>
      <w:pPr>
        <w:spacing w:line="360" w:lineRule="auto"/>
        <w:ind w:firstLine="420" w:firstLineChars="200"/>
        <w:contextualSpacing/>
        <w:rPr>
          <w:rFonts w:ascii="ˎ̥" w:hAnsi="ˎ̥"/>
          <w:color w:val="auto"/>
        </w:rPr>
      </w:pPr>
      <w:r>
        <w:rPr>
          <w:rFonts w:hint="eastAsia" w:ascii="ˎ̥" w:hAnsi="ˎ̥"/>
          <w:color w:val="auto"/>
        </w:rPr>
        <w:t>4、</w:t>
      </w:r>
      <w:r>
        <w:rPr>
          <w:rFonts w:ascii="ˎ̥" w:hAnsi="ˎ̥"/>
          <w:color w:val="auto"/>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ˎ̥" w:hAnsi="ˎ̥"/>
          <w:color w:val="auto"/>
        </w:rPr>
        <w:t>4</w:t>
      </w:r>
      <w:r>
        <w:rPr>
          <w:rFonts w:ascii="ˎ̥" w:hAnsi="ˎ̥"/>
          <w:color w:val="auto"/>
        </w:rPr>
        <w:t>—</w:t>
      </w:r>
      <w:r>
        <w:rPr>
          <w:rFonts w:hint="eastAsia" w:ascii="ˎ̥" w:hAnsi="ˎ̥"/>
          <w:color w:val="auto"/>
        </w:rPr>
        <w:t>6</w:t>
      </w:r>
      <w:r>
        <w:rPr>
          <w:rFonts w:ascii="ˎ̥" w:hAnsi="ˎ̥"/>
          <w:color w:val="auto"/>
        </w:rPr>
        <w:t>%的扣除，用扣除后的价格参加评审。组成联合体或者接受分包的小微企业与联合体内其他企业、分包企业之间存在直接控股、管理关系的，不享受价格扣除优惠政策。</w:t>
      </w:r>
    </w:p>
    <w:p>
      <w:pPr>
        <w:topLinePunct/>
        <w:spacing w:line="360" w:lineRule="auto"/>
        <w:ind w:firstLine="420" w:firstLineChars="200"/>
        <w:contextualSpacing/>
        <w:rPr>
          <w:rFonts w:ascii="ˎ̥" w:hAnsi="ˎ̥"/>
          <w:color w:val="auto"/>
        </w:rPr>
      </w:pPr>
      <w:r>
        <w:rPr>
          <w:rFonts w:hint="eastAsia" w:ascii="ˎ̥" w:hAnsi="ˎ̥"/>
          <w:color w:val="auto"/>
        </w:rPr>
        <w:t>5、按照本次采购标的所属行业的划型标准，符合条件的中小企业应按照招标文件格式要求提供《中小企业声明函》，</w:t>
      </w:r>
      <w:r>
        <w:rPr>
          <w:rFonts w:ascii="ˎ̥" w:hAnsi="ˎ̥"/>
          <w:color w:val="auto"/>
        </w:rPr>
        <w:t>否则不得享受相关中小企业扶持政策。</w:t>
      </w:r>
    </w:p>
    <w:p>
      <w:pPr>
        <w:topLinePunct/>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三、支持监狱企业发展</w:t>
      </w: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按照财政部、司法部发布的《关于政府采购支持监狱企业发展有关问题的通知》（</w:t>
      </w:r>
      <w:bookmarkStart w:id="2" w:name="OLE_LINK6"/>
      <w:r>
        <w:rPr>
          <w:rFonts w:hint="eastAsia" w:cs="仿宋_GB2312" w:asciiTheme="minorEastAsia" w:hAnsiTheme="minorEastAsia"/>
          <w:color w:val="auto"/>
          <w:szCs w:val="21"/>
          <w:lang w:val="zh-CN"/>
        </w:rPr>
        <w:t>财库[2014]68号</w:t>
      </w:r>
      <w:bookmarkEnd w:id="2"/>
      <w:r>
        <w:rPr>
          <w:rFonts w:hint="eastAsia" w:cs="仿宋_GB2312" w:asciiTheme="minorEastAsia" w:hAnsiTheme="minorEastAsia"/>
          <w:color w:val="auto"/>
          <w:szCs w:val="21"/>
          <w:lang w:val="zh-CN"/>
        </w:rPr>
        <w:t>）规定，在政府采购活动中，监狱企业视同小型、微型企业，享受评审中价格扣除的政府采购政策，用扣除后的价格参与评审。监狱企业应当提供由省级以上监狱管理局、戒毒管理局(含新疆生产建设兵团)出具的属于监狱企业的证明文件。</w:t>
      </w:r>
    </w:p>
    <w:p>
      <w:pPr>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四、促进残疾人就业</w:t>
      </w: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1、按照财政部、民政部、中国残疾人联合会和残疾人发布的《三部门联合发布关于促进残疾人就业政府采购政策的通知》（财库[2017]141号）规定，在政府采购活动中，残疾人福利性单位视同小型、微型企业，享受评审中价格扣除的政府采购政策。对残疾人福利性单位提供本单位制造的货物、承担的工程或者服务，或者提供其他残疾人福利性单位制造的货物（不包括使用非残疾人福利性单位注册商标的货物）用扣除后的价格参与评审。</w:t>
      </w:r>
      <w:r>
        <w:rPr>
          <w:rFonts w:hint="eastAsia" w:asciiTheme="minorEastAsia" w:hAnsiTheme="minorEastAsia"/>
          <w:color w:val="auto"/>
          <w:szCs w:val="21"/>
        </w:rPr>
        <w:t>残疾人福利性单位属于小型、微型企业的，不重复享受政策。</w:t>
      </w: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2、符合条件的残疾人福利性单位在参加政府采购活动时，应当提供《三部门联合发布关于促进残疾人就业政府采购政策的通知》规定的《残疾人福利性单位声明函》，并对声明的真实性负责。任何单位或者个人在政府采购活动中均不得要求残疾人福利性单位提供其他证明声明函内容的材料。</w:t>
      </w:r>
    </w:p>
    <w:p>
      <w:pPr>
        <w:spacing w:line="360" w:lineRule="auto"/>
        <w:ind w:firstLine="420" w:firstLineChars="200"/>
        <w:contextualSpacing/>
        <w:rPr>
          <w:rFonts w:cs="仿宋_GB2312" w:asciiTheme="minorEastAsia" w:hAnsiTheme="minorEastAsia"/>
          <w:color w:val="auto"/>
          <w:sz w:val="24"/>
          <w:szCs w:val="24"/>
          <w:lang w:val="zh-CN"/>
        </w:rPr>
      </w:pPr>
      <w:r>
        <w:rPr>
          <w:rFonts w:hint="eastAsia" w:cs="仿宋_GB2312" w:asciiTheme="minorEastAsia" w:hAnsiTheme="minorEastAsia"/>
          <w:color w:val="auto"/>
          <w:szCs w:val="21"/>
          <w:lang w:val="zh-CN"/>
        </w:rPr>
        <w:t>3、中标人为残疾人福利性单位的，招标人应当随中标结果同时公告其《残疾人福利性单位声明函》，接受社会监督。</w:t>
      </w:r>
    </w:p>
    <w:p>
      <w:pPr>
        <w:topLinePunct/>
        <w:spacing w:line="360" w:lineRule="auto"/>
        <w:ind w:firstLine="420" w:firstLineChars="200"/>
        <w:contextualSpacing/>
        <w:rPr>
          <w:rFonts w:cs="仿宋_GB2312" w:asciiTheme="minorEastAsia" w:hAnsiTheme="minorEastAsia"/>
          <w:color w:val="auto"/>
          <w:szCs w:val="21"/>
          <w:lang w:val="zh-CN"/>
        </w:rPr>
      </w:pPr>
    </w:p>
    <w:p>
      <w:pPr>
        <w:spacing w:line="360" w:lineRule="auto"/>
        <w:ind w:left="282" w:hanging="282" w:hangingChars="78"/>
        <w:contextualSpacing/>
        <w:jc w:val="center"/>
        <w:rPr>
          <w:rFonts w:cs="宋体" w:asciiTheme="majorEastAsia" w:hAnsiTheme="majorEastAsia" w:eastAsiaTheme="majorEastAsia"/>
          <w:b/>
          <w:color w:val="auto"/>
          <w:kern w:val="0"/>
          <w:sz w:val="36"/>
          <w:szCs w:val="36"/>
        </w:rPr>
      </w:pPr>
    </w:p>
    <w:p>
      <w:pPr>
        <w:widowControl/>
        <w:jc w:val="left"/>
        <w:rPr>
          <w:rFonts w:cs="宋体" w:asciiTheme="majorEastAsia" w:hAnsiTheme="majorEastAsia" w:eastAsiaTheme="majorEastAsia"/>
          <w:b/>
          <w:color w:val="auto"/>
          <w:kern w:val="0"/>
          <w:sz w:val="32"/>
          <w:szCs w:val="32"/>
        </w:rPr>
      </w:pPr>
      <w:r>
        <w:rPr>
          <w:rFonts w:cs="宋体" w:asciiTheme="majorEastAsia" w:hAnsiTheme="majorEastAsia" w:eastAsiaTheme="majorEastAsia"/>
          <w:b/>
          <w:color w:val="auto"/>
          <w:kern w:val="0"/>
          <w:sz w:val="32"/>
          <w:szCs w:val="32"/>
        </w:rPr>
        <w:br w:type="page"/>
      </w: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第六章 资格审查与评标</w:t>
      </w:r>
    </w:p>
    <w:p>
      <w:pPr>
        <w:spacing w:line="360" w:lineRule="auto"/>
        <w:contextualSpacing/>
        <w:rPr>
          <w:rFonts w:eastAsia="宋体" w:cs="仿宋_GB2312" w:asciiTheme="minorEastAsia" w:hAnsiTheme="minorEastAsia"/>
          <w:color w:val="auto"/>
          <w:sz w:val="24"/>
          <w:lang w:val="zh-CN"/>
        </w:rPr>
      </w:pPr>
    </w:p>
    <w:p>
      <w:pPr>
        <w:spacing w:line="360" w:lineRule="auto"/>
        <w:contextualSpacing/>
        <w:rPr>
          <w:rFonts w:asciiTheme="minorEastAsia" w:hAnsiTheme="minorEastAsia"/>
          <w:bCs/>
          <w:color w:val="auto"/>
          <w:szCs w:val="21"/>
        </w:rPr>
      </w:pPr>
      <w:r>
        <w:rPr>
          <w:rFonts w:cs="仿宋_GB2312" w:asciiTheme="minorEastAsia" w:hAnsiTheme="minorEastAsia"/>
          <w:b/>
          <w:color w:val="auto"/>
          <w:szCs w:val="21"/>
          <w:lang w:val="zh-CN"/>
        </w:rPr>
        <w:t>一、资格审查</w:t>
      </w:r>
    </w:p>
    <w:p>
      <w:pPr>
        <w:spacing w:line="360" w:lineRule="auto"/>
        <w:ind w:right="420" w:rightChars="200" w:firstLine="420" w:firstLineChars="200"/>
        <w:contextualSpacing/>
        <w:rPr>
          <w:rFonts w:asciiTheme="minorEastAsia" w:hAnsiTheme="minorEastAsia"/>
          <w:bCs/>
          <w:color w:val="auto"/>
          <w:szCs w:val="21"/>
        </w:rPr>
      </w:pPr>
      <w:r>
        <w:rPr>
          <w:rFonts w:hint="eastAsia" w:asciiTheme="minorEastAsia" w:hAnsiTheme="minorEastAsia"/>
          <w:bCs/>
          <w:color w:val="auto"/>
          <w:szCs w:val="21"/>
        </w:rPr>
        <w:t>（一）</w:t>
      </w:r>
      <w:r>
        <w:rPr>
          <w:rFonts w:asciiTheme="minorEastAsia" w:hAnsiTheme="minorEastAsia"/>
          <w:bCs/>
          <w:color w:val="auto"/>
          <w:szCs w:val="21"/>
        </w:rPr>
        <w:t>开标结束后，</w:t>
      </w:r>
      <w:r>
        <w:rPr>
          <w:rFonts w:hint="eastAsia" w:asciiTheme="minorEastAsia" w:hAnsiTheme="minorEastAsia"/>
          <w:bCs/>
          <w:color w:val="auto"/>
          <w:szCs w:val="21"/>
        </w:rPr>
        <w:t>采购人（采购代理机构）依法对投标人资格进行审查</w:t>
      </w:r>
      <w:r>
        <w:rPr>
          <w:rFonts w:asciiTheme="minorEastAsia" w:hAnsiTheme="minorEastAsia"/>
          <w:bCs/>
          <w:color w:val="auto"/>
          <w:szCs w:val="21"/>
        </w:rPr>
        <w:t>。</w:t>
      </w:r>
      <w:r>
        <w:rPr>
          <w:rFonts w:hint="eastAsia" w:asciiTheme="minorEastAsia" w:hAnsiTheme="minorEastAsia"/>
          <w:bCs/>
          <w:color w:val="auto"/>
          <w:szCs w:val="21"/>
        </w:rPr>
        <w:t>确定符合资格的投标人不少于3家的，将组织评标委员会进行评标。</w:t>
      </w:r>
    </w:p>
    <w:p>
      <w:pPr>
        <w:spacing w:line="360" w:lineRule="auto"/>
        <w:ind w:right="420" w:rightChars="200"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（二）资格证明材料（本栏所列内容为本项目的资格审查条件，如有一项不符合要求，则不能进入下一步评审）。</w:t>
      </w:r>
    </w:p>
    <w:p>
      <w:pPr>
        <w:spacing w:line="360" w:lineRule="auto"/>
        <w:ind w:right="420" w:rightChars="200"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（三）资格审查中所涉及到的证书及材料，均须在电子投标文件中提供原件扫描件（或图片）。</w:t>
      </w:r>
    </w:p>
    <w:tbl>
      <w:tblPr>
        <w:tblStyle w:val="22"/>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410"/>
        <w:gridCol w:w="59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序号</w:t>
            </w:r>
          </w:p>
        </w:tc>
        <w:tc>
          <w:tcPr>
            <w:tcW w:w="2410"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资格审查</w:t>
            </w:r>
            <w:r>
              <w:rPr>
                <w:rFonts w:asciiTheme="minorEastAsia" w:hAnsiTheme="minorEastAsia"/>
                <w:b/>
                <w:color w:val="auto"/>
                <w:szCs w:val="21"/>
              </w:rPr>
              <w:t>因素</w:t>
            </w:r>
          </w:p>
        </w:tc>
        <w:tc>
          <w:tcPr>
            <w:tcW w:w="5954"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1</w:t>
            </w:r>
          </w:p>
        </w:tc>
        <w:tc>
          <w:tcPr>
            <w:tcW w:w="2410"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投标函</w:t>
            </w:r>
          </w:p>
        </w:tc>
        <w:tc>
          <w:tcPr>
            <w:tcW w:w="5954" w:type="dxa"/>
            <w:vAlign w:val="center"/>
          </w:tcPr>
          <w:p>
            <w:pPr>
              <w:spacing w:line="360" w:lineRule="auto"/>
              <w:rPr>
                <w:rFonts w:asciiTheme="minorEastAsia" w:hAnsiTheme="minorEastAsia"/>
                <w:b/>
                <w:color w:val="auto"/>
                <w:szCs w:val="21"/>
              </w:rPr>
            </w:pPr>
            <w:r>
              <w:rPr>
                <w:rFonts w:hint="eastAsia" w:ascii="宋体" w:hAnsi="宋体" w:cs="微软雅黑"/>
                <w:bCs/>
                <w:color w:val="auto"/>
                <w:szCs w:val="21"/>
              </w:rPr>
              <w:t>参考招标文件第八章3.1格式填写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2</w:t>
            </w:r>
          </w:p>
        </w:tc>
        <w:tc>
          <w:tcPr>
            <w:tcW w:w="2410" w:type="dxa"/>
            <w:vAlign w:val="center"/>
          </w:tcPr>
          <w:p>
            <w:pPr>
              <w:spacing w:line="360" w:lineRule="auto"/>
              <w:jc w:val="center"/>
              <w:rPr>
                <w:rFonts w:asciiTheme="minorEastAsia" w:hAnsiTheme="minorEastAsia"/>
                <w:b/>
                <w:color w:val="auto"/>
                <w:szCs w:val="21"/>
              </w:rPr>
            </w:pPr>
            <w:r>
              <w:rPr>
                <w:rFonts w:asciiTheme="minorEastAsia" w:hAnsiTheme="minorEastAsia"/>
                <w:b/>
                <w:color w:val="auto"/>
                <w:szCs w:val="21"/>
              </w:rPr>
              <w:t>许昌市政府采购</w:t>
            </w:r>
          </w:p>
          <w:p>
            <w:pPr>
              <w:spacing w:line="360" w:lineRule="auto"/>
              <w:jc w:val="center"/>
              <w:rPr>
                <w:rFonts w:asciiTheme="minorEastAsia" w:hAnsiTheme="minorEastAsia"/>
                <w:b/>
                <w:color w:val="auto"/>
                <w:szCs w:val="21"/>
              </w:rPr>
            </w:pPr>
            <w:r>
              <w:rPr>
                <w:rFonts w:asciiTheme="minorEastAsia" w:hAnsiTheme="minorEastAsia"/>
                <w:b/>
                <w:color w:val="auto"/>
                <w:szCs w:val="21"/>
              </w:rPr>
              <w:t>供应商信用承诺函</w:t>
            </w:r>
          </w:p>
        </w:tc>
        <w:tc>
          <w:tcPr>
            <w:tcW w:w="5954" w:type="dxa"/>
            <w:vAlign w:val="center"/>
          </w:tcPr>
          <w:p>
            <w:pPr>
              <w:spacing w:line="360" w:lineRule="auto"/>
              <w:jc w:val="left"/>
              <w:rPr>
                <w:rFonts w:asciiTheme="minorEastAsia" w:hAnsiTheme="minorEastAsia"/>
                <w:b/>
                <w:bCs/>
                <w:color w:val="auto"/>
                <w:szCs w:val="21"/>
              </w:rPr>
            </w:pPr>
            <w:r>
              <w:rPr>
                <w:rFonts w:hint="eastAsia" w:ascii="宋体" w:hAnsi="宋体" w:cs="微软雅黑"/>
                <w:bCs/>
                <w:color w:val="auto"/>
                <w:szCs w:val="21"/>
              </w:rPr>
              <w:t>按照招标文件第八章3.5格式填写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3</w:t>
            </w:r>
          </w:p>
        </w:tc>
        <w:tc>
          <w:tcPr>
            <w:tcW w:w="2410"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投标</w:t>
            </w:r>
            <w:r>
              <w:rPr>
                <w:rFonts w:hint="eastAsia" w:cs="仿宋_GB2312" w:asciiTheme="minorEastAsia" w:hAnsiTheme="minorEastAsia"/>
                <w:b/>
                <w:color w:val="auto"/>
                <w:szCs w:val="21"/>
                <w:lang w:val="zh-CN"/>
              </w:rPr>
              <w:t>报价</w:t>
            </w:r>
          </w:p>
        </w:tc>
        <w:tc>
          <w:tcPr>
            <w:tcW w:w="5954" w:type="dxa"/>
          </w:tcPr>
          <w:p>
            <w:pPr>
              <w:spacing w:line="360" w:lineRule="auto"/>
              <w:rPr>
                <w:rFonts w:asciiTheme="minorEastAsia" w:hAnsiTheme="minorEastAsia"/>
                <w:b/>
                <w:bCs/>
                <w:color w:val="auto"/>
                <w:szCs w:val="21"/>
              </w:rPr>
            </w:pPr>
            <w:r>
              <w:rPr>
                <w:rFonts w:hint="eastAsia" w:cs="仿宋_GB2312" w:asciiTheme="minorEastAsia" w:hAnsiTheme="minorEastAsia"/>
                <w:color w:val="auto"/>
                <w:szCs w:val="21"/>
                <w:lang w:val="zh-CN"/>
              </w:rPr>
              <w:t>投标报价是否超出招标文件中规定的预算金额，超出预算金额的投标无效。如投标人须知前附表规定最高限价，则</w:t>
            </w:r>
            <w:r>
              <w:rPr>
                <w:rFonts w:hint="eastAsia" w:cs="宋体" w:asciiTheme="minorEastAsia" w:hAnsiTheme="minorEastAsia"/>
                <w:bCs/>
                <w:color w:val="auto"/>
                <w:szCs w:val="21"/>
                <w:lang w:val="zh-CN"/>
              </w:rPr>
              <w:t>超出预算金额和最高限价的投标无效。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4</w:t>
            </w:r>
          </w:p>
        </w:tc>
        <w:tc>
          <w:tcPr>
            <w:tcW w:w="2410" w:type="dxa"/>
            <w:vAlign w:val="center"/>
          </w:tcPr>
          <w:p>
            <w:pPr>
              <w:spacing w:line="360" w:lineRule="auto"/>
              <w:jc w:val="center"/>
              <w:rPr>
                <w:rFonts w:asciiTheme="minorEastAsia" w:hAnsiTheme="minorEastAsia"/>
                <w:color w:val="auto"/>
                <w:szCs w:val="21"/>
              </w:rPr>
            </w:pPr>
            <w:r>
              <w:rPr>
                <w:rFonts w:hint="eastAsia" w:asciiTheme="minorEastAsia" w:hAnsiTheme="minorEastAsia"/>
                <w:b/>
                <w:color w:val="auto"/>
                <w:szCs w:val="21"/>
              </w:rPr>
              <w:t>投标承诺函</w:t>
            </w:r>
          </w:p>
        </w:tc>
        <w:tc>
          <w:tcPr>
            <w:tcW w:w="5954" w:type="dxa"/>
            <w:vAlign w:val="center"/>
          </w:tcPr>
          <w:p>
            <w:pPr>
              <w:spacing w:line="360" w:lineRule="auto"/>
              <w:rPr>
                <w:rFonts w:asciiTheme="minorEastAsia" w:hAnsiTheme="minorEastAsia"/>
                <w:b/>
                <w:color w:val="auto"/>
                <w:szCs w:val="21"/>
              </w:rPr>
            </w:pPr>
            <w:r>
              <w:rPr>
                <w:rFonts w:hint="eastAsia" w:asciiTheme="minorEastAsia" w:hAnsiTheme="minorEastAsia"/>
                <w:color w:val="auto"/>
                <w:szCs w:val="21"/>
              </w:rPr>
              <w:t>投标人以投标承诺函的形式替代投标保证金。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5</w:t>
            </w:r>
          </w:p>
        </w:tc>
        <w:tc>
          <w:tcPr>
            <w:tcW w:w="2410"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联合体协议</w:t>
            </w:r>
          </w:p>
        </w:tc>
        <w:tc>
          <w:tcPr>
            <w:tcW w:w="5954" w:type="dxa"/>
          </w:tcPr>
          <w:p>
            <w:pPr>
              <w:spacing w:line="360" w:lineRule="auto"/>
              <w:rPr>
                <w:rFonts w:asciiTheme="minorEastAsia" w:hAnsiTheme="minorEastAsia"/>
                <w:b/>
                <w:bCs/>
                <w:color w:val="auto"/>
                <w:szCs w:val="21"/>
              </w:rPr>
            </w:pPr>
            <w:r>
              <w:rPr>
                <w:rFonts w:hint="eastAsia" w:asciiTheme="minorEastAsia" w:hAnsiTheme="minorEastAsia"/>
                <w:bCs/>
                <w:color w:val="auto"/>
                <w:szCs w:val="21"/>
              </w:rPr>
              <w:t>招标文件接受联合体投标且投标人为联合体的，投标人应提供本协议；否则无须提供。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pPr>
              <w:spacing w:line="360" w:lineRule="auto"/>
              <w:contextualSpacing/>
              <w:jc w:val="center"/>
              <w:rPr>
                <w:rFonts w:asciiTheme="minorEastAsia" w:hAnsiTheme="minorEastAsia"/>
                <w:b/>
                <w:color w:val="auto"/>
                <w:szCs w:val="21"/>
              </w:rPr>
            </w:pPr>
            <w:r>
              <w:rPr>
                <w:rFonts w:hint="eastAsia" w:asciiTheme="minorEastAsia" w:hAnsiTheme="minorEastAsia"/>
                <w:b/>
                <w:color w:val="auto"/>
                <w:szCs w:val="21"/>
              </w:rPr>
              <w:t>6</w:t>
            </w:r>
          </w:p>
        </w:tc>
        <w:tc>
          <w:tcPr>
            <w:tcW w:w="2410" w:type="dxa"/>
            <w:vAlign w:val="center"/>
          </w:tcPr>
          <w:p>
            <w:pPr>
              <w:spacing w:line="360" w:lineRule="auto"/>
              <w:contextualSpacing/>
              <w:jc w:val="center"/>
              <w:rPr>
                <w:rFonts w:asciiTheme="minorEastAsia" w:hAnsiTheme="minorEastAsia"/>
                <w:b/>
                <w:color w:val="auto"/>
                <w:szCs w:val="21"/>
              </w:rPr>
            </w:pPr>
            <w:r>
              <w:rPr>
                <w:rFonts w:hint="eastAsia" w:asciiTheme="minorEastAsia" w:hAnsiTheme="minorEastAsia"/>
                <w:b/>
                <w:color w:val="auto"/>
                <w:szCs w:val="21"/>
              </w:rPr>
              <w:t>投标人身份证明</w:t>
            </w:r>
          </w:p>
          <w:p>
            <w:pPr>
              <w:spacing w:line="360" w:lineRule="auto"/>
              <w:contextualSpacing/>
              <w:jc w:val="center"/>
              <w:rPr>
                <w:rFonts w:asciiTheme="minorEastAsia" w:hAnsiTheme="minorEastAsia"/>
                <w:b/>
                <w:color w:val="auto"/>
                <w:szCs w:val="21"/>
              </w:rPr>
            </w:pPr>
            <w:r>
              <w:rPr>
                <w:rFonts w:hint="eastAsia" w:asciiTheme="minorEastAsia" w:hAnsiTheme="minorEastAsia"/>
                <w:b/>
                <w:color w:val="auto"/>
                <w:szCs w:val="21"/>
              </w:rPr>
              <w:t>及授权</w:t>
            </w:r>
          </w:p>
        </w:tc>
        <w:tc>
          <w:tcPr>
            <w:tcW w:w="5954" w:type="dxa"/>
          </w:tcPr>
          <w:p>
            <w:pPr>
              <w:spacing w:line="360" w:lineRule="auto"/>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（1）法定代表人身份证明或提供法定代表人授权委托书及被授权人身份证明。（法定代表人投标提供）</w:t>
            </w:r>
          </w:p>
          <w:p>
            <w:pPr>
              <w:spacing w:line="360" w:lineRule="auto"/>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（2）单位负责人身份证明或提供单位负责人授权委托书及被授权人身份证明。（非法定代表人投标提供）</w:t>
            </w:r>
          </w:p>
          <w:p>
            <w:pPr>
              <w:spacing w:line="360" w:lineRule="auto"/>
              <w:rPr>
                <w:rFonts w:ascii="楷体" w:hAnsi="楷体" w:eastAsia="楷体" w:cs="仿宋_GB2312"/>
                <w:b/>
                <w:color w:val="auto"/>
                <w:sz w:val="24"/>
                <w:szCs w:val="24"/>
                <w:lang w:val="zh-CN"/>
              </w:rPr>
            </w:pPr>
            <w:r>
              <w:rPr>
                <w:rFonts w:hint="eastAsia" w:ascii="楷体" w:hAnsi="楷体" w:eastAsia="楷体" w:cs="仿宋_GB2312"/>
                <w:b/>
                <w:color w:val="auto"/>
                <w:sz w:val="24"/>
                <w:szCs w:val="24"/>
                <w:lang w:val="zh-CN"/>
              </w:rPr>
              <w:t>注：</w:t>
            </w:r>
          </w:p>
          <w:p>
            <w:pPr>
              <w:spacing w:line="360" w:lineRule="auto"/>
              <w:rPr>
                <w:rFonts w:asciiTheme="minorEastAsia" w:hAnsiTheme="minorEastAsia"/>
                <w:b/>
                <w:color w:val="auto"/>
                <w:sz w:val="24"/>
                <w:szCs w:val="24"/>
              </w:rPr>
            </w:pPr>
            <w:r>
              <w:rPr>
                <w:rFonts w:hint="eastAsia" w:ascii="楷体" w:hAnsi="楷体" w:eastAsia="楷体"/>
                <w:color w:val="auto"/>
                <w:sz w:val="24"/>
                <w:szCs w:val="24"/>
              </w:rPr>
              <w:t>①企业（银行、保险、石油石化、电力、电信等行业除外）、事业单位和社会团体投标人以法定代表人身份参加投标的，法定代表人应与实际提交的“营业执照等证明文件”载明的一致。</w:t>
            </w:r>
          </w:p>
          <w:p>
            <w:pPr>
              <w:spacing w:line="360" w:lineRule="auto"/>
              <w:contextualSpacing/>
              <w:rPr>
                <w:rFonts w:ascii="楷体" w:hAnsi="楷体" w:eastAsia="楷体"/>
                <w:color w:val="auto"/>
                <w:sz w:val="24"/>
                <w:szCs w:val="24"/>
              </w:rPr>
            </w:pPr>
            <w:r>
              <w:rPr>
                <w:rFonts w:hint="eastAsia" w:ascii="楷体" w:hAnsi="楷体" w:eastAsia="楷体"/>
                <w:color w:val="auto"/>
                <w:sz w:val="24"/>
                <w:szCs w:val="24"/>
              </w:rPr>
              <w:t>②银行、保险、石油石化、电力、电信等行业：以法定代表人身份参加投标的，法定代表人应与实际提交的“营业执照等证明文件”载明的一致；以非法定代表人身份参加投标的，“单位负责人”指代表单位行使职权的主要负责人，应与实际提交的“营业执照等证明文件”载明的一致。</w:t>
            </w:r>
          </w:p>
          <w:p>
            <w:pPr>
              <w:spacing w:line="360" w:lineRule="auto"/>
              <w:contextualSpacing/>
              <w:rPr>
                <w:rFonts w:asciiTheme="minorEastAsia" w:hAnsiTheme="minorEastAsia"/>
                <w:b/>
                <w:color w:val="auto"/>
                <w:szCs w:val="21"/>
              </w:rPr>
            </w:pPr>
            <w:r>
              <w:rPr>
                <w:rFonts w:hint="eastAsia" w:ascii="楷体" w:hAnsi="楷体" w:eastAsia="楷体"/>
                <w:color w:val="auto"/>
                <w:sz w:val="24"/>
                <w:szCs w:val="24"/>
              </w:rPr>
              <w:t>③</w:t>
            </w:r>
            <w:r>
              <w:rPr>
                <w:rFonts w:hint="eastAsia" w:ascii="楷体" w:hAnsi="楷体" w:eastAsia="楷体"/>
                <w:color w:val="auto"/>
                <w:kern w:val="0"/>
                <w:sz w:val="24"/>
                <w:szCs w:val="24"/>
              </w:rPr>
              <w:t>投标人为自然人的，无需填写法定代表人授权书。</w:t>
            </w:r>
          </w:p>
        </w:tc>
      </w:tr>
    </w:tbl>
    <w:p>
      <w:pPr>
        <w:spacing w:line="360" w:lineRule="auto"/>
        <w:ind w:firstLine="482" w:firstLineChars="200"/>
        <w:contextualSpacing/>
        <w:rPr>
          <w:rFonts w:cs="仿宋_GB2312" w:asciiTheme="minorEastAsia" w:hAnsiTheme="minorEastAsia"/>
          <w:b/>
          <w:color w:val="auto"/>
          <w:sz w:val="24"/>
          <w:szCs w:val="24"/>
          <w:lang w:val="zh-CN"/>
        </w:rPr>
      </w:pPr>
    </w:p>
    <w:p>
      <w:pPr>
        <w:spacing w:line="360" w:lineRule="auto"/>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二、评标</w:t>
      </w:r>
    </w:p>
    <w:p>
      <w:pPr>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（一）评标方法</w:t>
      </w:r>
    </w:p>
    <w:p>
      <w:pPr>
        <w:spacing w:line="360" w:lineRule="auto"/>
        <w:ind w:firstLine="420" w:firstLineChars="200"/>
        <w:contextualSpacing/>
        <w:rPr>
          <w:rFonts w:cs="仿宋_GB2312" w:asciiTheme="minorEastAsia" w:hAnsiTheme="minorEastAsia"/>
          <w:b/>
          <w:color w:val="auto"/>
          <w:szCs w:val="21"/>
          <w:lang w:val="zh-CN"/>
        </w:rPr>
      </w:pPr>
      <w:r>
        <w:rPr>
          <w:rFonts w:hint="eastAsia" w:cs="仿宋_GB2312" w:asciiTheme="minorEastAsia" w:hAnsiTheme="minorEastAsia"/>
          <w:color w:val="auto"/>
          <w:szCs w:val="21"/>
          <w:lang w:val="zh-CN"/>
        </w:rPr>
        <w:t>本项目采用综合评分法。总分为100分。</w:t>
      </w:r>
    </w:p>
    <w:p>
      <w:pPr>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（二）</w:t>
      </w:r>
      <w:r>
        <w:rPr>
          <w:rFonts w:cs="仿宋_GB2312" w:asciiTheme="minorEastAsia" w:hAnsiTheme="minorEastAsia"/>
          <w:b/>
          <w:color w:val="auto"/>
          <w:szCs w:val="21"/>
          <w:lang w:val="zh-CN"/>
        </w:rPr>
        <w:t>评标委员会负责具体评标事务，并独立履行下列职责</w:t>
      </w:r>
    </w:p>
    <w:p>
      <w:pPr>
        <w:spacing w:line="360" w:lineRule="auto"/>
        <w:ind w:firstLine="422" w:firstLineChars="200"/>
        <w:contextualSpacing/>
        <w:jc w:val="left"/>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1、</w:t>
      </w:r>
      <w:r>
        <w:rPr>
          <w:rFonts w:cs="仿宋_GB2312" w:asciiTheme="minorEastAsia" w:hAnsiTheme="minorEastAsia"/>
          <w:b/>
          <w:color w:val="auto"/>
          <w:szCs w:val="21"/>
          <w:lang w:val="zh-CN"/>
        </w:rPr>
        <w:t>审查、评价投标文件是否符合招标文件的商务、技术等实质性要求；</w:t>
      </w:r>
    </w:p>
    <w:p>
      <w:pPr>
        <w:spacing w:line="360" w:lineRule="auto"/>
        <w:ind w:firstLine="420" w:firstLineChars="200"/>
        <w:contextualSpacing/>
        <w:jc w:val="left"/>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评标委员会对符合资格的投标人的投标文件进行符合性审查，以确定其是否满足招标文件的商务、技术等实质性要求。</w:t>
      </w:r>
    </w:p>
    <w:p>
      <w:pPr>
        <w:spacing w:line="360" w:lineRule="auto"/>
        <w:ind w:firstLine="420" w:firstLineChars="200"/>
        <w:contextualSpacing/>
        <w:jc w:val="left"/>
        <w:rPr>
          <w:rFonts w:eastAsia="宋体" w:cs="仿宋_GB2312" w:asciiTheme="minorEastAsia" w:hAnsiTheme="minorEastAsia"/>
          <w:color w:val="auto"/>
          <w:szCs w:val="21"/>
          <w:lang w:val="zh-CN"/>
        </w:rPr>
      </w:pPr>
      <w:r>
        <w:rPr>
          <w:rFonts w:hint="eastAsia" w:eastAsia="宋体" w:cs="仿宋_GB2312" w:asciiTheme="minorEastAsia" w:hAnsiTheme="minorEastAsia"/>
          <w:color w:val="auto"/>
          <w:szCs w:val="21"/>
          <w:lang w:val="zh-CN"/>
        </w:rPr>
        <w:t>注：符合性审查中所涉及到的证书及材料，均应在电子投标文件中提供原件扫描件（或图片）。</w:t>
      </w:r>
    </w:p>
    <w:p>
      <w:pPr>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2、</w:t>
      </w:r>
      <w:r>
        <w:rPr>
          <w:rFonts w:cs="仿宋_GB2312" w:asciiTheme="minorEastAsia" w:hAnsiTheme="minorEastAsia"/>
          <w:b/>
          <w:color w:val="auto"/>
          <w:szCs w:val="21"/>
          <w:lang w:val="zh-CN"/>
        </w:rPr>
        <w:t>要求投标人对投标文件有关事项作出澄清或者说明；</w:t>
      </w:r>
    </w:p>
    <w:p>
      <w:pPr>
        <w:spacing w:line="360" w:lineRule="auto"/>
        <w:ind w:firstLine="420" w:firstLineChars="200"/>
        <w:contextualSpacing/>
        <w:rPr>
          <w:rFonts w:cs="仿宋_GB2312" w:asciiTheme="minorEastAsia" w:hAnsiTheme="minorEastAsia"/>
          <w:color w:val="auto"/>
          <w:szCs w:val="21"/>
          <w:lang w:val="zh-CN"/>
        </w:rPr>
      </w:pPr>
      <w:r>
        <w:rPr>
          <w:rFonts w:cs="仿宋_GB2312" w:asciiTheme="minorEastAsia" w:hAnsiTheme="minorEastAsia"/>
          <w:color w:val="auto"/>
          <w:szCs w:val="21"/>
          <w:lang w:val="zh-CN"/>
        </w:rPr>
        <w:t>对于投标文件中含义不明确、同类问题表述不一致或者有明显文字和计算错误的内容，评标委员会应当以书面形式要求投标人作出必要的澄清、说明或者补正。</w:t>
      </w:r>
    </w:p>
    <w:p>
      <w:pPr>
        <w:spacing w:line="360" w:lineRule="auto"/>
        <w:ind w:firstLine="420" w:firstLineChars="200"/>
        <w:contextualSpacing/>
        <w:rPr>
          <w:rFonts w:cs="仿宋_GB2312" w:asciiTheme="minorEastAsia" w:hAnsiTheme="minorEastAsia"/>
          <w:color w:val="auto"/>
          <w:szCs w:val="21"/>
          <w:lang w:val="zh-CN"/>
        </w:rPr>
      </w:pPr>
      <w:r>
        <w:rPr>
          <w:rFonts w:cs="仿宋_GB2312" w:asciiTheme="minorEastAsia" w:hAnsiTheme="minorEastAsia"/>
          <w:color w:val="auto"/>
          <w:szCs w:val="21"/>
          <w:lang w:val="zh-CN"/>
        </w:rPr>
        <w:t>投标人的澄清、说明或者补正应当采用书面形式，并加盖公章，或者由法定代表人或其授权的代表签字。投标人的澄清、说明或者补正不得超出投标文件的范围或者改变投标文件的实质性内容。</w:t>
      </w:r>
    </w:p>
    <w:p>
      <w:pPr>
        <w:spacing w:line="360" w:lineRule="auto"/>
        <w:ind w:firstLine="465"/>
        <w:contextualSpacing/>
        <w:jc w:val="left"/>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3、</w:t>
      </w:r>
      <w:r>
        <w:rPr>
          <w:rFonts w:cs="仿宋_GB2312" w:asciiTheme="minorEastAsia" w:hAnsiTheme="minorEastAsia"/>
          <w:b/>
          <w:color w:val="auto"/>
          <w:szCs w:val="21"/>
          <w:lang w:val="zh-CN"/>
        </w:rPr>
        <w:t>对投标文件进行比较和评价；</w:t>
      </w:r>
    </w:p>
    <w:p>
      <w:pPr>
        <w:spacing w:line="360" w:lineRule="auto"/>
        <w:ind w:firstLine="420" w:firstLineChars="200"/>
        <w:contextualSpacing/>
        <w:rPr>
          <w:rFonts w:eastAsia="宋体" w:cs="仿宋_GB2312" w:asciiTheme="minorEastAsia" w:hAnsiTheme="minorEastAsia"/>
          <w:color w:val="auto"/>
          <w:szCs w:val="21"/>
          <w:lang w:val="zh-CN"/>
        </w:rPr>
      </w:pPr>
      <w:r>
        <w:rPr>
          <w:rFonts w:hint="eastAsia" w:cs="仿宋_GB2312" w:asciiTheme="minorEastAsia" w:hAnsiTheme="minorEastAsia"/>
          <w:color w:val="auto"/>
          <w:szCs w:val="21"/>
          <w:lang w:val="zh-CN"/>
        </w:rPr>
        <w:t>评标委员会按照招标文件中规定的评标方法和标准，对符合性审查合格的投标文件进行商务和技术评估，综合比较与评价。评标时，评标委员会各成员应当独立对每个投标人的投标文件进行评价，并汇总每个投标人的得分。</w:t>
      </w:r>
      <w:r>
        <w:rPr>
          <w:rFonts w:hint="eastAsia" w:eastAsia="宋体" w:cs="仿宋_GB2312" w:asciiTheme="minorEastAsia" w:hAnsiTheme="minorEastAsia"/>
          <w:color w:val="auto"/>
          <w:szCs w:val="21"/>
          <w:lang w:val="zh-CN"/>
        </w:rPr>
        <w:t>评标过程中，不得去掉报价中的最高报价和最低报价。</w:t>
      </w:r>
    </w:p>
    <w:p>
      <w:pPr>
        <w:spacing w:line="360" w:lineRule="auto"/>
        <w:ind w:firstLine="420" w:firstLineChars="200"/>
        <w:contextualSpacing/>
        <w:rPr>
          <w:rFonts w:eastAsia="宋体" w:cs="仿宋_GB2312" w:asciiTheme="minorEastAsia" w:hAnsiTheme="minorEastAsia"/>
          <w:color w:val="auto"/>
          <w:szCs w:val="21"/>
          <w:lang w:val="zh-CN"/>
        </w:rPr>
      </w:pPr>
      <w:r>
        <w:rPr>
          <w:rFonts w:hint="eastAsia" w:eastAsia="宋体" w:cs="仿宋_GB2312" w:asciiTheme="minorEastAsia" w:hAnsiTheme="minorEastAsia"/>
          <w:color w:val="auto"/>
          <w:szCs w:val="21"/>
          <w:lang w:val="zh-CN"/>
        </w:rPr>
        <w:t>注：评标标准中所涉及到的证书及材料，均应在电子投标文件中提供原件扫描件（或图片）。</w:t>
      </w:r>
    </w:p>
    <w:p>
      <w:pPr>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（1）价格分计算</w:t>
      </w:r>
    </w:p>
    <w:p>
      <w:pPr>
        <w:spacing w:line="360" w:lineRule="auto"/>
        <w:ind w:firstLine="420" w:firstLineChars="200"/>
        <w:contextualSpacing/>
        <w:rPr>
          <w:rFonts w:cs="仿宋_GB2312" w:asciiTheme="minorEastAsia" w:hAnsiTheme="minorEastAsia"/>
          <w:color w:val="auto"/>
          <w:szCs w:val="21"/>
          <w:lang w:val="zh-CN"/>
        </w:rPr>
      </w:pPr>
      <w:r>
        <w:rPr>
          <w:rFonts w:cs="仿宋_GB2312" w:asciiTheme="minorEastAsia" w:hAnsiTheme="minorEastAsia"/>
          <w:color w:val="auto"/>
          <w:szCs w:val="21"/>
          <w:lang w:val="zh-CN"/>
        </w:rPr>
        <w:t>价格分采用低价优先法计算，即满足招标文件要求且投标价格最低的投标报价为评标基准价，其价格分为满分。因落实政府采购政策进行价格调整的，以调整后的价格计算评标基准价和投标报价。</w:t>
      </w:r>
    </w:p>
    <w:p>
      <w:pPr>
        <w:spacing w:line="360" w:lineRule="auto"/>
        <w:ind w:firstLine="420" w:firstLineChars="200"/>
        <w:contextualSpacing/>
        <w:rPr>
          <w:rFonts w:ascii="ˎ̥" w:hAnsi="ˎ̥" w:eastAsia="宋体"/>
          <w:color w:val="auto"/>
          <w:sz w:val="24"/>
        </w:rPr>
      </w:pPr>
      <w:r>
        <w:rPr>
          <w:rFonts w:hint="eastAsia" w:cs="仿宋_GB2312" w:asciiTheme="minorEastAsia" w:hAnsiTheme="minorEastAsia"/>
          <w:color w:val="auto"/>
          <w:szCs w:val="21"/>
          <w:lang w:val="zh-CN"/>
        </w:rPr>
        <w:t>1）</w:t>
      </w:r>
      <w:r>
        <w:rPr>
          <w:rFonts w:hint="eastAsia" w:ascii="ˎ̥" w:hAnsi="ˎ̥" w:eastAsia="宋体"/>
          <w:color w:val="auto"/>
          <w:szCs w:val="21"/>
        </w:rPr>
        <w:t>如果本项目非专门面向中小企业采购，对</w:t>
      </w:r>
      <w:r>
        <w:rPr>
          <w:rFonts w:ascii="ˎ̥" w:hAnsi="ˎ̥" w:eastAsia="宋体"/>
          <w:color w:val="auto"/>
          <w:szCs w:val="21"/>
        </w:rPr>
        <w:t>符合</w:t>
      </w:r>
      <w:r>
        <w:rPr>
          <w:rFonts w:hint="eastAsia" w:ascii="ˎ̥" w:hAnsi="ˎ̥" w:eastAsia="宋体"/>
          <w:color w:val="auto"/>
          <w:szCs w:val="21"/>
        </w:rPr>
        <w:t>《政府采购促进中小企业发展管理办法》(财库〔2020〕46号、《关于进一步加大政府采购支持中小企业力度的通知》（财库〔2022〕19号）</w:t>
      </w:r>
      <w:r>
        <w:rPr>
          <w:rFonts w:ascii="ˎ̥" w:hAnsi="ˎ̥" w:eastAsia="宋体"/>
          <w:color w:val="auto"/>
          <w:szCs w:val="21"/>
        </w:rPr>
        <w:t>规定的小微企业报价</w:t>
      </w:r>
      <w:r>
        <w:rPr>
          <w:rFonts w:hint="eastAsia" w:ascii="ˎ̥" w:hAnsi="ˎ̥" w:eastAsia="宋体"/>
          <w:color w:val="auto"/>
          <w:szCs w:val="21"/>
        </w:rPr>
        <w:t>给予20%的扣除，用扣除后的价格参与评审。</w:t>
      </w:r>
      <w:r>
        <w:rPr>
          <w:rFonts w:ascii="ˎ̥" w:hAnsi="ˎ̥" w:eastAsia="宋体"/>
          <w:color w:val="auto"/>
          <w:szCs w:val="21"/>
        </w:rPr>
        <w:t>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30%以上的，对联合体或者大中型企业的报价给予</w:t>
      </w:r>
      <w:r>
        <w:rPr>
          <w:rFonts w:hint="eastAsia" w:ascii="ˎ̥" w:hAnsi="ˎ̥" w:eastAsia="宋体"/>
          <w:color w:val="auto"/>
          <w:szCs w:val="21"/>
          <w:u w:val="single"/>
        </w:rPr>
        <w:t>4</w:t>
      </w:r>
      <w:r>
        <w:rPr>
          <w:rFonts w:ascii="ˎ̥" w:hAnsi="ˎ̥" w:eastAsia="宋体"/>
          <w:color w:val="auto"/>
          <w:szCs w:val="21"/>
        </w:rPr>
        <w:t>%的扣除，用扣除后的价格参加评审。组成联合体或者接受分包的小微企业与联合体内其他企业、分包企业之间存在直接控股、管理关系的，不享受价格扣除优惠政策。</w:t>
      </w:r>
      <w:r>
        <w:rPr>
          <w:rFonts w:hint="eastAsia" w:ascii="ˎ̥" w:hAnsi="ˎ̥" w:eastAsia="宋体"/>
          <w:color w:val="auto"/>
          <w:szCs w:val="21"/>
        </w:rPr>
        <w:t>按照本次采购标的所属行业的划型标准，符合条件的中小企业应按照招标文件格式要求提供《中小企业声明函》，</w:t>
      </w:r>
      <w:r>
        <w:rPr>
          <w:rFonts w:ascii="ˎ̥" w:hAnsi="ˎ̥" w:eastAsia="宋体"/>
          <w:color w:val="auto"/>
          <w:szCs w:val="21"/>
        </w:rPr>
        <w:t>否则不得享受相关中小企业扶持政策。</w:t>
      </w: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小型和微型企业不包含民办非企业单位。</w:t>
      </w: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2）对监狱企业价格给予20%的扣除，用扣除后的价格参与评审。监狱企业应当提供由省级以上监狱管理局、戒毒管理局(含新疆生产建设兵团)出具的属于监狱企业的证明文件。</w:t>
      </w:r>
    </w:p>
    <w:p>
      <w:pPr>
        <w:spacing w:line="360" w:lineRule="auto"/>
        <w:ind w:firstLine="420" w:firstLineChars="200"/>
        <w:contextualSpacing/>
        <w:rPr>
          <w:rFonts w:asciiTheme="minorEastAsia" w:hAnsiTheme="minorEastAsia"/>
          <w:color w:val="auto"/>
          <w:szCs w:val="21"/>
        </w:rPr>
      </w:pPr>
      <w:r>
        <w:rPr>
          <w:rFonts w:hint="eastAsia" w:cs="仿宋_GB2312" w:asciiTheme="minorEastAsia" w:hAnsiTheme="minorEastAsia"/>
          <w:color w:val="auto"/>
          <w:szCs w:val="21"/>
          <w:lang w:val="zh-CN"/>
        </w:rPr>
        <w:t>3）对残疾人福利性单位提供本单位制造的货物、承担的工程或者服务，或者提供其他残疾人福利性单位制造的货物（不包括使用非残疾人福利性单位注册商标的货物）价格给予20%的扣除，用扣除后的价格参与评审。符合条件的残疾人福利性单位在参加政府采购活动时，应当提供《三部门联合发布关于促进残疾人就业政府采购政策的通知》规定的《残疾人福利性单位声明函》，并对声明的真实性负责。</w:t>
      </w:r>
      <w:r>
        <w:rPr>
          <w:rFonts w:hint="eastAsia" w:asciiTheme="minorEastAsia" w:hAnsiTheme="minorEastAsia"/>
          <w:color w:val="auto"/>
          <w:szCs w:val="21"/>
        </w:rPr>
        <w:t>残疾人福利性单位属于小型、微型企业的，不重复享受政策。</w:t>
      </w:r>
    </w:p>
    <w:p>
      <w:pPr>
        <w:spacing w:line="360" w:lineRule="auto"/>
        <w:ind w:firstLine="422" w:firstLineChars="200"/>
        <w:contextualSpacing/>
        <w:rPr>
          <w:rFonts w:cs="仿宋_GB2312" w:asciiTheme="minorEastAsia" w:hAnsiTheme="minorEastAsia"/>
          <w:b/>
          <w:color w:val="auto"/>
          <w:szCs w:val="21"/>
          <w:lang w:val="zh-CN"/>
        </w:rPr>
      </w:pPr>
      <w:r>
        <w:rPr>
          <w:rFonts w:hint="eastAsia" w:asciiTheme="minorEastAsia" w:hAnsiTheme="minorEastAsia"/>
          <w:b/>
          <w:color w:val="auto"/>
          <w:szCs w:val="21"/>
        </w:rPr>
        <w:t>（2）</w:t>
      </w:r>
      <w:r>
        <w:rPr>
          <w:rFonts w:cs="仿宋_GB2312" w:asciiTheme="minorEastAsia" w:hAnsiTheme="minorEastAsia"/>
          <w:b/>
          <w:color w:val="auto"/>
          <w:szCs w:val="21"/>
          <w:lang w:val="zh-CN"/>
        </w:rPr>
        <w:t>关于相同品牌产品</w:t>
      </w:r>
      <w:r>
        <w:rPr>
          <w:rFonts w:cs="仿宋_GB2312" w:asciiTheme="minorEastAsia" w:hAnsiTheme="minorEastAsia"/>
          <w:b/>
          <w:bCs/>
          <w:color w:val="auto"/>
          <w:szCs w:val="21"/>
          <w:lang w:val="zh-CN"/>
        </w:rPr>
        <w:t>（服务类项目不适用本条款规定）</w:t>
      </w:r>
    </w:p>
    <w:p>
      <w:pPr>
        <w:spacing w:line="360" w:lineRule="auto"/>
        <w:ind w:firstLine="465"/>
        <w:contextualSpacing/>
        <w:jc w:val="left"/>
        <w:rPr>
          <w:rFonts w:cs="仿宋_GB2312" w:asciiTheme="minorEastAsia" w:hAnsiTheme="minorEastAsia"/>
          <w:color w:val="auto"/>
          <w:szCs w:val="21"/>
          <w:lang w:val="zh-CN"/>
        </w:rPr>
      </w:pPr>
      <w:r>
        <w:rPr>
          <w:rFonts w:cs="仿宋_GB2312" w:asciiTheme="minorEastAsia" w:hAnsiTheme="minorEastAsia"/>
          <w:color w:val="auto"/>
          <w:szCs w:val="21"/>
          <w:lang w:val="zh-CN"/>
        </w:rPr>
        <w:t>采用最低评标价法的，提供相同品牌产品的不同投标人参加同一合同项下投标的，以其中通过资格审查、符合性审查且报价最低的参加评标；报价相同的，由采购人或者采购人委托评标委员会</w:t>
      </w:r>
      <w:r>
        <w:rPr>
          <w:rFonts w:hint="eastAsia" w:cs="仿宋_GB2312" w:asciiTheme="minorEastAsia" w:hAnsiTheme="minorEastAsia"/>
          <w:color w:val="auto"/>
          <w:szCs w:val="21"/>
          <w:lang w:val="zh-CN"/>
        </w:rPr>
        <w:t>采取随机抽取</w:t>
      </w:r>
      <w:r>
        <w:rPr>
          <w:rFonts w:cs="仿宋_GB2312" w:asciiTheme="minorEastAsia" w:hAnsiTheme="minorEastAsia"/>
          <w:color w:val="auto"/>
          <w:szCs w:val="21"/>
          <w:lang w:val="zh-CN"/>
        </w:rPr>
        <w:t>方式确定一个参加评标的投标人，其他投标无效。</w:t>
      </w:r>
    </w:p>
    <w:p>
      <w:pPr>
        <w:spacing w:line="360" w:lineRule="auto"/>
        <w:ind w:firstLine="465"/>
        <w:contextualSpacing/>
        <w:jc w:val="left"/>
        <w:rPr>
          <w:rFonts w:cs="仿宋_GB2312" w:asciiTheme="minorEastAsia" w:hAnsiTheme="minorEastAsia"/>
          <w:color w:val="auto"/>
          <w:szCs w:val="21"/>
          <w:lang w:val="zh-CN"/>
        </w:rPr>
      </w:pPr>
      <w:r>
        <w:rPr>
          <w:rFonts w:cs="仿宋_GB2312" w:asciiTheme="minorEastAsia" w:hAnsiTheme="minorEastAsia"/>
          <w:color w:val="auto"/>
          <w:szCs w:val="21"/>
          <w:lang w:val="zh-CN"/>
        </w:rPr>
        <w:t>采用综合评分法的，提供相同品牌产品</w:t>
      </w:r>
      <w:r>
        <w:rPr>
          <w:rFonts w:hint="eastAsia" w:cs="仿宋_GB2312" w:asciiTheme="minorEastAsia" w:hAnsiTheme="minorEastAsia"/>
          <w:color w:val="auto"/>
          <w:szCs w:val="21"/>
          <w:lang w:val="zh-CN"/>
        </w:rPr>
        <w:t>（</w:t>
      </w:r>
      <w:r>
        <w:rPr>
          <w:rFonts w:cs="仿宋_GB2312" w:asciiTheme="minorEastAsia" w:hAnsiTheme="minorEastAsia"/>
          <w:color w:val="auto"/>
          <w:szCs w:val="21"/>
          <w:lang w:val="zh-CN"/>
        </w:rPr>
        <w:t>非单一产品采购项目，多家投标人提供的核心产品品牌相同</w:t>
      </w:r>
      <w:r>
        <w:rPr>
          <w:rFonts w:hint="eastAsia" w:cs="仿宋_GB2312" w:asciiTheme="minorEastAsia" w:hAnsiTheme="minorEastAsia"/>
          <w:color w:val="auto"/>
          <w:szCs w:val="21"/>
          <w:lang w:val="zh-CN"/>
        </w:rPr>
        <w:t>）</w:t>
      </w:r>
      <w:r>
        <w:rPr>
          <w:rFonts w:cs="仿宋_GB2312" w:asciiTheme="minorEastAsia" w:hAnsiTheme="minorEastAsia"/>
          <w:color w:val="auto"/>
          <w:szCs w:val="21"/>
          <w:lang w:val="zh-CN"/>
        </w:rPr>
        <w:t>且通过资格审查、符合性审查的不同投标人参加同一合同项下投标的，按一家投标人计算，评审后得分最高的同品牌投标人作为中标候选人推荐；评审得分相同的，</w:t>
      </w:r>
      <w:r>
        <w:rPr>
          <w:rFonts w:hint="eastAsia" w:cs="仿宋_GB2312" w:asciiTheme="minorEastAsia" w:hAnsiTheme="minorEastAsia"/>
          <w:color w:val="auto"/>
          <w:szCs w:val="21"/>
          <w:lang w:val="zh-CN"/>
        </w:rPr>
        <w:t>由采购人或者采购人委托评标委员会</w:t>
      </w:r>
      <w:r>
        <w:rPr>
          <w:rFonts w:cs="仿宋_GB2312" w:asciiTheme="minorEastAsia" w:hAnsiTheme="minorEastAsia"/>
          <w:color w:val="auto"/>
          <w:szCs w:val="21"/>
          <w:lang w:val="zh-CN"/>
        </w:rPr>
        <w:t>采取随机抽取方式确定</w:t>
      </w:r>
      <w:r>
        <w:rPr>
          <w:rFonts w:hint="eastAsia" w:cs="仿宋_GB2312" w:asciiTheme="minorEastAsia" w:hAnsiTheme="minorEastAsia"/>
          <w:color w:val="auto"/>
          <w:szCs w:val="21"/>
          <w:lang w:val="zh-CN"/>
        </w:rPr>
        <w:t>一个投标人获得中标人推荐资格</w:t>
      </w:r>
      <w:r>
        <w:rPr>
          <w:rFonts w:cs="仿宋_GB2312" w:asciiTheme="minorEastAsia" w:hAnsiTheme="minorEastAsia"/>
          <w:color w:val="auto"/>
          <w:szCs w:val="21"/>
          <w:lang w:val="zh-CN"/>
        </w:rPr>
        <w:t>，其他同品牌投标人不作为中标候选人。</w:t>
      </w:r>
    </w:p>
    <w:p>
      <w:pPr>
        <w:spacing w:line="360" w:lineRule="auto"/>
        <w:ind w:firstLine="422" w:firstLineChars="200"/>
        <w:contextualSpacing/>
        <w:rPr>
          <w:rFonts w:cs="仿宋_GB2312" w:asciiTheme="minorEastAsia" w:hAnsiTheme="minorEastAsia"/>
          <w:b/>
          <w:color w:val="auto"/>
          <w:szCs w:val="21"/>
          <w:lang w:val="zh-CN"/>
        </w:rPr>
      </w:pPr>
      <w:r>
        <w:rPr>
          <w:rFonts w:hint="eastAsia" w:asciiTheme="minorEastAsia" w:hAnsiTheme="minorEastAsia"/>
          <w:b/>
          <w:color w:val="auto"/>
          <w:szCs w:val="21"/>
        </w:rPr>
        <w:t>（3）强制采购节能产品和优先采购节能产品、优先采购环保产品</w:t>
      </w:r>
    </w:p>
    <w:p>
      <w:pPr>
        <w:spacing w:line="360" w:lineRule="auto"/>
        <w:ind w:firstLine="465"/>
        <w:contextualSpacing/>
        <w:jc w:val="left"/>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1）对《节能产品政府采购品目清单》所列的政府强制采购节能产品</w:t>
      </w:r>
      <w:r>
        <w:rPr>
          <w:rFonts w:hint="eastAsia" w:cs="仿宋_GB2312" w:asciiTheme="minorEastAsia" w:hAnsiTheme="minorEastAsia"/>
          <w:color w:val="auto"/>
          <w:szCs w:val="21"/>
        </w:rPr>
        <w:t>，</w:t>
      </w:r>
      <w:r>
        <w:rPr>
          <w:rFonts w:hint="eastAsia" w:cs="仿宋_GB2312" w:asciiTheme="minorEastAsia" w:hAnsiTheme="minorEastAsia"/>
          <w:color w:val="auto"/>
          <w:szCs w:val="21"/>
          <w:lang w:val="zh-CN"/>
        </w:rPr>
        <w:t>投标人投标文件中应提供具有国家确定的认证机构出具的、处于有效期之内的节能产品认证证书，否则将承担其投标被视为非实质性响应投标的风险。</w:t>
      </w:r>
    </w:p>
    <w:p>
      <w:pPr>
        <w:spacing w:line="360" w:lineRule="auto"/>
        <w:ind w:firstLine="465"/>
        <w:contextualSpacing/>
        <w:jc w:val="left"/>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投标人所投产品若属于《节能产品政府采购品目清单》优先采购产品，</w:t>
      </w:r>
      <w:r>
        <w:rPr>
          <w:rFonts w:hint="eastAsia" w:eastAsia="宋体" w:cs="仿宋_GB2312" w:asciiTheme="minorEastAsia" w:hAnsiTheme="minorEastAsia"/>
          <w:color w:val="auto"/>
          <w:szCs w:val="21"/>
          <w:lang w:val="zh-CN"/>
        </w:rPr>
        <w:t>投标文件中应提供</w:t>
      </w:r>
      <w:r>
        <w:rPr>
          <w:rFonts w:hint="eastAsia" w:cs="仿宋_GB2312" w:asciiTheme="minorEastAsia" w:hAnsiTheme="minorEastAsia"/>
          <w:color w:val="auto"/>
          <w:szCs w:val="21"/>
          <w:lang w:val="zh-CN"/>
        </w:rPr>
        <w:t>具有国家确定的认证机构出具的、处于有效期之内的节能产品认证证书</w:t>
      </w:r>
      <w:r>
        <w:rPr>
          <w:rFonts w:hint="eastAsia" w:eastAsia="宋体" w:cs="仿宋_GB2312" w:asciiTheme="minorEastAsia" w:hAnsiTheme="minorEastAsia"/>
          <w:color w:val="auto"/>
          <w:szCs w:val="21"/>
          <w:lang w:val="zh-CN"/>
        </w:rPr>
        <w:t>，评标委员会根据本项目评标标准予以判定并赋分。</w:t>
      </w: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2）</w:t>
      </w:r>
      <w:r>
        <w:rPr>
          <w:rFonts w:hint="eastAsia" w:eastAsia="宋体" w:cs="仿宋_GB2312" w:asciiTheme="minorEastAsia" w:hAnsiTheme="minorEastAsia"/>
          <w:color w:val="auto"/>
          <w:szCs w:val="21"/>
          <w:lang w:val="zh-CN"/>
        </w:rPr>
        <w:t>投标人所投产品若属于《环境标志产品政府采购品目清单》内产品，投标文件中应提供</w:t>
      </w:r>
      <w:r>
        <w:rPr>
          <w:rFonts w:hint="eastAsia" w:cs="仿宋_GB2312" w:asciiTheme="minorEastAsia" w:hAnsiTheme="minorEastAsia"/>
          <w:color w:val="auto"/>
          <w:szCs w:val="21"/>
          <w:lang w:val="zh-CN"/>
        </w:rPr>
        <w:t>具有国家确定的认证机构出具的、处于有效期之内的环境标志产品认证证书</w:t>
      </w:r>
      <w:r>
        <w:rPr>
          <w:rFonts w:hint="eastAsia" w:eastAsia="宋体" w:cs="仿宋_GB2312" w:asciiTheme="minorEastAsia" w:hAnsiTheme="minorEastAsia"/>
          <w:color w:val="auto"/>
          <w:szCs w:val="21"/>
          <w:lang w:val="zh-CN"/>
        </w:rPr>
        <w:t>，</w:t>
      </w:r>
      <w:r>
        <w:rPr>
          <w:rFonts w:hint="eastAsia" w:cs="仿宋_GB2312" w:asciiTheme="minorEastAsia" w:hAnsiTheme="minorEastAsia"/>
          <w:color w:val="auto"/>
          <w:szCs w:val="21"/>
          <w:lang w:val="zh-CN"/>
        </w:rPr>
        <w:t>评标委员会根据本项目评标标准予以判定并赋分。</w:t>
      </w:r>
    </w:p>
    <w:p>
      <w:pPr>
        <w:spacing w:line="360" w:lineRule="auto"/>
        <w:ind w:firstLine="465"/>
        <w:contextualSpacing/>
        <w:jc w:val="left"/>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（4）网络关键设备、网络安全专用产品要求</w:t>
      </w:r>
    </w:p>
    <w:p>
      <w:pPr>
        <w:spacing w:line="360" w:lineRule="auto"/>
        <w:ind w:firstLine="420" w:firstLineChars="200"/>
        <w:contextualSpacing/>
        <w:rPr>
          <w:rFonts w:cs="宋体" w:asciiTheme="minorEastAsia" w:hAnsiTheme="minorEastAsia"/>
          <w:bCs/>
          <w:color w:val="auto"/>
          <w:szCs w:val="21"/>
          <w:lang w:val="zh-CN"/>
        </w:rPr>
      </w:pPr>
      <w:r>
        <w:rPr>
          <w:rFonts w:hint="eastAsia" w:cs="仿宋_GB2312" w:asciiTheme="minorEastAsia" w:hAnsiTheme="minorEastAsia"/>
          <w:color w:val="auto"/>
          <w:szCs w:val="21"/>
          <w:lang w:val="zh-CN"/>
        </w:rPr>
        <w:t>1）</w:t>
      </w:r>
      <w:r>
        <w:rPr>
          <w:rFonts w:hint="eastAsia" w:cs="宋体" w:asciiTheme="minorEastAsia" w:hAnsiTheme="minorEastAsia"/>
          <w:bCs/>
          <w:color w:val="auto"/>
          <w:szCs w:val="21"/>
          <w:lang w:val="zh-CN"/>
        </w:rPr>
        <w:t>项目中涉及网络关键设备或网络安全专用产品的，至少符合以下条件之一：一是已由具备资格的机构安全认证合格或安全检测符合要求；二是已获得《计算机信息系统安全专用产品销售许可证》，且在有效期内。</w:t>
      </w:r>
    </w:p>
    <w:p>
      <w:pPr>
        <w:spacing w:line="360" w:lineRule="auto"/>
        <w:ind w:firstLine="420" w:firstLineChars="200"/>
        <w:contextualSpacing/>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提供资料（下列资料任意一项）</w:t>
      </w:r>
    </w:p>
    <w:p>
      <w:pPr>
        <w:spacing w:line="360" w:lineRule="auto"/>
        <w:ind w:firstLine="420" w:firstLineChars="200"/>
        <w:contextualSpacing/>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1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①</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网络关键设备和网络安全专用产品安全认证证书；</w:t>
      </w:r>
    </w:p>
    <w:p>
      <w:pPr>
        <w:spacing w:line="360" w:lineRule="auto"/>
        <w:ind w:firstLine="420" w:firstLineChars="200"/>
        <w:contextualSpacing/>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2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②</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网络关键设备安全检测证书、网络安全专用产品安全检测证书；</w:t>
      </w:r>
    </w:p>
    <w:p>
      <w:pPr>
        <w:spacing w:line="360" w:lineRule="auto"/>
        <w:ind w:firstLine="420" w:firstLineChars="200"/>
        <w:contextualSpacing/>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3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③</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计算机信息系统安全专用产品销售许可证；</w:t>
      </w:r>
    </w:p>
    <w:p>
      <w:pPr>
        <w:spacing w:line="360" w:lineRule="auto"/>
        <w:ind w:firstLine="420" w:firstLineChars="200"/>
        <w:contextualSpacing/>
        <w:rPr>
          <w:rFonts w:cs="仿宋_GB2312" w:asciiTheme="minorEastAsia" w:hAnsiTheme="minorEastAsia"/>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4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④</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中国网信网</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工业和信息化部网站</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公安部网站</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国家认证认可监督管理委员会网站公布的认证、检测结果（提供公布安全认证、安全检测结果页面网址和安全认证、检测结果截图）。</w:t>
      </w:r>
    </w:p>
    <w:p>
      <w:pPr>
        <w:tabs>
          <w:tab w:val="left" w:pos="1260"/>
        </w:tabs>
        <w:autoSpaceDE w:val="0"/>
        <w:autoSpaceDN w:val="0"/>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（5）投标无效情形</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1）投标人应当遵循公平竞争的原则，不得恶意串通，不得妨碍其他投标人的竞争行为，不得损害采购人或者其他投标人的合法权益。在评标过程中发现投标人有上述情形的，评标委员会应当认定其投标无效。</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2）符合性审查资料未按招标文件要求签署、盖章的；</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3）有下列情形之一的，视为投标人串通投标，其投标无效：</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a.不同投标人的投标文件由同一单位或者个人编制；</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b.不同投标人委托同一单位或者个人办理投标事宜；</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c.不同投标人的投标文件载明的项目管理成员或者联系人员为同一人；</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d.不同投标人的投标文件异常一致或者投标报价呈规律性差异；</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e.不同投标人的投标文件相互混装；</w:t>
      </w: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5）</w:t>
      </w:r>
      <w:r>
        <w:rPr>
          <w:rFonts w:cs="仿宋_GB2312" w:asciiTheme="minorEastAsia" w:hAnsiTheme="minorEastAsia"/>
          <w:color w:val="auto"/>
          <w:szCs w:val="21"/>
          <w:lang w:val="zh-CN"/>
        </w:rPr>
        <w:t>法律、法规和招标文件规定的其他无效情形。</w:t>
      </w:r>
    </w:p>
    <w:p>
      <w:pPr>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（6）评标标准</w:t>
      </w:r>
    </w:p>
    <w:tbl>
      <w:tblPr>
        <w:tblStyle w:val="22"/>
        <w:tblW w:w="976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29"/>
        <w:gridCol w:w="1387"/>
        <w:gridCol w:w="704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2716" w:type="dxa"/>
            <w:gridSpan w:val="2"/>
            <w:vAlign w:val="center"/>
          </w:tcPr>
          <w:p>
            <w:pPr>
              <w:snapToGrid w:val="0"/>
              <w:spacing w:line="500" w:lineRule="exact"/>
              <w:jc w:val="center"/>
              <w:rPr>
                <w:rFonts w:ascii="宋体" w:hAnsi="宋体" w:eastAsia="宋体" w:cs="宋体"/>
                <w:bCs/>
                <w:color w:val="auto"/>
                <w:spacing w:val="-2"/>
                <w:sz w:val="24"/>
                <w:szCs w:val="24"/>
              </w:rPr>
            </w:pPr>
            <w:r>
              <w:rPr>
                <w:rFonts w:hint="eastAsia" w:ascii="宋体" w:hAnsi="宋体" w:eastAsia="宋体" w:cs="宋体"/>
                <w:bCs/>
                <w:color w:val="auto"/>
                <w:spacing w:val="-2"/>
                <w:sz w:val="24"/>
                <w:szCs w:val="24"/>
              </w:rPr>
              <w:t>分值构成</w:t>
            </w:r>
          </w:p>
          <w:p>
            <w:pPr>
              <w:snapToGrid w:val="0"/>
              <w:spacing w:line="500" w:lineRule="exact"/>
              <w:jc w:val="center"/>
              <w:rPr>
                <w:rFonts w:ascii="宋体" w:hAnsi="宋体" w:eastAsia="宋体" w:cs="宋体"/>
                <w:bCs/>
                <w:color w:val="auto"/>
                <w:sz w:val="24"/>
                <w:szCs w:val="24"/>
              </w:rPr>
            </w:pPr>
            <w:r>
              <w:rPr>
                <w:rFonts w:hint="eastAsia" w:ascii="宋体" w:hAnsi="宋体" w:eastAsia="宋体" w:cs="宋体"/>
                <w:bCs/>
                <w:color w:val="auto"/>
                <w:sz w:val="24"/>
                <w:szCs w:val="24"/>
              </w:rPr>
              <w:t>(总分100分)</w:t>
            </w:r>
          </w:p>
        </w:tc>
        <w:tc>
          <w:tcPr>
            <w:tcW w:w="7044" w:type="dxa"/>
            <w:tcBorders>
              <w:right w:val="single" w:color="000000" w:sz="8" w:space="0"/>
            </w:tcBorders>
          </w:tcPr>
          <w:p>
            <w:pPr>
              <w:snapToGrid w:val="0"/>
              <w:spacing w:line="500" w:lineRule="exact"/>
              <w:ind w:firstLine="600" w:firstLineChars="250"/>
              <w:rPr>
                <w:rFonts w:ascii="宋体" w:hAnsi="宋体" w:eastAsia="宋体" w:cs="宋体"/>
                <w:bCs/>
                <w:color w:val="auto"/>
                <w:sz w:val="24"/>
                <w:szCs w:val="24"/>
              </w:rPr>
            </w:pPr>
            <w:r>
              <w:rPr>
                <w:rFonts w:hint="eastAsia" w:ascii="宋体" w:hAnsi="宋体" w:eastAsia="宋体" w:cs="宋体"/>
                <w:bCs/>
                <w:color w:val="auto"/>
                <w:sz w:val="24"/>
                <w:szCs w:val="24"/>
              </w:rPr>
              <w:t>价格分值</w:t>
            </w:r>
            <w:r>
              <w:rPr>
                <w:rFonts w:hint="eastAsia" w:ascii="宋体" w:hAnsi="宋体" w:eastAsia="宋体" w:cs="宋体"/>
                <w:bCs/>
                <w:color w:val="auto"/>
                <w:spacing w:val="-14"/>
                <w:sz w:val="24"/>
                <w:szCs w:val="24"/>
              </w:rPr>
              <w:t>：40分</w:t>
            </w:r>
          </w:p>
          <w:p>
            <w:pPr>
              <w:snapToGrid w:val="0"/>
              <w:spacing w:line="500" w:lineRule="exact"/>
              <w:ind w:firstLine="660" w:firstLineChars="300"/>
              <w:rPr>
                <w:rFonts w:ascii="宋体" w:hAnsi="宋体" w:eastAsia="宋体" w:cs="宋体"/>
                <w:bCs/>
                <w:color w:val="auto"/>
                <w:sz w:val="24"/>
                <w:szCs w:val="24"/>
              </w:rPr>
            </w:pPr>
            <w:r>
              <w:rPr>
                <w:rFonts w:hint="eastAsia" w:ascii="宋体" w:hAnsi="宋体" w:eastAsia="宋体" w:cs="宋体"/>
                <w:bCs/>
                <w:color w:val="auto"/>
                <w:spacing w:val="-10"/>
                <w:sz w:val="24"/>
                <w:szCs w:val="24"/>
              </w:rPr>
              <w:t>技术部分：54分</w:t>
            </w:r>
          </w:p>
          <w:p>
            <w:pPr>
              <w:snapToGrid w:val="0"/>
              <w:spacing w:line="500" w:lineRule="exact"/>
              <w:ind w:firstLine="660" w:firstLineChars="300"/>
              <w:rPr>
                <w:rFonts w:ascii="宋体" w:hAnsi="宋体" w:eastAsia="宋体" w:cs="宋体"/>
                <w:bCs/>
                <w:color w:val="auto"/>
                <w:sz w:val="24"/>
                <w:szCs w:val="24"/>
              </w:rPr>
            </w:pPr>
            <w:r>
              <w:rPr>
                <w:rFonts w:hint="eastAsia" w:ascii="宋体" w:hAnsi="宋体" w:eastAsia="宋体" w:cs="宋体"/>
                <w:bCs/>
                <w:color w:val="auto"/>
                <w:spacing w:val="-10"/>
                <w:sz w:val="24"/>
                <w:szCs w:val="24"/>
              </w:rPr>
              <w:t>商务部分：6分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329" w:type="dxa"/>
            <w:vAlign w:val="center"/>
          </w:tcPr>
          <w:p>
            <w:pPr>
              <w:snapToGrid w:val="0"/>
              <w:spacing w:line="500" w:lineRule="exact"/>
              <w:jc w:val="center"/>
              <w:rPr>
                <w:rFonts w:ascii="宋体" w:hAnsi="宋体" w:eastAsia="宋体" w:cs="宋体"/>
                <w:b/>
                <w:color w:val="auto"/>
                <w:sz w:val="24"/>
                <w:szCs w:val="24"/>
              </w:rPr>
            </w:pPr>
            <w:r>
              <w:rPr>
                <w:rFonts w:hint="eastAsia" w:ascii="宋体" w:hAnsi="宋体" w:eastAsia="宋体" w:cs="宋体"/>
                <w:b/>
                <w:color w:val="auto"/>
                <w:spacing w:val="-1"/>
                <w:sz w:val="24"/>
                <w:szCs w:val="24"/>
              </w:rPr>
              <w:t>评审项</w:t>
            </w:r>
          </w:p>
        </w:tc>
        <w:tc>
          <w:tcPr>
            <w:tcW w:w="1387" w:type="dxa"/>
            <w:vAlign w:val="center"/>
          </w:tcPr>
          <w:p>
            <w:pPr>
              <w:snapToGrid w:val="0"/>
              <w:spacing w:line="500" w:lineRule="exact"/>
              <w:jc w:val="center"/>
              <w:rPr>
                <w:rFonts w:ascii="宋体" w:hAnsi="宋体" w:eastAsia="宋体" w:cs="宋体"/>
                <w:b/>
                <w:color w:val="auto"/>
                <w:spacing w:val="-1"/>
                <w:sz w:val="24"/>
                <w:szCs w:val="24"/>
              </w:rPr>
            </w:pPr>
            <w:r>
              <w:rPr>
                <w:rFonts w:hint="eastAsia" w:ascii="宋体" w:hAnsi="宋体" w:eastAsia="宋体" w:cs="宋体"/>
                <w:b/>
                <w:color w:val="auto"/>
                <w:spacing w:val="-1"/>
                <w:sz w:val="24"/>
                <w:szCs w:val="24"/>
              </w:rPr>
              <w:t>评分因素</w:t>
            </w:r>
          </w:p>
        </w:tc>
        <w:tc>
          <w:tcPr>
            <w:tcW w:w="7044" w:type="dxa"/>
            <w:tcBorders>
              <w:right w:val="single" w:color="000000" w:sz="8" w:space="0"/>
            </w:tcBorders>
            <w:vAlign w:val="center"/>
          </w:tcPr>
          <w:p>
            <w:pPr>
              <w:snapToGrid w:val="0"/>
              <w:spacing w:line="500" w:lineRule="exact"/>
              <w:jc w:val="center"/>
              <w:rPr>
                <w:rFonts w:ascii="宋体" w:hAnsi="宋体" w:eastAsia="宋体" w:cs="宋体"/>
                <w:b/>
                <w:color w:val="auto"/>
                <w:sz w:val="24"/>
                <w:szCs w:val="24"/>
              </w:rPr>
            </w:pPr>
            <w:r>
              <w:rPr>
                <w:rFonts w:hint="eastAsia" w:ascii="宋体" w:hAnsi="宋体" w:eastAsia="宋体" w:cs="宋体"/>
                <w:b/>
                <w:color w:val="auto"/>
                <w:kern w:val="0"/>
                <w:sz w:val="24"/>
                <w:szCs w:val="24"/>
              </w:rPr>
              <w:t>评标标准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8" w:hRule="atLeast"/>
        </w:trPr>
        <w:tc>
          <w:tcPr>
            <w:tcW w:w="1329" w:type="dxa"/>
            <w:vAlign w:val="center"/>
          </w:tcPr>
          <w:p>
            <w:pPr>
              <w:widowControl/>
              <w:spacing w:line="500" w:lineRule="exact"/>
              <w:ind w:left="0" w:leftChars="-2" w:hanging="4" w:hangingChars="2"/>
              <w:jc w:val="center"/>
              <w:rPr>
                <w:rFonts w:ascii="宋体" w:hAnsi="宋体" w:eastAsia="宋体" w:cs="宋体"/>
                <w:bCs/>
                <w:color w:val="auto"/>
                <w:kern w:val="0"/>
                <w:sz w:val="24"/>
                <w:szCs w:val="24"/>
              </w:rPr>
            </w:pPr>
            <w:r>
              <w:rPr>
                <w:rFonts w:hint="eastAsia" w:ascii="宋体" w:hAnsi="宋体" w:eastAsia="宋体" w:cs="宋体"/>
                <w:bCs/>
                <w:color w:val="auto"/>
                <w:sz w:val="24"/>
                <w:szCs w:val="24"/>
              </w:rPr>
              <w:t>价格分</w:t>
            </w:r>
          </w:p>
          <w:p>
            <w:pPr>
              <w:snapToGrid w:val="0"/>
              <w:spacing w:line="500" w:lineRule="exact"/>
              <w:ind w:hanging="118"/>
              <w:jc w:val="center"/>
              <w:rPr>
                <w:rFonts w:ascii="宋体" w:hAnsi="宋体" w:eastAsia="宋体" w:cs="宋体"/>
                <w:bCs/>
                <w:color w:val="auto"/>
                <w:sz w:val="24"/>
                <w:szCs w:val="24"/>
              </w:rPr>
            </w:pPr>
            <w:r>
              <w:rPr>
                <w:rFonts w:hint="eastAsia" w:ascii="宋体" w:hAnsi="宋体" w:eastAsia="宋体" w:cs="宋体"/>
                <w:bCs/>
                <w:color w:val="auto"/>
                <w:spacing w:val="3"/>
                <w:sz w:val="24"/>
                <w:szCs w:val="24"/>
              </w:rPr>
              <w:t>(40分</w:t>
            </w:r>
            <w:r>
              <w:rPr>
                <w:rFonts w:hint="eastAsia" w:ascii="宋体" w:hAnsi="宋体" w:eastAsia="宋体" w:cs="宋体"/>
                <w:bCs/>
                <w:color w:val="auto"/>
                <w:spacing w:val="2"/>
                <w:sz w:val="24"/>
                <w:szCs w:val="24"/>
              </w:rPr>
              <w:t>)</w:t>
            </w:r>
          </w:p>
        </w:tc>
        <w:tc>
          <w:tcPr>
            <w:tcW w:w="1387" w:type="dxa"/>
            <w:vAlign w:val="center"/>
          </w:tcPr>
          <w:p>
            <w:pPr>
              <w:widowControl/>
              <w:spacing w:line="500" w:lineRule="exact"/>
              <w:jc w:val="center"/>
              <w:rPr>
                <w:rFonts w:ascii="宋体" w:hAnsi="宋体" w:eastAsia="宋体" w:cs="宋体"/>
                <w:bCs/>
                <w:color w:val="auto"/>
                <w:kern w:val="0"/>
                <w:sz w:val="24"/>
                <w:szCs w:val="24"/>
              </w:rPr>
            </w:pPr>
            <w:r>
              <w:rPr>
                <w:rFonts w:hint="eastAsia" w:ascii="宋体" w:hAnsi="宋体" w:eastAsia="宋体" w:cs="宋体"/>
                <w:bCs/>
                <w:color w:val="auto"/>
                <w:sz w:val="24"/>
                <w:szCs w:val="24"/>
              </w:rPr>
              <w:t>投标价格</w:t>
            </w:r>
          </w:p>
          <w:p>
            <w:pPr>
              <w:snapToGrid w:val="0"/>
              <w:spacing w:line="500" w:lineRule="exact"/>
              <w:jc w:val="center"/>
              <w:rPr>
                <w:rFonts w:ascii="宋体" w:hAnsi="宋体" w:eastAsia="宋体" w:cs="宋体"/>
                <w:bCs/>
                <w:color w:val="auto"/>
                <w:sz w:val="24"/>
                <w:szCs w:val="24"/>
              </w:rPr>
            </w:pPr>
            <w:r>
              <w:rPr>
                <w:rFonts w:hint="eastAsia" w:ascii="宋体" w:hAnsi="宋体" w:eastAsia="宋体" w:cs="宋体"/>
                <w:bCs/>
                <w:color w:val="auto"/>
                <w:spacing w:val="-10"/>
                <w:sz w:val="24"/>
                <w:szCs w:val="24"/>
              </w:rPr>
              <w:t>（40</w:t>
            </w:r>
            <w:r>
              <w:rPr>
                <w:rFonts w:hint="eastAsia" w:ascii="宋体" w:hAnsi="宋体" w:eastAsia="宋体" w:cs="宋体"/>
                <w:bCs/>
                <w:color w:val="auto"/>
                <w:spacing w:val="-8"/>
                <w:sz w:val="24"/>
                <w:szCs w:val="24"/>
              </w:rPr>
              <w:t>分</w:t>
            </w:r>
            <w:r>
              <w:rPr>
                <w:rFonts w:hint="eastAsia" w:ascii="宋体" w:hAnsi="宋体" w:eastAsia="宋体" w:cs="宋体"/>
                <w:bCs/>
                <w:color w:val="auto"/>
                <w:spacing w:val="-10"/>
                <w:sz w:val="24"/>
                <w:szCs w:val="24"/>
              </w:rPr>
              <w:t>）</w:t>
            </w:r>
          </w:p>
        </w:tc>
        <w:tc>
          <w:tcPr>
            <w:tcW w:w="7044" w:type="dxa"/>
            <w:tcBorders>
              <w:right w:val="single" w:color="000000" w:sz="8" w:space="0"/>
            </w:tcBorders>
          </w:tcPr>
          <w:p>
            <w:pPr>
              <w:widowControl/>
              <w:spacing w:line="500" w:lineRule="exact"/>
              <w:jc w:val="left"/>
              <w:rPr>
                <w:rFonts w:ascii="宋体" w:hAnsi="宋体" w:eastAsia="宋体" w:cs="宋体"/>
                <w:bCs/>
                <w:color w:val="auto"/>
                <w:sz w:val="24"/>
                <w:szCs w:val="24"/>
              </w:rPr>
            </w:pPr>
            <w:r>
              <w:rPr>
                <w:rFonts w:hint="eastAsia" w:ascii="宋体" w:hAnsi="宋体" w:eastAsia="宋体" w:cs="宋体"/>
                <w:bCs/>
                <w:color w:val="auto"/>
                <w:sz w:val="24"/>
                <w:szCs w:val="24"/>
              </w:rPr>
              <w:t>满足招标文件要求且投标价格最低的投标报价为评标基准价，其价格分为满分。其他合格投标人的价格分统一按照下列公式计算：</w:t>
            </w:r>
          </w:p>
          <w:p>
            <w:pPr>
              <w:widowControl/>
              <w:spacing w:line="500" w:lineRule="exact"/>
              <w:jc w:val="left"/>
              <w:rPr>
                <w:rFonts w:ascii="宋体" w:hAnsi="宋体" w:eastAsia="宋体" w:cs="宋体"/>
                <w:bCs/>
                <w:color w:val="auto"/>
                <w:sz w:val="24"/>
                <w:szCs w:val="24"/>
              </w:rPr>
            </w:pPr>
            <w:r>
              <w:rPr>
                <w:rFonts w:hint="eastAsia" w:ascii="宋体" w:hAnsi="宋体" w:eastAsia="宋体" w:cs="宋体"/>
                <w:bCs/>
                <w:color w:val="auto"/>
                <w:sz w:val="24"/>
                <w:szCs w:val="24"/>
              </w:rPr>
              <w:t>投标报价得分=（评标基准价/投标报价）×</w:t>
            </w:r>
            <w:r>
              <w:rPr>
                <w:rFonts w:hint="eastAsia" w:ascii="宋体" w:hAnsi="宋体" w:eastAsia="宋体" w:cs="宋体"/>
                <w:bCs/>
                <w:color w:val="auto"/>
                <w:kern w:val="0"/>
                <w:sz w:val="24"/>
                <w:szCs w:val="24"/>
                <w:u w:val="single"/>
              </w:rPr>
              <w:t>40</w:t>
            </w:r>
            <w:r>
              <w:rPr>
                <w:rFonts w:hint="eastAsia" w:ascii="宋体" w:hAnsi="宋体" w:eastAsia="宋体" w:cs="宋体"/>
                <w:bCs/>
                <w:color w:val="auto"/>
                <w:kern w:val="0"/>
                <w:sz w:val="24"/>
                <w:szCs w:val="24"/>
              </w:rPr>
              <w:t>%×100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trPr>
        <w:tc>
          <w:tcPr>
            <w:tcW w:w="1329" w:type="dxa"/>
            <w:vMerge w:val="restart"/>
            <w:vAlign w:val="center"/>
          </w:tcPr>
          <w:p>
            <w:pPr>
              <w:snapToGrid w:val="0"/>
              <w:spacing w:line="500" w:lineRule="exact"/>
              <w:jc w:val="center"/>
              <w:rPr>
                <w:rFonts w:ascii="宋体" w:hAnsi="宋体" w:eastAsia="宋体" w:cs="宋体"/>
                <w:bCs/>
                <w:color w:val="auto"/>
                <w:sz w:val="24"/>
                <w:szCs w:val="24"/>
              </w:rPr>
            </w:pPr>
            <w:r>
              <w:rPr>
                <w:rFonts w:hint="eastAsia" w:ascii="宋体" w:hAnsi="宋体" w:eastAsia="宋体" w:cs="宋体"/>
                <w:bCs/>
                <w:color w:val="auto"/>
                <w:spacing w:val="-10"/>
                <w:position w:val="9"/>
                <w:sz w:val="24"/>
                <w:szCs w:val="24"/>
              </w:rPr>
              <w:t>技</w:t>
            </w:r>
            <w:r>
              <w:rPr>
                <w:rFonts w:hint="eastAsia" w:ascii="宋体" w:hAnsi="宋体" w:eastAsia="宋体" w:cs="宋体"/>
                <w:bCs/>
                <w:color w:val="auto"/>
                <w:spacing w:val="-6"/>
                <w:position w:val="9"/>
                <w:sz w:val="24"/>
                <w:szCs w:val="24"/>
              </w:rPr>
              <w:t>术部分</w:t>
            </w:r>
          </w:p>
          <w:p>
            <w:pPr>
              <w:snapToGrid w:val="0"/>
              <w:spacing w:line="500" w:lineRule="exact"/>
              <w:jc w:val="center"/>
              <w:rPr>
                <w:rFonts w:ascii="宋体" w:hAnsi="宋体" w:eastAsia="宋体" w:cs="宋体"/>
                <w:bCs/>
                <w:color w:val="auto"/>
                <w:sz w:val="24"/>
                <w:szCs w:val="24"/>
              </w:rPr>
            </w:pPr>
            <w:r>
              <w:rPr>
                <w:rFonts w:hint="eastAsia" w:ascii="宋体" w:hAnsi="宋体" w:eastAsia="宋体" w:cs="宋体"/>
                <w:bCs/>
                <w:color w:val="auto"/>
                <w:spacing w:val="-13"/>
                <w:sz w:val="24"/>
                <w:szCs w:val="24"/>
              </w:rPr>
              <w:t>(54</w:t>
            </w:r>
            <w:r>
              <w:rPr>
                <w:rFonts w:hint="eastAsia" w:ascii="宋体" w:hAnsi="宋体" w:eastAsia="宋体" w:cs="宋体"/>
                <w:bCs/>
                <w:color w:val="auto"/>
                <w:spacing w:val="-10"/>
                <w:sz w:val="24"/>
                <w:szCs w:val="24"/>
              </w:rPr>
              <w:t>分)</w:t>
            </w:r>
          </w:p>
        </w:tc>
        <w:tc>
          <w:tcPr>
            <w:tcW w:w="1387" w:type="dxa"/>
            <w:tcBorders>
              <w:bottom w:val="single" w:color="000000" w:sz="2" w:space="0"/>
            </w:tcBorders>
            <w:vAlign w:val="center"/>
          </w:tcPr>
          <w:p>
            <w:pPr>
              <w:widowControl/>
              <w:spacing w:line="500" w:lineRule="exact"/>
              <w:jc w:val="center"/>
              <w:rPr>
                <w:rFonts w:ascii="宋体" w:hAnsi="宋体" w:eastAsia="宋体" w:cs="宋体"/>
                <w:bCs/>
                <w:color w:val="auto"/>
                <w:sz w:val="24"/>
                <w:szCs w:val="24"/>
              </w:rPr>
            </w:pPr>
            <w:r>
              <w:rPr>
                <w:rFonts w:hint="eastAsia" w:ascii="宋体" w:hAnsi="宋体" w:eastAsia="宋体" w:cs="宋体"/>
                <w:bCs/>
                <w:color w:val="auto"/>
                <w:sz w:val="24"/>
                <w:szCs w:val="24"/>
              </w:rPr>
              <w:t>技术规格、参</w:t>
            </w:r>
          </w:p>
          <w:p>
            <w:pPr>
              <w:widowControl/>
              <w:spacing w:line="500" w:lineRule="exact"/>
              <w:jc w:val="center"/>
              <w:rPr>
                <w:rFonts w:ascii="宋体" w:hAnsi="宋体" w:eastAsia="宋体" w:cs="宋体"/>
                <w:bCs/>
                <w:color w:val="auto"/>
                <w:sz w:val="24"/>
                <w:szCs w:val="24"/>
              </w:rPr>
            </w:pPr>
            <w:r>
              <w:rPr>
                <w:rFonts w:hint="eastAsia" w:ascii="宋体" w:hAnsi="宋体" w:eastAsia="宋体" w:cs="宋体"/>
                <w:bCs/>
                <w:color w:val="auto"/>
                <w:sz w:val="24"/>
                <w:szCs w:val="24"/>
              </w:rPr>
              <w:t>数与要求响</w:t>
            </w:r>
          </w:p>
          <w:p>
            <w:pPr>
              <w:widowControl/>
              <w:spacing w:line="500" w:lineRule="exact"/>
              <w:jc w:val="center"/>
              <w:rPr>
                <w:rFonts w:ascii="宋体" w:hAnsi="宋体" w:eastAsia="宋体" w:cs="宋体"/>
                <w:bCs/>
                <w:color w:val="auto"/>
                <w:sz w:val="24"/>
                <w:szCs w:val="24"/>
              </w:rPr>
            </w:pPr>
            <w:r>
              <w:rPr>
                <w:rFonts w:hint="eastAsia" w:ascii="宋体" w:hAnsi="宋体" w:eastAsia="宋体" w:cs="宋体"/>
                <w:bCs/>
                <w:color w:val="auto"/>
                <w:sz w:val="24"/>
                <w:szCs w:val="24"/>
              </w:rPr>
              <w:t>应（35分）</w:t>
            </w:r>
          </w:p>
        </w:tc>
        <w:tc>
          <w:tcPr>
            <w:tcW w:w="7044" w:type="dxa"/>
            <w:tcBorders>
              <w:right w:val="single" w:color="000000" w:sz="8" w:space="0"/>
            </w:tcBorders>
          </w:tcPr>
          <w:p>
            <w:pPr>
              <w:spacing w:line="500" w:lineRule="exact"/>
              <w:rPr>
                <w:rFonts w:ascii="宋体" w:hAnsi="宋体" w:eastAsia="宋体" w:cs="宋体"/>
                <w:bCs/>
                <w:color w:val="auto"/>
                <w:sz w:val="24"/>
                <w:szCs w:val="24"/>
              </w:rPr>
            </w:pPr>
            <w:r>
              <w:rPr>
                <w:rFonts w:hint="eastAsia" w:ascii="宋体" w:hAnsi="宋体" w:eastAsia="宋体" w:cs="宋体"/>
                <w:bCs/>
                <w:color w:val="auto"/>
                <w:sz w:val="24"/>
                <w:szCs w:val="24"/>
              </w:rPr>
              <w:t>投标文件所投产品技术参数</w:t>
            </w:r>
            <w:r>
              <w:rPr>
                <w:rFonts w:hint="eastAsia" w:ascii="宋体" w:hAnsi="宋体" w:cs="宋体"/>
                <w:bCs/>
                <w:color w:val="auto"/>
                <w:sz w:val="24"/>
                <w:szCs w:val="24"/>
              </w:rPr>
              <w:t>满足</w:t>
            </w:r>
            <w:r>
              <w:rPr>
                <w:rFonts w:hint="eastAsia" w:ascii="宋体" w:hAnsi="宋体" w:eastAsia="宋体" w:cs="宋体"/>
                <w:bCs/>
                <w:color w:val="auto"/>
                <w:sz w:val="24"/>
                <w:szCs w:val="24"/>
              </w:rPr>
              <w:t>招标文件采购清单中带“▲”的技术参数要求的，每一项得得1分，最高35</w:t>
            </w:r>
            <w:r>
              <w:rPr>
                <w:rFonts w:hint="eastAsia" w:ascii="宋体" w:hAnsi="宋体" w:cs="宋体"/>
                <w:bCs/>
                <w:color w:val="auto"/>
                <w:sz w:val="24"/>
                <w:szCs w:val="24"/>
              </w:rPr>
              <w:t>分</w:t>
            </w:r>
            <w:r>
              <w:rPr>
                <w:rFonts w:hint="eastAsia" w:ascii="宋体" w:hAnsi="宋体" w:eastAsia="宋体" w:cs="宋体"/>
                <w:bCs/>
                <w:color w:val="auto"/>
                <w:sz w:val="24"/>
                <w:szCs w:val="24"/>
              </w:rPr>
              <w:t>。（须在投标文件中提供具有国家认证认可监督管理委员会认可的从业机构出具的检测报告）。</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1329" w:type="dxa"/>
            <w:vMerge w:val="continue"/>
          </w:tcPr>
          <w:p>
            <w:pPr>
              <w:snapToGrid w:val="0"/>
              <w:spacing w:line="500" w:lineRule="exact"/>
              <w:rPr>
                <w:rFonts w:ascii="宋体" w:hAnsi="宋体" w:eastAsia="宋体" w:cs="宋体"/>
                <w:bCs/>
                <w:color w:val="auto"/>
                <w:sz w:val="24"/>
                <w:szCs w:val="24"/>
              </w:rPr>
            </w:pPr>
          </w:p>
        </w:tc>
        <w:tc>
          <w:tcPr>
            <w:tcW w:w="1387" w:type="dxa"/>
            <w:tcBorders>
              <w:top w:val="single" w:color="000000" w:sz="2" w:space="0"/>
              <w:bottom w:val="single" w:color="000000" w:sz="2" w:space="0"/>
            </w:tcBorders>
            <w:vAlign w:val="center"/>
          </w:tcPr>
          <w:p>
            <w:pPr>
              <w:widowControl/>
              <w:spacing w:line="500" w:lineRule="exact"/>
              <w:jc w:val="center"/>
              <w:rPr>
                <w:rFonts w:ascii="宋体" w:hAnsi="宋体" w:eastAsia="宋体" w:cs="宋体"/>
                <w:bCs/>
                <w:color w:val="auto"/>
                <w:sz w:val="24"/>
                <w:szCs w:val="24"/>
              </w:rPr>
            </w:pPr>
            <w:r>
              <w:rPr>
                <w:rFonts w:hint="eastAsia" w:ascii="宋体" w:hAnsi="宋体" w:eastAsia="宋体" w:cs="宋体"/>
                <w:bCs/>
                <w:color w:val="auto"/>
                <w:sz w:val="24"/>
                <w:szCs w:val="24"/>
              </w:rPr>
              <w:t>培训服务</w:t>
            </w:r>
          </w:p>
          <w:p>
            <w:pPr>
              <w:widowControl/>
              <w:spacing w:line="500" w:lineRule="exact"/>
              <w:jc w:val="center"/>
              <w:rPr>
                <w:rFonts w:ascii="宋体" w:hAnsi="宋体" w:eastAsia="宋体" w:cs="宋体"/>
                <w:bCs/>
                <w:color w:val="auto"/>
                <w:sz w:val="24"/>
                <w:szCs w:val="24"/>
              </w:rPr>
            </w:pPr>
            <w:r>
              <w:rPr>
                <w:rFonts w:hint="eastAsia" w:ascii="宋体" w:hAnsi="宋体" w:eastAsia="宋体" w:cs="宋体"/>
                <w:bCs/>
                <w:color w:val="auto"/>
                <w:sz w:val="24"/>
                <w:szCs w:val="24"/>
              </w:rPr>
              <w:t>方案（6分）</w:t>
            </w:r>
          </w:p>
        </w:tc>
        <w:tc>
          <w:tcPr>
            <w:tcW w:w="7044" w:type="dxa"/>
            <w:tcBorders>
              <w:right w:val="single" w:color="000000" w:sz="8" w:space="0"/>
            </w:tcBorders>
            <w:vAlign w:val="center"/>
          </w:tcPr>
          <w:p>
            <w:pPr>
              <w:spacing w:line="360" w:lineRule="auto"/>
              <w:rPr>
                <w:rFonts w:ascii="宋体" w:hAnsi="宋体" w:eastAsia="宋体" w:cs="宋体"/>
                <w:bCs/>
                <w:color w:val="auto"/>
                <w:spacing w:val="6"/>
                <w:sz w:val="24"/>
                <w:szCs w:val="24"/>
              </w:rPr>
            </w:pPr>
            <w:r>
              <w:rPr>
                <w:rFonts w:hint="eastAsia" w:ascii="宋体" w:hAnsi="宋体" w:eastAsia="宋体" w:cs="宋体"/>
                <w:color w:val="auto"/>
                <w:sz w:val="24"/>
                <w:szCs w:val="24"/>
              </w:rPr>
              <w:t>投标人提供培训方案，培训服务方案应包括①培训计划（培训时间安排、培训次数、培训方式等）②培训的内容和范围（设备维修保养、设备运行操作、简易的故障判断与排除等）③、负责培训的授课人员安排。实施情况全面、完整、可行的得6分、不缺项且有简单描述的得4.2分，缺项或不提供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 w:hRule="atLeast"/>
        </w:trPr>
        <w:tc>
          <w:tcPr>
            <w:tcW w:w="1329" w:type="dxa"/>
            <w:vMerge w:val="continue"/>
          </w:tcPr>
          <w:p>
            <w:pPr>
              <w:snapToGrid w:val="0"/>
              <w:spacing w:line="500" w:lineRule="exact"/>
              <w:rPr>
                <w:rFonts w:ascii="宋体" w:hAnsi="宋体" w:eastAsia="宋体" w:cs="宋体"/>
                <w:bCs/>
                <w:color w:val="auto"/>
                <w:sz w:val="24"/>
                <w:szCs w:val="24"/>
              </w:rPr>
            </w:pPr>
          </w:p>
        </w:tc>
        <w:tc>
          <w:tcPr>
            <w:tcW w:w="1387" w:type="dxa"/>
            <w:tcBorders>
              <w:top w:val="single" w:color="000000" w:sz="2" w:space="0"/>
              <w:bottom w:val="single" w:color="000000" w:sz="2" w:space="0"/>
            </w:tcBorders>
            <w:vAlign w:val="center"/>
          </w:tcPr>
          <w:p>
            <w:pPr>
              <w:widowControl/>
              <w:spacing w:line="500" w:lineRule="exact"/>
              <w:jc w:val="center"/>
              <w:rPr>
                <w:rFonts w:ascii="宋体" w:hAnsi="宋体" w:eastAsia="宋体" w:cs="宋体"/>
                <w:bCs/>
                <w:color w:val="auto"/>
                <w:sz w:val="24"/>
                <w:szCs w:val="24"/>
              </w:rPr>
            </w:pPr>
            <w:r>
              <w:rPr>
                <w:rFonts w:hint="eastAsia" w:ascii="宋体" w:hAnsi="宋体" w:eastAsia="宋体" w:cs="宋体"/>
                <w:bCs/>
                <w:color w:val="auto"/>
                <w:sz w:val="24"/>
                <w:szCs w:val="24"/>
              </w:rPr>
              <w:t>售后服务</w:t>
            </w:r>
          </w:p>
          <w:p>
            <w:pPr>
              <w:widowControl/>
              <w:spacing w:line="500" w:lineRule="exact"/>
              <w:jc w:val="center"/>
              <w:rPr>
                <w:rFonts w:ascii="宋体" w:hAnsi="宋体" w:eastAsia="宋体" w:cs="宋体"/>
                <w:bCs/>
                <w:color w:val="auto"/>
                <w:sz w:val="24"/>
                <w:szCs w:val="24"/>
              </w:rPr>
            </w:pPr>
            <w:r>
              <w:rPr>
                <w:rFonts w:hint="eastAsia" w:ascii="宋体" w:hAnsi="宋体" w:eastAsia="宋体" w:cs="宋体"/>
                <w:bCs/>
                <w:color w:val="auto"/>
                <w:sz w:val="24"/>
                <w:szCs w:val="24"/>
              </w:rPr>
              <w:t>（13分）</w:t>
            </w:r>
          </w:p>
        </w:tc>
        <w:tc>
          <w:tcPr>
            <w:tcW w:w="7044" w:type="dxa"/>
            <w:tcBorders>
              <w:right w:val="single" w:color="000000" w:sz="8" w:space="0"/>
            </w:tcBorders>
            <w:vAlign w:val="center"/>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1.投标人承诺故障响应时间小于0.5小时,上门时间小于2小时,解决问题时间小于4 小时,得1分,不满足不得分。</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2.投标人提供所投产品免费质量保障，满足1年免费质保的基础上，每延长1年加0.5分，满分2分。</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3.投标人拟派项目负责人具有人力资源和社会保障部</w:t>
            </w:r>
            <w:r>
              <w:rPr>
                <w:rFonts w:hint="eastAsia" w:ascii="宋体" w:hAnsi="宋体" w:eastAsia="宋体" w:cs="宋体"/>
                <w:color w:val="auto"/>
                <w:sz w:val="24"/>
                <w:szCs w:val="24"/>
                <w:lang w:val="en-US" w:eastAsia="zh-CN"/>
              </w:rPr>
              <w:t>和</w:t>
            </w:r>
            <w:r>
              <w:rPr>
                <w:rFonts w:hint="eastAsia" w:ascii="宋体" w:hAnsi="宋体" w:eastAsia="宋体" w:cs="宋体"/>
                <w:color w:val="auto"/>
                <w:sz w:val="24"/>
                <w:szCs w:val="24"/>
              </w:rPr>
              <w:t>工业和信息化部颁发的信息系统项目管理师高级证书的得4分；</w:t>
            </w:r>
          </w:p>
          <w:p>
            <w:pPr>
              <w:spacing w:line="360" w:lineRule="auto"/>
              <w:rPr>
                <w:color w:val="auto"/>
              </w:rPr>
            </w:pPr>
            <w:r>
              <w:rPr>
                <w:rFonts w:hint="eastAsia" w:ascii="宋体" w:hAnsi="宋体" w:eastAsia="宋体" w:cs="宋体"/>
                <w:color w:val="auto"/>
                <w:sz w:val="24"/>
                <w:szCs w:val="24"/>
              </w:rPr>
              <w:t>4.项目实施团队成员中</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项目负责人除外</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具有人力资源和社会保障部门</w:t>
            </w:r>
            <w:r>
              <w:rPr>
                <w:rFonts w:hint="eastAsia" w:ascii="宋体" w:hAnsi="宋体" w:eastAsia="宋体" w:cs="宋体"/>
                <w:color w:val="auto"/>
                <w:sz w:val="24"/>
                <w:szCs w:val="24"/>
                <w:lang w:val="en-US" w:eastAsia="zh-CN"/>
              </w:rPr>
              <w:t>和</w:t>
            </w:r>
            <w:r>
              <w:rPr>
                <w:rFonts w:hint="eastAsia" w:ascii="宋体" w:hAnsi="宋体" w:eastAsia="宋体" w:cs="宋体"/>
                <w:color w:val="auto"/>
                <w:sz w:val="24"/>
                <w:szCs w:val="24"/>
              </w:rPr>
              <w:t>工业和信息化部门颁发的网络工程师证书的每有1人得2 分，网络安全信息工程师证书每</w:t>
            </w:r>
            <w:r>
              <w:rPr>
                <w:rFonts w:hint="eastAsia" w:ascii="宋体" w:hAnsi="宋体" w:eastAsia="宋体" w:cs="宋体"/>
                <w:color w:val="auto"/>
                <w:sz w:val="24"/>
                <w:szCs w:val="24"/>
                <w:lang w:val="en-US" w:eastAsia="zh-CN"/>
              </w:rPr>
              <w:t>有1</w:t>
            </w:r>
            <w:r>
              <w:rPr>
                <w:rFonts w:hint="eastAsia" w:ascii="宋体" w:hAnsi="宋体" w:eastAsia="宋体" w:cs="宋体"/>
                <w:color w:val="auto"/>
                <w:sz w:val="24"/>
                <w:szCs w:val="24"/>
              </w:rPr>
              <w:t>人得2分，满分6 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1" w:hRule="atLeast"/>
        </w:trPr>
        <w:tc>
          <w:tcPr>
            <w:tcW w:w="1329" w:type="dxa"/>
            <w:vMerge w:val="restart"/>
            <w:tcBorders>
              <w:top w:val="single" w:color="000000" w:sz="2" w:space="0"/>
            </w:tcBorders>
          </w:tcPr>
          <w:p>
            <w:pPr>
              <w:snapToGrid w:val="0"/>
              <w:spacing w:line="500" w:lineRule="exact"/>
              <w:rPr>
                <w:rFonts w:ascii="宋体" w:hAnsi="宋体" w:eastAsia="宋体" w:cs="宋体"/>
                <w:bCs/>
                <w:color w:val="auto"/>
                <w:spacing w:val="-1"/>
                <w:sz w:val="24"/>
                <w:szCs w:val="24"/>
              </w:rPr>
            </w:pPr>
          </w:p>
          <w:p>
            <w:pPr>
              <w:snapToGrid w:val="0"/>
              <w:spacing w:line="500" w:lineRule="exact"/>
              <w:jc w:val="center"/>
              <w:rPr>
                <w:rFonts w:ascii="宋体" w:hAnsi="宋体" w:eastAsia="宋体" w:cs="宋体"/>
                <w:bCs/>
                <w:color w:val="auto"/>
                <w:spacing w:val="-1"/>
                <w:sz w:val="24"/>
                <w:szCs w:val="24"/>
              </w:rPr>
            </w:pPr>
            <w:r>
              <w:rPr>
                <w:rFonts w:hint="eastAsia" w:ascii="宋体" w:hAnsi="宋体" w:eastAsia="宋体" w:cs="宋体"/>
                <w:bCs/>
                <w:color w:val="auto"/>
                <w:spacing w:val="-1"/>
                <w:sz w:val="24"/>
                <w:szCs w:val="24"/>
              </w:rPr>
              <w:t>商务部分</w:t>
            </w:r>
          </w:p>
          <w:p>
            <w:pPr>
              <w:snapToGrid w:val="0"/>
              <w:spacing w:line="500" w:lineRule="exact"/>
              <w:jc w:val="center"/>
              <w:rPr>
                <w:rFonts w:ascii="宋体" w:hAnsi="宋体" w:eastAsia="宋体" w:cs="宋体"/>
                <w:bCs/>
                <w:color w:val="auto"/>
                <w:spacing w:val="-1"/>
                <w:sz w:val="24"/>
                <w:szCs w:val="24"/>
              </w:rPr>
            </w:pPr>
            <w:r>
              <w:rPr>
                <w:rFonts w:hint="eastAsia" w:ascii="宋体" w:hAnsi="宋体" w:eastAsia="宋体" w:cs="宋体"/>
                <w:bCs/>
                <w:color w:val="auto"/>
                <w:spacing w:val="-1"/>
                <w:sz w:val="24"/>
                <w:szCs w:val="24"/>
              </w:rPr>
              <w:t>（6分）</w:t>
            </w:r>
          </w:p>
        </w:tc>
        <w:tc>
          <w:tcPr>
            <w:tcW w:w="1387" w:type="dxa"/>
            <w:tcBorders>
              <w:top w:val="single" w:color="000000" w:sz="2" w:space="0"/>
            </w:tcBorders>
            <w:vAlign w:val="center"/>
          </w:tcPr>
          <w:p>
            <w:pPr>
              <w:widowControl/>
              <w:spacing w:line="500" w:lineRule="exact"/>
              <w:jc w:val="center"/>
              <w:rPr>
                <w:rFonts w:ascii="宋体" w:hAnsi="宋体" w:eastAsia="宋体" w:cs="宋体"/>
                <w:bCs/>
                <w:color w:val="auto"/>
                <w:sz w:val="24"/>
                <w:szCs w:val="24"/>
              </w:rPr>
            </w:pPr>
            <w:r>
              <w:rPr>
                <w:rFonts w:hint="eastAsia" w:ascii="宋体" w:hAnsi="宋体" w:eastAsia="宋体" w:cs="宋体"/>
                <w:bCs/>
                <w:color w:val="auto"/>
                <w:sz w:val="24"/>
                <w:szCs w:val="24"/>
              </w:rPr>
              <w:t>业绩</w:t>
            </w:r>
          </w:p>
          <w:p>
            <w:pPr>
              <w:widowControl/>
              <w:spacing w:line="500" w:lineRule="exact"/>
              <w:jc w:val="center"/>
              <w:rPr>
                <w:rFonts w:ascii="宋体" w:hAnsi="宋体" w:eastAsia="宋体" w:cs="宋体"/>
                <w:bCs/>
                <w:color w:val="auto"/>
                <w:sz w:val="24"/>
                <w:szCs w:val="24"/>
              </w:rPr>
            </w:pPr>
            <w:r>
              <w:rPr>
                <w:rFonts w:hint="eastAsia" w:ascii="宋体" w:hAnsi="宋体" w:eastAsia="宋体" w:cs="宋体"/>
                <w:bCs/>
                <w:color w:val="auto"/>
                <w:sz w:val="24"/>
                <w:szCs w:val="24"/>
              </w:rPr>
              <w:t>（4分）</w:t>
            </w:r>
          </w:p>
        </w:tc>
        <w:tc>
          <w:tcPr>
            <w:tcW w:w="7044" w:type="dxa"/>
            <w:tcBorders>
              <w:right w:val="single" w:color="000000" w:sz="8" w:space="0"/>
            </w:tcBorders>
          </w:tcPr>
          <w:p>
            <w:pPr>
              <w:widowControl/>
              <w:spacing w:line="500" w:lineRule="exact"/>
              <w:jc w:val="left"/>
              <w:rPr>
                <w:rFonts w:ascii="宋体" w:hAnsi="宋体" w:eastAsia="宋体" w:cs="宋体"/>
                <w:bCs/>
                <w:color w:val="auto"/>
                <w:spacing w:val="-1"/>
                <w:sz w:val="24"/>
                <w:szCs w:val="24"/>
              </w:rPr>
            </w:pPr>
            <w:r>
              <w:rPr>
                <w:rFonts w:hint="eastAsia" w:ascii="宋体" w:hAnsi="宋体" w:eastAsia="宋体" w:cs="宋体"/>
                <w:bCs/>
                <w:color w:val="auto"/>
                <w:spacing w:val="-1"/>
                <w:sz w:val="24"/>
                <w:szCs w:val="24"/>
              </w:rPr>
              <w:t>投标人自2020年1月1日以来(以合同签订日期为准）具有类似项目业绩，提供1项业绩得2分，满分4分。注:需提供合同，否则不得分。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1" w:hRule="atLeast"/>
        </w:trPr>
        <w:tc>
          <w:tcPr>
            <w:tcW w:w="1329" w:type="dxa"/>
            <w:vMerge w:val="continue"/>
          </w:tcPr>
          <w:p>
            <w:pPr>
              <w:snapToGrid w:val="0"/>
              <w:spacing w:line="500" w:lineRule="exact"/>
              <w:jc w:val="center"/>
              <w:rPr>
                <w:rFonts w:ascii="宋体" w:hAnsi="宋体" w:eastAsia="宋体" w:cs="宋体"/>
                <w:bCs/>
                <w:color w:val="auto"/>
                <w:spacing w:val="-1"/>
                <w:sz w:val="24"/>
                <w:szCs w:val="24"/>
              </w:rPr>
            </w:pPr>
          </w:p>
        </w:tc>
        <w:tc>
          <w:tcPr>
            <w:tcW w:w="1387" w:type="dxa"/>
            <w:vAlign w:val="center"/>
          </w:tcPr>
          <w:p>
            <w:pPr>
              <w:widowControl/>
              <w:spacing w:line="500" w:lineRule="exact"/>
              <w:jc w:val="center"/>
              <w:rPr>
                <w:rFonts w:ascii="宋体" w:hAnsi="宋体" w:eastAsia="宋体" w:cs="宋体"/>
                <w:bCs/>
                <w:color w:val="auto"/>
                <w:sz w:val="24"/>
                <w:szCs w:val="24"/>
              </w:rPr>
            </w:pPr>
            <w:r>
              <w:rPr>
                <w:rFonts w:hint="eastAsia" w:ascii="宋体" w:hAnsi="宋体" w:eastAsia="宋体" w:cs="宋体"/>
                <w:bCs/>
                <w:color w:val="auto"/>
                <w:sz w:val="24"/>
                <w:szCs w:val="24"/>
              </w:rPr>
              <w:t>节约能源、保护环境政策加分（2分）</w:t>
            </w:r>
          </w:p>
        </w:tc>
        <w:tc>
          <w:tcPr>
            <w:tcW w:w="7044" w:type="dxa"/>
            <w:tcBorders>
              <w:right w:val="single" w:color="000000" w:sz="8" w:space="0"/>
            </w:tcBorders>
            <w:vAlign w:val="center"/>
          </w:tcPr>
          <w:p>
            <w:pPr>
              <w:spacing w:line="500" w:lineRule="exact"/>
              <w:rPr>
                <w:rFonts w:ascii="宋体" w:hAnsi="宋体" w:eastAsia="宋体" w:cs="宋体"/>
                <w:bCs/>
                <w:color w:val="auto"/>
                <w:sz w:val="24"/>
                <w:szCs w:val="24"/>
              </w:rPr>
            </w:pPr>
            <w:r>
              <w:rPr>
                <w:rFonts w:hint="eastAsia" w:ascii="宋体" w:hAnsi="宋体" w:eastAsia="宋体" w:cs="宋体"/>
                <w:bCs/>
                <w:color w:val="auto"/>
                <w:sz w:val="24"/>
                <w:szCs w:val="24"/>
              </w:rPr>
              <w:t>1、除政府强制采购的节能产品外，投标人所投产品属于“节能产品政府采购品目清单”优先采购产品，投标文件中提供具有国家确定的认证机构出具的、处于有效期之内的节能产品认证证书。每项0.5分，满分1分。</w:t>
            </w:r>
          </w:p>
          <w:p>
            <w:pPr>
              <w:spacing w:line="500" w:lineRule="exact"/>
              <w:rPr>
                <w:rFonts w:ascii="宋体" w:hAnsi="宋体" w:eastAsia="宋体" w:cs="宋体"/>
                <w:bCs/>
                <w:color w:val="auto"/>
                <w:sz w:val="24"/>
                <w:szCs w:val="24"/>
              </w:rPr>
            </w:pPr>
            <w:r>
              <w:rPr>
                <w:rFonts w:hint="eastAsia" w:ascii="宋体" w:hAnsi="宋体" w:eastAsia="宋体" w:cs="宋体"/>
                <w:bCs/>
                <w:color w:val="auto"/>
                <w:sz w:val="24"/>
                <w:szCs w:val="24"/>
              </w:rPr>
              <w:t>2、投标人所投产品属于“环境标志产品政府采购品目清单”内产品，投标文件中提供具有国家确定的认证机构出具的、处于有效期之内的环境标志产品认证证书。每项0.5分，满分1分。</w:t>
            </w:r>
          </w:p>
        </w:tc>
      </w:tr>
    </w:tbl>
    <w:p>
      <w:pPr>
        <w:spacing w:line="360" w:lineRule="auto"/>
        <w:ind w:firstLine="422" w:firstLineChars="200"/>
        <w:rPr>
          <w:rFonts w:cs="仿宋_GB2312" w:asciiTheme="minorEastAsia" w:hAnsiTheme="minorEastAsia"/>
          <w:b/>
          <w:color w:val="auto"/>
          <w:szCs w:val="21"/>
          <w:lang w:val="zh-CN"/>
        </w:rPr>
      </w:pPr>
    </w:p>
    <w:p>
      <w:pPr>
        <w:spacing w:line="360" w:lineRule="auto"/>
        <w:ind w:firstLine="422" w:firstLineChars="200"/>
        <w:rPr>
          <w:rFonts w:cs="仿宋_GB2312" w:asciiTheme="minorEastAsia" w:hAnsiTheme="minorEastAsia"/>
          <w:b/>
          <w:color w:val="auto"/>
          <w:szCs w:val="21"/>
          <w:lang w:val="zh-CN"/>
        </w:rPr>
      </w:pPr>
    </w:p>
    <w:p>
      <w:pPr>
        <w:spacing w:line="360" w:lineRule="auto"/>
        <w:ind w:firstLine="422" w:firstLineChars="200"/>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其中：价格分计算（落实政府采购政策价格调整部分）</w:t>
      </w:r>
    </w:p>
    <w:tbl>
      <w:tblPr>
        <w:tblStyle w:val="22"/>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2823"/>
        <w:gridCol w:w="2552"/>
        <w:gridCol w:w="2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721" w:type="dxa"/>
            <w:vAlign w:val="center"/>
          </w:tcPr>
          <w:p>
            <w:pPr>
              <w:jc w:val="center"/>
              <w:rPr>
                <w:rFonts w:ascii="宋体" w:hAnsi="宋体"/>
                <w:b/>
                <w:color w:val="auto"/>
                <w:szCs w:val="21"/>
                <w:lang w:val="en-GB"/>
              </w:rPr>
            </w:pPr>
            <w:r>
              <w:rPr>
                <w:rFonts w:hint="eastAsia" w:ascii="宋体" w:hAnsi="宋体"/>
                <w:b/>
                <w:color w:val="auto"/>
                <w:szCs w:val="21"/>
                <w:lang w:val="en-GB"/>
              </w:rPr>
              <w:t>序号</w:t>
            </w:r>
          </w:p>
        </w:tc>
        <w:tc>
          <w:tcPr>
            <w:tcW w:w="2823" w:type="dxa"/>
            <w:vAlign w:val="center"/>
          </w:tcPr>
          <w:p>
            <w:pPr>
              <w:jc w:val="center"/>
              <w:rPr>
                <w:rFonts w:ascii="宋体" w:hAnsi="宋体"/>
                <w:b/>
                <w:color w:val="auto"/>
                <w:szCs w:val="21"/>
                <w:lang w:val="en-GB"/>
              </w:rPr>
            </w:pPr>
            <w:r>
              <w:rPr>
                <w:rFonts w:hint="eastAsia" w:ascii="宋体" w:hAnsi="宋体"/>
                <w:b/>
                <w:color w:val="auto"/>
                <w:szCs w:val="21"/>
                <w:lang w:val="en-GB"/>
              </w:rPr>
              <w:t>情形</w:t>
            </w:r>
          </w:p>
        </w:tc>
        <w:tc>
          <w:tcPr>
            <w:tcW w:w="2552" w:type="dxa"/>
            <w:vAlign w:val="center"/>
          </w:tcPr>
          <w:p>
            <w:pPr>
              <w:jc w:val="center"/>
              <w:rPr>
                <w:rFonts w:ascii="宋体" w:hAnsi="宋体"/>
                <w:b/>
                <w:color w:val="auto"/>
                <w:szCs w:val="21"/>
                <w:lang w:val="en-GB"/>
              </w:rPr>
            </w:pPr>
            <w:r>
              <w:rPr>
                <w:rFonts w:hint="eastAsia" w:ascii="宋体" w:hAnsi="宋体"/>
                <w:b/>
                <w:color w:val="auto"/>
                <w:szCs w:val="21"/>
              </w:rPr>
              <w:t>价格扣除</w:t>
            </w:r>
            <w:r>
              <w:rPr>
                <w:rFonts w:hint="eastAsia" w:ascii="宋体" w:hAnsi="宋体"/>
                <w:b/>
                <w:color w:val="auto"/>
                <w:szCs w:val="21"/>
                <w:lang w:val="en-GB"/>
              </w:rPr>
              <w:t>比例</w:t>
            </w:r>
          </w:p>
        </w:tc>
        <w:tc>
          <w:tcPr>
            <w:tcW w:w="2835" w:type="dxa"/>
            <w:vAlign w:val="center"/>
          </w:tcPr>
          <w:p>
            <w:pPr>
              <w:jc w:val="center"/>
              <w:rPr>
                <w:rFonts w:ascii="宋体" w:hAnsi="宋体"/>
                <w:b/>
                <w:color w:val="auto"/>
                <w:szCs w:val="21"/>
                <w:lang w:val="en-GB"/>
              </w:rPr>
            </w:pPr>
            <w:r>
              <w:rPr>
                <w:rFonts w:hint="eastAsia" w:ascii="宋体" w:hAnsi="宋体"/>
                <w:b/>
                <w:color w:val="auto"/>
                <w:szCs w:val="21"/>
                <w:lang w:val="en-GB"/>
              </w:rPr>
              <w:t>计算公式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721" w:type="dxa"/>
            <w:vAlign w:val="center"/>
          </w:tcPr>
          <w:p>
            <w:pPr>
              <w:jc w:val="center"/>
              <w:rPr>
                <w:rFonts w:ascii="宋体" w:hAnsi="宋体"/>
                <w:b/>
                <w:color w:val="auto"/>
                <w:szCs w:val="21"/>
                <w:lang w:val="en-GB"/>
              </w:rPr>
            </w:pPr>
            <w:r>
              <w:rPr>
                <w:rFonts w:hint="eastAsia" w:ascii="宋体" w:hAnsi="宋体"/>
                <w:b/>
                <w:color w:val="auto"/>
                <w:szCs w:val="21"/>
                <w:lang w:val="en-GB"/>
              </w:rPr>
              <w:t>1</w:t>
            </w:r>
          </w:p>
        </w:tc>
        <w:tc>
          <w:tcPr>
            <w:tcW w:w="2823" w:type="dxa"/>
            <w:vAlign w:val="center"/>
          </w:tcPr>
          <w:p>
            <w:pPr>
              <w:jc w:val="center"/>
              <w:rPr>
                <w:rFonts w:ascii="宋体" w:hAnsi="宋体"/>
                <w:b/>
                <w:color w:val="auto"/>
                <w:szCs w:val="21"/>
                <w:lang w:val="en-GB"/>
              </w:rPr>
            </w:pPr>
            <w:r>
              <w:rPr>
                <w:rFonts w:hint="eastAsia" w:ascii="宋体" w:hAnsi="宋体"/>
                <w:color w:val="auto"/>
                <w:szCs w:val="21"/>
                <w:lang w:val="en-GB"/>
              </w:rPr>
              <w:t>非联合体投标人</w:t>
            </w:r>
          </w:p>
        </w:tc>
        <w:tc>
          <w:tcPr>
            <w:tcW w:w="2552" w:type="dxa"/>
            <w:vAlign w:val="center"/>
          </w:tcPr>
          <w:p>
            <w:pPr>
              <w:jc w:val="center"/>
              <w:rPr>
                <w:rFonts w:ascii="ˎ̥" w:hAnsi="ˎ̥" w:eastAsia="宋体"/>
                <w:color w:val="auto"/>
                <w:szCs w:val="21"/>
              </w:rPr>
            </w:pPr>
            <w:r>
              <w:rPr>
                <w:rFonts w:hint="eastAsia" w:ascii="ˎ̥" w:hAnsi="ˎ̥" w:eastAsia="宋体"/>
                <w:color w:val="auto"/>
                <w:szCs w:val="21"/>
              </w:rPr>
              <w:t>对小型和微型企业报价</w:t>
            </w:r>
          </w:p>
          <w:p>
            <w:pPr>
              <w:jc w:val="center"/>
              <w:rPr>
                <w:rFonts w:ascii="宋体" w:hAnsi="宋体"/>
                <w:b/>
                <w:color w:val="auto"/>
                <w:szCs w:val="21"/>
                <w:lang w:val="en-GB"/>
              </w:rPr>
            </w:pPr>
            <w:r>
              <w:rPr>
                <w:rFonts w:hint="eastAsia" w:ascii="ˎ̥" w:hAnsi="ˎ̥" w:eastAsia="宋体"/>
                <w:color w:val="auto"/>
                <w:szCs w:val="21"/>
              </w:rPr>
              <w:t>扣除20%</w:t>
            </w:r>
          </w:p>
        </w:tc>
        <w:tc>
          <w:tcPr>
            <w:tcW w:w="2835" w:type="dxa"/>
            <w:vMerge w:val="restart"/>
            <w:shd w:val="clear" w:color="auto" w:fill="auto"/>
            <w:vAlign w:val="center"/>
          </w:tcPr>
          <w:p>
            <w:pPr>
              <w:jc w:val="center"/>
              <w:rPr>
                <w:color w:val="auto"/>
                <w:szCs w:val="21"/>
                <w:lang w:val="en-GB"/>
              </w:rPr>
            </w:pPr>
            <w:r>
              <w:rPr>
                <w:rFonts w:hint="eastAsia"/>
                <w:color w:val="auto"/>
                <w:szCs w:val="21"/>
                <w:lang w:val="en-GB"/>
              </w:rPr>
              <w:t>评标价格＝</w:t>
            </w:r>
            <w:r>
              <w:rPr>
                <w:rFonts w:hint="eastAsia" w:ascii="ˎ̥" w:hAnsi="ˎ̥" w:eastAsia="宋体"/>
                <w:color w:val="auto"/>
                <w:szCs w:val="21"/>
              </w:rPr>
              <w:t>小型和微型企业报价</w:t>
            </w:r>
            <w:r>
              <w:rPr>
                <w:rFonts w:hint="eastAsia" w:ascii="宋体" w:hAnsi="宋体"/>
                <w:color w:val="auto"/>
                <w:szCs w:val="21"/>
                <w:lang w:val="en-GB"/>
              </w:rPr>
              <w:t>×（1-</w:t>
            </w:r>
            <w:r>
              <w:rPr>
                <w:rFonts w:hint="eastAsia" w:ascii="ˎ̥" w:hAnsi="ˎ̥" w:eastAsia="宋体"/>
                <w:color w:val="auto"/>
                <w:szCs w:val="21"/>
              </w:rPr>
              <w:t>20</w:t>
            </w:r>
            <w:r>
              <w:rPr>
                <w:rFonts w:hint="eastAsia"/>
                <w:color w:val="auto"/>
                <w:szCs w:val="21"/>
                <w:lang w:val="en-GB"/>
              </w:rPr>
              <w:t>%</w:t>
            </w:r>
            <w:r>
              <w:rPr>
                <w:rFonts w:hint="eastAsia" w:ascii="宋体" w:hAnsi="宋体"/>
                <w:color w:val="auto"/>
                <w:szCs w:val="21"/>
                <w:lang w:val="en-GB"/>
              </w:rPr>
              <w:t>）</w:t>
            </w:r>
          </w:p>
          <w:p>
            <w:pPr>
              <w:jc w:val="center"/>
              <w:rPr>
                <w:rFonts w:ascii="宋体" w:hAnsi="宋体"/>
                <w:b/>
                <w:color w:val="auto"/>
                <w:szCs w:val="21"/>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4" w:hRule="atLeast"/>
        </w:trPr>
        <w:tc>
          <w:tcPr>
            <w:tcW w:w="721" w:type="dxa"/>
            <w:vAlign w:val="center"/>
          </w:tcPr>
          <w:p>
            <w:pPr>
              <w:jc w:val="center"/>
              <w:rPr>
                <w:rFonts w:ascii="宋体" w:hAnsi="宋体"/>
                <w:b/>
                <w:color w:val="auto"/>
                <w:szCs w:val="21"/>
                <w:lang w:val="en-GB"/>
              </w:rPr>
            </w:pPr>
            <w:r>
              <w:rPr>
                <w:rFonts w:hint="eastAsia" w:ascii="宋体" w:hAnsi="宋体"/>
                <w:b/>
                <w:color w:val="auto"/>
                <w:szCs w:val="21"/>
                <w:lang w:val="en-GB"/>
              </w:rPr>
              <w:t>2</w:t>
            </w:r>
          </w:p>
        </w:tc>
        <w:tc>
          <w:tcPr>
            <w:tcW w:w="2823" w:type="dxa"/>
            <w:vAlign w:val="center"/>
          </w:tcPr>
          <w:p>
            <w:pPr>
              <w:jc w:val="center"/>
              <w:rPr>
                <w:rFonts w:ascii="宋体" w:hAnsi="宋体"/>
                <w:color w:val="auto"/>
                <w:szCs w:val="21"/>
                <w:lang w:val="en-GB"/>
              </w:rPr>
            </w:pPr>
            <w:r>
              <w:rPr>
                <w:rFonts w:hint="eastAsia" w:ascii="宋体" w:hAnsi="宋体"/>
                <w:color w:val="auto"/>
                <w:szCs w:val="21"/>
                <w:lang w:val="en-GB"/>
              </w:rPr>
              <w:t>联合体各方均为</w:t>
            </w:r>
          </w:p>
          <w:p>
            <w:pPr>
              <w:jc w:val="center"/>
              <w:rPr>
                <w:rFonts w:ascii="宋体" w:hAnsi="宋体"/>
                <w:b/>
                <w:color w:val="auto"/>
                <w:szCs w:val="21"/>
              </w:rPr>
            </w:pPr>
            <w:r>
              <w:rPr>
                <w:rFonts w:hint="eastAsia" w:ascii="宋体" w:hAnsi="宋体"/>
                <w:color w:val="auto"/>
                <w:szCs w:val="21"/>
                <w:lang w:val="en-GB"/>
              </w:rPr>
              <w:t>小型、微型企业</w:t>
            </w:r>
          </w:p>
        </w:tc>
        <w:tc>
          <w:tcPr>
            <w:tcW w:w="2552" w:type="dxa"/>
            <w:vAlign w:val="center"/>
          </w:tcPr>
          <w:p>
            <w:pPr>
              <w:jc w:val="center"/>
              <w:rPr>
                <w:rFonts w:ascii="宋体" w:hAnsi="宋体"/>
                <w:color w:val="auto"/>
                <w:szCs w:val="21"/>
              </w:rPr>
            </w:pPr>
            <w:r>
              <w:rPr>
                <w:rFonts w:hint="eastAsia" w:ascii="ˎ̥" w:hAnsi="ˎ̥" w:eastAsia="宋体"/>
                <w:color w:val="auto"/>
                <w:szCs w:val="21"/>
              </w:rPr>
              <w:t>对小型和微型企业报价</w:t>
            </w:r>
          </w:p>
          <w:p>
            <w:pPr>
              <w:jc w:val="center"/>
              <w:rPr>
                <w:rFonts w:ascii="宋体" w:hAnsi="宋体"/>
                <w:color w:val="auto"/>
                <w:szCs w:val="21"/>
              </w:rPr>
            </w:pPr>
            <w:r>
              <w:rPr>
                <w:rFonts w:hint="eastAsia" w:ascii="宋体" w:hAnsi="宋体"/>
                <w:color w:val="auto"/>
                <w:szCs w:val="21"/>
              </w:rPr>
              <w:t>扣除</w:t>
            </w:r>
            <w:r>
              <w:rPr>
                <w:rFonts w:hint="eastAsia" w:ascii="ˎ̥" w:hAnsi="ˎ̥" w:eastAsia="宋体"/>
                <w:color w:val="auto"/>
                <w:szCs w:val="21"/>
              </w:rPr>
              <w:t>20</w:t>
            </w:r>
            <w:r>
              <w:rPr>
                <w:rFonts w:hint="eastAsia" w:ascii="宋体" w:hAnsi="宋体"/>
                <w:color w:val="auto"/>
                <w:szCs w:val="21"/>
              </w:rPr>
              <w:t>%</w:t>
            </w:r>
          </w:p>
          <w:p>
            <w:pPr>
              <w:jc w:val="center"/>
              <w:rPr>
                <w:rFonts w:ascii="宋体" w:hAnsi="宋体"/>
                <w:b/>
                <w:color w:val="auto"/>
                <w:szCs w:val="21"/>
                <w:lang w:val="en-GB"/>
              </w:rPr>
            </w:pPr>
            <w:r>
              <w:rPr>
                <w:rFonts w:hint="eastAsia" w:ascii="宋体" w:hAnsi="宋体"/>
                <w:color w:val="auto"/>
                <w:szCs w:val="21"/>
              </w:rPr>
              <w:t>（不再享受序号3的价格折扣）</w:t>
            </w:r>
          </w:p>
        </w:tc>
        <w:tc>
          <w:tcPr>
            <w:tcW w:w="2835" w:type="dxa"/>
            <w:vMerge w:val="continue"/>
            <w:shd w:val="clear" w:color="auto" w:fill="auto"/>
          </w:tcPr>
          <w:p>
            <w:pPr>
              <w:rPr>
                <w:rFonts w:ascii="宋体" w:hAnsi="宋体"/>
                <w:color w:val="auto"/>
                <w:szCs w:val="21"/>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21" w:type="dxa"/>
            <w:vAlign w:val="center"/>
          </w:tcPr>
          <w:p>
            <w:pPr>
              <w:jc w:val="center"/>
              <w:rPr>
                <w:rFonts w:ascii="宋体" w:hAnsi="宋体"/>
                <w:b/>
                <w:color w:val="auto"/>
                <w:szCs w:val="21"/>
                <w:lang w:val="en-GB"/>
              </w:rPr>
            </w:pPr>
            <w:r>
              <w:rPr>
                <w:rFonts w:hint="eastAsia" w:ascii="宋体" w:hAnsi="宋体"/>
                <w:b/>
                <w:color w:val="auto"/>
                <w:szCs w:val="21"/>
                <w:lang w:val="en-GB"/>
              </w:rPr>
              <w:t>3</w:t>
            </w:r>
          </w:p>
        </w:tc>
        <w:tc>
          <w:tcPr>
            <w:tcW w:w="2823" w:type="dxa"/>
            <w:vAlign w:val="center"/>
          </w:tcPr>
          <w:p>
            <w:pPr>
              <w:jc w:val="center"/>
              <w:rPr>
                <w:rFonts w:ascii="宋体" w:hAnsi="宋体"/>
                <w:b/>
                <w:color w:val="auto"/>
                <w:szCs w:val="21"/>
                <w:lang w:val="en-GB"/>
              </w:rPr>
            </w:pPr>
            <w:r>
              <w:rPr>
                <w:rFonts w:ascii="ˎ̥" w:hAnsi="ˎ̥" w:eastAsia="宋体"/>
                <w:color w:val="auto"/>
                <w:szCs w:val="21"/>
              </w:rPr>
              <w:t>接受大中型企业与小微企业组成联合体或者允许大中型企业向一家或者多家小微企业分包的采购项目，对于联合协议或者分包意向协议约定小微企业的合同份额占到合同总金额 30%以上</w:t>
            </w:r>
          </w:p>
        </w:tc>
        <w:tc>
          <w:tcPr>
            <w:tcW w:w="2552" w:type="dxa"/>
            <w:vAlign w:val="center"/>
          </w:tcPr>
          <w:p>
            <w:pPr>
              <w:jc w:val="center"/>
              <w:rPr>
                <w:rFonts w:ascii="宋体" w:hAnsi="宋体"/>
                <w:b/>
                <w:color w:val="auto"/>
                <w:szCs w:val="21"/>
                <w:lang w:val="en-GB"/>
              </w:rPr>
            </w:pPr>
            <w:r>
              <w:rPr>
                <w:rFonts w:ascii="ˎ̥" w:hAnsi="ˎ̥" w:eastAsia="宋体"/>
                <w:color w:val="auto"/>
                <w:szCs w:val="21"/>
              </w:rPr>
              <w:t>对联合体或者大中型企业的报价</w:t>
            </w:r>
            <w:r>
              <w:rPr>
                <w:rFonts w:hint="eastAsia" w:ascii="宋体" w:hAnsi="宋体"/>
                <w:color w:val="auto"/>
                <w:szCs w:val="21"/>
                <w:lang w:val="en-GB"/>
              </w:rPr>
              <w:t>扣除</w:t>
            </w:r>
            <w:r>
              <w:rPr>
                <w:rFonts w:hint="eastAsia" w:ascii="ˎ̥" w:hAnsi="ˎ̥" w:eastAsia="宋体"/>
                <w:color w:val="auto"/>
                <w:szCs w:val="21"/>
              </w:rPr>
              <w:t>4</w:t>
            </w:r>
            <w:r>
              <w:rPr>
                <w:rFonts w:hint="eastAsia" w:ascii="宋体" w:hAnsi="宋体"/>
                <w:color w:val="auto"/>
                <w:szCs w:val="21"/>
              </w:rPr>
              <w:t>%</w:t>
            </w:r>
          </w:p>
        </w:tc>
        <w:tc>
          <w:tcPr>
            <w:tcW w:w="2835" w:type="dxa"/>
            <w:shd w:val="clear" w:color="auto" w:fill="auto"/>
            <w:vAlign w:val="center"/>
          </w:tcPr>
          <w:p>
            <w:pPr>
              <w:jc w:val="center"/>
              <w:rPr>
                <w:rFonts w:ascii="宋体" w:hAnsi="宋体"/>
                <w:b/>
                <w:color w:val="auto"/>
                <w:szCs w:val="21"/>
                <w:lang w:val="en-GB"/>
              </w:rPr>
            </w:pPr>
            <w:r>
              <w:rPr>
                <w:rFonts w:hint="eastAsia" w:ascii="宋体" w:hAnsi="宋体"/>
                <w:color w:val="auto"/>
                <w:szCs w:val="21"/>
                <w:lang w:val="en-GB"/>
              </w:rPr>
              <w:t>评标价格＝投标报价×</w:t>
            </w:r>
            <w:r>
              <w:rPr>
                <w:rFonts w:hint="eastAsia" w:ascii="宋体" w:hAnsi="宋体"/>
                <w:color w:val="auto"/>
                <w:szCs w:val="21"/>
              </w:rPr>
              <w:t>(1-</w:t>
            </w:r>
            <w:r>
              <w:rPr>
                <w:rFonts w:hint="eastAsia" w:ascii="ˎ̥" w:hAnsi="ˎ̥" w:eastAsia="宋体"/>
                <w:color w:val="auto"/>
                <w:szCs w:val="21"/>
              </w:rPr>
              <w:t>4</w:t>
            </w:r>
            <w:r>
              <w:rPr>
                <w:rFonts w:hint="eastAsia"/>
                <w:color w:val="auto"/>
                <w:szCs w:val="21"/>
                <w:lang w:val="en-GB"/>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21" w:type="dxa"/>
            <w:vAlign w:val="center"/>
          </w:tcPr>
          <w:p>
            <w:pPr>
              <w:jc w:val="center"/>
              <w:rPr>
                <w:rFonts w:ascii="宋体" w:hAnsi="宋体"/>
                <w:b/>
                <w:color w:val="auto"/>
                <w:szCs w:val="21"/>
                <w:lang w:val="en-GB"/>
              </w:rPr>
            </w:pPr>
            <w:r>
              <w:rPr>
                <w:rFonts w:hint="eastAsia" w:ascii="宋体" w:hAnsi="宋体"/>
                <w:b/>
                <w:color w:val="auto"/>
                <w:szCs w:val="21"/>
                <w:lang w:val="en-GB"/>
              </w:rPr>
              <w:t>4</w:t>
            </w:r>
          </w:p>
        </w:tc>
        <w:tc>
          <w:tcPr>
            <w:tcW w:w="2823" w:type="dxa"/>
            <w:vAlign w:val="center"/>
          </w:tcPr>
          <w:p>
            <w:pPr>
              <w:jc w:val="center"/>
              <w:rPr>
                <w:rFonts w:ascii="宋体" w:hAnsi="宋体"/>
                <w:color w:val="auto"/>
                <w:szCs w:val="21"/>
                <w:lang w:val="en-GB"/>
              </w:rPr>
            </w:pPr>
            <w:r>
              <w:rPr>
                <w:rFonts w:hint="eastAsia" w:ascii="宋体" w:hAnsi="宋体"/>
                <w:color w:val="auto"/>
                <w:szCs w:val="21"/>
                <w:lang w:val="en-GB"/>
              </w:rPr>
              <w:t>监狱企业</w:t>
            </w:r>
          </w:p>
        </w:tc>
        <w:tc>
          <w:tcPr>
            <w:tcW w:w="2552" w:type="dxa"/>
            <w:vAlign w:val="center"/>
          </w:tcPr>
          <w:p>
            <w:pPr>
              <w:jc w:val="center"/>
              <w:rPr>
                <w:rFonts w:ascii="宋体" w:hAnsi="宋体"/>
                <w:color w:val="auto"/>
                <w:szCs w:val="21"/>
                <w:lang w:val="en-GB"/>
              </w:rPr>
            </w:pPr>
            <w:r>
              <w:rPr>
                <w:rFonts w:hint="eastAsia" w:ascii="宋体" w:hAnsi="宋体"/>
                <w:color w:val="auto"/>
                <w:szCs w:val="21"/>
                <w:lang w:val="en-GB"/>
              </w:rPr>
              <w:t>对监狱企业产品价格扣除</w:t>
            </w:r>
            <w:r>
              <w:rPr>
                <w:rFonts w:hint="eastAsia" w:ascii="ˎ̥" w:hAnsi="ˎ̥" w:eastAsia="宋体"/>
                <w:color w:val="auto"/>
                <w:szCs w:val="21"/>
              </w:rPr>
              <w:t>20</w:t>
            </w:r>
            <w:r>
              <w:rPr>
                <w:rFonts w:hint="eastAsia" w:ascii="宋体" w:hAnsi="宋体"/>
                <w:color w:val="auto"/>
                <w:szCs w:val="21"/>
              </w:rPr>
              <w:t>%</w:t>
            </w:r>
          </w:p>
        </w:tc>
        <w:tc>
          <w:tcPr>
            <w:tcW w:w="2835" w:type="dxa"/>
            <w:shd w:val="clear" w:color="auto" w:fill="auto"/>
            <w:vAlign w:val="center"/>
          </w:tcPr>
          <w:p>
            <w:pPr>
              <w:jc w:val="center"/>
              <w:rPr>
                <w:rFonts w:ascii="宋体" w:hAnsi="宋体"/>
                <w:color w:val="auto"/>
                <w:szCs w:val="21"/>
                <w:lang w:val="en-GB"/>
              </w:rPr>
            </w:pPr>
            <w:r>
              <w:rPr>
                <w:rFonts w:hint="eastAsia"/>
                <w:color w:val="auto"/>
                <w:szCs w:val="21"/>
                <w:lang w:val="en-GB"/>
              </w:rPr>
              <w:t>评标价格＝投标报价—</w:t>
            </w:r>
            <w:r>
              <w:rPr>
                <w:rFonts w:hint="eastAsia"/>
                <w:color w:val="auto"/>
                <w:szCs w:val="21"/>
              </w:rPr>
              <w:t>监狱企业产品的价格</w:t>
            </w:r>
            <w:r>
              <w:rPr>
                <w:rFonts w:hint="eastAsia" w:ascii="宋体" w:hAnsi="宋体"/>
                <w:color w:val="auto"/>
                <w:szCs w:val="21"/>
                <w:lang w:val="en-GB"/>
              </w:rPr>
              <w:t>×</w:t>
            </w:r>
            <w:r>
              <w:rPr>
                <w:rFonts w:hint="eastAsia" w:ascii="ˎ̥" w:hAnsi="ˎ̥" w:eastAsia="宋体"/>
                <w:color w:val="auto"/>
                <w:szCs w:val="21"/>
              </w:rPr>
              <w:t>20</w:t>
            </w:r>
            <w:r>
              <w:rPr>
                <w:rFonts w:hint="eastAsia"/>
                <w:color w:val="auto"/>
                <w:szCs w:val="21"/>
                <w:lang w:val="en-GB"/>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21" w:type="dxa"/>
            <w:vAlign w:val="center"/>
          </w:tcPr>
          <w:p>
            <w:pPr>
              <w:jc w:val="center"/>
              <w:rPr>
                <w:rFonts w:ascii="宋体" w:hAnsi="宋体"/>
                <w:b/>
                <w:color w:val="auto"/>
                <w:szCs w:val="21"/>
                <w:lang w:val="en-GB"/>
              </w:rPr>
            </w:pPr>
            <w:r>
              <w:rPr>
                <w:rFonts w:hint="eastAsia" w:ascii="宋体" w:hAnsi="宋体"/>
                <w:b/>
                <w:color w:val="auto"/>
                <w:szCs w:val="21"/>
                <w:lang w:val="en-GB"/>
              </w:rPr>
              <w:t>5</w:t>
            </w:r>
          </w:p>
        </w:tc>
        <w:tc>
          <w:tcPr>
            <w:tcW w:w="2823" w:type="dxa"/>
            <w:vAlign w:val="center"/>
          </w:tcPr>
          <w:p>
            <w:pPr>
              <w:jc w:val="center"/>
              <w:rPr>
                <w:rFonts w:ascii="宋体" w:hAnsi="宋体"/>
                <w:color w:val="auto"/>
                <w:szCs w:val="21"/>
                <w:lang w:val="en-GB"/>
              </w:rPr>
            </w:pPr>
            <w:r>
              <w:rPr>
                <w:rFonts w:hint="eastAsia" w:ascii="宋体" w:hAnsi="宋体"/>
                <w:color w:val="auto"/>
                <w:szCs w:val="21"/>
                <w:lang w:val="en-GB"/>
              </w:rPr>
              <w:t>残疾人福利性单位</w:t>
            </w:r>
          </w:p>
        </w:tc>
        <w:tc>
          <w:tcPr>
            <w:tcW w:w="2552" w:type="dxa"/>
            <w:vAlign w:val="center"/>
          </w:tcPr>
          <w:p>
            <w:pPr>
              <w:jc w:val="center"/>
              <w:rPr>
                <w:rFonts w:ascii="宋体" w:hAnsi="宋体"/>
                <w:color w:val="auto"/>
                <w:szCs w:val="21"/>
                <w:lang w:val="en-GB"/>
              </w:rPr>
            </w:pPr>
            <w:r>
              <w:rPr>
                <w:rFonts w:hint="eastAsia" w:ascii="宋体" w:hAnsi="宋体"/>
                <w:color w:val="auto"/>
                <w:szCs w:val="21"/>
                <w:lang w:val="en-GB"/>
              </w:rPr>
              <w:t>对残疾人福利性单位产品价格扣除</w:t>
            </w:r>
            <w:r>
              <w:rPr>
                <w:rFonts w:hint="eastAsia" w:ascii="ˎ̥" w:hAnsi="ˎ̥" w:eastAsia="宋体"/>
                <w:color w:val="auto"/>
                <w:szCs w:val="21"/>
              </w:rPr>
              <w:t>20</w:t>
            </w:r>
            <w:r>
              <w:rPr>
                <w:rFonts w:hint="eastAsia" w:ascii="宋体" w:hAnsi="宋体"/>
                <w:color w:val="auto"/>
                <w:szCs w:val="21"/>
              </w:rPr>
              <w:t>%</w:t>
            </w:r>
          </w:p>
        </w:tc>
        <w:tc>
          <w:tcPr>
            <w:tcW w:w="2835" w:type="dxa"/>
            <w:shd w:val="clear" w:color="auto" w:fill="auto"/>
            <w:vAlign w:val="center"/>
          </w:tcPr>
          <w:p>
            <w:pPr>
              <w:jc w:val="center"/>
              <w:rPr>
                <w:color w:val="auto"/>
                <w:szCs w:val="21"/>
                <w:lang w:val="en-GB"/>
              </w:rPr>
            </w:pPr>
            <w:r>
              <w:rPr>
                <w:rFonts w:hint="eastAsia"/>
                <w:color w:val="auto"/>
                <w:szCs w:val="21"/>
                <w:lang w:val="en-GB"/>
              </w:rPr>
              <w:t>评标价格＝投标报价—</w:t>
            </w:r>
            <w:r>
              <w:rPr>
                <w:rFonts w:hint="eastAsia"/>
                <w:color w:val="auto"/>
                <w:szCs w:val="21"/>
              </w:rPr>
              <w:t>残疾人福利性单位产品的价格</w:t>
            </w:r>
            <w:r>
              <w:rPr>
                <w:rFonts w:hint="eastAsia" w:ascii="宋体" w:hAnsi="宋体"/>
                <w:color w:val="auto"/>
                <w:szCs w:val="21"/>
                <w:lang w:val="en-GB"/>
              </w:rPr>
              <w:t>×</w:t>
            </w:r>
            <w:r>
              <w:rPr>
                <w:rFonts w:hint="eastAsia" w:ascii="ˎ̥" w:hAnsi="ˎ̥" w:eastAsia="宋体"/>
                <w:color w:val="auto"/>
                <w:szCs w:val="21"/>
              </w:rPr>
              <w:t>20</w:t>
            </w:r>
            <w:r>
              <w:rPr>
                <w:rFonts w:hint="eastAsia"/>
                <w:color w:val="auto"/>
                <w:szCs w:val="21"/>
                <w:lang w:val="en-GB"/>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2" w:hRule="atLeast"/>
        </w:trPr>
        <w:tc>
          <w:tcPr>
            <w:tcW w:w="8931" w:type="dxa"/>
            <w:gridSpan w:val="4"/>
            <w:vAlign w:val="center"/>
          </w:tcPr>
          <w:p>
            <w:pPr>
              <w:widowControl/>
              <w:adjustRightInd w:val="0"/>
              <w:spacing w:line="360" w:lineRule="auto"/>
              <w:ind w:left="-2" w:leftChars="-1" w:firstLine="420" w:firstLineChars="200"/>
              <w:jc w:val="left"/>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1、中小企业应在投标文件提供《中小企业声明函》。监狱企业应当在投标文件中提供由省级以上监狱管理局、戒毒管理局(含新疆生产建设兵团)出具的属于监狱企业的证明文件。残疾人福利性单位应当在投标文件中提供《残疾人福利性单位声明函》。</w:t>
            </w:r>
          </w:p>
          <w:p>
            <w:pPr>
              <w:widowControl/>
              <w:adjustRightInd w:val="0"/>
              <w:spacing w:line="360" w:lineRule="auto"/>
              <w:ind w:left="-2" w:leftChars="-1" w:firstLine="420" w:firstLineChars="200"/>
              <w:jc w:val="left"/>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2、</w:t>
            </w:r>
            <w:r>
              <w:rPr>
                <w:rFonts w:cs="仿宋_GB2312" w:asciiTheme="minorEastAsia" w:hAnsiTheme="minorEastAsia"/>
                <w:color w:val="auto"/>
                <w:szCs w:val="21"/>
                <w:lang w:val="zh-CN"/>
              </w:rPr>
              <w:t>经评标委员会</w:t>
            </w:r>
            <w:r>
              <w:rPr>
                <w:rFonts w:hint="eastAsia" w:cs="仿宋_GB2312" w:asciiTheme="minorEastAsia" w:hAnsiTheme="minorEastAsia"/>
                <w:color w:val="auto"/>
                <w:szCs w:val="21"/>
                <w:lang w:val="zh-CN"/>
              </w:rPr>
              <w:t>审查、评价</w:t>
            </w:r>
            <w:r>
              <w:rPr>
                <w:rFonts w:cs="仿宋_GB2312" w:asciiTheme="minorEastAsia" w:hAnsiTheme="minorEastAsia"/>
                <w:color w:val="auto"/>
                <w:szCs w:val="21"/>
                <w:lang w:val="zh-CN"/>
              </w:rPr>
              <w:t>，</w:t>
            </w:r>
            <w:r>
              <w:rPr>
                <w:rFonts w:hint="eastAsia" w:cs="仿宋_GB2312" w:asciiTheme="minorEastAsia" w:hAnsiTheme="minorEastAsia"/>
                <w:color w:val="auto"/>
                <w:szCs w:val="21"/>
                <w:lang w:val="zh-CN"/>
              </w:rPr>
              <w:t>投标文件符合</w:t>
            </w:r>
            <w:r>
              <w:rPr>
                <w:rFonts w:cs="仿宋_GB2312" w:asciiTheme="minorEastAsia" w:hAnsiTheme="minorEastAsia"/>
                <w:color w:val="auto"/>
                <w:szCs w:val="21"/>
                <w:lang w:val="zh-CN"/>
              </w:rPr>
              <w:t>招标文件</w:t>
            </w:r>
            <w:r>
              <w:rPr>
                <w:rFonts w:hint="eastAsia" w:cs="仿宋_GB2312" w:asciiTheme="minorEastAsia" w:hAnsiTheme="minorEastAsia"/>
                <w:color w:val="auto"/>
                <w:szCs w:val="21"/>
                <w:lang w:val="zh-CN"/>
              </w:rPr>
              <w:t>实质性</w:t>
            </w:r>
            <w:r>
              <w:rPr>
                <w:rFonts w:cs="仿宋_GB2312" w:asciiTheme="minorEastAsia" w:hAnsiTheme="minorEastAsia"/>
                <w:color w:val="auto"/>
                <w:szCs w:val="21"/>
                <w:lang w:val="zh-CN"/>
              </w:rPr>
              <w:t>要求且</w:t>
            </w:r>
            <w:r>
              <w:rPr>
                <w:rFonts w:hint="eastAsia" w:cs="仿宋_GB2312" w:asciiTheme="minorEastAsia" w:hAnsiTheme="minorEastAsia"/>
                <w:color w:val="auto"/>
                <w:szCs w:val="21"/>
                <w:lang w:val="zh-CN"/>
              </w:rPr>
              <w:t>进行了政策性价格扣除后，</w:t>
            </w:r>
            <w:r>
              <w:rPr>
                <w:rFonts w:cs="仿宋_GB2312" w:asciiTheme="minorEastAsia" w:hAnsiTheme="minorEastAsia"/>
                <w:color w:val="auto"/>
                <w:szCs w:val="21"/>
                <w:lang w:val="zh-CN"/>
              </w:rPr>
              <w:t>以</w:t>
            </w:r>
            <w:r>
              <w:rPr>
                <w:rFonts w:hint="eastAsia" w:cs="仿宋_GB2312" w:asciiTheme="minorEastAsia" w:hAnsiTheme="minorEastAsia"/>
                <w:color w:val="auto"/>
                <w:szCs w:val="21"/>
                <w:lang w:val="zh-CN"/>
              </w:rPr>
              <w:t>评标价格的</w:t>
            </w:r>
            <w:r>
              <w:rPr>
                <w:rFonts w:cs="仿宋_GB2312" w:asciiTheme="minorEastAsia" w:hAnsiTheme="minorEastAsia"/>
                <w:color w:val="auto"/>
                <w:szCs w:val="21"/>
                <w:lang w:val="zh-CN"/>
              </w:rPr>
              <w:t>最低价者定为评标基准价，其价格分为满分。其他投标人的价格分统一按下列公式</w:t>
            </w:r>
            <w:r>
              <w:rPr>
                <w:rFonts w:hint="eastAsia" w:cs="仿宋_GB2312" w:asciiTheme="minorEastAsia" w:hAnsiTheme="minorEastAsia"/>
                <w:color w:val="auto"/>
                <w:szCs w:val="21"/>
                <w:lang w:val="zh-CN"/>
              </w:rPr>
              <w:t>计算</w:t>
            </w:r>
            <w:r>
              <w:rPr>
                <w:rFonts w:cs="仿宋_GB2312" w:asciiTheme="minorEastAsia" w:hAnsiTheme="minorEastAsia"/>
                <w:color w:val="auto"/>
                <w:szCs w:val="21"/>
                <w:lang w:val="zh-CN"/>
              </w:rPr>
              <w:t>。即：</w:t>
            </w:r>
          </w:p>
          <w:p>
            <w:pPr>
              <w:widowControl/>
              <w:adjustRightInd w:val="0"/>
              <w:spacing w:line="360" w:lineRule="auto"/>
              <w:ind w:left="-88" w:leftChars="-42" w:firstLine="449" w:firstLineChars="214"/>
              <w:jc w:val="left"/>
              <w:rPr>
                <w:rFonts w:cs="仿宋_GB2312" w:asciiTheme="minorEastAsia" w:hAnsiTheme="minorEastAsia"/>
                <w:color w:val="auto"/>
                <w:szCs w:val="21"/>
                <w:lang w:val="zh-CN"/>
              </w:rPr>
            </w:pPr>
            <w:r>
              <w:rPr>
                <w:rFonts w:cs="仿宋_GB2312" w:asciiTheme="minorEastAsia" w:hAnsiTheme="minorEastAsia"/>
                <w:color w:val="auto"/>
                <w:szCs w:val="21"/>
                <w:lang w:val="zh-CN"/>
              </w:rPr>
              <w:t>评标基准价</w:t>
            </w:r>
            <w:r>
              <w:rPr>
                <w:rFonts w:hint="eastAsia" w:cs="仿宋_GB2312" w:asciiTheme="minorEastAsia" w:hAnsiTheme="minorEastAsia"/>
                <w:color w:val="auto"/>
                <w:szCs w:val="21"/>
                <w:lang w:val="zh-CN"/>
              </w:rPr>
              <w:t>=评标价格的最低价</w:t>
            </w:r>
          </w:p>
          <w:p>
            <w:pPr>
              <w:adjustRightInd w:val="0"/>
              <w:spacing w:line="360" w:lineRule="auto"/>
              <w:ind w:left="-88" w:leftChars="-42" w:firstLine="449" w:firstLineChars="214"/>
              <w:jc w:val="left"/>
              <w:rPr>
                <w:rFonts w:cs="仿宋_GB2312" w:asciiTheme="minorEastAsia" w:hAnsiTheme="minorEastAsia"/>
                <w:color w:val="auto"/>
                <w:szCs w:val="21"/>
                <w:lang w:val="zh-CN"/>
              </w:rPr>
            </w:pPr>
            <w:r>
              <w:rPr>
                <w:rFonts w:cs="仿宋_GB2312" w:asciiTheme="minorEastAsia" w:hAnsiTheme="minorEastAsia"/>
                <w:color w:val="auto"/>
                <w:szCs w:val="21"/>
                <w:lang w:val="zh-CN"/>
              </w:rPr>
              <w:t>其他投标报价得分</w:t>
            </w:r>
            <w:r>
              <w:rPr>
                <w:rFonts w:hint="eastAsia" w:cs="仿宋_GB2312" w:asciiTheme="minorEastAsia" w:hAnsiTheme="minorEastAsia"/>
                <w:color w:val="auto"/>
                <w:szCs w:val="21"/>
                <w:lang w:val="zh-CN"/>
              </w:rPr>
              <w:t>=（</w:t>
            </w:r>
            <w:r>
              <w:rPr>
                <w:rFonts w:cs="仿宋_GB2312" w:asciiTheme="minorEastAsia" w:hAnsiTheme="minorEastAsia"/>
                <w:color w:val="auto"/>
                <w:szCs w:val="21"/>
                <w:lang w:val="zh-CN"/>
              </w:rPr>
              <w:t>评标基准价</w:t>
            </w:r>
            <w:r>
              <w:rPr>
                <w:rFonts w:hint="eastAsia" w:cs="仿宋_GB2312" w:asciiTheme="minorEastAsia" w:hAnsiTheme="minorEastAsia"/>
                <w:color w:val="auto"/>
                <w:szCs w:val="21"/>
                <w:lang w:val="zh-CN"/>
              </w:rPr>
              <w:t>/评标价格）</w:t>
            </w:r>
            <w:r>
              <w:rPr>
                <w:rFonts w:cs="仿宋_GB2312" w:asciiTheme="minorEastAsia" w:hAnsiTheme="minorEastAsia"/>
                <w:color w:val="auto"/>
                <w:szCs w:val="21"/>
                <w:lang w:val="zh-CN"/>
              </w:rPr>
              <w:t>×</w:t>
            </w:r>
            <w:r>
              <w:rPr>
                <w:rFonts w:hint="eastAsia" w:cs="仿宋_GB2312" w:asciiTheme="minorEastAsia" w:hAnsiTheme="minorEastAsia"/>
                <w:color w:val="auto"/>
                <w:szCs w:val="21"/>
                <w:lang w:val="zh-CN"/>
              </w:rPr>
              <w:t>评标标准中价格分值</w:t>
            </w:r>
          </w:p>
        </w:tc>
      </w:tr>
    </w:tbl>
    <w:p>
      <w:pPr>
        <w:spacing w:line="360" w:lineRule="auto"/>
        <w:rPr>
          <w:rFonts w:ascii="宋体" w:hAnsi="宋体"/>
          <w:bCs/>
          <w:color w:val="auto"/>
          <w:szCs w:val="21"/>
          <w:lang w:val="en-GB"/>
        </w:rPr>
      </w:pPr>
      <w:r>
        <w:rPr>
          <w:rFonts w:hint="eastAsia" w:ascii="宋体" w:hAnsi="宋体"/>
          <w:bCs/>
          <w:color w:val="auto"/>
          <w:szCs w:val="21"/>
          <w:lang w:val="en-GB"/>
        </w:rPr>
        <w:t>备注：</w:t>
      </w:r>
    </w:p>
    <w:p>
      <w:pPr>
        <w:spacing w:line="360" w:lineRule="auto"/>
        <w:ind w:firstLine="420" w:firstLineChars="200"/>
        <w:rPr>
          <w:color w:val="auto"/>
        </w:rPr>
      </w:pPr>
      <w:r>
        <w:rPr>
          <w:rFonts w:hint="eastAsia" w:ascii="宋体" w:hAnsi="宋体"/>
          <w:bCs/>
          <w:color w:val="auto"/>
          <w:szCs w:val="21"/>
          <w:lang w:val="en-GB"/>
        </w:rPr>
        <w:t>a、不接受联合体投标的项目，</w:t>
      </w:r>
      <w:r>
        <w:rPr>
          <w:rFonts w:hint="eastAsia"/>
          <w:color w:val="auto"/>
        </w:rPr>
        <w:t>本表中第2项、第3项情形不适用。</w:t>
      </w:r>
    </w:p>
    <w:p>
      <w:pPr>
        <w:spacing w:line="360" w:lineRule="auto"/>
        <w:ind w:firstLine="420" w:firstLineChars="200"/>
        <w:rPr>
          <w:rFonts w:ascii="宋体" w:hAnsi="宋体"/>
          <w:bCs/>
          <w:color w:val="auto"/>
          <w:szCs w:val="21"/>
          <w:lang w:val="en-GB"/>
        </w:rPr>
      </w:pPr>
      <w:r>
        <w:rPr>
          <w:rFonts w:hint="eastAsia" w:ascii="宋体" w:hAnsi="宋体"/>
          <w:bCs/>
          <w:color w:val="auto"/>
          <w:szCs w:val="21"/>
          <w:lang w:val="en-GB"/>
        </w:rPr>
        <w:t>b、</w:t>
      </w:r>
      <w:r>
        <w:rPr>
          <w:color w:val="auto"/>
        </w:rPr>
        <w:t>在货物采购项目中，货物由中小企业制造，即货物由中小企业生产且使用该中小企业商号或者注册商标</w:t>
      </w:r>
      <w:r>
        <w:rPr>
          <w:rFonts w:hint="eastAsia" w:ascii="宋体" w:hAnsi="宋体"/>
          <w:bCs/>
          <w:color w:val="auto"/>
          <w:szCs w:val="21"/>
          <w:lang w:val="en-GB"/>
        </w:rPr>
        <w:t>。</w:t>
      </w:r>
      <w:r>
        <w:rPr>
          <w:color w:val="auto"/>
        </w:rPr>
        <w:t>在货物采购项目中，供应商提供的货物既有中小企业制造货物，也有大型企业制造货物的，不享受中小企业扶持政策。在工程采购项目中，工程由中小企业承建，即工程施工单位为中小企业；在服务采购项目中，服务由中小企业承接，即提供服务的人员为中小企业依照《中华人民共和国劳动合同法》订立劳动合同的从业人员。</w:t>
      </w:r>
    </w:p>
    <w:p>
      <w:pPr>
        <w:spacing w:line="360" w:lineRule="auto"/>
        <w:ind w:firstLine="420" w:firstLineChars="200"/>
        <w:rPr>
          <w:rFonts w:ascii="宋体" w:hAnsi="宋体"/>
          <w:bCs/>
          <w:color w:val="auto"/>
          <w:szCs w:val="21"/>
          <w:lang w:val="en-GB"/>
        </w:rPr>
      </w:pPr>
      <w:r>
        <w:rPr>
          <w:rFonts w:hint="eastAsia" w:ascii="宋体" w:hAnsi="宋体"/>
          <w:bCs/>
          <w:color w:val="auto"/>
          <w:szCs w:val="21"/>
          <w:lang w:val="en-GB"/>
        </w:rPr>
        <w:t>c、中小企业、残疾人福利性单位提供其他企业制造的货物的，则该货物的制造商也必须为上述企业，否则不能享受价格优惠。</w:t>
      </w:r>
    </w:p>
    <w:p>
      <w:pPr>
        <w:spacing w:line="360" w:lineRule="auto"/>
        <w:ind w:firstLine="420" w:firstLineChars="200"/>
        <w:rPr>
          <w:rFonts w:ascii="宋体" w:hAnsi="宋体"/>
          <w:bCs/>
          <w:color w:val="auto"/>
          <w:szCs w:val="21"/>
          <w:lang w:val="en-GB"/>
        </w:rPr>
      </w:pPr>
      <w:r>
        <w:rPr>
          <w:rFonts w:hint="eastAsia" w:ascii="宋体" w:hAnsi="宋体"/>
          <w:bCs/>
          <w:color w:val="auto"/>
          <w:szCs w:val="21"/>
          <w:lang w:val="en-GB"/>
        </w:rPr>
        <w:t>d、残疾人福利性单位属于小型、微型企业的，不重复享受政策。</w:t>
      </w:r>
    </w:p>
    <w:p>
      <w:pPr>
        <w:spacing w:line="360" w:lineRule="auto"/>
        <w:ind w:firstLine="420" w:firstLineChars="200"/>
        <w:rPr>
          <w:rFonts w:ascii="宋体" w:hAnsi="宋体"/>
          <w:bCs/>
          <w:color w:val="auto"/>
          <w:szCs w:val="21"/>
          <w:lang w:val="en-GB"/>
        </w:rPr>
      </w:pPr>
      <w:r>
        <w:rPr>
          <w:rFonts w:ascii="宋体" w:hAnsi="宋体"/>
          <w:bCs/>
          <w:color w:val="auto"/>
          <w:szCs w:val="21"/>
          <w:lang w:val="en-GB"/>
        </w:rPr>
        <w:t>E</w:t>
      </w:r>
      <w:r>
        <w:rPr>
          <w:rFonts w:hint="eastAsia" w:ascii="宋体" w:hAnsi="宋体"/>
          <w:bCs/>
          <w:color w:val="auto"/>
          <w:szCs w:val="21"/>
          <w:lang w:val="en-GB"/>
        </w:rPr>
        <w:t>、小型和微型企业不包括民办非企业单位。</w:t>
      </w:r>
    </w:p>
    <w:p>
      <w:pPr>
        <w:spacing w:line="360" w:lineRule="auto"/>
        <w:ind w:firstLine="422" w:firstLineChars="200"/>
        <w:contextualSpacing/>
        <w:rPr>
          <w:rFonts w:cs="仿宋_GB2312" w:asciiTheme="minorEastAsia" w:hAnsiTheme="minorEastAsia"/>
          <w:color w:val="auto"/>
          <w:szCs w:val="21"/>
          <w:lang w:val="zh-CN"/>
        </w:rPr>
      </w:pPr>
      <w:r>
        <w:rPr>
          <w:rFonts w:hint="eastAsia" w:cs="仿宋_GB2312" w:asciiTheme="minorEastAsia" w:hAnsiTheme="minorEastAsia"/>
          <w:b/>
          <w:color w:val="auto"/>
          <w:szCs w:val="21"/>
          <w:lang w:val="zh-CN"/>
        </w:rPr>
        <w:t>（7）</w:t>
      </w:r>
      <w:r>
        <w:rPr>
          <w:rFonts w:cs="仿宋_GB2312" w:asciiTheme="minorEastAsia" w:hAnsiTheme="minorEastAsia"/>
          <w:b/>
          <w:color w:val="auto"/>
          <w:szCs w:val="21"/>
          <w:lang w:val="zh-CN"/>
        </w:rPr>
        <w:t>评标结果汇总完成后，除下列情形外，任何人不得修改评标结果：</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 xml:space="preserve">1） </w:t>
      </w:r>
      <w:r>
        <w:rPr>
          <w:rFonts w:cs="仿宋_GB2312" w:asciiTheme="minorEastAsia" w:hAnsiTheme="minorEastAsia"/>
          <w:color w:val="auto"/>
          <w:szCs w:val="21"/>
          <w:lang w:val="zh-CN"/>
        </w:rPr>
        <w:t>分值汇总计算错误的；</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 xml:space="preserve">2） </w:t>
      </w:r>
      <w:r>
        <w:rPr>
          <w:rFonts w:cs="仿宋_GB2312" w:asciiTheme="minorEastAsia" w:hAnsiTheme="minorEastAsia"/>
          <w:color w:val="auto"/>
          <w:szCs w:val="21"/>
          <w:lang w:val="zh-CN"/>
        </w:rPr>
        <w:t>分项评分超出评分标准范围的；</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 xml:space="preserve">3） </w:t>
      </w:r>
      <w:r>
        <w:rPr>
          <w:rFonts w:cs="仿宋_GB2312" w:asciiTheme="minorEastAsia" w:hAnsiTheme="minorEastAsia"/>
          <w:color w:val="auto"/>
          <w:szCs w:val="21"/>
          <w:lang w:val="zh-CN"/>
        </w:rPr>
        <w:t>评标委员会成员对客观评审因素评分不一致的；</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 xml:space="preserve">4） </w:t>
      </w:r>
      <w:r>
        <w:rPr>
          <w:rFonts w:cs="仿宋_GB2312" w:asciiTheme="minorEastAsia" w:hAnsiTheme="minorEastAsia"/>
          <w:color w:val="auto"/>
          <w:szCs w:val="21"/>
          <w:lang w:val="zh-CN"/>
        </w:rPr>
        <w:t>经评标委员会认定评分畸高、畸低的。</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cs="仿宋_GB2312" w:asciiTheme="minorEastAsia" w:hAnsiTheme="minorEastAsia"/>
          <w:color w:val="auto"/>
          <w:szCs w:val="21"/>
          <w:lang w:val="zh-CN"/>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cs="仿宋_GB2312" w:asciiTheme="minorEastAsia" w:hAnsiTheme="minorEastAsia"/>
          <w:color w:val="auto"/>
          <w:szCs w:val="21"/>
          <w:lang w:val="zh-CN"/>
        </w:rPr>
        <w:t>投标人对本条第一款情形提出质疑的，采购人或者采购代理机构可以组织原评标委员会进行重新评审，重新评审改变评标结果的，应当书面报告本级财政部门。</w:t>
      </w:r>
    </w:p>
    <w:p>
      <w:pPr>
        <w:wordWrap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8）按照《关于推进全流程电子化交易和在线监管工作有关问题的通知》（许公管办[2019]3号）规定：评标专家应严格按照要求查看“硬件特征码”相关信息并进行评审，在评审报告中显示“不同投标人电子投标文件制作硬件特征码”是否雷同的分析及判定结果。</w:t>
      </w:r>
    </w:p>
    <w:p>
      <w:pPr>
        <w:tabs>
          <w:tab w:val="left" w:pos="1260"/>
        </w:tabs>
        <w:autoSpaceDE w:val="0"/>
        <w:autoSpaceDN w:val="0"/>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（9）</w:t>
      </w:r>
      <w:r>
        <w:rPr>
          <w:rFonts w:cs="仿宋_GB2312" w:asciiTheme="minorEastAsia" w:hAnsiTheme="minorEastAsia"/>
          <w:b/>
          <w:color w:val="auto"/>
          <w:szCs w:val="21"/>
          <w:lang w:val="zh-CN"/>
        </w:rPr>
        <w:t>评标委员会</w:t>
      </w:r>
      <w:r>
        <w:rPr>
          <w:rFonts w:hint="eastAsia" w:cs="仿宋_GB2312" w:asciiTheme="minorEastAsia" w:hAnsiTheme="minorEastAsia"/>
          <w:b/>
          <w:color w:val="auto"/>
          <w:szCs w:val="21"/>
          <w:lang w:val="zh-CN"/>
        </w:rPr>
        <w:t>争议处理</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cs="仿宋_GB2312" w:asciiTheme="minorEastAsia" w:hAnsiTheme="minorEastAsia"/>
          <w:color w:val="auto"/>
          <w:szCs w:val="21"/>
          <w:lang w:val="zh-CN"/>
        </w:rPr>
        <w:t>评标委员会成员对需要共同认定的事项存在争议的，应当按照少数服从多数的原则作出结论。持不同意见的评标委员会成员应当在评标报告上签署不同意见及理由，否则视为同意评标报告。</w:t>
      </w:r>
    </w:p>
    <w:p>
      <w:pPr>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4、</w:t>
      </w:r>
      <w:r>
        <w:rPr>
          <w:rFonts w:cs="仿宋_GB2312" w:asciiTheme="minorEastAsia" w:hAnsiTheme="minorEastAsia"/>
          <w:b/>
          <w:color w:val="auto"/>
          <w:szCs w:val="21"/>
          <w:lang w:val="zh-CN"/>
        </w:rPr>
        <w:t>确定中标候选人名单，以及根据采购人委托直接确定中标人</w:t>
      </w:r>
      <w:r>
        <w:rPr>
          <w:rFonts w:hint="eastAsia" w:cs="仿宋_GB2312" w:asciiTheme="minorEastAsia" w:hAnsiTheme="minorEastAsia"/>
          <w:b/>
          <w:color w:val="auto"/>
          <w:szCs w:val="21"/>
          <w:lang w:val="zh-CN"/>
        </w:rPr>
        <w:t>。</w:t>
      </w: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第七章 拟签订的合同文本</w:t>
      </w: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jc w:val="center"/>
        <w:rPr>
          <w:rFonts w:ascii="宋体" w:hAnsi="宋体" w:cs="微软雅黑"/>
          <w:b/>
          <w:bCs/>
          <w:color w:val="auto"/>
          <w:szCs w:val="21"/>
        </w:rPr>
      </w:pPr>
      <w:r>
        <w:rPr>
          <w:rFonts w:hint="eastAsia" w:ascii="宋体" w:hAnsi="宋体" w:cs="微软雅黑"/>
          <w:b/>
          <w:bCs/>
          <w:color w:val="auto"/>
          <w:szCs w:val="21"/>
        </w:rPr>
        <w:t>（此合同仅供参考。以最终采购人与中标人签定的合同条款为准进行公示，</w:t>
      </w:r>
    </w:p>
    <w:p>
      <w:pPr>
        <w:spacing w:line="360" w:lineRule="auto"/>
        <w:jc w:val="center"/>
        <w:rPr>
          <w:rFonts w:ascii="宋体" w:hAnsi="宋体" w:cs="微软雅黑"/>
          <w:b/>
          <w:bCs/>
          <w:color w:val="auto"/>
          <w:szCs w:val="21"/>
        </w:rPr>
      </w:pPr>
      <w:r>
        <w:rPr>
          <w:rFonts w:hint="eastAsia" w:ascii="宋体" w:hAnsi="宋体" w:cs="微软雅黑"/>
          <w:b/>
          <w:bCs/>
          <w:color w:val="auto"/>
          <w:szCs w:val="21"/>
        </w:rPr>
        <w:t>最终签定合同的主要条款不能与招标文件有冲突）</w:t>
      </w:r>
    </w:p>
    <w:p>
      <w:pPr>
        <w:pStyle w:val="20"/>
        <w:widowControl/>
        <w:spacing w:before="75" w:after="75" w:line="360" w:lineRule="auto"/>
        <w:rPr>
          <w:rFonts w:ascii="宋体" w:hAnsi="宋体" w:cs="宋体"/>
          <w:color w:val="auto"/>
          <w:sz w:val="21"/>
          <w:szCs w:val="21"/>
        </w:rPr>
      </w:pPr>
      <w:r>
        <w:rPr>
          <w:rFonts w:hint="eastAsia" w:ascii="宋体" w:hAnsi="宋体" w:cs="宋体"/>
          <w:color w:val="auto"/>
          <w:sz w:val="21"/>
          <w:szCs w:val="21"/>
        </w:rPr>
        <w:t>甲方：（采购人全称）</w:t>
      </w:r>
    </w:p>
    <w:p>
      <w:pPr>
        <w:pStyle w:val="20"/>
        <w:widowControl/>
        <w:spacing w:before="75" w:after="75" w:line="360" w:lineRule="auto"/>
        <w:rPr>
          <w:rFonts w:ascii="宋体" w:hAnsi="宋体" w:cs="宋体"/>
          <w:color w:val="auto"/>
          <w:sz w:val="21"/>
          <w:szCs w:val="21"/>
        </w:rPr>
      </w:pPr>
      <w:r>
        <w:rPr>
          <w:rFonts w:hint="eastAsia" w:ascii="宋体" w:hAnsi="宋体" w:cs="宋体"/>
          <w:color w:val="auto"/>
          <w:sz w:val="21"/>
          <w:szCs w:val="21"/>
        </w:rPr>
        <w:t>乙方：</w:t>
      </w:r>
      <w:r>
        <w:rPr>
          <w:rFonts w:hint="eastAsia" w:ascii="宋体" w:hAnsi="宋体" w:cs="宋体"/>
          <w:color w:val="auto"/>
          <w:sz w:val="21"/>
          <w:szCs w:val="21"/>
          <w:u w:val="single"/>
        </w:rPr>
        <w:t>（中标人全称）</w:t>
      </w:r>
    </w:p>
    <w:p>
      <w:pPr>
        <w:pStyle w:val="20"/>
        <w:widowControl/>
        <w:spacing w:before="75" w:after="75"/>
        <w:rPr>
          <w:rFonts w:ascii="宋体" w:hAnsi="宋体" w:cs="宋体"/>
          <w:color w:val="auto"/>
          <w:sz w:val="21"/>
          <w:szCs w:val="21"/>
        </w:rPr>
      </w:pPr>
      <w:r>
        <w:rPr>
          <w:rFonts w:hint="eastAsia" w:ascii="宋体" w:hAnsi="宋体" w:cs="宋体"/>
          <w:color w:val="auto"/>
          <w:sz w:val="21"/>
          <w:szCs w:val="21"/>
        </w:rPr>
        <w:t> </w:t>
      </w:r>
    </w:p>
    <w:p>
      <w:pPr>
        <w:pStyle w:val="20"/>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根据招标编号为</w:t>
      </w:r>
      <w:r>
        <w:rPr>
          <w:rFonts w:hint="eastAsia" w:ascii="宋体" w:hAnsi="宋体" w:cs="宋体"/>
          <w:color w:val="auto"/>
          <w:sz w:val="21"/>
          <w:szCs w:val="21"/>
          <w:u w:val="single"/>
        </w:rPr>
        <w:t>            </w:t>
      </w:r>
      <w:r>
        <w:rPr>
          <w:rFonts w:hint="eastAsia" w:ascii="宋体" w:hAnsi="宋体" w:cs="宋体"/>
          <w:color w:val="auto"/>
          <w:sz w:val="21"/>
          <w:szCs w:val="21"/>
        </w:rPr>
        <w:t>的</w:t>
      </w:r>
      <w:r>
        <w:rPr>
          <w:rFonts w:hint="eastAsia" w:ascii="宋体" w:hAnsi="宋体" w:cs="宋体"/>
          <w:color w:val="auto"/>
          <w:sz w:val="21"/>
          <w:szCs w:val="21"/>
          <w:u w:val="single"/>
          <w:lang w:eastAsia="zh-CN"/>
        </w:rPr>
        <w:t>许昌幼儿师范学校职教园区综合馆声光像设备采购项目</w:t>
      </w:r>
      <w:r>
        <w:rPr>
          <w:rFonts w:hint="eastAsia" w:ascii="宋体" w:hAnsi="宋体" w:cs="宋体"/>
          <w:color w:val="auto"/>
          <w:sz w:val="21"/>
          <w:szCs w:val="21"/>
        </w:rPr>
        <w:t>（以下简称：“本项目”）的招标结果，乙方为中标人。现经甲乙双方友好协商，就以下事项达成一致并签订本合同：</w:t>
      </w:r>
    </w:p>
    <w:p>
      <w:pPr>
        <w:pStyle w:val="20"/>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1、下列合同文件是构成本合同不可分割的部分：</w:t>
      </w:r>
    </w:p>
    <w:p>
      <w:pPr>
        <w:pStyle w:val="20"/>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1.1合同条款；</w:t>
      </w:r>
    </w:p>
    <w:p>
      <w:pPr>
        <w:pStyle w:val="20"/>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1.2招标文件、乙方的投标文件；</w:t>
      </w:r>
    </w:p>
    <w:p>
      <w:pPr>
        <w:pStyle w:val="20"/>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1.3其他文件或材料：☑无。□</w:t>
      </w:r>
      <w:r>
        <w:rPr>
          <w:rFonts w:hint="eastAsia" w:ascii="宋体" w:hAnsi="宋体" w:cs="宋体"/>
          <w:color w:val="auto"/>
          <w:sz w:val="21"/>
          <w:szCs w:val="21"/>
          <w:u w:val="single"/>
        </w:rPr>
        <w:t>（按照实际情况编制填写需要增加的内容）</w:t>
      </w:r>
      <w:r>
        <w:rPr>
          <w:rFonts w:hint="eastAsia" w:ascii="宋体" w:hAnsi="宋体" w:cs="宋体"/>
          <w:color w:val="auto"/>
          <w:sz w:val="21"/>
          <w:szCs w:val="21"/>
        </w:rPr>
        <w:t>。</w:t>
      </w:r>
    </w:p>
    <w:p>
      <w:pPr>
        <w:pStyle w:val="20"/>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2、合同标的</w:t>
      </w:r>
    </w:p>
    <w:tbl>
      <w:tblPr>
        <w:tblStyle w:val="2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5"/>
        <w:gridCol w:w="1065"/>
        <w:gridCol w:w="1065"/>
        <w:gridCol w:w="1065"/>
        <w:gridCol w:w="1065"/>
        <w:gridCol w:w="1065"/>
        <w:gridCol w:w="1066"/>
        <w:gridCol w:w="10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tcBorders>
              <w:top w:val="single" w:color="auto" w:sz="4" w:space="0"/>
              <w:left w:val="single" w:color="auto" w:sz="4" w:space="0"/>
              <w:bottom w:val="single" w:color="auto" w:sz="4" w:space="0"/>
              <w:right w:val="single" w:color="auto" w:sz="4" w:space="0"/>
            </w:tcBorders>
            <w:noWrap w:val="0"/>
            <w:vAlign w:val="top"/>
          </w:tcPr>
          <w:p>
            <w:pPr>
              <w:pStyle w:val="20"/>
              <w:widowControl/>
              <w:spacing w:before="75" w:after="75" w:line="360" w:lineRule="auto"/>
              <w:jc w:val="center"/>
              <w:rPr>
                <w:rFonts w:ascii="宋体" w:hAnsi="宋体" w:cs="宋体"/>
                <w:color w:val="auto"/>
                <w:sz w:val="21"/>
                <w:szCs w:val="21"/>
              </w:rPr>
            </w:pPr>
            <w:r>
              <w:rPr>
                <w:rFonts w:hint="eastAsia" w:ascii="宋体" w:hAnsi="宋体" w:cs="宋体"/>
                <w:color w:val="auto"/>
                <w:sz w:val="21"/>
                <w:szCs w:val="21"/>
              </w:rPr>
              <w:t>序号</w:t>
            </w: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0"/>
              <w:widowControl/>
              <w:spacing w:before="75" w:after="75" w:line="360" w:lineRule="auto"/>
              <w:jc w:val="center"/>
              <w:rPr>
                <w:rFonts w:ascii="宋体" w:hAnsi="宋体" w:cs="宋体"/>
                <w:color w:val="auto"/>
                <w:sz w:val="21"/>
                <w:szCs w:val="21"/>
              </w:rPr>
            </w:pPr>
            <w:r>
              <w:rPr>
                <w:rFonts w:hint="eastAsia" w:ascii="宋体" w:hAnsi="宋体" w:cs="宋体"/>
                <w:color w:val="auto"/>
                <w:sz w:val="21"/>
                <w:szCs w:val="21"/>
              </w:rPr>
              <w:t>名称</w:t>
            </w: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0"/>
              <w:widowControl/>
              <w:spacing w:before="75" w:after="75" w:line="360" w:lineRule="auto"/>
              <w:jc w:val="center"/>
              <w:rPr>
                <w:rFonts w:ascii="宋体" w:hAnsi="宋体" w:cs="宋体"/>
                <w:color w:val="auto"/>
                <w:sz w:val="21"/>
                <w:szCs w:val="21"/>
              </w:rPr>
            </w:pPr>
            <w:r>
              <w:rPr>
                <w:rFonts w:hint="eastAsia" w:ascii="宋体" w:hAnsi="宋体" w:cs="宋体"/>
                <w:color w:val="auto"/>
                <w:sz w:val="21"/>
                <w:szCs w:val="21"/>
              </w:rPr>
              <w:t>品牌</w:t>
            </w: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0"/>
              <w:widowControl/>
              <w:spacing w:before="75" w:after="75" w:line="360" w:lineRule="auto"/>
              <w:jc w:val="center"/>
              <w:rPr>
                <w:rFonts w:ascii="宋体" w:hAnsi="宋体" w:cs="宋体"/>
                <w:color w:val="auto"/>
                <w:sz w:val="21"/>
                <w:szCs w:val="21"/>
              </w:rPr>
            </w:pPr>
            <w:r>
              <w:rPr>
                <w:rFonts w:hint="eastAsia" w:ascii="宋体" w:hAnsi="宋体" w:cs="宋体"/>
                <w:color w:val="auto"/>
                <w:sz w:val="21"/>
                <w:szCs w:val="21"/>
              </w:rPr>
              <w:t>规格型号</w:t>
            </w: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0"/>
              <w:widowControl/>
              <w:spacing w:before="75" w:after="75" w:line="360" w:lineRule="auto"/>
              <w:jc w:val="center"/>
              <w:rPr>
                <w:rFonts w:ascii="宋体" w:hAnsi="宋体" w:cs="宋体"/>
                <w:color w:val="auto"/>
                <w:sz w:val="21"/>
                <w:szCs w:val="21"/>
              </w:rPr>
            </w:pPr>
            <w:r>
              <w:rPr>
                <w:rFonts w:hint="eastAsia" w:ascii="宋体" w:hAnsi="宋体" w:cs="宋体"/>
                <w:color w:val="auto"/>
                <w:sz w:val="21"/>
                <w:szCs w:val="21"/>
              </w:rPr>
              <w:t>数量</w:t>
            </w: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0"/>
              <w:widowControl/>
              <w:spacing w:before="75" w:after="75" w:line="360" w:lineRule="auto"/>
              <w:jc w:val="center"/>
              <w:rPr>
                <w:rFonts w:ascii="宋体" w:hAnsi="宋体" w:cs="宋体"/>
                <w:color w:val="auto"/>
                <w:sz w:val="21"/>
                <w:szCs w:val="21"/>
              </w:rPr>
            </w:pPr>
            <w:r>
              <w:rPr>
                <w:rFonts w:hint="eastAsia" w:ascii="宋体" w:hAnsi="宋体" w:cs="宋体"/>
                <w:color w:val="auto"/>
                <w:sz w:val="21"/>
                <w:szCs w:val="21"/>
              </w:rPr>
              <w:t>单位</w:t>
            </w:r>
          </w:p>
        </w:tc>
        <w:tc>
          <w:tcPr>
            <w:tcW w:w="1066" w:type="dxa"/>
            <w:tcBorders>
              <w:top w:val="single" w:color="auto" w:sz="4" w:space="0"/>
              <w:left w:val="single" w:color="auto" w:sz="4" w:space="0"/>
              <w:bottom w:val="single" w:color="auto" w:sz="4" w:space="0"/>
              <w:right w:val="single" w:color="auto" w:sz="4" w:space="0"/>
            </w:tcBorders>
            <w:noWrap w:val="0"/>
            <w:vAlign w:val="top"/>
          </w:tcPr>
          <w:p>
            <w:pPr>
              <w:pStyle w:val="20"/>
              <w:widowControl/>
              <w:spacing w:before="75" w:after="75" w:line="360" w:lineRule="auto"/>
              <w:jc w:val="center"/>
              <w:rPr>
                <w:rFonts w:ascii="宋体" w:hAnsi="宋体" w:cs="宋体"/>
                <w:color w:val="auto"/>
                <w:sz w:val="21"/>
                <w:szCs w:val="21"/>
              </w:rPr>
            </w:pPr>
            <w:r>
              <w:rPr>
                <w:rFonts w:hint="eastAsia" w:ascii="宋体" w:hAnsi="宋体" w:cs="宋体"/>
                <w:color w:val="auto"/>
                <w:sz w:val="21"/>
                <w:szCs w:val="21"/>
              </w:rPr>
              <w:t>单价</w:t>
            </w:r>
          </w:p>
        </w:tc>
        <w:tc>
          <w:tcPr>
            <w:tcW w:w="1066" w:type="dxa"/>
            <w:tcBorders>
              <w:top w:val="single" w:color="auto" w:sz="4" w:space="0"/>
              <w:left w:val="single" w:color="auto" w:sz="4" w:space="0"/>
              <w:bottom w:val="single" w:color="auto" w:sz="4" w:space="0"/>
              <w:right w:val="single" w:color="auto" w:sz="4" w:space="0"/>
            </w:tcBorders>
            <w:noWrap w:val="0"/>
            <w:vAlign w:val="top"/>
          </w:tcPr>
          <w:p>
            <w:pPr>
              <w:pStyle w:val="20"/>
              <w:widowControl/>
              <w:spacing w:before="75" w:after="75" w:line="360" w:lineRule="auto"/>
              <w:jc w:val="center"/>
              <w:rPr>
                <w:rFonts w:ascii="宋体" w:hAnsi="宋体" w:cs="宋体"/>
                <w:color w:val="auto"/>
                <w:sz w:val="21"/>
                <w:szCs w:val="21"/>
              </w:rPr>
            </w:pPr>
            <w:r>
              <w:rPr>
                <w:rFonts w:hint="eastAsia" w:ascii="宋体" w:hAnsi="宋体" w:cs="宋体"/>
                <w:color w:val="auto"/>
                <w:sz w:val="21"/>
                <w:szCs w:val="21"/>
              </w:rPr>
              <w:t>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tcBorders>
              <w:top w:val="single" w:color="auto" w:sz="4" w:space="0"/>
              <w:left w:val="single" w:color="auto" w:sz="4" w:space="0"/>
              <w:bottom w:val="single" w:color="auto" w:sz="4" w:space="0"/>
              <w:right w:val="single" w:color="auto" w:sz="4" w:space="0"/>
            </w:tcBorders>
            <w:noWrap w:val="0"/>
            <w:vAlign w:val="top"/>
          </w:tcPr>
          <w:p>
            <w:pPr>
              <w:pStyle w:val="20"/>
              <w:widowControl/>
              <w:spacing w:before="75" w:after="75" w:line="360" w:lineRule="auto"/>
              <w:jc w:val="center"/>
              <w:rPr>
                <w:rFonts w:ascii="宋体" w:hAnsi="宋体" w:cs="宋体"/>
                <w:color w:val="auto"/>
                <w:sz w:val="21"/>
                <w:szCs w:val="21"/>
              </w:rPr>
            </w:pPr>
            <w:r>
              <w:rPr>
                <w:rFonts w:hint="eastAsia" w:ascii="宋体" w:hAnsi="宋体" w:cs="宋体"/>
                <w:color w:val="auto"/>
                <w:sz w:val="21"/>
                <w:szCs w:val="21"/>
              </w:rPr>
              <w:t>1</w:t>
            </w: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0"/>
              <w:widowControl/>
              <w:spacing w:before="75" w:after="75" w:line="360" w:lineRule="auto"/>
              <w:jc w:val="center"/>
              <w:rPr>
                <w:rFonts w:ascii="宋体" w:hAnsi="宋体" w:cs="宋体"/>
                <w:color w:val="auto"/>
                <w:sz w:val="21"/>
                <w:szCs w:val="21"/>
              </w:rPr>
            </w:pP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0"/>
              <w:widowControl/>
              <w:spacing w:before="75" w:after="75" w:line="360" w:lineRule="auto"/>
              <w:jc w:val="center"/>
              <w:rPr>
                <w:rFonts w:ascii="宋体" w:hAnsi="宋体" w:cs="宋体"/>
                <w:color w:val="auto"/>
                <w:sz w:val="21"/>
                <w:szCs w:val="21"/>
              </w:rPr>
            </w:pP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0"/>
              <w:widowControl/>
              <w:spacing w:before="75" w:after="75" w:line="360" w:lineRule="auto"/>
              <w:jc w:val="center"/>
              <w:rPr>
                <w:rFonts w:ascii="宋体" w:hAnsi="宋体" w:cs="宋体"/>
                <w:color w:val="auto"/>
                <w:sz w:val="21"/>
                <w:szCs w:val="21"/>
              </w:rPr>
            </w:pP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0"/>
              <w:widowControl/>
              <w:spacing w:before="75" w:after="75" w:line="360" w:lineRule="auto"/>
              <w:jc w:val="center"/>
              <w:rPr>
                <w:rFonts w:ascii="宋体" w:hAnsi="宋体" w:cs="宋体"/>
                <w:color w:val="auto"/>
                <w:sz w:val="21"/>
                <w:szCs w:val="21"/>
              </w:rPr>
            </w:pP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0"/>
              <w:widowControl/>
              <w:spacing w:before="75" w:after="75" w:line="360" w:lineRule="auto"/>
              <w:jc w:val="center"/>
              <w:rPr>
                <w:rFonts w:ascii="宋体" w:hAnsi="宋体" w:cs="宋体"/>
                <w:color w:val="auto"/>
                <w:sz w:val="21"/>
                <w:szCs w:val="21"/>
              </w:rPr>
            </w:pPr>
          </w:p>
        </w:tc>
        <w:tc>
          <w:tcPr>
            <w:tcW w:w="1066" w:type="dxa"/>
            <w:tcBorders>
              <w:top w:val="single" w:color="auto" w:sz="4" w:space="0"/>
              <w:left w:val="single" w:color="auto" w:sz="4" w:space="0"/>
              <w:bottom w:val="single" w:color="auto" w:sz="4" w:space="0"/>
              <w:right w:val="single" w:color="auto" w:sz="4" w:space="0"/>
            </w:tcBorders>
            <w:noWrap w:val="0"/>
            <w:vAlign w:val="top"/>
          </w:tcPr>
          <w:p>
            <w:pPr>
              <w:pStyle w:val="20"/>
              <w:widowControl/>
              <w:spacing w:before="75" w:after="75" w:line="360" w:lineRule="auto"/>
              <w:jc w:val="center"/>
              <w:rPr>
                <w:rFonts w:ascii="宋体" w:hAnsi="宋体" w:cs="宋体"/>
                <w:color w:val="auto"/>
                <w:sz w:val="21"/>
                <w:szCs w:val="21"/>
              </w:rPr>
            </w:pPr>
          </w:p>
        </w:tc>
        <w:tc>
          <w:tcPr>
            <w:tcW w:w="1066" w:type="dxa"/>
            <w:tcBorders>
              <w:top w:val="single" w:color="auto" w:sz="4" w:space="0"/>
              <w:left w:val="single" w:color="auto" w:sz="4" w:space="0"/>
              <w:bottom w:val="single" w:color="auto" w:sz="4" w:space="0"/>
              <w:right w:val="single" w:color="auto" w:sz="4" w:space="0"/>
            </w:tcBorders>
            <w:noWrap w:val="0"/>
            <w:vAlign w:val="top"/>
          </w:tcPr>
          <w:p>
            <w:pPr>
              <w:pStyle w:val="20"/>
              <w:widowControl/>
              <w:spacing w:before="75" w:after="75" w:line="360" w:lineRule="auto"/>
              <w:jc w:val="center"/>
              <w:rPr>
                <w:rFonts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tcBorders>
              <w:top w:val="single" w:color="auto" w:sz="4" w:space="0"/>
              <w:left w:val="single" w:color="auto" w:sz="4" w:space="0"/>
              <w:bottom w:val="single" w:color="auto" w:sz="4" w:space="0"/>
              <w:right w:val="single" w:color="auto" w:sz="4" w:space="0"/>
            </w:tcBorders>
            <w:noWrap w:val="0"/>
            <w:vAlign w:val="top"/>
          </w:tcPr>
          <w:p>
            <w:pPr>
              <w:pStyle w:val="20"/>
              <w:widowControl/>
              <w:spacing w:before="75" w:after="75" w:line="360" w:lineRule="auto"/>
              <w:jc w:val="center"/>
              <w:rPr>
                <w:rFonts w:ascii="宋体" w:hAnsi="宋体" w:cs="宋体"/>
                <w:color w:val="auto"/>
                <w:sz w:val="21"/>
                <w:szCs w:val="21"/>
              </w:rPr>
            </w:pPr>
            <w:r>
              <w:rPr>
                <w:rFonts w:hint="eastAsia" w:ascii="宋体" w:hAnsi="宋体" w:cs="宋体"/>
                <w:color w:val="auto"/>
                <w:sz w:val="21"/>
                <w:szCs w:val="21"/>
              </w:rPr>
              <w:t>2</w:t>
            </w: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0"/>
              <w:widowControl/>
              <w:spacing w:before="75" w:after="75" w:line="360" w:lineRule="auto"/>
              <w:jc w:val="center"/>
              <w:rPr>
                <w:rFonts w:ascii="宋体" w:hAnsi="宋体" w:cs="宋体"/>
                <w:color w:val="auto"/>
                <w:sz w:val="21"/>
                <w:szCs w:val="21"/>
              </w:rPr>
            </w:pP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0"/>
              <w:widowControl/>
              <w:spacing w:before="75" w:after="75" w:line="360" w:lineRule="auto"/>
              <w:jc w:val="center"/>
              <w:rPr>
                <w:rFonts w:ascii="宋体" w:hAnsi="宋体" w:cs="宋体"/>
                <w:color w:val="auto"/>
                <w:sz w:val="21"/>
                <w:szCs w:val="21"/>
              </w:rPr>
            </w:pP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0"/>
              <w:widowControl/>
              <w:spacing w:before="75" w:after="75" w:line="360" w:lineRule="auto"/>
              <w:jc w:val="center"/>
              <w:rPr>
                <w:rFonts w:ascii="宋体" w:hAnsi="宋体" w:cs="宋体"/>
                <w:color w:val="auto"/>
                <w:sz w:val="21"/>
                <w:szCs w:val="21"/>
              </w:rPr>
            </w:pP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0"/>
              <w:widowControl/>
              <w:spacing w:before="75" w:after="75" w:line="360" w:lineRule="auto"/>
              <w:jc w:val="center"/>
              <w:rPr>
                <w:rFonts w:ascii="宋体" w:hAnsi="宋体" w:cs="宋体"/>
                <w:color w:val="auto"/>
                <w:sz w:val="21"/>
                <w:szCs w:val="21"/>
              </w:rPr>
            </w:pP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0"/>
              <w:widowControl/>
              <w:spacing w:before="75" w:after="75" w:line="360" w:lineRule="auto"/>
              <w:jc w:val="center"/>
              <w:rPr>
                <w:rFonts w:ascii="宋体" w:hAnsi="宋体" w:cs="宋体"/>
                <w:color w:val="auto"/>
                <w:sz w:val="21"/>
                <w:szCs w:val="21"/>
              </w:rPr>
            </w:pPr>
          </w:p>
        </w:tc>
        <w:tc>
          <w:tcPr>
            <w:tcW w:w="1066" w:type="dxa"/>
            <w:tcBorders>
              <w:top w:val="single" w:color="auto" w:sz="4" w:space="0"/>
              <w:left w:val="single" w:color="auto" w:sz="4" w:space="0"/>
              <w:bottom w:val="single" w:color="auto" w:sz="4" w:space="0"/>
              <w:right w:val="single" w:color="auto" w:sz="4" w:space="0"/>
            </w:tcBorders>
            <w:noWrap w:val="0"/>
            <w:vAlign w:val="top"/>
          </w:tcPr>
          <w:p>
            <w:pPr>
              <w:pStyle w:val="20"/>
              <w:widowControl/>
              <w:spacing w:before="75" w:after="75" w:line="360" w:lineRule="auto"/>
              <w:jc w:val="center"/>
              <w:rPr>
                <w:rFonts w:ascii="宋体" w:hAnsi="宋体" w:cs="宋体"/>
                <w:color w:val="auto"/>
                <w:sz w:val="21"/>
                <w:szCs w:val="21"/>
              </w:rPr>
            </w:pPr>
          </w:p>
        </w:tc>
        <w:tc>
          <w:tcPr>
            <w:tcW w:w="1066" w:type="dxa"/>
            <w:tcBorders>
              <w:top w:val="single" w:color="auto" w:sz="4" w:space="0"/>
              <w:left w:val="single" w:color="auto" w:sz="4" w:space="0"/>
              <w:bottom w:val="single" w:color="auto" w:sz="4" w:space="0"/>
              <w:right w:val="single" w:color="auto" w:sz="4" w:space="0"/>
            </w:tcBorders>
            <w:noWrap w:val="0"/>
            <w:vAlign w:val="top"/>
          </w:tcPr>
          <w:p>
            <w:pPr>
              <w:pStyle w:val="20"/>
              <w:widowControl/>
              <w:spacing w:before="75" w:after="75" w:line="360" w:lineRule="auto"/>
              <w:jc w:val="center"/>
              <w:rPr>
                <w:rFonts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tcBorders>
              <w:top w:val="single" w:color="auto" w:sz="4" w:space="0"/>
              <w:left w:val="single" w:color="auto" w:sz="4" w:space="0"/>
              <w:bottom w:val="single" w:color="auto" w:sz="4" w:space="0"/>
              <w:right w:val="single" w:color="auto" w:sz="4" w:space="0"/>
            </w:tcBorders>
            <w:noWrap w:val="0"/>
            <w:vAlign w:val="top"/>
          </w:tcPr>
          <w:p>
            <w:pPr>
              <w:pStyle w:val="20"/>
              <w:widowControl/>
              <w:spacing w:before="75" w:after="75" w:line="360" w:lineRule="auto"/>
              <w:jc w:val="center"/>
              <w:rPr>
                <w:rFonts w:ascii="宋体" w:hAnsi="宋体" w:cs="宋体"/>
                <w:color w:val="auto"/>
                <w:sz w:val="21"/>
                <w:szCs w:val="21"/>
              </w:rPr>
            </w:pPr>
            <w:r>
              <w:rPr>
                <w:rFonts w:hint="eastAsia" w:ascii="宋体" w:hAnsi="宋体" w:cs="宋体"/>
                <w:color w:val="auto"/>
                <w:sz w:val="21"/>
                <w:szCs w:val="21"/>
              </w:rPr>
              <w:t>3</w:t>
            </w: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0"/>
              <w:widowControl/>
              <w:spacing w:before="75" w:after="75" w:line="360" w:lineRule="auto"/>
              <w:jc w:val="center"/>
              <w:rPr>
                <w:rFonts w:ascii="宋体" w:hAnsi="宋体" w:cs="宋体"/>
                <w:color w:val="auto"/>
                <w:sz w:val="21"/>
                <w:szCs w:val="21"/>
              </w:rPr>
            </w:pP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0"/>
              <w:widowControl/>
              <w:spacing w:before="75" w:after="75" w:line="360" w:lineRule="auto"/>
              <w:jc w:val="center"/>
              <w:rPr>
                <w:rFonts w:ascii="宋体" w:hAnsi="宋体" w:cs="宋体"/>
                <w:color w:val="auto"/>
                <w:sz w:val="21"/>
                <w:szCs w:val="21"/>
              </w:rPr>
            </w:pP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0"/>
              <w:widowControl/>
              <w:spacing w:before="75" w:after="75" w:line="360" w:lineRule="auto"/>
              <w:jc w:val="center"/>
              <w:rPr>
                <w:rFonts w:ascii="宋体" w:hAnsi="宋体" w:cs="宋体"/>
                <w:color w:val="auto"/>
                <w:sz w:val="21"/>
                <w:szCs w:val="21"/>
              </w:rPr>
            </w:pP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0"/>
              <w:widowControl/>
              <w:spacing w:before="75" w:after="75" w:line="360" w:lineRule="auto"/>
              <w:jc w:val="center"/>
              <w:rPr>
                <w:rFonts w:ascii="宋体" w:hAnsi="宋体" w:cs="宋体"/>
                <w:color w:val="auto"/>
                <w:sz w:val="21"/>
                <w:szCs w:val="21"/>
              </w:rPr>
            </w:pP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0"/>
              <w:widowControl/>
              <w:spacing w:before="75" w:after="75" w:line="360" w:lineRule="auto"/>
              <w:jc w:val="center"/>
              <w:rPr>
                <w:rFonts w:ascii="宋体" w:hAnsi="宋体" w:cs="宋体"/>
                <w:color w:val="auto"/>
                <w:sz w:val="21"/>
                <w:szCs w:val="21"/>
              </w:rPr>
            </w:pPr>
          </w:p>
        </w:tc>
        <w:tc>
          <w:tcPr>
            <w:tcW w:w="1066" w:type="dxa"/>
            <w:tcBorders>
              <w:top w:val="single" w:color="auto" w:sz="4" w:space="0"/>
              <w:left w:val="single" w:color="auto" w:sz="4" w:space="0"/>
              <w:bottom w:val="single" w:color="auto" w:sz="4" w:space="0"/>
              <w:right w:val="single" w:color="auto" w:sz="4" w:space="0"/>
            </w:tcBorders>
            <w:noWrap w:val="0"/>
            <w:vAlign w:val="top"/>
          </w:tcPr>
          <w:p>
            <w:pPr>
              <w:pStyle w:val="20"/>
              <w:widowControl/>
              <w:spacing w:before="75" w:after="75" w:line="360" w:lineRule="auto"/>
              <w:jc w:val="center"/>
              <w:rPr>
                <w:rFonts w:ascii="宋体" w:hAnsi="宋体" w:cs="宋体"/>
                <w:color w:val="auto"/>
                <w:sz w:val="21"/>
                <w:szCs w:val="21"/>
              </w:rPr>
            </w:pPr>
          </w:p>
        </w:tc>
        <w:tc>
          <w:tcPr>
            <w:tcW w:w="1066" w:type="dxa"/>
            <w:tcBorders>
              <w:top w:val="single" w:color="auto" w:sz="4" w:space="0"/>
              <w:left w:val="single" w:color="auto" w:sz="4" w:space="0"/>
              <w:bottom w:val="single" w:color="auto" w:sz="4" w:space="0"/>
              <w:right w:val="single" w:color="auto" w:sz="4" w:space="0"/>
            </w:tcBorders>
            <w:noWrap w:val="0"/>
            <w:vAlign w:val="top"/>
          </w:tcPr>
          <w:p>
            <w:pPr>
              <w:pStyle w:val="20"/>
              <w:widowControl/>
              <w:spacing w:before="75" w:after="75" w:line="360" w:lineRule="auto"/>
              <w:jc w:val="center"/>
              <w:rPr>
                <w:rFonts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tcBorders>
              <w:top w:val="single" w:color="auto" w:sz="4" w:space="0"/>
              <w:left w:val="single" w:color="auto" w:sz="4" w:space="0"/>
              <w:bottom w:val="single" w:color="auto" w:sz="4" w:space="0"/>
              <w:right w:val="single" w:color="auto" w:sz="4" w:space="0"/>
            </w:tcBorders>
            <w:noWrap w:val="0"/>
            <w:vAlign w:val="top"/>
          </w:tcPr>
          <w:p>
            <w:pPr>
              <w:pStyle w:val="20"/>
              <w:widowControl/>
              <w:spacing w:before="75" w:after="75" w:line="360" w:lineRule="auto"/>
              <w:jc w:val="center"/>
              <w:rPr>
                <w:rFonts w:ascii="宋体" w:hAnsi="宋体" w:cs="宋体"/>
                <w:color w:val="auto"/>
                <w:sz w:val="21"/>
                <w:szCs w:val="21"/>
              </w:rPr>
            </w:pPr>
            <w:r>
              <w:rPr>
                <w:rFonts w:hint="eastAsia" w:ascii="宋体" w:hAnsi="宋体" w:cs="宋体"/>
                <w:color w:val="auto"/>
                <w:sz w:val="21"/>
                <w:szCs w:val="21"/>
              </w:rPr>
              <w:t>……</w:t>
            </w: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0"/>
              <w:widowControl/>
              <w:spacing w:before="75" w:after="75" w:line="360" w:lineRule="auto"/>
              <w:jc w:val="center"/>
              <w:rPr>
                <w:rFonts w:ascii="宋体" w:hAnsi="宋体" w:cs="宋体"/>
                <w:color w:val="auto"/>
                <w:sz w:val="21"/>
                <w:szCs w:val="21"/>
              </w:rPr>
            </w:pP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0"/>
              <w:widowControl/>
              <w:spacing w:before="75" w:after="75" w:line="360" w:lineRule="auto"/>
              <w:jc w:val="center"/>
              <w:rPr>
                <w:rFonts w:ascii="宋体" w:hAnsi="宋体" w:cs="宋体"/>
                <w:color w:val="auto"/>
                <w:sz w:val="21"/>
                <w:szCs w:val="21"/>
              </w:rPr>
            </w:pP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0"/>
              <w:widowControl/>
              <w:spacing w:before="75" w:after="75" w:line="360" w:lineRule="auto"/>
              <w:jc w:val="center"/>
              <w:rPr>
                <w:rFonts w:ascii="宋体" w:hAnsi="宋体" w:cs="宋体"/>
                <w:color w:val="auto"/>
                <w:sz w:val="21"/>
                <w:szCs w:val="21"/>
              </w:rPr>
            </w:pP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0"/>
              <w:widowControl/>
              <w:spacing w:before="75" w:after="75" w:line="360" w:lineRule="auto"/>
              <w:jc w:val="center"/>
              <w:rPr>
                <w:rFonts w:ascii="宋体" w:hAnsi="宋体" w:cs="宋体"/>
                <w:color w:val="auto"/>
                <w:sz w:val="21"/>
                <w:szCs w:val="21"/>
              </w:rPr>
            </w:pP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0"/>
              <w:widowControl/>
              <w:spacing w:before="75" w:after="75" w:line="360" w:lineRule="auto"/>
              <w:jc w:val="center"/>
              <w:rPr>
                <w:rFonts w:ascii="宋体" w:hAnsi="宋体" w:cs="宋体"/>
                <w:color w:val="auto"/>
                <w:sz w:val="21"/>
                <w:szCs w:val="21"/>
              </w:rPr>
            </w:pPr>
          </w:p>
        </w:tc>
        <w:tc>
          <w:tcPr>
            <w:tcW w:w="1066" w:type="dxa"/>
            <w:tcBorders>
              <w:top w:val="single" w:color="auto" w:sz="4" w:space="0"/>
              <w:left w:val="single" w:color="auto" w:sz="4" w:space="0"/>
              <w:bottom w:val="single" w:color="auto" w:sz="4" w:space="0"/>
              <w:right w:val="single" w:color="auto" w:sz="4" w:space="0"/>
            </w:tcBorders>
            <w:noWrap w:val="0"/>
            <w:vAlign w:val="top"/>
          </w:tcPr>
          <w:p>
            <w:pPr>
              <w:pStyle w:val="20"/>
              <w:widowControl/>
              <w:spacing w:before="75" w:after="75" w:line="360" w:lineRule="auto"/>
              <w:jc w:val="center"/>
              <w:rPr>
                <w:rFonts w:ascii="宋体" w:hAnsi="宋体" w:cs="宋体"/>
                <w:color w:val="auto"/>
                <w:sz w:val="21"/>
                <w:szCs w:val="21"/>
              </w:rPr>
            </w:pPr>
          </w:p>
        </w:tc>
        <w:tc>
          <w:tcPr>
            <w:tcW w:w="1066" w:type="dxa"/>
            <w:tcBorders>
              <w:top w:val="single" w:color="auto" w:sz="4" w:space="0"/>
              <w:left w:val="single" w:color="auto" w:sz="4" w:space="0"/>
              <w:bottom w:val="single" w:color="auto" w:sz="4" w:space="0"/>
              <w:right w:val="single" w:color="auto" w:sz="4" w:space="0"/>
            </w:tcBorders>
            <w:noWrap w:val="0"/>
            <w:vAlign w:val="top"/>
          </w:tcPr>
          <w:p>
            <w:pPr>
              <w:pStyle w:val="20"/>
              <w:widowControl/>
              <w:spacing w:before="75" w:after="75" w:line="360" w:lineRule="auto"/>
              <w:jc w:val="center"/>
              <w:rPr>
                <w:rFonts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6" w:type="dxa"/>
            <w:gridSpan w:val="7"/>
            <w:tcBorders>
              <w:top w:val="single" w:color="auto" w:sz="4" w:space="0"/>
              <w:left w:val="single" w:color="auto" w:sz="4" w:space="0"/>
              <w:bottom w:val="single" w:color="auto" w:sz="4" w:space="0"/>
              <w:right w:val="single" w:color="auto" w:sz="4" w:space="0"/>
            </w:tcBorders>
            <w:noWrap w:val="0"/>
            <w:vAlign w:val="top"/>
          </w:tcPr>
          <w:p>
            <w:pPr>
              <w:pStyle w:val="20"/>
              <w:widowControl/>
              <w:spacing w:before="75" w:after="75" w:line="360" w:lineRule="auto"/>
              <w:jc w:val="center"/>
              <w:rPr>
                <w:rFonts w:ascii="宋体" w:hAnsi="宋体" w:cs="宋体"/>
                <w:color w:val="auto"/>
                <w:sz w:val="21"/>
                <w:szCs w:val="21"/>
              </w:rPr>
            </w:pPr>
            <w:r>
              <w:rPr>
                <w:rFonts w:hint="eastAsia" w:ascii="宋体" w:hAnsi="宋体" w:cs="宋体"/>
                <w:color w:val="auto"/>
                <w:sz w:val="21"/>
                <w:szCs w:val="21"/>
              </w:rPr>
              <w:t>合计：</w:t>
            </w:r>
          </w:p>
        </w:tc>
        <w:tc>
          <w:tcPr>
            <w:tcW w:w="1066" w:type="dxa"/>
            <w:tcBorders>
              <w:top w:val="single" w:color="auto" w:sz="4" w:space="0"/>
              <w:left w:val="single" w:color="auto" w:sz="4" w:space="0"/>
              <w:bottom w:val="single" w:color="auto" w:sz="4" w:space="0"/>
              <w:right w:val="single" w:color="auto" w:sz="4" w:space="0"/>
            </w:tcBorders>
            <w:noWrap w:val="0"/>
            <w:vAlign w:val="top"/>
          </w:tcPr>
          <w:p>
            <w:pPr>
              <w:pStyle w:val="20"/>
              <w:widowControl/>
              <w:spacing w:before="75" w:after="75" w:line="360" w:lineRule="auto"/>
              <w:jc w:val="center"/>
              <w:rPr>
                <w:rFonts w:ascii="宋体" w:hAnsi="宋体" w:cs="宋体"/>
                <w:color w:val="auto"/>
                <w:sz w:val="21"/>
                <w:szCs w:val="21"/>
              </w:rPr>
            </w:pPr>
          </w:p>
        </w:tc>
      </w:tr>
    </w:tbl>
    <w:p>
      <w:pPr>
        <w:pStyle w:val="20"/>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3、合同总金额</w:t>
      </w:r>
    </w:p>
    <w:p>
      <w:pPr>
        <w:pStyle w:val="20"/>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3.1合同总金额为人民币大写：</w:t>
      </w:r>
      <w:r>
        <w:rPr>
          <w:rFonts w:hint="eastAsia" w:ascii="宋体" w:hAnsi="宋体" w:cs="宋体"/>
          <w:color w:val="auto"/>
          <w:sz w:val="21"/>
          <w:szCs w:val="21"/>
          <w:u w:val="single"/>
        </w:rPr>
        <w:t>           </w:t>
      </w:r>
      <w:r>
        <w:rPr>
          <w:rFonts w:hint="eastAsia" w:ascii="宋体" w:hAnsi="宋体" w:cs="宋体"/>
          <w:color w:val="auto"/>
          <w:sz w:val="21"/>
          <w:szCs w:val="21"/>
        </w:rPr>
        <w:t>元（￥</w:t>
      </w:r>
      <w:r>
        <w:rPr>
          <w:rFonts w:hint="eastAsia" w:ascii="宋体" w:hAnsi="宋体" w:cs="宋体"/>
          <w:color w:val="auto"/>
          <w:sz w:val="21"/>
          <w:szCs w:val="21"/>
          <w:u w:val="single"/>
        </w:rPr>
        <w:t>          </w:t>
      </w:r>
      <w:r>
        <w:rPr>
          <w:rFonts w:hint="eastAsia" w:ascii="宋体" w:hAnsi="宋体" w:cs="宋体"/>
          <w:color w:val="auto"/>
          <w:sz w:val="21"/>
          <w:szCs w:val="21"/>
        </w:rPr>
        <w:t>）。</w:t>
      </w:r>
    </w:p>
    <w:p>
      <w:pPr>
        <w:pStyle w:val="20"/>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4、合同标的交付时间、地点和条件</w:t>
      </w:r>
    </w:p>
    <w:p>
      <w:pPr>
        <w:pStyle w:val="20"/>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4.1交付时间：</w:t>
      </w:r>
      <w:r>
        <w:rPr>
          <w:rFonts w:hint="eastAsia" w:ascii="宋体" w:hAnsi="宋体" w:cs="宋体"/>
          <w:color w:val="auto"/>
          <w:sz w:val="21"/>
          <w:szCs w:val="21"/>
          <w:u w:val="single"/>
        </w:rPr>
        <w:t>                     </w:t>
      </w:r>
      <w:r>
        <w:rPr>
          <w:rFonts w:hint="eastAsia" w:ascii="宋体" w:hAnsi="宋体" w:cs="宋体"/>
          <w:color w:val="auto"/>
          <w:sz w:val="21"/>
          <w:szCs w:val="21"/>
        </w:rPr>
        <w:t>；</w:t>
      </w:r>
    </w:p>
    <w:p>
      <w:pPr>
        <w:pStyle w:val="20"/>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4.2交付地点：</w:t>
      </w:r>
      <w:r>
        <w:rPr>
          <w:rFonts w:hint="eastAsia" w:ascii="宋体" w:hAnsi="宋体" w:cs="宋体"/>
          <w:color w:val="auto"/>
          <w:sz w:val="21"/>
          <w:szCs w:val="21"/>
          <w:u w:val="single"/>
        </w:rPr>
        <w:t>           </w:t>
      </w:r>
      <w:r>
        <w:rPr>
          <w:rFonts w:hint="eastAsia" w:ascii="宋体" w:hAnsi="宋体" w:cs="宋体"/>
          <w:color w:val="auto"/>
          <w:sz w:val="21"/>
          <w:szCs w:val="21"/>
        </w:rPr>
        <w:t>；</w:t>
      </w:r>
    </w:p>
    <w:p>
      <w:pPr>
        <w:pStyle w:val="20"/>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4.3交付条件：</w:t>
      </w:r>
      <w:r>
        <w:rPr>
          <w:rFonts w:hint="eastAsia" w:ascii="宋体" w:hAnsi="宋体" w:cs="宋体"/>
          <w:color w:val="auto"/>
          <w:sz w:val="21"/>
          <w:szCs w:val="21"/>
          <w:u w:val="single"/>
        </w:rPr>
        <w:t xml:space="preserve">                            。</w:t>
      </w:r>
    </w:p>
    <w:p>
      <w:pPr>
        <w:pStyle w:val="20"/>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5、合同标的应符合招标文件、乙方投标文件的规定或约定，具体如下：</w:t>
      </w:r>
    </w:p>
    <w:p>
      <w:pPr>
        <w:pStyle w:val="20"/>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5.1 技术服务：</w:t>
      </w:r>
      <w:r>
        <w:rPr>
          <w:rFonts w:hint="eastAsia" w:ascii="宋体" w:hAnsi="宋体" w:cs="宋体"/>
          <w:color w:val="auto"/>
          <w:sz w:val="21"/>
          <w:szCs w:val="21"/>
          <w:u w:val="single"/>
        </w:rPr>
        <w:t xml:space="preserve">                            </w:t>
      </w:r>
      <w:r>
        <w:rPr>
          <w:rFonts w:hint="eastAsia" w:ascii="宋体" w:hAnsi="宋体" w:cs="宋体"/>
          <w:color w:val="auto"/>
          <w:sz w:val="21"/>
          <w:szCs w:val="21"/>
        </w:rPr>
        <w:t>。</w:t>
      </w:r>
    </w:p>
    <w:p>
      <w:pPr>
        <w:pStyle w:val="20"/>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 xml:space="preserve">5.2 售后服务： </w:t>
      </w:r>
    </w:p>
    <w:p>
      <w:pPr>
        <w:pStyle w:val="20"/>
        <w:widowControl/>
        <w:spacing w:before="75" w:after="75" w:line="360" w:lineRule="auto"/>
        <w:ind w:firstLine="472" w:firstLineChars="225"/>
        <w:rPr>
          <w:rFonts w:ascii="宋体" w:hAnsi="宋体" w:cs="宋体"/>
          <w:color w:val="auto"/>
          <w:sz w:val="21"/>
          <w:szCs w:val="21"/>
          <w:u w:val="single"/>
        </w:rPr>
      </w:pPr>
      <w:r>
        <w:rPr>
          <w:rFonts w:hint="eastAsia" w:ascii="宋体" w:hAnsi="宋体" w:cs="宋体"/>
          <w:color w:val="auto"/>
          <w:sz w:val="21"/>
          <w:szCs w:val="21"/>
        </w:rPr>
        <w:t>5.2.1 设备整机保修：</w:t>
      </w:r>
      <w:r>
        <w:rPr>
          <w:rFonts w:hint="eastAsia" w:ascii="宋体" w:hAnsi="宋体" w:cs="宋体"/>
          <w:color w:val="auto"/>
          <w:sz w:val="21"/>
          <w:szCs w:val="21"/>
          <w:u w:val="single"/>
        </w:rPr>
        <w:t xml:space="preserve">                          。 </w:t>
      </w:r>
    </w:p>
    <w:p>
      <w:pPr>
        <w:pStyle w:val="20"/>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6、验收</w:t>
      </w:r>
    </w:p>
    <w:p>
      <w:pPr>
        <w:pStyle w:val="20"/>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6.1验收应按照招标文件、乙方投标文件的规定或约定进行，具体如下：</w:t>
      </w:r>
    </w:p>
    <w:p>
      <w:pPr>
        <w:pStyle w:val="20"/>
        <w:widowControl/>
        <w:spacing w:before="75" w:after="75" w:line="360" w:lineRule="auto"/>
        <w:ind w:firstLine="472" w:firstLineChars="225"/>
        <w:rPr>
          <w:rFonts w:ascii="宋体" w:hAnsi="宋体" w:cs="宋体"/>
          <w:color w:val="auto"/>
          <w:sz w:val="21"/>
          <w:szCs w:val="21"/>
          <w:u w:val="single"/>
        </w:rPr>
      </w:pPr>
      <w:r>
        <w:rPr>
          <w:rFonts w:hint="eastAsia" w:ascii="宋体" w:hAnsi="宋体" w:cs="宋体"/>
          <w:color w:val="auto"/>
          <w:sz w:val="21"/>
          <w:szCs w:val="21"/>
          <w:u w:val="single"/>
        </w:rPr>
        <w:t xml:space="preserve">                                  。</w:t>
      </w:r>
    </w:p>
    <w:p>
      <w:pPr>
        <w:pStyle w:val="20"/>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6.2本项目是否邀请其他投标人参与验收：</w:t>
      </w:r>
    </w:p>
    <w:p>
      <w:pPr>
        <w:pStyle w:val="20"/>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☑不邀请。□邀请，具体如下：</w:t>
      </w:r>
      <w:r>
        <w:rPr>
          <w:rFonts w:hint="eastAsia" w:ascii="宋体" w:hAnsi="宋体" w:cs="宋体"/>
          <w:color w:val="auto"/>
          <w:sz w:val="21"/>
          <w:szCs w:val="21"/>
          <w:u w:val="single"/>
        </w:rPr>
        <w:t>（按照招标文件规定填写）</w:t>
      </w:r>
      <w:r>
        <w:rPr>
          <w:rFonts w:hint="eastAsia" w:ascii="宋体" w:hAnsi="宋体" w:cs="宋体"/>
          <w:color w:val="auto"/>
          <w:sz w:val="21"/>
          <w:szCs w:val="21"/>
        </w:rPr>
        <w:t>。</w:t>
      </w:r>
    </w:p>
    <w:p>
      <w:pPr>
        <w:pStyle w:val="20"/>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7、合同款项的支付应按照招标文件的规定进行，具体如下：</w:t>
      </w:r>
    </w:p>
    <w:p>
      <w:pPr>
        <w:widowControl/>
        <w:ind w:firstLine="420" w:firstLineChars="200"/>
        <w:jc w:val="left"/>
        <w:rPr>
          <w:rFonts w:ascii="宋体" w:hAnsi="宋体" w:cs="宋体"/>
          <w:color w:val="auto"/>
          <w:szCs w:val="21"/>
          <w:u w:val="single"/>
        </w:rPr>
      </w:pPr>
      <w:r>
        <w:rPr>
          <w:rFonts w:hint="eastAsia" w:ascii="宋体" w:hAnsi="宋体" w:cs="宋体"/>
          <w:color w:val="auto"/>
          <w:kern w:val="0"/>
          <w:szCs w:val="21"/>
        </w:rPr>
        <w:t>支付时间及条件：</w:t>
      </w:r>
      <w:r>
        <w:rPr>
          <w:rFonts w:hint="eastAsia" w:ascii="宋体" w:hAnsi="宋体" w:cs="宋体"/>
          <w:color w:val="auto"/>
          <w:szCs w:val="21"/>
          <w:u w:val="single"/>
        </w:rPr>
        <w:t xml:space="preserve">                           。</w:t>
      </w:r>
    </w:p>
    <w:p>
      <w:pPr>
        <w:pStyle w:val="20"/>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8、履约保证金</w:t>
      </w:r>
    </w:p>
    <w:p>
      <w:pPr>
        <w:pStyle w:val="20"/>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☑无。□有，具体如下：</w:t>
      </w:r>
      <w:r>
        <w:rPr>
          <w:rFonts w:hint="eastAsia" w:ascii="宋体" w:hAnsi="宋体" w:cs="宋体"/>
          <w:color w:val="auto"/>
          <w:sz w:val="21"/>
          <w:szCs w:val="21"/>
          <w:u w:val="single"/>
        </w:rPr>
        <w:t>（按照招标文件规定填写）</w:t>
      </w:r>
      <w:r>
        <w:rPr>
          <w:rFonts w:hint="eastAsia" w:ascii="宋体" w:hAnsi="宋体" w:cs="宋体"/>
          <w:color w:val="auto"/>
          <w:sz w:val="21"/>
          <w:szCs w:val="21"/>
        </w:rPr>
        <w:t>。</w:t>
      </w:r>
    </w:p>
    <w:p>
      <w:pPr>
        <w:pStyle w:val="20"/>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9、合同有效期</w:t>
      </w:r>
    </w:p>
    <w:p>
      <w:pPr>
        <w:widowControl/>
        <w:ind w:firstLine="630" w:firstLineChars="300"/>
        <w:jc w:val="left"/>
        <w:rPr>
          <w:rFonts w:ascii="宋体" w:hAnsi="宋体" w:cs="宋体"/>
          <w:color w:val="auto"/>
          <w:szCs w:val="21"/>
          <w:u w:val="single"/>
        </w:rPr>
      </w:pPr>
      <w:r>
        <w:rPr>
          <w:rFonts w:hint="eastAsia" w:ascii="宋体" w:hAnsi="宋体" w:cs="宋体"/>
          <w:color w:val="auto"/>
          <w:szCs w:val="21"/>
          <w:u w:val="single"/>
        </w:rPr>
        <w:t xml:space="preserve">                            。</w:t>
      </w:r>
    </w:p>
    <w:p>
      <w:pPr>
        <w:pStyle w:val="20"/>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10、违约责任</w:t>
      </w:r>
    </w:p>
    <w:p>
      <w:pPr>
        <w:pStyle w:val="20"/>
        <w:widowControl/>
        <w:spacing w:before="75" w:after="75" w:line="360" w:lineRule="auto"/>
        <w:ind w:firstLine="472" w:firstLineChars="225"/>
        <w:rPr>
          <w:rFonts w:ascii="宋体" w:hAnsi="宋体" w:cs="宋体"/>
          <w:color w:val="auto"/>
          <w:sz w:val="21"/>
          <w:szCs w:val="21"/>
          <w:u w:val="single"/>
        </w:rPr>
      </w:pPr>
      <w:r>
        <w:rPr>
          <w:rFonts w:hint="eastAsia" w:ascii="宋体" w:hAnsi="宋体" w:cs="宋体"/>
          <w:color w:val="auto"/>
          <w:sz w:val="21"/>
          <w:szCs w:val="21"/>
          <w:u w:val="single"/>
        </w:rPr>
        <w:t xml:space="preserve">                            。 </w:t>
      </w:r>
    </w:p>
    <w:p>
      <w:pPr>
        <w:pStyle w:val="20"/>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11、知识产权</w:t>
      </w:r>
    </w:p>
    <w:p>
      <w:pPr>
        <w:widowControl/>
        <w:ind w:firstLine="420" w:firstLineChars="200"/>
        <w:jc w:val="left"/>
        <w:rPr>
          <w:rFonts w:ascii="宋体" w:hAnsi="宋体" w:cs="宋体"/>
          <w:color w:val="auto"/>
          <w:szCs w:val="21"/>
        </w:rPr>
      </w:pPr>
      <w:r>
        <w:rPr>
          <w:rFonts w:hint="eastAsia" w:ascii="宋体" w:hAnsi="宋体" w:cs="宋体"/>
          <w:color w:val="auto"/>
          <w:szCs w:val="21"/>
        </w:rPr>
        <w:t>11.1乙方提供的采购标的应符合国家知识产权法律、法规的规定且非假冒伪劣品；乙方还应保证甲方不受到第三方关于侵犯知识产权及专利权、商标权或工业设计权等知识产权方面的指控，若任何第三方提出此方面指控均与甲方无关，乙方应与第三方交涉，并承担可能发生的一切法律责任、费用和后果；若甲方因此而遭致损失，则乙方应赔偿该损失，该损失包括但不限于直接损失、间接损失、诉讼费用、保全保险费、保全费、律师费用、及其他与追溯违约方责任有关的所有费用。</w:t>
      </w:r>
    </w:p>
    <w:p>
      <w:pPr>
        <w:pStyle w:val="20"/>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11.2若乙方提供的采购标的不符合国家知识产权法律、法规的规定或被有关主管机关认定为假冒伪劣品，则乙方中标资格将被取消；甲方还将按照有关法律、法规和规章的规定进行处理。</w:t>
      </w:r>
    </w:p>
    <w:p>
      <w:pPr>
        <w:pStyle w:val="20"/>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12、解决争议的方法</w:t>
      </w:r>
    </w:p>
    <w:p>
      <w:pPr>
        <w:pStyle w:val="20"/>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12.1甲、乙双方协商解决。</w:t>
      </w:r>
    </w:p>
    <w:p>
      <w:pPr>
        <w:pStyle w:val="20"/>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12.2若协商解决不成，则通过下列途径之一解决：</w:t>
      </w:r>
    </w:p>
    <w:p>
      <w:pPr>
        <w:pStyle w:val="20"/>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□提交仲裁委员会仲裁，具体如下：</w:t>
      </w:r>
      <w:r>
        <w:rPr>
          <w:rFonts w:hint="eastAsia" w:ascii="宋体" w:hAnsi="宋体" w:cs="宋体"/>
          <w:color w:val="auto"/>
          <w:sz w:val="21"/>
          <w:szCs w:val="21"/>
          <w:u w:val="single"/>
        </w:rPr>
        <w:t>（按照实际情况编制填写）</w:t>
      </w:r>
      <w:r>
        <w:rPr>
          <w:rFonts w:hint="eastAsia" w:ascii="宋体" w:hAnsi="宋体" w:cs="宋体"/>
          <w:color w:val="auto"/>
          <w:sz w:val="21"/>
          <w:szCs w:val="21"/>
        </w:rPr>
        <w:t>。</w:t>
      </w:r>
    </w:p>
    <w:p>
      <w:pPr>
        <w:pStyle w:val="20"/>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☑向人民法院提起诉讼，具体如下：</w:t>
      </w:r>
      <w:r>
        <w:rPr>
          <w:rFonts w:hint="eastAsia" w:ascii="宋体" w:hAnsi="宋体" w:cs="宋体"/>
          <w:color w:val="auto"/>
          <w:sz w:val="21"/>
          <w:szCs w:val="21"/>
          <w:u w:val="single"/>
        </w:rPr>
        <w:t>向甲方所在地人民法院提起诉讼</w:t>
      </w:r>
      <w:r>
        <w:rPr>
          <w:rFonts w:hint="eastAsia" w:ascii="宋体" w:hAnsi="宋体" w:cs="宋体"/>
          <w:color w:val="auto"/>
          <w:sz w:val="21"/>
          <w:szCs w:val="21"/>
        </w:rPr>
        <w:t>。</w:t>
      </w:r>
    </w:p>
    <w:p>
      <w:pPr>
        <w:pStyle w:val="20"/>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13、不可抗力</w:t>
      </w:r>
    </w:p>
    <w:p>
      <w:pPr>
        <w:pStyle w:val="20"/>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13.1因不可抗力造成违约的，遭受不可抗力一方应及时向对方通报不能履行或不能完全履行的理由，并在随后取得有关主管机关证明后的15日内向另一方提供不可抗力发生及持续期间的充分证据。基于以上行为，允许遭受不可抗力一方延期履行、部分履行或不履行合同，并根据情况可部分或全部免于承担违约责任。</w:t>
      </w:r>
    </w:p>
    <w:p>
      <w:pPr>
        <w:pStyle w:val="20"/>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13.2本合同中的不可抗力指不能预见、不能避免、不能克服的客观情况，包括但不限于：自然灾害如地震、台风、洪水、火灾及政府行为、法律规定或其适用的变化或其他任何无法预见、避免或控制的事件。</w:t>
      </w:r>
    </w:p>
    <w:p>
      <w:pPr>
        <w:pStyle w:val="20"/>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14、合同条款</w:t>
      </w:r>
    </w:p>
    <w:p>
      <w:pPr>
        <w:widowControl/>
        <w:spacing w:line="360" w:lineRule="auto"/>
        <w:ind w:firstLine="420" w:firstLineChars="200"/>
        <w:jc w:val="left"/>
        <w:rPr>
          <w:rFonts w:ascii="宋体" w:hAnsi="宋体" w:cs="宋体"/>
          <w:color w:val="auto"/>
          <w:szCs w:val="21"/>
          <w:u w:val="single"/>
        </w:rPr>
      </w:pPr>
      <w:r>
        <w:rPr>
          <w:rFonts w:hint="eastAsia" w:ascii="宋体" w:hAnsi="宋体" w:cs="宋体"/>
          <w:color w:val="auto"/>
          <w:szCs w:val="21"/>
          <w:u w:val="single"/>
        </w:rPr>
        <w:t>14.1：质量鉴定：                            。</w:t>
      </w:r>
    </w:p>
    <w:p>
      <w:pPr>
        <w:pStyle w:val="20"/>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15、其他约定</w:t>
      </w:r>
    </w:p>
    <w:p>
      <w:pPr>
        <w:pStyle w:val="20"/>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15.1合同文件与本合同具有同等法律效力。</w:t>
      </w:r>
    </w:p>
    <w:p>
      <w:pPr>
        <w:pStyle w:val="20"/>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15.2本合同未尽事宜，双方可另行补充。</w:t>
      </w:r>
    </w:p>
    <w:p>
      <w:pPr>
        <w:pStyle w:val="20"/>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15.3合同生效：自签订之日起生效。</w:t>
      </w:r>
    </w:p>
    <w:p>
      <w:pPr>
        <w:pStyle w:val="20"/>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15.4本合同一式</w:t>
      </w:r>
      <w:r>
        <w:rPr>
          <w:rFonts w:hint="eastAsia" w:ascii="宋体" w:hAnsi="宋体" w:cs="宋体"/>
          <w:color w:val="auto"/>
          <w:sz w:val="21"/>
          <w:szCs w:val="21"/>
          <w:u w:val="single"/>
        </w:rPr>
        <w:t>5</w:t>
      </w:r>
      <w:r>
        <w:rPr>
          <w:rFonts w:hint="eastAsia" w:ascii="宋体" w:hAnsi="宋体" w:cs="宋体"/>
          <w:color w:val="auto"/>
          <w:sz w:val="21"/>
          <w:szCs w:val="21"/>
        </w:rPr>
        <w:t>份，经双方授权代表签字并盖章后生效。甲方、乙方各执</w:t>
      </w:r>
      <w:r>
        <w:rPr>
          <w:rFonts w:hint="eastAsia" w:ascii="宋体" w:hAnsi="宋体" w:cs="宋体"/>
          <w:color w:val="auto"/>
          <w:sz w:val="21"/>
          <w:szCs w:val="21"/>
          <w:u w:val="single"/>
        </w:rPr>
        <w:t>2</w:t>
      </w:r>
      <w:r>
        <w:rPr>
          <w:rFonts w:hint="eastAsia" w:ascii="宋体" w:hAnsi="宋体" w:cs="宋体"/>
          <w:color w:val="auto"/>
          <w:sz w:val="21"/>
          <w:szCs w:val="21"/>
        </w:rPr>
        <w:t>份，</w:t>
      </w:r>
      <w:r>
        <w:rPr>
          <w:rFonts w:hint="eastAsia" w:ascii="宋体" w:hAnsi="宋体" w:cs="宋体"/>
          <w:color w:val="auto"/>
          <w:szCs w:val="21"/>
        </w:rPr>
        <w:t>送</w:t>
      </w:r>
      <w:r>
        <w:rPr>
          <w:rFonts w:hint="eastAsia" w:ascii="宋体" w:hAnsi="宋体" w:cs="宋体"/>
          <w:color w:val="auto"/>
          <w:szCs w:val="21"/>
          <w:u w:val="single"/>
          <w:lang w:eastAsia="zh-CN"/>
        </w:rPr>
        <w:t>许昌市</w:t>
      </w:r>
      <w:r>
        <w:rPr>
          <w:rFonts w:hint="eastAsia" w:ascii="宋体" w:hAnsi="宋体" w:cs="宋体"/>
          <w:color w:val="auto"/>
          <w:szCs w:val="21"/>
          <w:u w:val="single"/>
        </w:rPr>
        <w:t>采购办</w:t>
      </w:r>
      <w:r>
        <w:rPr>
          <w:rFonts w:hint="eastAsia" w:ascii="宋体" w:hAnsi="宋体" w:cs="宋体"/>
          <w:color w:val="auto"/>
          <w:szCs w:val="21"/>
        </w:rPr>
        <w:t>备案</w:t>
      </w:r>
      <w:r>
        <w:rPr>
          <w:rFonts w:hint="eastAsia" w:ascii="宋体" w:hAnsi="宋体" w:cs="宋体"/>
          <w:color w:val="auto"/>
          <w:szCs w:val="21"/>
          <w:u w:val="single"/>
        </w:rPr>
        <w:t>1</w:t>
      </w:r>
      <w:r>
        <w:rPr>
          <w:rFonts w:hint="eastAsia" w:ascii="宋体" w:hAnsi="宋体" w:cs="宋体"/>
          <w:color w:val="auto"/>
          <w:szCs w:val="21"/>
        </w:rPr>
        <w:t>份</w:t>
      </w:r>
      <w:r>
        <w:rPr>
          <w:rFonts w:hint="eastAsia" w:ascii="宋体" w:hAnsi="宋体" w:cs="宋体"/>
          <w:color w:val="auto"/>
          <w:sz w:val="21"/>
          <w:szCs w:val="21"/>
        </w:rPr>
        <w:t>，具有同等效力。</w:t>
      </w:r>
    </w:p>
    <w:p>
      <w:pPr>
        <w:pStyle w:val="20"/>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15.5其他：☑无。□</w:t>
      </w:r>
      <w:r>
        <w:rPr>
          <w:rFonts w:hint="eastAsia" w:ascii="宋体" w:hAnsi="宋体" w:cs="宋体"/>
          <w:color w:val="auto"/>
          <w:sz w:val="21"/>
          <w:szCs w:val="21"/>
          <w:u w:val="single"/>
        </w:rPr>
        <w:t>（按照实际情况编制填写需要增加的内容）</w:t>
      </w:r>
      <w:r>
        <w:rPr>
          <w:rFonts w:hint="eastAsia" w:ascii="宋体" w:hAnsi="宋体" w:cs="宋体"/>
          <w:color w:val="auto"/>
          <w:sz w:val="21"/>
          <w:szCs w:val="21"/>
        </w:rPr>
        <w:t>。</w:t>
      </w:r>
    </w:p>
    <w:p>
      <w:pPr>
        <w:pStyle w:val="20"/>
        <w:widowControl/>
        <w:spacing w:before="75" w:after="75" w:line="360" w:lineRule="auto"/>
        <w:rPr>
          <w:rFonts w:ascii="宋体" w:hAnsi="宋体" w:cs="宋体"/>
          <w:color w:val="auto"/>
          <w:sz w:val="21"/>
          <w:szCs w:val="21"/>
        </w:rPr>
      </w:pPr>
      <w:r>
        <w:rPr>
          <w:rFonts w:hint="eastAsia" w:ascii="宋体" w:hAnsi="宋体" w:cs="宋体"/>
          <w:color w:val="auto"/>
          <w:sz w:val="21"/>
          <w:szCs w:val="21"/>
        </w:rPr>
        <w:t>甲方：                        乙方：</w:t>
      </w:r>
    </w:p>
    <w:p>
      <w:pPr>
        <w:pStyle w:val="20"/>
        <w:widowControl/>
        <w:spacing w:before="75" w:after="75" w:line="360" w:lineRule="auto"/>
        <w:rPr>
          <w:rFonts w:ascii="宋体" w:hAnsi="宋体" w:cs="宋体"/>
          <w:color w:val="auto"/>
          <w:sz w:val="21"/>
          <w:szCs w:val="21"/>
        </w:rPr>
      </w:pPr>
      <w:r>
        <w:rPr>
          <w:rFonts w:hint="eastAsia" w:ascii="宋体" w:hAnsi="宋体" w:cs="宋体"/>
          <w:color w:val="auto"/>
          <w:sz w:val="21"/>
          <w:szCs w:val="21"/>
        </w:rPr>
        <w:t>住所：                        住所：</w:t>
      </w:r>
    </w:p>
    <w:p>
      <w:pPr>
        <w:pStyle w:val="20"/>
        <w:widowControl/>
        <w:spacing w:before="75" w:after="75" w:line="360" w:lineRule="auto"/>
        <w:rPr>
          <w:rFonts w:ascii="宋体" w:hAnsi="宋体" w:cs="宋体"/>
          <w:color w:val="auto"/>
          <w:sz w:val="21"/>
          <w:szCs w:val="21"/>
        </w:rPr>
      </w:pPr>
      <w:r>
        <w:rPr>
          <w:rFonts w:hint="eastAsia" w:ascii="宋体" w:hAnsi="宋体" w:cs="宋体"/>
          <w:color w:val="auto"/>
          <w:sz w:val="21"/>
          <w:szCs w:val="21"/>
        </w:rPr>
        <w:t>法定代表人（单位负责人）：                 法定代表人（单位负责人）：</w:t>
      </w:r>
    </w:p>
    <w:p>
      <w:pPr>
        <w:pStyle w:val="20"/>
        <w:widowControl/>
        <w:spacing w:before="75" w:after="75" w:line="360" w:lineRule="auto"/>
        <w:rPr>
          <w:rFonts w:ascii="宋体" w:hAnsi="宋体" w:cs="宋体"/>
          <w:color w:val="auto"/>
          <w:sz w:val="21"/>
          <w:szCs w:val="21"/>
        </w:rPr>
      </w:pPr>
      <w:r>
        <w:rPr>
          <w:rFonts w:hint="eastAsia" w:ascii="宋体" w:hAnsi="宋体" w:cs="宋体"/>
          <w:color w:val="auto"/>
          <w:sz w:val="21"/>
          <w:szCs w:val="21"/>
        </w:rPr>
        <w:t>联系方法：                      联系方法：</w:t>
      </w:r>
    </w:p>
    <w:p>
      <w:pPr>
        <w:pStyle w:val="20"/>
        <w:widowControl/>
        <w:spacing w:before="75" w:after="75" w:line="360" w:lineRule="auto"/>
        <w:rPr>
          <w:rFonts w:ascii="宋体" w:hAnsi="宋体" w:cs="宋体"/>
          <w:color w:val="auto"/>
          <w:sz w:val="21"/>
          <w:szCs w:val="21"/>
        </w:rPr>
      </w:pPr>
      <w:r>
        <w:rPr>
          <w:rFonts w:hint="eastAsia" w:ascii="宋体" w:hAnsi="宋体" w:cs="宋体"/>
          <w:color w:val="auto"/>
          <w:sz w:val="21"/>
          <w:szCs w:val="21"/>
        </w:rPr>
        <w:t>开户银行：                      开户银行：</w:t>
      </w:r>
    </w:p>
    <w:p>
      <w:pPr>
        <w:pStyle w:val="20"/>
        <w:widowControl/>
        <w:spacing w:before="75" w:after="75" w:line="360" w:lineRule="auto"/>
        <w:rPr>
          <w:rFonts w:ascii="宋体" w:hAnsi="宋体" w:cs="宋体"/>
          <w:color w:val="auto"/>
          <w:sz w:val="21"/>
          <w:szCs w:val="21"/>
        </w:rPr>
      </w:pPr>
      <w:r>
        <w:rPr>
          <w:rFonts w:hint="eastAsia" w:ascii="宋体" w:hAnsi="宋体" w:cs="宋体"/>
          <w:color w:val="auto"/>
          <w:sz w:val="21"/>
          <w:szCs w:val="21"/>
        </w:rPr>
        <w:t>账号：                        账号：</w:t>
      </w: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both"/>
        <w:rPr>
          <w:rFonts w:cs="宋体" w:asciiTheme="majorEastAsia" w:hAnsiTheme="majorEastAsia" w:eastAsiaTheme="majorEastAsia"/>
          <w:b/>
          <w:color w:val="auto"/>
          <w:kern w:val="0"/>
          <w:sz w:val="36"/>
          <w:szCs w:val="36"/>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第八章 投标文件有关格式</w:t>
      </w: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keepNext/>
        <w:keepLines/>
        <w:tabs>
          <w:tab w:val="left" w:pos="660"/>
        </w:tabs>
        <w:adjustRightInd w:val="0"/>
        <w:snapToGrid w:val="0"/>
        <w:spacing w:line="400" w:lineRule="exact"/>
        <w:jc w:val="left"/>
        <w:textAlignment w:val="baseline"/>
        <w:outlineLvl w:val="1"/>
        <w:rPr>
          <w:rFonts w:cs="黑体" w:asciiTheme="minorEastAsia" w:hAnsiTheme="minorEastAsia"/>
          <w:b/>
          <w:bCs/>
          <w:color w:val="auto"/>
          <w:sz w:val="28"/>
          <w:szCs w:val="28"/>
          <w:lang w:val="zh-CN"/>
        </w:rPr>
      </w:pPr>
      <w:bookmarkStart w:id="3" w:name="_Toc174185203"/>
      <w:bookmarkStart w:id="4" w:name="_Toc184023138"/>
      <w:bookmarkStart w:id="5" w:name="_Toc186274126"/>
      <w:r>
        <w:rPr>
          <w:rFonts w:hint="eastAsia" w:cs="黑体" w:asciiTheme="minorEastAsia" w:hAnsiTheme="minorEastAsia"/>
          <w:b/>
          <w:bCs/>
          <w:color w:val="auto"/>
          <w:sz w:val="28"/>
          <w:szCs w:val="28"/>
          <w:lang w:val="zh-CN"/>
        </w:rPr>
        <w:t>一、投标人应答索引表</w:t>
      </w:r>
      <w:bookmarkEnd w:id="3"/>
      <w:bookmarkEnd w:id="4"/>
      <w:bookmarkEnd w:id="5"/>
    </w:p>
    <w:tbl>
      <w:tblPr>
        <w:tblStyle w:val="22"/>
        <w:tblW w:w="935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68"/>
        <w:gridCol w:w="3751"/>
        <w:gridCol w:w="1559"/>
        <w:gridCol w:w="1560"/>
        <w:gridCol w:w="201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68" w:type="dxa"/>
            <w:vAlign w:val="center"/>
          </w:tcPr>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序号</w:t>
            </w:r>
          </w:p>
        </w:tc>
        <w:tc>
          <w:tcPr>
            <w:tcW w:w="3751" w:type="dxa"/>
            <w:vAlign w:val="center"/>
          </w:tcPr>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项  目</w:t>
            </w:r>
          </w:p>
        </w:tc>
        <w:tc>
          <w:tcPr>
            <w:tcW w:w="1559" w:type="dxa"/>
            <w:vAlign w:val="center"/>
          </w:tcPr>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投标人应答</w:t>
            </w:r>
          </w:p>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（有/没有）</w:t>
            </w:r>
          </w:p>
        </w:tc>
        <w:tc>
          <w:tcPr>
            <w:tcW w:w="1560" w:type="dxa"/>
            <w:vAlign w:val="center"/>
          </w:tcPr>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投标文件中所在页码</w:t>
            </w:r>
          </w:p>
        </w:tc>
        <w:tc>
          <w:tcPr>
            <w:tcW w:w="2018" w:type="dxa"/>
            <w:vAlign w:val="center"/>
          </w:tcPr>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备注说明</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w:t>
            </w:r>
          </w:p>
        </w:tc>
        <w:tc>
          <w:tcPr>
            <w:tcW w:w="3751" w:type="dxa"/>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hAnsi="宋体" w:eastAsia="宋体"/>
                <w:color w:val="auto"/>
                <w:kern w:val="0"/>
                <w:szCs w:val="21"/>
              </w:rPr>
              <w:t>投标人应答索引表</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2</w:t>
            </w:r>
          </w:p>
        </w:tc>
        <w:tc>
          <w:tcPr>
            <w:tcW w:w="3751" w:type="dxa"/>
            <w:vAlign w:val="center"/>
          </w:tcPr>
          <w:p>
            <w:pPr>
              <w:kinsoku w:val="0"/>
              <w:overflowPunct w:val="0"/>
              <w:autoSpaceDE w:val="0"/>
              <w:autoSpaceDN w:val="0"/>
              <w:spacing w:line="320" w:lineRule="exact"/>
              <w:rPr>
                <w:rFonts w:hAnsi="宋体" w:eastAsia="宋体"/>
                <w:color w:val="auto"/>
                <w:kern w:val="0"/>
                <w:szCs w:val="21"/>
              </w:rPr>
            </w:pPr>
            <w:r>
              <w:rPr>
                <w:rFonts w:hint="eastAsia" w:hAnsi="宋体" w:eastAsia="宋体"/>
                <w:color w:val="auto"/>
                <w:kern w:val="0"/>
                <w:szCs w:val="21"/>
              </w:rPr>
              <w:t>开标一览表</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3</w:t>
            </w:r>
          </w:p>
        </w:tc>
        <w:tc>
          <w:tcPr>
            <w:tcW w:w="3751" w:type="dxa"/>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hAnsi="宋体" w:eastAsia="宋体"/>
                <w:color w:val="auto"/>
                <w:kern w:val="0"/>
                <w:szCs w:val="21"/>
              </w:rPr>
              <w:t>投标函</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4</w:t>
            </w:r>
          </w:p>
        </w:tc>
        <w:tc>
          <w:tcPr>
            <w:tcW w:w="3751" w:type="dxa"/>
            <w:vAlign w:val="center"/>
          </w:tcPr>
          <w:p>
            <w:pPr>
              <w:kinsoku w:val="0"/>
              <w:overflowPunct w:val="0"/>
              <w:autoSpaceDE w:val="0"/>
              <w:autoSpaceDN w:val="0"/>
              <w:spacing w:line="320" w:lineRule="exact"/>
              <w:rPr>
                <w:rFonts w:hAnsi="宋体" w:eastAsia="宋体"/>
                <w:color w:val="auto"/>
                <w:kern w:val="0"/>
                <w:szCs w:val="21"/>
              </w:rPr>
            </w:pPr>
            <w:r>
              <w:rPr>
                <w:rFonts w:hint="eastAsia" w:asciiTheme="majorEastAsia" w:hAnsiTheme="majorEastAsia" w:eastAsiaTheme="majorEastAsia" w:cstheme="majorEastAsia"/>
                <w:bCs/>
                <w:color w:val="auto"/>
                <w:szCs w:val="21"/>
                <w:lang w:val="zh-CN"/>
              </w:rPr>
              <w:t>法定代表人（单位负责人）</w:t>
            </w:r>
            <w:r>
              <w:rPr>
                <w:rFonts w:asciiTheme="majorEastAsia" w:hAnsiTheme="majorEastAsia" w:eastAsiaTheme="majorEastAsia" w:cstheme="majorEastAsia"/>
                <w:bCs/>
                <w:color w:val="auto"/>
                <w:szCs w:val="21"/>
                <w:lang w:val="zh-CN"/>
              </w:rPr>
              <w:t>资</w:t>
            </w:r>
            <w:r>
              <w:rPr>
                <w:rFonts w:hint="eastAsia" w:asciiTheme="majorEastAsia" w:hAnsiTheme="majorEastAsia" w:eastAsiaTheme="majorEastAsia" w:cstheme="majorEastAsia"/>
                <w:bCs/>
                <w:color w:val="auto"/>
                <w:szCs w:val="21"/>
                <w:lang w:val="zh-CN"/>
              </w:rPr>
              <w:t>格</w:t>
            </w:r>
            <w:r>
              <w:rPr>
                <w:rFonts w:asciiTheme="majorEastAsia" w:hAnsiTheme="majorEastAsia" w:eastAsiaTheme="majorEastAsia" w:cstheme="majorEastAsia"/>
                <w:bCs/>
                <w:color w:val="auto"/>
                <w:szCs w:val="21"/>
                <w:lang w:val="zh-CN"/>
              </w:rPr>
              <w:t>证</w:t>
            </w:r>
            <w:r>
              <w:rPr>
                <w:rFonts w:hint="eastAsia" w:asciiTheme="majorEastAsia" w:hAnsiTheme="majorEastAsia" w:eastAsiaTheme="majorEastAsia" w:cstheme="majorEastAsia"/>
                <w:bCs/>
                <w:color w:val="auto"/>
                <w:szCs w:val="21"/>
                <w:lang w:val="zh-CN"/>
              </w:rPr>
              <w:t>明</w:t>
            </w:r>
            <w:r>
              <w:rPr>
                <w:rFonts w:asciiTheme="majorEastAsia" w:hAnsiTheme="majorEastAsia" w:eastAsiaTheme="majorEastAsia" w:cstheme="majorEastAsia"/>
                <w:bCs/>
                <w:color w:val="auto"/>
                <w:szCs w:val="21"/>
                <w:lang w:val="zh-CN"/>
              </w:rPr>
              <w:t>书</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5</w:t>
            </w:r>
          </w:p>
        </w:tc>
        <w:tc>
          <w:tcPr>
            <w:tcW w:w="3751" w:type="dxa"/>
            <w:vAlign w:val="center"/>
          </w:tcPr>
          <w:p>
            <w:pPr>
              <w:kinsoku w:val="0"/>
              <w:overflowPunct w:val="0"/>
              <w:autoSpaceDE w:val="0"/>
              <w:autoSpaceDN w:val="0"/>
              <w:spacing w:line="320" w:lineRule="exact"/>
              <w:rPr>
                <w:rFonts w:hAnsi="宋体" w:eastAsia="宋体"/>
                <w:color w:val="auto"/>
                <w:kern w:val="0"/>
                <w:szCs w:val="21"/>
              </w:rPr>
            </w:pPr>
            <w:r>
              <w:rPr>
                <w:rFonts w:hint="eastAsia" w:hAnsi="宋体" w:eastAsia="宋体"/>
                <w:color w:val="auto"/>
                <w:kern w:val="0"/>
                <w:szCs w:val="21"/>
              </w:rPr>
              <w:t>法定代表人（单位负责人）授权书</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6</w:t>
            </w:r>
          </w:p>
        </w:tc>
        <w:tc>
          <w:tcPr>
            <w:tcW w:w="3751" w:type="dxa"/>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asciiTheme="majorEastAsia" w:hAnsiTheme="majorEastAsia" w:eastAsiaTheme="majorEastAsia" w:cstheme="majorEastAsia"/>
                <w:bCs/>
                <w:color w:val="auto"/>
                <w:szCs w:val="21"/>
                <w:lang w:val="zh-CN"/>
              </w:rPr>
              <w:t>投标承诺函</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7</w:t>
            </w:r>
          </w:p>
        </w:tc>
        <w:tc>
          <w:tcPr>
            <w:tcW w:w="3751" w:type="dxa"/>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hAnsi="宋体" w:eastAsia="宋体"/>
                <w:color w:val="auto"/>
                <w:kern w:val="0"/>
                <w:szCs w:val="21"/>
              </w:rPr>
              <w:t>许昌市政府采购供应商信用承诺函</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10" w:hRule="atLeast"/>
        </w:trPr>
        <w:tc>
          <w:tcPr>
            <w:tcW w:w="468" w:type="dxa"/>
            <w:vAlign w:val="center"/>
          </w:tcPr>
          <w:p>
            <w:pPr>
              <w:adjustRightInd w:val="0"/>
              <w:snapToGrid w:val="0"/>
              <w:spacing w:line="400" w:lineRule="exact"/>
              <w:jc w:val="center"/>
              <w:textAlignment w:val="baseline"/>
              <w:rPr>
                <w:rFonts w:asciiTheme="majorEastAsia" w:hAnsiTheme="majorEastAsia" w:eastAsiaTheme="majorEastAsia" w:cstheme="majorEastAsia"/>
                <w:bCs/>
                <w:color w:val="auto"/>
                <w:szCs w:val="21"/>
                <w:lang w:val="zh-CN"/>
              </w:rPr>
            </w:pPr>
            <w:r>
              <w:rPr>
                <w:rFonts w:hint="eastAsia" w:asciiTheme="majorEastAsia" w:hAnsiTheme="majorEastAsia" w:eastAsiaTheme="majorEastAsia" w:cstheme="majorEastAsia"/>
                <w:bCs/>
                <w:color w:val="auto"/>
                <w:szCs w:val="21"/>
                <w:lang w:val="zh-CN"/>
              </w:rPr>
              <w:t>8</w:t>
            </w:r>
          </w:p>
        </w:tc>
        <w:tc>
          <w:tcPr>
            <w:tcW w:w="3751" w:type="dxa"/>
            <w:vAlign w:val="center"/>
          </w:tcPr>
          <w:p>
            <w:pPr>
              <w:kinsoku w:val="0"/>
              <w:overflowPunct w:val="0"/>
              <w:autoSpaceDE w:val="0"/>
              <w:autoSpaceDN w:val="0"/>
              <w:spacing w:line="320" w:lineRule="exact"/>
              <w:rPr>
                <w:rFonts w:asciiTheme="majorEastAsia" w:hAnsiTheme="majorEastAsia" w:eastAsiaTheme="majorEastAsia" w:cstheme="majorEastAsia"/>
                <w:bCs/>
                <w:color w:val="auto"/>
                <w:szCs w:val="21"/>
                <w:lang w:val="zh-CN"/>
              </w:rPr>
            </w:pPr>
            <w:r>
              <w:rPr>
                <w:rFonts w:hint="eastAsia" w:asciiTheme="majorEastAsia" w:hAnsiTheme="majorEastAsia" w:eastAsiaTheme="majorEastAsia" w:cstheme="majorEastAsia"/>
                <w:bCs/>
                <w:color w:val="auto"/>
                <w:szCs w:val="21"/>
                <w:lang w:val="zh-CN"/>
              </w:rPr>
              <w:t>联合体协议</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tcBorders>
              <w:top w:val="double" w:color="auto" w:sz="4" w:space="0"/>
            </w:tcBorders>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9</w:t>
            </w:r>
          </w:p>
        </w:tc>
        <w:tc>
          <w:tcPr>
            <w:tcW w:w="3751" w:type="dxa"/>
            <w:tcBorders>
              <w:top w:val="double" w:color="auto" w:sz="4" w:space="0"/>
            </w:tcBorders>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hAnsi="宋体" w:eastAsia="宋体" w:cs="微软雅黑"/>
                <w:bCs/>
                <w:color w:val="auto"/>
                <w:kern w:val="0"/>
                <w:szCs w:val="21"/>
              </w:rPr>
              <w:t>投标分项报价表</w:t>
            </w:r>
          </w:p>
        </w:tc>
        <w:tc>
          <w:tcPr>
            <w:tcW w:w="1559" w:type="dxa"/>
            <w:tcBorders>
              <w:top w:val="double" w:color="auto" w:sz="4" w:space="0"/>
            </w:tcBorders>
            <w:vAlign w:val="center"/>
          </w:tcPr>
          <w:p>
            <w:pPr>
              <w:jc w:val="center"/>
              <w:rPr>
                <w:color w:val="auto"/>
                <w:szCs w:val="21"/>
              </w:rPr>
            </w:pPr>
          </w:p>
        </w:tc>
        <w:tc>
          <w:tcPr>
            <w:tcW w:w="1560" w:type="dxa"/>
            <w:tcBorders>
              <w:top w:val="double" w:color="auto" w:sz="4" w:space="0"/>
            </w:tcBorders>
            <w:vAlign w:val="center"/>
          </w:tcPr>
          <w:p>
            <w:pPr>
              <w:snapToGrid w:val="0"/>
              <w:spacing w:line="400" w:lineRule="exact"/>
              <w:rPr>
                <w:rFonts w:ascii="宋体" w:hAnsi="宋体" w:cs="微软雅黑"/>
                <w:color w:val="auto"/>
                <w:szCs w:val="21"/>
              </w:rPr>
            </w:pPr>
          </w:p>
        </w:tc>
        <w:tc>
          <w:tcPr>
            <w:tcW w:w="2018" w:type="dxa"/>
            <w:tcBorders>
              <w:top w:val="double" w:color="auto" w:sz="4" w:space="0"/>
            </w:tcBorders>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10</w:t>
            </w:r>
          </w:p>
        </w:tc>
        <w:tc>
          <w:tcPr>
            <w:tcW w:w="3751" w:type="dxa"/>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hAnsi="宋体" w:eastAsia="宋体" w:cs="微软雅黑"/>
                <w:bCs/>
                <w:color w:val="auto"/>
                <w:kern w:val="0"/>
                <w:szCs w:val="21"/>
              </w:rPr>
              <w:t>技术规格偏离表</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11</w:t>
            </w:r>
          </w:p>
        </w:tc>
        <w:tc>
          <w:tcPr>
            <w:tcW w:w="3751" w:type="dxa"/>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hAnsi="宋体" w:eastAsia="宋体" w:cs="微软雅黑"/>
                <w:bCs/>
                <w:color w:val="auto"/>
                <w:kern w:val="0"/>
                <w:szCs w:val="21"/>
              </w:rPr>
              <w:t>技术方案（实施方案）</w:t>
            </w:r>
          </w:p>
        </w:tc>
        <w:tc>
          <w:tcPr>
            <w:tcW w:w="1559" w:type="dxa"/>
            <w:vAlign w:val="center"/>
          </w:tcPr>
          <w:p>
            <w:pPr>
              <w:jc w:val="center"/>
              <w:rPr>
                <w:color w:val="auto"/>
                <w:szCs w:val="21"/>
              </w:rPr>
            </w:pPr>
          </w:p>
        </w:tc>
        <w:tc>
          <w:tcPr>
            <w:tcW w:w="1560" w:type="dxa"/>
            <w:tcBorders>
              <w:top w:val="single" w:color="auto" w:sz="4" w:space="0"/>
            </w:tcBorders>
            <w:vAlign w:val="center"/>
          </w:tcPr>
          <w:p>
            <w:pPr>
              <w:snapToGrid w:val="0"/>
              <w:spacing w:line="400" w:lineRule="exact"/>
              <w:rPr>
                <w:rFonts w:ascii="宋体" w:hAnsi="宋体" w:cs="微软雅黑"/>
                <w:color w:val="auto"/>
                <w:szCs w:val="21"/>
              </w:rPr>
            </w:pPr>
          </w:p>
        </w:tc>
        <w:tc>
          <w:tcPr>
            <w:tcW w:w="2018" w:type="dxa"/>
            <w:tcBorders>
              <w:top w:val="single" w:color="auto" w:sz="4" w:space="0"/>
            </w:tcBorders>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12</w:t>
            </w:r>
          </w:p>
        </w:tc>
        <w:tc>
          <w:tcPr>
            <w:tcW w:w="3751" w:type="dxa"/>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hAnsi="宋体" w:eastAsia="宋体" w:cs="微软雅黑"/>
                <w:bCs/>
                <w:color w:val="auto"/>
                <w:kern w:val="0"/>
                <w:szCs w:val="21"/>
              </w:rPr>
              <w:t>售后服务方案</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13</w:t>
            </w:r>
          </w:p>
        </w:tc>
        <w:tc>
          <w:tcPr>
            <w:tcW w:w="3751" w:type="dxa"/>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hAnsi="宋体" w:eastAsia="宋体" w:cs="微软雅黑"/>
                <w:bCs/>
                <w:color w:val="auto"/>
                <w:kern w:val="0"/>
                <w:szCs w:val="21"/>
              </w:rPr>
              <w:t>业绩情况表</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14</w:t>
            </w:r>
          </w:p>
        </w:tc>
        <w:tc>
          <w:tcPr>
            <w:tcW w:w="3751" w:type="dxa"/>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hAnsi="宋体" w:eastAsia="宋体" w:cs="微软雅黑"/>
                <w:bCs/>
                <w:color w:val="auto"/>
                <w:kern w:val="0"/>
                <w:szCs w:val="21"/>
              </w:rPr>
              <w:t>政府强制采购节能产品品目清单情况</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15</w:t>
            </w:r>
          </w:p>
        </w:tc>
        <w:tc>
          <w:tcPr>
            <w:tcW w:w="3751" w:type="dxa"/>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hAnsi="宋体" w:eastAsia="宋体" w:cs="微软雅黑"/>
                <w:bCs/>
                <w:color w:val="auto"/>
                <w:kern w:val="0"/>
                <w:szCs w:val="21"/>
              </w:rPr>
              <w:t>优先采购节能产品政府采购品目清单情况</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16</w:t>
            </w:r>
          </w:p>
        </w:tc>
        <w:tc>
          <w:tcPr>
            <w:tcW w:w="3751" w:type="dxa"/>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ascii="宋体" w:hAnsi="宋体" w:eastAsia="宋体"/>
                <w:color w:val="auto"/>
                <w:szCs w:val="21"/>
                <w:lang w:val="en-GB"/>
              </w:rPr>
              <w:t>优先采购环境标志产品政府采购品目清单情况</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17</w:t>
            </w:r>
          </w:p>
        </w:tc>
        <w:tc>
          <w:tcPr>
            <w:tcW w:w="3751" w:type="dxa"/>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hAnsi="宋体" w:eastAsia="宋体" w:cs="微软雅黑"/>
                <w:bCs/>
                <w:color w:val="auto"/>
                <w:kern w:val="0"/>
                <w:szCs w:val="21"/>
              </w:rPr>
              <w:t>中小企业声明函</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18</w:t>
            </w:r>
          </w:p>
        </w:tc>
        <w:tc>
          <w:tcPr>
            <w:tcW w:w="3751" w:type="dxa"/>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cs="仿宋_GB2312" w:asciiTheme="minorEastAsia" w:hAnsiTheme="minorEastAsia"/>
                <w:color w:val="auto"/>
                <w:szCs w:val="21"/>
                <w:lang w:val="zh-CN"/>
              </w:rPr>
              <w:t>残疾人福利性单位声明函</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19</w:t>
            </w:r>
          </w:p>
        </w:tc>
        <w:tc>
          <w:tcPr>
            <w:tcW w:w="3751" w:type="dxa"/>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hAnsi="宋体" w:eastAsia="宋体" w:cs="微软雅黑"/>
                <w:bCs/>
                <w:color w:val="auto"/>
                <w:kern w:val="0"/>
                <w:szCs w:val="21"/>
              </w:rPr>
              <w:t>监狱企业证明文件</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11"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20</w:t>
            </w:r>
          </w:p>
        </w:tc>
        <w:tc>
          <w:tcPr>
            <w:tcW w:w="3751" w:type="dxa"/>
            <w:vAlign w:val="center"/>
          </w:tcPr>
          <w:p>
            <w:pPr>
              <w:kinsoku w:val="0"/>
              <w:overflowPunct w:val="0"/>
              <w:autoSpaceDE w:val="0"/>
              <w:autoSpaceDN w:val="0"/>
              <w:spacing w:line="320" w:lineRule="exact"/>
              <w:rPr>
                <w:rFonts w:ascii="宋体" w:hAnsi="宋体" w:eastAsia="宋体"/>
                <w:color w:val="auto"/>
                <w:szCs w:val="21"/>
                <w:lang w:val="en-GB"/>
              </w:rPr>
            </w:pPr>
            <w:r>
              <w:rPr>
                <w:rFonts w:hint="eastAsia" w:cs="宋体" w:asciiTheme="minorEastAsia" w:hAnsiTheme="minorEastAsia"/>
                <w:bCs/>
                <w:color w:val="auto"/>
                <w:szCs w:val="21"/>
                <w:lang w:val="zh-CN"/>
              </w:rPr>
              <w:t>网络关键设备和网络安全专用产品</w:t>
            </w:r>
            <w:r>
              <w:rPr>
                <w:rFonts w:hint="eastAsia" w:ascii="宋体" w:hAnsi="宋体" w:eastAsia="宋体"/>
                <w:color w:val="auto"/>
                <w:szCs w:val="21"/>
                <w:lang w:val="en-GB"/>
              </w:rPr>
              <w:t>（下列资料任意一项）：</w:t>
            </w:r>
          </w:p>
          <w:p>
            <w:pPr>
              <w:kinsoku w:val="0"/>
              <w:overflowPunct w:val="0"/>
              <w:autoSpaceDE w:val="0"/>
              <w:autoSpaceDN w:val="0"/>
              <w:spacing w:line="320" w:lineRule="exact"/>
              <w:rPr>
                <w:rFonts w:ascii="宋体" w:hAnsi="宋体" w:eastAsia="宋体"/>
                <w:color w:val="auto"/>
                <w:szCs w:val="21"/>
                <w:lang w:val="en-GB"/>
              </w:rPr>
            </w:pPr>
            <w:r>
              <w:rPr>
                <w:rFonts w:hint="eastAsia" w:ascii="宋体" w:hAnsi="宋体" w:eastAsia="宋体"/>
                <w:color w:val="auto"/>
                <w:szCs w:val="21"/>
                <w:lang w:val="en-GB"/>
              </w:rPr>
              <w:t>①网络关键设备和网络安全专用产品安全认证证书；②网络关键设备安全检测证书、网络安全专用产品安全检测证书；③计算机信息系统安全专用产品销售许可证；④中国网信网或工业和信息化部网站或公安部网站或国家认证认可监督管理委员会网站公布的认证、检测结果（提供公布安全认证、安全检测结果页面网址和安全认证、检测结果截图）。</w:t>
            </w:r>
          </w:p>
        </w:tc>
        <w:tc>
          <w:tcPr>
            <w:tcW w:w="1559" w:type="dxa"/>
            <w:vAlign w:val="center"/>
          </w:tcPr>
          <w:p>
            <w:pPr>
              <w:rPr>
                <w:rFonts w:eastAsia="宋体"/>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tcBorders>
              <w:bottom w:val="single" w:color="auto" w:sz="4" w:space="0"/>
            </w:tcBorders>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21</w:t>
            </w:r>
          </w:p>
        </w:tc>
        <w:tc>
          <w:tcPr>
            <w:tcW w:w="3751" w:type="dxa"/>
            <w:tcBorders>
              <w:bottom w:val="single" w:color="auto" w:sz="4" w:space="0"/>
            </w:tcBorders>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hAnsi="宋体" w:eastAsia="宋体" w:cs="微软雅黑"/>
                <w:bCs/>
                <w:color w:val="auto"/>
                <w:kern w:val="0"/>
                <w:szCs w:val="21"/>
              </w:rPr>
              <w:t>其它资料</w:t>
            </w:r>
          </w:p>
        </w:tc>
        <w:tc>
          <w:tcPr>
            <w:tcW w:w="1559" w:type="dxa"/>
            <w:vAlign w:val="center"/>
          </w:tcPr>
          <w:p>
            <w:pPr>
              <w:rPr>
                <w:rFonts w:eastAsia="宋体"/>
                <w:color w:val="auto"/>
                <w:sz w:val="24"/>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bl>
    <w:p>
      <w:pPr>
        <w:spacing w:line="360" w:lineRule="auto"/>
        <w:jc w:val="center"/>
        <w:rPr>
          <w:rFonts w:asciiTheme="majorEastAsia" w:hAnsiTheme="majorEastAsia" w:eastAsiaTheme="majorEastAsia"/>
          <w:b/>
          <w:snapToGrid w:val="0"/>
          <w:color w:val="auto"/>
          <w:kern w:val="0"/>
          <w:sz w:val="28"/>
          <w:szCs w:val="28"/>
        </w:rPr>
      </w:pPr>
    </w:p>
    <w:p>
      <w:pPr>
        <w:spacing w:line="360" w:lineRule="auto"/>
        <w:jc w:val="center"/>
        <w:rPr>
          <w:rFonts w:asciiTheme="majorEastAsia" w:hAnsiTheme="majorEastAsia" w:eastAsiaTheme="majorEastAsia"/>
          <w:b/>
          <w:snapToGrid w:val="0"/>
          <w:color w:val="auto"/>
          <w:kern w:val="0"/>
          <w:sz w:val="28"/>
          <w:szCs w:val="28"/>
        </w:rPr>
      </w:pPr>
    </w:p>
    <w:p>
      <w:pPr>
        <w:spacing w:line="360" w:lineRule="auto"/>
        <w:jc w:val="center"/>
        <w:rPr>
          <w:rFonts w:asciiTheme="majorEastAsia" w:hAnsiTheme="majorEastAsia" w:eastAsiaTheme="majorEastAsia"/>
          <w:b/>
          <w:snapToGrid w:val="0"/>
          <w:color w:val="auto"/>
          <w:kern w:val="0"/>
          <w:sz w:val="28"/>
          <w:szCs w:val="28"/>
        </w:rPr>
      </w:pPr>
    </w:p>
    <w:p>
      <w:pPr>
        <w:spacing w:line="360" w:lineRule="auto"/>
        <w:jc w:val="center"/>
        <w:rPr>
          <w:rFonts w:asciiTheme="majorEastAsia" w:hAnsiTheme="majorEastAsia" w:eastAsiaTheme="majorEastAsia"/>
          <w:b/>
          <w:snapToGrid w:val="0"/>
          <w:color w:val="auto"/>
          <w:kern w:val="0"/>
          <w:sz w:val="28"/>
          <w:szCs w:val="28"/>
        </w:rPr>
      </w:pPr>
    </w:p>
    <w:p>
      <w:pPr>
        <w:spacing w:line="360" w:lineRule="auto"/>
        <w:jc w:val="center"/>
        <w:rPr>
          <w:rFonts w:asciiTheme="majorEastAsia" w:hAnsiTheme="majorEastAsia" w:eastAsiaTheme="majorEastAsia"/>
          <w:b/>
          <w:snapToGrid w:val="0"/>
          <w:color w:val="auto"/>
          <w:kern w:val="0"/>
          <w:sz w:val="28"/>
          <w:szCs w:val="28"/>
        </w:rPr>
      </w:pPr>
    </w:p>
    <w:p>
      <w:pPr>
        <w:spacing w:line="360" w:lineRule="auto"/>
        <w:jc w:val="center"/>
        <w:rPr>
          <w:rFonts w:asciiTheme="majorEastAsia" w:hAnsiTheme="majorEastAsia" w:eastAsiaTheme="majorEastAsia"/>
          <w:b/>
          <w:snapToGrid w:val="0"/>
          <w:color w:val="auto"/>
          <w:kern w:val="0"/>
          <w:sz w:val="28"/>
          <w:szCs w:val="28"/>
        </w:rPr>
      </w:pPr>
    </w:p>
    <w:p>
      <w:pPr>
        <w:spacing w:line="360" w:lineRule="auto"/>
        <w:jc w:val="center"/>
        <w:rPr>
          <w:rFonts w:asciiTheme="majorEastAsia" w:hAnsiTheme="majorEastAsia" w:eastAsiaTheme="majorEastAsia"/>
          <w:b/>
          <w:snapToGrid w:val="0"/>
          <w:color w:val="auto"/>
          <w:kern w:val="0"/>
          <w:sz w:val="28"/>
          <w:szCs w:val="28"/>
        </w:rPr>
      </w:pPr>
    </w:p>
    <w:p>
      <w:pPr>
        <w:spacing w:line="360" w:lineRule="auto"/>
        <w:jc w:val="center"/>
        <w:rPr>
          <w:rFonts w:asciiTheme="majorEastAsia" w:hAnsiTheme="majorEastAsia" w:eastAsiaTheme="majorEastAsia"/>
          <w:b/>
          <w:snapToGrid w:val="0"/>
          <w:color w:val="auto"/>
          <w:kern w:val="0"/>
          <w:sz w:val="28"/>
          <w:szCs w:val="28"/>
        </w:rPr>
      </w:pPr>
    </w:p>
    <w:p>
      <w:pPr>
        <w:spacing w:line="360" w:lineRule="auto"/>
        <w:jc w:val="center"/>
        <w:rPr>
          <w:rFonts w:asciiTheme="majorEastAsia" w:hAnsiTheme="majorEastAsia" w:eastAsiaTheme="majorEastAsia"/>
          <w:b/>
          <w:snapToGrid w:val="0"/>
          <w:color w:val="auto"/>
          <w:kern w:val="0"/>
          <w:sz w:val="28"/>
          <w:szCs w:val="28"/>
        </w:rPr>
      </w:pPr>
    </w:p>
    <w:p>
      <w:pPr>
        <w:spacing w:line="360" w:lineRule="auto"/>
        <w:jc w:val="center"/>
        <w:rPr>
          <w:rFonts w:asciiTheme="majorEastAsia" w:hAnsiTheme="majorEastAsia" w:eastAsiaTheme="majorEastAsia"/>
          <w:b/>
          <w:snapToGrid w:val="0"/>
          <w:color w:val="auto"/>
          <w:kern w:val="0"/>
          <w:sz w:val="28"/>
          <w:szCs w:val="28"/>
        </w:rPr>
      </w:pPr>
    </w:p>
    <w:p>
      <w:pPr>
        <w:spacing w:line="360" w:lineRule="auto"/>
        <w:jc w:val="center"/>
        <w:rPr>
          <w:rFonts w:asciiTheme="majorEastAsia" w:hAnsiTheme="majorEastAsia" w:eastAsiaTheme="majorEastAsia"/>
          <w:b/>
          <w:snapToGrid w:val="0"/>
          <w:color w:val="auto"/>
          <w:kern w:val="0"/>
          <w:sz w:val="28"/>
          <w:szCs w:val="28"/>
        </w:rPr>
      </w:pPr>
    </w:p>
    <w:p>
      <w:pPr>
        <w:spacing w:line="360" w:lineRule="auto"/>
        <w:jc w:val="center"/>
        <w:rPr>
          <w:rFonts w:asciiTheme="majorEastAsia" w:hAnsiTheme="majorEastAsia" w:eastAsiaTheme="majorEastAsia"/>
          <w:b/>
          <w:snapToGrid w:val="0"/>
          <w:color w:val="auto"/>
          <w:kern w:val="0"/>
          <w:sz w:val="28"/>
          <w:szCs w:val="28"/>
        </w:rPr>
      </w:pPr>
    </w:p>
    <w:p>
      <w:pPr>
        <w:spacing w:line="360" w:lineRule="auto"/>
        <w:jc w:val="center"/>
        <w:rPr>
          <w:rFonts w:asciiTheme="majorEastAsia" w:hAnsiTheme="majorEastAsia" w:eastAsiaTheme="majorEastAsia"/>
          <w:b/>
          <w:snapToGrid w:val="0"/>
          <w:color w:val="auto"/>
          <w:kern w:val="0"/>
          <w:sz w:val="28"/>
          <w:szCs w:val="28"/>
        </w:rPr>
      </w:pPr>
    </w:p>
    <w:p>
      <w:pPr>
        <w:spacing w:line="360" w:lineRule="auto"/>
        <w:jc w:val="center"/>
        <w:rPr>
          <w:rFonts w:asciiTheme="majorEastAsia" w:hAnsiTheme="majorEastAsia" w:eastAsiaTheme="majorEastAsia"/>
          <w:b/>
          <w:snapToGrid w:val="0"/>
          <w:color w:val="auto"/>
          <w:kern w:val="0"/>
          <w:sz w:val="28"/>
          <w:szCs w:val="28"/>
        </w:rPr>
      </w:pPr>
    </w:p>
    <w:p>
      <w:pPr>
        <w:spacing w:line="360" w:lineRule="auto"/>
        <w:jc w:val="center"/>
        <w:rPr>
          <w:rFonts w:asciiTheme="majorEastAsia" w:hAnsiTheme="majorEastAsia" w:eastAsiaTheme="majorEastAsia"/>
          <w:b/>
          <w:snapToGrid w:val="0"/>
          <w:color w:val="auto"/>
          <w:kern w:val="0"/>
          <w:sz w:val="28"/>
          <w:szCs w:val="28"/>
        </w:rPr>
      </w:pPr>
    </w:p>
    <w:p>
      <w:pPr>
        <w:spacing w:line="360" w:lineRule="auto"/>
        <w:jc w:val="center"/>
        <w:rPr>
          <w:rFonts w:asciiTheme="majorEastAsia" w:hAnsiTheme="majorEastAsia" w:eastAsiaTheme="majorEastAsia"/>
          <w:b/>
          <w:snapToGrid w:val="0"/>
          <w:color w:val="auto"/>
          <w:kern w:val="0"/>
          <w:sz w:val="28"/>
          <w:szCs w:val="28"/>
        </w:rPr>
      </w:pPr>
      <w:r>
        <w:rPr>
          <w:rFonts w:hint="eastAsia" w:asciiTheme="majorEastAsia" w:hAnsiTheme="majorEastAsia" w:eastAsiaTheme="majorEastAsia"/>
          <w:b/>
          <w:snapToGrid w:val="0"/>
          <w:color w:val="auto"/>
          <w:kern w:val="0"/>
          <w:sz w:val="28"/>
          <w:szCs w:val="28"/>
        </w:rPr>
        <w:t>二、开标一览表</w:t>
      </w:r>
    </w:p>
    <w:p>
      <w:pPr>
        <w:spacing w:line="360" w:lineRule="auto"/>
        <w:jc w:val="center"/>
        <w:rPr>
          <w:rFonts w:asciiTheme="majorEastAsia" w:hAnsiTheme="majorEastAsia" w:eastAsiaTheme="majorEastAsia"/>
          <w:b/>
          <w:snapToGrid w:val="0"/>
          <w:color w:val="auto"/>
          <w:kern w:val="0"/>
          <w:sz w:val="28"/>
          <w:szCs w:val="28"/>
        </w:rPr>
      </w:pPr>
    </w:p>
    <w:p>
      <w:pPr>
        <w:spacing w:before="50"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spacing w:line="360" w:lineRule="auto"/>
        <w:contextualSpacing/>
        <w:rPr>
          <w:rFonts w:asciiTheme="minorEastAsia" w:hAnsiTheme="minorEastAsia"/>
          <w:color w:val="auto"/>
          <w:szCs w:val="21"/>
        </w:rPr>
      </w:pPr>
      <w:r>
        <w:rPr>
          <w:rFonts w:hint="eastAsia" w:asciiTheme="minorEastAsia" w:hAnsiTheme="minorEastAsia"/>
          <w:color w:val="auto"/>
          <w:szCs w:val="21"/>
        </w:rPr>
        <w:t xml:space="preserve">项目名称：                                                      </w:t>
      </w:r>
      <w:r>
        <w:rPr>
          <w:rFonts w:hint="eastAsia" w:cs="Arial" w:asciiTheme="minorEastAsia" w:hAnsiTheme="minorEastAsia"/>
          <w:color w:val="auto"/>
          <w:szCs w:val="21"/>
        </w:rPr>
        <w:t>单位：元（人民币）</w:t>
      </w:r>
    </w:p>
    <w:tbl>
      <w:tblPr>
        <w:tblStyle w:val="22"/>
        <w:tblW w:w="9180" w:type="dxa"/>
        <w:tblInd w:w="0" w:type="dxa"/>
        <w:tblLayout w:type="fixed"/>
        <w:tblCellMar>
          <w:top w:w="0" w:type="dxa"/>
          <w:left w:w="108" w:type="dxa"/>
          <w:bottom w:w="0" w:type="dxa"/>
          <w:right w:w="108" w:type="dxa"/>
        </w:tblCellMar>
      </w:tblPr>
      <w:tblGrid>
        <w:gridCol w:w="959"/>
        <w:gridCol w:w="1843"/>
        <w:gridCol w:w="3685"/>
        <w:gridCol w:w="1843"/>
        <w:gridCol w:w="850"/>
      </w:tblGrid>
      <w:tr>
        <w:tblPrEx>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标段</w:t>
            </w:r>
          </w:p>
        </w:tc>
        <w:tc>
          <w:tcPr>
            <w:tcW w:w="184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项目名称</w:t>
            </w:r>
          </w:p>
        </w:tc>
        <w:tc>
          <w:tcPr>
            <w:tcW w:w="3685"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投标报价</w:t>
            </w:r>
          </w:p>
        </w:tc>
        <w:tc>
          <w:tcPr>
            <w:tcW w:w="184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交付日期</w:t>
            </w:r>
          </w:p>
        </w:tc>
        <w:tc>
          <w:tcPr>
            <w:tcW w:w="850"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备注</w:t>
            </w:r>
          </w:p>
        </w:tc>
      </w:tr>
      <w:tr>
        <w:tblPrEx>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Theme="minorEastAsia" w:hAnsiTheme="minorEastAsia"/>
                <w:color w:val="auto"/>
                <w:szCs w:val="21"/>
              </w:rPr>
            </w:pP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Theme="minorEastAsia" w:hAnsiTheme="minorEastAsia"/>
                <w:color w:val="auto"/>
                <w:szCs w:val="21"/>
              </w:rPr>
            </w:pPr>
          </w:p>
        </w:tc>
        <w:tc>
          <w:tcPr>
            <w:tcW w:w="3685"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rPr>
                <w:rFonts w:cs="宋体" w:asciiTheme="minorEastAsia" w:hAnsiTheme="minorEastAsia"/>
                <w:color w:val="auto"/>
                <w:szCs w:val="21"/>
                <w:lang w:val="zh-CN"/>
              </w:rPr>
            </w:pPr>
            <w:r>
              <w:rPr>
                <w:rFonts w:hint="eastAsia" w:cs="宋体" w:asciiTheme="minorEastAsia" w:hAnsiTheme="minorEastAsia"/>
                <w:color w:val="auto"/>
                <w:szCs w:val="21"/>
                <w:lang w:val="zh-CN"/>
              </w:rPr>
              <w:t>大写：　　　　　　小写：</w:t>
            </w: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cs="宋体" w:asciiTheme="minorEastAsia" w:hAnsiTheme="minorEastAsia"/>
                <w:color w:val="auto"/>
                <w:szCs w:val="21"/>
                <w:lang w:val="zh-CN"/>
              </w:rPr>
            </w:pPr>
          </w:p>
        </w:tc>
        <w:tc>
          <w:tcPr>
            <w:tcW w:w="85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cs="宋体" w:asciiTheme="minorEastAsia" w:hAnsiTheme="minorEastAsia"/>
                <w:color w:val="auto"/>
                <w:szCs w:val="21"/>
                <w:lang w:val="zh-CN"/>
              </w:rPr>
            </w:pPr>
          </w:p>
        </w:tc>
      </w:tr>
      <w:tr>
        <w:tblPrEx>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Theme="minorEastAsia" w:hAnsiTheme="minorEastAsia"/>
                <w:color w:val="auto"/>
                <w:szCs w:val="21"/>
              </w:rPr>
            </w:pPr>
            <w:r>
              <w:rPr>
                <w:rFonts w:cs="Arial" w:asciiTheme="minorEastAsia" w:hAnsiTheme="minorEastAsia"/>
                <w:color w:val="auto"/>
                <w:szCs w:val="21"/>
              </w:rPr>
              <w:t>…</w:t>
            </w: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Theme="minorEastAsia" w:hAnsiTheme="minorEastAsia"/>
                <w:color w:val="auto"/>
                <w:szCs w:val="21"/>
              </w:rPr>
            </w:pPr>
          </w:p>
        </w:tc>
        <w:tc>
          <w:tcPr>
            <w:tcW w:w="3685"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rPr>
                <w:rFonts w:cs="宋体" w:asciiTheme="minorEastAsia" w:hAnsiTheme="minorEastAsia"/>
                <w:color w:val="auto"/>
                <w:szCs w:val="21"/>
                <w:lang w:val="zh-CN"/>
              </w:rPr>
            </w:pPr>
            <w:r>
              <w:rPr>
                <w:rFonts w:hint="eastAsia" w:cs="宋体" w:asciiTheme="minorEastAsia" w:hAnsiTheme="minorEastAsia"/>
                <w:color w:val="auto"/>
                <w:szCs w:val="21"/>
                <w:lang w:val="zh-CN"/>
              </w:rPr>
              <w:t>大写：　　　　　　小写：</w:t>
            </w: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cs="宋体" w:asciiTheme="minorEastAsia" w:hAnsiTheme="minorEastAsia"/>
                <w:color w:val="auto"/>
                <w:szCs w:val="21"/>
                <w:lang w:val="zh-CN"/>
              </w:rPr>
            </w:pPr>
          </w:p>
        </w:tc>
        <w:tc>
          <w:tcPr>
            <w:tcW w:w="85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cs="宋体" w:asciiTheme="minorEastAsia" w:hAnsiTheme="minorEastAsia"/>
                <w:color w:val="auto"/>
                <w:szCs w:val="21"/>
                <w:lang w:val="zh-CN"/>
              </w:rPr>
            </w:pPr>
          </w:p>
        </w:tc>
      </w:tr>
    </w:tbl>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投标人名称：</w:t>
      </w:r>
      <w:r>
        <w:rPr>
          <w:rFonts w:hint="eastAsia" w:cs="宋体" w:asciiTheme="minorEastAsia" w:hAnsiTheme="minorEastAsia"/>
          <w:color w:val="auto"/>
          <w:szCs w:val="21"/>
          <w:u w:val="single"/>
          <w:lang w:val="zh-CN"/>
        </w:rPr>
        <w:t xml:space="preserve">     （全称）   </w:t>
      </w:r>
      <w:r>
        <w:rPr>
          <w:rFonts w:hint="eastAsia" w:cs="宋体" w:asciiTheme="minorEastAsia" w:hAnsiTheme="minorEastAsia"/>
          <w:color w:val="auto"/>
          <w:szCs w:val="21"/>
          <w:lang w:val="zh-CN"/>
        </w:rPr>
        <w:t>（公章）：</w:t>
      </w:r>
    </w:p>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日期：   年   月   日</w:t>
      </w:r>
    </w:p>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注：1、交付日期指完成该项目的最终时间（日历天）。</w:t>
      </w:r>
    </w:p>
    <w:p>
      <w:pPr>
        <w:autoSpaceDE w:val="0"/>
        <w:autoSpaceDN w:val="0"/>
        <w:adjustRightInd w:val="0"/>
        <w:spacing w:line="480" w:lineRule="auto"/>
        <w:ind w:firstLine="420" w:firstLineChars="200"/>
        <w:rPr>
          <w:rFonts w:cs="宋体" w:asciiTheme="minorEastAsia" w:hAnsiTheme="minorEastAsia"/>
          <w:color w:val="auto"/>
          <w:szCs w:val="21"/>
          <w:lang w:val="zh-CN"/>
        </w:rPr>
      </w:pPr>
      <w:r>
        <w:rPr>
          <w:rFonts w:hint="eastAsia" w:cs="宋体" w:asciiTheme="minorEastAsia" w:hAnsiTheme="minorEastAsia"/>
          <w:color w:val="auto"/>
          <w:szCs w:val="21"/>
          <w:lang w:val="zh-CN"/>
        </w:rPr>
        <w:t>2、如招标公告明确项目交付日期以年为单位，本表应填写完成该项目的年限。</w:t>
      </w: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28"/>
          <w:szCs w:val="28"/>
          <w:lang w:val="zh-CN"/>
        </w:rPr>
      </w:pPr>
      <w:r>
        <w:rPr>
          <w:rFonts w:hint="eastAsia" w:cs="黑体" w:asciiTheme="minorEastAsia" w:hAnsiTheme="minorEastAsia"/>
          <w:b/>
          <w:bCs/>
          <w:color w:val="auto"/>
          <w:sz w:val="28"/>
          <w:szCs w:val="28"/>
          <w:lang w:val="zh-CN"/>
        </w:rPr>
        <w:t>三、资格审查证明材料</w:t>
      </w:r>
    </w:p>
    <w:p>
      <w:pPr>
        <w:spacing w:line="360" w:lineRule="auto"/>
        <w:jc w:val="center"/>
        <w:rPr>
          <w:rFonts w:asciiTheme="majorEastAsia" w:hAnsiTheme="majorEastAsia" w:eastAsiaTheme="majorEastAsia"/>
          <w:b/>
          <w:snapToGrid w:val="0"/>
          <w:color w:val="auto"/>
          <w:kern w:val="0"/>
          <w:sz w:val="36"/>
          <w:szCs w:val="36"/>
        </w:rPr>
      </w:pPr>
    </w:p>
    <w:p>
      <w:pPr>
        <w:spacing w:line="360" w:lineRule="auto"/>
        <w:jc w:val="center"/>
        <w:rPr>
          <w:rFonts w:asciiTheme="majorEastAsia" w:hAnsiTheme="majorEastAsia" w:eastAsiaTheme="majorEastAsia"/>
          <w:b/>
          <w:snapToGrid w:val="0"/>
          <w:color w:val="auto"/>
          <w:kern w:val="0"/>
          <w:sz w:val="36"/>
          <w:szCs w:val="36"/>
        </w:rPr>
      </w:pPr>
    </w:p>
    <w:p>
      <w:pPr>
        <w:spacing w:line="360" w:lineRule="auto"/>
        <w:jc w:val="center"/>
        <w:rPr>
          <w:rFonts w:asciiTheme="majorEastAsia" w:hAnsiTheme="majorEastAsia" w:eastAsiaTheme="majorEastAsia"/>
          <w:b/>
          <w:snapToGrid w:val="0"/>
          <w:color w:val="auto"/>
          <w:kern w:val="0"/>
          <w:sz w:val="36"/>
          <w:szCs w:val="36"/>
        </w:rPr>
      </w:pPr>
    </w:p>
    <w:p>
      <w:pPr>
        <w:spacing w:line="360" w:lineRule="auto"/>
        <w:jc w:val="center"/>
        <w:rPr>
          <w:rFonts w:asciiTheme="majorEastAsia" w:hAnsiTheme="majorEastAsia" w:eastAsiaTheme="majorEastAsia"/>
          <w:b/>
          <w:snapToGrid w:val="0"/>
          <w:color w:val="auto"/>
          <w:kern w:val="0"/>
          <w:sz w:val="36"/>
          <w:szCs w:val="36"/>
        </w:rPr>
      </w:pPr>
    </w:p>
    <w:p>
      <w:pPr>
        <w:spacing w:line="360" w:lineRule="auto"/>
        <w:jc w:val="center"/>
        <w:rPr>
          <w:rFonts w:asciiTheme="majorEastAsia" w:hAnsiTheme="majorEastAsia" w:eastAsiaTheme="majorEastAsia"/>
          <w:b/>
          <w:snapToGrid w:val="0"/>
          <w:color w:val="auto"/>
          <w:kern w:val="0"/>
          <w:sz w:val="36"/>
          <w:szCs w:val="36"/>
        </w:rPr>
      </w:pPr>
    </w:p>
    <w:p>
      <w:pPr>
        <w:spacing w:line="360" w:lineRule="auto"/>
        <w:jc w:val="center"/>
        <w:rPr>
          <w:rFonts w:asciiTheme="majorEastAsia" w:hAnsiTheme="majorEastAsia" w:eastAsiaTheme="majorEastAsia"/>
          <w:b/>
          <w:snapToGrid w:val="0"/>
          <w:color w:val="auto"/>
          <w:kern w:val="0"/>
          <w:sz w:val="36"/>
          <w:szCs w:val="36"/>
        </w:rPr>
      </w:pPr>
    </w:p>
    <w:p>
      <w:pPr>
        <w:spacing w:line="360" w:lineRule="auto"/>
        <w:jc w:val="center"/>
        <w:rPr>
          <w:rFonts w:asciiTheme="majorEastAsia" w:hAnsiTheme="majorEastAsia" w:eastAsiaTheme="majorEastAsia"/>
          <w:b/>
          <w:snapToGrid w:val="0"/>
          <w:color w:val="auto"/>
          <w:kern w:val="0"/>
          <w:sz w:val="36"/>
          <w:szCs w:val="36"/>
        </w:rPr>
      </w:pPr>
    </w:p>
    <w:p>
      <w:pPr>
        <w:spacing w:line="360" w:lineRule="auto"/>
        <w:jc w:val="center"/>
        <w:rPr>
          <w:rFonts w:asciiTheme="majorEastAsia" w:hAnsiTheme="majorEastAsia" w:eastAsiaTheme="majorEastAsia"/>
          <w:b/>
          <w:snapToGrid w:val="0"/>
          <w:color w:val="auto"/>
          <w:kern w:val="0"/>
          <w:sz w:val="36"/>
          <w:szCs w:val="36"/>
        </w:rPr>
      </w:pPr>
    </w:p>
    <w:p>
      <w:pPr>
        <w:spacing w:line="360" w:lineRule="auto"/>
        <w:jc w:val="center"/>
        <w:rPr>
          <w:rFonts w:asciiTheme="majorEastAsia" w:hAnsiTheme="majorEastAsia" w:eastAsiaTheme="majorEastAsia"/>
          <w:b/>
          <w:snapToGrid w:val="0"/>
          <w:color w:val="auto"/>
          <w:kern w:val="0"/>
          <w:sz w:val="36"/>
          <w:szCs w:val="36"/>
        </w:rPr>
      </w:pPr>
    </w:p>
    <w:p>
      <w:pPr>
        <w:spacing w:line="360" w:lineRule="auto"/>
        <w:jc w:val="center"/>
        <w:rPr>
          <w:rFonts w:asciiTheme="majorEastAsia" w:hAnsiTheme="majorEastAsia" w:eastAsiaTheme="majorEastAsia"/>
          <w:b/>
          <w:snapToGrid w:val="0"/>
          <w:color w:val="auto"/>
          <w:kern w:val="0"/>
          <w:sz w:val="36"/>
          <w:szCs w:val="36"/>
        </w:rPr>
      </w:pPr>
    </w:p>
    <w:p>
      <w:pPr>
        <w:spacing w:line="360" w:lineRule="auto"/>
        <w:jc w:val="center"/>
        <w:rPr>
          <w:rFonts w:asciiTheme="majorEastAsia" w:hAnsiTheme="majorEastAsia" w:eastAsiaTheme="majorEastAsia"/>
          <w:b/>
          <w:snapToGrid w:val="0"/>
          <w:color w:val="auto"/>
          <w:kern w:val="0"/>
          <w:sz w:val="36"/>
          <w:szCs w:val="36"/>
        </w:rPr>
      </w:pPr>
    </w:p>
    <w:p>
      <w:pPr>
        <w:spacing w:line="360" w:lineRule="auto"/>
        <w:jc w:val="center"/>
        <w:rPr>
          <w:rFonts w:asciiTheme="majorEastAsia" w:hAnsiTheme="majorEastAsia" w:eastAsiaTheme="majorEastAsia"/>
          <w:b/>
          <w:snapToGrid w:val="0"/>
          <w:color w:val="auto"/>
          <w:kern w:val="0"/>
          <w:sz w:val="36"/>
          <w:szCs w:val="36"/>
        </w:rPr>
      </w:pPr>
    </w:p>
    <w:p>
      <w:pPr>
        <w:spacing w:line="360" w:lineRule="auto"/>
        <w:jc w:val="center"/>
        <w:rPr>
          <w:rFonts w:asciiTheme="majorEastAsia" w:hAnsiTheme="majorEastAsia" w:eastAsiaTheme="majorEastAsia"/>
          <w:b/>
          <w:snapToGrid w:val="0"/>
          <w:color w:val="auto"/>
          <w:kern w:val="0"/>
          <w:sz w:val="36"/>
          <w:szCs w:val="36"/>
        </w:rPr>
      </w:pPr>
    </w:p>
    <w:p>
      <w:pPr>
        <w:spacing w:line="360" w:lineRule="auto"/>
        <w:jc w:val="center"/>
        <w:rPr>
          <w:rFonts w:asciiTheme="majorEastAsia" w:hAnsiTheme="majorEastAsia" w:eastAsiaTheme="majorEastAsia"/>
          <w:b/>
          <w:snapToGrid w:val="0"/>
          <w:color w:val="auto"/>
          <w:kern w:val="0"/>
          <w:sz w:val="24"/>
          <w:szCs w:val="24"/>
        </w:rPr>
      </w:pPr>
      <w:r>
        <w:rPr>
          <w:rFonts w:hint="eastAsia" w:asciiTheme="majorEastAsia" w:hAnsiTheme="majorEastAsia" w:eastAsiaTheme="majorEastAsia"/>
          <w:b/>
          <w:snapToGrid w:val="0"/>
          <w:color w:val="auto"/>
          <w:kern w:val="0"/>
          <w:sz w:val="24"/>
          <w:szCs w:val="24"/>
        </w:rPr>
        <w:t>3.1 投 标 函</w:t>
      </w:r>
    </w:p>
    <w:p>
      <w:pPr>
        <w:spacing w:line="360" w:lineRule="auto"/>
        <w:jc w:val="center"/>
        <w:rPr>
          <w:rFonts w:asciiTheme="majorEastAsia" w:hAnsiTheme="majorEastAsia" w:eastAsiaTheme="majorEastAsia"/>
          <w:b/>
          <w:snapToGrid w:val="0"/>
          <w:color w:val="auto"/>
          <w:kern w:val="0"/>
          <w:sz w:val="28"/>
          <w:szCs w:val="28"/>
        </w:rPr>
      </w:pPr>
    </w:p>
    <w:p>
      <w:pPr>
        <w:adjustRightInd w:val="0"/>
        <w:spacing w:line="360" w:lineRule="auto"/>
        <w:contextualSpacing/>
        <w:rPr>
          <w:rFonts w:asciiTheme="minorEastAsia" w:hAnsiTheme="minorEastAsia"/>
          <w:b/>
          <w:snapToGrid w:val="0"/>
          <w:color w:val="auto"/>
          <w:kern w:val="0"/>
          <w:szCs w:val="21"/>
        </w:rPr>
      </w:pPr>
      <w:r>
        <w:rPr>
          <w:rFonts w:hint="eastAsia" w:asciiTheme="minorEastAsia" w:hAnsiTheme="minorEastAsia"/>
          <w:snapToGrid w:val="0"/>
          <w:color w:val="auto"/>
          <w:kern w:val="0"/>
          <w:szCs w:val="21"/>
        </w:rPr>
        <w:t>致：许昌市政府采购服务中心</w:t>
      </w:r>
    </w:p>
    <w:p>
      <w:pPr>
        <w:adjustRightInd w:val="0"/>
        <w:spacing w:line="360" w:lineRule="auto"/>
        <w:ind w:firstLine="420" w:firstLineChars="200"/>
        <w:contextualSpacing/>
        <w:outlineLvl w:val="0"/>
        <w:rPr>
          <w:rFonts w:asciiTheme="minorEastAsia" w:hAnsiTheme="minorEastAsia"/>
          <w:snapToGrid w:val="0"/>
          <w:color w:val="auto"/>
          <w:kern w:val="0"/>
          <w:szCs w:val="21"/>
        </w:rPr>
      </w:pPr>
      <w:r>
        <w:rPr>
          <w:rFonts w:hint="eastAsia" w:asciiTheme="minorEastAsia" w:hAnsiTheme="minorEastAsia"/>
          <w:snapToGrid w:val="0"/>
          <w:color w:val="auto"/>
          <w:kern w:val="0"/>
          <w:szCs w:val="21"/>
        </w:rPr>
        <w:t>根据贵方（</w:t>
      </w:r>
      <w:r>
        <w:rPr>
          <w:rFonts w:hint="eastAsia" w:asciiTheme="minorEastAsia" w:hAnsiTheme="minorEastAsia"/>
          <w:i/>
          <w:snapToGrid w:val="0"/>
          <w:color w:val="auto"/>
          <w:kern w:val="0"/>
          <w:szCs w:val="21"/>
          <w:u w:val="single"/>
        </w:rPr>
        <w:t>项目编号、项目名称</w:t>
      </w:r>
      <w:r>
        <w:rPr>
          <w:rFonts w:hint="eastAsia" w:asciiTheme="minorEastAsia" w:hAnsiTheme="minorEastAsia"/>
          <w:snapToGrid w:val="0"/>
          <w:color w:val="auto"/>
          <w:kern w:val="0"/>
          <w:szCs w:val="21"/>
        </w:rPr>
        <w:t>）采购的招标公告及投标邀请，（</w:t>
      </w:r>
      <w:r>
        <w:rPr>
          <w:rFonts w:hint="eastAsia" w:asciiTheme="minorEastAsia" w:hAnsiTheme="minorEastAsia"/>
          <w:i/>
          <w:snapToGrid w:val="0"/>
          <w:color w:val="auto"/>
          <w:kern w:val="0"/>
          <w:szCs w:val="21"/>
          <w:u w:val="single"/>
        </w:rPr>
        <w:t>姓名和职务</w:t>
      </w:r>
      <w:r>
        <w:rPr>
          <w:rFonts w:hint="eastAsia" w:asciiTheme="minorEastAsia" w:hAnsiTheme="minorEastAsia"/>
          <w:snapToGrid w:val="0"/>
          <w:color w:val="auto"/>
          <w:kern w:val="0"/>
          <w:szCs w:val="21"/>
        </w:rPr>
        <w:t>）被正式授权并代表（</w:t>
      </w:r>
      <w:r>
        <w:rPr>
          <w:rFonts w:hint="eastAsia" w:asciiTheme="minorEastAsia" w:hAnsiTheme="minorEastAsia"/>
          <w:i/>
          <w:snapToGrid w:val="0"/>
          <w:color w:val="auto"/>
          <w:kern w:val="0"/>
          <w:szCs w:val="21"/>
          <w:u w:val="single"/>
        </w:rPr>
        <w:t>投标人名称、地址</w:t>
      </w:r>
      <w:r>
        <w:rPr>
          <w:rFonts w:hint="eastAsia" w:asciiTheme="minorEastAsia" w:hAnsiTheme="minorEastAsia"/>
          <w:snapToGrid w:val="0"/>
          <w:color w:val="auto"/>
          <w:kern w:val="0"/>
          <w:szCs w:val="21"/>
        </w:rPr>
        <w:t>）提交。</w:t>
      </w:r>
    </w:p>
    <w:p>
      <w:pPr>
        <w:adjustRightInd w:val="0"/>
        <w:spacing w:line="360" w:lineRule="auto"/>
        <w:ind w:firstLine="420" w:firstLineChars="200"/>
        <w:contextualSpacing/>
        <w:rPr>
          <w:rFonts w:asciiTheme="minorEastAsia" w:hAnsiTheme="minorEastAsia"/>
          <w:snapToGrid w:val="0"/>
          <w:color w:val="auto"/>
          <w:kern w:val="0"/>
          <w:szCs w:val="21"/>
        </w:rPr>
      </w:pPr>
      <w:r>
        <w:rPr>
          <w:rFonts w:hint="eastAsia" w:asciiTheme="minorEastAsia" w:hAnsiTheme="minorEastAsia"/>
          <w:snapToGrid w:val="0"/>
          <w:color w:val="auto"/>
          <w:kern w:val="0"/>
          <w:szCs w:val="21"/>
        </w:rPr>
        <w:t>我方确认收到贵方提供的（</w:t>
      </w:r>
      <w:r>
        <w:rPr>
          <w:rFonts w:hint="eastAsia" w:asciiTheme="minorEastAsia" w:hAnsiTheme="minorEastAsia"/>
          <w:i/>
          <w:snapToGrid w:val="0"/>
          <w:color w:val="auto"/>
          <w:kern w:val="0"/>
          <w:szCs w:val="21"/>
          <w:u w:val="single"/>
        </w:rPr>
        <w:t>项目编号、项目名称</w:t>
      </w:r>
      <w:r>
        <w:rPr>
          <w:rFonts w:hint="eastAsia" w:asciiTheme="minorEastAsia" w:hAnsiTheme="minorEastAsia"/>
          <w:snapToGrid w:val="0"/>
          <w:color w:val="auto"/>
          <w:kern w:val="0"/>
          <w:szCs w:val="21"/>
        </w:rPr>
        <w:t>）招标文件的全部内容。</w:t>
      </w:r>
    </w:p>
    <w:p>
      <w:pPr>
        <w:adjustRightInd w:val="0"/>
        <w:spacing w:line="360" w:lineRule="auto"/>
        <w:ind w:firstLine="420" w:firstLineChars="200"/>
        <w:contextualSpacing/>
        <w:rPr>
          <w:rFonts w:asciiTheme="minorEastAsia" w:hAnsiTheme="minorEastAsia"/>
          <w:snapToGrid w:val="0"/>
          <w:color w:val="auto"/>
          <w:kern w:val="0"/>
          <w:szCs w:val="21"/>
        </w:rPr>
      </w:pPr>
      <w:r>
        <w:rPr>
          <w:rFonts w:hint="eastAsia" w:asciiTheme="minorEastAsia" w:hAnsiTheme="minorEastAsia"/>
          <w:snapToGrid w:val="0"/>
          <w:color w:val="auto"/>
          <w:kern w:val="0"/>
          <w:szCs w:val="21"/>
        </w:rPr>
        <w:t>我方在参与投标前已详细研究了《招标文件》的所有内容，包括澄清、修改文件（如果有）和所有已提供的参考资料以及有关附件，我方完全明白并认为此招标文件没有倾向性，也不存在排斥潜在投标供应商的内容，我方同意招标文件的相关条款和</w:t>
      </w:r>
      <w:r>
        <w:rPr>
          <w:rFonts w:hint="eastAsia" w:asciiTheme="minorEastAsia" w:hAnsiTheme="minorEastAsia"/>
          <w:color w:val="auto"/>
          <w:szCs w:val="21"/>
        </w:rPr>
        <w:t>已完全理解并接受招标文件的各项规定和要求及资金支付规定，对招标文件的合理性、合法性不再有异议，</w:t>
      </w:r>
      <w:r>
        <w:rPr>
          <w:rFonts w:hint="eastAsia" w:ascii="宋体" w:hAnsi="宋体" w:eastAsia="宋体"/>
          <w:color w:val="auto"/>
          <w:szCs w:val="21"/>
        </w:rPr>
        <w:t>并承诺在发生争议时不会以对《招标文件》存在误解、不明白的条款为由，对贵中心行使任何法律上的抗辩权。</w:t>
      </w:r>
    </w:p>
    <w:p>
      <w:pPr>
        <w:adjustRightInd w:val="0"/>
        <w:spacing w:line="360" w:lineRule="auto"/>
        <w:ind w:firstLine="420" w:firstLineChars="200"/>
        <w:contextualSpacing/>
        <w:rPr>
          <w:rFonts w:cs="Courier New" w:asciiTheme="minorEastAsia" w:hAnsiTheme="minorEastAsia"/>
          <w:color w:val="auto"/>
          <w:szCs w:val="21"/>
        </w:rPr>
      </w:pPr>
      <w:r>
        <w:rPr>
          <w:rFonts w:hint="eastAsia" w:cs="Courier New" w:asciiTheme="minorEastAsia" w:hAnsiTheme="minorEastAsia"/>
          <w:color w:val="auto"/>
          <w:szCs w:val="21"/>
        </w:rPr>
        <w:t>我方已完全明白招标文件的所有条款要求，并申明如下：</w:t>
      </w:r>
    </w:p>
    <w:p>
      <w:pPr>
        <w:adjustRightInd w:val="0"/>
        <w:spacing w:line="360" w:lineRule="auto"/>
        <w:ind w:firstLine="420" w:firstLineChars="200"/>
        <w:contextualSpacing/>
        <w:rPr>
          <w:rFonts w:cs="Courier New" w:asciiTheme="minorEastAsia" w:hAnsiTheme="minorEastAsia"/>
          <w:color w:val="auto"/>
          <w:szCs w:val="21"/>
        </w:rPr>
      </w:pPr>
      <w:r>
        <w:rPr>
          <w:rFonts w:hint="eastAsia" w:cs="Courier New" w:asciiTheme="minorEastAsia" w:hAnsiTheme="minorEastAsia"/>
          <w:color w:val="auto"/>
          <w:szCs w:val="21"/>
        </w:rPr>
        <w:t>一、按招标文件提供的全部货物与相关服务的投标总价详见《开标一览表》。</w:t>
      </w:r>
    </w:p>
    <w:p>
      <w:pPr>
        <w:adjustRightInd w:val="0"/>
        <w:spacing w:line="360" w:lineRule="auto"/>
        <w:ind w:firstLine="420" w:firstLineChars="200"/>
        <w:contextualSpacing/>
        <w:rPr>
          <w:rFonts w:cs="Courier New" w:asciiTheme="minorEastAsia" w:hAnsiTheme="minorEastAsia"/>
          <w:color w:val="auto"/>
          <w:szCs w:val="21"/>
        </w:rPr>
      </w:pPr>
      <w:r>
        <w:rPr>
          <w:rFonts w:hint="eastAsia" w:cs="Courier New" w:asciiTheme="minorEastAsia" w:hAnsiTheme="minorEastAsia"/>
          <w:color w:val="auto"/>
          <w:szCs w:val="21"/>
        </w:rPr>
        <w:t>二、</w:t>
      </w:r>
      <w:r>
        <w:rPr>
          <w:rFonts w:hint="eastAsia" w:ascii="宋体" w:hAnsi="宋体"/>
          <w:color w:val="auto"/>
          <w:szCs w:val="21"/>
        </w:rPr>
        <w:t>我方同意在本项目招标文件中规定的开标日起90天内遵守本投标文件中的承诺且在此期限期满之前均具有约束力。我方同意并遵守本招标文件“投标人须知”中第十四条第三款关于延长投标有效期的规定。</w:t>
      </w:r>
      <w:r>
        <w:rPr>
          <w:rFonts w:hint="eastAsia" w:cs="Courier New" w:asciiTheme="minorEastAsia" w:hAnsiTheme="minorEastAsia"/>
          <w:color w:val="auto"/>
          <w:szCs w:val="21"/>
        </w:rPr>
        <w:t>如中标，有效期将延至供货终止日为止。在此提交的资格证明文件均至投标截止日有效，如有在投标有效期内失效的，我方承诺在中标后补齐一切手续，保证所有资格证明文件能在签订采购合同时直至采购合同终止日有效。</w:t>
      </w:r>
    </w:p>
    <w:p>
      <w:pPr>
        <w:adjustRightInd w:val="0"/>
        <w:spacing w:line="360" w:lineRule="auto"/>
        <w:ind w:firstLine="420" w:firstLineChars="200"/>
        <w:contextualSpacing/>
        <w:rPr>
          <w:rFonts w:cs="Courier New" w:asciiTheme="minorEastAsia" w:hAnsiTheme="minorEastAsia"/>
          <w:color w:val="auto"/>
          <w:szCs w:val="21"/>
        </w:rPr>
      </w:pPr>
      <w:r>
        <w:rPr>
          <w:rFonts w:hint="eastAsia" w:cs="Courier New" w:asciiTheme="minorEastAsia" w:hAnsiTheme="minorEastAsia"/>
          <w:color w:val="auto"/>
          <w:szCs w:val="21"/>
        </w:rPr>
        <w:t>三、我方明白并同意，在规定的开标日之后，投标有效期之内撤销投标的，则我方承担违背投标承诺的责任追究。</w:t>
      </w:r>
    </w:p>
    <w:p>
      <w:pPr>
        <w:adjustRightInd w:val="0"/>
        <w:spacing w:line="360" w:lineRule="auto"/>
        <w:ind w:firstLine="420" w:firstLineChars="200"/>
        <w:contextualSpacing/>
        <w:rPr>
          <w:rFonts w:cs="Courier New" w:asciiTheme="minorEastAsia" w:hAnsiTheme="minorEastAsia"/>
          <w:color w:val="auto"/>
          <w:szCs w:val="21"/>
        </w:rPr>
      </w:pPr>
      <w:r>
        <w:rPr>
          <w:rFonts w:hint="eastAsia" w:cs="Courier New" w:asciiTheme="minorEastAsia" w:hAnsiTheme="minorEastAsia"/>
          <w:color w:val="auto"/>
          <w:szCs w:val="21"/>
        </w:rPr>
        <w:t>四、我方同意按照贵方可能提出的要求而提供与投标有关的任何其它数据、信息或资料。</w:t>
      </w:r>
    </w:p>
    <w:p>
      <w:pPr>
        <w:adjustRightInd w:val="0"/>
        <w:spacing w:line="360" w:lineRule="auto"/>
        <w:ind w:firstLine="420" w:firstLineChars="200"/>
        <w:contextualSpacing/>
        <w:rPr>
          <w:rFonts w:cs="Courier New" w:asciiTheme="minorEastAsia" w:hAnsiTheme="minorEastAsia"/>
          <w:color w:val="auto"/>
          <w:szCs w:val="21"/>
        </w:rPr>
      </w:pPr>
      <w:r>
        <w:rPr>
          <w:rFonts w:hint="eastAsia" w:cs="Courier New" w:asciiTheme="minorEastAsia" w:hAnsiTheme="minorEastAsia"/>
          <w:color w:val="auto"/>
          <w:szCs w:val="21"/>
        </w:rPr>
        <w:t>五、我方理解贵方不一定接受最低投标价或任何贵方可能收到的投标。</w:t>
      </w:r>
    </w:p>
    <w:p>
      <w:pPr>
        <w:adjustRightInd w:val="0"/>
        <w:spacing w:line="360" w:lineRule="auto"/>
        <w:ind w:firstLine="420" w:firstLineChars="200"/>
        <w:contextualSpacing/>
        <w:rPr>
          <w:rFonts w:cs="Courier New" w:asciiTheme="minorEastAsia" w:hAnsiTheme="minorEastAsia"/>
          <w:color w:val="auto"/>
          <w:szCs w:val="21"/>
        </w:rPr>
      </w:pPr>
      <w:r>
        <w:rPr>
          <w:rFonts w:hint="eastAsia" w:cs="Courier New" w:asciiTheme="minorEastAsia" w:hAnsiTheme="minorEastAsia"/>
          <w:color w:val="auto"/>
          <w:szCs w:val="21"/>
        </w:rPr>
        <w:t>六、我方如果中标，将保证履行招标文件及其澄清、修改文件（如果有）中的全部责任和义务，按质、按量、按期完成《项目需求》及《合同书》中的全部任务。</w:t>
      </w:r>
    </w:p>
    <w:p>
      <w:pPr>
        <w:adjustRightInd w:val="0"/>
        <w:spacing w:line="360" w:lineRule="auto"/>
        <w:ind w:firstLine="420" w:firstLineChars="200"/>
        <w:contextualSpacing/>
        <w:rPr>
          <w:rFonts w:cs="宋体" w:asciiTheme="minorEastAsia" w:hAnsiTheme="minorEastAsia"/>
          <w:color w:val="auto"/>
          <w:szCs w:val="21"/>
        </w:rPr>
      </w:pPr>
      <w:r>
        <w:rPr>
          <w:rFonts w:hint="eastAsia" w:cs="Courier New" w:asciiTheme="minorEastAsia" w:hAnsiTheme="minorEastAsia"/>
          <w:color w:val="auto"/>
          <w:szCs w:val="21"/>
        </w:rPr>
        <w:t>七、我方在此保证所提交的所有文件和全部说明是真实的和正确的。</w:t>
      </w:r>
    </w:p>
    <w:p>
      <w:pPr>
        <w:adjustRightInd w:val="0"/>
        <w:spacing w:line="360" w:lineRule="auto"/>
        <w:ind w:firstLine="420" w:firstLineChars="200"/>
        <w:contextualSpacing/>
        <w:rPr>
          <w:rFonts w:asciiTheme="minorEastAsia" w:hAnsiTheme="minorEastAsia"/>
          <w:color w:val="auto"/>
          <w:szCs w:val="21"/>
        </w:rPr>
      </w:pPr>
      <w:r>
        <w:rPr>
          <w:rFonts w:hint="eastAsia" w:asciiTheme="minorEastAsia" w:hAnsiTheme="minorEastAsia"/>
          <w:color w:val="auto"/>
          <w:szCs w:val="21"/>
        </w:rPr>
        <w:t xml:space="preserve">八、我方投标报价已包含应向知识产权所有权人支付的所有相关税费，并保证采购人在中国使用我方提供的货物时，如有第三方提出侵犯其知识产权主张的，责任由我方承担。 </w:t>
      </w:r>
    </w:p>
    <w:p>
      <w:pPr>
        <w:adjustRightInd w:val="0"/>
        <w:spacing w:line="360" w:lineRule="auto"/>
        <w:ind w:firstLine="420" w:firstLineChars="200"/>
        <w:contextualSpacing/>
        <w:rPr>
          <w:rFonts w:cs="Arial" w:asciiTheme="minorEastAsia" w:hAnsiTheme="minorEastAsia"/>
          <w:color w:val="auto"/>
          <w:szCs w:val="21"/>
        </w:rPr>
      </w:pPr>
      <w:r>
        <w:rPr>
          <w:rFonts w:hint="eastAsia" w:cs="Arial" w:asciiTheme="minorEastAsia" w:hAnsiTheme="minorEastAsia"/>
          <w:color w:val="auto"/>
          <w:szCs w:val="21"/>
        </w:rPr>
        <w:t>九、我方具备《政府采购法》第二十二条规定的条件；承诺如下：</w:t>
      </w:r>
    </w:p>
    <w:p>
      <w:pPr>
        <w:adjustRightInd w:val="0"/>
        <w:spacing w:line="360" w:lineRule="auto"/>
        <w:ind w:firstLine="420" w:firstLineChars="200"/>
        <w:contextualSpacing/>
        <w:rPr>
          <w:rFonts w:cs="Arial" w:asciiTheme="minorEastAsia" w:hAnsiTheme="minorEastAsia"/>
          <w:color w:val="auto"/>
          <w:szCs w:val="21"/>
        </w:rPr>
      </w:pPr>
      <w:r>
        <w:rPr>
          <w:rFonts w:hint="eastAsia" w:cs="Arial" w:asciiTheme="minorEastAsia" w:hAnsiTheme="minorEastAsia"/>
          <w:color w:val="auto"/>
          <w:szCs w:val="21"/>
        </w:rPr>
        <w:t>1. 具有独立承担民事责任能力的在中华人民共和国境内注册的法定代表人或其他组织或自然人，有效的营业执照（或事业法定代表人登记证或身份证等相关证明）。</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2. 我方已依法缴纳了各项税费及社会保险费用，如有需要，可随时向采购人提供近三个月内的相关缴费证明，以便核查。</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3. 我方已依法建立健全的财务会计制度，如有需要，可随时向采购人提供相关证明材料，以便核查。</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4. 参加政府采购活动前三年内，在经营活动中没有重大违法记录。</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5. 符合法律、行政法规规定的其他条件。</w:t>
      </w:r>
    </w:p>
    <w:p>
      <w:pPr>
        <w:adjustRightInd w:val="0"/>
        <w:spacing w:line="360" w:lineRule="auto"/>
        <w:ind w:firstLine="441" w:firstLineChars="210"/>
        <w:contextualSpacing/>
        <w:rPr>
          <w:rFonts w:cs="Arial" w:asciiTheme="minorEastAsia" w:hAnsiTheme="minorEastAsia"/>
          <w:color w:val="auto"/>
          <w:szCs w:val="21"/>
        </w:rPr>
      </w:pPr>
      <w:r>
        <w:rPr>
          <w:rFonts w:hint="eastAsia" w:cs="宋体" w:asciiTheme="minorEastAsia" w:hAnsiTheme="minorEastAsia"/>
          <w:color w:val="auto"/>
          <w:szCs w:val="21"/>
        </w:rPr>
        <w:t>以上内容如有虚假或与事实不符的，评审委员会可将</w:t>
      </w:r>
      <w:r>
        <w:rPr>
          <w:rFonts w:hint="eastAsia" w:cs="Arial" w:asciiTheme="minorEastAsia" w:hAnsiTheme="minorEastAsia"/>
          <w:color w:val="auto"/>
          <w:szCs w:val="21"/>
        </w:rPr>
        <w:t>我方做无效投标处理，我方愿意承担相应的法律责任。</w:t>
      </w:r>
    </w:p>
    <w:p>
      <w:pPr>
        <w:adjustRightInd w:val="0"/>
        <w:spacing w:line="360" w:lineRule="auto"/>
        <w:ind w:firstLine="420" w:firstLineChars="200"/>
        <w:contextualSpacing/>
        <w:rPr>
          <w:rFonts w:asciiTheme="minorEastAsia" w:hAnsiTheme="minorEastAsia"/>
          <w:color w:val="auto"/>
          <w:szCs w:val="21"/>
        </w:rPr>
      </w:pPr>
      <w:r>
        <w:rPr>
          <w:rFonts w:hint="eastAsia" w:asciiTheme="minorEastAsia" w:hAnsiTheme="minorEastAsia"/>
          <w:color w:val="auto"/>
          <w:szCs w:val="21"/>
        </w:rPr>
        <w:t>十、我方具备履行合同所必需的设备和专业技术能力。</w:t>
      </w:r>
    </w:p>
    <w:p>
      <w:pPr>
        <w:adjustRightInd w:val="0"/>
        <w:spacing w:line="360" w:lineRule="auto"/>
        <w:ind w:firstLine="420" w:firstLineChars="200"/>
        <w:contextualSpacing/>
        <w:rPr>
          <w:rFonts w:asciiTheme="minorEastAsia" w:hAnsiTheme="minorEastAsia"/>
          <w:color w:val="auto"/>
          <w:szCs w:val="21"/>
        </w:rPr>
      </w:pPr>
      <w:r>
        <w:rPr>
          <w:rFonts w:hint="eastAsia" w:asciiTheme="minorEastAsia" w:hAnsiTheme="minorEastAsia"/>
          <w:snapToGrid w:val="0"/>
          <w:color w:val="auto"/>
          <w:kern w:val="0"/>
          <w:szCs w:val="21"/>
        </w:rPr>
        <w:t>十一、</w:t>
      </w:r>
      <w:r>
        <w:rPr>
          <w:rFonts w:hint="eastAsia" w:asciiTheme="minorEastAsia" w:hAnsiTheme="minorEastAsia"/>
          <w:color w:val="auto"/>
          <w:szCs w:val="21"/>
        </w:rPr>
        <w:t>我方对在本函及投标文件中所作的所有承诺承担法律责任。</w:t>
      </w:r>
    </w:p>
    <w:p>
      <w:pPr>
        <w:adjustRightInd w:val="0"/>
        <w:snapToGrid w:val="0"/>
        <w:spacing w:line="360" w:lineRule="auto"/>
        <w:rPr>
          <w:rFonts w:asciiTheme="minorEastAsia" w:hAnsiTheme="minorEastAsia"/>
          <w:color w:val="auto"/>
          <w:szCs w:val="21"/>
        </w:rPr>
      </w:pPr>
    </w:p>
    <w:p>
      <w:pPr>
        <w:adjustRightInd w:val="0"/>
        <w:snapToGrid w:val="0"/>
        <w:spacing w:line="360" w:lineRule="auto"/>
        <w:rPr>
          <w:rFonts w:asciiTheme="minorEastAsia" w:hAnsiTheme="minorEastAsia"/>
          <w:color w:val="auto"/>
          <w:szCs w:val="21"/>
        </w:rPr>
      </w:pPr>
    </w:p>
    <w:p>
      <w:pPr>
        <w:adjustRightInd w:val="0"/>
        <w:snapToGrid w:val="0"/>
        <w:spacing w:line="360" w:lineRule="auto"/>
        <w:rPr>
          <w:rFonts w:asciiTheme="minorEastAsia" w:hAnsiTheme="minorEastAsia"/>
          <w:color w:val="auto"/>
          <w:szCs w:val="21"/>
        </w:rPr>
      </w:pPr>
      <w:r>
        <w:rPr>
          <w:rFonts w:hint="eastAsia" w:asciiTheme="minorEastAsia" w:hAnsiTheme="minorEastAsia"/>
          <w:color w:val="auto"/>
          <w:szCs w:val="21"/>
        </w:rPr>
        <w:t>所有与本招标有关的一切正式往来请寄：</w:t>
      </w:r>
    </w:p>
    <w:p>
      <w:pPr>
        <w:adjustRightInd w:val="0"/>
        <w:snapToGrid w:val="0"/>
        <w:spacing w:line="360" w:lineRule="auto"/>
        <w:ind w:firstLine="420" w:firstLineChars="200"/>
        <w:rPr>
          <w:rFonts w:cs="宋体" w:asciiTheme="minorEastAsia" w:hAnsiTheme="minorEastAsia"/>
          <w:color w:val="auto"/>
          <w:szCs w:val="21"/>
        </w:rPr>
      </w:pPr>
      <w:r>
        <w:rPr>
          <w:rFonts w:hint="eastAsia" w:cs="宋体" w:asciiTheme="minorEastAsia" w:hAnsiTheme="minorEastAsia"/>
          <w:color w:val="auto"/>
          <w:szCs w:val="21"/>
        </w:rPr>
        <w:t>地    址：                             邮政编码：</w:t>
      </w:r>
    </w:p>
    <w:p>
      <w:pPr>
        <w:adjustRightInd w:val="0"/>
        <w:snapToGrid w:val="0"/>
        <w:spacing w:line="360" w:lineRule="auto"/>
        <w:ind w:firstLine="420" w:firstLineChars="200"/>
        <w:rPr>
          <w:rFonts w:cs="宋体" w:asciiTheme="minorEastAsia" w:hAnsiTheme="minorEastAsia"/>
          <w:color w:val="auto"/>
          <w:szCs w:val="21"/>
        </w:rPr>
      </w:pPr>
      <w:r>
        <w:rPr>
          <w:rFonts w:hint="eastAsia" w:cs="宋体" w:asciiTheme="minorEastAsia" w:hAnsiTheme="minorEastAsia"/>
          <w:color w:val="auto"/>
          <w:szCs w:val="21"/>
        </w:rPr>
        <w:t>电    话：                             传    真：</w:t>
      </w:r>
    </w:p>
    <w:p>
      <w:pPr>
        <w:adjustRightInd w:val="0"/>
        <w:snapToGrid w:val="0"/>
        <w:spacing w:line="360" w:lineRule="auto"/>
        <w:ind w:firstLine="420" w:firstLineChars="200"/>
        <w:rPr>
          <w:rFonts w:cs="宋体" w:asciiTheme="minorEastAsia" w:hAnsiTheme="minorEastAsia"/>
          <w:color w:val="auto"/>
          <w:szCs w:val="21"/>
          <w:u w:val="single"/>
        </w:rPr>
      </w:pPr>
      <w:r>
        <w:rPr>
          <w:rFonts w:hint="eastAsia" w:cs="宋体" w:asciiTheme="minorEastAsia" w:hAnsiTheme="minorEastAsia"/>
          <w:color w:val="auto"/>
          <w:szCs w:val="21"/>
        </w:rPr>
        <w:t>投标人代表姓名：                       职    务：</w:t>
      </w:r>
    </w:p>
    <w:p>
      <w:pPr>
        <w:adjustRightInd w:val="0"/>
        <w:snapToGrid w:val="0"/>
        <w:spacing w:line="360" w:lineRule="auto"/>
        <w:rPr>
          <w:rFonts w:cs="宋体" w:asciiTheme="minorEastAsia" w:hAnsiTheme="minorEastAsia"/>
          <w:color w:val="auto"/>
          <w:szCs w:val="21"/>
          <w:u w:val="single"/>
        </w:rPr>
      </w:pP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3885" w:firstLineChars="1850"/>
        <w:rPr>
          <w:rFonts w:cs="宋体" w:asciiTheme="minorEastAsia" w:hAnsiTheme="minorEastAsia"/>
          <w:color w:val="auto"/>
          <w:szCs w:val="21"/>
        </w:rPr>
      </w:pPr>
      <w:r>
        <w:rPr>
          <w:rFonts w:hint="eastAsia" w:cs="宋体" w:asciiTheme="minorEastAsia" w:hAnsiTheme="minorEastAsia"/>
          <w:color w:val="auto"/>
          <w:szCs w:val="21"/>
        </w:rPr>
        <w:t>投标人名称（并加盖公章）：</w:t>
      </w: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3885" w:firstLineChars="1850"/>
        <w:rPr>
          <w:rFonts w:cs="宋体" w:asciiTheme="minorEastAsia" w:hAnsiTheme="minorEastAsia"/>
          <w:color w:val="auto"/>
          <w:szCs w:val="21"/>
        </w:rPr>
      </w:pPr>
      <w:r>
        <w:rPr>
          <w:rFonts w:hint="eastAsia" w:cs="宋体" w:asciiTheme="minorEastAsia" w:hAnsiTheme="minorEastAsia"/>
          <w:color w:val="auto"/>
          <w:szCs w:val="21"/>
        </w:rPr>
        <w:t>日期：   年  月   日</w:t>
      </w: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4305" w:firstLineChars="2050"/>
        <w:rPr>
          <w:rFonts w:cs="宋体" w:asciiTheme="minorEastAsia" w:hAnsiTheme="minorEastAsia"/>
          <w:color w:val="auto"/>
          <w:szCs w:val="21"/>
        </w:rPr>
      </w:pPr>
    </w:p>
    <w:p>
      <w:pPr>
        <w:spacing w:line="480" w:lineRule="exact"/>
        <w:jc w:val="center"/>
        <w:rPr>
          <w:rFonts w:asciiTheme="majorEastAsia" w:hAnsiTheme="majorEastAsia" w:eastAsiaTheme="majorEastAsia"/>
          <w:b/>
          <w:bCs/>
          <w:color w:val="auto"/>
          <w:sz w:val="24"/>
          <w:szCs w:val="24"/>
        </w:rPr>
      </w:pPr>
      <w:r>
        <w:rPr>
          <w:rFonts w:hint="eastAsia" w:asciiTheme="majorEastAsia" w:hAnsiTheme="majorEastAsia" w:eastAsiaTheme="majorEastAsia"/>
          <w:b/>
          <w:bCs/>
          <w:color w:val="auto"/>
          <w:sz w:val="24"/>
          <w:szCs w:val="24"/>
        </w:rPr>
        <w:t>3.2 法定代表人（单位负责人）</w:t>
      </w:r>
      <w:r>
        <w:rPr>
          <w:rFonts w:asciiTheme="majorEastAsia" w:hAnsiTheme="majorEastAsia" w:eastAsiaTheme="majorEastAsia"/>
          <w:b/>
          <w:bCs/>
          <w:color w:val="auto"/>
          <w:sz w:val="24"/>
          <w:szCs w:val="24"/>
        </w:rPr>
        <w:t>资</w:t>
      </w:r>
      <w:r>
        <w:rPr>
          <w:rFonts w:hint="eastAsia" w:asciiTheme="majorEastAsia" w:hAnsiTheme="majorEastAsia" w:eastAsiaTheme="majorEastAsia"/>
          <w:b/>
          <w:bCs/>
          <w:color w:val="auto"/>
          <w:sz w:val="24"/>
          <w:szCs w:val="24"/>
        </w:rPr>
        <w:t>格</w:t>
      </w:r>
      <w:r>
        <w:rPr>
          <w:rFonts w:asciiTheme="majorEastAsia" w:hAnsiTheme="majorEastAsia" w:eastAsiaTheme="majorEastAsia"/>
          <w:b/>
          <w:bCs/>
          <w:color w:val="auto"/>
          <w:sz w:val="24"/>
          <w:szCs w:val="24"/>
        </w:rPr>
        <w:t>证</w:t>
      </w:r>
      <w:r>
        <w:rPr>
          <w:rFonts w:hint="eastAsia" w:asciiTheme="majorEastAsia" w:hAnsiTheme="majorEastAsia" w:eastAsiaTheme="majorEastAsia"/>
          <w:b/>
          <w:bCs/>
          <w:color w:val="auto"/>
          <w:sz w:val="24"/>
          <w:szCs w:val="24"/>
        </w:rPr>
        <w:t>明</w:t>
      </w:r>
      <w:r>
        <w:rPr>
          <w:rFonts w:asciiTheme="majorEastAsia" w:hAnsiTheme="majorEastAsia" w:eastAsiaTheme="majorEastAsia"/>
          <w:b/>
          <w:bCs/>
          <w:color w:val="auto"/>
          <w:sz w:val="24"/>
          <w:szCs w:val="24"/>
        </w:rPr>
        <w:t>书</w:t>
      </w:r>
    </w:p>
    <w:p>
      <w:pPr>
        <w:autoSpaceDE w:val="0"/>
        <w:autoSpaceDN w:val="0"/>
        <w:adjustRightInd w:val="0"/>
        <w:spacing w:line="480" w:lineRule="auto"/>
        <w:ind w:firstLine="616" w:firstLineChars="257"/>
        <w:rPr>
          <w:rFonts w:ascii="宋体" w:hAnsi="宋体"/>
          <w:color w:val="auto"/>
          <w:sz w:val="24"/>
          <w:szCs w:val="24"/>
        </w:rPr>
      </w:pPr>
    </w:p>
    <w:p>
      <w:pPr>
        <w:spacing w:line="480" w:lineRule="auto"/>
        <w:ind w:firstLine="472" w:firstLineChars="225"/>
        <w:jc w:val="left"/>
        <w:rPr>
          <w:rFonts w:asciiTheme="minorEastAsia" w:hAnsiTheme="minorEastAsia"/>
          <w:color w:val="auto"/>
          <w:szCs w:val="21"/>
        </w:rPr>
      </w:pPr>
      <w:r>
        <w:rPr>
          <w:rFonts w:asciiTheme="minorEastAsia" w:hAnsiTheme="minorEastAsia"/>
          <w:color w:val="auto"/>
          <w:szCs w:val="21"/>
        </w:rPr>
        <w:t>单</w:t>
      </w:r>
      <w:r>
        <w:rPr>
          <w:rFonts w:hint="eastAsia" w:asciiTheme="minorEastAsia" w:hAnsiTheme="minorEastAsia"/>
          <w:color w:val="auto"/>
          <w:szCs w:val="21"/>
        </w:rPr>
        <w:t>位名</w:t>
      </w:r>
      <w:r>
        <w:rPr>
          <w:rFonts w:asciiTheme="minorEastAsia" w:hAnsiTheme="minorEastAsia"/>
          <w:color w:val="auto"/>
          <w:szCs w:val="21"/>
        </w:rPr>
        <w:t>称</w:t>
      </w:r>
      <w:r>
        <w:rPr>
          <w:rFonts w:hint="eastAsia" w:asciiTheme="minorEastAsia" w:hAnsiTheme="minorEastAsia"/>
          <w:color w:val="auto"/>
          <w:szCs w:val="21"/>
        </w:rPr>
        <w:t>：</w:t>
      </w:r>
    </w:p>
    <w:p>
      <w:pPr>
        <w:spacing w:line="480" w:lineRule="auto"/>
        <w:ind w:firstLine="472" w:firstLineChars="225"/>
        <w:jc w:val="left"/>
        <w:rPr>
          <w:rFonts w:asciiTheme="minorEastAsia" w:hAnsiTheme="minorEastAsia"/>
          <w:color w:val="auto"/>
          <w:szCs w:val="21"/>
        </w:rPr>
      </w:pPr>
      <w:r>
        <w:rPr>
          <w:rFonts w:hint="eastAsia" w:asciiTheme="minorEastAsia" w:hAnsiTheme="minorEastAsia"/>
          <w:color w:val="auto"/>
          <w:szCs w:val="21"/>
        </w:rPr>
        <w:t>地址：</w:t>
      </w:r>
    </w:p>
    <w:p>
      <w:pPr>
        <w:spacing w:line="480" w:lineRule="auto"/>
        <w:ind w:firstLine="472" w:firstLineChars="225"/>
        <w:jc w:val="left"/>
        <w:rPr>
          <w:rFonts w:asciiTheme="minorEastAsia" w:hAnsiTheme="minorEastAsia"/>
          <w:color w:val="auto"/>
          <w:szCs w:val="21"/>
        </w:rPr>
      </w:pPr>
      <w:r>
        <w:rPr>
          <w:rFonts w:hint="eastAsia" w:asciiTheme="minorEastAsia" w:hAnsiTheme="minorEastAsia"/>
          <w:color w:val="auto"/>
          <w:szCs w:val="21"/>
        </w:rPr>
        <w:t>姓名：       性</w:t>
      </w:r>
      <w:r>
        <w:rPr>
          <w:rFonts w:asciiTheme="minorEastAsia" w:hAnsiTheme="minorEastAsia"/>
          <w:color w:val="auto"/>
          <w:szCs w:val="21"/>
        </w:rPr>
        <w:t>别</w:t>
      </w:r>
      <w:r>
        <w:rPr>
          <w:rFonts w:hint="eastAsia" w:asciiTheme="minorEastAsia" w:hAnsiTheme="minorEastAsia"/>
          <w:color w:val="auto"/>
          <w:szCs w:val="21"/>
        </w:rPr>
        <w:t>：     年</w:t>
      </w:r>
      <w:r>
        <w:rPr>
          <w:rFonts w:asciiTheme="minorEastAsia" w:hAnsiTheme="minorEastAsia"/>
          <w:color w:val="auto"/>
          <w:szCs w:val="21"/>
        </w:rPr>
        <w:t>龄</w:t>
      </w:r>
      <w:r>
        <w:rPr>
          <w:rFonts w:hint="eastAsia" w:asciiTheme="minorEastAsia" w:hAnsiTheme="minorEastAsia"/>
          <w:color w:val="auto"/>
          <w:szCs w:val="21"/>
        </w:rPr>
        <w:t>：</w:t>
      </w:r>
      <w:r>
        <w:rPr>
          <w:rFonts w:asciiTheme="minorEastAsia" w:hAnsiTheme="minorEastAsia"/>
          <w:color w:val="auto"/>
          <w:szCs w:val="21"/>
        </w:rPr>
        <w:t xml:space="preserve">     职务</w:t>
      </w:r>
      <w:r>
        <w:rPr>
          <w:rFonts w:hint="eastAsia" w:asciiTheme="minorEastAsia" w:hAnsiTheme="minorEastAsia"/>
          <w:color w:val="auto"/>
          <w:szCs w:val="21"/>
        </w:rPr>
        <w:t xml:space="preserve">：        </w:t>
      </w:r>
    </w:p>
    <w:p>
      <w:pPr>
        <w:spacing w:line="480" w:lineRule="auto"/>
        <w:ind w:firstLine="472" w:firstLineChars="225"/>
        <w:jc w:val="left"/>
        <w:rPr>
          <w:rFonts w:asciiTheme="minorEastAsia" w:hAnsiTheme="minorEastAsia"/>
          <w:color w:val="auto"/>
          <w:szCs w:val="21"/>
        </w:rPr>
      </w:pPr>
      <w:r>
        <w:rPr>
          <w:rFonts w:hint="eastAsia" w:asciiTheme="minorEastAsia" w:hAnsiTheme="minorEastAsia"/>
          <w:color w:val="auto"/>
          <w:szCs w:val="21"/>
        </w:rPr>
        <w:t>本人系（</w:t>
      </w:r>
      <w:r>
        <w:rPr>
          <w:rFonts w:hint="eastAsia" w:asciiTheme="minorEastAsia" w:hAnsiTheme="minorEastAsia"/>
          <w:i/>
          <w:snapToGrid w:val="0"/>
          <w:color w:val="auto"/>
          <w:szCs w:val="21"/>
          <w:u w:val="single"/>
        </w:rPr>
        <w:t>投</w:t>
      </w:r>
      <w:r>
        <w:rPr>
          <w:rFonts w:asciiTheme="minorEastAsia" w:hAnsiTheme="minorEastAsia"/>
          <w:i/>
          <w:snapToGrid w:val="0"/>
          <w:color w:val="auto"/>
          <w:szCs w:val="21"/>
          <w:u w:val="single"/>
        </w:rPr>
        <w:t>标</w:t>
      </w:r>
      <w:r>
        <w:rPr>
          <w:rFonts w:hint="eastAsia" w:asciiTheme="minorEastAsia" w:hAnsiTheme="minorEastAsia"/>
          <w:i/>
          <w:snapToGrid w:val="0"/>
          <w:color w:val="auto"/>
          <w:szCs w:val="21"/>
          <w:u w:val="single"/>
        </w:rPr>
        <w:t>人名</w:t>
      </w:r>
      <w:r>
        <w:rPr>
          <w:rFonts w:asciiTheme="minorEastAsia" w:hAnsiTheme="minorEastAsia"/>
          <w:i/>
          <w:snapToGrid w:val="0"/>
          <w:color w:val="auto"/>
          <w:szCs w:val="21"/>
          <w:u w:val="single"/>
        </w:rPr>
        <w:t>称</w:t>
      </w:r>
      <w:r>
        <w:rPr>
          <w:rFonts w:hint="eastAsia" w:asciiTheme="minorEastAsia" w:hAnsiTheme="minorEastAsia"/>
          <w:color w:val="auto"/>
          <w:szCs w:val="21"/>
        </w:rPr>
        <w:t>）的法定代表人（单位负责人）。就</w:t>
      </w:r>
      <w:r>
        <w:rPr>
          <w:rFonts w:asciiTheme="minorEastAsia" w:hAnsiTheme="minorEastAsia"/>
          <w:color w:val="auto"/>
          <w:szCs w:val="21"/>
        </w:rPr>
        <w:t>参</w:t>
      </w:r>
      <w:r>
        <w:rPr>
          <w:rFonts w:hint="eastAsia" w:asciiTheme="minorEastAsia" w:hAnsiTheme="minorEastAsia"/>
          <w:color w:val="auto"/>
          <w:szCs w:val="21"/>
        </w:rPr>
        <w:t>加贵方（</w:t>
      </w:r>
      <w:r>
        <w:rPr>
          <w:rFonts w:asciiTheme="minorEastAsia" w:hAnsiTheme="minorEastAsia"/>
          <w:i/>
          <w:color w:val="auto"/>
          <w:szCs w:val="21"/>
          <w:u w:val="single"/>
        </w:rPr>
        <w:t>项目编号</w:t>
      </w:r>
      <w:r>
        <w:rPr>
          <w:rFonts w:hint="eastAsia" w:asciiTheme="minorEastAsia" w:hAnsiTheme="minorEastAsia"/>
          <w:color w:val="auto"/>
          <w:szCs w:val="21"/>
        </w:rPr>
        <w:t>）的（</w:t>
      </w:r>
      <w:r>
        <w:rPr>
          <w:rFonts w:asciiTheme="minorEastAsia" w:hAnsiTheme="minorEastAsia"/>
          <w:i/>
          <w:color w:val="auto"/>
          <w:szCs w:val="21"/>
          <w:u w:val="single"/>
        </w:rPr>
        <w:t>项目</w:t>
      </w:r>
      <w:r>
        <w:rPr>
          <w:rFonts w:hint="eastAsia" w:asciiTheme="minorEastAsia" w:hAnsiTheme="minorEastAsia"/>
          <w:i/>
          <w:color w:val="auto"/>
          <w:szCs w:val="21"/>
          <w:u w:val="single"/>
        </w:rPr>
        <w:t>名</w:t>
      </w:r>
      <w:r>
        <w:rPr>
          <w:rFonts w:asciiTheme="minorEastAsia" w:hAnsiTheme="minorEastAsia"/>
          <w:i/>
          <w:color w:val="auto"/>
          <w:szCs w:val="21"/>
          <w:u w:val="single"/>
        </w:rPr>
        <w:t>称</w:t>
      </w:r>
      <w:r>
        <w:rPr>
          <w:rFonts w:hint="eastAsia" w:asciiTheme="minorEastAsia" w:hAnsiTheme="minorEastAsia"/>
          <w:color w:val="auto"/>
          <w:szCs w:val="21"/>
        </w:rPr>
        <w:t>）公</w:t>
      </w:r>
      <w:r>
        <w:rPr>
          <w:rFonts w:asciiTheme="minorEastAsia" w:hAnsiTheme="minorEastAsia"/>
          <w:color w:val="auto"/>
          <w:szCs w:val="21"/>
        </w:rPr>
        <w:t>开</w:t>
      </w:r>
      <w:r>
        <w:rPr>
          <w:rFonts w:hint="eastAsia" w:asciiTheme="minorEastAsia" w:hAnsiTheme="minorEastAsia"/>
          <w:color w:val="auto"/>
          <w:szCs w:val="21"/>
        </w:rPr>
        <w:t>招</w:t>
      </w:r>
      <w:r>
        <w:rPr>
          <w:rFonts w:asciiTheme="minorEastAsia" w:hAnsiTheme="minorEastAsia"/>
          <w:color w:val="auto"/>
          <w:szCs w:val="21"/>
        </w:rPr>
        <w:t>标项目</w:t>
      </w:r>
      <w:r>
        <w:rPr>
          <w:rFonts w:hint="eastAsia" w:asciiTheme="minorEastAsia" w:hAnsiTheme="minorEastAsia"/>
          <w:color w:val="auto"/>
          <w:szCs w:val="21"/>
        </w:rPr>
        <w:t>的投</w:t>
      </w:r>
      <w:r>
        <w:rPr>
          <w:rFonts w:asciiTheme="minorEastAsia" w:hAnsiTheme="minorEastAsia"/>
          <w:color w:val="auto"/>
          <w:szCs w:val="21"/>
        </w:rPr>
        <w:t>标报价</w:t>
      </w:r>
      <w:r>
        <w:rPr>
          <w:rFonts w:hint="eastAsia" w:asciiTheme="minorEastAsia" w:hAnsiTheme="minorEastAsia"/>
          <w:color w:val="auto"/>
          <w:szCs w:val="21"/>
        </w:rPr>
        <w:t>，</w:t>
      </w:r>
      <w:r>
        <w:rPr>
          <w:rFonts w:asciiTheme="minorEastAsia" w:hAnsiTheme="minorEastAsia"/>
          <w:color w:val="auto"/>
          <w:szCs w:val="21"/>
        </w:rPr>
        <w:t>签</w:t>
      </w:r>
      <w:r>
        <w:rPr>
          <w:rFonts w:hint="eastAsia" w:asciiTheme="minorEastAsia" w:hAnsiTheme="minorEastAsia"/>
          <w:color w:val="auto"/>
          <w:szCs w:val="21"/>
        </w:rPr>
        <w:t>署上</w:t>
      </w:r>
      <w:r>
        <w:rPr>
          <w:rFonts w:asciiTheme="minorEastAsia" w:hAnsiTheme="minorEastAsia"/>
          <w:color w:val="auto"/>
          <w:szCs w:val="21"/>
        </w:rPr>
        <w:t>述项目</w:t>
      </w:r>
      <w:r>
        <w:rPr>
          <w:rFonts w:hint="eastAsia" w:asciiTheme="minorEastAsia" w:hAnsiTheme="minorEastAsia"/>
          <w:color w:val="auto"/>
          <w:szCs w:val="21"/>
        </w:rPr>
        <w:t>的投</w:t>
      </w:r>
      <w:r>
        <w:rPr>
          <w:rFonts w:asciiTheme="minorEastAsia" w:hAnsiTheme="minorEastAsia"/>
          <w:color w:val="auto"/>
          <w:szCs w:val="21"/>
        </w:rPr>
        <w:t>标</w:t>
      </w:r>
      <w:r>
        <w:rPr>
          <w:rFonts w:hint="eastAsia" w:asciiTheme="minorEastAsia" w:hAnsiTheme="minorEastAsia"/>
          <w:color w:val="auto"/>
          <w:szCs w:val="21"/>
        </w:rPr>
        <w:t>文件及合同的</w:t>
      </w:r>
      <w:r>
        <w:rPr>
          <w:rFonts w:asciiTheme="minorEastAsia" w:hAnsiTheme="minorEastAsia"/>
          <w:color w:val="auto"/>
          <w:szCs w:val="21"/>
        </w:rPr>
        <w:t>执</w:t>
      </w:r>
      <w:r>
        <w:rPr>
          <w:rFonts w:hint="eastAsia" w:asciiTheme="minorEastAsia" w:hAnsiTheme="minorEastAsia"/>
          <w:color w:val="auto"/>
          <w:szCs w:val="21"/>
        </w:rPr>
        <w:t>行、完成、服</w:t>
      </w:r>
      <w:r>
        <w:rPr>
          <w:rFonts w:asciiTheme="minorEastAsia" w:hAnsiTheme="minorEastAsia"/>
          <w:color w:val="auto"/>
          <w:szCs w:val="21"/>
        </w:rPr>
        <w:t>务</w:t>
      </w:r>
      <w:r>
        <w:rPr>
          <w:rFonts w:hint="eastAsia" w:asciiTheme="minorEastAsia" w:hAnsiTheme="minorEastAsia"/>
          <w:color w:val="auto"/>
          <w:szCs w:val="21"/>
        </w:rPr>
        <w:t>和保修，</w:t>
      </w:r>
      <w:r>
        <w:rPr>
          <w:rFonts w:asciiTheme="minorEastAsia" w:hAnsiTheme="minorEastAsia"/>
          <w:color w:val="auto"/>
          <w:szCs w:val="21"/>
        </w:rPr>
        <w:t>签</w:t>
      </w:r>
      <w:r>
        <w:rPr>
          <w:rFonts w:hint="eastAsia" w:asciiTheme="minorEastAsia" w:hAnsiTheme="minorEastAsia"/>
          <w:color w:val="auto"/>
          <w:szCs w:val="21"/>
        </w:rPr>
        <w:t>署合同和</w:t>
      </w:r>
      <w:r>
        <w:rPr>
          <w:rFonts w:asciiTheme="minorEastAsia" w:hAnsiTheme="minorEastAsia"/>
          <w:color w:val="auto"/>
          <w:szCs w:val="21"/>
        </w:rPr>
        <w:t>处</w:t>
      </w:r>
      <w:r>
        <w:rPr>
          <w:rFonts w:hint="eastAsia" w:asciiTheme="minorEastAsia" w:hAnsiTheme="minorEastAsia"/>
          <w:color w:val="auto"/>
          <w:szCs w:val="21"/>
        </w:rPr>
        <w:t>理与之有</w:t>
      </w:r>
      <w:r>
        <w:rPr>
          <w:rFonts w:asciiTheme="minorEastAsia" w:hAnsiTheme="minorEastAsia"/>
          <w:color w:val="auto"/>
          <w:szCs w:val="21"/>
        </w:rPr>
        <w:t>关的</w:t>
      </w:r>
      <w:r>
        <w:rPr>
          <w:rFonts w:hint="eastAsia" w:asciiTheme="minorEastAsia" w:hAnsiTheme="minorEastAsia"/>
          <w:color w:val="auto"/>
          <w:szCs w:val="21"/>
        </w:rPr>
        <w:t>一切事</w:t>
      </w:r>
      <w:r>
        <w:rPr>
          <w:rFonts w:asciiTheme="minorEastAsia" w:hAnsiTheme="minorEastAsia"/>
          <w:color w:val="auto"/>
          <w:szCs w:val="21"/>
        </w:rPr>
        <w:t>务</w:t>
      </w:r>
      <w:r>
        <w:rPr>
          <w:rFonts w:hint="eastAsia" w:asciiTheme="minorEastAsia" w:hAnsiTheme="minorEastAsia"/>
          <w:color w:val="auto"/>
          <w:szCs w:val="21"/>
        </w:rPr>
        <w:t>。</w:t>
      </w:r>
    </w:p>
    <w:p>
      <w:pPr>
        <w:spacing w:line="480" w:lineRule="auto"/>
        <w:ind w:firstLine="472" w:firstLineChars="225"/>
        <w:jc w:val="left"/>
        <w:rPr>
          <w:rFonts w:asciiTheme="minorEastAsia" w:hAnsiTheme="minorEastAsia"/>
          <w:color w:val="auto"/>
          <w:szCs w:val="21"/>
        </w:rPr>
      </w:pPr>
      <w:r>
        <w:rPr>
          <w:rFonts w:hint="eastAsia" w:asciiTheme="minorEastAsia" w:hAnsiTheme="minorEastAsia"/>
          <w:color w:val="auto"/>
          <w:szCs w:val="21"/>
        </w:rPr>
        <w:t>特此</w:t>
      </w:r>
      <w:r>
        <w:rPr>
          <w:rFonts w:asciiTheme="minorEastAsia" w:hAnsiTheme="minorEastAsia"/>
          <w:color w:val="auto"/>
          <w:szCs w:val="21"/>
        </w:rPr>
        <w:t>证</w:t>
      </w:r>
      <w:r>
        <w:rPr>
          <w:rFonts w:hint="eastAsia" w:asciiTheme="minorEastAsia" w:hAnsiTheme="minorEastAsia"/>
          <w:color w:val="auto"/>
          <w:szCs w:val="21"/>
        </w:rPr>
        <w:t>明。</w:t>
      </w:r>
    </w:p>
    <w:p>
      <w:pPr>
        <w:spacing w:line="480" w:lineRule="auto"/>
        <w:ind w:firstLine="472" w:firstLineChars="225"/>
        <w:jc w:val="left"/>
        <w:rPr>
          <w:rFonts w:asciiTheme="minorEastAsia" w:hAnsiTheme="minorEastAsia"/>
          <w:color w:val="auto"/>
          <w:szCs w:val="21"/>
        </w:rPr>
      </w:pPr>
      <w:r>
        <w:rPr>
          <w:rFonts w:hint="eastAsia" w:asciiTheme="minorEastAsia" w:hAnsiTheme="minorEastAsia"/>
          <w:color w:val="auto"/>
          <w:szCs w:val="21"/>
        </w:rPr>
        <w:t>法定代表人（单位负责人）联系电话（手机）：</w:t>
      </w:r>
    </w:p>
    <w:p>
      <w:pPr>
        <w:spacing w:line="480" w:lineRule="auto"/>
        <w:ind w:firstLine="472" w:firstLineChars="225"/>
        <w:jc w:val="left"/>
        <w:rPr>
          <w:rFonts w:asciiTheme="minorEastAsia" w:hAnsiTheme="minorEastAsia"/>
          <w:color w:val="auto"/>
          <w:szCs w:val="21"/>
        </w:rPr>
      </w:pPr>
    </w:p>
    <w:p>
      <w:pPr>
        <w:spacing w:line="480" w:lineRule="auto"/>
        <w:ind w:left="-538" w:leftChars="-256" w:firstLine="539" w:firstLineChars="257"/>
        <w:jc w:val="center"/>
        <w:rPr>
          <w:rFonts w:asciiTheme="minorEastAsia" w:hAnsiTheme="minorEastAsia"/>
          <w:bCs/>
          <w:color w:val="auto"/>
          <w:szCs w:val="21"/>
        </w:rPr>
      </w:pPr>
      <w:r>
        <w:rPr>
          <w:rFonts w:hint="eastAsia" w:asciiTheme="minorEastAsia" w:hAnsiTheme="minorEastAsia"/>
          <w:bCs/>
          <w:color w:val="auto"/>
          <w:szCs w:val="21"/>
        </w:rPr>
        <w:t>【此</w:t>
      </w:r>
      <w:r>
        <w:rPr>
          <w:rFonts w:asciiTheme="minorEastAsia" w:hAnsiTheme="minorEastAsia"/>
          <w:bCs/>
          <w:color w:val="auto"/>
          <w:szCs w:val="21"/>
        </w:rPr>
        <w:t>处请</w:t>
      </w:r>
      <w:r>
        <w:rPr>
          <w:rFonts w:hint="eastAsia" w:asciiTheme="minorEastAsia" w:hAnsiTheme="minorEastAsia"/>
          <w:bCs/>
          <w:color w:val="auto"/>
          <w:szCs w:val="21"/>
        </w:rPr>
        <w:t>粘</w:t>
      </w:r>
      <w:r>
        <w:rPr>
          <w:rFonts w:asciiTheme="minorEastAsia" w:hAnsiTheme="minorEastAsia"/>
          <w:bCs/>
          <w:color w:val="auto"/>
          <w:szCs w:val="21"/>
        </w:rPr>
        <w:t>贴</w:t>
      </w:r>
      <w:r>
        <w:rPr>
          <w:rFonts w:hint="eastAsia" w:asciiTheme="minorEastAsia" w:hAnsiTheme="minorEastAsia"/>
          <w:bCs/>
          <w:color w:val="auto"/>
          <w:szCs w:val="21"/>
        </w:rPr>
        <w:t>法定代表人（单位负责人）身份</w:t>
      </w:r>
      <w:r>
        <w:rPr>
          <w:rFonts w:asciiTheme="minorEastAsia" w:hAnsiTheme="minorEastAsia"/>
          <w:bCs/>
          <w:color w:val="auto"/>
          <w:szCs w:val="21"/>
        </w:rPr>
        <w:t>证复</w:t>
      </w:r>
      <w:r>
        <w:rPr>
          <w:rFonts w:hint="eastAsia" w:asciiTheme="minorEastAsia" w:hAnsiTheme="minorEastAsia"/>
          <w:bCs/>
          <w:color w:val="auto"/>
          <w:szCs w:val="21"/>
        </w:rPr>
        <w:t>印件，需清晰反映身份证有效期限】</w:t>
      </w:r>
    </w:p>
    <w:p>
      <w:pPr>
        <w:spacing w:line="480" w:lineRule="auto"/>
        <w:ind w:left="-538" w:leftChars="-256" w:firstLine="539" w:firstLineChars="257"/>
        <w:jc w:val="center"/>
        <w:rPr>
          <w:rFonts w:asciiTheme="minorEastAsia" w:hAnsiTheme="minorEastAsia"/>
          <w:bCs/>
          <w:color w:val="auto"/>
          <w:szCs w:val="21"/>
        </w:rPr>
      </w:pPr>
    </w:p>
    <w:p>
      <w:pPr>
        <w:autoSpaceDE w:val="0"/>
        <w:autoSpaceDN w:val="0"/>
        <w:adjustRightInd w:val="0"/>
        <w:spacing w:line="360" w:lineRule="auto"/>
        <w:ind w:right="-11"/>
        <w:rPr>
          <w:rFonts w:cs="宋体" w:asciiTheme="minorEastAsia" w:hAnsiTheme="minorEastAsia"/>
          <w:color w:val="auto"/>
          <w:szCs w:val="21"/>
          <w:lang w:val="zh-CN"/>
        </w:rPr>
      </w:pPr>
    </w:p>
    <w:p>
      <w:pPr>
        <w:spacing w:line="480" w:lineRule="auto"/>
        <w:ind w:firstLine="3937" w:firstLineChars="1875"/>
        <w:rPr>
          <w:rFonts w:cs="Arial" w:asciiTheme="minorEastAsia" w:hAnsiTheme="minorEastAsia"/>
          <w:color w:val="auto"/>
          <w:szCs w:val="21"/>
          <w:u w:val="single"/>
        </w:rPr>
      </w:pPr>
      <w:r>
        <w:rPr>
          <w:rFonts w:hint="eastAsia" w:cs="Arial" w:asciiTheme="minorEastAsia" w:hAnsiTheme="minorEastAsia"/>
          <w:color w:val="auto"/>
          <w:szCs w:val="21"/>
        </w:rPr>
        <w:t>投标人名称（并加盖公章）：</w:t>
      </w:r>
    </w:p>
    <w:p>
      <w:pPr>
        <w:adjustRightInd w:val="0"/>
        <w:spacing w:before="60" w:line="480" w:lineRule="auto"/>
        <w:ind w:firstLine="3937" w:firstLineChars="1875"/>
        <w:jc w:val="left"/>
        <w:textAlignment w:val="baseline"/>
        <w:rPr>
          <w:rFonts w:cs="Arial" w:asciiTheme="minorEastAsia" w:hAnsiTheme="minorEastAsia"/>
          <w:color w:val="auto"/>
          <w:kern w:val="0"/>
          <w:szCs w:val="21"/>
        </w:rPr>
      </w:pPr>
      <w:r>
        <w:rPr>
          <w:rFonts w:hint="eastAsia" w:cs="Arial" w:asciiTheme="minorEastAsia" w:hAnsiTheme="minorEastAsia"/>
          <w:color w:val="auto"/>
          <w:kern w:val="0"/>
          <w:szCs w:val="21"/>
        </w:rPr>
        <w:t>签署日期：   年   月  日</w:t>
      </w:r>
    </w:p>
    <w:p>
      <w:pPr>
        <w:spacing w:line="480" w:lineRule="auto"/>
        <w:rPr>
          <w:rFonts w:cs="Arial" w:asciiTheme="minorEastAsia" w:hAnsiTheme="minorEastAsia"/>
          <w:color w:val="auto"/>
          <w:szCs w:val="21"/>
        </w:rPr>
      </w:pPr>
    </w:p>
    <w:p>
      <w:pPr>
        <w:rPr>
          <w:color w:val="auto"/>
          <w:szCs w:val="21"/>
        </w:rPr>
      </w:pPr>
    </w:p>
    <w:p>
      <w:pPr>
        <w:spacing w:line="320" w:lineRule="exact"/>
        <w:ind w:firstLine="420" w:firstLineChars="200"/>
        <w:rPr>
          <w:rFonts w:asciiTheme="minorEastAsia" w:hAnsiTheme="minorEastAsia"/>
          <w:bCs/>
          <w:color w:val="auto"/>
          <w:kern w:val="12"/>
          <w:szCs w:val="21"/>
        </w:rPr>
      </w:pPr>
      <w:r>
        <w:rPr>
          <w:rFonts w:hint="eastAsia" w:asciiTheme="minorEastAsia" w:hAnsiTheme="minorEastAsia"/>
          <w:bCs/>
          <w:color w:val="auto"/>
          <w:kern w:val="12"/>
          <w:szCs w:val="21"/>
        </w:rPr>
        <w:t>说明：法定代表人（单位负责人）</w:t>
      </w:r>
      <w:r>
        <w:rPr>
          <w:rFonts w:asciiTheme="minorEastAsia" w:hAnsiTheme="minorEastAsia"/>
          <w:bCs/>
          <w:color w:val="auto"/>
          <w:kern w:val="12"/>
          <w:szCs w:val="21"/>
        </w:rPr>
        <w:t>参</w:t>
      </w:r>
      <w:r>
        <w:rPr>
          <w:rFonts w:hint="eastAsia" w:asciiTheme="minorEastAsia" w:hAnsiTheme="minorEastAsia"/>
          <w:bCs/>
          <w:color w:val="auto"/>
          <w:kern w:val="12"/>
          <w:szCs w:val="21"/>
        </w:rPr>
        <w:t>加本招</w:t>
      </w:r>
      <w:r>
        <w:rPr>
          <w:rFonts w:asciiTheme="minorEastAsia" w:hAnsiTheme="minorEastAsia"/>
          <w:bCs/>
          <w:color w:val="auto"/>
          <w:kern w:val="12"/>
          <w:szCs w:val="21"/>
        </w:rPr>
        <w:t>标项目</w:t>
      </w:r>
      <w:r>
        <w:rPr>
          <w:rFonts w:hint="eastAsia" w:asciiTheme="minorEastAsia" w:hAnsiTheme="minorEastAsia"/>
          <w:bCs/>
          <w:color w:val="auto"/>
          <w:kern w:val="12"/>
          <w:szCs w:val="21"/>
        </w:rPr>
        <w:t>投</w:t>
      </w:r>
      <w:r>
        <w:rPr>
          <w:rFonts w:asciiTheme="minorEastAsia" w:hAnsiTheme="minorEastAsia"/>
          <w:bCs/>
          <w:color w:val="auto"/>
          <w:kern w:val="12"/>
          <w:szCs w:val="21"/>
        </w:rPr>
        <w:t>标</w:t>
      </w:r>
      <w:r>
        <w:rPr>
          <w:rFonts w:hint="eastAsia" w:asciiTheme="minorEastAsia" w:hAnsiTheme="minorEastAsia"/>
          <w:bCs/>
          <w:color w:val="auto"/>
          <w:kern w:val="12"/>
          <w:szCs w:val="21"/>
        </w:rPr>
        <w:t>的，</w:t>
      </w:r>
      <w:r>
        <w:rPr>
          <w:rFonts w:asciiTheme="minorEastAsia" w:hAnsiTheme="minorEastAsia"/>
          <w:bCs/>
          <w:color w:val="auto"/>
          <w:kern w:val="12"/>
          <w:szCs w:val="21"/>
        </w:rPr>
        <w:t>仅须</w:t>
      </w:r>
      <w:r>
        <w:rPr>
          <w:rFonts w:hint="eastAsia" w:asciiTheme="minorEastAsia" w:hAnsiTheme="minorEastAsia"/>
          <w:bCs/>
          <w:color w:val="auto"/>
          <w:kern w:val="12"/>
          <w:szCs w:val="21"/>
        </w:rPr>
        <w:t>出具此</w:t>
      </w:r>
      <w:r>
        <w:rPr>
          <w:rFonts w:asciiTheme="minorEastAsia" w:hAnsiTheme="minorEastAsia"/>
          <w:bCs/>
          <w:color w:val="auto"/>
          <w:kern w:val="12"/>
          <w:szCs w:val="21"/>
        </w:rPr>
        <w:t>证</w:t>
      </w:r>
      <w:r>
        <w:rPr>
          <w:rFonts w:hint="eastAsia" w:asciiTheme="minorEastAsia" w:hAnsiTheme="minorEastAsia"/>
          <w:bCs/>
          <w:color w:val="auto"/>
          <w:kern w:val="12"/>
          <w:szCs w:val="21"/>
        </w:rPr>
        <w:t>明</w:t>
      </w:r>
      <w:r>
        <w:rPr>
          <w:rFonts w:asciiTheme="minorEastAsia" w:hAnsiTheme="minorEastAsia"/>
          <w:bCs/>
          <w:color w:val="auto"/>
          <w:kern w:val="12"/>
          <w:szCs w:val="21"/>
        </w:rPr>
        <w:t>书</w:t>
      </w:r>
      <w:r>
        <w:rPr>
          <w:rFonts w:hint="eastAsia" w:asciiTheme="minorEastAsia" w:hAnsiTheme="minorEastAsia"/>
          <w:bCs/>
          <w:color w:val="auto"/>
          <w:kern w:val="12"/>
          <w:szCs w:val="21"/>
        </w:rPr>
        <w:t>。</w:t>
      </w:r>
    </w:p>
    <w:p>
      <w:pPr>
        <w:spacing w:line="480" w:lineRule="exact"/>
        <w:jc w:val="center"/>
        <w:rPr>
          <w:rFonts w:ascii="宋体" w:hAnsi="宋体"/>
          <w:b/>
          <w:bCs/>
          <w:color w:val="auto"/>
          <w:sz w:val="36"/>
          <w:szCs w:val="36"/>
        </w:rPr>
      </w:pPr>
    </w:p>
    <w:p>
      <w:pPr>
        <w:widowControl/>
        <w:jc w:val="left"/>
        <w:rPr>
          <w:rFonts w:ascii="宋体" w:hAnsi="宋体"/>
          <w:b/>
          <w:bCs/>
          <w:color w:val="auto"/>
          <w:sz w:val="24"/>
          <w:szCs w:val="24"/>
        </w:rPr>
      </w:pPr>
      <w:r>
        <w:rPr>
          <w:rFonts w:ascii="宋体" w:hAnsi="宋体"/>
          <w:b/>
          <w:bCs/>
          <w:color w:val="auto"/>
          <w:sz w:val="24"/>
          <w:szCs w:val="24"/>
        </w:rPr>
        <w:br w:type="page"/>
      </w:r>
    </w:p>
    <w:p>
      <w:pPr>
        <w:spacing w:line="480" w:lineRule="exact"/>
        <w:jc w:val="center"/>
        <w:rPr>
          <w:rFonts w:ascii="宋体" w:hAnsi="宋体"/>
          <w:b/>
          <w:bCs/>
          <w:color w:val="auto"/>
          <w:sz w:val="24"/>
          <w:szCs w:val="24"/>
        </w:rPr>
      </w:pPr>
      <w:r>
        <w:rPr>
          <w:rFonts w:hint="eastAsia" w:ascii="宋体" w:hAnsi="宋体"/>
          <w:b/>
          <w:bCs/>
          <w:color w:val="auto"/>
          <w:sz w:val="24"/>
          <w:szCs w:val="24"/>
        </w:rPr>
        <w:t>3.3 法定代表人（单位负责人）授权书</w:t>
      </w:r>
    </w:p>
    <w:p>
      <w:pPr>
        <w:spacing w:line="480" w:lineRule="exact"/>
        <w:jc w:val="center"/>
        <w:rPr>
          <w:rFonts w:ascii="宋体" w:hAnsi="宋体"/>
          <w:b/>
          <w:bCs/>
          <w:color w:val="auto"/>
          <w:sz w:val="36"/>
          <w:szCs w:val="36"/>
        </w:rPr>
      </w:pP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本人（</w:t>
      </w:r>
      <w:r>
        <w:rPr>
          <w:rFonts w:hint="eastAsia" w:asciiTheme="minorEastAsia" w:hAnsiTheme="minorEastAsia"/>
          <w:i/>
          <w:snapToGrid w:val="0"/>
          <w:color w:val="auto"/>
          <w:szCs w:val="21"/>
          <w:u w:val="single"/>
        </w:rPr>
        <w:t>法定代表人姓名</w:t>
      </w:r>
      <w:r>
        <w:rPr>
          <w:rFonts w:hint="eastAsia" w:cs="Arial" w:asciiTheme="minorEastAsia" w:hAnsiTheme="minorEastAsia"/>
          <w:color w:val="auto"/>
          <w:szCs w:val="21"/>
        </w:rPr>
        <w:t>）系（</w:t>
      </w:r>
      <w:r>
        <w:rPr>
          <w:rFonts w:hint="eastAsia" w:asciiTheme="minorEastAsia" w:hAnsiTheme="minorEastAsia"/>
          <w:i/>
          <w:snapToGrid w:val="0"/>
          <w:color w:val="auto"/>
          <w:szCs w:val="21"/>
          <w:u w:val="single"/>
        </w:rPr>
        <w:t>投标人名称</w:t>
      </w:r>
      <w:r>
        <w:rPr>
          <w:rFonts w:hint="eastAsia" w:cs="Arial" w:asciiTheme="minorEastAsia" w:hAnsiTheme="minorEastAsia"/>
          <w:color w:val="auto"/>
          <w:szCs w:val="21"/>
        </w:rPr>
        <w:t>）的法定代表人（单位负责人），现委托（</w:t>
      </w:r>
      <w:r>
        <w:rPr>
          <w:rFonts w:hint="eastAsia" w:asciiTheme="minorEastAsia" w:hAnsiTheme="minorEastAsia"/>
          <w:i/>
          <w:snapToGrid w:val="0"/>
          <w:color w:val="auto"/>
          <w:szCs w:val="21"/>
          <w:u w:val="single"/>
        </w:rPr>
        <w:t>姓名，职务</w:t>
      </w:r>
      <w:r>
        <w:rPr>
          <w:rFonts w:hint="eastAsia" w:cs="Arial" w:asciiTheme="minorEastAsia" w:hAnsiTheme="minorEastAsia"/>
          <w:color w:val="auto"/>
          <w:szCs w:val="21"/>
        </w:rPr>
        <w:t>）以我方的名义参加贵方</w:t>
      </w:r>
      <w:r>
        <w:rPr>
          <w:rFonts w:hint="eastAsia" w:asciiTheme="minorEastAsia" w:hAnsiTheme="minorEastAsia"/>
          <w:snapToGrid w:val="0"/>
          <w:color w:val="auto"/>
          <w:kern w:val="0"/>
          <w:szCs w:val="21"/>
        </w:rPr>
        <w:t>（</w:t>
      </w:r>
      <w:r>
        <w:rPr>
          <w:rFonts w:hint="eastAsia" w:asciiTheme="minorEastAsia" w:hAnsiTheme="minorEastAsia"/>
          <w:i/>
          <w:snapToGrid w:val="0"/>
          <w:color w:val="auto"/>
          <w:kern w:val="0"/>
          <w:szCs w:val="21"/>
          <w:u w:val="single"/>
        </w:rPr>
        <w:t>项目编号、项目名称</w:t>
      </w:r>
      <w:r>
        <w:rPr>
          <w:rFonts w:hint="eastAsia" w:asciiTheme="minorEastAsia" w:hAnsiTheme="minorEastAsia"/>
          <w:snapToGrid w:val="0"/>
          <w:color w:val="auto"/>
          <w:kern w:val="0"/>
          <w:szCs w:val="21"/>
        </w:rPr>
        <w:t>）</w:t>
      </w:r>
      <w:r>
        <w:rPr>
          <w:rFonts w:hint="eastAsia" w:cs="Arial" w:asciiTheme="minorEastAsia" w:hAnsiTheme="minorEastAsia"/>
          <w:color w:val="auto"/>
          <w:szCs w:val="21"/>
        </w:rPr>
        <w:t>的投标活动，并代表我方全权办理针对上述项目的投标、开标、投标文件澄清、签约等一切具体事务和签署相关文件。</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我方对被授权人的签名事项负全部责任。</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在贵方收到我方撤销授权的书面通知以前，本授权书一直有效。被授权人在授权书有效期内签署的所有文件不因授权的撤销而失效。除我方书面撤销授权外，本授权书自投标截止之日起直至我方的投标有效期结束前始终有效。</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被授权人无转委托权，特此委托。</w:t>
      </w:r>
    </w:p>
    <w:p>
      <w:pPr>
        <w:spacing w:line="480" w:lineRule="auto"/>
        <w:ind w:firstLine="420" w:firstLineChars="200"/>
        <w:rPr>
          <w:rFonts w:asciiTheme="minorEastAsia" w:hAnsiTheme="minorEastAsia"/>
          <w:color w:val="auto"/>
          <w:szCs w:val="21"/>
        </w:rPr>
      </w:pPr>
      <w:r>
        <w:rPr>
          <w:rFonts w:hint="eastAsia" w:asciiTheme="minorEastAsia" w:hAnsiTheme="minorEastAsia"/>
          <w:color w:val="auto"/>
          <w:szCs w:val="21"/>
        </w:rPr>
        <w:t xml:space="preserve">投标人名称： </w:t>
      </w:r>
      <w:r>
        <w:rPr>
          <w:rFonts w:hint="eastAsia" w:asciiTheme="minorEastAsia" w:hAnsiTheme="minorEastAsia"/>
          <w:color w:val="auto"/>
          <w:szCs w:val="21"/>
          <w:u w:val="single"/>
        </w:rPr>
        <w:t xml:space="preserve">       （全称）       </w:t>
      </w:r>
      <w:r>
        <w:rPr>
          <w:rFonts w:hint="eastAsia" w:asciiTheme="minorEastAsia" w:hAnsiTheme="minorEastAsia"/>
          <w:color w:val="auto"/>
          <w:szCs w:val="21"/>
        </w:rPr>
        <w:t xml:space="preserve"> （盖单位公章）</w:t>
      </w:r>
    </w:p>
    <w:p>
      <w:pPr>
        <w:spacing w:line="480" w:lineRule="auto"/>
        <w:ind w:firstLine="420" w:firstLineChars="200"/>
        <w:rPr>
          <w:rFonts w:cs="Arial" w:asciiTheme="minorEastAsia" w:hAnsiTheme="minorEastAsia"/>
          <w:color w:val="auto"/>
          <w:szCs w:val="21"/>
        </w:rPr>
      </w:pPr>
      <w:r>
        <w:rPr>
          <w:rFonts w:hint="eastAsia" w:cs="Arial" w:asciiTheme="minorEastAsia" w:hAnsiTheme="minorEastAsia"/>
          <w:color w:val="auto"/>
          <w:szCs w:val="21"/>
        </w:rPr>
        <w:t>法定代表人（单位负责人）： （签字或加盖名章）</w:t>
      </w:r>
    </w:p>
    <w:p>
      <w:pPr>
        <w:spacing w:line="480" w:lineRule="auto"/>
        <w:ind w:firstLine="420" w:firstLineChars="200"/>
        <w:rPr>
          <w:rFonts w:asciiTheme="minorEastAsia" w:hAnsiTheme="minorEastAsia"/>
          <w:color w:val="auto"/>
          <w:szCs w:val="21"/>
        </w:rPr>
      </w:pPr>
      <w:r>
        <w:rPr>
          <w:rFonts w:hint="eastAsia" w:cs="Arial" w:asciiTheme="minorEastAsia" w:hAnsiTheme="minorEastAsia"/>
          <w:color w:val="auto"/>
          <w:szCs w:val="21"/>
        </w:rPr>
        <w:t>法定代表人（单位负责人）</w:t>
      </w:r>
      <w:r>
        <w:rPr>
          <w:rFonts w:hint="eastAsia" w:asciiTheme="minorEastAsia" w:hAnsiTheme="minorEastAsia"/>
          <w:color w:val="auto"/>
          <w:szCs w:val="21"/>
        </w:rPr>
        <w:t>授权代表：（签字或加盖名章）</w:t>
      </w:r>
    </w:p>
    <w:p>
      <w:pPr>
        <w:spacing w:line="480" w:lineRule="auto"/>
        <w:ind w:firstLine="420" w:firstLineChars="200"/>
        <w:rPr>
          <w:rFonts w:asciiTheme="minorEastAsia" w:hAnsiTheme="minorEastAsia"/>
          <w:color w:val="auto"/>
          <w:szCs w:val="21"/>
        </w:rPr>
      </w:pPr>
      <w:r>
        <w:rPr>
          <w:rFonts w:hint="eastAsia" w:cs="Arial" w:asciiTheme="minorEastAsia" w:hAnsiTheme="minorEastAsia"/>
          <w:color w:val="auto"/>
          <w:szCs w:val="21"/>
        </w:rPr>
        <w:t>法定代表人（单位负责人）</w:t>
      </w:r>
      <w:r>
        <w:rPr>
          <w:rFonts w:hint="eastAsia" w:asciiTheme="minorEastAsia" w:hAnsiTheme="minorEastAsia"/>
          <w:color w:val="auto"/>
          <w:szCs w:val="21"/>
        </w:rPr>
        <w:t>授权代表联系电话（手机）：</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4"/>
        <w:gridCol w:w="7"/>
        <w:gridCol w:w="4478"/>
        <w:gridCol w:w="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2636" w:hRule="atLeast"/>
        </w:trPr>
        <w:tc>
          <w:tcPr>
            <w:tcW w:w="4484" w:type="dxa"/>
            <w:vAlign w:val="center"/>
          </w:tcPr>
          <w:p>
            <w:pPr>
              <w:jc w:val="center"/>
              <w:rPr>
                <w:rFonts w:asciiTheme="minorEastAsia" w:hAnsiTheme="minorEastAsia"/>
                <w:color w:val="auto"/>
                <w:szCs w:val="21"/>
              </w:rPr>
            </w:pPr>
            <w:r>
              <w:rPr>
                <w:rFonts w:hint="eastAsia" w:asciiTheme="minorEastAsia" w:hAnsiTheme="minorEastAsia"/>
                <w:color w:val="auto"/>
                <w:szCs w:val="21"/>
              </w:rPr>
              <w:t>法定代表人（单位负责人）身份证（正面）</w:t>
            </w:r>
          </w:p>
        </w:tc>
        <w:tc>
          <w:tcPr>
            <w:tcW w:w="4485" w:type="dxa"/>
            <w:gridSpan w:val="2"/>
            <w:vAlign w:val="center"/>
          </w:tcPr>
          <w:p>
            <w:pPr>
              <w:jc w:val="center"/>
              <w:rPr>
                <w:rFonts w:asciiTheme="minorEastAsia" w:hAnsiTheme="minorEastAsia"/>
                <w:color w:val="auto"/>
                <w:szCs w:val="21"/>
              </w:rPr>
            </w:pPr>
            <w:r>
              <w:rPr>
                <w:rFonts w:hint="eastAsia" w:asciiTheme="minorEastAsia" w:hAnsiTheme="minorEastAsia"/>
                <w:color w:val="auto"/>
                <w:szCs w:val="21"/>
              </w:rPr>
              <w:t>法定代表人（单位负责人）身份证（反面）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1" w:hRule="atLeast"/>
        </w:trPr>
        <w:tc>
          <w:tcPr>
            <w:tcW w:w="4491" w:type="dxa"/>
            <w:gridSpan w:val="2"/>
            <w:vAlign w:val="center"/>
          </w:tcPr>
          <w:p>
            <w:pPr>
              <w:jc w:val="center"/>
              <w:rPr>
                <w:rFonts w:asciiTheme="minorEastAsia" w:hAnsiTheme="minorEastAsia"/>
                <w:color w:val="auto"/>
                <w:szCs w:val="21"/>
              </w:rPr>
            </w:pPr>
            <w:bookmarkStart w:id="6" w:name="_资格证明文件"/>
            <w:bookmarkEnd w:id="6"/>
            <w:bookmarkStart w:id="7" w:name="_Toc364329026"/>
            <w:r>
              <w:rPr>
                <w:rFonts w:hint="eastAsia" w:asciiTheme="minorEastAsia" w:hAnsiTheme="minorEastAsia"/>
                <w:color w:val="auto"/>
                <w:szCs w:val="21"/>
              </w:rPr>
              <w:t>法定代表人（单位负责人）授权代表身份证</w:t>
            </w:r>
          </w:p>
          <w:p>
            <w:pPr>
              <w:jc w:val="center"/>
              <w:rPr>
                <w:rFonts w:asciiTheme="minorEastAsia" w:hAnsiTheme="minorEastAsia"/>
                <w:color w:val="auto"/>
                <w:szCs w:val="21"/>
              </w:rPr>
            </w:pPr>
            <w:r>
              <w:rPr>
                <w:rFonts w:hint="eastAsia" w:asciiTheme="minorEastAsia" w:hAnsiTheme="minorEastAsia"/>
                <w:color w:val="auto"/>
                <w:szCs w:val="21"/>
              </w:rPr>
              <w:t>（正面）</w:t>
            </w:r>
            <w:bookmarkEnd w:id="7"/>
          </w:p>
        </w:tc>
        <w:tc>
          <w:tcPr>
            <w:tcW w:w="4492" w:type="dxa"/>
            <w:gridSpan w:val="2"/>
            <w:vAlign w:val="center"/>
          </w:tcPr>
          <w:p>
            <w:pPr>
              <w:jc w:val="center"/>
              <w:rPr>
                <w:rFonts w:asciiTheme="minorEastAsia" w:hAnsiTheme="minorEastAsia"/>
                <w:color w:val="auto"/>
                <w:szCs w:val="21"/>
              </w:rPr>
            </w:pPr>
            <w:bookmarkStart w:id="8" w:name="_Toc364329027"/>
            <w:r>
              <w:rPr>
                <w:rFonts w:hint="eastAsia" w:asciiTheme="minorEastAsia" w:hAnsiTheme="minorEastAsia"/>
                <w:color w:val="auto"/>
                <w:szCs w:val="21"/>
              </w:rPr>
              <w:t>法定代表人（单位负责人）授权代表身份证</w:t>
            </w:r>
          </w:p>
          <w:p>
            <w:pPr>
              <w:jc w:val="center"/>
              <w:rPr>
                <w:rFonts w:asciiTheme="minorEastAsia" w:hAnsiTheme="minorEastAsia"/>
                <w:color w:val="auto"/>
                <w:szCs w:val="21"/>
              </w:rPr>
            </w:pPr>
            <w:r>
              <w:rPr>
                <w:rFonts w:hint="eastAsia" w:asciiTheme="minorEastAsia" w:hAnsiTheme="minorEastAsia"/>
                <w:color w:val="auto"/>
                <w:szCs w:val="21"/>
              </w:rPr>
              <w:t>（反面）</w:t>
            </w:r>
            <w:bookmarkEnd w:id="8"/>
          </w:p>
        </w:tc>
      </w:tr>
    </w:tbl>
    <w:p>
      <w:pPr>
        <w:widowControl/>
        <w:spacing w:before="100" w:beforeAutospacing="1" w:after="100" w:afterAutospacing="1" w:line="360" w:lineRule="auto"/>
        <w:jc w:val="center"/>
        <w:rPr>
          <w:rFonts w:ascii="宋体" w:hAnsi="宋体"/>
          <w:b/>
          <w:bCs/>
          <w:color w:val="auto"/>
          <w:sz w:val="24"/>
          <w:szCs w:val="24"/>
        </w:rPr>
      </w:pPr>
      <w:r>
        <w:rPr>
          <w:rFonts w:hint="eastAsia" w:ascii="宋体" w:hAnsi="宋体"/>
          <w:b/>
          <w:bCs/>
          <w:color w:val="auto"/>
          <w:sz w:val="24"/>
          <w:szCs w:val="24"/>
        </w:rPr>
        <w:t>3.4 投标承诺函</w:t>
      </w:r>
    </w:p>
    <w:p>
      <w:pPr>
        <w:autoSpaceDE w:val="0"/>
        <w:autoSpaceDN w:val="0"/>
        <w:snapToGrid w:val="0"/>
        <w:spacing w:line="360" w:lineRule="auto"/>
        <w:jc w:val="center"/>
        <w:rPr>
          <w:rFonts w:ascii="宋体" w:hAnsi="宋体"/>
          <w:b/>
          <w:bCs/>
          <w:color w:val="auto"/>
          <w:sz w:val="24"/>
          <w:szCs w:val="24"/>
        </w:rPr>
      </w:pPr>
    </w:p>
    <w:p>
      <w:pPr>
        <w:spacing w:beforeLines="50" w:afterLines="50" w:line="360" w:lineRule="auto"/>
        <w:contextualSpacing/>
        <w:rPr>
          <w:rFonts w:ascii="宋体" w:hAnsi="宋体" w:eastAsia="宋体" w:cs="宋体"/>
          <w:color w:val="auto"/>
          <w:szCs w:val="21"/>
          <w:lang w:val="zh-CN"/>
        </w:rPr>
      </w:pPr>
      <w:r>
        <w:rPr>
          <w:rFonts w:hint="eastAsia" w:ascii="宋体" w:hAnsi="宋体" w:eastAsia="宋体" w:cs="宋体"/>
          <w:color w:val="auto"/>
          <w:szCs w:val="21"/>
          <w:lang w:val="zh-CN"/>
        </w:rPr>
        <w:t>许昌市政府采购服务中心</w:t>
      </w:r>
      <w:r>
        <w:rPr>
          <w:rFonts w:ascii="宋体" w:hAnsi="宋体" w:eastAsia="宋体" w:cs="宋体"/>
          <w:color w:val="auto"/>
          <w:szCs w:val="21"/>
          <w:lang w:val="zh-CN"/>
        </w:rPr>
        <w:t>：</w:t>
      </w:r>
    </w:p>
    <w:p>
      <w:pPr>
        <w:spacing w:beforeLines="50" w:afterLines="50" w:line="360" w:lineRule="auto"/>
        <w:ind w:firstLine="420" w:firstLineChars="200"/>
        <w:contextualSpacing/>
        <w:rPr>
          <w:rFonts w:cs="宋体" w:asciiTheme="minorEastAsia" w:hAnsiTheme="minorEastAsia"/>
          <w:color w:val="auto"/>
          <w:szCs w:val="21"/>
          <w:lang w:val="zh-CN"/>
        </w:rPr>
      </w:pPr>
      <w:r>
        <w:rPr>
          <w:rFonts w:ascii="宋体" w:hAnsi="宋体" w:eastAsia="宋体" w:cs="宋体"/>
          <w:color w:val="auto"/>
          <w:szCs w:val="21"/>
          <w:lang w:val="zh-CN"/>
        </w:rPr>
        <w:t>经研究，我</w:t>
      </w:r>
      <w:r>
        <w:rPr>
          <w:rFonts w:hint="eastAsia" w:cs="宋体" w:asciiTheme="minorEastAsia" w:hAnsiTheme="minorEastAsia"/>
          <w:color w:val="auto"/>
          <w:szCs w:val="21"/>
          <w:lang w:val="zh-CN"/>
        </w:rPr>
        <w:t>方自愿参与贵方</w:t>
      </w:r>
      <w:r>
        <w:rPr>
          <w:rFonts w:ascii="宋体" w:hAnsi="宋体" w:eastAsia="宋体" w:cs="宋体"/>
          <w:color w:val="auto"/>
          <w:szCs w:val="21"/>
          <w:lang w:val="zh-CN"/>
        </w:rPr>
        <w:t>____年____月____日</w:t>
      </w:r>
      <w:r>
        <w:rPr>
          <w:rFonts w:hint="eastAsia" w:cs="宋体" w:asciiTheme="minorEastAsia" w:hAnsiTheme="minorEastAsia"/>
          <w:i/>
          <w:color w:val="auto"/>
          <w:szCs w:val="21"/>
          <w:u w:val="single"/>
          <w:lang w:val="zh-CN"/>
        </w:rPr>
        <w:t>（项目编号、项目名称）</w:t>
      </w:r>
      <w:r>
        <w:rPr>
          <w:rFonts w:hint="eastAsia" w:cs="宋体" w:asciiTheme="minorEastAsia" w:hAnsiTheme="minorEastAsia"/>
          <w:color w:val="auto"/>
          <w:szCs w:val="21"/>
          <w:lang w:val="zh-CN"/>
        </w:rPr>
        <w:t>的</w:t>
      </w:r>
      <w:r>
        <w:rPr>
          <w:rFonts w:ascii="宋体" w:hAnsi="宋体" w:eastAsia="宋体" w:cs="宋体"/>
          <w:color w:val="auto"/>
          <w:szCs w:val="21"/>
          <w:lang w:val="zh-CN"/>
        </w:rPr>
        <w:t>投标，</w:t>
      </w:r>
      <w:r>
        <w:rPr>
          <w:rFonts w:hint="eastAsia" w:cs="宋体" w:asciiTheme="minorEastAsia" w:hAnsiTheme="minorEastAsia"/>
          <w:color w:val="auto"/>
          <w:szCs w:val="21"/>
          <w:lang w:val="zh-CN"/>
        </w:rPr>
        <w:t>将</w:t>
      </w:r>
      <w:r>
        <w:rPr>
          <w:rFonts w:ascii="宋体" w:hAnsi="宋体" w:eastAsia="宋体" w:cs="宋体"/>
          <w:color w:val="auto"/>
          <w:szCs w:val="21"/>
          <w:lang w:val="zh-CN"/>
        </w:rPr>
        <w:t>严格</w:t>
      </w:r>
      <w:r>
        <w:rPr>
          <w:rFonts w:hint="eastAsia" w:cs="宋体" w:asciiTheme="minorEastAsia" w:hAnsiTheme="minorEastAsia"/>
          <w:color w:val="auto"/>
          <w:szCs w:val="21"/>
          <w:lang w:val="zh-CN"/>
        </w:rPr>
        <w:t>遵守</w:t>
      </w:r>
      <w:r>
        <w:rPr>
          <w:rFonts w:ascii="宋体" w:hAnsi="宋体" w:eastAsia="宋体" w:cs="宋体"/>
          <w:color w:val="auto"/>
          <w:szCs w:val="21"/>
          <w:lang w:val="zh-CN"/>
        </w:rPr>
        <w:t>《</w:t>
      </w:r>
      <w:r>
        <w:rPr>
          <w:rFonts w:hint="eastAsia" w:cs="宋体" w:asciiTheme="minorEastAsia" w:hAnsiTheme="minorEastAsia"/>
          <w:color w:val="auto"/>
          <w:szCs w:val="21"/>
          <w:lang w:val="zh-CN"/>
        </w:rPr>
        <w:t>中华人民共和国政府采购</w:t>
      </w:r>
      <w:r>
        <w:rPr>
          <w:rFonts w:ascii="宋体" w:hAnsi="宋体" w:eastAsia="宋体" w:cs="宋体"/>
          <w:color w:val="auto"/>
          <w:szCs w:val="21"/>
          <w:lang w:val="zh-CN"/>
        </w:rPr>
        <w:t>法》等</w:t>
      </w:r>
      <w:r>
        <w:rPr>
          <w:rFonts w:hint="eastAsia" w:cs="宋体" w:asciiTheme="minorEastAsia" w:hAnsiTheme="minorEastAsia"/>
          <w:color w:val="auto"/>
          <w:szCs w:val="21"/>
          <w:lang w:val="zh-CN"/>
        </w:rPr>
        <w:t>相关</w:t>
      </w:r>
      <w:r>
        <w:rPr>
          <w:rFonts w:ascii="宋体" w:hAnsi="宋体" w:eastAsia="宋体" w:cs="宋体"/>
          <w:color w:val="auto"/>
          <w:szCs w:val="21"/>
          <w:lang w:val="zh-CN"/>
        </w:rPr>
        <w:t>法律法规</w:t>
      </w:r>
      <w:r>
        <w:rPr>
          <w:rFonts w:hint="eastAsia" w:cs="宋体" w:asciiTheme="minorEastAsia" w:hAnsiTheme="minorEastAsia"/>
          <w:color w:val="auto"/>
          <w:szCs w:val="21"/>
          <w:lang w:val="zh-CN"/>
        </w:rPr>
        <w:t>规定</w:t>
      </w:r>
      <w:r>
        <w:rPr>
          <w:rFonts w:cs="宋体" w:asciiTheme="minorEastAsia" w:hAnsiTheme="minorEastAsia"/>
          <w:color w:val="auto"/>
          <w:szCs w:val="21"/>
          <w:lang w:val="zh-CN"/>
        </w:rPr>
        <w:t>，并无条件地遵守本次采购活动各项规定。我们郑重承诺：</w:t>
      </w:r>
      <w:r>
        <w:rPr>
          <w:rFonts w:hint="eastAsia" w:cs="宋体" w:asciiTheme="minorEastAsia" w:hAnsiTheme="minorEastAsia"/>
          <w:color w:val="auto"/>
          <w:szCs w:val="21"/>
          <w:lang w:val="zh-CN"/>
        </w:rPr>
        <w:t>我方</w:t>
      </w:r>
      <w:r>
        <w:rPr>
          <w:rFonts w:cs="宋体" w:asciiTheme="minorEastAsia" w:hAnsiTheme="minorEastAsia"/>
          <w:color w:val="auto"/>
          <w:szCs w:val="21"/>
          <w:lang w:val="zh-CN"/>
        </w:rPr>
        <w:t>如果在本次</w:t>
      </w:r>
      <w:r>
        <w:rPr>
          <w:rFonts w:hint="eastAsia" w:cs="宋体" w:asciiTheme="minorEastAsia" w:hAnsiTheme="minorEastAsia"/>
          <w:color w:val="auto"/>
          <w:szCs w:val="21"/>
          <w:lang w:val="zh-CN"/>
        </w:rPr>
        <w:t>投标</w:t>
      </w:r>
      <w:r>
        <w:rPr>
          <w:rFonts w:cs="宋体" w:asciiTheme="minorEastAsia" w:hAnsiTheme="minorEastAsia"/>
          <w:color w:val="auto"/>
          <w:szCs w:val="21"/>
          <w:lang w:val="zh-CN"/>
        </w:rPr>
        <w:t>活动中有</w:t>
      </w:r>
      <w:r>
        <w:rPr>
          <w:rFonts w:hint="eastAsia" w:cs="宋体" w:asciiTheme="minorEastAsia" w:hAnsiTheme="minorEastAsia"/>
          <w:color w:val="auto"/>
          <w:szCs w:val="21"/>
          <w:lang w:val="zh-CN"/>
        </w:rPr>
        <w:t>下列</w:t>
      </w:r>
      <w:r>
        <w:rPr>
          <w:rFonts w:cs="宋体" w:asciiTheme="minorEastAsia" w:hAnsiTheme="minorEastAsia"/>
          <w:color w:val="auto"/>
          <w:szCs w:val="21"/>
          <w:lang w:val="zh-CN"/>
        </w:rPr>
        <w:t>情形</w:t>
      </w:r>
      <w:r>
        <w:rPr>
          <w:rFonts w:hint="eastAsia" w:cs="宋体" w:asciiTheme="minorEastAsia" w:hAnsiTheme="minorEastAsia"/>
          <w:color w:val="auto"/>
          <w:szCs w:val="21"/>
          <w:lang w:val="zh-CN"/>
        </w:rPr>
        <w:t>之一</w:t>
      </w:r>
      <w:r>
        <w:rPr>
          <w:rFonts w:cs="宋体" w:asciiTheme="minorEastAsia" w:hAnsiTheme="minorEastAsia"/>
          <w:color w:val="auto"/>
          <w:szCs w:val="21"/>
          <w:lang w:val="zh-CN"/>
        </w:rPr>
        <w:t>的，愿接受政府采购</w:t>
      </w:r>
      <w:r>
        <w:rPr>
          <w:rFonts w:hint="eastAsia" w:cs="宋体" w:asciiTheme="minorEastAsia" w:hAnsiTheme="minorEastAsia"/>
          <w:color w:val="auto"/>
          <w:szCs w:val="21"/>
          <w:lang w:val="zh-CN"/>
        </w:rPr>
        <w:t>监督管理</w:t>
      </w:r>
      <w:r>
        <w:rPr>
          <w:rFonts w:cs="宋体" w:asciiTheme="minorEastAsia" w:hAnsiTheme="minorEastAsia"/>
          <w:color w:val="auto"/>
          <w:szCs w:val="21"/>
          <w:lang w:val="zh-CN"/>
        </w:rPr>
        <w:t>部门给予相关处罚并</w:t>
      </w:r>
      <w:r>
        <w:rPr>
          <w:rFonts w:hint="eastAsia" w:cs="宋体" w:asciiTheme="minorEastAsia" w:hAnsiTheme="minorEastAsia"/>
          <w:color w:val="auto"/>
          <w:szCs w:val="21"/>
          <w:lang w:val="zh-CN"/>
        </w:rPr>
        <w:t>承诺依法</w:t>
      </w:r>
      <w:r>
        <w:rPr>
          <w:rFonts w:cs="宋体" w:asciiTheme="minorEastAsia" w:hAnsiTheme="minorEastAsia"/>
          <w:color w:val="auto"/>
          <w:szCs w:val="21"/>
          <w:lang w:val="zh-CN"/>
        </w:rPr>
        <w:t>承担</w:t>
      </w:r>
      <w:r>
        <w:rPr>
          <w:rFonts w:hint="eastAsia" w:cs="宋体" w:asciiTheme="minorEastAsia" w:hAnsiTheme="minorEastAsia"/>
          <w:color w:val="auto"/>
          <w:szCs w:val="21"/>
          <w:lang w:val="zh-CN"/>
        </w:rPr>
        <w:t>相关的经济赔偿责任和</w:t>
      </w:r>
      <w:r>
        <w:rPr>
          <w:rFonts w:cs="宋体" w:asciiTheme="minorEastAsia" w:hAnsiTheme="minorEastAsia"/>
          <w:color w:val="auto"/>
          <w:szCs w:val="21"/>
          <w:lang w:val="zh-CN"/>
        </w:rPr>
        <w:t>法律责任。</w:t>
      </w:r>
    </w:p>
    <w:p>
      <w:pPr>
        <w:spacing w:beforeLines="50" w:afterLines="50" w:line="360" w:lineRule="auto"/>
        <w:ind w:firstLine="420" w:firstLineChars="200"/>
        <w:contextualSpacing/>
        <w:rPr>
          <w:rFonts w:cs="宋体" w:asciiTheme="minorEastAsia" w:hAnsiTheme="minorEastAsia"/>
          <w:color w:val="auto"/>
          <w:szCs w:val="21"/>
          <w:lang w:val="zh-CN"/>
        </w:rPr>
      </w:pPr>
      <w:r>
        <w:rPr>
          <w:rFonts w:hint="eastAsia" w:cs="宋体" w:asciiTheme="minorEastAsia" w:hAnsiTheme="minorEastAsia"/>
          <w:color w:val="auto"/>
          <w:szCs w:val="21"/>
          <w:lang w:val="zh-CN"/>
        </w:rPr>
        <w:t>一、在投标有效期内撤销投标文件；</w:t>
      </w:r>
    </w:p>
    <w:p>
      <w:pPr>
        <w:spacing w:beforeLines="50" w:afterLines="50" w:line="360" w:lineRule="auto"/>
        <w:ind w:firstLine="420" w:firstLineChars="200"/>
        <w:contextualSpacing/>
        <w:rPr>
          <w:rFonts w:cs="宋体" w:asciiTheme="minorEastAsia" w:hAnsiTheme="minorEastAsia"/>
          <w:color w:val="auto"/>
          <w:szCs w:val="21"/>
          <w:lang w:val="zh-CN"/>
        </w:rPr>
      </w:pPr>
      <w:r>
        <w:rPr>
          <w:rFonts w:hint="eastAsia" w:cs="宋体" w:asciiTheme="minorEastAsia" w:hAnsiTheme="minorEastAsia"/>
          <w:color w:val="auto"/>
          <w:szCs w:val="21"/>
          <w:lang w:val="zh-CN"/>
        </w:rPr>
        <w:t>二、在投标文件中提供虚假材料；</w:t>
      </w:r>
    </w:p>
    <w:p>
      <w:pPr>
        <w:spacing w:beforeLines="50" w:afterLines="50" w:line="360" w:lineRule="auto"/>
        <w:ind w:firstLine="420" w:firstLineChars="200"/>
        <w:contextualSpacing/>
        <w:rPr>
          <w:rFonts w:cs="宋体" w:asciiTheme="minorEastAsia" w:hAnsiTheme="minorEastAsia"/>
          <w:color w:val="auto"/>
          <w:szCs w:val="21"/>
          <w:lang w:val="zh-CN"/>
        </w:rPr>
      </w:pPr>
      <w:r>
        <w:rPr>
          <w:rFonts w:hint="eastAsia" w:cs="宋体" w:asciiTheme="minorEastAsia" w:hAnsiTheme="minorEastAsia"/>
          <w:color w:val="auto"/>
          <w:szCs w:val="21"/>
          <w:lang w:val="zh-CN"/>
        </w:rPr>
        <w:t>三、除因不可抗力或招标文件认可的情形以外，中标后不与采购人签订合同；</w:t>
      </w:r>
    </w:p>
    <w:p>
      <w:pPr>
        <w:spacing w:beforeLines="50" w:afterLines="50" w:line="360" w:lineRule="auto"/>
        <w:ind w:firstLine="420" w:firstLineChars="200"/>
        <w:contextualSpacing/>
        <w:rPr>
          <w:rFonts w:cs="宋体" w:asciiTheme="minorEastAsia" w:hAnsiTheme="minorEastAsia"/>
          <w:color w:val="auto"/>
          <w:szCs w:val="21"/>
          <w:lang w:val="zh-CN"/>
        </w:rPr>
      </w:pPr>
      <w:r>
        <w:rPr>
          <w:rFonts w:hint="eastAsia" w:cs="宋体" w:asciiTheme="minorEastAsia" w:hAnsiTheme="minorEastAsia"/>
          <w:color w:val="auto"/>
          <w:szCs w:val="21"/>
          <w:lang w:val="zh-CN"/>
        </w:rPr>
        <w:t>四、与采购人、其他投标人或者采购代理机构恶意串通；</w:t>
      </w:r>
    </w:p>
    <w:p>
      <w:pPr>
        <w:spacing w:beforeLines="50" w:afterLines="50" w:line="360" w:lineRule="auto"/>
        <w:ind w:firstLine="420" w:firstLineChars="200"/>
        <w:contextualSpacing/>
        <w:rPr>
          <w:rFonts w:cs="宋体" w:asciiTheme="minorEastAsia" w:hAnsiTheme="minorEastAsia"/>
          <w:color w:val="auto"/>
          <w:szCs w:val="21"/>
          <w:lang w:val="zh-CN"/>
        </w:rPr>
      </w:pPr>
      <w:r>
        <w:rPr>
          <w:rFonts w:hint="eastAsia" w:cs="宋体" w:asciiTheme="minorEastAsia" w:hAnsiTheme="minorEastAsia"/>
          <w:color w:val="auto"/>
          <w:szCs w:val="21"/>
          <w:lang w:val="zh-CN"/>
        </w:rPr>
        <w:t>五、法律法规及本招标文件规定的其他严重违法行为。</w:t>
      </w:r>
    </w:p>
    <w:p>
      <w:pPr>
        <w:rPr>
          <w:color w:val="auto"/>
          <w:sz w:val="28"/>
          <w:szCs w:val="28"/>
          <w:u w:val="single"/>
        </w:rPr>
      </w:pPr>
    </w:p>
    <w:p>
      <w:pPr>
        <w:rPr>
          <w:color w:val="auto"/>
          <w:sz w:val="28"/>
          <w:szCs w:val="28"/>
          <w:u w:val="single"/>
        </w:rPr>
      </w:pPr>
    </w:p>
    <w:p>
      <w:pPr>
        <w:spacing w:line="480" w:lineRule="auto"/>
        <w:ind w:firstLine="4357" w:firstLineChars="2075"/>
        <w:rPr>
          <w:rFonts w:cs="Arial" w:asciiTheme="minorEastAsia" w:hAnsiTheme="minorEastAsia"/>
          <w:color w:val="auto"/>
          <w:szCs w:val="21"/>
        </w:rPr>
      </w:pPr>
      <w:r>
        <w:rPr>
          <w:rFonts w:hint="eastAsia" w:cs="Arial" w:asciiTheme="minorEastAsia" w:hAnsiTheme="minorEastAsia"/>
          <w:color w:val="auto"/>
          <w:szCs w:val="21"/>
        </w:rPr>
        <w:t>投标人名称（并加盖公章）：　　　　　　　　　</w:t>
      </w:r>
    </w:p>
    <w:p>
      <w:pPr>
        <w:spacing w:line="480" w:lineRule="auto"/>
        <w:ind w:firstLine="4357" w:firstLineChars="2075"/>
        <w:rPr>
          <w:rFonts w:cs="Arial" w:asciiTheme="minorEastAsia" w:hAnsiTheme="minorEastAsia"/>
          <w:color w:val="auto"/>
          <w:szCs w:val="21"/>
        </w:rPr>
      </w:pPr>
      <w:r>
        <w:rPr>
          <w:rFonts w:hint="eastAsia" w:cs="Arial" w:asciiTheme="minorEastAsia" w:hAnsiTheme="minorEastAsia"/>
          <w:color w:val="auto"/>
          <w:szCs w:val="21"/>
        </w:rPr>
        <w:t>日　  期：      年    月    日</w:t>
      </w: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rPr>
          <w:rFonts w:ascii="宋体" w:cs="宋体"/>
          <w:color w:val="auto"/>
          <w:szCs w:val="21"/>
          <w:lang w:val="zh-CN"/>
        </w:rPr>
      </w:pPr>
    </w:p>
    <w:p>
      <w:pPr>
        <w:autoSpaceDE w:val="0"/>
        <w:autoSpaceDN w:val="0"/>
        <w:adjustRightInd w:val="0"/>
        <w:spacing w:line="360" w:lineRule="auto"/>
        <w:jc w:val="center"/>
        <w:rPr>
          <w:rFonts w:ascii="宋体" w:cs="宋体"/>
          <w:color w:val="auto"/>
          <w:szCs w:val="21"/>
          <w:lang w:val="zh-CN"/>
        </w:rPr>
      </w:pPr>
    </w:p>
    <w:p>
      <w:pPr>
        <w:autoSpaceDE w:val="0"/>
        <w:autoSpaceDN w:val="0"/>
        <w:adjustRightInd w:val="0"/>
        <w:spacing w:line="360" w:lineRule="auto"/>
        <w:jc w:val="center"/>
        <w:rPr>
          <w:rFonts w:ascii="宋体" w:cs="宋体"/>
          <w:color w:val="auto"/>
          <w:szCs w:val="21"/>
          <w:lang w:val="zh-CN"/>
        </w:rPr>
      </w:pPr>
    </w:p>
    <w:p>
      <w:pPr>
        <w:autoSpaceDE w:val="0"/>
        <w:autoSpaceDN w:val="0"/>
        <w:adjustRightInd w:val="0"/>
        <w:spacing w:line="360" w:lineRule="auto"/>
        <w:jc w:val="center"/>
        <w:rPr>
          <w:rFonts w:ascii="宋体" w:cs="宋体"/>
          <w:color w:val="auto"/>
          <w:szCs w:val="21"/>
          <w:lang w:val="zh-CN"/>
        </w:rPr>
      </w:pPr>
    </w:p>
    <w:p>
      <w:pPr>
        <w:autoSpaceDE w:val="0"/>
        <w:autoSpaceDN w:val="0"/>
        <w:adjustRightInd w:val="0"/>
        <w:spacing w:line="360" w:lineRule="auto"/>
        <w:jc w:val="center"/>
        <w:rPr>
          <w:rFonts w:ascii="宋体" w:cs="宋体"/>
          <w:color w:val="auto"/>
          <w:szCs w:val="21"/>
          <w:lang w:val="zh-CN"/>
        </w:rPr>
      </w:pPr>
    </w:p>
    <w:p>
      <w:pPr>
        <w:autoSpaceDE w:val="0"/>
        <w:autoSpaceDN w:val="0"/>
        <w:adjustRightInd w:val="0"/>
        <w:spacing w:line="360" w:lineRule="auto"/>
        <w:ind w:right="-11"/>
        <w:rPr>
          <w:rFonts w:ascii="宋体" w:cs="宋体"/>
          <w:color w:val="auto"/>
          <w:szCs w:val="21"/>
          <w:lang w:val="zh-CN"/>
        </w:rPr>
      </w:pPr>
    </w:p>
    <w:p>
      <w:pPr>
        <w:autoSpaceDE w:val="0"/>
        <w:autoSpaceDN w:val="0"/>
        <w:adjustRightInd w:val="0"/>
        <w:spacing w:line="360" w:lineRule="auto"/>
        <w:jc w:val="center"/>
        <w:rPr>
          <w:rFonts w:cs="宋体" w:asciiTheme="minorEastAsia" w:hAnsiTheme="minorEastAsia"/>
          <w:color w:val="auto"/>
          <w:sz w:val="24"/>
          <w:szCs w:val="24"/>
          <w:lang w:val="zh-CN"/>
        </w:rPr>
      </w:pPr>
    </w:p>
    <w:p>
      <w:pPr>
        <w:autoSpaceDE w:val="0"/>
        <w:autoSpaceDN w:val="0"/>
        <w:adjustRightInd w:val="0"/>
        <w:spacing w:line="360" w:lineRule="auto"/>
        <w:jc w:val="center"/>
        <w:rPr>
          <w:rFonts w:cs="宋体" w:asciiTheme="minorEastAsia" w:hAnsiTheme="minorEastAsia"/>
          <w:color w:val="auto"/>
          <w:sz w:val="24"/>
          <w:szCs w:val="24"/>
          <w:lang w:val="zh-CN"/>
        </w:rPr>
      </w:pPr>
    </w:p>
    <w:p>
      <w:pPr>
        <w:jc w:val="center"/>
        <w:rPr>
          <w:rFonts w:ascii="方正小标宋简体" w:hAnsi="方正小标宋简体" w:eastAsia="方正小标宋简体" w:cs="方正小标宋简体"/>
          <w:color w:val="auto"/>
          <w:sz w:val="36"/>
          <w:szCs w:val="36"/>
        </w:rPr>
      </w:pPr>
      <w:r>
        <w:rPr>
          <w:rFonts w:hint="eastAsia" w:ascii="宋体" w:hAnsi="宋体"/>
          <w:b/>
          <w:bCs/>
          <w:color w:val="auto"/>
          <w:sz w:val="24"/>
          <w:szCs w:val="24"/>
        </w:rPr>
        <w:t xml:space="preserve">3.5 </w:t>
      </w:r>
      <w:r>
        <w:rPr>
          <w:rFonts w:hint="eastAsia" w:ascii="方正小标宋简体" w:hAnsi="方正小标宋简体" w:eastAsia="方正小标宋简体" w:cs="方正小标宋简体"/>
          <w:color w:val="auto"/>
          <w:sz w:val="24"/>
          <w:szCs w:val="24"/>
        </w:rPr>
        <w:t>许昌市政府采购供应商信用承诺函</w:t>
      </w:r>
    </w:p>
    <w:p>
      <w:pPr>
        <w:rPr>
          <w:rFonts w:ascii="仿宋_GB2312" w:hAnsi="仿宋_GB2312" w:eastAsia="仿宋_GB2312" w:cs="仿宋_GB2312"/>
          <w:color w:val="auto"/>
          <w:sz w:val="32"/>
          <w:szCs w:val="32"/>
        </w:rPr>
      </w:pPr>
    </w:p>
    <w:p>
      <w:pPr>
        <w:spacing w:line="600" w:lineRule="exact"/>
        <w:rPr>
          <w:rFonts w:ascii="宋体" w:hAnsi="宋体" w:eastAsia="宋体" w:cs="仿宋_GB2312"/>
          <w:color w:val="auto"/>
          <w:szCs w:val="21"/>
        </w:rPr>
      </w:pPr>
      <w:r>
        <w:rPr>
          <w:rFonts w:hint="eastAsia" w:ascii="宋体" w:hAnsi="宋体" w:eastAsia="宋体" w:cs="仿宋_GB2312"/>
          <w:color w:val="auto"/>
          <w:szCs w:val="21"/>
        </w:rPr>
        <w:t>致</w:t>
      </w:r>
      <w:r>
        <w:rPr>
          <w:rFonts w:hint="eastAsia" w:ascii="宋体" w:hAnsi="宋体" w:eastAsia="宋体" w:cs="仿宋_GB2312"/>
          <w:color w:val="auto"/>
          <w:szCs w:val="21"/>
          <w:u w:val="single"/>
        </w:rPr>
        <w:t>（采购人或采购代理机构）</w:t>
      </w:r>
      <w:r>
        <w:rPr>
          <w:rFonts w:hint="eastAsia" w:ascii="宋体" w:hAnsi="宋体" w:eastAsia="宋体" w:cs="仿宋_GB2312"/>
          <w:color w:val="auto"/>
          <w:szCs w:val="21"/>
        </w:rPr>
        <w:t>：</w:t>
      </w:r>
    </w:p>
    <w:p>
      <w:pPr>
        <w:spacing w:line="600" w:lineRule="exact"/>
        <w:ind w:firstLine="376" w:firstLineChars="200"/>
        <w:rPr>
          <w:rFonts w:ascii="宋体" w:hAnsi="宋体" w:eastAsia="宋体" w:cs="仿宋_GB2312"/>
          <w:color w:val="auto"/>
          <w:spacing w:val="-11"/>
          <w:szCs w:val="21"/>
          <w:u w:val="single"/>
        </w:rPr>
      </w:pPr>
      <w:r>
        <w:rPr>
          <w:rFonts w:hint="eastAsia" w:ascii="宋体" w:hAnsi="宋体" w:eastAsia="宋体" w:cs="仿宋_GB2312"/>
          <w:color w:val="auto"/>
          <w:spacing w:val="-11"/>
          <w:szCs w:val="21"/>
        </w:rPr>
        <w:t>单位名称（自然人姓名）:</w:t>
      </w:r>
      <w:r>
        <w:rPr>
          <w:rFonts w:hint="eastAsia" w:ascii="宋体" w:hAnsi="宋体" w:eastAsia="宋体" w:cs="仿宋_GB2312"/>
          <w:color w:val="auto"/>
          <w:spacing w:val="-11"/>
          <w:szCs w:val="21"/>
          <w:u w:val="single"/>
        </w:rPr>
        <w:t xml:space="preserve">                             </w:t>
      </w:r>
    </w:p>
    <w:p>
      <w:pPr>
        <w:spacing w:line="600" w:lineRule="exact"/>
        <w:ind w:firstLine="376" w:firstLineChars="200"/>
        <w:rPr>
          <w:rFonts w:ascii="宋体" w:hAnsi="宋体" w:eastAsia="宋体" w:cs="仿宋_GB2312"/>
          <w:color w:val="auto"/>
          <w:spacing w:val="-11"/>
          <w:szCs w:val="21"/>
          <w:u w:val="single"/>
        </w:rPr>
      </w:pPr>
      <w:r>
        <w:rPr>
          <w:rFonts w:hint="eastAsia" w:ascii="宋体" w:hAnsi="宋体" w:eastAsia="宋体" w:cs="仿宋_GB2312"/>
          <w:color w:val="auto"/>
          <w:spacing w:val="-11"/>
          <w:szCs w:val="21"/>
        </w:rPr>
        <w:t>统一社会信用代码（身份证号码）:</w:t>
      </w:r>
      <w:r>
        <w:rPr>
          <w:rFonts w:hint="eastAsia" w:ascii="宋体" w:hAnsi="宋体" w:eastAsia="宋体" w:cs="仿宋_GB2312"/>
          <w:color w:val="auto"/>
          <w:spacing w:val="-11"/>
          <w:szCs w:val="21"/>
          <w:u w:val="single"/>
        </w:rPr>
        <w:t xml:space="preserve">                     </w:t>
      </w:r>
    </w:p>
    <w:p>
      <w:pPr>
        <w:spacing w:line="600" w:lineRule="exact"/>
        <w:ind w:firstLine="376" w:firstLineChars="200"/>
        <w:rPr>
          <w:rFonts w:ascii="宋体" w:hAnsi="宋体" w:eastAsia="宋体" w:cs="仿宋_GB2312"/>
          <w:color w:val="auto"/>
          <w:spacing w:val="-11"/>
          <w:szCs w:val="21"/>
          <w:u w:val="single"/>
        </w:rPr>
      </w:pPr>
      <w:r>
        <w:rPr>
          <w:rFonts w:hint="eastAsia" w:ascii="宋体" w:hAnsi="宋体" w:eastAsia="宋体" w:cs="仿宋_GB2312"/>
          <w:color w:val="auto"/>
          <w:spacing w:val="-11"/>
          <w:szCs w:val="21"/>
        </w:rPr>
        <w:t>法定代表人（负责人）:</w:t>
      </w:r>
      <w:r>
        <w:rPr>
          <w:rFonts w:hint="eastAsia" w:ascii="宋体" w:hAnsi="宋体" w:eastAsia="宋体" w:cs="仿宋_GB2312"/>
          <w:color w:val="auto"/>
          <w:spacing w:val="-11"/>
          <w:szCs w:val="21"/>
          <w:u w:val="single"/>
        </w:rPr>
        <w:t xml:space="preserve">                               </w:t>
      </w:r>
    </w:p>
    <w:p>
      <w:pPr>
        <w:spacing w:line="600" w:lineRule="exact"/>
        <w:ind w:firstLine="376" w:firstLineChars="200"/>
        <w:rPr>
          <w:rFonts w:ascii="宋体" w:hAnsi="宋体" w:eastAsia="宋体" w:cs="仿宋_GB2312"/>
          <w:color w:val="auto"/>
          <w:spacing w:val="-11"/>
          <w:szCs w:val="21"/>
          <w:u w:val="single"/>
        </w:rPr>
      </w:pPr>
      <w:r>
        <w:rPr>
          <w:rFonts w:hint="eastAsia" w:ascii="宋体" w:hAnsi="宋体" w:eastAsia="宋体" w:cs="仿宋_GB2312"/>
          <w:color w:val="auto"/>
          <w:spacing w:val="-11"/>
          <w:szCs w:val="21"/>
        </w:rPr>
        <w:t>联系地址和电话：</w:t>
      </w:r>
      <w:r>
        <w:rPr>
          <w:rFonts w:hint="eastAsia" w:ascii="宋体" w:hAnsi="宋体" w:eastAsia="宋体" w:cs="仿宋_GB2312"/>
          <w:color w:val="auto"/>
          <w:spacing w:val="-11"/>
          <w:szCs w:val="21"/>
          <w:u w:val="single"/>
        </w:rPr>
        <w:t xml:space="preserve">                                    </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为维护公平、公正、公开的政府采购市场秩序，树立诚实守信的政府采购供应商形象，我单位（本人）自愿作出以下承诺：</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一、我单位（本人）自愿参加本次政府采购活动，严格遵守《中华人民共和国政府采购法》及相关法律法规，依法诚信经营，无条件遵守本次政府采购活动的各项规定，我单位（本人）郑重承诺，我单位（本人）符合《中华人民共和国政府采购法》第二十二条规定和采购文件、本承诺书的条件：</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（一）具有独立承担民事责任的能力；</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（二）具有良好的商业信誉和健全的财务会计制度；</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（三）具有履行合同所必需的设备和专业技术能力；</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（四）有依法缴纳税收和社会保障资金的良好记录；</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（五）参加政府采购活动前三年内，在经营活动中没有重大违法记录；</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（六）未</w:t>
      </w:r>
      <w:r>
        <w:rPr>
          <w:rFonts w:hint="eastAsia" w:ascii="宋体" w:hAnsi="宋体" w:eastAsia="宋体" w:cs="仿宋_GB2312"/>
          <w:color w:val="auto"/>
          <w:spacing w:val="-6"/>
          <w:szCs w:val="21"/>
        </w:rPr>
        <w:t>被列入失信被执行人、重大税收违法案件当事人名单、政府采购严重违法失信行为记录名单、严重违法失信社会组织</w:t>
      </w:r>
      <w:r>
        <w:rPr>
          <w:rFonts w:hint="eastAsia" w:ascii="宋体" w:hAnsi="宋体" w:eastAsia="宋体" w:cs="仿宋_GB2312"/>
          <w:color w:val="auto"/>
          <w:spacing w:val="-11"/>
          <w:szCs w:val="21"/>
        </w:rPr>
        <w:t>；</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（七）与参加本项目投标的其他供应商之间，单位负责人不为同一人并且不存在直接控股、管理关系；</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（八）未为本项目提供整体设计、规范编制或者项目管理、监理、检测等服务；</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（九）符合法律、行政法规规定的其他条件。</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二、我单位（本人）保证上述承诺事项的真实性。如有弄虚作假或其他违法违规行为，自愿按照规定将违背承诺行为作为失信行为记录到社会信用信息平台，并视同为“提供虚假材料谋取中标、成交”按照《政府采购法》第七十七、七十九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供应商（电子章）:</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法定代表人、负责人、本人、或授权代表（签字或电子印章）:</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日期：    年   月  日</w:t>
      </w:r>
    </w:p>
    <w:p>
      <w:pPr>
        <w:rPr>
          <w:rFonts w:ascii="仿宋_GB2312" w:hAnsi="仿宋_GB2312" w:eastAsia="仿宋_GB2312" w:cs="仿宋_GB2312"/>
          <w:color w:val="auto"/>
          <w:szCs w:val="21"/>
        </w:rPr>
      </w:pPr>
    </w:p>
    <w:p>
      <w:pPr>
        <w:rPr>
          <w:rFonts w:ascii="华文仿宋" w:hAnsi="华文仿宋" w:eastAsia="华文仿宋" w:cs="华文仿宋"/>
          <w:color w:val="auto"/>
          <w:szCs w:val="21"/>
        </w:rPr>
      </w:pPr>
    </w:p>
    <w:p>
      <w:pPr>
        <w:rPr>
          <w:rFonts w:ascii="华文仿宋" w:hAnsi="华文仿宋" w:eastAsia="华文仿宋" w:cs="华文仿宋"/>
          <w:color w:val="auto"/>
          <w:szCs w:val="21"/>
        </w:rPr>
      </w:pPr>
    </w:p>
    <w:p>
      <w:pPr>
        <w:rPr>
          <w:rFonts w:ascii="华文仿宋" w:hAnsi="华文仿宋" w:eastAsia="华文仿宋" w:cs="华文仿宋"/>
          <w:color w:val="auto"/>
          <w:szCs w:val="21"/>
        </w:rPr>
      </w:pPr>
    </w:p>
    <w:p>
      <w:pPr>
        <w:rPr>
          <w:rFonts w:ascii="华文仿宋" w:hAnsi="华文仿宋" w:eastAsia="华文仿宋" w:cs="华文仿宋"/>
          <w:color w:val="auto"/>
          <w:szCs w:val="21"/>
        </w:rPr>
      </w:pPr>
    </w:p>
    <w:p>
      <w:pPr>
        <w:rPr>
          <w:rFonts w:ascii="华文仿宋" w:hAnsi="华文仿宋" w:eastAsia="华文仿宋" w:cs="华文仿宋"/>
          <w:color w:val="auto"/>
          <w:szCs w:val="21"/>
        </w:rPr>
      </w:pPr>
    </w:p>
    <w:p>
      <w:pPr>
        <w:rPr>
          <w:rFonts w:ascii="华文仿宋" w:hAnsi="华文仿宋" w:eastAsia="华文仿宋" w:cs="华文仿宋"/>
          <w:color w:val="auto"/>
          <w:szCs w:val="21"/>
        </w:rPr>
      </w:pPr>
      <w:r>
        <w:rPr>
          <w:rFonts w:hint="eastAsia" w:ascii="华文仿宋" w:hAnsi="华文仿宋" w:eastAsia="华文仿宋" w:cs="华文仿宋"/>
          <w:color w:val="auto"/>
          <w:szCs w:val="21"/>
        </w:rPr>
        <w:t>注：1.投标人须在投标文件中按此模板提供承诺函，未提供视为未实质性响应招标文件要求，按无效投标处理。</w:t>
      </w:r>
    </w:p>
    <w:p>
      <w:pPr>
        <w:rPr>
          <w:rFonts w:ascii="华文仿宋" w:hAnsi="华文仿宋" w:eastAsia="华文仿宋" w:cs="华文仿宋"/>
          <w:color w:val="auto"/>
          <w:szCs w:val="21"/>
        </w:rPr>
      </w:pPr>
      <w:r>
        <w:rPr>
          <w:rFonts w:hint="eastAsia" w:ascii="华文仿宋" w:hAnsi="华文仿宋" w:eastAsia="华文仿宋" w:cs="华文仿宋"/>
          <w:color w:val="auto"/>
          <w:szCs w:val="21"/>
        </w:rPr>
        <w:t>2.投标人的法定代表人或者授权代表的签字或盖章应真实、有效，如由授权代表签字或盖章的，应提供“法定代表人授权书”。</w:t>
      </w:r>
    </w:p>
    <w:p>
      <w:pPr>
        <w:rPr>
          <w:rFonts w:ascii="华文仿宋" w:hAnsi="华文仿宋" w:eastAsia="华文仿宋" w:cs="华文仿宋"/>
          <w:color w:val="auto"/>
          <w:szCs w:val="21"/>
        </w:rPr>
      </w:pPr>
      <w:r>
        <w:rPr>
          <w:rFonts w:hint="eastAsia" w:ascii="华文仿宋" w:hAnsi="华文仿宋" w:eastAsia="华文仿宋" w:cs="华文仿宋"/>
          <w:color w:val="auto"/>
          <w:szCs w:val="21"/>
        </w:rPr>
        <w:t>3、货物类《中小企业声明函》中标的名称须按照本项目采购清单中货物（标的）名称，逐项进行声明。在标的名称处填写项目名称或标的填写不全的，视为《中小企业声明函》无效。</w:t>
      </w:r>
    </w:p>
    <w:p>
      <w:pPr>
        <w:spacing w:line="360" w:lineRule="auto"/>
        <w:jc w:val="center"/>
        <w:rPr>
          <w:rFonts w:ascii="宋体" w:hAnsi="宋体"/>
          <w:b/>
          <w:bCs/>
          <w:color w:val="auto"/>
          <w:sz w:val="24"/>
          <w:szCs w:val="24"/>
        </w:rPr>
      </w:pPr>
    </w:p>
    <w:p>
      <w:pPr>
        <w:spacing w:line="360" w:lineRule="auto"/>
        <w:jc w:val="center"/>
        <w:rPr>
          <w:rFonts w:ascii="宋体" w:hAnsi="宋体"/>
          <w:b/>
          <w:bCs/>
          <w:color w:val="auto"/>
          <w:sz w:val="24"/>
          <w:szCs w:val="24"/>
        </w:rPr>
      </w:pPr>
    </w:p>
    <w:p>
      <w:pPr>
        <w:spacing w:line="360" w:lineRule="auto"/>
        <w:jc w:val="center"/>
        <w:rPr>
          <w:rFonts w:ascii="宋体" w:hAnsi="宋体"/>
          <w:b/>
          <w:bCs/>
          <w:color w:val="auto"/>
          <w:sz w:val="24"/>
          <w:szCs w:val="24"/>
        </w:rPr>
      </w:pPr>
    </w:p>
    <w:p>
      <w:pPr>
        <w:spacing w:line="360" w:lineRule="auto"/>
        <w:jc w:val="center"/>
        <w:rPr>
          <w:rFonts w:ascii="宋体" w:hAnsi="宋体"/>
          <w:b/>
          <w:bCs/>
          <w:color w:val="auto"/>
          <w:sz w:val="24"/>
          <w:szCs w:val="24"/>
        </w:rPr>
      </w:pPr>
    </w:p>
    <w:p>
      <w:pPr>
        <w:spacing w:line="360" w:lineRule="auto"/>
        <w:jc w:val="center"/>
        <w:rPr>
          <w:rFonts w:ascii="宋体" w:hAnsi="宋体"/>
          <w:b/>
          <w:bCs/>
          <w:color w:val="auto"/>
          <w:sz w:val="24"/>
          <w:szCs w:val="24"/>
        </w:rPr>
      </w:pPr>
    </w:p>
    <w:p>
      <w:pPr>
        <w:spacing w:line="360" w:lineRule="auto"/>
        <w:jc w:val="center"/>
        <w:rPr>
          <w:rFonts w:ascii="宋体" w:hAnsi="宋体"/>
          <w:b/>
          <w:bCs/>
          <w:color w:val="auto"/>
          <w:sz w:val="24"/>
          <w:szCs w:val="24"/>
        </w:rPr>
      </w:pPr>
    </w:p>
    <w:p>
      <w:pPr>
        <w:spacing w:line="360" w:lineRule="auto"/>
        <w:jc w:val="center"/>
        <w:rPr>
          <w:rFonts w:ascii="宋体" w:hAnsi="宋体"/>
          <w:b/>
          <w:bCs/>
          <w:color w:val="auto"/>
          <w:sz w:val="24"/>
          <w:szCs w:val="24"/>
        </w:rPr>
      </w:pPr>
      <w:r>
        <w:rPr>
          <w:rFonts w:hint="eastAsia" w:ascii="宋体" w:hAnsi="宋体"/>
          <w:b/>
          <w:bCs/>
          <w:color w:val="auto"/>
          <w:sz w:val="24"/>
          <w:szCs w:val="24"/>
        </w:rPr>
        <w:t xml:space="preserve">3.6 其他资格证书或材料 </w:t>
      </w: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28"/>
          <w:szCs w:val="28"/>
          <w:lang w:val="zh-CN"/>
        </w:rPr>
      </w:pPr>
      <w:r>
        <w:rPr>
          <w:rFonts w:hint="eastAsia" w:cs="黑体" w:asciiTheme="minorEastAsia" w:hAnsiTheme="minorEastAsia"/>
          <w:b/>
          <w:bCs/>
          <w:color w:val="auto"/>
          <w:sz w:val="28"/>
          <w:szCs w:val="28"/>
          <w:lang w:val="zh-CN"/>
        </w:rPr>
        <w:t>四、符合性审查证明材料</w:t>
      </w: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4.1 投标分项报价表</w:t>
      </w:r>
    </w:p>
    <w:p>
      <w:pPr>
        <w:spacing w:before="50"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autoSpaceDE w:val="0"/>
        <w:autoSpaceDN w:val="0"/>
        <w:adjustRightInd w:val="0"/>
        <w:spacing w:line="360" w:lineRule="auto"/>
        <w:outlineLvl w:val="0"/>
        <w:rPr>
          <w:rFonts w:hAnsi="宋体" w:eastAsia="宋体"/>
          <w:b/>
          <w:snapToGrid w:val="0"/>
          <w:color w:val="auto"/>
          <w:kern w:val="0"/>
          <w:szCs w:val="21"/>
        </w:rPr>
      </w:pPr>
      <w:r>
        <w:rPr>
          <w:rFonts w:hint="eastAsia" w:asciiTheme="minorEastAsia" w:hAnsiTheme="minorEastAsia"/>
          <w:color w:val="auto"/>
          <w:szCs w:val="21"/>
        </w:rPr>
        <w:t xml:space="preserve">项目名称：   </w:t>
      </w:r>
    </w:p>
    <w:tbl>
      <w:tblPr>
        <w:tblStyle w:val="22"/>
        <w:tblW w:w="9400" w:type="dxa"/>
        <w:tblInd w:w="0" w:type="dxa"/>
        <w:tblLayout w:type="fixed"/>
        <w:tblCellMar>
          <w:top w:w="0" w:type="dxa"/>
          <w:left w:w="108" w:type="dxa"/>
          <w:bottom w:w="0" w:type="dxa"/>
          <w:right w:w="108" w:type="dxa"/>
        </w:tblCellMar>
      </w:tblPr>
      <w:tblGrid>
        <w:gridCol w:w="534"/>
        <w:gridCol w:w="1842"/>
        <w:gridCol w:w="3402"/>
        <w:gridCol w:w="851"/>
        <w:gridCol w:w="992"/>
        <w:gridCol w:w="851"/>
        <w:gridCol w:w="928"/>
      </w:tblGrid>
      <w:tr>
        <w:tblPrEx>
          <w:tblCellMar>
            <w:top w:w="0" w:type="dxa"/>
            <w:left w:w="108" w:type="dxa"/>
            <w:bottom w:w="0" w:type="dxa"/>
            <w:right w:w="108" w:type="dxa"/>
          </w:tblCellMar>
        </w:tblPrEx>
        <w:trPr>
          <w:trHeight w:val="851" w:hRule="atLeast"/>
        </w:trPr>
        <w:tc>
          <w:tcPr>
            <w:tcW w:w="534"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2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序号</w:t>
            </w:r>
          </w:p>
        </w:tc>
        <w:tc>
          <w:tcPr>
            <w:tcW w:w="1842"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名称</w:t>
            </w:r>
          </w:p>
        </w:tc>
        <w:tc>
          <w:tcPr>
            <w:tcW w:w="3402"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ind w:firstLine="120"/>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厂家、品牌、规格、型号</w:t>
            </w:r>
          </w:p>
        </w:tc>
        <w:tc>
          <w:tcPr>
            <w:tcW w:w="851"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单位</w:t>
            </w:r>
          </w:p>
        </w:tc>
        <w:tc>
          <w:tcPr>
            <w:tcW w:w="992"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数量</w:t>
            </w:r>
          </w:p>
        </w:tc>
        <w:tc>
          <w:tcPr>
            <w:tcW w:w="851"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单价</w:t>
            </w:r>
          </w:p>
        </w:tc>
        <w:tc>
          <w:tcPr>
            <w:tcW w:w="928"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ind w:left="120" w:hanging="120"/>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总价</w:t>
            </w:r>
          </w:p>
        </w:tc>
      </w:tr>
      <w:tr>
        <w:tblPrEx>
          <w:tblCellMar>
            <w:top w:w="0" w:type="dxa"/>
            <w:left w:w="108" w:type="dxa"/>
            <w:bottom w:w="0" w:type="dxa"/>
            <w:right w:w="108" w:type="dxa"/>
          </w:tblCellMar>
        </w:tblPrEx>
        <w:trPr>
          <w:trHeight w:val="851" w:hRule="atLeast"/>
        </w:trPr>
        <w:tc>
          <w:tcPr>
            <w:tcW w:w="534"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color w:val="auto"/>
                <w:szCs w:val="21"/>
              </w:rPr>
            </w:pPr>
            <w:r>
              <w:rPr>
                <w:rFonts w:hint="eastAsia" w:asciiTheme="minorEastAsia" w:hAnsiTheme="minorEastAsia"/>
                <w:color w:val="auto"/>
                <w:szCs w:val="21"/>
              </w:rPr>
              <w:t>1</w:t>
            </w:r>
          </w:p>
        </w:tc>
        <w:tc>
          <w:tcPr>
            <w:tcW w:w="184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340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85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99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85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92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r>
      <w:tr>
        <w:tblPrEx>
          <w:tblCellMar>
            <w:top w:w="0" w:type="dxa"/>
            <w:left w:w="108" w:type="dxa"/>
            <w:bottom w:w="0" w:type="dxa"/>
            <w:right w:w="108" w:type="dxa"/>
          </w:tblCellMar>
        </w:tblPrEx>
        <w:trPr>
          <w:trHeight w:val="851" w:hRule="atLeast"/>
        </w:trPr>
        <w:tc>
          <w:tcPr>
            <w:tcW w:w="534"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color w:val="auto"/>
                <w:szCs w:val="21"/>
              </w:rPr>
            </w:pPr>
            <w:r>
              <w:rPr>
                <w:rFonts w:hint="eastAsia" w:asciiTheme="minorEastAsia" w:hAnsiTheme="minorEastAsia"/>
                <w:color w:val="auto"/>
                <w:szCs w:val="21"/>
              </w:rPr>
              <w:t>2</w:t>
            </w:r>
          </w:p>
        </w:tc>
        <w:tc>
          <w:tcPr>
            <w:tcW w:w="184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340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85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99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85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92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r>
      <w:tr>
        <w:tblPrEx>
          <w:tblCellMar>
            <w:top w:w="0" w:type="dxa"/>
            <w:left w:w="108" w:type="dxa"/>
            <w:bottom w:w="0" w:type="dxa"/>
            <w:right w:w="108" w:type="dxa"/>
          </w:tblCellMar>
        </w:tblPrEx>
        <w:trPr>
          <w:trHeight w:val="851" w:hRule="atLeast"/>
        </w:trPr>
        <w:tc>
          <w:tcPr>
            <w:tcW w:w="534"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color w:val="auto"/>
                <w:szCs w:val="21"/>
              </w:rPr>
            </w:pPr>
            <w:r>
              <w:rPr>
                <w:rFonts w:hint="eastAsia" w:asciiTheme="minorEastAsia" w:hAnsiTheme="minorEastAsia"/>
                <w:color w:val="auto"/>
                <w:szCs w:val="21"/>
              </w:rPr>
              <w:t>…</w:t>
            </w:r>
          </w:p>
        </w:tc>
        <w:tc>
          <w:tcPr>
            <w:tcW w:w="184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340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85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99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85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92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r>
      <w:tr>
        <w:tblPrEx>
          <w:tblCellMar>
            <w:top w:w="0" w:type="dxa"/>
            <w:left w:w="108" w:type="dxa"/>
            <w:bottom w:w="0" w:type="dxa"/>
            <w:right w:w="108" w:type="dxa"/>
          </w:tblCellMar>
        </w:tblPrEx>
        <w:trPr>
          <w:trHeight w:val="851" w:hRule="atLeast"/>
        </w:trPr>
        <w:tc>
          <w:tcPr>
            <w:tcW w:w="2376" w:type="dxa"/>
            <w:gridSpan w:val="2"/>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360" w:lineRule="auto"/>
              <w:jc w:val="center"/>
              <w:rPr>
                <w:rFonts w:asciiTheme="minorEastAsia" w:hAnsiTheme="minorEastAsia"/>
                <w:color w:val="auto"/>
                <w:szCs w:val="21"/>
              </w:rPr>
            </w:pPr>
            <w:r>
              <w:rPr>
                <w:rFonts w:hint="eastAsia" w:cs="宋体" w:asciiTheme="minorEastAsia" w:hAnsiTheme="minorEastAsia"/>
                <w:color w:val="auto"/>
                <w:szCs w:val="21"/>
                <w:lang w:val="zh-CN"/>
              </w:rPr>
              <w:t>合计</w:t>
            </w:r>
          </w:p>
        </w:tc>
        <w:tc>
          <w:tcPr>
            <w:tcW w:w="7024" w:type="dxa"/>
            <w:gridSpan w:val="5"/>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360" w:lineRule="auto"/>
              <w:ind w:firstLine="105" w:firstLineChars="50"/>
              <w:rPr>
                <w:rFonts w:cs="宋体" w:asciiTheme="minorEastAsia" w:hAnsiTheme="minorEastAsia"/>
                <w:color w:val="auto"/>
                <w:szCs w:val="21"/>
                <w:lang w:val="zh-CN"/>
              </w:rPr>
            </w:pPr>
            <w:r>
              <w:rPr>
                <w:rFonts w:hint="eastAsia" w:cs="宋体" w:asciiTheme="minorEastAsia" w:hAnsiTheme="minorEastAsia"/>
                <w:color w:val="auto"/>
                <w:szCs w:val="21"/>
                <w:lang w:val="zh-CN"/>
              </w:rPr>
              <w:t>大写：　　　　　　小写：</w:t>
            </w:r>
          </w:p>
        </w:tc>
      </w:tr>
    </w:tbl>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投标人（并加盖公章）：</w:t>
      </w:r>
    </w:p>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4.2 技术规格偏离表</w:t>
      </w:r>
    </w:p>
    <w:p>
      <w:pPr>
        <w:spacing w:before="50"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autoSpaceDE w:val="0"/>
        <w:autoSpaceDN w:val="0"/>
        <w:adjustRightInd w:val="0"/>
        <w:spacing w:line="360" w:lineRule="auto"/>
        <w:outlineLvl w:val="0"/>
        <w:rPr>
          <w:rFonts w:asciiTheme="minorEastAsia" w:hAnsiTheme="minorEastAsia"/>
          <w:color w:val="auto"/>
          <w:szCs w:val="21"/>
        </w:rPr>
      </w:pPr>
      <w:r>
        <w:rPr>
          <w:rFonts w:hint="eastAsia" w:asciiTheme="minorEastAsia" w:hAnsiTheme="minorEastAsia"/>
          <w:color w:val="auto"/>
          <w:szCs w:val="21"/>
        </w:rPr>
        <w:t xml:space="preserve">项目名称：   </w:t>
      </w:r>
    </w:p>
    <w:p>
      <w:pPr>
        <w:autoSpaceDE w:val="0"/>
        <w:autoSpaceDN w:val="0"/>
        <w:adjustRightInd w:val="0"/>
        <w:spacing w:line="360" w:lineRule="auto"/>
        <w:outlineLvl w:val="0"/>
        <w:rPr>
          <w:rFonts w:hAnsi="宋体" w:eastAsia="宋体"/>
          <w:b/>
          <w:snapToGrid w:val="0"/>
          <w:color w:val="auto"/>
          <w:kern w:val="0"/>
          <w:szCs w:val="21"/>
        </w:rPr>
      </w:pPr>
    </w:p>
    <w:tbl>
      <w:tblPr>
        <w:tblStyle w:val="22"/>
        <w:tblW w:w="9118" w:type="dxa"/>
        <w:tblInd w:w="0" w:type="dxa"/>
        <w:tblLayout w:type="fixed"/>
        <w:tblCellMar>
          <w:top w:w="0" w:type="dxa"/>
          <w:left w:w="108" w:type="dxa"/>
          <w:bottom w:w="0" w:type="dxa"/>
          <w:right w:w="108" w:type="dxa"/>
        </w:tblCellMar>
      </w:tblPr>
      <w:tblGrid>
        <w:gridCol w:w="779"/>
        <w:gridCol w:w="1636"/>
        <w:gridCol w:w="1472"/>
        <w:gridCol w:w="1798"/>
        <w:gridCol w:w="1634"/>
        <w:gridCol w:w="1799"/>
      </w:tblGrid>
      <w:tr>
        <w:tblPrEx>
          <w:tblCellMar>
            <w:top w:w="0" w:type="dxa"/>
            <w:left w:w="108" w:type="dxa"/>
            <w:bottom w:w="0" w:type="dxa"/>
            <w:right w:w="108" w:type="dxa"/>
          </w:tblCellMar>
        </w:tblPrEx>
        <w:trPr>
          <w:trHeight w:val="819" w:hRule="atLeast"/>
        </w:trPr>
        <w:tc>
          <w:tcPr>
            <w:tcW w:w="779"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1636"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货物服务</w:t>
            </w:r>
          </w:p>
          <w:p>
            <w:pPr>
              <w:jc w:val="center"/>
              <w:rPr>
                <w:rFonts w:ascii="宋体" w:hAnsi="宋体" w:eastAsia="宋体" w:cs="宋体"/>
                <w:b/>
                <w:bCs/>
                <w:color w:val="auto"/>
                <w:szCs w:val="21"/>
              </w:rPr>
            </w:pPr>
            <w:r>
              <w:rPr>
                <w:rFonts w:hint="eastAsia" w:ascii="宋体" w:hAnsi="宋体" w:eastAsia="宋体" w:cs="宋体"/>
                <w:b/>
                <w:bCs/>
                <w:color w:val="auto"/>
                <w:szCs w:val="21"/>
              </w:rPr>
              <w:t>名称</w:t>
            </w:r>
          </w:p>
        </w:tc>
        <w:tc>
          <w:tcPr>
            <w:tcW w:w="1472"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厂家、品牌</w:t>
            </w:r>
          </w:p>
          <w:p>
            <w:pPr>
              <w:jc w:val="center"/>
              <w:rPr>
                <w:rFonts w:ascii="宋体" w:hAnsi="宋体" w:eastAsia="宋体" w:cs="宋体"/>
                <w:b/>
                <w:bCs/>
                <w:color w:val="auto"/>
                <w:szCs w:val="21"/>
              </w:rPr>
            </w:pPr>
            <w:r>
              <w:rPr>
                <w:rFonts w:hint="eastAsia" w:ascii="宋体" w:hAnsi="宋体" w:eastAsia="宋体" w:cs="宋体"/>
                <w:b/>
                <w:bCs/>
                <w:color w:val="auto"/>
                <w:szCs w:val="21"/>
              </w:rPr>
              <w:t>规格、型号</w:t>
            </w:r>
          </w:p>
        </w:tc>
        <w:tc>
          <w:tcPr>
            <w:tcW w:w="1798"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招标文件</w:t>
            </w:r>
          </w:p>
          <w:p>
            <w:pPr>
              <w:jc w:val="center"/>
              <w:rPr>
                <w:rFonts w:ascii="宋体" w:hAnsi="宋体" w:eastAsia="宋体" w:cs="宋体"/>
                <w:b/>
                <w:bCs/>
                <w:color w:val="auto"/>
                <w:szCs w:val="21"/>
              </w:rPr>
            </w:pPr>
            <w:r>
              <w:rPr>
                <w:rFonts w:hint="eastAsia" w:ascii="宋体" w:hAnsi="宋体" w:eastAsia="宋体" w:cs="宋体"/>
                <w:b/>
                <w:bCs/>
                <w:color w:val="auto"/>
                <w:szCs w:val="21"/>
              </w:rPr>
              <w:t>技术参数</w:t>
            </w:r>
          </w:p>
        </w:tc>
        <w:tc>
          <w:tcPr>
            <w:tcW w:w="1634"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投标技术</w:t>
            </w:r>
          </w:p>
          <w:p>
            <w:pPr>
              <w:jc w:val="center"/>
              <w:rPr>
                <w:rFonts w:ascii="宋体" w:hAnsi="宋体" w:eastAsia="宋体" w:cs="宋体"/>
                <w:b/>
                <w:bCs/>
                <w:color w:val="auto"/>
                <w:szCs w:val="21"/>
              </w:rPr>
            </w:pPr>
            <w:r>
              <w:rPr>
                <w:rFonts w:hint="eastAsia" w:ascii="宋体" w:hAnsi="宋体" w:eastAsia="宋体" w:cs="宋体"/>
                <w:b/>
                <w:bCs/>
                <w:color w:val="auto"/>
                <w:szCs w:val="21"/>
              </w:rPr>
              <w:t>参数</w:t>
            </w:r>
          </w:p>
        </w:tc>
        <w:tc>
          <w:tcPr>
            <w:tcW w:w="1799"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偏离</w:t>
            </w:r>
          </w:p>
          <w:p>
            <w:pPr>
              <w:jc w:val="center"/>
              <w:rPr>
                <w:rFonts w:ascii="宋体" w:hAnsi="宋体" w:eastAsia="宋体" w:cs="宋体"/>
                <w:b/>
                <w:bCs/>
                <w:color w:val="auto"/>
                <w:szCs w:val="21"/>
              </w:rPr>
            </w:pPr>
            <w:r>
              <w:rPr>
                <w:rFonts w:hint="eastAsia" w:ascii="宋体" w:hAnsi="宋体" w:eastAsia="宋体" w:cs="宋体"/>
                <w:b/>
                <w:bCs/>
                <w:color w:val="auto"/>
                <w:szCs w:val="21"/>
              </w:rPr>
              <w:t>（无偏离/正偏离/负偏离）</w:t>
            </w:r>
          </w:p>
        </w:tc>
      </w:tr>
      <w:tr>
        <w:tblPrEx>
          <w:tblCellMar>
            <w:top w:w="0" w:type="dxa"/>
            <w:left w:w="108" w:type="dxa"/>
            <w:bottom w:w="0" w:type="dxa"/>
            <w:right w:w="108" w:type="dxa"/>
          </w:tblCellMar>
        </w:tblPrEx>
        <w:trPr>
          <w:trHeight w:val="819" w:hRule="atLeast"/>
        </w:trPr>
        <w:tc>
          <w:tcPr>
            <w:tcW w:w="779"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bCs/>
                <w:color w:val="auto"/>
                <w:szCs w:val="21"/>
              </w:rPr>
            </w:pPr>
            <w:r>
              <w:rPr>
                <w:rFonts w:hint="eastAsia" w:asciiTheme="minorEastAsia" w:hAnsiTheme="minorEastAsia"/>
                <w:bCs/>
                <w:color w:val="auto"/>
                <w:szCs w:val="21"/>
              </w:rPr>
              <w:t>1</w:t>
            </w:r>
          </w:p>
        </w:tc>
        <w:tc>
          <w:tcPr>
            <w:tcW w:w="1636"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47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79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63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799"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r>
      <w:tr>
        <w:tblPrEx>
          <w:tblCellMar>
            <w:top w:w="0" w:type="dxa"/>
            <w:left w:w="108" w:type="dxa"/>
            <w:bottom w:w="0" w:type="dxa"/>
            <w:right w:w="108" w:type="dxa"/>
          </w:tblCellMar>
        </w:tblPrEx>
        <w:trPr>
          <w:trHeight w:val="819" w:hRule="atLeast"/>
        </w:trPr>
        <w:tc>
          <w:tcPr>
            <w:tcW w:w="779"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bCs/>
                <w:color w:val="auto"/>
                <w:szCs w:val="21"/>
              </w:rPr>
            </w:pPr>
            <w:r>
              <w:rPr>
                <w:rFonts w:hint="eastAsia" w:asciiTheme="minorEastAsia" w:hAnsiTheme="minorEastAsia"/>
                <w:bCs/>
                <w:color w:val="auto"/>
                <w:szCs w:val="21"/>
              </w:rPr>
              <w:t>2</w:t>
            </w:r>
          </w:p>
        </w:tc>
        <w:tc>
          <w:tcPr>
            <w:tcW w:w="1636"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47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79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63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799"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r>
      <w:tr>
        <w:tblPrEx>
          <w:tblCellMar>
            <w:top w:w="0" w:type="dxa"/>
            <w:left w:w="108" w:type="dxa"/>
            <w:bottom w:w="0" w:type="dxa"/>
            <w:right w:w="108" w:type="dxa"/>
          </w:tblCellMar>
        </w:tblPrEx>
        <w:trPr>
          <w:trHeight w:val="819" w:hRule="atLeast"/>
        </w:trPr>
        <w:tc>
          <w:tcPr>
            <w:tcW w:w="779"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bCs/>
                <w:color w:val="auto"/>
                <w:szCs w:val="21"/>
              </w:rPr>
            </w:pPr>
            <w:r>
              <w:rPr>
                <w:rFonts w:hint="eastAsia" w:asciiTheme="minorEastAsia" w:hAnsiTheme="minorEastAsia"/>
                <w:color w:val="auto"/>
                <w:szCs w:val="21"/>
              </w:rPr>
              <w:t>…</w:t>
            </w:r>
          </w:p>
        </w:tc>
        <w:tc>
          <w:tcPr>
            <w:tcW w:w="1636"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47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79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63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799"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r>
    </w:tbl>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投标人（并加盖公章）：</w:t>
      </w:r>
    </w:p>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4.3 技术方案（实施方案）</w:t>
      </w: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autoSpaceDE w:val="0"/>
        <w:autoSpaceDN w:val="0"/>
        <w:adjustRightInd w:val="0"/>
        <w:spacing w:line="360" w:lineRule="auto"/>
        <w:jc w:val="center"/>
        <w:rPr>
          <w:rFonts w:cs="宋体" w:asciiTheme="minorEastAsia" w:hAnsiTheme="minorEastAsia"/>
          <w:color w:val="auto"/>
          <w:szCs w:val="21"/>
          <w:lang w:val="zh-CN"/>
        </w:rPr>
      </w:pPr>
      <w:r>
        <w:rPr>
          <w:rFonts w:hint="eastAsia" w:cs="宋体" w:asciiTheme="minorEastAsia" w:hAnsiTheme="minorEastAsia"/>
          <w:color w:val="auto"/>
          <w:szCs w:val="21"/>
          <w:lang w:val="zh-CN"/>
        </w:rPr>
        <w:t>（投标人根据招标文件要求自行编制）</w:t>
      </w: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4.4 业绩情况表</w:t>
      </w:r>
    </w:p>
    <w:p>
      <w:pPr>
        <w:autoSpaceDE w:val="0"/>
        <w:autoSpaceDN w:val="0"/>
        <w:adjustRightInd w:val="0"/>
        <w:spacing w:line="360" w:lineRule="auto"/>
        <w:jc w:val="center"/>
        <w:outlineLvl w:val="0"/>
        <w:rPr>
          <w:rFonts w:ascii="宋体" w:hAnsi="宋体"/>
          <w:b/>
          <w:bCs/>
          <w:color w:val="auto"/>
          <w:sz w:val="28"/>
          <w:szCs w:val="28"/>
        </w:rPr>
      </w:pPr>
    </w:p>
    <w:p>
      <w:pPr>
        <w:spacing w:before="50"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snapToGrid w:val="0"/>
        <w:spacing w:line="360" w:lineRule="auto"/>
        <w:rPr>
          <w:rFonts w:asciiTheme="minorEastAsia" w:hAnsiTheme="minorEastAsia"/>
          <w:color w:val="auto"/>
          <w:szCs w:val="21"/>
        </w:rPr>
      </w:pPr>
      <w:r>
        <w:rPr>
          <w:rFonts w:hint="eastAsia" w:asciiTheme="minorEastAsia" w:hAnsiTheme="minorEastAsia"/>
          <w:color w:val="auto"/>
          <w:szCs w:val="21"/>
        </w:rPr>
        <w:t xml:space="preserve">项目名称：   </w:t>
      </w:r>
    </w:p>
    <w:p>
      <w:pPr>
        <w:snapToGrid w:val="0"/>
        <w:spacing w:line="360" w:lineRule="auto"/>
        <w:rPr>
          <w:rFonts w:hAnsi="宋体" w:eastAsia="宋体"/>
          <w:b/>
          <w:snapToGrid w:val="0"/>
          <w:color w:val="auto"/>
          <w:kern w:val="0"/>
          <w:szCs w:val="21"/>
        </w:rPr>
      </w:pPr>
    </w:p>
    <w:tbl>
      <w:tblPr>
        <w:tblStyle w:val="22"/>
        <w:tblW w:w="92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808"/>
        <w:gridCol w:w="3579"/>
        <w:gridCol w:w="1440"/>
        <w:gridCol w:w="17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712" w:type="dxa"/>
            <w:shd w:val="clear" w:color="auto" w:fill="F3F3F3"/>
            <w:vAlign w:val="center"/>
          </w:tcPr>
          <w:p>
            <w:pPr>
              <w:jc w:val="center"/>
              <w:rPr>
                <w:rFonts w:ascii="宋体" w:hAnsi="宋体" w:eastAsia="宋体" w:cs="Times New Roman"/>
                <w:b/>
                <w:bCs/>
                <w:color w:val="auto"/>
                <w:szCs w:val="21"/>
              </w:rPr>
            </w:pPr>
            <w:r>
              <w:rPr>
                <w:rFonts w:hint="eastAsia" w:ascii="宋体" w:hAnsi="宋体" w:eastAsia="宋体" w:cs="宋体"/>
                <w:b/>
                <w:bCs/>
                <w:color w:val="auto"/>
                <w:szCs w:val="21"/>
              </w:rPr>
              <w:t>序号</w:t>
            </w:r>
          </w:p>
        </w:tc>
        <w:tc>
          <w:tcPr>
            <w:tcW w:w="1808" w:type="dxa"/>
            <w:shd w:val="clear" w:color="auto" w:fill="F3F3F3"/>
            <w:vAlign w:val="center"/>
          </w:tcPr>
          <w:p>
            <w:pPr>
              <w:jc w:val="center"/>
              <w:rPr>
                <w:rFonts w:ascii="宋体" w:hAnsi="宋体" w:eastAsia="宋体" w:cs="Times New Roman"/>
                <w:b/>
                <w:bCs/>
                <w:color w:val="auto"/>
                <w:szCs w:val="21"/>
              </w:rPr>
            </w:pPr>
            <w:r>
              <w:rPr>
                <w:rFonts w:hint="eastAsia" w:ascii="宋体" w:hAnsi="宋体" w:eastAsia="宋体" w:cs="宋体"/>
                <w:b/>
                <w:bCs/>
                <w:color w:val="auto"/>
                <w:szCs w:val="21"/>
              </w:rPr>
              <w:t>客户单位名称</w:t>
            </w:r>
          </w:p>
        </w:tc>
        <w:tc>
          <w:tcPr>
            <w:tcW w:w="3579" w:type="dxa"/>
            <w:shd w:val="clear" w:color="auto" w:fill="F3F3F3"/>
            <w:vAlign w:val="center"/>
          </w:tcPr>
          <w:p>
            <w:pPr>
              <w:jc w:val="center"/>
              <w:rPr>
                <w:rFonts w:ascii="宋体" w:hAnsi="宋体" w:eastAsia="宋体" w:cs="Times New Roman"/>
                <w:b/>
                <w:bCs/>
                <w:color w:val="auto"/>
                <w:szCs w:val="21"/>
              </w:rPr>
            </w:pPr>
            <w:r>
              <w:rPr>
                <w:rFonts w:hint="eastAsia" w:ascii="宋体" w:hAnsi="宋体" w:eastAsia="宋体" w:cs="宋体"/>
                <w:b/>
                <w:bCs/>
                <w:color w:val="auto"/>
                <w:szCs w:val="21"/>
              </w:rPr>
              <w:t>项目名称及主要内容</w:t>
            </w:r>
          </w:p>
        </w:tc>
        <w:tc>
          <w:tcPr>
            <w:tcW w:w="1440" w:type="dxa"/>
            <w:shd w:val="clear" w:color="auto" w:fill="F3F3F3"/>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合同金额</w:t>
            </w:r>
          </w:p>
          <w:p>
            <w:pPr>
              <w:jc w:val="center"/>
              <w:rPr>
                <w:rFonts w:ascii="宋体" w:hAnsi="宋体" w:eastAsia="宋体" w:cs="Times New Roman"/>
                <w:b/>
                <w:bCs/>
                <w:color w:val="auto"/>
                <w:szCs w:val="21"/>
              </w:rPr>
            </w:pPr>
            <w:r>
              <w:rPr>
                <w:rFonts w:hint="eastAsia" w:ascii="宋体" w:hAnsi="宋体" w:eastAsia="宋体" w:cs="宋体"/>
                <w:b/>
                <w:bCs/>
                <w:color w:val="auto"/>
                <w:szCs w:val="21"/>
              </w:rPr>
              <w:t>（万元）</w:t>
            </w:r>
          </w:p>
        </w:tc>
        <w:tc>
          <w:tcPr>
            <w:tcW w:w="1706" w:type="dxa"/>
            <w:shd w:val="clear" w:color="auto" w:fill="F3F3F3"/>
            <w:vAlign w:val="center"/>
          </w:tcPr>
          <w:p>
            <w:pPr>
              <w:jc w:val="center"/>
              <w:rPr>
                <w:rFonts w:ascii="宋体" w:hAnsi="宋体" w:eastAsia="宋体" w:cs="Times New Roman"/>
                <w:b/>
                <w:bCs/>
                <w:color w:val="auto"/>
                <w:szCs w:val="21"/>
              </w:rPr>
            </w:pPr>
            <w:r>
              <w:rPr>
                <w:rFonts w:hint="eastAsia" w:ascii="宋体" w:hAnsi="宋体" w:eastAsia="宋体" w:cs="宋体"/>
                <w:b/>
                <w:bCs/>
                <w:color w:val="auto"/>
                <w:szCs w:val="21"/>
              </w:rPr>
              <w:t>联系人及电话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spacing w:line="360" w:lineRule="auto"/>
              <w:jc w:val="center"/>
              <w:rPr>
                <w:rFonts w:ascii="宋体" w:hAnsi="宋体" w:eastAsia="宋体" w:cs="宋体"/>
                <w:color w:val="auto"/>
                <w:szCs w:val="21"/>
              </w:rPr>
            </w:pPr>
            <w:r>
              <w:rPr>
                <w:rFonts w:ascii="宋体" w:hAnsi="宋体" w:eastAsia="宋体" w:cs="宋体"/>
                <w:color w:val="auto"/>
                <w:szCs w:val="21"/>
              </w:rPr>
              <w:t>1</w:t>
            </w:r>
          </w:p>
        </w:tc>
        <w:tc>
          <w:tcPr>
            <w:tcW w:w="1808" w:type="dxa"/>
            <w:vAlign w:val="center"/>
          </w:tcPr>
          <w:p>
            <w:pPr>
              <w:spacing w:line="360" w:lineRule="auto"/>
              <w:rPr>
                <w:rFonts w:ascii="宋体" w:hAnsi="宋体" w:eastAsia="宋体" w:cs="Times New Roman"/>
                <w:color w:val="auto"/>
                <w:szCs w:val="21"/>
              </w:rPr>
            </w:pPr>
          </w:p>
        </w:tc>
        <w:tc>
          <w:tcPr>
            <w:tcW w:w="3579" w:type="dxa"/>
            <w:vAlign w:val="center"/>
          </w:tcPr>
          <w:p>
            <w:pPr>
              <w:spacing w:line="360" w:lineRule="auto"/>
              <w:rPr>
                <w:rFonts w:ascii="宋体" w:hAnsi="宋体" w:eastAsia="宋体" w:cs="Times New Roman"/>
                <w:color w:val="auto"/>
                <w:szCs w:val="21"/>
              </w:rPr>
            </w:pPr>
          </w:p>
        </w:tc>
        <w:tc>
          <w:tcPr>
            <w:tcW w:w="1440" w:type="dxa"/>
            <w:vAlign w:val="center"/>
          </w:tcPr>
          <w:p>
            <w:pPr>
              <w:spacing w:line="360" w:lineRule="auto"/>
              <w:rPr>
                <w:rFonts w:ascii="宋体" w:hAnsi="宋体" w:eastAsia="宋体" w:cs="Times New Roman"/>
                <w:color w:val="auto"/>
                <w:szCs w:val="21"/>
              </w:rPr>
            </w:pPr>
          </w:p>
        </w:tc>
        <w:tc>
          <w:tcPr>
            <w:tcW w:w="1706" w:type="dxa"/>
            <w:vAlign w:val="center"/>
          </w:tcPr>
          <w:p>
            <w:pPr>
              <w:spacing w:line="360" w:lineRule="auto"/>
              <w:rPr>
                <w:rFonts w:ascii="宋体" w:hAnsi="宋体" w:eastAsia="宋体"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spacing w:line="360" w:lineRule="auto"/>
              <w:jc w:val="center"/>
              <w:rPr>
                <w:rFonts w:ascii="宋体" w:hAnsi="宋体" w:eastAsia="宋体" w:cs="宋体"/>
                <w:color w:val="auto"/>
                <w:szCs w:val="21"/>
              </w:rPr>
            </w:pPr>
            <w:r>
              <w:rPr>
                <w:rFonts w:ascii="宋体" w:hAnsi="宋体" w:eastAsia="宋体" w:cs="宋体"/>
                <w:color w:val="auto"/>
                <w:szCs w:val="21"/>
              </w:rPr>
              <w:t>2</w:t>
            </w:r>
          </w:p>
        </w:tc>
        <w:tc>
          <w:tcPr>
            <w:tcW w:w="1808" w:type="dxa"/>
            <w:vAlign w:val="center"/>
          </w:tcPr>
          <w:p>
            <w:pPr>
              <w:spacing w:line="360" w:lineRule="auto"/>
              <w:rPr>
                <w:rFonts w:ascii="宋体" w:hAnsi="宋体" w:eastAsia="宋体" w:cs="Times New Roman"/>
                <w:color w:val="auto"/>
                <w:szCs w:val="21"/>
              </w:rPr>
            </w:pPr>
          </w:p>
        </w:tc>
        <w:tc>
          <w:tcPr>
            <w:tcW w:w="3579" w:type="dxa"/>
            <w:vAlign w:val="center"/>
          </w:tcPr>
          <w:p>
            <w:pPr>
              <w:spacing w:line="360" w:lineRule="auto"/>
              <w:rPr>
                <w:rFonts w:ascii="宋体" w:hAnsi="宋体" w:eastAsia="宋体" w:cs="Times New Roman"/>
                <w:color w:val="auto"/>
                <w:szCs w:val="21"/>
              </w:rPr>
            </w:pPr>
          </w:p>
        </w:tc>
        <w:tc>
          <w:tcPr>
            <w:tcW w:w="1440" w:type="dxa"/>
            <w:vAlign w:val="center"/>
          </w:tcPr>
          <w:p>
            <w:pPr>
              <w:spacing w:line="360" w:lineRule="auto"/>
              <w:rPr>
                <w:rFonts w:ascii="宋体" w:hAnsi="宋体" w:eastAsia="宋体" w:cs="Times New Roman"/>
                <w:color w:val="auto"/>
                <w:szCs w:val="21"/>
              </w:rPr>
            </w:pPr>
          </w:p>
        </w:tc>
        <w:tc>
          <w:tcPr>
            <w:tcW w:w="1706" w:type="dxa"/>
            <w:vAlign w:val="center"/>
          </w:tcPr>
          <w:p>
            <w:pPr>
              <w:spacing w:line="360" w:lineRule="auto"/>
              <w:rPr>
                <w:rFonts w:ascii="宋体" w:hAnsi="宋体" w:eastAsia="宋体"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spacing w:line="360" w:lineRule="auto"/>
              <w:jc w:val="center"/>
              <w:rPr>
                <w:rFonts w:ascii="宋体" w:hAnsi="宋体" w:eastAsia="宋体" w:cs="宋体"/>
                <w:color w:val="auto"/>
                <w:szCs w:val="21"/>
              </w:rPr>
            </w:pPr>
            <w:r>
              <w:rPr>
                <w:rFonts w:ascii="宋体" w:hAnsi="宋体" w:eastAsia="宋体" w:cs="宋体"/>
                <w:color w:val="auto"/>
                <w:szCs w:val="21"/>
              </w:rPr>
              <w:t>3</w:t>
            </w:r>
          </w:p>
        </w:tc>
        <w:tc>
          <w:tcPr>
            <w:tcW w:w="1808" w:type="dxa"/>
            <w:vAlign w:val="center"/>
          </w:tcPr>
          <w:p>
            <w:pPr>
              <w:spacing w:line="360" w:lineRule="auto"/>
              <w:rPr>
                <w:rFonts w:ascii="宋体" w:hAnsi="宋体" w:eastAsia="宋体" w:cs="Times New Roman"/>
                <w:color w:val="auto"/>
                <w:szCs w:val="21"/>
              </w:rPr>
            </w:pPr>
          </w:p>
        </w:tc>
        <w:tc>
          <w:tcPr>
            <w:tcW w:w="3579" w:type="dxa"/>
            <w:vAlign w:val="center"/>
          </w:tcPr>
          <w:p>
            <w:pPr>
              <w:spacing w:line="360" w:lineRule="auto"/>
              <w:rPr>
                <w:rFonts w:ascii="宋体" w:hAnsi="宋体" w:eastAsia="宋体" w:cs="Times New Roman"/>
                <w:color w:val="auto"/>
                <w:szCs w:val="21"/>
              </w:rPr>
            </w:pPr>
          </w:p>
        </w:tc>
        <w:tc>
          <w:tcPr>
            <w:tcW w:w="1440" w:type="dxa"/>
            <w:vAlign w:val="center"/>
          </w:tcPr>
          <w:p>
            <w:pPr>
              <w:spacing w:line="360" w:lineRule="auto"/>
              <w:rPr>
                <w:rFonts w:ascii="宋体" w:hAnsi="宋体" w:eastAsia="宋体" w:cs="Times New Roman"/>
                <w:color w:val="auto"/>
                <w:szCs w:val="21"/>
              </w:rPr>
            </w:pPr>
          </w:p>
        </w:tc>
        <w:tc>
          <w:tcPr>
            <w:tcW w:w="1706" w:type="dxa"/>
            <w:vAlign w:val="center"/>
          </w:tcPr>
          <w:p>
            <w:pPr>
              <w:spacing w:line="360" w:lineRule="auto"/>
              <w:rPr>
                <w:rFonts w:ascii="宋体" w:hAnsi="宋体" w:eastAsia="宋体"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spacing w:line="360" w:lineRule="auto"/>
              <w:jc w:val="center"/>
              <w:rPr>
                <w:rFonts w:ascii="宋体" w:hAnsi="宋体" w:eastAsia="宋体" w:cs="宋体"/>
                <w:color w:val="auto"/>
                <w:szCs w:val="21"/>
              </w:rPr>
            </w:pPr>
            <w:r>
              <w:rPr>
                <w:rFonts w:ascii="宋体" w:hAnsi="宋体" w:eastAsia="宋体" w:cs="宋体"/>
                <w:color w:val="auto"/>
                <w:szCs w:val="21"/>
              </w:rPr>
              <w:t>4</w:t>
            </w:r>
          </w:p>
        </w:tc>
        <w:tc>
          <w:tcPr>
            <w:tcW w:w="1808" w:type="dxa"/>
            <w:vAlign w:val="center"/>
          </w:tcPr>
          <w:p>
            <w:pPr>
              <w:rPr>
                <w:rFonts w:ascii="宋体"/>
                <w:color w:val="auto"/>
                <w:szCs w:val="21"/>
              </w:rPr>
            </w:pPr>
          </w:p>
        </w:tc>
        <w:tc>
          <w:tcPr>
            <w:tcW w:w="3579" w:type="dxa"/>
            <w:vAlign w:val="center"/>
          </w:tcPr>
          <w:p>
            <w:pPr>
              <w:rPr>
                <w:rFonts w:ascii="宋体"/>
                <w:color w:val="auto"/>
                <w:szCs w:val="21"/>
              </w:rPr>
            </w:pPr>
          </w:p>
        </w:tc>
        <w:tc>
          <w:tcPr>
            <w:tcW w:w="1440" w:type="dxa"/>
            <w:vAlign w:val="center"/>
          </w:tcPr>
          <w:p>
            <w:pPr>
              <w:rPr>
                <w:rFonts w:ascii="宋体"/>
                <w:color w:val="auto"/>
                <w:szCs w:val="21"/>
              </w:rPr>
            </w:pPr>
          </w:p>
        </w:tc>
        <w:tc>
          <w:tcPr>
            <w:tcW w:w="1706" w:type="dxa"/>
            <w:vAlign w:val="center"/>
          </w:tcPr>
          <w:p>
            <w:pPr>
              <w:rPr>
                <w:rFonts w:asci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spacing w:line="360" w:lineRule="auto"/>
              <w:jc w:val="center"/>
              <w:rPr>
                <w:rFonts w:ascii="宋体" w:hAnsi="宋体" w:eastAsia="宋体" w:cs="Times New Roman"/>
                <w:color w:val="auto"/>
                <w:szCs w:val="21"/>
              </w:rPr>
            </w:pPr>
            <w:r>
              <w:rPr>
                <w:rFonts w:hint="eastAsia" w:ascii="宋体" w:hAnsi="宋体" w:eastAsia="宋体" w:cs="宋体"/>
                <w:color w:val="auto"/>
                <w:szCs w:val="21"/>
              </w:rPr>
              <w:t>……</w:t>
            </w:r>
          </w:p>
        </w:tc>
        <w:tc>
          <w:tcPr>
            <w:tcW w:w="1808" w:type="dxa"/>
            <w:vAlign w:val="center"/>
          </w:tcPr>
          <w:p>
            <w:pPr>
              <w:rPr>
                <w:rFonts w:ascii="宋体"/>
                <w:color w:val="auto"/>
                <w:szCs w:val="21"/>
              </w:rPr>
            </w:pPr>
          </w:p>
        </w:tc>
        <w:tc>
          <w:tcPr>
            <w:tcW w:w="3579" w:type="dxa"/>
            <w:vAlign w:val="center"/>
          </w:tcPr>
          <w:p>
            <w:pPr>
              <w:rPr>
                <w:rFonts w:ascii="宋体"/>
                <w:color w:val="auto"/>
                <w:szCs w:val="21"/>
              </w:rPr>
            </w:pPr>
          </w:p>
        </w:tc>
        <w:tc>
          <w:tcPr>
            <w:tcW w:w="1440" w:type="dxa"/>
            <w:vAlign w:val="center"/>
          </w:tcPr>
          <w:p>
            <w:pPr>
              <w:rPr>
                <w:rFonts w:ascii="宋体"/>
                <w:color w:val="auto"/>
                <w:szCs w:val="21"/>
              </w:rPr>
            </w:pPr>
          </w:p>
        </w:tc>
        <w:tc>
          <w:tcPr>
            <w:tcW w:w="1706" w:type="dxa"/>
            <w:vAlign w:val="center"/>
          </w:tcPr>
          <w:p>
            <w:pPr>
              <w:rPr>
                <w:rFonts w:ascii="宋体"/>
                <w:color w:val="auto"/>
                <w:szCs w:val="21"/>
              </w:rPr>
            </w:pPr>
          </w:p>
        </w:tc>
      </w:tr>
    </w:tbl>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投标人（并加盖公章）：</w:t>
      </w:r>
    </w:p>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4.5 售后服务方案</w:t>
      </w: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rPr>
          <w:rFonts w:cs="宋体" w:asciiTheme="minorEastAsia" w:hAnsiTheme="minorEastAsia"/>
          <w:color w:val="auto"/>
          <w:szCs w:val="21"/>
          <w:lang w:val="zh-CN"/>
        </w:rPr>
      </w:pPr>
      <w:r>
        <w:rPr>
          <w:rFonts w:hint="eastAsia" w:cs="宋体" w:asciiTheme="minorEastAsia" w:hAnsiTheme="minorEastAsia"/>
          <w:color w:val="auto"/>
          <w:szCs w:val="21"/>
          <w:lang w:val="zh-CN"/>
        </w:rPr>
        <w:t>（投标人根据招标文件要求自行编制）</w:t>
      </w: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4.6“节能产品政府采购品目清单”强制节能产品情况</w:t>
      </w:r>
    </w:p>
    <w:p>
      <w:pPr>
        <w:autoSpaceDE w:val="0"/>
        <w:autoSpaceDN w:val="0"/>
        <w:adjustRightInd w:val="0"/>
        <w:spacing w:line="360" w:lineRule="auto"/>
        <w:jc w:val="center"/>
        <w:outlineLvl w:val="0"/>
        <w:rPr>
          <w:rFonts w:ascii="宋体" w:hAnsi="宋体"/>
          <w:b/>
          <w:bCs/>
          <w:color w:val="auto"/>
          <w:sz w:val="28"/>
          <w:szCs w:val="28"/>
        </w:rPr>
      </w:pPr>
    </w:p>
    <w:p>
      <w:pPr>
        <w:spacing w:before="50"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tabs>
          <w:tab w:val="left" w:pos="1800"/>
          <w:tab w:val="left" w:pos="5580"/>
        </w:tabs>
        <w:spacing w:line="360" w:lineRule="auto"/>
        <w:rPr>
          <w:rFonts w:asciiTheme="minorEastAsia" w:hAnsiTheme="minorEastAsia"/>
          <w:color w:val="auto"/>
          <w:szCs w:val="21"/>
        </w:rPr>
      </w:pPr>
      <w:r>
        <w:rPr>
          <w:rFonts w:hint="eastAsia" w:asciiTheme="minorEastAsia" w:hAnsiTheme="minorEastAsia"/>
          <w:color w:val="auto"/>
          <w:szCs w:val="21"/>
        </w:rPr>
        <w:t>项目名称：</w:t>
      </w:r>
    </w:p>
    <w:p>
      <w:pPr>
        <w:tabs>
          <w:tab w:val="left" w:pos="1800"/>
          <w:tab w:val="left" w:pos="5580"/>
        </w:tabs>
        <w:spacing w:line="360" w:lineRule="auto"/>
        <w:rPr>
          <w:rFonts w:ascii="宋体" w:hAnsi="宋体"/>
          <w:color w:val="auto"/>
          <w:szCs w:val="21"/>
        </w:rPr>
      </w:pPr>
    </w:p>
    <w:tbl>
      <w:tblPr>
        <w:tblStyle w:val="22"/>
        <w:tblW w:w="51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6"/>
        <w:gridCol w:w="1374"/>
        <w:gridCol w:w="1518"/>
        <w:gridCol w:w="1240"/>
        <w:gridCol w:w="1648"/>
        <w:gridCol w:w="1600"/>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Header/>
        </w:trPr>
        <w:tc>
          <w:tcPr>
            <w:tcW w:w="282"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737"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产品名称</w:t>
            </w:r>
          </w:p>
        </w:tc>
        <w:tc>
          <w:tcPr>
            <w:tcW w:w="814"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品牌</w:t>
            </w:r>
          </w:p>
        </w:tc>
        <w:tc>
          <w:tcPr>
            <w:tcW w:w="665"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产品型号</w:t>
            </w:r>
          </w:p>
        </w:tc>
        <w:tc>
          <w:tcPr>
            <w:tcW w:w="884"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认证证书编号</w:t>
            </w:r>
          </w:p>
        </w:tc>
        <w:tc>
          <w:tcPr>
            <w:tcW w:w="858"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证书有效期</w:t>
            </w:r>
          </w:p>
        </w:tc>
        <w:tc>
          <w:tcPr>
            <w:tcW w:w="760"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认证机构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spacing w:line="360" w:lineRule="auto"/>
              <w:jc w:val="center"/>
              <w:rPr>
                <w:rFonts w:ascii="宋体" w:hAnsi="宋体" w:eastAsia="宋体" w:cs="Times New Roman"/>
                <w:color w:val="auto"/>
                <w:szCs w:val="21"/>
              </w:rPr>
            </w:pPr>
            <w:r>
              <w:rPr>
                <w:rFonts w:hint="eastAsia" w:ascii="宋体" w:hAnsi="宋体" w:eastAsia="宋体" w:cs="Times New Roman"/>
                <w:color w:val="auto"/>
                <w:szCs w:val="21"/>
              </w:rPr>
              <w:t>1</w:t>
            </w:r>
          </w:p>
        </w:tc>
        <w:tc>
          <w:tcPr>
            <w:tcW w:w="737" w:type="pct"/>
            <w:vAlign w:val="center"/>
          </w:tcPr>
          <w:p>
            <w:pPr>
              <w:spacing w:line="360" w:lineRule="auto"/>
              <w:rPr>
                <w:rFonts w:ascii="宋体" w:hAnsi="宋体" w:eastAsia="宋体" w:cs="Times New Roman"/>
                <w:color w:val="auto"/>
                <w:szCs w:val="21"/>
              </w:rPr>
            </w:pPr>
          </w:p>
        </w:tc>
        <w:tc>
          <w:tcPr>
            <w:tcW w:w="814" w:type="pct"/>
            <w:vAlign w:val="center"/>
          </w:tcPr>
          <w:p>
            <w:pPr>
              <w:spacing w:line="360" w:lineRule="auto"/>
              <w:rPr>
                <w:rFonts w:ascii="宋体" w:hAnsi="宋体" w:eastAsia="宋体" w:cs="Times New Roman"/>
                <w:color w:val="auto"/>
                <w:szCs w:val="21"/>
              </w:rPr>
            </w:pPr>
          </w:p>
        </w:tc>
        <w:tc>
          <w:tcPr>
            <w:tcW w:w="665" w:type="pct"/>
          </w:tcPr>
          <w:p>
            <w:pPr>
              <w:spacing w:line="360" w:lineRule="auto"/>
              <w:rPr>
                <w:rFonts w:ascii="宋体" w:hAnsi="宋体" w:eastAsia="宋体" w:cs="Times New Roman"/>
                <w:color w:val="auto"/>
                <w:szCs w:val="21"/>
              </w:rPr>
            </w:pPr>
          </w:p>
        </w:tc>
        <w:tc>
          <w:tcPr>
            <w:tcW w:w="884" w:type="pct"/>
          </w:tcPr>
          <w:p>
            <w:pPr>
              <w:spacing w:line="360" w:lineRule="auto"/>
              <w:rPr>
                <w:rFonts w:ascii="宋体" w:hAnsi="宋体" w:eastAsia="宋体" w:cs="Times New Roman"/>
                <w:color w:val="auto"/>
                <w:szCs w:val="21"/>
              </w:rPr>
            </w:pPr>
          </w:p>
        </w:tc>
        <w:tc>
          <w:tcPr>
            <w:tcW w:w="858" w:type="pct"/>
          </w:tcPr>
          <w:p>
            <w:pPr>
              <w:spacing w:line="360" w:lineRule="auto"/>
              <w:rPr>
                <w:rFonts w:ascii="宋体" w:hAnsi="宋体" w:eastAsia="宋体" w:cs="Times New Roman"/>
                <w:color w:val="auto"/>
                <w:szCs w:val="21"/>
              </w:rPr>
            </w:pPr>
          </w:p>
        </w:tc>
        <w:tc>
          <w:tcPr>
            <w:tcW w:w="760" w:type="pct"/>
          </w:tcPr>
          <w:p>
            <w:pPr>
              <w:spacing w:line="360" w:lineRule="auto"/>
              <w:rPr>
                <w:rFonts w:ascii="宋体" w:hAnsi="宋体" w:eastAsia="宋体"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spacing w:line="360" w:lineRule="auto"/>
              <w:jc w:val="center"/>
              <w:rPr>
                <w:rFonts w:ascii="宋体" w:hAnsi="宋体" w:eastAsia="宋体" w:cs="Times New Roman"/>
                <w:color w:val="auto"/>
                <w:szCs w:val="21"/>
              </w:rPr>
            </w:pPr>
            <w:r>
              <w:rPr>
                <w:rFonts w:hint="eastAsia" w:ascii="宋体" w:hAnsi="宋体" w:eastAsia="宋体" w:cs="Times New Roman"/>
                <w:color w:val="auto"/>
                <w:szCs w:val="21"/>
              </w:rPr>
              <w:t>2</w:t>
            </w:r>
          </w:p>
        </w:tc>
        <w:tc>
          <w:tcPr>
            <w:tcW w:w="737" w:type="pct"/>
            <w:vAlign w:val="center"/>
          </w:tcPr>
          <w:p>
            <w:pPr>
              <w:spacing w:line="360" w:lineRule="auto"/>
              <w:rPr>
                <w:rFonts w:ascii="宋体" w:hAnsi="宋体" w:eastAsia="宋体" w:cs="Times New Roman"/>
                <w:color w:val="auto"/>
                <w:szCs w:val="21"/>
              </w:rPr>
            </w:pPr>
          </w:p>
        </w:tc>
        <w:tc>
          <w:tcPr>
            <w:tcW w:w="814" w:type="pct"/>
            <w:vAlign w:val="center"/>
          </w:tcPr>
          <w:p>
            <w:pPr>
              <w:spacing w:line="360" w:lineRule="auto"/>
              <w:rPr>
                <w:rFonts w:ascii="宋体" w:hAnsi="宋体" w:eastAsia="宋体" w:cs="Times New Roman"/>
                <w:color w:val="auto"/>
                <w:szCs w:val="21"/>
              </w:rPr>
            </w:pPr>
          </w:p>
        </w:tc>
        <w:tc>
          <w:tcPr>
            <w:tcW w:w="665" w:type="pct"/>
          </w:tcPr>
          <w:p>
            <w:pPr>
              <w:spacing w:line="360" w:lineRule="auto"/>
              <w:rPr>
                <w:rFonts w:ascii="宋体" w:hAnsi="宋体" w:eastAsia="宋体" w:cs="Times New Roman"/>
                <w:color w:val="auto"/>
                <w:szCs w:val="21"/>
              </w:rPr>
            </w:pPr>
          </w:p>
        </w:tc>
        <w:tc>
          <w:tcPr>
            <w:tcW w:w="884" w:type="pct"/>
          </w:tcPr>
          <w:p>
            <w:pPr>
              <w:spacing w:line="360" w:lineRule="auto"/>
              <w:rPr>
                <w:rFonts w:ascii="宋体" w:hAnsi="宋体" w:eastAsia="宋体" w:cs="Times New Roman"/>
                <w:color w:val="auto"/>
                <w:szCs w:val="21"/>
              </w:rPr>
            </w:pPr>
          </w:p>
        </w:tc>
        <w:tc>
          <w:tcPr>
            <w:tcW w:w="858" w:type="pct"/>
          </w:tcPr>
          <w:p>
            <w:pPr>
              <w:spacing w:line="360" w:lineRule="auto"/>
              <w:rPr>
                <w:rFonts w:ascii="宋体" w:hAnsi="宋体" w:eastAsia="宋体" w:cs="Times New Roman"/>
                <w:color w:val="auto"/>
                <w:szCs w:val="21"/>
              </w:rPr>
            </w:pPr>
          </w:p>
        </w:tc>
        <w:tc>
          <w:tcPr>
            <w:tcW w:w="760" w:type="pct"/>
          </w:tcPr>
          <w:p>
            <w:pPr>
              <w:spacing w:line="360" w:lineRule="auto"/>
              <w:rPr>
                <w:rFonts w:ascii="宋体" w:hAnsi="宋体" w:eastAsia="宋体"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spacing w:line="360" w:lineRule="auto"/>
              <w:jc w:val="center"/>
              <w:rPr>
                <w:rFonts w:ascii="宋体" w:hAnsi="宋体" w:eastAsia="宋体" w:cs="Times New Roman"/>
                <w:color w:val="auto"/>
                <w:szCs w:val="21"/>
              </w:rPr>
            </w:pPr>
            <w:r>
              <w:rPr>
                <w:rFonts w:hint="eastAsia" w:ascii="宋体" w:hAnsi="宋体" w:eastAsia="宋体" w:cs="宋体"/>
                <w:color w:val="auto"/>
                <w:szCs w:val="21"/>
              </w:rPr>
              <w:t>…</w:t>
            </w:r>
          </w:p>
        </w:tc>
        <w:tc>
          <w:tcPr>
            <w:tcW w:w="737" w:type="pct"/>
            <w:vAlign w:val="center"/>
          </w:tcPr>
          <w:p>
            <w:pPr>
              <w:spacing w:line="360" w:lineRule="auto"/>
              <w:rPr>
                <w:rFonts w:ascii="宋体" w:hAnsi="宋体" w:eastAsia="宋体" w:cs="Times New Roman"/>
                <w:color w:val="auto"/>
                <w:szCs w:val="21"/>
              </w:rPr>
            </w:pPr>
          </w:p>
        </w:tc>
        <w:tc>
          <w:tcPr>
            <w:tcW w:w="814" w:type="pct"/>
            <w:vAlign w:val="center"/>
          </w:tcPr>
          <w:p>
            <w:pPr>
              <w:spacing w:line="360" w:lineRule="auto"/>
              <w:rPr>
                <w:rFonts w:ascii="宋体" w:hAnsi="宋体" w:eastAsia="宋体" w:cs="Times New Roman"/>
                <w:color w:val="auto"/>
                <w:szCs w:val="21"/>
              </w:rPr>
            </w:pPr>
          </w:p>
        </w:tc>
        <w:tc>
          <w:tcPr>
            <w:tcW w:w="665" w:type="pct"/>
          </w:tcPr>
          <w:p>
            <w:pPr>
              <w:spacing w:line="360" w:lineRule="auto"/>
              <w:rPr>
                <w:rFonts w:ascii="宋体" w:hAnsi="宋体" w:eastAsia="宋体" w:cs="Times New Roman"/>
                <w:color w:val="auto"/>
                <w:szCs w:val="21"/>
              </w:rPr>
            </w:pPr>
          </w:p>
        </w:tc>
        <w:tc>
          <w:tcPr>
            <w:tcW w:w="884" w:type="pct"/>
          </w:tcPr>
          <w:p>
            <w:pPr>
              <w:spacing w:line="360" w:lineRule="auto"/>
              <w:rPr>
                <w:rFonts w:ascii="宋体" w:hAnsi="宋体" w:eastAsia="宋体" w:cs="Times New Roman"/>
                <w:color w:val="auto"/>
                <w:szCs w:val="21"/>
              </w:rPr>
            </w:pPr>
          </w:p>
        </w:tc>
        <w:tc>
          <w:tcPr>
            <w:tcW w:w="858" w:type="pct"/>
          </w:tcPr>
          <w:p>
            <w:pPr>
              <w:spacing w:line="360" w:lineRule="auto"/>
              <w:rPr>
                <w:rFonts w:ascii="宋体" w:hAnsi="宋体" w:eastAsia="宋体" w:cs="Times New Roman"/>
                <w:color w:val="auto"/>
                <w:szCs w:val="21"/>
              </w:rPr>
            </w:pPr>
          </w:p>
        </w:tc>
        <w:tc>
          <w:tcPr>
            <w:tcW w:w="760" w:type="pct"/>
          </w:tcPr>
          <w:p>
            <w:pPr>
              <w:spacing w:line="360" w:lineRule="auto"/>
              <w:rPr>
                <w:rFonts w:ascii="宋体" w:hAnsi="宋体" w:eastAsia="宋体" w:cs="Times New Roman"/>
                <w:color w:val="auto"/>
                <w:szCs w:val="21"/>
              </w:rPr>
            </w:pPr>
          </w:p>
        </w:tc>
      </w:tr>
    </w:tbl>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投标人（并加盖公章）：</w:t>
      </w:r>
    </w:p>
    <w:p>
      <w:pPr>
        <w:autoSpaceDE w:val="0"/>
        <w:autoSpaceDN w:val="0"/>
        <w:adjustRightInd w:val="0"/>
        <w:spacing w:line="480" w:lineRule="auto"/>
        <w:rPr>
          <w:rFonts w:cs="宋体" w:asciiTheme="minorEastAsia" w:hAnsiTheme="minorEastAsia"/>
          <w:color w:val="auto"/>
          <w:szCs w:val="21"/>
          <w:lang w:val="zh-CN"/>
        </w:rPr>
      </w:pPr>
    </w:p>
    <w:p>
      <w:pPr>
        <w:snapToGrid w:val="0"/>
        <w:spacing w:line="500" w:lineRule="exact"/>
        <w:rPr>
          <w:rFonts w:cs="宋体" w:asciiTheme="minorEastAsia" w:hAnsiTheme="minorEastAsia"/>
          <w:color w:val="auto"/>
          <w:szCs w:val="21"/>
          <w:lang w:val="zh-CN"/>
        </w:rPr>
      </w:pPr>
    </w:p>
    <w:p>
      <w:pPr>
        <w:rPr>
          <w:rFonts w:cs="宋体" w:asciiTheme="minorEastAsia" w:hAnsiTheme="minorEastAsia"/>
          <w:color w:val="auto"/>
          <w:szCs w:val="21"/>
          <w:lang w:val="zh-CN"/>
        </w:rPr>
      </w:pPr>
      <w:r>
        <w:rPr>
          <w:rFonts w:hint="eastAsia" w:cs="宋体" w:asciiTheme="minorEastAsia" w:hAnsiTheme="minorEastAsia"/>
          <w:color w:val="auto"/>
          <w:szCs w:val="21"/>
          <w:lang w:val="zh-CN"/>
        </w:rPr>
        <w:t>说明：所投产品节能认证证书须附后。</w:t>
      </w: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4.7“节能产品政府采购品目清单”优先采购节能产品情况</w:t>
      </w:r>
    </w:p>
    <w:p>
      <w:pPr>
        <w:autoSpaceDE w:val="0"/>
        <w:autoSpaceDN w:val="0"/>
        <w:adjustRightInd w:val="0"/>
        <w:spacing w:line="360" w:lineRule="auto"/>
        <w:jc w:val="center"/>
        <w:outlineLvl w:val="0"/>
        <w:rPr>
          <w:rFonts w:ascii="宋体" w:hAnsi="宋体"/>
          <w:b/>
          <w:bCs/>
          <w:color w:val="auto"/>
          <w:sz w:val="28"/>
          <w:szCs w:val="28"/>
        </w:rPr>
      </w:pPr>
    </w:p>
    <w:p>
      <w:pPr>
        <w:spacing w:before="50"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tabs>
          <w:tab w:val="left" w:pos="1800"/>
          <w:tab w:val="left" w:pos="5580"/>
        </w:tabs>
        <w:spacing w:line="360" w:lineRule="auto"/>
        <w:rPr>
          <w:rFonts w:asciiTheme="minorEastAsia" w:hAnsiTheme="minorEastAsia"/>
          <w:color w:val="auto"/>
          <w:szCs w:val="21"/>
        </w:rPr>
      </w:pPr>
      <w:r>
        <w:rPr>
          <w:rFonts w:hint="eastAsia" w:asciiTheme="minorEastAsia" w:hAnsiTheme="minorEastAsia"/>
          <w:color w:val="auto"/>
          <w:szCs w:val="21"/>
        </w:rPr>
        <w:t>项目名称：</w:t>
      </w:r>
    </w:p>
    <w:p>
      <w:pPr>
        <w:tabs>
          <w:tab w:val="left" w:pos="1800"/>
          <w:tab w:val="left" w:pos="5580"/>
        </w:tabs>
        <w:spacing w:line="360" w:lineRule="auto"/>
        <w:rPr>
          <w:rFonts w:ascii="宋体" w:hAnsi="宋体"/>
          <w:color w:val="auto"/>
          <w:szCs w:val="21"/>
        </w:rPr>
      </w:pPr>
    </w:p>
    <w:tbl>
      <w:tblPr>
        <w:tblStyle w:val="22"/>
        <w:tblW w:w="51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6"/>
        <w:gridCol w:w="1374"/>
        <w:gridCol w:w="1518"/>
        <w:gridCol w:w="1240"/>
        <w:gridCol w:w="1648"/>
        <w:gridCol w:w="1600"/>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Header/>
        </w:trPr>
        <w:tc>
          <w:tcPr>
            <w:tcW w:w="282"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737"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产品名称</w:t>
            </w:r>
          </w:p>
        </w:tc>
        <w:tc>
          <w:tcPr>
            <w:tcW w:w="814"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品牌</w:t>
            </w:r>
          </w:p>
        </w:tc>
        <w:tc>
          <w:tcPr>
            <w:tcW w:w="665"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产品型号</w:t>
            </w:r>
          </w:p>
        </w:tc>
        <w:tc>
          <w:tcPr>
            <w:tcW w:w="884"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认证证书编号</w:t>
            </w:r>
          </w:p>
        </w:tc>
        <w:tc>
          <w:tcPr>
            <w:tcW w:w="858"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证书有效期</w:t>
            </w:r>
          </w:p>
        </w:tc>
        <w:tc>
          <w:tcPr>
            <w:tcW w:w="760"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认证机构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spacing w:line="360" w:lineRule="auto"/>
              <w:jc w:val="center"/>
              <w:rPr>
                <w:rFonts w:ascii="宋体" w:hAnsi="宋体" w:eastAsia="宋体" w:cs="Times New Roman"/>
                <w:color w:val="auto"/>
                <w:szCs w:val="21"/>
              </w:rPr>
            </w:pPr>
            <w:r>
              <w:rPr>
                <w:rFonts w:hint="eastAsia" w:ascii="宋体" w:hAnsi="宋体" w:eastAsia="宋体" w:cs="Times New Roman"/>
                <w:color w:val="auto"/>
                <w:szCs w:val="21"/>
              </w:rPr>
              <w:t>1</w:t>
            </w:r>
          </w:p>
        </w:tc>
        <w:tc>
          <w:tcPr>
            <w:tcW w:w="737" w:type="pct"/>
            <w:vAlign w:val="center"/>
          </w:tcPr>
          <w:p>
            <w:pPr>
              <w:spacing w:line="360" w:lineRule="auto"/>
              <w:rPr>
                <w:rFonts w:ascii="宋体" w:hAnsi="宋体" w:eastAsia="宋体" w:cs="Times New Roman"/>
                <w:color w:val="auto"/>
                <w:szCs w:val="21"/>
              </w:rPr>
            </w:pPr>
          </w:p>
        </w:tc>
        <w:tc>
          <w:tcPr>
            <w:tcW w:w="814" w:type="pct"/>
            <w:vAlign w:val="center"/>
          </w:tcPr>
          <w:p>
            <w:pPr>
              <w:spacing w:line="360" w:lineRule="auto"/>
              <w:rPr>
                <w:rFonts w:ascii="宋体" w:hAnsi="宋体" w:eastAsia="宋体" w:cs="Times New Roman"/>
                <w:color w:val="auto"/>
                <w:szCs w:val="21"/>
              </w:rPr>
            </w:pPr>
          </w:p>
        </w:tc>
        <w:tc>
          <w:tcPr>
            <w:tcW w:w="665" w:type="pct"/>
          </w:tcPr>
          <w:p>
            <w:pPr>
              <w:spacing w:line="360" w:lineRule="auto"/>
              <w:rPr>
                <w:rFonts w:ascii="宋体" w:hAnsi="宋体" w:eastAsia="宋体" w:cs="Times New Roman"/>
                <w:color w:val="auto"/>
                <w:szCs w:val="21"/>
              </w:rPr>
            </w:pPr>
          </w:p>
        </w:tc>
        <w:tc>
          <w:tcPr>
            <w:tcW w:w="884" w:type="pct"/>
          </w:tcPr>
          <w:p>
            <w:pPr>
              <w:spacing w:line="360" w:lineRule="auto"/>
              <w:rPr>
                <w:rFonts w:ascii="宋体" w:hAnsi="宋体" w:eastAsia="宋体" w:cs="Times New Roman"/>
                <w:color w:val="auto"/>
                <w:szCs w:val="21"/>
              </w:rPr>
            </w:pPr>
          </w:p>
        </w:tc>
        <w:tc>
          <w:tcPr>
            <w:tcW w:w="858" w:type="pct"/>
          </w:tcPr>
          <w:p>
            <w:pPr>
              <w:spacing w:line="360" w:lineRule="auto"/>
              <w:rPr>
                <w:rFonts w:ascii="宋体" w:hAnsi="宋体" w:eastAsia="宋体" w:cs="Times New Roman"/>
                <w:color w:val="auto"/>
                <w:szCs w:val="21"/>
              </w:rPr>
            </w:pPr>
          </w:p>
        </w:tc>
        <w:tc>
          <w:tcPr>
            <w:tcW w:w="760" w:type="pct"/>
          </w:tcPr>
          <w:p>
            <w:pPr>
              <w:spacing w:line="360" w:lineRule="auto"/>
              <w:rPr>
                <w:rFonts w:ascii="宋体" w:hAnsi="宋体" w:eastAsia="宋体"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1" w:hRule="atLeast"/>
        </w:trPr>
        <w:tc>
          <w:tcPr>
            <w:tcW w:w="282" w:type="pct"/>
            <w:vAlign w:val="center"/>
          </w:tcPr>
          <w:p>
            <w:pPr>
              <w:spacing w:line="360" w:lineRule="auto"/>
              <w:jc w:val="center"/>
              <w:rPr>
                <w:rFonts w:ascii="宋体" w:hAnsi="宋体" w:eastAsia="宋体" w:cs="Times New Roman"/>
                <w:color w:val="auto"/>
                <w:szCs w:val="21"/>
              </w:rPr>
            </w:pPr>
            <w:r>
              <w:rPr>
                <w:rFonts w:hint="eastAsia" w:ascii="宋体" w:hAnsi="宋体" w:eastAsia="宋体" w:cs="Times New Roman"/>
                <w:color w:val="auto"/>
                <w:szCs w:val="21"/>
              </w:rPr>
              <w:t>2</w:t>
            </w:r>
          </w:p>
        </w:tc>
        <w:tc>
          <w:tcPr>
            <w:tcW w:w="737" w:type="pct"/>
            <w:vAlign w:val="center"/>
          </w:tcPr>
          <w:p>
            <w:pPr>
              <w:spacing w:line="360" w:lineRule="auto"/>
              <w:rPr>
                <w:rFonts w:ascii="宋体" w:hAnsi="宋体" w:eastAsia="宋体" w:cs="Times New Roman"/>
                <w:color w:val="auto"/>
                <w:szCs w:val="21"/>
              </w:rPr>
            </w:pPr>
          </w:p>
        </w:tc>
        <w:tc>
          <w:tcPr>
            <w:tcW w:w="814" w:type="pct"/>
            <w:vAlign w:val="center"/>
          </w:tcPr>
          <w:p>
            <w:pPr>
              <w:spacing w:line="360" w:lineRule="auto"/>
              <w:rPr>
                <w:rFonts w:ascii="宋体" w:hAnsi="宋体" w:eastAsia="宋体" w:cs="Times New Roman"/>
                <w:color w:val="auto"/>
                <w:szCs w:val="21"/>
              </w:rPr>
            </w:pPr>
          </w:p>
        </w:tc>
        <w:tc>
          <w:tcPr>
            <w:tcW w:w="665" w:type="pct"/>
          </w:tcPr>
          <w:p>
            <w:pPr>
              <w:spacing w:line="360" w:lineRule="auto"/>
              <w:rPr>
                <w:rFonts w:ascii="宋体" w:hAnsi="宋体" w:eastAsia="宋体" w:cs="Times New Roman"/>
                <w:color w:val="auto"/>
                <w:szCs w:val="21"/>
              </w:rPr>
            </w:pPr>
          </w:p>
        </w:tc>
        <w:tc>
          <w:tcPr>
            <w:tcW w:w="884" w:type="pct"/>
          </w:tcPr>
          <w:p>
            <w:pPr>
              <w:spacing w:line="360" w:lineRule="auto"/>
              <w:rPr>
                <w:rFonts w:ascii="宋体" w:hAnsi="宋体" w:eastAsia="宋体" w:cs="Times New Roman"/>
                <w:color w:val="auto"/>
                <w:szCs w:val="21"/>
              </w:rPr>
            </w:pPr>
          </w:p>
        </w:tc>
        <w:tc>
          <w:tcPr>
            <w:tcW w:w="858" w:type="pct"/>
          </w:tcPr>
          <w:p>
            <w:pPr>
              <w:spacing w:line="360" w:lineRule="auto"/>
              <w:rPr>
                <w:rFonts w:ascii="宋体" w:hAnsi="宋体" w:eastAsia="宋体" w:cs="Times New Roman"/>
                <w:color w:val="auto"/>
                <w:szCs w:val="21"/>
              </w:rPr>
            </w:pPr>
          </w:p>
        </w:tc>
        <w:tc>
          <w:tcPr>
            <w:tcW w:w="760" w:type="pct"/>
          </w:tcPr>
          <w:p>
            <w:pPr>
              <w:spacing w:line="360" w:lineRule="auto"/>
              <w:rPr>
                <w:rFonts w:ascii="宋体" w:hAnsi="宋体" w:eastAsia="宋体"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spacing w:line="360" w:lineRule="auto"/>
              <w:jc w:val="center"/>
              <w:rPr>
                <w:rFonts w:ascii="宋体" w:hAnsi="宋体" w:eastAsia="宋体" w:cs="Times New Roman"/>
                <w:color w:val="auto"/>
                <w:szCs w:val="21"/>
              </w:rPr>
            </w:pPr>
            <w:r>
              <w:rPr>
                <w:rFonts w:hint="eastAsia" w:ascii="宋体" w:hAnsi="宋体" w:eastAsia="宋体" w:cs="宋体"/>
                <w:color w:val="auto"/>
                <w:szCs w:val="21"/>
              </w:rPr>
              <w:t>…</w:t>
            </w:r>
          </w:p>
        </w:tc>
        <w:tc>
          <w:tcPr>
            <w:tcW w:w="737" w:type="pct"/>
            <w:vAlign w:val="center"/>
          </w:tcPr>
          <w:p>
            <w:pPr>
              <w:spacing w:line="360" w:lineRule="auto"/>
              <w:rPr>
                <w:rFonts w:ascii="宋体" w:hAnsi="宋体" w:eastAsia="宋体" w:cs="Times New Roman"/>
                <w:color w:val="auto"/>
                <w:szCs w:val="21"/>
              </w:rPr>
            </w:pPr>
          </w:p>
        </w:tc>
        <w:tc>
          <w:tcPr>
            <w:tcW w:w="814" w:type="pct"/>
            <w:vAlign w:val="center"/>
          </w:tcPr>
          <w:p>
            <w:pPr>
              <w:spacing w:line="360" w:lineRule="auto"/>
              <w:rPr>
                <w:rFonts w:ascii="宋体" w:hAnsi="宋体" w:eastAsia="宋体" w:cs="Times New Roman"/>
                <w:color w:val="auto"/>
                <w:szCs w:val="21"/>
              </w:rPr>
            </w:pPr>
          </w:p>
        </w:tc>
        <w:tc>
          <w:tcPr>
            <w:tcW w:w="665" w:type="pct"/>
          </w:tcPr>
          <w:p>
            <w:pPr>
              <w:spacing w:line="360" w:lineRule="auto"/>
              <w:rPr>
                <w:rFonts w:ascii="宋体" w:hAnsi="宋体" w:eastAsia="宋体" w:cs="Times New Roman"/>
                <w:color w:val="auto"/>
                <w:szCs w:val="21"/>
              </w:rPr>
            </w:pPr>
          </w:p>
        </w:tc>
        <w:tc>
          <w:tcPr>
            <w:tcW w:w="884" w:type="pct"/>
          </w:tcPr>
          <w:p>
            <w:pPr>
              <w:spacing w:line="360" w:lineRule="auto"/>
              <w:rPr>
                <w:rFonts w:ascii="宋体" w:hAnsi="宋体" w:eastAsia="宋体" w:cs="Times New Roman"/>
                <w:color w:val="auto"/>
                <w:szCs w:val="21"/>
              </w:rPr>
            </w:pPr>
          </w:p>
        </w:tc>
        <w:tc>
          <w:tcPr>
            <w:tcW w:w="858" w:type="pct"/>
          </w:tcPr>
          <w:p>
            <w:pPr>
              <w:spacing w:line="360" w:lineRule="auto"/>
              <w:rPr>
                <w:rFonts w:ascii="宋体" w:hAnsi="宋体" w:eastAsia="宋体" w:cs="Times New Roman"/>
                <w:color w:val="auto"/>
                <w:szCs w:val="21"/>
              </w:rPr>
            </w:pPr>
          </w:p>
        </w:tc>
        <w:tc>
          <w:tcPr>
            <w:tcW w:w="760" w:type="pct"/>
          </w:tcPr>
          <w:p>
            <w:pPr>
              <w:spacing w:line="360" w:lineRule="auto"/>
              <w:rPr>
                <w:rFonts w:ascii="宋体" w:hAnsi="宋体" w:eastAsia="宋体" w:cs="Times New Roman"/>
                <w:color w:val="auto"/>
                <w:szCs w:val="21"/>
              </w:rPr>
            </w:pPr>
          </w:p>
        </w:tc>
      </w:tr>
    </w:tbl>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投标人（并加盖公章）：</w:t>
      </w:r>
    </w:p>
    <w:p>
      <w:pPr>
        <w:autoSpaceDE w:val="0"/>
        <w:autoSpaceDN w:val="0"/>
        <w:adjustRightInd w:val="0"/>
        <w:spacing w:line="480" w:lineRule="auto"/>
        <w:rPr>
          <w:rFonts w:cs="宋体" w:asciiTheme="minorEastAsia" w:hAnsiTheme="minorEastAsia"/>
          <w:color w:val="auto"/>
          <w:szCs w:val="21"/>
          <w:lang w:val="zh-CN"/>
        </w:rPr>
      </w:pPr>
    </w:p>
    <w:p>
      <w:pPr>
        <w:snapToGrid w:val="0"/>
        <w:spacing w:line="500" w:lineRule="exact"/>
        <w:rPr>
          <w:rFonts w:cs="宋体" w:asciiTheme="minorEastAsia" w:hAnsiTheme="minorEastAsia"/>
          <w:color w:val="auto"/>
          <w:szCs w:val="21"/>
          <w:lang w:val="zh-CN"/>
        </w:rPr>
      </w:pPr>
    </w:p>
    <w:p>
      <w:pPr>
        <w:rPr>
          <w:rFonts w:cs="宋体" w:asciiTheme="minorEastAsia" w:hAnsiTheme="minorEastAsia"/>
          <w:color w:val="auto"/>
          <w:szCs w:val="21"/>
          <w:lang w:val="zh-CN"/>
        </w:rPr>
      </w:pPr>
      <w:r>
        <w:rPr>
          <w:rFonts w:hint="eastAsia" w:cs="宋体" w:asciiTheme="minorEastAsia" w:hAnsiTheme="minorEastAsia"/>
          <w:color w:val="auto"/>
          <w:szCs w:val="21"/>
          <w:lang w:val="zh-CN"/>
        </w:rPr>
        <w:t>说明：所投产品节能认证证书须附后。</w:t>
      </w: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4.8 “环境标志产品政府采购品目清单”优先采购产品情况</w:t>
      </w:r>
    </w:p>
    <w:p>
      <w:pPr>
        <w:autoSpaceDE w:val="0"/>
        <w:autoSpaceDN w:val="0"/>
        <w:adjustRightInd w:val="0"/>
        <w:spacing w:line="360" w:lineRule="auto"/>
        <w:jc w:val="center"/>
        <w:outlineLvl w:val="0"/>
        <w:rPr>
          <w:rFonts w:ascii="宋体" w:hAnsi="宋体"/>
          <w:b/>
          <w:bCs/>
          <w:color w:val="auto"/>
          <w:sz w:val="28"/>
          <w:szCs w:val="28"/>
        </w:rPr>
      </w:pPr>
    </w:p>
    <w:p>
      <w:pPr>
        <w:spacing w:before="50"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tabs>
          <w:tab w:val="left" w:pos="1800"/>
          <w:tab w:val="left" w:pos="5580"/>
        </w:tabs>
        <w:spacing w:line="360" w:lineRule="auto"/>
        <w:rPr>
          <w:rFonts w:asciiTheme="minorEastAsia" w:hAnsiTheme="minorEastAsia"/>
          <w:color w:val="auto"/>
          <w:szCs w:val="21"/>
        </w:rPr>
      </w:pPr>
      <w:r>
        <w:rPr>
          <w:rFonts w:hint="eastAsia" w:asciiTheme="minorEastAsia" w:hAnsiTheme="minorEastAsia"/>
          <w:color w:val="auto"/>
          <w:szCs w:val="21"/>
        </w:rPr>
        <w:t>项目名称：</w:t>
      </w:r>
    </w:p>
    <w:p>
      <w:pPr>
        <w:tabs>
          <w:tab w:val="left" w:pos="1800"/>
          <w:tab w:val="left" w:pos="5580"/>
        </w:tabs>
        <w:spacing w:line="360" w:lineRule="auto"/>
        <w:rPr>
          <w:rFonts w:asciiTheme="minorEastAsia" w:hAnsiTheme="minorEastAsia"/>
          <w:color w:val="auto"/>
          <w:szCs w:val="21"/>
        </w:rPr>
      </w:pPr>
    </w:p>
    <w:tbl>
      <w:tblPr>
        <w:tblStyle w:val="22"/>
        <w:tblW w:w="51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6"/>
        <w:gridCol w:w="1374"/>
        <w:gridCol w:w="1518"/>
        <w:gridCol w:w="1240"/>
        <w:gridCol w:w="1648"/>
        <w:gridCol w:w="1600"/>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Header/>
        </w:trPr>
        <w:tc>
          <w:tcPr>
            <w:tcW w:w="282"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737"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产品名称</w:t>
            </w:r>
          </w:p>
        </w:tc>
        <w:tc>
          <w:tcPr>
            <w:tcW w:w="814"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品牌</w:t>
            </w:r>
          </w:p>
        </w:tc>
        <w:tc>
          <w:tcPr>
            <w:tcW w:w="665"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产品型号</w:t>
            </w:r>
          </w:p>
        </w:tc>
        <w:tc>
          <w:tcPr>
            <w:tcW w:w="884"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认证证书编号</w:t>
            </w:r>
          </w:p>
        </w:tc>
        <w:tc>
          <w:tcPr>
            <w:tcW w:w="858"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证书有效期</w:t>
            </w:r>
          </w:p>
        </w:tc>
        <w:tc>
          <w:tcPr>
            <w:tcW w:w="760"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认证机构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spacing w:line="360" w:lineRule="auto"/>
              <w:jc w:val="center"/>
              <w:rPr>
                <w:rFonts w:ascii="宋体" w:hAnsi="宋体" w:eastAsia="宋体" w:cs="Times New Roman"/>
                <w:color w:val="auto"/>
                <w:szCs w:val="21"/>
              </w:rPr>
            </w:pPr>
            <w:r>
              <w:rPr>
                <w:rFonts w:hint="eastAsia" w:ascii="宋体" w:hAnsi="宋体" w:eastAsia="宋体" w:cs="Times New Roman"/>
                <w:color w:val="auto"/>
                <w:szCs w:val="21"/>
              </w:rPr>
              <w:t>1</w:t>
            </w:r>
          </w:p>
        </w:tc>
        <w:tc>
          <w:tcPr>
            <w:tcW w:w="737" w:type="pct"/>
            <w:vAlign w:val="center"/>
          </w:tcPr>
          <w:p>
            <w:pPr>
              <w:spacing w:line="360" w:lineRule="auto"/>
              <w:rPr>
                <w:rFonts w:ascii="宋体" w:hAnsi="宋体" w:eastAsia="宋体" w:cs="Times New Roman"/>
                <w:color w:val="auto"/>
                <w:szCs w:val="21"/>
              </w:rPr>
            </w:pPr>
          </w:p>
        </w:tc>
        <w:tc>
          <w:tcPr>
            <w:tcW w:w="814" w:type="pct"/>
            <w:vAlign w:val="center"/>
          </w:tcPr>
          <w:p>
            <w:pPr>
              <w:spacing w:line="360" w:lineRule="auto"/>
              <w:rPr>
                <w:rFonts w:ascii="宋体" w:hAnsi="宋体" w:eastAsia="宋体" w:cs="Times New Roman"/>
                <w:color w:val="auto"/>
                <w:szCs w:val="21"/>
              </w:rPr>
            </w:pPr>
          </w:p>
        </w:tc>
        <w:tc>
          <w:tcPr>
            <w:tcW w:w="665" w:type="pct"/>
          </w:tcPr>
          <w:p>
            <w:pPr>
              <w:spacing w:line="360" w:lineRule="auto"/>
              <w:rPr>
                <w:rFonts w:ascii="宋体" w:hAnsi="宋体" w:eastAsia="宋体" w:cs="Times New Roman"/>
                <w:color w:val="auto"/>
                <w:szCs w:val="21"/>
              </w:rPr>
            </w:pPr>
          </w:p>
        </w:tc>
        <w:tc>
          <w:tcPr>
            <w:tcW w:w="884" w:type="pct"/>
          </w:tcPr>
          <w:p>
            <w:pPr>
              <w:spacing w:line="360" w:lineRule="auto"/>
              <w:rPr>
                <w:rFonts w:ascii="宋体" w:hAnsi="宋体" w:eastAsia="宋体" w:cs="Times New Roman"/>
                <w:color w:val="auto"/>
                <w:szCs w:val="21"/>
              </w:rPr>
            </w:pPr>
          </w:p>
        </w:tc>
        <w:tc>
          <w:tcPr>
            <w:tcW w:w="858" w:type="pct"/>
          </w:tcPr>
          <w:p>
            <w:pPr>
              <w:spacing w:line="360" w:lineRule="auto"/>
              <w:rPr>
                <w:rFonts w:ascii="宋体" w:hAnsi="宋体" w:eastAsia="宋体" w:cs="Times New Roman"/>
                <w:color w:val="auto"/>
                <w:szCs w:val="21"/>
              </w:rPr>
            </w:pPr>
          </w:p>
        </w:tc>
        <w:tc>
          <w:tcPr>
            <w:tcW w:w="760" w:type="pct"/>
          </w:tcPr>
          <w:p>
            <w:pPr>
              <w:spacing w:line="360" w:lineRule="auto"/>
              <w:rPr>
                <w:rFonts w:ascii="宋体" w:hAnsi="宋体" w:eastAsia="宋体"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spacing w:line="360" w:lineRule="auto"/>
              <w:jc w:val="center"/>
              <w:rPr>
                <w:rFonts w:ascii="宋体" w:hAnsi="宋体" w:eastAsia="宋体" w:cs="Times New Roman"/>
                <w:color w:val="auto"/>
                <w:szCs w:val="21"/>
              </w:rPr>
            </w:pPr>
            <w:r>
              <w:rPr>
                <w:rFonts w:hint="eastAsia" w:ascii="宋体" w:hAnsi="宋体" w:eastAsia="宋体" w:cs="Times New Roman"/>
                <w:color w:val="auto"/>
                <w:szCs w:val="21"/>
              </w:rPr>
              <w:t>2</w:t>
            </w:r>
          </w:p>
        </w:tc>
        <w:tc>
          <w:tcPr>
            <w:tcW w:w="737" w:type="pct"/>
            <w:vAlign w:val="center"/>
          </w:tcPr>
          <w:p>
            <w:pPr>
              <w:spacing w:line="360" w:lineRule="auto"/>
              <w:rPr>
                <w:rFonts w:ascii="宋体" w:hAnsi="宋体" w:eastAsia="宋体" w:cs="Times New Roman"/>
                <w:color w:val="auto"/>
                <w:szCs w:val="21"/>
              </w:rPr>
            </w:pPr>
          </w:p>
        </w:tc>
        <w:tc>
          <w:tcPr>
            <w:tcW w:w="814" w:type="pct"/>
            <w:vAlign w:val="center"/>
          </w:tcPr>
          <w:p>
            <w:pPr>
              <w:spacing w:line="360" w:lineRule="auto"/>
              <w:rPr>
                <w:rFonts w:ascii="宋体" w:hAnsi="宋体" w:eastAsia="宋体" w:cs="Times New Roman"/>
                <w:color w:val="auto"/>
                <w:szCs w:val="21"/>
              </w:rPr>
            </w:pPr>
          </w:p>
        </w:tc>
        <w:tc>
          <w:tcPr>
            <w:tcW w:w="665" w:type="pct"/>
          </w:tcPr>
          <w:p>
            <w:pPr>
              <w:spacing w:line="360" w:lineRule="auto"/>
              <w:rPr>
                <w:rFonts w:ascii="宋体" w:hAnsi="宋体" w:eastAsia="宋体" w:cs="Times New Roman"/>
                <w:color w:val="auto"/>
                <w:szCs w:val="21"/>
              </w:rPr>
            </w:pPr>
          </w:p>
        </w:tc>
        <w:tc>
          <w:tcPr>
            <w:tcW w:w="884" w:type="pct"/>
          </w:tcPr>
          <w:p>
            <w:pPr>
              <w:spacing w:line="360" w:lineRule="auto"/>
              <w:rPr>
                <w:rFonts w:ascii="宋体" w:hAnsi="宋体" w:eastAsia="宋体" w:cs="Times New Roman"/>
                <w:color w:val="auto"/>
                <w:szCs w:val="21"/>
              </w:rPr>
            </w:pPr>
          </w:p>
        </w:tc>
        <w:tc>
          <w:tcPr>
            <w:tcW w:w="858" w:type="pct"/>
          </w:tcPr>
          <w:p>
            <w:pPr>
              <w:spacing w:line="360" w:lineRule="auto"/>
              <w:rPr>
                <w:rFonts w:ascii="宋体" w:hAnsi="宋体" w:eastAsia="宋体" w:cs="Times New Roman"/>
                <w:color w:val="auto"/>
                <w:szCs w:val="21"/>
              </w:rPr>
            </w:pPr>
          </w:p>
        </w:tc>
        <w:tc>
          <w:tcPr>
            <w:tcW w:w="760" w:type="pct"/>
          </w:tcPr>
          <w:p>
            <w:pPr>
              <w:spacing w:line="360" w:lineRule="auto"/>
              <w:rPr>
                <w:rFonts w:ascii="宋体" w:hAnsi="宋体" w:eastAsia="宋体"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spacing w:line="360" w:lineRule="auto"/>
              <w:jc w:val="center"/>
              <w:rPr>
                <w:rFonts w:ascii="宋体" w:hAnsi="宋体" w:eastAsia="宋体" w:cs="Times New Roman"/>
                <w:color w:val="auto"/>
                <w:szCs w:val="21"/>
              </w:rPr>
            </w:pPr>
            <w:r>
              <w:rPr>
                <w:rFonts w:hint="eastAsia" w:ascii="宋体" w:hAnsi="宋体" w:eastAsia="宋体" w:cs="宋体"/>
                <w:color w:val="auto"/>
                <w:szCs w:val="21"/>
              </w:rPr>
              <w:t>…</w:t>
            </w:r>
          </w:p>
        </w:tc>
        <w:tc>
          <w:tcPr>
            <w:tcW w:w="737" w:type="pct"/>
            <w:vAlign w:val="center"/>
          </w:tcPr>
          <w:p>
            <w:pPr>
              <w:spacing w:line="360" w:lineRule="auto"/>
              <w:rPr>
                <w:rFonts w:ascii="宋体" w:hAnsi="宋体" w:eastAsia="宋体" w:cs="Times New Roman"/>
                <w:color w:val="auto"/>
                <w:szCs w:val="21"/>
              </w:rPr>
            </w:pPr>
          </w:p>
        </w:tc>
        <w:tc>
          <w:tcPr>
            <w:tcW w:w="814" w:type="pct"/>
            <w:vAlign w:val="center"/>
          </w:tcPr>
          <w:p>
            <w:pPr>
              <w:spacing w:line="360" w:lineRule="auto"/>
              <w:rPr>
                <w:rFonts w:ascii="宋体" w:hAnsi="宋体" w:eastAsia="宋体" w:cs="Times New Roman"/>
                <w:color w:val="auto"/>
                <w:szCs w:val="21"/>
              </w:rPr>
            </w:pPr>
          </w:p>
        </w:tc>
        <w:tc>
          <w:tcPr>
            <w:tcW w:w="665" w:type="pct"/>
          </w:tcPr>
          <w:p>
            <w:pPr>
              <w:spacing w:line="360" w:lineRule="auto"/>
              <w:rPr>
                <w:rFonts w:ascii="宋体" w:hAnsi="宋体" w:eastAsia="宋体" w:cs="Times New Roman"/>
                <w:color w:val="auto"/>
                <w:szCs w:val="21"/>
              </w:rPr>
            </w:pPr>
          </w:p>
        </w:tc>
        <w:tc>
          <w:tcPr>
            <w:tcW w:w="884" w:type="pct"/>
          </w:tcPr>
          <w:p>
            <w:pPr>
              <w:spacing w:line="360" w:lineRule="auto"/>
              <w:rPr>
                <w:rFonts w:ascii="宋体" w:hAnsi="宋体" w:eastAsia="宋体" w:cs="Times New Roman"/>
                <w:color w:val="auto"/>
                <w:szCs w:val="21"/>
              </w:rPr>
            </w:pPr>
          </w:p>
        </w:tc>
        <w:tc>
          <w:tcPr>
            <w:tcW w:w="858" w:type="pct"/>
          </w:tcPr>
          <w:p>
            <w:pPr>
              <w:spacing w:line="360" w:lineRule="auto"/>
              <w:rPr>
                <w:rFonts w:ascii="宋体" w:hAnsi="宋体" w:eastAsia="宋体" w:cs="Times New Roman"/>
                <w:color w:val="auto"/>
                <w:szCs w:val="21"/>
              </w:rPr>
            </w:pPr>
          </w:p>
        </w:tc>
        <w:tc>
          <w:tcPr>
            <w:tcW w:w="760" w:type="pct"/>
          </w:tcPr>
          <w:p>
            <w:pPr>
              <w:spacing w:line="360" w:lineRule="auto"/>
              <w:rPr>
                <w:rFonts w:ascii="宋体" w:hAnsi="宋体" w:eastAsia="宋体" w:cs="Times New Roman"/>
                <w:color w:val="auto"/>
                <w:szCs w:val="21"/>
              </w:rPr>
            </w:pPr>
          </w:p>
        </w:tc>
      </w:tr>
    </w:tbl>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投标人（并加盖公章）：</w:t>
      </w:r>
    </w:p>
    <w:p>
      <w:pPr>
        <w:autoSpaceDE w:val="0"/>
        <w:autoSpaceDN w:val="0"/>
        <w:adjustRightInd w:val="0"/>
        <w:spacing w:line="480" w:lineRule="auto"/>
        <w:rPr>
          <w:rFonts w:cs="宋体" w:asciiTheme="minorEastAsia" w:hAnsiTheme="minorEastAsia"/>
          <w:color w:val="auto"/>
          <w:szCs w:val="21"/>
          <w:lang w:val="zh-CN"/>
        </w:rPr>
      </w:pPr>
    </w:p>
    <w:p>
      <w:pPr>
        <w:snapToGrid w:val="0"/>
        <w:spacing w:line="500" w:lineRule="exact"/>
        <w:rPr>
          <w:rFonts w:cs="宋体" w:asciiTheme="minorEastAsia" w:hAnsiTheme="minorEastAsia"/>
          <w:color w:val="auto"/>
          <w:szCs w:val="21"/>
          <w:lang w:val="zh-CN"/>
        </w:rPr>
      </w:pPr>
    </w:p>
    <w:p>
      <w:pPr>
        <w:spacing w:line="360" w:lineRule="auto"/>
        <w:rPr>
          <w:rFonts w:ascii="宋体" w:hAnsi="宋体"/>
          <w:b/>
          <w:bCs/>
          <w:color w:val="auto"/>
          <w:sz w:val="36"/>
          <w:szCs w:val="36"/>
        </w:rPr>
      </w:pPr>
      <w:r>
        <w:rPr>
          <w:rFonts w:hint="eastAsia" w:cs="宋体" w:asciiTheme="minorEastAsia" w:hAnsiTheme="minorEastAsia"/>
          <w:color w:val="auto"/>
          <w:szCs w:val="21"/>
          <w:lang w:val="zh-CN"/>
        </w:rPr>
        <w:t>说明：所投产品环境标志产品认证证书须附后。</w:t>
      </w: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4.9</w:t>
      </w:r>
      <w:r>
        <w:rPr>
          <w:rFonts w:ascii="宋体" w:hAnsi="宋体"/>
          <w:b/>
          <w:bCs/>
          <w:color w:val="auto"/>
          <w:sz w:val="24"/>
          <w:szCs w:val="24"/>
        </w:rPr>
        <w:t>中小企业声明函（货物）</w:t>
      </w:r>
    </w:p>
    <w:p>
      <w:pPr>
        <w:spacing w:line="360" w:lineRule="auto"/>
        <w:jc w:val="center"/>
        <w:rPr>
          <w:rFonts w:ascii="宋体" w:hAnsi="宋体"/>
          <w:b/>
          <w:bCs/>
          <w:color w:val="auto"/>
          <w:szCs w:val="21"/>
        </w:rPr>
      </w:pPr>
    </w:p>
    <w:p>
      <w:pPr>
        <w:spacing w:line="360" w:lineRule="auto"/>
        <w:ind w:firstLine="707" w:firstLineChars="337"/>
        <w:jc w:val="left"/>
        <w:rPr>
          <w:color w:val="auto"/>
        </w:rPr>
      </w:pPr>
      <w:r>
        <w:rPr>
          <w:color w:val="auto"/>
        </w:rPr>
        <w:t>本公司（联合体）郑重声明，根据《政府采购促进中小企业发展管理办法》（财库﹝2020﹞46 号）的规定，本公司（联合体）参加</w:t>
      </w:r>
      <w:r>
        <w:rPr>
          <w:i/>
          <w:color w:val="auto"/>
          <w:u w:val="single"/>
        </w:rPr>
        <w:t>（单位名称）</w:t>
      </w:r>
      <w:r>
        <w:rPr>
          <w:color w:val="auto"/>
        </w:rPr>
        <w:t>的</w:t>
      </w:r>
      <w:r>
        <w:rPr>
          <w:i/>
          <w:color w:val="auto"/>
          <w:u w:val="single"/>
        </w:rPr>
        <w:t>（项目名称）</w:t>
      </w:r>
      <w:r>
        <w:rPr>
          <w:color w:val="auto"/>
        </w:rPr>
        <w:t>采购活动，提供的货物全部由符合政策要求的中小企业制造。相关企业（含联合体中的中小企业、签订分包意向协议的中小企业）的具体情况如下：</w:t>
      </w:r>
    </w:p>
    <w:p>
      <w:pPr>
        <w:spacing w:line="360" w:lineRule="auto"/>
        <w:ind w:firstLine="707" w:firstLineChars="337"/>
        <w:jc w:val="left"/>
        <w:rPr>
          <w:color w:val="auto"/>
        </w:rPr>
      </w:pPr>
      <w:r>
        <w:rPr>
          <w:color w:val="auto"/>
        </w:rPr>
        <w:t xml:space="preserve">1. </w:t>
      </w:r>
      <w:r>
        <w:rPr>
          <w:i/>
          <w:color w:val="auto"/>
          <w:u w:val="single"/>
        </w:rPr>
        <w:t>（标的名称）</w:t>
      </w:r>
      <w:r>
        <w:rPr>
          <w:color w:val="auto"/>
        </w:rPr>
        <w:t>，属于</w:t>
      </w:r>
      <w:r>
        <w:rPr>
          <w:i/>
          <w:color w:val="auto"/>
          <w:u w:val="single"/>
        </w:rPr>
        <w:t>（采购文件中明确的所属行业）</w:t>
      </w:r>
      <w:r>
        <w:rPr>
          <w:color w:val="auto"/>
        </w:rPr>
        <w:t>行业；制造商为</w:t>
      </w:r>
      <w:r>
        <w:rPr>
          <w:i/>
          <w:color w:val="auto"/>
          <w:u w:val="single"/>
        </w:rPr>
        <w:t>（企业名称）</w:t>
      </w:r>
      <w:r>
        <w:rPr>
          <w:color w:val="auto"/>
        </w:rPr>
        <w:t>，从业人员人，营业收入为万元，资产总额为万元，属于</w:t>
      </w:r>
      <w:r>
        <w:rPr>
          <w:i/>
          <w:color w:val="auto"/>
          <w:u w:val="single"/>
        </w:rPr>
        <w:t>（中型企业、小型企业、微型企业）</w:t>
      </w:r>
      <w:r>
        <w:rPr>
          <w:color w:val="auto"/>
        </w:rPr>
        <w:t>；</w:t>
      </w:r>
    </w:p>
    <w:p>
      <w:pPr>
        <w:spacing w:line="360" w:lineRule="auto"/>
        <w:ind w:firstLine="707" w:firstLineChars="337"/>
        <w:jc w:val="left"/>
        <w:rPr>
          <w:color w:val="auto"/>
        </w:rPr>
      </w:pPr>
      <w:r>
        <w:rPr>
          <w:color w:val="auto"/>
        </w:rPr>
        <w:t xml:space="preserve">2. </w:t>
      </w:r>
      <w:r>
        <w:rPr>
          <w:i/>
          <w:color w:val="auto"/>
          <w:u w:val="single"/>
        </w:rPr>
        <w:t>（标的名称）</w:t>
      </w:r>
      <w:r>
        <w:rPr>
          <w:color w:val="auto"/>
        </w:rPr>
        <w:t>，属于</w:t>
      </w:r>
      <w:r>
        <w:rPr>
          <w:i/>
          <w:color w:val="auto"/>
          <w:u w:val="single"/>
        </w:rPr>
        <w:t>（采购文件中明确的所属行业）</w:t>
      </w:r>
      <w:r>
        <w:rPr>
          <w:color w:val="auto"/>
        </w:rPr>
        <w:t>行业；制造商为</w:t>
      </w:r>
      <w:r>
        <w:rPr>
          <w:i/>
          <w:color w:val="auto"/>
          <w:u w:val="single"/>
        </w:rPr>
        <w:t>（企业名称）</w:t>
      </w:r>
      <w:r>
        <w:rPr>
          <w:color w:val="auto"/>
        </w:rPr>
        <w:t>，从业人员人，营业收入为万元，资产总额为万元，属于</w:t>
      </w:r>
      <w:r>
        <w:rPr>
          <w:i/>
          <w:color w:val="auto"/>
          <w:u w:val="single"/>
        </w:rPr>
        <w:t>（中型企业、小型企业、微型企业）</w:t>
      </w:r>
      <w:r>
        <w:rPr>
          <w:color w:val="auto"/>
        </w:rPr>
        <w:t>；</w:t>
      </w:r>
    </w:p>
    <w:p>
      <w:pPr>
        <w:spacing w:line="360" w:lineRule="auto"/>
        <w:ind w:firstLine="707" w:firstLineChars="337"/>
        <w:jc w:val="left"/>
        <w:rPr>
          <w:color w:val="auto"/>
        </w:rPr>
      </w:pPr>
      <w:r>
        <w:rPr>
          <w:color w:val="auto"/>
        </w:rPr>
        <w:t xml:space="preserve">…… </w:t>
      </w:r>
    </w:p>
    <w:p>
      <w:pPr>
        <w:spacing w:line="360" w:lineRule="auto"/>
        <w:ind w:firstLine="707" w:firstLineChars="337"/>
        <w:jc w:val="left"/>
        <w:rPr>
          <w:color w:val="auto"/>
        </w:rPr>
      </w:pPr>
      <w:r>
        <w:rPr>
          <w:color w:val="auto"/>
        </w:rPr>
        <w:t>以上企业，不属于大企业的分支机构，不存在控股股东为大企业的情形，也不存在与大企业的负责人为同一人的情形。</w:t>
      </w:r>
    </w:p>
    <w:p>
      <w:pPr>
        <w:spacing w:line="360" w:lineRule="auto"/>
        <w:ind w:firstLine="707" w:firstLineChars="337"/>
        <w:jc w:val="left"/>
        <w:rPr>
          <w:color w:val="auto"/>
        </w:rPr>
      </w:pPr>
      <w:r>
        <w:rPr>
          <w:color w:val="auto"/>
        </w:rPr>
        <w:t>本企业对上述声明内容的真实性负责。如有虚假，将依法承担相应责任。</w:t>
      </w:r>
    </w:p>
    <w:p>
      <w:pPr>
        <w:spacing w:line="360" w:lineRule="auto"/>
        <w:ind w:firstLine="707" w:firstLineChars="337"/>
        <w:jc w:val="left"/>
        <w:rPr>
          <w:color w:val="auto"/>
        </w:rPr>
      </w:pPr>
    </w:p>
    <w:p>
      <w:pPr>
        <w:spacing w:line="360" w:lineRule="auto"/>
        <w:ind w:firstLine="707" w:firstLineChars="337"/>
        <w:jc w:val="left"/>
        <w:rPr>
          <w:color w:val="auto"/>
        </w:rPr>
      </w:pPr>
    </w:p>
    <w:p>
      <w:pPr>
        <w:spacing w:line="480" w:lineRule="auto"/>
        <w:ind w:firstLine="5957" w:firstLineChars="2837"/>
        <w:jc w:val="left"/>
        <w:rPr>
          <w:color w:val="auto"/>
        </w:rPr>
      </w:pPr>
      <w:r>
        <w:rPr>
          <w:color w:val="auto"/>
        </w:rPr>
        <w:t>企业名称（盖章）：</w:t>
      </w:r>
    </w:p>
    <w:p>
      <w:pPr>
        <w:spacing w:line="480" w:lineRule="auto"/>
        <w:ind w:firstLine="5957" w:firstLineChars="2837"/>
        <w:jc w:val="left"/>
        <w:rPr>
          <w:rFonts w:cs="Arial" w:asciiTheme="minorEastAsia" w:hAnsiTheme="minorEastAsia"/>
          <w:color w:val="auto"/>
          <w:szCs w:val="21"/>
        </w:rPr>
      </w:pPr>
      <w:r>
        <w:rPr>
          <w:color w:val="auto"/>
        </w:rPr>
        <w:t>日期：</w:t>
      </w:r>
    </w:p>
    <w:p>
      <w:pPr>
        <w:spacing w:line="480" w:lineRule="auto"/>
        <w:ind w:left="4358" w:leftChars="2075"/>
        <w:rPr>
          <w:rFonts w:cs="Arial" w:asciiTheme="minorEastAsia" w:hAnsiTheme="minorEastAsia"/>
          <w:color w:val="auto"/>
          <w:szCs w:val="21"/>
        </w:rPr>
      </w:pPr>
    </w:p>
    <w:p>
      <w:pPr>
        <w:widowControl/>
        <w:spacing w:before="100" w:beforeAutospacing="1" w:after="100" w:afterAutospacing="1" w:line="360" w:lineRule="auto"/>
        <w:contextualSpacing/>
        <w:jc w:val="left"/>
        <w:rPr>
          <w:rFonts w:ascii="宋体" w:hAnsi="宋体"/>
          <w:color w:val="auto"/>
          <w:szCs w:val="21"/>
        </w:rPr>
      </w:pPr>
      <w:r>
        <w:rPr>
          <w:rFonts w:hint="eastAsia" w:ascii="宋体" w:hAnsi="宋体"/>
          <w:color w:val="auto"/>
          <w:szCs w:val="21"/>
        </w:rPr>
        <w:t>说明：</w:t>
      </w:r>
    </w:p>
    <w:p>
      <w:pPr>
        <w:widowControl/>
        <w:spacing w:before="100" w:beforeAutospacing="1" w:after="100" w:afterAutospacing="1" w:line="360" w:lineRule="auto"/>
        <w:contextualSpacing/>
        <w:jc w:val="left"/>
        <w:rPr>
          <w:rFonts w:ascii="宋体" w:hAnsi="宋体" w:cs="Arial"/>
          <w:color w:val="auto"/>
          <w:kern w:val="0"/>
          <w:szCs w:val="21"/>
        </w:rPr>
      </w:pPr>
      <w:r>
        <w:rPr>
          <w:rFonts w:hint="eastAsia" w:ascii="宋体" w:hAnsi="宋体" w:cs="Arial"/>
          <w:color w:val="auto"/>
          <w:kern w:val="0"/>
          <w:szCs w:val="21"/>
        </w:rPr>
        <w:t>1、</w:t>
      </w:r>
      <w:r>
        <w:rPr>
          <w:color w:val="auto"/>
        </w:rPr>
        <w:t>从业人员、营业收入、资产总额填报上一年度数据，无上一年度数据的新成立企业可不填报。</w:t>
      </w:r>
    </w:p>
    <w:p>
      <w:pPr>
        <w:widowControl/>
        <w:spacing w:before="100" w:beforeAutospacing="1" w:after="100" w:afterAutospacing="1" w:line="360" w:lineRule="auto"/>
        <w:contextualSpacing/>
        <w:jc w:val="left"/>
        <w:rPr>
          <w:rFonts w:ascii="宋体" w:hAnsi="宋体" w:cs="Arial"/>
          <w:color w:val="auto"/>
          <w:kern w:val="0"/>
          <w:szCs w:val="21"/>
        </w:rPr>
      </w:pPr>
      <w:r>
        <w:rPr>
          <w:rFonts w:hint="eastAsia" w:ascii="宋体" w:hAnsi="宋体" w:cs="Arial"/>
          <w:color w:val="auto"/>
          <w:kern w:val="0"/>
          <w:szCs w:val="21"/>
        </w:rPr>
        <w:t>2、</w:t>
      </w:r>
      <w:r>
        <w:rPr>
          <w:rFonts w:ascii="宋体" w:hAnsi="宋体" w:cs="Arial"/>
          <w:color w:val="auto"/>
          <w:kern w:val="0"/>
          <w:szCs w:val="21"/>
        </w:rPr>
        <w:t>中小企业参加政府采购活动，应当出具</w:t>
      </w:r>
      <w:r>
        <w:rPr>
          <w:color w:val="auto"/>
        </w:rPr>
        <w:t>《中小企业声明函》，否则不得享受相关中小企业扶持政</w:t>
      </w:r>
      <w:r>
        <w:rPr>
          <w:rFonts w:ascii="宋体" w:hAnsi="宋体" w:cs="Arial"/>
          <w:color w:val="auto"/>
          <w:kern w:val="0"/>
          <w:szCs w:val="21"/>
        </w:rPr>
        <w:t>策。</w:t>
      </w:r>
    </w:p>
    <w:p>
      <w:pPr>
        <w:widowControl/>
        <w:spacing w:before="100" w:beforeAutospacing="1" w:after="100" w:afterAutospacing="1" w:line="360" w:lineRule="auto"/>
        <w:contextualSpacing/>
        <w:jc w:val="left"/>
        <w:rPr>
          <w:rFonts w:ascii="宋体" w:hAnsi="宋体" w:cs="Arial"/>
          <w:color w:val="auto"/>
          <w:kern w:val="0"/>
          <w:szCs w:val="21"/>
        </w:rPr>
      </w:pPr>
      <w:r>
        <w:rPr>
          <w:rFonts w:hint="eastAsia" w:ascii="宋体" w:hAnsi="宋体" w:cs="Arial"/>
          <w:color w:val="auto"/>
          <w:kern w:val="0"/>
          <w:szCs w:val="21"/>
        </w:rPr>
        <w:t>3、货物类《中小企业声明函》中</w:t>
      </w:r>
      <w:r>
        <w:rPr>
          <w:rFonts w:hint="eastAsia" w:ascii="宋体" w:hAnsi="宋体" w:cs="Arial"/>
          <w:color w:val="auto"/>
          <w:kern w:val="0"/>
          <w:szCs w:val="21"/>
          <w:u w:val="single"/>
        </w:rPr>
        <w:t>标的名称</w:t>
      </w:r>
      <w:r>
        <w:rPr>
          <w:rFonts w:hint="eastAsia" w:ascii="宋体" w:hAnsi="宋体" w:cs="Arial"/>
          <w:color w:val="auto"/>
          <w:kern w:val="0"/>
          <w:szCs w:val="21"/>
        </w:rPr>
        <w:t>须按照本项目采购清单中货物（标的）名称，逐项进行声明。在</w:t>
      </w:r>
      <w:r>
        <w:rPr>
          <w:rFonts w:hint="eastAsia" w:ascii="宋体" w:hAnsi="宋体" w:cs="Arial"/>
          <w:color w:val="auto"/>
          <w:kern w:val="0"/>
          <w:szCs w:val="21"/>
          <w:u w:val="single"/>
        </w:rPr>
        <w:t>标的名称</w:t>
      </w:r>
      <w:r>
        <w:rPr>
          <w:rFonts w:hint="eastAsia" w:ascii="宋体" w:hAnsi="宋体" w:cs="Arial"/>
          <w:color w:val="auto"/>
          <w:kern w:val="0"/>
          <w:szCs w:val="21"/>
        </w:rPr>
        <w:t>处填写项目名称或标的填写不全的，视为《中小企业声明函》无效。</w:t>
      </w:r>
    </w:p>
    <w:p>
      <w:pPr>
        <w:widowControl/>
        <w:jc w:val="left"/>
        <w:rPr>
          <w:rFonts w:ascii="宋体" w:hAnsi="宋体"/>
          <w:b/>
          <w:bCs/>
          <w:color w:val="auto"/>
          <w:sz w:val="24"/>
          <w:szCs w:val="24"/>
        </w:rPr>
      </w:pPr>
      <w:bookmarkStart w:id="9" w:name="OLE_LINK13"/>
      <w:bookmarkStart w:id="10" w:name="OLE_LINK14"/>
      <w:r>
        <w:rPr>
          <w:rFonts w:ascii="宋体" w:hAnsi="宋体"/>
          <w:b/>
          <w:bCs/>
          <w:color w:val="auto"/>
          <w:sz w:val="24"/>
          <w:szCs w:val="24"/>
        </w:rPr>
        <w:br w:type="page"/>
      </w: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4.10 残疾人福利性单位声明函</w:t>
      </w:r>
    </w:p>
    <w:bookmarkEnd w:id="9"/>
    <w:bookmarkEnd w:id="10"/>
    <w:p>
      <w:pPr>
        <w:spacing w:line="360" w:lineRule="auto"/>
        <w:rPr>
          <w:rFonts w:ascii="宋体" w:hAnsi="宋体"/>
          <w:color w:val="auto"/>
          <w:szCs w:val="21"/>
        </w:rPr>
      </w:pPr>
    </w:p>
    <w:p>
      <w:pPr>
        <w:spacing w:line="360" w:lineRule="auto"/>
        <w:ind w:firstLine="420" w:firstLineChars="200"/>
        <w:rPr>
          <w:rFonts w:ascii="宋体" w:hAnsi="宋体"/>
          <w:color w:val="auto"/>
          <w:szCs w:val="21"/>
        </w:rPr>
      </w:pPr>
      <w:r>
        <w:rPr>
          <w:rFonts w:hint="eastAsia" w:ascii="宋体" w:hAnsi="宋体"/>
          <w:color w:val="auto"/>
          <w:szCs w:val="21"/>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pPr>
        <w:spacing w:line="360" w:lineRule="auto"/>
        <w:ind w:firstLine="420" w:firstLineChars="200"/>
        <w:rPr>
          <w:rFonts w:ascii="宋体" w:hAnsi="宋体"/>
          <w:color w:val="auto"/>
          <w:szCs w:val="21"/>
        </w:rPr>
      </w:pPr>
      <w:r>
        <w:rPr>
          <w:rFonts w:hint="eastAsia" w:ascii="宋体" w:hAnsi="宋体"/>
          <w:color w:val="auto"/>
          <w:szCs w:val="21"/>
        </w:rPr>
        <w:t>本单位对上述声明的真实性负责。如有虚假，将依法承担相应责任。</w:t>
      </w:r>
    </w:p>
    <w:p>
      <w:pPr>
        <w:spacing w:line="360" w:lineRule="auto"/>
        <w:rPr>
          <w:rFonts w:ascii="宋体" w:hAnsi="宋体"/>
          <w:color w:val="auto"/>
          <w:szCs w:val="21"/>
        </w:rPr>
      </w:pPr>
    </w:p>
    <w:p>
      <w:pPr>
        <w:spacing w:line="360" w:lineRule="auto"/>
        <w:rPr>
          <w:rFonts w:ascii="宋体" w:hAnsi="宋体"/>
          <w:color w:val="auto"/>
          <w:szCs w:val="21"/>
        </w:rPr>
      </w:pPr>
    </w:p>
    <w:p>
      <w:pPr>
        <w:spacing w:line="360" w:lineRule="auto"/>
        <w:rPr>
          <w:rFonts w:ascii="宋体" w:hAnsi="宋体"/>
          <w:color w:val="auto"/>
          <w:szCs w:val="21"/>
        </w:rPr>
      </w:pPr>
    </w:p>
    <w:p>
      <w:pPr>
        <w:adjustRightInd w:val="0"/>
        <w:snapToGrid w:val="0"/>
        <w:spacing w:line="360" w:lineRule="auto"/>
        <w:ind w:firstLine="4410" w:firstLineChars="2100"/>
        <w:rPr>
          <w:rFonts w:cs="宋体" w:asciiTheme="minorEastAsia" w:hAnsiTheme="minorEastAsia"/>
          <w:color w:val="auto"/>
          <w:szCs w:val="21"/>
        </w:rPr>
      </w:pPr>
      <w:r>
        <w:rPr>
          <w:rFonts w:hint="eastAsia" w:ascii="宋体" w:hAnsi="宋体"/>
          <w:color w:val="auto"/>
          <w:szCs w:val="21"/>
        </w:rPr>
        <w:t>单位名称（盖章）</w:t>
      </w:r>
      <w:r>
        <w:rPr>
          <w:rFonts w:hint="eastAsia" w:cs="宋体" w:asciiTheme="minorEastAsia" w:hAnsiTheme="minorEastAsia"/>
          <w:color w:val="auto"/>
          <w:szCs w:val="21"/>
        </w:rPr>
        <w:t>：</w:t>
      </w:r>
    </w:p>
    <w:p>
      <w:pPr>
        <w:spacing w:line="480" w:lineRule="auto"/>
        <w:ind w:left="4358" w:leftChars="2025" w:hanging="105" w:hangingChars="50"/>
        <w:rPr>
          <w:rFonts w:cs="Arial" w:asciiTheme="minorEastAsia" w:hAnsiTheme="minorEastAsia"/>
          <w:color w:val="auto"/>
          <w:szCs w:val="21"/>
        </w:rPr>
      </w:pPr>
      <w:r>
        <w:rPr>
          <w:rFonts w:hint="eastAsia" w:cs="Arial" w:asciiTheme="minorEastAsia" w:hAnsiTheme="minorEastAsia"/>
          <w:color w:val="auto"/>
          <w:szCs w:val="21"/>
        </w:rPr>
        <w:t xml:space="preserve"> 日期：      年    月    日</w:t>
      </w:r>
    </w:p>
    <w:p>
      <w:pPr>
        <w:spacing w:line="480" w:lineRule="auto"/>
        <w:ind w:left="4358" w:leftChars="2075"/>
        <w:rPr>
          <w:rFonts w:cs="Arial" w:asciiTheme="minorEastAsia" w:hAnsiTheme="minorEastAsia"/>
          <w:color w:val="auto"/>
          <w:szCs w:val="21"/>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autoSpaceDE w:val="0"/>
        <w:autoSpaceDN w:val="0"/>
        <w:adjustRightInd w:val="0"/>
        <w:spacing w:line="360" w:lineRule="auto"/>
        <w:jc w:val="center"/>
        <w:rPr>
          <w:rFonts w:cs="黑体" w:asciiTheme="minorEastAsia" w:hAnsiTheme="minorEastAsia"/>
          <w:b/>
          <w:bCs/>
          <w:color w:val="auto"/>
          <w:sz w:val="15"/>
          <w:szCs w:val="15"/>
          <w:lang w:val="zh-CN"/>
        </w:rPr>
      </w:pPr>
    </w:p>
    <w:p>
      <w:pPr>
        <w:autoSpaceDE w:val="0"/>
        <w:autoSpaceDN w:val="0"/>
        <w:adjustRightInd w:val="0"/>
        <w:spacing w:line="360" w:lineRule="auto"/>
        <w:jc w:val="center"/>
        <w:rPr>
          <w:rFonts w:cs="黑体" w:asciiTheme="minorEastAsia" w:hAnsiTheme="minorEastAsia"/>
          <w:b/>
          <w:bCs/>
          <w:color w:val="auto"/>
          <w:sz w:val="15"/>
          <w:szCs w:val="15"/>
          <w:lang w:val="zh-CN"/>
        </w:rPr>
      </w:pPr>
    </w:p>
    <w:p>
      <w:pPr>
        <w:autoSpaceDE w:val="0"/>
        <w:autoSpaceDN w:val="0"/>
        <w:adjustRightInd w:val="0"/>
        <w:spacing w:line="360" w:lineRule="auto"/>
        <w:jc w:val="center"/>
        <w:rPr>
          <w:rFonts w:cs="黑体" w:asciiTheme="minorEastAsia" w:hAnsiTheme="minorEastAsia"/>
          <w:b/>
          <w:bCs/>
          <w:color w:val="auto"/>
          <w:sz w:val="28"/>
          <w:szCs w:val="28"/>
          <w:lang w:val="zh-CN"/>
        </w:rPr>
      </w:pPr>
      <w:r>
        <w:rPr>
          <w:rFonts w:hint="eastAsia" w:cs="黑体" w:asciiTheme="minorEastAsia" w:hAnsiTheme="minorEastAsia"/>
          <w:b/>
          <w:bCs/>
          <w:color w:val="auto"/>
          <w:sz w:val="28"/>
          <w:szCs w:val="28"/>
          <w:lang w:val="zh-CN"/>
        </w:rPr>
        <w:t>五、</w:t>
      </w:r>
      <w:r>
        <w:rPr>
          <w:rFonts w:cs="黑体" w:asciiTheme="minorEastAsia" w:hAnsiTheme="minorEastAsia"/>
          <w:b/>
          <w:bCs/>
          <w:color w:val="auto"/>
          <w:sz w:val="28"/>
          <w:szCs w:val="28"/>
          <w:lang w:val="zh-CN"/>
        </w:rPr>
        <w:t>其他资料（若有）</w:t>
      </w:r>
    </w:p>
    <w:p>
      <w:pPr>
        <w:rPr>
          <w:color w:val="auto"/>
        </w:rPr>
      </w:pPr>
    </w:p>
    <w:p>
      <w:pPr>
        <w:rPr>
          <w:color w:val="auto"/>
        </w:rPr>
      </w:pPr>
    </w:p>
    <w:p>
      <w:pPr>
        <w:rPr>
          <w:color w:val="auto"/>
        </w:rPr>
      </w:pPr>
    </w:p>
    <w:p>
      <w:pPr>
        <w:spacing w:line="360" w:lineRule="auto"/>
        <w:jc w:val="center"/>
        <w:rPr>
          <w:rFonts w:ascii="宋体" w:hAnsi="宋体"/>
          <w:b/>
          <w:bCs/>
          <w:color w:val="auto"/>
          <w:sz w:val="28"/>
          <w:szCs w:val="28"/>
        </w:rPr>
      </w:pPr>
      <w:r>
        <w:rPr>
          <w:rFonts w:ascii="宋体" w:hAnsi="宋体"/>
          <w:b/>
          <w:bCs/>
          <w:color w:val="auto"/>
          <w:sz w:val="28"/>
          <w:szCs w:val="28"/>
        </w:rPr>
        <w:t>除招标文件另有规定外，投标人认为需要提交的其他证明材料或资料加盖投标人单位公章后应在此项下提交。</w:t>
      </w:r>
    </w:p>
    <w:p>
      <w:pPr>
        <w:spacing w:line="360" w:lineRule="auto"/>
        <w:jc w:val="center"/>
        <w:rPr>
          <w:rFonts w:ascii="宋体" w:hAnsi="宋体"/>
          <w:b/>
          <w:bCs/>
          <w:color w:val="auto"/>
          <w:sz w:val="28"/>
          <w:szCs w:val="28"/>
        </w:rPr>
      </w:pPr>
      <w:r>
        <w:rPr>
          <w:rFonts w:ascii="宋体" w:hAnsi="宋体"/>
          <w:b/>
          <w:bCs/>
          <w:color w:val="auto"/>
          <w:sz w:val="28"/>
          <w:szCs w:val="28"/>
        </w:rPr>
        <w:t> </w:t>
      </w: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sectPr>
      <w:footerReference r:id="rId3" w:type="default"/>
      <w:pgSz w:w="11906" w:h="16838"/>
      <w:pgMar w:top="2098" w:right="1474" w:bottom="1928"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0" w:usb3="00000000" w:csb0="00000001" w:csb1="00000000"/>
  </w:font>
  <w:font w:name="MS Mincho">
    <w:altName w:val="Yu Gothic UI"/>
    <w:panose1 w:val="02020609040205080304"/>
    <w:charset w:val="80"/>
    <w:family w:val="modern"/>
    <w:pitch w:val="default"/>
    <w:sig w:usb0="00000000" w:usb1="00000000" w:usb2="00000012" w:usb3="00000000" w:csb0="0002009F" w:csb1="00000000"/>
  </w:font>
  <w:font w:name="Yu Gothic UI">
    <w:panose1 w:val="020B0500000000000000"/>
    <w:charset w:val="80"/>
    <w:family w:val="auto"/>
    <w:pitch w:val="default"/>
    <w:sig w:usb0="E00002FF" w:usb1="2AC7FDFF" w:usb2="00000016" w:usb3="00000000" w:csb0="2002009F" w:csb1="00000000"/>
  </w:font>
  <w:font w:name="微软雅黑">
    <w:panose1 w:val="020B0503020204020204"/>
    <w:charset w:val="86"/>
    <w:family w:val="swiss"/>
    <w:pitch w:val="default"/>
    <w:sig w:usb0="80000287" w:usb1="2ACF3C50" w:usb2="00000016" w:usb3="00000000" w:csb0="0004001F" w:csb1="00000000"/>
  </w:font>
  <w:font w:name="TimesNewRomanPSMT">
    <w:altName w:val="Times New Roman"/>
    <w:panose1 w:val="00000000000000000000"/>
    <w:charset w:val="00"/>
    <w:family w:val="roman"/>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40001" w:csb1="00000000"/>
  </w:font>
  <w:font w:name="新宋体">
    <w:panose1 w:val="02010609030101010101"/>
    <w:charset w:val="86"/>
    <w:family w:val="modern"/>
    <w:pitch w:val="default"/>
    <w:sig w:usb0="00000283" w:usb1="288F0000" w:usb2="00000006" w:usb3="00000000" w:csb0="00040001" w:csb1="00000000"/>
  </w:font>
  <w:font w:name="Wingdings 2">
    <w:panose1 w:val="05020102010507070707"/>
    <w:charset w:val="00"/>
    <w:family w:val="auto"/>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pict>
        <v:shape id="_x0000_s4097" o:spid="_x0000_s4097" o:spt="202" type="#_x0000_t202" style="position:absolute;left:0pt;margin-top:0pt;height:11pt;width:9.15pt;mso-position-horizontal:center;mso-position-horizontal-relative:margin;mso-wrap-style:none;z-index:251659264;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KI2nRUHAgAAAgQAAA4AAABkcnMvZTJvRG9jLnhtbK1TzY7TMBC+I/EO&#10;lu80aRELRE1Xy1ZFSMuPtPAAruM0FrHHGrtNygPAG3Diwp3n6nMwdpKyLJc9cLHG9vib7/tmvLzs&#10;TcsOCr0GW/L5LOdMWQmVtruSf/q4efKCMx+ErUQLVpX8qDy/XD1+tOxcoRbQQFspZARifdG5kjch&#10;uCLLvGyUEX4GTlm6rAGNCLTFXVah6AjdtNkizy+yDrByCFJ5T6fr4ZKPiPgQQKhrLdUa5N4oGwZU&#10;VK0IJMk32nm+SmzrWsnwvq69CqwtOSkNaaUiFG/jmq2WotihcI2WIwXxEAr3NBmhLRU9Q61FEGyP&#10;+h8ooyWChzrMJJhsEJIcIRXz/J43t41wKmkhq707m+7/H6x8d/iATFc0CZxZYajhp+/fTj9+nX5+&#10;ZfNoT+d8QVm3jvJC/wr6mBqlencD8rNnFq4bYXfqChG6RomK6KWX2Z2nA46PINvuLVRUR+wDJKC+&#10;RhMByQ1G6NSa47k1qg9MxpLzi0X+jDNJV/OnL5/nqXWZKKbHDn14rcCwGJQcqfMJXBxufCAZlDql&#10;xFoWNrptU/db+9cBJcaTRD7yHZiHftuPZmyhOpIMhGGY6CtR0AB+4ayjQSq5pX/DWfvGkhFx5qYA&#10;p2A7BcJKeljywNkQXodhNvcO9a4h3MnqKzJro5OQ6OrAYWRJo5H0jWMcZ+/uPmX9+bqr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AYulhTQAAAAAwEAAA8AAAAAAAAAAQAgAAAAIgAAAGRycy9kb3du&#10;cmV2LnhtbFBLAQIUABQAAAAIAIdO4kCiNp0VBwIAAAIEAAAOAAAAAAAAAAEAIAAAAB8BAABkcnMv&#10;ZTJvRG9jLnhtbFBLBQYAAAAABgAGAFkBAACYBQAAAAA=&#10;">
          <v:path/>
          <v:fill on="f" focussize="0,0"/>
          <v:stroke on="f" joinstyle="miter"/>
          <v:imagedata o:title=""/>
          <o:lock v:ext="edit"/>
          <v:textbox inset="0mm,0mm,0mm,0mm" style="mso-fit-shape-to-text:t;">
            <w:txbxContent>
              <w:p>
                <w:pPr>
                  <w:pStyle w:val="16"/>
                </w:pPr>
                <w:r>
                  <w:fldChar w:fldCharType="begin"/>
                </w:r>
                <w:r>
                  <w:instrText xml:space="preserve"> PAGE  \* MERGEFORMAT </w:instrText>
                </w:r>
                <w:r>
                  <w:fldChar w:fldCharType="separate"/>
                </w:r>
                <w:r>
                  <w:t>15</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ACD124"/>
    <w:multiLevelType w:val="singleLevel"/>
    <w:tmpl w:val="9AACD124"/>
    <w:lvl w:ilvl="0" w:tentative="0">
      <w:start w:val="1"/>
      <w:numFmt w:val="decimal"/>
      <w:lvlText w:val="%1."/>
      <w:lvlJc w:val="left"/>
      <w:pPr>
        <w:tabs>
          <w:tab w:val="left" w:pos="312"/>
        </w:tabs>
      </w:pPr>
    </w:lvl>
  </w:abstractNum>
  <w:abstractNum w:abstractNumId="1">
    <w:nsid w:val="B2FE441A"/>
    <w:multiLevelType w:val="singleLevel"/>
    <w:tmpl w:val="B2FE441A"/>
    <w:lvl w:ilvl="0" w:tentative="0">
      <w:start w:val="1"/>
      <w:numFmt w:val="decimal"/>
      <w:lvlText w:val="%1."/>
      <w:lvlJc w:val="left"/>
      <w:pPr>
        <w:tabs>
          <w:tab w:val="left" w:pos="312"/>
        </w:tabs>
      </w:pPr>
    </w:lvl>
  </w:abstractNum>
  <w:abstractNum w:abstractNumId="2">
    <w:nsid w:val="00000006"/>
    <w:multiLevelType w:val="multilevel"/>
    <w:tmpl w:val="00000006"/>
    <w:lvl w:ilvl="0" w:tentative="0">
      <w:start w:val="1"/>
      <w:numFmt w:val="chineseCountingThousand"/>
      <w:pStyle w:val="2"/>
      <w:suff w:val="nothing"/>
      <w:lvlText w:val="第%1部分"/>
      <w:lvlJc w:val="center"/>
      <w:pPr>
        <w:ind w:left="-288" w:firstLine="288"/>
      </w:pPr>
      <w:rPr>
        <w:rFonts w:hint="eastAsia"/>
        <w:sz w:val="28"/>
        <w:szCs w:val="28"/>
      </w:rPr>
    </w:lvl>
    <w:lvl w:ilvl="1" w:tentative="0">
      <w:start w:val="1"/>
      <w:numFmt w:val="chineseCountingThousand"/>
      <w:pStyle w:val="3"/>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5"/>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3">
    <w:nsid w:val="00000014"/>
    <w:multiLevelType w:val="multilevel"/>
    <w:tmpl w:val="00000014"/>
    <w:lvl w:ilvl="0" w:tentative="0">
      <w:start w:val="1"/>
      <w:numFmt w:val="decimal"/>
      <w:pStyle w:val="5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02B45501"/>
    <w:multiLevelType w:val="multilevel"/>
    <w:tmpl w:val="02B45501"/>
    <w:lvl w:ilvl="0" w:tentative="0">
      <w:start w:val="35"/>
      <w:numFmt w:val="decimal"/>
      <w:lvlText w:val="%1.2"/>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60E678B"/>
    <w:multiLevelType w:val="multilevel"/>
    <w:tmpl w:val="060E678B"/>
    <w:lvl w:ilvl="0" w:tentative="0">
      <w:start w:val="32"/>
      <w:numFmt w:val="decimal"/>
      <w:lvlText w:val="%1.2.2"/>
      <w:lvlJc w:val="left"/>
      <w:pPr>
        <w:ind w:left="420" w:hanging="420"/>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6">
    <w:nsid w:val="0863000A"/>
    <w:multiLevelType w:val="multilevel"/>
    <w:tmpl w:val="0863000A"/>
    <w:lvl w:ilvl="0" w:tentative="0">
      <w:start w:val="1"/>
      <w:numFmt w:val="decimal"/>
      <w:lvlText w:val="34. %1 "/>
      <w:lvlJc w:val="left"/>
      <w:pPr>
        <w:ind w:left="1384" w:hanging="42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7">
    <w:nsid w:val="08734582"/>
    <w:multiLevelType w:val="multilevel"/>
    <w:tmpl w:val="08734582"/>
    <w:lvl w:ilvl="0" w:tentative="0">
      <w:start w:val="29"/>
      <w:numFmt w:val="decimal"/>
      <w:lvlText w:val="%1.3.5"/>
      <w:lvlJc w:val="left"/>
      <w:pPr>
        <w:ind w:left="1384" w:hanging="420"/>
      </w:pPr>
      <w:rPr>
        <w:rFonts w:hint="eastAsia"/>
      </w:rPr>
    </w:lvl>
    <w:lvl w:ilvl="1" w:tentative="0">
      <w:start w:val="1"/>
      <w:numFmt w:val="lowerLetter"/>
      <w:lvlText w:val="%2)"/>
      <w:lvlJc w:val="left"/>
      <w:pPr>
        <w:ind w:left="1804" w:hanging="420"/>
      </w:pPr>
      <w:rPr>
        <w:rFonts w:hint="eastAsia"/>
      </w:rPr>
    </w:lvl>
    <w:lvl w:ilvl="2" w:tentative="0">
      <w:start w:val="1"/>
      <w:numFmt w:val="lowerRoman"/>
      <w:lvlText w:val="%3."/>
      <w:lvlJc w:val="right"/>
      <w:pPr>
        <w:ind w:left="2224" w:hanging="420"/>
      </w:pPr>
      <w:rPr>
        <w:rFonts w:hint="eastAsia"/>
      </w:rPr>
    </w:lvl>
    <w:lvl w:ilvl="3" w:tentative="0">
      <w:start w:val="1"/>
      <w:numFmt w:val="decimal"/>
      <w:lvlText w:val="%4."/>
      <w:lvlJc w:val="left"/>
      <w:pPr>
        <w:ind w:left="2644" w:hanging="420"/>
      </w:pPr>
      <w:rPr>
        <w:rFonts w:hint="eastAsia"/>
      </w:rPr>
    </w:lvl>
    <w:lvl w:ilvl="4" w:tentative="0">
      <w:start w:val="1"/>
      <w:numFmt w:val="lowerLetter"/>
      <w:lvlText w:val="%5)"/>
      <w:lvlJc w:val="left"/>
      <w:pPr>
        <w:ind w:left="3064" w:hanging="420"/>
      </w:pPr>
      <w:rPr>
        <w:rFonts w:hint="eastAsia"/>
      </w:rPr>
    </w:lvl>
    <w:lvl w:ilvl="5" w:tentative="0">
      <w:start w:val="1"/>
      <w:numFmt w:val="lowerRoman"/>
      <w:lvlText w:val="%6."/>
      <w:lvlJc w:val="right"/>
      <w:pPr>
        <w:ind w:left="3484" w:hanging="420"/>
      </w:pPr>
      <w:rPr>
        <w:rFonts w:hint="eastAsia"/>
      </w:rPr>
    </w:lvl>
    <w:lvl w:ilvl="6" w:tentative="0">
      <w:start w:val="1"/>
      <w:numFmt w:val="decimal"/>
      <w:lvlText w:val="%7."/>
      <w:lvlJc w:val="left"/>
      <w:pPr>
        <w:ind w:left="3904" w:hanging="420"/>
      </w:pPr>
      <w:rPr>
        <w:rFonts w:hint="eastAsia"/>
      </w:rPr>
    </w:lvl>
    <w:lvl w:ilvl="7" w:tentative="0">
      <w:start w:val="1"/>
      <w:numFmt w:val="lowerLetter"/>
      <w:lvlText w:val="%8)"/>
      <w:lvlJc w:val="left"/>
      <w:pPr>
        <w:ind w:left="4324" w:hanging="420"/>
      </w:pPr>
      <w:rPr>
        <w:rFonts w:hint="eastAsia"/>
      </w:rPr>
    </w:lvl>
    <w:lvl w:ilvl="8" w:tentative="0">
      <w:start w:val="1"/>
      <w:numFmt w:val="lowerRoman"/>
      <w:lvlText w:val="%9."/>
      <w:lvlJc w:val="right"/>
      <w:pPr>
        <w:ind w:left="4744" w:hanging="420"/>
      </w:pPr>
      <w:rPr>
        <w:rFonts w:hint="eastAsia"/>
      </w:rPr>
    </w:lvl>
  </w:abstractNum>
  <w:abstractNum w:abstractNumId="8">
    <w:nsid w:val="090A7167"/>
    <w:multiLevelType w:val="multilevel"/>
    <w:tmpl w:val="090A7167"/>
    <w:lvl w:ilvl="0" w:tentative="0">
      <w:start w:val="32"/>
      <w:numFmt w:val="decimal"/>
      <w:lvlText w:val="%1.2.3"/>
      <w:lvlJc w:val="left"/>
      <w:pPr>
        <w:ind w:left="420" w:hanging="420"/>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9">
    <w:nsid w:val="09AC3193"/>
    <w:multiLevelType w:val="multilevel"/>
    <w:tmpl w:val="09AC3193"/>
    <w:lvl w:ilvl="0" w:tentative="0">
      <w:start w:val="1"/>
      <w:numFmt w:val="decimal"/>
      <w:lvlText w:val="25.2.%1"/>
      <w:lvlJc w:val="left"/>
      <w:pPr>
        <w:ind w:left="1413" w:hanging="420"/>
      </w:pPr>
      <w:rPr>
        <w:rFonts w:hint="eastAsia"/>
      </w:rPr>
    </w:lvl>
    <w:lvl w:ilvl="1" w:tentative="0">
      <w:start w:val="1"/>
      <w:numFmt w:val="lowerLetter"/>
      <w:lvlText w:val="%2)"/>
      <w:lvlJc w:val="left"/>
      <w:pPr>
        <w:ind w:left="1833" w:hanging="420"/>
      </w:pPr>
    </w:lvl>
    <w:lvl w:ilvl="2" w:tentative="0">
      <w:start w:val="1"/>
      <w:numFmt w:val="lowerRoman"/>
      <w:lvlText w:val="%3."/>
      <w:lvlJc w:val="right"/>
      <w:pPr>
        <w:ind w:left="2253" w:hanging="420"/>
      </w:pPr>
    </w:lvl>
    <w:lvl w:ilvl="3" w:tentative="0">
      <w:start w:val="1"/>
      <w:numFmt w:val="decimal"/>
      <w:lvlText w:val="%4."/>
      <w:lvlJc w:val="left"/>
      <w:pPr>
        <w:ind w:left="2673" w:hanging="420"/>
      </w:pPr>
    </w:lvl>
    <w:lvl w:ilvl="4" w:tentative="0">
      <w:start w:val="1"/>
      <w:numFmt w:val="lowerLetter"/>
      <w:lvlText w:val="%5)"/>
      <w:lvlJc w:val="left"/>
      <w:pPr>
        <w:ind w:left="3093" w:hanging="420"/>
      </w:pPr>
    </w:lvl>
    <w:lvl w:ilvl="5" w:tentative="0">
      <w:start w:val="1"/>
      <w:numFmt w:val="lowerRoman"/>
      <w:lvlText w:val="%6."/>
      <w:lvlJc w:val="right"/>
      <w:pPr>
        <w:ind w:left="3513" w:hanging="420"/>
      </w:pPr>
    </w:lvl>
    <w:lvl w:ilvl="6" w:tentative="0">
      <w:start w:val="1"/>
      <w:numFmt w:val="decimal"/>
      <w:lvlText w:val="%7."/>
      <w:lvlJc w:val="left"/>
      <w:pPr>
        <w:ind w:left="3933" w:hanging="420"/>
      </w:pPr>
    </w:lvl>
    <w:lvl w:ilvl="7" w:tentative="0">
      <w:start w:val="1"/>
      <w:numFmt w:val="lowerLetter"/>
      <w:lvlText w:val="%8)"/>
      <w:lvlJc w:val="left"/>
      <w:pPr>
        <w:ind w:left="4353" w:hanging="420"/>
      </w:pPr>
    </w:lvl>
    <w:lvl w:ilvl="8" w:tentative="0">
      <w:start w:val="1"/>
      <w:numFmt w:val="lowerRoman"/>
      <w:lvlText w:val="%9."/>
      <w:lvlJc w:val="right"/>
      <w:pPr>
        <w:ind w:left="4773" w:hanging="420"/>
      </w:pPr>
    </w:lvl>
  </w:abstractNum>
  <w:abstractNum w:abstractNumId="10">
    <w:nsid w:val="0B974D79"/>
    <w:multiLevelType w:val="multilevel"/>
    <w:tmpl w:val="0B974D79"/>
    <w:lvl w:ilvl="0" w:tentative="0">
      <w:start w:val="29"/>
      <w:numFmt w:val="decimal"/>
      <w:lvlText w:val="%1.5"/>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0BB54322"/>
    <w:multiLevelType w:val="multilevel"/>
    <w:tmpl w:val="0BB54322"/>
    <w:lvl w:ilvl="0" w:tentative="0">
      <w:start w:val="38"/>
      <w:numFmt w:val="decimal"/>
      <w:lvlText w:val="%1.1"/>
      <w:lvlJc w:val="left"/>
      <w:pPr>
        <w:ind w:left="964" w:hanging="544"/>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2">
    <w:nsid w:val="0BCC3F10"/>
    <w:multiLevelType w:val="multilevel"/>
    <w:tmpl w:val="0BCC3F10"/>
    <w:lvl w:ilvl="0" w:tentative="0">
      <w:start w:val="1"/>
      <w:numFmt w:val="decimal"/>
      <w:lvlText w:val="%1.1"/>
      <w:lvlJc w:val="left"/>
      <w:pPr>
        <w:ind w:left="840" w:hanging="420"/>
      </w:pPr>
      <w:rPr>
        <w:rFonts w:hint="eastAsia"/>
      </w:rPr>
    </w:lvl>
    <w:lvl w:ilvl="1" w:tentative="0">
      <w:start w:val="3"/>
      <w:numFmt w:val="decimal"/>
      <w:lvlText w:val="%2.1 "/>
      <w:lvlJc w:val="left"/>
      <w:pPr>
        <w:ind w:left="1260" w:hanging="420"/>
      </w:pPr>
      <w:rPr>
        <w:rFonts w:hint="eastAsia"/>
      </w:r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3">
    <w:nsid w:val="0DFE7980"/>
    <w:multiLevelType w:val="multilevel"/>
    <w:tmpl w:val="0DFE7980"/>
    <w:lvl w:ilvl="0" w:tentative="0">
      <w:start w:val="23"/>
      <w:numFmt w:val="decimal"/>
      <w:lvlText w:val="%1."/>
      <w:lvlJc w:val="left"/>
      <w:pPr>
        <w:ind w:left="420" w:hanging="420"/>
      </w:pPr>
      <w:rPr>
        <w:rFonts w:hint="eastAsia"/>
      </w:rPr>
    </w:lvl>
    <w:lvl w:ilvl="1" w:tentative="0">
      <w:start w:val="1"/>
      <w:numFmt w:val="decimal"/>
      <w:lvlText w:val="23.3.%2"/>
      <w:lvlJc w:val="left"/>
      <w:pPr>
        <w:ind w:left="964" w:hanging="544"/>
      </w:pPr>
      <w:rPr>
        <w:rFonts w:hint="eastAsia"/>
      </w:rPr>
    </w:lvl>
    <w:lvl w:ilvl="2" w:tentative="0">
      <w:start w:val="1"/>
      <w:numFmt w:val="decimal"/>
      <w:isLgl/>
      <w:lvlText w:val="%1.%2.%3"/>
      <w:lvlJc w:val="left"/>
      <w:pPr>
        <w:ind w:left="1560" w:hanging="720"/>
      </w:pPr>
      <w:rPr>
        <w:rFonts w:hint="default"/>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14">
    <w:nsid w:val="0EAC0559"/>
    <w:multiLevelType w:val="multilevel"/>
    <w:tmpl w:val="0EAC0559"/>
    <w:lvl w:ilvl="0" w:tentative="0">
      <w:start w:val="29"/>
      <w:numFmt w:val="decimal"/>
      <w:lvlText w:val="%1.3.2"/>
      <w:lvlJc w:val="left"/>
      <w:pPr>
        <w:ind w:left="1384" w:hanging="420"/>
      </w:pPr>
      <w:rPr>
        <w:rFonts w:hint="eastAsia"/>
      </w:rPr>
    </w:lvl>
    <w:lvl w:ilvl="1" w:tentative="0">
      <w:start w:val="1"/>
      <w:numFmt w:val="lowerLetter"/>
      <w:lvlText w:val="%2)"/>
      <w:lvlJc w:val="left"/>
      <w:pPr>
        <w:ind w:left="1804" w:hanging="420"/>
      </w:pPr>
      <w:rPr>
        <w:rFonts w:hint="eastAsia"/>
      </w:rPr>
    </w:lvl>
    <w:lvl w:ilvl="2" w:tentative="0">
      <w:start w:val="1"/>
      <w:numFmt w:val="lowerRoman"/>
      <w:lvlText w:val="%3."/>
      <w:lvlJc w:val="right"/>
      <w:pPr>
        <w:ind w:left="2224" w:hanging="420"/>
      </w:pPr>
      <w:rPr>
        <w:rFonts w:hint="eastAsia"/>
      </w:rPr>
    </w:lvl>
    <w:lvl w:ilvl="3" w:tentative="0">
      <w:start w:val="1"/>
      <w:numFmt w:val="decimal"/>
      <w:lvlText w:val="%4."/>
      <w:lvlJc w:val="left"/>
      <w:pPr>
        <w:ind w:left="2644" w:hanging="420"/>
      </w:pPr>
      <w:rPr>
        <w:rFonts w:hint="eastAsia"/>
      </w:rPr>
    </w:lvl>
    <w:lvl w:ilvl="4" w:tentative="0">
      <w:start w:val="1"/>
      <w:numFmt w:val="lowerLetter"/>
      <w:lvlText w:val="%5)"/>
      <w:lvlJc w:val="left"/>
      <w:pPr>
        <w:ind w:left="3064" w:hanging="420"/>
      </w:pPr>
      <w:rPr>
        <w:rFonts w:hint="eastAsia"/>
      </w:rPr>
    </w:lvl>
    <w:lvl w:ilvl="5" w:tentative="0">
      <w:start w:val="1"/>
      <w:numFmt w:val="lowerRoman"/>
      <w:lvlText w:val="%6."/>
      <w:lvlJc w:val="right"/>
      <w:pPr>
        <w:ind w:left="3484" w:hanging="420"/>
      </w:pPr>
      <w:rPr>
        <w:rFonts w:hint="eastAsia"/>
      </w:rPr>
    </w:lvl>
    <w:lvl w:ilvl="6" w:tentative="0">
      <w:start w:val="1"/>
      <w:numFmt w:val="decimal"/>
      <w:lvlText w:val="%7."/>
      <w:lvlJc w:val="left"/>
      <w:pPr>
        <w:ind w:left="3904" w:hanging="420"/>
      </w:pPr>
      <w:rPr>
        <w:rFonts w:hint="eastAsia"/>
      </w:rPr>
    </w:lvl>
    <w:lvl w:ilvl="7" w:tentative="0">
      <w:start w:val="1"/>
      <w:numFmt w:val="lowerLetter"/>
      <w:lvlText w:val="%8)"/>
      <w:lvlJc w:val="left"/>
      <w:pPr>
        <w:ind w:left="4324" w:hanging="420"/>
      </w:pPr>
      <w:rPr>
        <w:rFonts w:hint="eastAsia"/>
      </w:rPr>
    </w:lvl>
    <w:lvl w:ilvl="8" w:tentative="0">
      <w:start w:val="1"/>
      <w:numFmt w:val="lowerRoman"/>
      <w:lvlText w:val="%9."/>
      <w:lvlJc w:val="right"/>
      <w:pPr>
        <w:ind w:left="4744" w:hanging="420"/>
      </w:pPr>
      <w:rPr>
        <w:rFonts w:hint="eastAsia"/>
      </w:rPr>
    </w:lvl>
  </w:abstractNum>
  <w:abstractNum w:abstractNumId="15">
    <w:nsid w:val="0FF31DE1"/>
    <w:multiLevelType w:val="multilevel"/>
    <w:tmpl w:val="0FF31DE1"/>
    <w:lvl w:ilvl="0" w:tentative="0">
      <w:start w:val="32"/>
      <w:numFmt w:val="decimal"/>
      <w:lvlText w:val="%1.3"/>
      <w:lvlJc w:val="left"/>
      <w:pPr>
        <w:ind w:left="964" w:hanging="544"/>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6">
    <w:nsid w:val="10095A2B"/>
    <w:multiLevelType w:val="multilevel"/>
    <w:tmpl w:val="10095A2B"/>
    <w:lvl w:ilvl="0" w:tentative="0">
      <w:start w:val="23"/>
      <w:numFmt w:val="decimal"/>
      <w:lvlText w:val="%1."/>
      <w:lvlJc w:val="left"/>
      <w:pPr>
        <w:ind w:left="420" w:hanging="420"/>
      </w:pPr>
      <w:rPr>
        <w:rFonts w:hint="eastAsia"/>
      </w:rPr>
    </w:lvl>
    <w:lvl w:ilvl="1" w:tentative="0">
      <w:start w:val="1"/>
      <w:numFmt w:val="decimal"/>
      <w:lvlText w:val="23.3.1.%2"/>
      <w:lvlJc w:val="left"/>
      <w:pPr>
        <w:ind w:left="964" w:hanging="544"/>
      </w:pPr>
      <w:rPr>
        <w:rFonts w:hint="eastAsia"/>
      </w:rPr>
    </w:lvl>
    <w:lvl w:ilvl="2" w:tentative="0">
      <w:start w:val="21"/>
      <w:numFmt w:val="decimal"/>
      <w:lvlText w:val="%3.1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17">
    <w:nsid w:val="11477569"/>
    <w:multiLevelType w:val="multilevel"/>
    <w:tmpl w:val="11477569"/>
    <w:lvl w:ilvl="0" w:tentative="0">
      <w:start w:val="29"/>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117742BF"/>
    <w:multiLevelType w:val="multilevel"/>
    <w:tmpl w:val="117742BF"/>
    <w:lvl w:ilvl="0" w:tentative="0">
      <w:start w:val="1"/>
      <w:numFmt w:val="decimal"/>
      <w:lvlText w:val="%1."/>
      <w:lvlJc w:val="left"/>
      <w:pPr>
        <w:ind w:left="840" w:hanging="420"/>
      </w:pPr>
    </w:lvl>
    <w:lvl w:ilvl="1" w:tentative="0">
      <w:start w:val="1"/>
      <w:numFmt w:val="decimal"/>
      <w:isLgl/>
      <w:lvlText w:val="%1.%2"/>
      <w:lvlJc w:val="left"/>
      <w:pPr>
        <w:ind w:left="1290" w:hanging="870"/>
      </w:pPr>
      <w:rPr>
        <w:rFonts w:hint="default" w:asciiTheme="minorEastAsia" w:hAnsiTheme="minorEastAsia"/>
      </w:rPr>
    </w:lvl>
    <w:lvl w:ilvl="2" w:tentative="0">
      <w:start w:val="1"/>
      <w:numFmt w:val="decimal"/>
      <w:isLgl/>
      <w:lvlText w:val="%1.%2.%3"/>
      <w:lvlJc w:val="left"/>
      <w:pPr>
        <w:ind w:left="1290" w:hanging="870"/>
      </w:pPr>
      <w:rPr>
        <w:rFonts w:hint="default" w:asciiTheme="minorEastAsia" w:hAnsiTheme="minorEastAsia"/>
      </w:rPr>
    </w:lvl>
    <w:lvl w:ilvl="3" w:tentative="0">
      <w:start w:val="1"/>
      <w:numFmt w:val="decimal"/>
      <w:isLgl/>
      <w:lvlText w:val="%1.%2.%3.%4"/>
      <w:lvlJc w:val="left"/>
      <w:pPr>
        <w:ind w:left="1290" w:hanging="870"/>
      </w:pPr>
      <w:rPr>
        <w:rFonts w:hint="default" w:asciiTheme="minorEastAsia" w:hAnsiTheme="minorEastAsia"/>
      </w:rPr>
    </w:lvl>
    <w:lvl w:ilvl="4" w:tentative="0">
      <w:start w:val="1"/>
      <w:numFmt w:val="decimal"/>
      <w:isLgl/>
      <w:lvlText w:val="%1.%2.%3.%4.%5"/>
      <w:lvlJc w:val="left"/>
      <w:pPr>
        <w:ind w:left="1500" w:hanging="1080"/>
      </w:pPr>
      <w:rPr>
        <w:rFonts w:hint="default" w:asciiTheme="minorEastAsia" w:hAnsiTheme="minorEastAsia"/>
      </w:rPr>
    </w:lvl>
    <w:lvl w:ilvl="5" w:tentative="0">
      <w:start w:val="1"/>
      <w:numFmt w:val="decimal"/>
      <w:isLgl/>
      <w:lvlText w:val="%1.%2.%3.%4.%5.%6"/>
      <w:lvlJc w:val="left"/>
      <w:pPr>
        <w:ind w:left="1500" w:hanging="1080"/>
      </w:pPr>
      <w:rPr>
        <w:rFonts w:hint="default" w:asciiTheme="minorEastAsia" w:hAnsiTheme="minorEastAsia"/>
      </w:rPr>
    </w:lvl>
    <w:lvl w:ilvl="6" w:tentative="0">
      <w:start w:val="1"/>
      <w:numFmt w:val="decimal"/>
      <w:isLgl/>
      <w:lvlText w:val="%1.%2.%3.%4.%5.%6.%7"/>
      <w:lvlJc w:val="left"/>
      <w:pPr>
        <w:ind w:left="1500" w:hanging="1080"/>
      </w:pPr>
      <w:rPr>
        <w:rFonts w:hint="default" w:asciiTheme="minorEastAsia" w:hAnsiTheme="minorEastAsia"/>
      </w:rPr>
    </w:lvl>
    <w:lvl w:ilvl="7" w:tentative="0">
      <w:start w:val="1"/>
      <w:numFmt w:val="decimal"/>
      <w:isLgl/>
      <w:lvlText w:val="%1.%2.%3.%4.%5.%6.%7.%8"/>
      <w:lvlJc w:val="left"/>
      <w:pPr>
        <w:ind w:left="1860" w:hanging="1440"/>
      </w:pPr>
      <w:rPr>
        <w:rFonts w:hint="default" w:asciiTheme="minorEastAsia" w:hAnsiTheme="minorEastAsia"/>
      </w:rPr>
    </w:lvl>
    <w:lvl w:ilvl="8" w:tentative="0">
      <w:start w:val="1"/>
      <w:numFmt w:val="decimal"/>
      <w:isLgl/>
      <w:lvlText w:val="%1.%2.%3.%4.%5.%6.%7.%8.%9"/>
      <w:lvlJc w:val="left"/>
      <w:pPr>
        <w:ind w:left="1860" w:hanging="1440"/>
      </w:pPr>
      <w:rPr>
        <w:rFonts w:hint="default" w:asciiTheme="minorEastAsia" w:hAnsiTheme="minorEastAsia"/>
      </w:rPr>
    </w:lvl>
  </w:abstractNum>
  <w:abstractNum w:abstractNumId="19">
    <w:nsid w:val="139E5237"/>
    <w:multiLevelType w:val="multilevel"/>
    <w:tmpl w:val="139E5237"/>
    <w:lvl w:ilvl="0" w:tentative="0">
      <w:start w:val="37"/>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166961FB"/>
    <w:multiLevelType w:val="multilevel"/>
    <w:tmpl w:val="166961FB"/>
    <w:lvl w:ilvl="0" w:tentative="0">
      <w:start w:val="35"/>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18CE543D"/>
    <w:multiLevelType w:val="multilevel"/>
    <w:tmpl w:val="18CE543D"/>
    <w:lvl w:ilvl="0" w:tentative="0">
      <w:start w:val="1"/>
      <w:numFmt w:val="decimal"/>
      <w:lvlText w:val="7.%1"/>
      <w:lvlJc w:val="left"/>
      <w:pPr>
        <w:ind w:left="1260" w:hanging="420"/>
      </w:pPr>
      <w:rPr>
        <w:rFonts w:hint="eastAsia"/>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22">
    <w:nsid w:val="18F52A52"/>
    <w:multiLevelType w:val="multilevel"/>
    <w:tmpl w:val="18F52A52"/>
    <w:lvl w:ilvl="0" w:tentative="0">
      <w:start w:val="9"/>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19C07FAA"/>
    <w:multiLevelType w:val="multilevel"/>
    <w:tmpl w:val="19C07FAA"/>
    <w:lvl w:ilvl="0" w:tentative="0">
      <w:start w:val="1"/>
      <w:numFmt w:val="decimal"/>
      <w:lvlText w:val="%1."/>
      <w:lvlJc w:val="left"/>
      <w:pPr>
        <w:ind w:left="945" w:hanging="420"/>
      </w:pPr>
      <w:rPr>
        <w:rFonts w:hint="eastAsia"/>
      </w:rPr>
    </w:lvl>
    <w:lvl w:ilvl="1" w:tentative="0">
      <w:start w:val="1"/>
      <w:numFmt w:val="lowerLetter"/>
      <w:lvlText w:val="%2)"/>
      <w:lvlJc w:val="left"/>
      <w:pPr>
        <w:ind w:left="1365" w:hanging="420"/>
      </w:pPr>
    </w:lvl>
    <w:lvl w:ilvl="2" w:tentative="0">
      <w:start w:val="1"/>
      <w:numFmt w:val="lowerRoman"/>
      <w:lvlText w:val="%3."/>
      <w:lvlJc w:val="right"/>
      <w:pPr>
        <w:ind w:left="1785" w:hanging="420"/>
      </w:pPr>
    </w:lvl>
    <w:lvl w:ilvl="3" w:tentative="0">
      <w:start w:val="1"/>
      <w:numFmt w:val="decimal"/>
      <w:lvlText w:val="%4."/>
      <w:lvlJc w:val="left"/>
      <w:pPr>
        <w:ind w:left="2205" w:hanging="420"/>
      </w:pPr>
    </w:lvl>
    <w:lvl w:ilvl="4" w:tentative="0">
      <w:start w:val="1"/>
      <w:numFmt w:val="lowerLetter"/>
      <w:lvlText w:val="%5)"/>
      <w:lvlJc w:val="left"/>
      <w:pPr>
        <w:ind w:left="2625" w:hanging="420"/>
      </w:pPr>
    </w:lvl>
    <w:lvl w:ilvl="5" w:tentative="0">
      <w:start w:val="1"/>
      <w:numFmt w:val="lowerRoman"/>
      <w:lvlText w:val="%6."/>
      <w:lvlJc w:val="right"/>
      <w:pPr>
        <w:ind w:left="3045" w:hanging="420"/>
      </w:pPr>
    </w:lvl>
    <w:lvl w:ilvl="6" w:tentative="0">
      <w:start w:val="1"/>
      <w:numFmt w:val="decimal"/>
      <w:lvlText w:val="%7."/>
      <w:lvlJc w:val="left"/>
      <w:pPr>
        <w:ind w:left="3465" w:hanging="420"/>
      </w:pPr>
    </w:lvl>
    <w:lvl w:ilvl="7" w:tentative="0">
      <w:start w:val="1"/>
      <w:numFmt w:val="lowerLetter"/>
      <w:lvlText w:val="%8)"/>
      <w:lvlJc w:val="left"/>
      <w:pPr>
        <w:ind w:left="3885" w:hanging="420"/>
      </w:pPr>
    </w:lvl>
    <w:lvl w:ilvl="8" w:tentative="0">
      <w:start w:val="1"/>
      <w:numFmt w:val="lowerRoman"/>
      <w:lvlText w:val="%9."/>
      <w:lvlJc w:val="right"/>
      <w:pPr>
        <w:ind w:left="4305" w:hanging="420"/>
      </w:pPr>
    </w:lvl>
  </w:abstractNum>
  <w:abstractNum w:abstractNumId="24">
    <w:nsid w:val="19DF2F37"/>
    <w:multiLevelType w:val="multilevel"/>
    <w:tmpl w:val="19DF2F37"/>
    <w:lvl w:ilvl="0" w:tentative="0">
      <w:start w:val="29"/>
      <w:numFmt w:val="decimal"/>
      <w:lvlText w:val="%1.6"/>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1C536185"/>
    <w:multiLevelType w:val="multilevel"/>
    <w:tmpl w:val="1C536185"/>
    <w:lvl w:ilvl="0" w:tentative="0">
      <w:start w:val="11"/>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1C74355F"/>
    <w:multiLevelType w:val="multilevel"/>
    <w:tmpl w:val="1C74355F"/>
    <w:lvl w:ilvl="0" w:tentative="0">
      <w:start w:val="1"/>
      <w:numFmt w:val="decimal"/>
      <w:lvlText w:val="32.1.1.%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1E711E7A"/>
    <w:multiLevelType w:val="multilevel"/>
    <w:tmpl w:val="1E711E7A"/>
    <w:lvl w:ilvl="0" w:tentative="0">
      <w:start w:val="1"/>
      <w:numFmt w:val="decimal"/>
      <w:lvlText w:val="26. %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1EB36E0D"/>
    <w:multiLevelType w:val="multilevel"/>
    <w:tmpl w:val="1EB36E0D"/>
    <w:lvl w:ilvl="0" w:tentative="0">
      <w:start w:val="25"/>
      <w:numFmt w:val="decimal"/>
      <w:lvlText w:val="%1."/>
      <w:lvlJc w:val="left"/>
      <w:pPr>
        <w:ind w:left="420" w:hanging="420"/>
      </w:pPr>
      <w:rPr>
        <w:rFonts w:hint="eastAsia"/>
      </w:rPr>
    </w:lvl>
    <w:lvl w:ilvl="1" w:tentative="0">
      <w:start w:val="3"/>
      <w:numFmt w:val="decimal"/>
      <w:lvlText w:val="25.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29">
    <w:nsid w:val="1FAE040E"/>
    <w:multiLevelType w:val="multilevel"/>
    <w:tmpl w:val="1FAE040E"/>
    <w:lvl w:ilvl="0" w:tentative="0">
      <w:start w:val="29"/>
      <w:numFmt w:val="decimal"/>
      <w:lvlText w:val="%1.3.1"/>
      <w:lvlJc w:val="left"/>
      <w:pPr>
        <w:ind w:left="1384" w:hanging="42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30">
    <w:nsid w:val="20D96D0C"/>
    <w:multiLevelType w:val="multilevel"/>
    <w:tmpl w:val="20D96D0C"/>
    <w:lvl w:ilvl="0" w:tentative="0">
      <w:start w:val="1"/>
      <w:numFmt w:val="decimal"/>
      <w:lvlText w:val="5.%1"/>
      <w:lvlJc w:val="left"/>
      <w:pPr>
        <w:ind w:left="1680" w:hanging="420"/>
      </w:pPr>
      <w:rPr>
        <w:rFonts w:hint="eastAsia"/>
      </w:rPr>
    </w:lvl>
    <w:lvl w:ilvl="1" w:tentative="0">
      <w:start w:val="1"/>
      <w:numFmt w:val="lowerLetter"/>
      <w:lvlText w:val="%2)"/>
      <w:lvlJc w:val="left"/>
      <w:pPr>
        <w:ind w:left="2100" w:hanging="420"/>
      </w:pPr>
    </w:lvl>
    <w:lvl w:ilvl="2" w:tentative="0">
      <w:start w:val="1"/>
      <w:numFmt w:val="lowerRoman"/>
      <w:lvlText w:val="%3."/>
      <w:lvlJc w:val="right"/>
      <w:pPr>
        <w:ind w:left="2520" w:hanging="420"/>
      </w:pPr>
    </w:lvl>
    <w:lvl w:ilvl="3" w:tentative="0">
      <w:start w:val="1"/>
      <w:numFmt w:val="decimal"/>
      <w:lvlText w:val="%4."/>
      <w:lvlJc w:val="left"/>
      <w:pPr>
        <w:ind w:left="2940" w:hanging="420"/>
      </w:pPr>
    </w:lvl>
    <w:lvl w:ilvl="4" w:tentative="0">
      <w:start w:val="1"/>
      <w:numFmt w:val="lowerLetter"/>
      <w:lvlText w:val="%5)"/>
      <w:lvlJc w:val="left"/>
      <w:pPr>
        <w:ind w:left="3360" w:hanging="420"/>
      </w:pPr>
    </w:lvl>
    <w:lvl w:ilvl="5" w:tentative="0">
      <w:start w:val="1"/>
      <w:numFmt w:val="lowerRoman"/>
      <w:lvlText w:val="%6."/>
      <w:lvlJc w:val="right"/>
      <w:pPr>
        <w:ind w:left="3780" w:hanging="420"/>
      </w:pPr>
    </w:lvl>
    <w:lvl w:ilvl="6" w:tentative="0">
      <w:start w:val="1"/>
      <w:numFmt w:val="decimal"/>
      <w:lvlText w:val="%7."/>
      <w:lvlJc w:val="left"/>
      <w:pPr>
        <w:ind w:left="4200" w:hanging="420"/>
      </w:pPr>
    </w:lvl>
    <w:lvl w:ilvl="7" w:tentative="0">
      <w:start w:val="1"/>
      <w:numFmt w:val="lowerLetter"/>
      <w:lvlText w:val="%8)"/>
      <w:lvlJc w:val="left"/>
      <w:pPr>
        <w:ind w:left="4620" w:hanging="420"/>
      </w:pPr>
    </w:lvl>
    <w:lvl w:ilvl="8" w:tentative="0">
      <w:start w:val="1"/>
      <w:numFmt w:val="lowerRoman"/>
      <w:lvlText w:val="%9."/>
      <w:lvlJc w:val="right"/>
      <w:pPr>
        <w:ind w:left="5040" w:hanging="420"/>
      </w:pPr>
    </w:lvl>
  </w:abstractNum>
  <w:abstractNum w:abstractNumId="31">
    <w:nsid w:val="20F45686"/>
    <w:multiLevelType w:val="multilevel"/>
    <w:tmpl w:val="20F45686"/>
    <w:lvl w:ilvl="0" w:tentative="0">
      <w:start w:val="1"/>
      <w:numFmt w:val="decimal"/>
      <w:lvlText w:val="29.1.%1"/>
      <w:lvlJc w:val="left"/>
      <w:pPr>
        <w:ind w:left="1384" w:hanging="42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32">
    <w:nsid w:val="214802C3"/>
    <w:multiLevelType w:val="multilevel"/>
    <w:tmpl w:val="214802C3"/>
    <w:lvl w:ilvl="0" w:tentative="0">
      <w:start w:val="1"/>
      <w:numFmt w:val="decimal"/>
      <w:lvlText w:val="%1."/>
      <w:lvlJc w:val="left"/>
      <w:pPr>
        <w:ind w:left="420" w:hanging="420"/>
      </w:pPr>
      <w:rPr>
        <w:rFonts w:hint="eastAsia"/>
      </w:rPr>
    </w:lvl>
    <w:lvl w:ilvl="1" w:tentative="0">
      <w:start w:val="2"/>
      <w:numFmt w:val="decimal"/>
      <w:isLgl/>
      <w:lvlText w:val="%1.%2"/>
      <w:lvlJc w:val="left"/>
      <w:pPr>
        <w:ind w:left="964" w:hanging="544"/>
      </w:pPr>
      <w:rPr>
        <w:rFonts w:hint="default"/>
      </w:rPr>
    </w:lvl>
    <w:lvl w:ilvl="2" w:tentative="0">
      <w:start w:val="1"/>
      <w:numFmt w:val="decimal"/>
      <w:isLgl/>
      <w:lvlText w:val="%1.%2.%3"/>
      <w:lvlJc w:val="left"/>
      <w:pPr>
        <w:ind w:left="1560" w:hanging="720"/>
      </w:pPr>
      <w:rPr>
        <w:rFonts w:hint="default"/>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33">
    <w:nsid w:val="220B32D8"/>
    <w:multiLevelType w:val="multilevel"/>
    <w:tmpl w:val="220B32D8"/>
    <w:lvl w:ilvl="0" w:tentative="0">
      <w:start w:val="32"/>
      <w:numFmt w:val="decimal"/>
      <w:lvlText w:val="%1.2"/>
      <w:lvlJc w:val="left"/>
      <w:pPr>
        <w:ind w:left="964" w:hanging="544"/>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34">
    <w:nsid w:val="227C3AAF"/>
    <w:multiLevelType w:val="multilevel"/>
    <w:tmpl w:val="227C3AAF"/>
    <w:lvl w:ilvl="0" w:tentative="0">
      <w:start w:val="29"/>
      <w:numFmt w:val="decimal"/>
      <w:lvlText w:val="%1.2.6"/>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35">
    <w:nsid w:val="23343B7B"/>
    <w:multiLevelType w:val="multilevel"/>
    <w:tmpl w:val="23343B7B"/>
    <w:lvl w:ilvl="0" w:tentative="0">
      <w:start w:val="1"/>
      <w:numFmt w:val="decimal"/>
      <w:lvlText w:val="%1."/>
      <w:lvlJc w:val="left"/>
      <w:pPr>
        <w:ind w:left="945" w:hanging="420"/>
      </w:pPr>
      <w:rPr>
        <w:rFonts w:hint="eastAsia"/>
      </w:rPr>
    </w:lvl>
    <w:lvl w:ilvl="1" w:tentative="0">
      <w:start w:val="1"/>
      <w:numFmt w:val="lowerLetter"/>
      <w:lvlText w:val="%2)"/>
      <w:lvlJc w:val="left"/>
      <w:pPr>
        <w:ind w:left="1365" w:hanging="420"/>
      </w:pPr>
    </w:lvl>
    <w:lvl w:ilvl="2" w:tentative="0">
      <w:start w:val="1"/>
      <w:numFmt w:val="lowerRoman"/>
      <w:lvlText w:val="%3."/>
      <w:lvlJc w:val="right"/>
      <w:pPr>
        <w:ind w:left="1785" w:hanging="420"/>
      </w:pPr>
    </w:lvl>
    <w:lvl w:ilvl="3" w:tentative="0">
      <w:start w:val="1"/>
      <w:numFmt w:val="decimal"/>
      <w:lvlText w:val="%4."/>
      <w:lvlJc w:val="left"/>
      <w:pPr>
        <w:ind w:left="2205" w:hanging="420"/>
      </w:pPr>
    </w:lvl>
    <w:lvl w:ilvl="4" w:tentative="0">
      <w:start w:val="1"/>
      <w:numFmt w:val="lowerLetter"/>
      <w:lvlText w:val="%5)"/>
      <w:lvlJc w:val="left"/>
      <w:pPr>
        <w:ind w:left="2625" w:hanging="420"/>
      </w:pPr>
    </w:lvl>
    <w:lvl w:ilvl="5" w:tentative="0">
      <w:start w:val="1"/>
      <w:numFmt w:val="lowerRoman"/>
      <w:lvlText w:val="%6."/>
      <w:lvlJc w:val="right"/>
      <w:pPr>
        <w:ind w:left="3045" w:hanging="420"/>
      </w:pPr>
    </w:lvl>
    <w:lvl w:ilvl="6" w:tentative="0">
      <w:start w:val="1"/>
      <w:numFmt w:val="decimal"/>
      <w:lvlText w:val="%7."/>
      <w:lvlJc w:val="left"/>
      <w:pPr>
        <w:ind w:left="3465" w:hanging="420"/>
      </w:pPr>
    </w:lvl>
    <w:lvl w:ilvl="7" w:tentative="0">
      <w:start w:val="1"/>
      <w:numFmt w:val="lowerLetter"/>
      <w:lvlText w:val="%8)"/>
      <w:lvlJc w:val="left"/>
      <w:pPr>
        <w:ind w:left="3885" w:hanging="420"/>
      </w:pPr>
    </w:lvl>
    <w:lvl w:ilvl="8" w:tentative="0">
      <w:start w:val="1"/>
      <w:numFmt w:val="lowerRoman"/>
      <w:lvlText w:val="%9."/>
      <w:lvlJc w:val="right"/>
      <w:pPr>
        <w:ind w:left="4305" w:hanging="420"/>
      </w:pPr>
    </w:lvl>
  </w:abstractNum>
  <w:abstractNum w:abstractNumId="36">
    <w:nsid w:val="2428530D"/>
    <w:multiLevelType w:val="multilevel"/>
    <w:tmpl w:val="2428530D"/>
    <w:lvl w:ilvl="0" w:tentative="0">
      <w:start w:val="29"/>
      <w:numFmt w:val="decimal"/>
      <w:lvlText w:val="%1.4"/>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7">
    <w:nsid w:val="25740A31"/>
    <w:multiLevelType w:val="multilevel"/>
    <w:tmpl w:val="25740A31"/>
    <w:lvl w:ilvl="0" w:tentative="0">
      <w:start w:val="29"/>
      <w:numFmt w:val="decimal"/>
      <w:lvlText w:val="%1.2.7"/>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38">
    <w:nsid w:val="260D7FDB"/>
    <w:multiLevelType w:val="multilevel"/>
    <w:tmpl w:val="260D7FDB"/>
    <w:lvl w:ilvl="0" w:tentative="0">
      <w:start w:val="29"/>
      <w:numFmt w:val="decimal"/>
      <w:lvlText w:val="%1.3"/>
      <w:lvlJc w:val="left"/>
      <w:pPr>
        <w:ind w:left="964" w:hanging="544"/>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39">
    <w:nsid w:val="284F17D0"/>
    <w:multiLevelType w:val="multilevel"/>
    <w:tmpl w:val="284F17D0"/>
    <w:lvl w:ilvl="0" w:tentative="0">
      <w:start w:val="23"/>
      <w:numFmt w:val="decimal"/>
      <w:lvlText w:val="%1."/>
      <w:lvlJc w:val="left"/>
      <w:pPr>
        <w:ind w:left="420" w:hanging="420"/>
      </w:pPr>
      <w:rPr>
        <w:rFonts w:hint="eastAsia"/>
      </w:rPr>
    </w:lvl>
    <w:lvl w:ilvl="1" w:tentative="0">
      <w:start w:val="3"/>
      <w:numFmt w:val="decimal"/>
      <w:lvlText w:val="23.3.%2"/>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40">
    <w:nsid w:val="294D1DA8"/>
    <w:multiLevelType w:val="multilevel"/>
    <w:tmpl w:val="294D1DA8"/>
    <w:lvl w:ilvl="0" w:tentative="0">
      <w:start w:val="25"/>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1">
    <w:nsid w:val="2BC85BF7"/>
    <w:multiLevelType w:val="multilevel"/>
    <w:tmpl w:val="2BC85BF7"/>
    <w:lvl w:ilvl="0" w:tentative="0">
      <w:start w:val="1"/>
      <w:numFmt w:val="decimal"/>
      <w:lvlText w:val="3.3.%1"/>
      <w:lvlJc w:val="left"/>
      <w:pPr>
        <w:ind w:left="422" w:hanging="420"/>
      </w:pPr>
      <w:rPr>
        <w:rFonts w:hint="eastAsia"/>
      </w:rPr>
    </w:lvl>
    <w:lvl w:ilvl="1" w:tentative="0">
      <w:start w:val="1"/>
      <w:numFmt w:val="lowerLetter"/>
      <w:lvlText w:val="%2)"/>
      <w:lvlJc w:val="left"/>
      <w:pPr>
        <w:ind w:left="842" w:hanging="420"/>
      </w:pPr>
    </w:lvl>
    <w:lvl w:ilvl="2" w:tentative="0">
      <w:start w:val="1"/>
      <w:numFmt w:val="lowerRoman"/>
      <w:lvlText w:val="%3."/>
      <w:lvlJc w:val="right"/>
      <w:pPr>
        <w:ind w:left="1262" w:hanging="420"/>
      </w:pPr>
    </w:lvl>
    <w:lvl w:ilvl="3" w:tentative="0">
      <w:start w:val="1"/>
      <w:numFmt w:val="decimal"/>
      <w:lvlText w:val="%4."/>
      <w:lvlJc w:val="left"/>
      <w:pPr>
        <w:ind w:left="1682" w:hanging="420"/>
      </w:pPr>
    </w:lvl>
    <w:lvl w:ilvl="4" w:tentative="0">
      <w:start w:val="1"/>
      <w:numFmt w:val="lowerLetter"/>
      <w:lvlText w:val="%5)"/>
      <w:lvlJc w:val="left"/>
      <w:pPr>
        <w:ind w:left="2102" w:hanging="420"/>
      </w:pPr>
    </w:lvl>
    <w:lvl w:ilvl="5" w:tentative="0">
      <w:start w:val="1"/>
      <w:numFmt w:val="lowerRoman"/>
      <w:lvlText w:val="%6."/>
      <w:lvlJc w:val="right"/>
      <w:pPr>
        <w:ind w:left="2522" w:hanging="420"/>
      </w:pPr>
    </w:lvl>
    <w:lvl w:ilvl="6" w:tentative="0">
      <w:start w:val="1"/>
      <w:numFmt w:val="decimal"/>
      <w:lvlText w:val="%7."/>
      <w:lvlJc w:val="left"/>
      <w:pPr>
        <w:ind w:left="2942" w:hanging="420"/>
      </w:pPr>
    </w:lvl>
    <w:lvl w:ilvl="7" w:tentative="0">
      <w:start w:val="1"/>
      <w:numFmt w:val="lowerLetter"/>
      <w:lvlText w:val="%8)"/>
      <w:lvlJc w:val="left"/>
      <w:pPr>
        <w:ind w:left="3362" w:hanging="420"/>
      </w:pPr>
    </w:lvl>
    <w:lvl w:ilvl="8" w:tentative="0">
      <w:start w:val="1"/>
      <w:numFmt w:val="lowerRoman"/>
      <w:lvlText w:val="%9."/>
      <w:lvlJc w:val="right"/>
      <w:pPr>
        <w:ind w:left="3782" w:hanging="420"/>
      </w:pPr>
    </w:lvl>
  </w:abstractNum>
  <w:abstractNum w:abstractNumId="42">
    <w:nsid w:val="2D8B66E1"/>
    <w:multiLevelType w:val="multilevel"/>
    <w:tmpl w:val="2D8B66E1"/>
    <w:lvl w:ilvl="0" w:tentative="0">
      <w:start w:val="1"/>
      <w:numFmt w:val="decimal"/>
      <w:lvlText w:val="38.2.%1"/>
      <w:lvlJc w:val="left"/>
      <w:pPr>
        <w:ind w:left="1384"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3">
    <w:nsid w:val="2FEA60C2"/>
    <w:multiLevelType w:val="multilevel"/>
    <w:tmpl w:val="2FEA60C2"/>
    <w:lvl w:ilvl="0" w:tentative="0">
      <w:start w:val="6"/>
      <w:numFmt w:val="decimal"/>
      <w:lvlText w:val="%1.3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4">
    <w:nsid w:val="31E5674F"/>
    <w:multiLevelType w:val="multilevel"/>
    <w:tmpl w:val="31E5674F"/>
    <w:lvl w:ilvl="0" w:tentative="0">
      <w:start w:val="1"/>
      <w:numFmt w:val="decimal"/>
      <w:lvlText w:val="3.6.%1"/>
      <w:lvlJc w:val="left"/>
      <w:pPr>
        <w:ind w:left="422"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5">
    <w:nsid w:val="3376796D"/>
    <w:multiLevelType w:val="multilevel"/>
    <w:tmpl w:val="3376796D"/>
    <w:lvl w:ilvl="0" w:tentative="0">
      <w:start w:val="29"/>
      <w:numFmt w:val="decimal"/>
      <w:lvlText w:val="%1.2.1"/>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46">
    <w:nsid w:val="357D2C3F"/>
    <w:multiLevelType w:val="multilevel"/>
    <w:tmpl w:val="357D2C3F"/>
    <w:lvl w:ilvl="0" w:tentative="0">
      <w:start w:val="6"/>
      <w:numFmt w:val="decimal"/>
      <w:lvlText w:val="%1.2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7">
    <w:nsid w:val="35D74415"/>
    <w:multiLevelType w:val="multilevel"/>
    <w:tmpl w:val="35D74415"/>
    <w:lvl w:ilvl="0" w:tentative="0">
      <w:start w:val="33"/>
      <w:numFmt w:val="decimal"/>
      <w:lvlText w:val="%1.1"/>
      <w:lvlJc w:val="left"/>
      <w:pPr>
        <w:ind w:left="1384"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8">
    <w:nsid w:val="37057842"/>
    <w:multiLevelType w:val="multilevel"/>
    <w:tmpl w:val="37057842"/>
    <w:lvl w:ilvl="0" w:tentative="0">
      <w:start w:val="29"/>
      <w:numFmt w:val="decimal"/>
      <w:lvlText w:val="%1.2.5"/>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49">
    <w:nsid w:val="375A32AE"/>
    <w:multiLevelType w:val="multilevel"/>
    <w:tmpl w:val="375A32AE"/>
    <w:lvl w:ilvl="0" w:tentative="0">
      <w:start w:val="1"/>
      <w:numFmt w:val="decimal"/>
      <w:lvlText w:val="25.1.2.%1"/>
      <w:lvlJc w:val="left"/>
      <w:pPr>
        <w:ind w:left="84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0">
    <w:nsid w:val="37A329CD"/>
    <w:multiLevelType w:val="multilevel"/>
    <w:tmpl w:val="37A329CD"/>
    <w:lvl w:ilvl="0" w:tentative="0">
      <w:start w:val="39"/>
      <w:numFmt w:val="decimal"/>
      <w:lvlText w:val="%1."/>
      <w:lvlJc w:val="left"/>
      <w:pPr>
        <w:ind w:left="420" w:hanging="420"/>
      </w:pPr>
      <w:rPr>
        <w:rFonts w:hint="eastAsia"/>
        <w:b/>
        <w:color w:val="auto"/>
        <w:sz w:val="21"/>
        <w:szCs w:val="21"/>
      </w:rPr>
    </w:lvl>
    <w:lvl w:ilvl="1" w:tentative="0">
      <w:start w:val="2"/>
      <w:numFmt w:val="decimal"/>
      <w:lvlText w:val="38.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51">
    <w:nsid w:val="394850BB"/>
    <w:multiLevelType w:val="multilevel"/>
    <w:tmpl w:val="394850BB"/>
    <w:lvl w:ilvl="0" w:tentative="0">
      <w:start w:val="1"/>
      <w:numFmt w:val="decimal"/>
      <w:lvlText w:val="%1.1"/>
      <w:lvlJc w:val="left"/>
      <w:pPr>
        <w:ind w:left="840" w:hanging="420"/>
      </w:pPr>
      <w:rPr>
        <w:rFonts w:hint="eastAsia"/>
      </w:rPr>
    </w:lvl>
    <w:lvl w:ilvl="1" w:tentative="0">
      <w:start w:val="2"/>
      <w:numFmt w:val="decimal"/>
      <w:lvlText w:val="3.%2"/>
      <w:lvlJc w:val="left"/>
      <w:pPr>
        <w:ind w:left="1260" w:hanging="420"/>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abstractNum w:abstractNumId="52">
    <w:nsid w:val="3C3D3B5C"/>
    <w:multiLevelType w:val="multilevel"/>
    <w:tmpl w:val="3C3D3B5C"/>
    <w:lvl w:ilvl="0" w:tentative="0">
      <w:start w:val="32"/>
      <w:numFmt w:val="decimal"/>
      <w:lvlText w:val="%1.2.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3">
    <w:nsid w:val="3E97695A"/>
    <w:multiLevelType w:val="multilevel"/>
    <w:tmpl w:val="3E97695A"/>
    <w:lvl w:ilvl="0" w:tentative="0">
      <w:start w:val="30"/>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4">
    <w:nsid w:val="417B5A56"/>
    <w:multiLevelType w:val="multilevel"/>
    <w:tmpl w:val="417B5A56"/>
    <w:lvl w:ilvl="0" w:tentative="0">
      <w:start w:val="5"/>
      <w:numFmt w:val="decimal"/>
      <w:lvlText w:val="%1.3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5">
    <w:nsid w:val="4B763F93"/>
    <w:multiLevelType w:val="multilevel"/>
    <w:tmpl w:val="4B763F93"/>
    <w:lvl w:ilvl="0" w:tentative="0">
      <w:start w:val="29"/>
      <w:numFmt w:val="decimal"/>
      <w:lvlText w:val="%1.3.4"/>
      <w:lvlJc w:val="left"/>
      <w:pPr>
        <w:ind w:left="1384" w:hanging="420"/>
      </w:pPr>
      <w:rPr>
        <w:rFonts w:hint="eastAsia"/>
      </w:rPr>
    </w:lvl>
    <w:lvl w:ilvl="1" w:tentative="0">
      <w:start w:val="1"/>
      <w:numFmt w:val="lowerLetter"/>
      <w:lvlText w:val="%2)"/>
      <w:lvlJc w:val="left"/>
      <w:pPr>
        <w:ind w:left="1804" w:hanging="420"/>
      </w:pPr>
      <w:rPr>
        <w:rFonts w:hint="eastAsia"/>
      </w:rPr>
    </w:lvl>
    <w:lvl w:ilvl="2" w:tentative="0">
      <w:start w:val="1"/>
      <w:numFmt w:val="lowerRoman"/>
      <w:lvlText w:val="%3."/>
      <w:lvlJc w:val="right"/>
      <w:pPr>
        <w:ind w:left="2224" w:hanging="420"/>
      </w:pPr>
      <w:rPr>
        <w:rFonts w:hint="eastAsia"/>
      </w:rPr>
    </w:lvl>
    <w:lvl w:ilvl="3" w:tentative="0">
      <w:start w:val="1"/>
      <w:numFmt w:val="decimal"/>
      <w:lvlText w:val="%4."/>
      <w:lvlJc w:val="left"/>
      <w:pPr>
        <w:ind w:left="2644" w:hanging="420"/>
      </w:pPr>
      <w:rPr>
        <w:rFonts w:hint="eastAsia"/>
      </w:rPr>
    </w:lvl>
    <w:lvl w:ilvl="4" w:tentative="0">
      <w:start w:val="1"/>
      <w:numFmt w:val="lowerLetter"/>
      <w:lvlText w:val="%5)"/>
      <w:lvlJc w:val="left"/>
      <w:pPr>
        <w:ind w:left="3064" w:hanging="420"/>
      </w:pPr>
      <w:rPr>
        <w:rFonts w:hint="eastAsia"/>
      </w:rPr>
    </w:lvl>
    <w:lvl w:ilvl="5" w:tentative="0">
      <w:start w:val="1"/>
      <w:numFmt w:val="lowerRoman"/>
      <w:lvlText w:val="%6."/>
      <w:lvlJc w:val="right"/>
      <w:pPr>
        <w:ind w:left="3484" w:hanging="420"/>
      </w:pPr>
      <w:rPr>
        <w:rFonts w:hint="eastAsia"/>
      </w:rPr>
    </w:lvl>
    <w:lvl w:ilvl="6" w:tentative="0">
      <w:start w:val="1"/>
      <w:numFmt w:val="decimal"/>
      <w:lvlText w:val="%7."/>
      <w:lvlJc w:val="left"/>
      <w:pPr>
        <w:ind w:left="3904" w:hanging="420"/>
      </w:pPr>
      <w:rPr>
        <w:rFonts w:hint="eastAsia"/>
      </w:rPr>
    </w:lvl>
    <w:lvl w:ilvl="7" w:tentative="0">
      <w:start w:val="1"/>
      <w:numFmt w:val="lowerLetter"/>
      <w:lvlText w:val="%8)"/>
      <w:lvlJc w:val="left"/>
      <w:pPr>
        <w:ind w:left="4324" w:hanging="420"/>
      </w:pPr>
      <w:rPr>
        <w:rFonts w:hint="eastAsia"/>
      </w:rPr>
    </w:lvl>
    <w:lvl w:ilvl="8" w:tentative="0">
      <w:start w:val="1"/>
      <w:numFmt w:val="lowerRoman"/>
      <w:lvlText w:val="%9."/>
      <w:lvlJc w:val="right"/>
      <w:pPr>
        <w:ind w:left="4744" w:hanging="420"/>
      </w:pPr>
      <w:rPr>
        <w:rFonts w:hint="eastAsia"/>
      </w:rPr>
    </w:lvl>
  </w:abstractNum>
  <w:abstractNum w:abstractNumId="56">
    <w:nsid w:val="50284345"/>
    <w:multiLevelType w:val="multilevel"/>
    <w:tmpl w:val="50284345"/>
    <w:lvl w:ilvl="0" w:tentative="0">
      <w:start w:val="29"/>
      <w:numFmt w:val="decimal"/>
      <w:lvlText w:val="%1.2.2"/>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57">
    <w:nsid w:val="53E77F50"/>
    <w:multiLevelType w:val="multilevel"/>
    <w:tmpl w:val="53E77F50"/>
    <w:lvl w:ilvl="0" w:tentative="0">
      <w:start w:val="5"/>
      <w:numFmt w:val="decimal"/>
      <w:lvlText w:val="%1.4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8">
    <w:nsid w:val="54FF6F31"/>
    <w:multiLevelType w:val="multilevel"/>
    <w:tmpl w:val="54FF6F31"/>
    <w:lvl w:ilvl="0" w:tentative="0">
      <w:start w:val="1"/>
      <w:numFmt w:val="decimal"/>
      <w:lvlText w:val="28. %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9">
    <w:nsid w:val="56C87EF1"/>
    <w:multiLevelType w:val="multilevel"/>
    <w:tmpl w:val="56C87EF1"/>
    <w:lvl w:ilvl="0" w:tentative="0">
      <w:start w:val="5"/>
      <w:numFmt w:val="decimal"/>
      <w:lvlText w:val="%1.5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0">
    <w:nsid w:val="58C95C43"/>
    <w:multiLevelType w:val="multilevel"/>
    <w:tmpl w:val="58C95C43"/>
    <w:lvl w:ilvl="0" w:tentative="0">
      <w:start w:val="29"/>
      <w:numFmt w:val="decimal"/>
      <w:lvlText w:val="%1.3.3"/>
      <w:lvlJc w:val="left"/>
      <w:pPr>
        <w:ind w:left="1384" w:hanging="420"/>
      </w:pPr>
      <w:rPr>
        <w:rFonts w:hint="eastAsia"/>
      </w:rPr>
    </w:lvl>
    <w:lvl w:ilvl="1" w:tentative="0">
      <w:start w:val="1"/>
      <w:numFmt w:val="lowerLetter"/>
      <w:lvlText w:val="%2)"/>
      <w:lvlJc w:val="left"/>
      <w:pPr>
        <w:ind w:left="1804" w:hanging="420"/>
      </w:pPr>
      <w:rPr>
        <w:rFonts w:hint="eastAsia"/>
      </w:rPr>
    </w:lvl>
    <w:lvl w:ilvl="2" w:tentative="0">
      <w:start w:val="1"/>
      <w:numFmt w:val="lowerRoman"/>
      <w:lvlText w:val="%3."/>
      <w:lvlJc w:val="right"/>
      <w:pPr>
        <w:ind w:left="2224" w:hanging="420"/>
      </w:pPr>
      <w:rPr>
        <w:rFonts w:hint="eastAsia"/>
      </w:rPr>
    </w:lvl>
    <w:lvl w:ilvl="3" w:tentative="0">
      <w:start w:val="1"/>
      <w:numFmt w:val="decimal"/>
      <w:lvlText w:val="%4."/>
      <w:lvlJc w:val="left"/>
      <w:pPr>
        <w:ind w:left="2644" w:hanging="420"/>
      </w:pPr>
      <w:rPr>
        <w:rFonts w:hint="eastAsia"/>
      </w:rPr>
    </w:lvl>
    <w:lvl w:ilvl="4" w:tentative="0">
      <w:start w:val="1"/>
      <w:numFmt w:val="lowerLetter"/>
      <w:lvlText w:val="%5)"/>
      <w:lvlJc w:val="left"/>
      <w:pPr>
        <w:ind w:left="3064" w:hanging="420"/>
      </w:pPr>
      <w:rPr>
        <w:rFonts w:hint="eastAsia"/>
      </w:rPr>
    </w:lvl>
    <w:lvl w:ilvl="5" w:tentative="0">
      <w:start w:val="1"/>
      <w:numFmt w:val="lowerRoman"/>
      <w:lvlText w:val="%6."/>
      <w:lvlJc w:val="right"/>
      <w:pPr>
        <w:ind w:left="3484" w:hanging="420"/>
      </w:pPr>
      <w:rPr>
        <w:rFonts w:hint="eastAsia"/>
      </w:rPr>
    </w:lvl>
    <w:lvl w:ilvl="6" w:tentative="0">
      <w:start w:val="1"/>
      <w:numFmt w:val="decimal"/>
      <w:lvlText w:val="%7."/>
      <w:lvlJc w:val="left"/>
      <w:pPr>
        <w:ind w:left="3904" w:hanging="420"/>
      </w:pPr>
      <w:rPr>
        <w:rFonts w:hint="eastAsia"/>
      </w:rPr>
    </w:lvl>
    <w:lvl w:ilvl="7" w:tentative="0">
      <w:start w:val="1"/>
      <w:numFmt w:val="lowerLetter"/>
      <w:lvlText w:val="%8)"/>
      <w:lvlJc w:val="left"/>
      <w:pPr>
        <w:ind w:left="4324" w:hanging="420"/>
      </w:pPr>
      <w:rPr>
        <w:rFonts w:hint="eastAsia"/>
      </w:rPr>
    </w:lvl>
    <w:lvl w:ilvl="8" w:tentative="0">
      <w:start w:val="1"/>
      <w:numFmt w:val="lowerRoman"/>
      <w:lvlText w:val="%9."/>
      <w:lvlJc w:val="right"/>
      <w:pPr>
        <w:ind w:left="4744" w:hanging="420"/>
      </w:pPr>
      <w:rPr>
        <w:rFonts w:hint="eastAsia"/>
      </w:rPr>
    </w:lvl>
  </w:abstractNum>
  <w:abstractNum w:abstractNumId="61">
    <w:nsid w:val="59B7085F"/>
    <w:multiLevelType w:val="multilevel"/>
    <w:tmpl w:val="59B7085F"/>
    <w:lvl w:ilvl="0" w:tentative="0">
      <w:start w:val="1"/>
      <w:numFmt w:val="decimal"/>
      <w:lvlText w:val="4.%1"/>
      <w:lvlJc w:val="left"/>
      <w:pPr>
        <w:ind w:left="1680" w:hanging="420"/>
      </w:pPr>
      <w:rPr>
        <w:rFonts w:hint="eastAsia"/>
      </w:rPr>
    </w:lvl>
    <w:lvl w:ilvl="1" w:tentative="0">
      <w:start w:val="1"/>
      <w:numFmt w:val="lowerLetter"/>
      <w:lvlText w:val="%2)"/>
      <w:lvlJc w:val="left"/>
      <w:pPr>
        <w:ind w:left="2100" w:hanging="420"/>
      </w:pPr>
    </w:lvl>
    <w:lvl w:ilvl="2" w:tentative="0">
      <w:start w:val="1"/>
      <w:numFmt w:val="lowerRoman"/>
      <w:lvlText w:val="%3."/>
      <w:lvlJc w:val="right"/>
      <w:pPr>
        <w:ind w:left="2520" w:hanging="420"/>
      </w:pPr>
    </w:lvl>
    <w:lvl w:ilvl="3" w:tentative="0">
      <w:start w:val="1"/>
      <w:numFmt w:val="decimal"/>
      <w:lvlText w:val="%4."/>
      <w:lvlJc w:val="left"/>
      <w:pPr>
        <w:ind w:left="2940" w:hanging="420"/>
      </w:pPr>
    </w:lvl>
    <w:lvl w:ilvl="4" w:tentative="0">
      <w:start w:val="1"/>
      <w:numFmt w:val="lowerLetter"/>
      <w:lvlText w:val="%5)"/>
      <w:lvlJc w:val="left"/>
      <w:pPr>
        <w:ind w:left="3360" w:hanging="420"/>
      </w:pPr>
    </w:lvl>
    <w:lvl w:ilvl="5" w:tentative="0">
      <w:start w:val="1"/>
      <w:numFmt w:val="lowerRoman"/>
      <w:lvlText w:val="%6."/>
      <w:lvlJc w:val="right"/>
      <w:pPr>
        <w:ind w:left="3780" w:hanging="420"/>
      </w:pPr>
    </w:lvl>
    <w:lvl w:ilvl="6" w:tentative="0">
      <w:start w:val="1"/>
      <w:numFmt w:val="decimal"/>
      <w:lvlText w:val="%7."/>
      <w:lvlJc w:val="left"/>
      <w:pPr>
        <w:ind w:left="4200" w:hanging="420"/>
      </w:pPr>
    </w:lvl>
    <w:lvl w:ilvl="7" w:tentative="0">
      <w:start w:val="1"/>
      <w:numFmt w:val="lowerLetter"/>
      <w:lvlText w:val="%8)"/>
      <w:lvlJc w:val="left"/>
      <w:pPr>
        <w:ind w:left="4620" w:hanging="420"/>
      </w:pPr>
    </w:lvl>
    <w:lvl w:ilvl="8" w:tentative="0">
      <w:start w:val="1"/>
      <w:numFmt w:val="lowerRoman"/>
      <w:lvlText w:val="%9."/>
      <w:lvlJc w:val="right"/>
      <w:pPr>
        <w:ind w:left="5040" w:hanging="420"/>
      </w:pPr>
    </w:lvl>
  </w:abstractNum>
  <w:abstractNum w:abstractNumId="62">
    <w:nsid w:val="59F817C2"/>
    <w:multiLevelType w:val="singleLevel"/>
    <w:tmpl w:val="59F817C2"/>
    <w:lvl w:ilvl="0" w:tentative="0">
      <w:start w:val="2"/>
      <w:numFmt w:val="chineseCounting"/>
      <w:suff w:val="space"/>
      <w:lvlText w:val="第%1章"/>
      <w:lvlJc w:val="left"/>
    </w:lvl>
  </w:abstractNum>
  <w:abstractNum w:abstractNumId="63">
    <w:nsid w:val="59F817E8"/>
    <w:multiLevelType w:val="singleLevel"/>
    <w:tmpl w:val="59F817E8"/>
    <w:lvl w:ilvl="0" w:tentative="0">
      <w:start w:val="1"/>
      <w:numFmt w:val="chineseCounting"/>
      <w:pStyle w:val="55"/>
      <w:suff w:val="nothing"/>
      <w:lvlText w:val="%1、"/>
      <w:lvlJc w:val="left"/>
    </w:lvl>
  </w:abstractNum>
  <w:abstractNum w:abstractNumId="64">
    <w:nsid w:val="5A1A6631"/>
    <w:multiLevelType w:val="multilevel"/>
    <w:tmpl w:val="5A1A6631"/>
    <w:lvl w:ilvl="0" w:tentative="0">
      <w:start w:val="25"/>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5">
    <w:nsid w:val="5A734122"/>
    <w:multiLevelType w:val="multilevel"/>
    <w:tmpl w:val="5A734122"/>
    <w:lvl w:ilvl="0" w:tentative="0">
      <w:start w:val="36"/>
      <w:numFmt w:val="decimal"/>
      <w:lvlText w:val="%1.2"/>
      <w:lvlJc w:val="left"/>
      <w:pPr>
        <w:ind w:left="964" w:hanging="544"/>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66">
    <w:nsid w:val="5A92629E"/>
    <w:multiLevelType w:val="multilevel"/>
    <w:tmpl w:val="5A92629E"/>
    <w:lvl w:ilvl="0" w:tentative="0">
      <w:start w:val="29"/>
      <w:numFmt w:val="decimal"/>
      <w:lvlText w:val="%1.2.4"/>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67">
    <w:nsid w:val="5B7615A2"/>
    <w:multiLevelType w:val="multilevel"/>
    <w:tmpl w:val="5B7615A2"/>
    <w:lvl w:ilvl="0" w:tentative="0">
      <w:start w:val="23"/>
      <w:numFmt w:val="decimal"/>
      <w:lvlText w:val="%1."/>
      <w:lvlJc w:val="left"/>
      <w:pPr>
        <w:ind w:left="420" w:hanging="420"/>
      </w:pPr>
      <w:rPr>
        <w:rFonts w:hint="eastAsia"/>
      </w:rPr>
    </w:lvl>
    <w:lvl w:ilvl="1" w:tentative="0">
      <w:start w:val="3"/>
      <w:numFmt w:val="decimal"/>
      <w:lvlText w:val="23.3.1.%2"/>
      <w:lvlJc w:val="left"/>
      <w:pPr>
        <w:ind w:left="964" w:hanging="544"/>
      </w:pPr>
      <w:rPr>
        <w:rFonts w:hint="eastAsia"/>
      </w:rPr>
    </w:lvl>
    <w:lvl w:ilvl="2" w:tentative="0">
      <w:start w:val="21"/>
      <w:numFmt w:val="decimal"/>
      <w:lvlText w:val="%3.1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68">
    <w:nsid w:val="5C3055E2"/>
    <w:multiLevelType w:val="multilevel"/>
    <w:tmpl w:val="5C3055E2"/>
    <w:lvl w:ilvl="0" w:tentative="0">
      <w:start w:val="34"/>
      <w:numFmt w:val="decimal"/>
      <w:lvlText w:val="%1."/>
      <w:lvlJc w:val="left"/>
      <w:pPr>
        <w:ind w:left="420" w:hanging="420"/>
      </w:pPr>
      <w:rPr>
        <w:rFonts w:hint="eastAsia"/>
      </w:rPr>
    </w:lvl>
    <w:lvl w:ilvl="1" w:tentative="0">
      <w:start w:val="1"/>
      <w:numFmt w:val="decimal"/>
      <w:lvlText w:val="34.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69">
    <w:nsid w:val="5C561646"/>
    <w:multiLevelType w:val="multilevel"/>
    <w:tmpl w:val="5C561646"/>
    <w:lvl w:ilvl="0" w:tentative="0">
      <w:start w:val="21"/>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0">
    <w:nsid w:val="5F5B6322"/>
    <w:multiLevelType w:val="multilevel"/>
    <w:tmpl w:val="5F5B6322"/>
    <w:lvl w:ilvl="0" w:tentative="0">
      <w:start w:val="4"/>
      <w:numFmt w:val="decimal"/>
      <w:lvlText w:val="%1."/>
      <w:lvlJc w:val="left"/>
      <w:pPr>
        <w:ind w:left="84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1">
    <w:nsid w:val="5F9C3ECF"/>
    <w:multiLevelType w:val="multilevel"/>
    <w:tmpl w:val="5F9C3ECF"/>
    <w:lvl w:ilvl="0" w:tentative="0">
      <w:start w:val="29"/>
      <w:numFmt w:val="decimal"/>
      <w:lvlText w:val="%1.7"/>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2">
    <w:nsid w:val="5FAD39AB"/>
    <w:multiLevelType w:val="multilevel"/>
    <w:tmpl w:val="5FAD39AB"/>
    <w:lvl w:ilvl="0" w:tentative="0">
      <w:start w:val="27"/>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3">
    <w:nsid w:val="618035B4"/>
    <w:multiLevelType w:val="multilevel"/>
    <w:tmpl w:val="618035B4"/>
    <w:lvl w:ilvl="0" w:tentative="0">
      <w:start w:val="7"/>
      <w:numFmt w:val="decimal"/>
      <w:lvlText w:val="3. %1 "/>
      <w:lvlJc w:val="left"/>
      <w:pPr>
        <w:ind w:left="422"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4">
    <w:nsid w:val="657B6CAE"/>
    <w:multiLevelType w:val="multilevel"/>
    <w:tmpl w:val="657B6CAE"/>
    <w:lvl w:ilvl="0" w:tentative="0">
      <w:start w:val="29"/>
      <w:numFmt w:val="decimal"/>
      <w:lvlText w:val="%1.2"/>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5">
    <w:nsid w:val="67A97E62"/>
    <w:multiLevelType w:val="multilevel"/>
    <w:tmpl w:val="67A97E62"/>
    <w:lvl w:ilvl="0" w:tentative="0">
      <w:start w:val="1"/>
      <w:numFmt w:val="decimal"/>
      <w:lvlText w:val="38.1.%1"/>
      <w:lvlJc w:val="left"/>
      <w:pPr>
        <w:ind w:left="1407" w:hanging="420"/>
      </w:pPr>
      <w:rPr>
        <w:rFonts w:hint="eastAsia"/>
      </w:rPr>
    </w:lvl>
    <w:lvl w:ilvl="1" w:tentative="0">
      <w:start w:val="1"/>
      <w:numFmt w:val="lowerLetter"/>
      <w:lvlText w:val="%2)"/>
      <w:lvlJc w:val="left"/>
      <w:pPr>
        <w:ind w:left="1827" w:hanging="420"/>
      </w:pPr>
    </w:lvl>
    <w:lvl w:ilvl="2" w:tentative="0">
      <w:start w:val="1"/>
      <w:numFmt w:val="lowerRoman"/>
      <w:lvlText w:val="%3."/>
      <w:lvlJc w:val="right"/>
      <w:pPr>
        <w:ind w:left="2247" w:hanging="420"/>
      </w:pPr>
    </w:lvl>
    <w:lvl w:ilvl="3" w:tentative="0">
      <w:start w:val="1"/>
      <w:numFmt w:val="decimal"/>
      <w:lvlText w:val="%4."/>
      <w:lvlJc w:val="left"/>
      <w:pPr>
        <w:ind w:left="2667" w:hanging="420"/>
      </w:pPr>
    </w:lvl>
    <w:lvl w:ilvl="4" w:tentative="0">
      <w:start w:val="1"/>
      <w:numFmt w:val="lowerLetter"/>
      <w:lvlText w:val="%5)"/>
      <w:lvlJc w:val="left"/>
      <w:pPr>
        <w:ind w:left="3087" w:hanging="420"/>
      </w:pPr>
    </w:lvl>
    <w:lvl w:ilvl="5" w:tentative="0">
      <w:start w:val="1"/>
      <w:numFmt w:val="lowerRoman"/>
      <w:lvlText w:val="%6."/>
      <w:lvlJc w:val="right"/>
      <w:pPr>
        <w:ind w:left="3507" w:hanging="420"/>
      </w:pPr>
    </w:lvl>
    <w:lvl w:ilvl="6" w:tentative="0">
      <w:start w:val="1"/>
      <w:numFmt w:val="decimal"/>
      <w:lvlText w:val="%7."/>
      <w:lvlJc w:val="left"/>
      <w:pPr>
        <w:ind w:left="3927" w:hanging="420"/>
      </w:pPr>
    </w:lvl>
    <w:lvl w:ilvl="7" w:tentative="0">
      <w:start w:val="1"/>
      <w:numFmt w:val="lowerLetter"/>
      <w:lvlText w:val="%8)"/>
      <w:lvlJc w:val="left"/>
      <w:pPr>
        <w:ind w:left="4347" w:hanging="420"/>
      </w:pPr>
    </w:lvl>
    <w:lvl w:ilvl="8" w:tentative="0">
      <w:start w:val="1"/>
      <w:numFmt w:val="lowerRoman"/>
      <w:lvlText w:val="%9."/>
      <w:lvlJc w:val="right"/>
      <w:pPr>
        <w:ind w:left="4767" w:hanging="420"/>
      </w:pPr>
    </w:lvl>
  </w:abstractNum>
  <w:abstractNum w:abstractNumId="76">
    <w:nsid w:val="690B242E"/>
    <w:multiLevelType w:val="multilevel"/>
    <w:tmpl w:val="690B242E"/>
    <w:lvl w:ilvl="0" w:tentative="0">
      <w:start w:val="6"/>
      <w:numFmt w:val="decimal"/>
      <w:lvlText w:val="%1.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7">
    <w:nsid w:val="6A4E0B21"/>
    <w:multiLevelType w:val="multilevel"/>
    <w:tmpl w:val="6A4E0B21"/>
    <w:lvl w:ilvl="0" w:tentative="0">
      <w:start w:val="1"/>
      <w:numFmt w:val="decimal"/>
      <w:lvlText w:val="25.1.%1"/>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8">
    <w:nsid w:val="6A7B4455"/>
    <w:multiLevelType w:val="multilevel"/>
    <w:tmpl w:val="6A7B4455"/>
    <w:lvl w:ilvl="0" w:tentative="0">
      <w:start w:val="1"/>
      <w:numFmt w:val="decimal"/>
      <w:lvlText w:val="%1.1 "/>
      <w:lvlJc w:val="left"/>
      <w:pPr>
        <w:ind w:left="964" w:hanging="544"/>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79">
    <w:nsid w:val="6A7D1D00"/>
    <w:multiLevelType w:val="multilevel"/>
    <w:tmpl w:val="6A7D1D00"/>
    <w:lvl w:ilvl="0" w:tentative="0">
      <w:start w:val="32"/>
      <w:numFmt w:val="decimal"/>
      <w:lvlText w:val="%1.1 "/>
      <w:lvlJc w:val="left"/>
      <w:pPr>
        <w:ind w:left="964" w:hanging="544"/>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80">
    <w:nsid w:val="6CEB39E3"/>
    <w:multiLevelType w:val="multilevel"/>
    <w:tmpl w:val="6CEB39E3"/>
    <w:lvl w:ilvl="0" w:tentative="0">
      <w:start w:val="27"/>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1">
    <w:nsid w:val="6EFC15FB"/>
    <w:multiLevelType w:val="multilevel"/>
    <w:tmpl w:val="6EFC15FB"/>
    <w:lvl w:ilvl="0" w:tentative="0">
      <w:start w:val="29"/>
      <w:numFmt w:val="decimal"/>
      <w:lvlText w:val="%1.2.3"/>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82">
    <w:nsid w:val="6FFF468F"/>
    <w:multiLevelType w:val="multilevel"/>
    <w:tmpl w:val="6FFF468F"/>
    <w:lvl w:ilvl="0" w:tentative="0">
      <w:start w:val="33"/>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3">
    <w:nsid w:val="7107724E"/>
    <w:multiLevelType w:val="multilevel"/>
    <w:tmpl w:val="7107724E"/>
    <w:lvl w:ilvl="0" w:tentative="0">
      <w:start w:val="27"/>
      <w:numFmt w:val="decimal"/>
      <w:lvlText w:val="%1.3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4">
    <w:nsid w:val="71231086"/>
    <w:multiLevelType w:val="multilevel"/>
    <w:tmpl w:val="71231086"/>
    <w:lvl w:ilvl="0" w:tentative="0">
      <w:start w:val="1"/>
      <w:numFmt w:val="decimal"/>
      <w:lvlText w:val="%1."/>
      <w:lvlJc w:val="left"/>
      <w:pPr>
        <w:ind w:left="945" w:hanging="420"/>
      </w:pPr>
      <w:rPr>
        <w:rFonts w:hint="eastAsia"/>
      </w:rPr>
    </w:lvl>
    <w:lvl w:ilvl="1" w:tentative="0">
      <w:start w:val="1"/>
      <w:numFmt w:val="lowerLetter"/>
      <w:lvlText w:val="%2)"/>
      <w:lvlJc w:val="left"/>
      <w:pPr>
        <w:ind w:left="1365" w:hanging="420"/>
      </w:pPr>
    </w:lvl>
    <w:lvl w:ilvl="2" w:tentative="0">
      <w:start w:val="1"/>
      <w:numFmt w:val="lowerRoman"/>
      <w:lvlText w:val="%3."/>
      <w:lvlJc w:val="right"/>
      <w:pPr>
        <w:ind w:left="1785" w:hanging="420"/>
      </w:pPr>
    </w:lvl>
    <w:lvl w:ilvl="3" w:tentative="0">
      <w:start w:val="1"/>
      <w:numFmt w:val="decimal"/>
      <w:lvlText w:val="%4."/>
      <w:lvlJc w:val="left"/>
      <w:pPr>
        <w:ind w:left="2205" w:hanging="420"/>
      </w:pPr>
    </w:lvl>
    <w:lvl w:ilvl="4" w:tentative="0">
      <w:start w:val="1"/>
      <w:numFmt w:val="lowerLetter"/>
      <w:lvlText w:val="%5)"/>
      <w:lvlJc w:val="left"/>
      <w:pPr>
        <w:ind w:left="2625" w:hanging="420"/>
      </w:pPr>
    </w:lvl>
    <w:lvl w:ilvl="5" w:tentative="0">
      <w:start w:val="1"/>
      <w:numFmt w:val="lowerRoman"/>
      <w:lvlText w:val="%6."/>
      <w:lvlJc w:val="right"/>
      <w:pPr>
        <w:ind w:left="3045" w:hanging="420"/>
      </w:pPr>
    </w:lvl>
    <w:lvl w:ilvl="6" w:tentative="0">
      <w:start w:val="1"/>
      <w:numFmt w:val="decimal"/>
      <w:lvlText w:val="%7."/>
      <w:lvlJc w:val="left"/>
      <w:pPr>
        <w:ind w:left="3465" w:hanging="420"/>
      </w:pPr>
    </w:lvl>
    <w:lvl w:ilvl="7" w:tentative="0">
      <w:start w:val="1"/>
      <w:numFmt w:val="lowerLetter"/>
      <w:lvlText w:val="%8)"/>
      <w:lvlJc w:val="left"/>
      <w:pPr>
        <w:ind w:left="3885" w:hanging="420"/>
      </w:pPr>
    </w:lvl>
    <w:lvl w:ilvl="8" w:tentative="0">
      <w:start w:val="1"/>
      <w:numFmt w:val="lowerRoman"/>
      <w:lvlText w:val="%9."/>
      <w:lvlJc w:val="right"/>
      <w:pPr>
        <w:ind w:left="4305" w:hanging="420"/>
      </w:pPr>
    </w:lvl>
  </w:abstractNum>
  <w:abstractNum w:abstractNumId="85">
    <w:nsid w:val="73332E84"/>
    <w:multiLevelType w:val="multilevel"/>
    <w:tmpl w:val="73332E84"/>
    <w:lvl w:ilvl="0" w:tentative="0">
      <w:start w:val="6"/>
      <w:numFmt w:val="decimal"/>
      <w:lvlText w:val="%1."/>
      <w:lvlJc w:val="left"/>
      <w:pPr>
        <w:ind w:left="84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6">
    <w:nsid w:val="738573E8"/>
    <w:multiLevelType w:val="multilevel"/>
    <w:tmpl w:val="738573E8"/>
    <w:lvl w:ilvl="0" w:tentative="0">
      <w:start w:val="33"/>
      <w:numFmt w:val="decimal"/>
      <w:lvlText w:val="%1."/>
      <w:lvlJc w:val="left"/>
      <w:pPr>
        <w:ind w:left="420" w:hanging="420"/>
      </w:pPr>
      <w:rPr>
        <w:rFonts w:hint="eastAsia"/>
      </w:rPr>
    </w:lvl>
    <w:lvl w:ilvl="1" w:tentative="0">
      <w:start w:val="3"/>
      <w:numFmt w:val="decimal"/>
      <w:lvlText w:val="32.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87">
    <w:nsid w:val="73973D22"/>
    <w:multiLevelType w:val="multilevel"/>
    <w:tmpl w:val="73973D22"/>
    <w:lvl w:ilvl="0" w:tentative="0">
      <w:start w:val="1"/>
      <w:numFmt w:val="decimal"/>
      <w:lvlText w:val="34.1.%1"/>
      <w:lvlJc w:val="left"/>
      <w:pPr>
        <w:ind w:left="1384" w:hanging="42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88">
    <w:nsid w:val="740F3425"/>
    <w:multiLevelType w:val="multilevel"/>
    <w:tmpl w:val="740F3425"/>
    <w:lvl w:ilvl="0" w:tentative="0">
      <w:start w:val="30"/>
      <w:numFmt w:val="decimal"/>
      <w:lvlText w:val="%1.1 "/>
      <w:lvlJc w:val="left"/>
      <w:pPr>
        <w:ind w:left="964" w:hanging="544"/>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89">
    <w:nsid w:val="74EA7979"/>
    <w:multiLevelType w:val="multilevel"/>
    <w:tmpl w:val="74EA7979"/>
    <w:lvl w:ilvl="0" w:tentative="0">
      <w:start w:val="29"/>
      <w:numFmt w:val="decimal"/>
      <w:lvlText w:val="%1.2.8"/>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90">
    <w:nsid w:val="75517D03"/>
    <w:multiLevelType w:val="multilevel"/>
    <w:tmpl w:val="75517D03"/>
    <w:lvl w:ilvl="0" w:tentative="0">
      <w:start w:val="27"/>
      <w:numFmt w:val="decimal"/>
      <w:lvlText w:val="%1."/>
      <w:lvlJc w:val="left"/>
      <w:pPr>
        <w:ind w:left="420" w:hanging="420"/>
      </w:pPr>
      <w:rPr>
        <w:rFonts w:hint="eastAsia"/>
      </w:rPr>
    </w:lvl>
    <w:lvl w:ilvl="1" w:tentative="0">
      <w:start w:val="1"/>
      <w:numFmt w:val="decimal"/>
      <w:lvlText w:val="25.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91">
    <w:nsid w:val="770012BB"/>
    <w:multiLevelType w:val="multilevel"/>
    <w:tmpl w:val="770012BB"/>
    <w:lvl w:ilvl="0" w:tentative="0">
      <w:start w:val="4"/>
      <w:numFmt w:val="decimal"/>
      <w:lvlText w:val="%1.2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2">
    <w:nsid w:val="770A1C09"/>
    <w:multiLevelType w:val="multilevel"/>
    <w:tmpl w:val="770A1C09"/>
    <w:lvl w:ilvl="0" w:tentative="0">
      <w:start w:val="23"/>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3">
    <w:nsid w:val="78EC45A8"/>
    <w:multiLevelType w:val="multilevel"/>
    <w:tmpl w:val="78EC45A8"/>
    <w:lvl w:ilvl="0" w:tentative="0">
      <w:start w:val="41"/>
      <w:numFmt w:val="decimal"/>
      <w:lvlText w:val="%1"/>
      <w:lvlJc w:val="left"/>
      <w:pPr>
        <w:ind w:left="636" w:hanging="636"/>
      </w:pPr>
      <w:rPr>
        <w:rFonts w:hint="default"/>
      </w:rPr>
    </w:lvl>
    <w:lvl w:ilvl="1" w:tentative="0">
      <w:start w:val="1"/>
      <w:numFmt w:val="decimal"/>
      <w:lvlText w:val="%1.%2"/>
      <w:lvlJc w:val="left"/>
      <w:pPr>
        <w:ind w:left="720" w:hanging="720"/>
      </w:pPr>
      <w:rPr>
        <w:rFonts w:hint="default"/>
      </w:rPr>
    </w:lvl>
    <w:lvl w:ilvl="2" w:tentative="0">
      <w:start w:val="1"/>
      <w:numFmt w:val="decimal"/>
      <w:lvlText w:val="%1.%2.%3"/>
      <w:lvlJc w:val="left"/>
      <w:pPr>
        <w:ind w:left="1080" w:hanging="108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440" w:hanging="1440"/>
      </w:pPr>
      <w:rPr>
        <w:rFonts w:hint="default"/>
      </w:rPr>
    </w:lvl>
    <w:lvl w:ilvl="5" w:tentative="0">
      <w:start w:val="1"/>
      <w:numFmt w:val="decimal"/>
      <w:lvlText w:val="%1.%2.%3.%4.%5.%6"/>
      <w:lvlJc w:val="left"/>
      <w:pPr>
        <w:ind w:left="1800" w:hanging="1800"/>
      </w:pPr>
      <w:rPr>
        <w:rFonts w:hint="default"/>
      </w:rPr>
    </w:lvl>
    <w:lvl w:ilvl="6" w:tentative="0">
      <w:start w:val="1"/>
      <w:numFmt w:val="decimal"/>
      <w:lvlText w:val="%1.%2.%3.%4.%5.%6.%7"/>
      <w:lvlJc w:val="left"/>
      <w:pPr>
        <w:ind w:left="2160" w:hanging="2160"/>
      </w:pPr>
      <w:rPr>
        <w:rFonts w:hint="default"/>
      </w:rPr>
    </w:lvl>
    <w:lvl w:ilvl="7" w:tentative="0">
      <w:start w:val="1"/>
      <w:numFmt w:val="decimal"/>
      <w:lvlText w:val="%1.%2.%3.%4.%5.%6.%7.%8"/>
      <w:lvlJc w:val="left"/>
      <w:pPr>
        <w:ind w:left="2520" w:hanging="2520"/>
      </w:pPr>
      <w:rPr>
        <w:rFonts w:hint="default"/>
      </w:rPr>
    </w:lvl>
    <w:lvl w:ilvl="8" w:tentative="0">
      <w:start w:val="1"/>
      <w:numFmt w:val="decimal"/>
      <w:lvlText w:val="%1.%2.%3.%4.%5.%6.%7.%8.%9"/>
      <w:lvlJc w:val="left"/>
      <w:pPr>
        <w:ind w:left="2880" w:hanging="2880"/>
      </w:pPr>
      <w:rPr>
        <w:rFonts w:hint="default"/>
      </w:rPr>
    </w:lvl>
  </w:abstractNum>
  <w:abstractNum w:abstractNumId="94">
    <w:nsid w:val="7B3910BC"/>
    <w:multiLevelType w:val="multilevel"/>
    <w:tmpl w:val="7B3910BC"/>
    <w:lvl w:ilvl="0" w:tentative="0">
      <w:start w:val="12"/>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5">
    <w:nsid w:val="7BB81998"/>
    <w:multiLevelType w:val="multilevel"/>
    <w:tmpl w:val="7BB81998"/>
    <w:lvl w:ilvl="0" w:tentative="0">
      <w:start w:val="5"/>
      <w:numFmt w:val="decimal"/>
      <w:lvlText w:val="%1.2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6">
    <w:nsid w:val="7DFC0FFB"/>
    <w:multiLevelType w:val="multilevel"/>
    <w:tmpl w:val="7DFC0FFB"/>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7">
    <w:nsid w:val="7E7C3341"/>
    <w:multiLevelType w:val="multilevel"/>
    <w:tmpl w:val="7E7C3341"/>
    <w:lvl w:ilvl="0" w:tentative="0">
      <w:start w:val="1"/>
      <w:numFmt w:val="decimal"/>
      <w:lvlText w:val="32.1.%1"/>
      <w:lvlJc w:val="left"/>
      <w:pPr>
        <w:ind w:left="1384" w:hanging="42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num w:numId="1">
    <w:abstractNumId w:val="2"/>
  </w:num>
  <w:num w:numId="2">
    <w:abstractNumId w:val="3"/>
  </w:num>
  <w:num w:numId="3">
    <w:abstractNumId w:val="63"/>
  </w:num>
  <w:num w:numId="4">
    <w:abstractNumId w:val="23"/>
  </w:num>
  <w:num w:numId="5">
    <w:abstractNumId w:val="84"/>
  </w:num>
  <w:num w:numId="6">
    <w:abstractNumId w:val="35"/>
  </w:num>
  <w:num w:numId="7">
    <w:abstractNumId w:val="18"/>
  </w:num>
  <w:num w:numId="8">
    <w:abstractNumId w:val="12"/>
  </w:num>
  <w:num w:numId="9">
    <w:abstractNumId w:val="51"/>
  </w:num>
  <w:num w:numId="10">
    <w:abstractNumId w:val="70"/>
  </w:num>
  <w:num w:numId="11">
    <w:abstractNumId w:val="61"/>
  </w:num>
  <w:num w:numId="12">
    <w:abstractNumId w:val="91"/>
  </w:num>
  <w:num w:numId="13">
    <w:abstractNumId w:val="30"/>
  </w:num>
  <w:num w:numId="14">
    <w:abstractNumId w:val="95"/>
  </w:num>
  <w:num w:numId="15">
    <w:abstractNumId w:val="54"/>
  </w:num>
  <w:num w:numId="16">
    <w:abstractNumId w:val="57"/>
  </w:num>
  <w:num w:numId="17">
    <w:abstractNumId w:val="59"/>
  </w:num>
  <w:num w:numId="18">
    <w:abstractNumId w:val="85"/>
  </w:num>
  <w:num w:numId="19">
    <w:abstractNumId w:val="76"/>
  </w:num>
  <w:num w:numId="20">
    <w:abstractNumId w:val="46"/>
  </w:num>
  <w:num w:numId="21">
    <w:abstractNumId w:val="43"/>
  </w:num>
  <w:num w:numId="22">
    <w:abstractNumId w:val="21"/>
  </w:num>
  <w:num w:numId="23">
    <w:abstractNumId w:val="62"/>
  </w:num>
  <w:num w:numId="24">
    <w:abstractNumId w:val="0"/>
  </w:num>
  <w:num w:numId="25">
    <w:abstractNumId w:val="1"/>
  </w:num>
  <w:num w:numId="26">
    <w:abstractNumId w:val="96"/>
  </w:num>
  <w:num w:numId="27">
    <w:abstractNumId w:val="32"/>
  </w:num>
  <w:num w:numId="28">
    <w:abstractNumId w:val="78"/>
  </w:num>
  <w:num w:numId="29">
    <w:abstractNumId w:val="41"/>
  </w:num>
  <w:num w:numId="30">
    <w:abstractNumId w:val="44"/>
  </w:num>
  <w:num w:numId="31">
    <w:abstractNumId w:val="73"/>
  </w:num>
  <w:num w:numId="32">
    <w:abstractNumId w:val="22"/>
  </w:num>
  <w:num w:numId="33">
    <w:abstractNumId w:val="25"/>
  </w:num>
  <w:num w:numId="34">
    <w:abstractNumId w:val="94"/>
  </w:num>
  <w:num w:numId="35">
    <w:abstractNumId w:val="69"/>
  </w:num>
  <w:num w:numId="36">
    <w:abstractNumId w:val="92"/>
  </w:num>
  <w:num w:numId="37">
    <w:abstractNumId w:val="13"/>
  </w:num>
  <w:num w:numId="38">
    <w:abstractNumId w:val="16"/>
  </w:num>
  <w:num w:numId="39">
    <w:abstractNumId w:val="67"/>
  </w:num>
  <w:num w:numId="40">
    <w:abstractNumId w:val="39"/>
  </w:num>
  <w:num w:numId="41">
    <w:abstractNumId w:val="64"/>
  </w:num>
  <w:num w:numId="42">
    <w:abstractNumId w:val="77"/>
  </w:num>
  <w:num w:numId="43">
    <w:abstractNumId w:val="49"/>
  </w:num>
  <w:num w:numId="44">
    <w:abstractNumId w:val="40"/>
  </w:num>
  <w:num w:numId="45">
    <w:abstractNumId w:val="9"/>
  </w:num>
  <w:num w:numId="46">
    <w:abstractNumId w:val="28"/>
  </w:num>
  <w:num w:numId="47">
    <w:abstractNumId w:val="27"/>
  </w:num>
  <w:num w:numId="48">
    <w:abstractNumId w:val="90"/>
  </w:num>
  <w:num w:numId="49">
    <w:abstractNumId w:val="80"/>
  </w:num>
  <w:num w:numId="50">
    <w:abstractNumId w:val="72"/>
  </w:num>
  <w:num w:numId="51">
    <w:abstractNumId w:val="83"/>
  </w:num>
  <w:num w:numId="52">
    <w:abstractNumId w:val="58"/>
  </w:num>
  <w:num w:numId="53">
    <w:abstractNumId w:val="17"/>
  </w:num>
  <w:num w:numId="54">
    <w:abstractNumId w:val="31"/>
  </w:num>
  <w:num w:numId="55">
    <w:abstractNumId w:val="74"/>
  </w:num>
  <w:num w:numId="56">
    <w:abstractNumId w:val="45"/>
  </w:num>
  <w:num w:numId="57">
    <w:abstractNumId w:val="56"/>
  </w:num>
  <w:num w:numId="58">
    <w:abstractNumId w:val="81"/>
  </w:num>
  <w:num w:numId="59">
    <w:abstractNumId w:val="66"/>
  </w:num>
  <w:num w:numId="60">
    <w:abstractNumId w:val="48"/>
  </w:num>
  <w:num w:numId="61">
    <w:abstractNumId w:val="34"/>
  </w:num>
  <w:num w:numId="62">
    <w:abstractNumId w:val="37"/>
  </w:num>
  <w:num w:numId="63">
    <w:abstractNumId w:val="89"/>
  </w:num>
  <w:num w:numId="64">
    <w:abstractNumId w:val="38"/>
  </w:num>
  <w:num w:numId="65">
    <w:abstractNumId w:val="29"/>
  </w:num>
  <w:num w:numId="66">
    <w:abstractNumId w:val="14"/>
  </w:num>
  <w:num w:numId="67">
    <w:abstractNumId w:val="60"/>
  </w:num>
  <w:num w:numId="68">
    <w:abstractNumId w:val="55"/>
  </w:num>
  <w:num w:numId="69">
    <w:abstractNumId w:val="7"/>
  </w:num>
  <w:num w:numId="70">
    <w:abstractNumId w:val="36"/>
  </w:num>
  <w:num w:numId="71">
    <w:abstractNumId w:val="10"/>
  </w:num>
  <w:num w:numId="72">
    <w:abstractNumId w:val="24"/>
  </w:num>
  <w:num w:numId="73">
    <w:abstractNumId w:val="71"/>
  </w:num>
  <w:num w:numId="74">
    <w:abstractNumId w:val="88"/>
  </w:num>
  <w:num w:numId="75">
    <w:abstractNumId w:val="53"/>
  </w:num>
  <w:num w:numId="76">
    <w:abstractNumId w:val="79"/>
  </w:num>
  <w:num w:numId="77">
    <w:abstractNumId w:val="97"/>
  </w:num>
  <w:num w:numId="78">
    <w:abstractNumId w:val="26"/>
  </w:num>
  <w:num w:numId="79">
    <w:abstractNumId w:val="33"/>
  </w:num>
  <w:num w:numId="80">
    <w:abstractNumId w:val="52"/>
  </w:num>
  <w:num w:numId="81">
    <w:abstractNumId w:val="5"/>
  </w:num>
  <w:num w:numId="82">
    <w:abstractNumId w:val="8"/>
  </w:num>
  <w:num w:numId="83">
    <w:abstractNumId w:val="15"/>
  </w:num>
  <w:num w:numId="84">
    <w:abstractNumId w:val="86"/>
  </w:num>
  <w:num w:numId="85">
    <w:abstractNumId w:val="47"/>
  </w:num>
  <w:num w:numId="86">
    <w:abstractNumId w:val="82"/>
  </w:num>
  <w:num w:numId="87">
    <w:abstractNumId w:val="68"/>
  </w:num>
  <w:num w:numId="88">
    <w:abstractNumId w:val="6"/>
  </w:num>
  <w:num w:numId="89">
    <w:abstractNumId w:val="87"/>
  </w:num>
  <w:num w:numId="90">
    <w:abstractNumId w:val="20"/>
  </w:num>
  <w:num w:numId="91">
    <w:abstractNumId w:val="4"/>
  </w:num>
  <w:num w:numId="92">
    <w:abstractNumId w:val="65"/>
  </w:num>
  <w:num w:numId="93">
    <w:abstractNumId w:val="19"/>
  </w:num>
  <w:num w:numId="94">
    <w:abstractNumId w:val="11"/>
  </w:num>
  <w:num w:numId="95">
    <w:abstractNumId w:val="75"/>
  </w:num>
  <w:num w:numId="96">
    <w:abstractNumId w:val="42"/>
  </w:num>
  <w:num w:numId="97">
    <w:abstractNumId w:val="50"/>
  </w:num>
  <w:num w:numId="98">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displayBackgroundShape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516033"/>
    <w:rsid w:val="00002E8B"/>
    <w:rsid w:val="00013FEE"/>
    <w:rsid w:val="000173B8"/>
    <w:rsid w:val="0008107A"/>
    <w:rsid w:val="00093F24"/>
    <w:rsid w:val="000D6947"/>
    <w:rsid w:val="000E6954"/>
    <w:rsid w:val="000F050D"/>
    <w:rsid w:val="00147E8D"/>
    <w:rsid w:val="001B3947"/>
    <w:rsid w:val="001C18EF"/>
    <w:rsid w:val="001D192D"/>
    <w:rsid w:val="001D40AF"/>
    <w:rsid w:val="002042CA"/>
    <w:rsid w:val="0022030F"/>
    <w:rsid w:val="00283898"/>
    <w:rsid w:val="002B071C"/>
    <w:rsid w:val="002C332D"/>
    <w:rsid w:val="002C5286"/>
    <w:rsid w:val="002D5594"/>
    <w:rsid w:val="002F5FB7"/>
    <w:rsid w:val="00305F10"/>
    <w:rsid w:val="00385196"/>
    <w:rsid w:val="003A5963"/>
    <w:rsid w:val="003B43C7"/>
    <w:rsid w:val="003F1627"/>
    <w:rsid w:val="003F24FC"/>
    <w:rsid w:val="00421ECE"/>
    <w:rsid w:val="004A602D"/>
    <w:rsid w:val="004A61BD"/>
    <w:rsid w:val="004E49F3"/>
    <w:rsid w:val="00501CDD"/>
    <w:rsid w:val="00516033"/>
    <w:rsid w:val="00520121"/>
    <w:rsid w:val="00562B34"/>
    <w:rsid w:val="005705BD"/>
    <w:rsid w:val="00583C52"/>
    <w:rsid w:val="005F1D10"/>
    <w:rsid w:val="006075EF"/>
    <w:rsid w:val="00655A28"/>
    <w:rsid w:val="00667C0F"/>
    <w:rsid w:val="006744C9"/>
    <w:rsid w:val="00680632"/>
    <w:rsid w:val="00680CCE"/>
    <w:rsid w:val="006818EA"/>
    <w:rsid w:val="00686BD5"/>
    <w:rsid w:val="006D47E0"/>
    <w:rsid w:val="006E088E"/>
    <w:rsid w:val="006E1961"/>
    <w:rsid w:val="00725BDD"/>
    <w:rsid w:val="008A62DE"/>
    <w:rsid w:val="008E7332"/>
    <w:rsid w:val="00903841"/>
    <w:rsid w:val="009172D1"/>
    <w:rsid w:val="009D30FE"/>
    <w:rsid w:val="009F67FC"/>
    <w:rsid w:val="00A11DB5"/>
    <w:rsid w:val="00A5235A"/>
    <w:rsid w:val="00A86C76"/>
    <w:rsid w:val="00AA66C9"/>
    <w:rsid w:val="00B0245F"/>
    <w:rsid w:val="00B4658C"/>
    <w:rsid w:val="00B62F32"/>
    <w:rsid w:val="00B66041"/>
    <w:rsid w:val="00B871F1"/>
    <w:rsid w:val="00B939FE"/>
    <w:rsid w:val="00B96F3F"/>
    <w:rsid w:val="00BE6B28"/>
    <w:rsid w:val="00C259D3"/>
    <w:rsid w:val="00C631B9"/>
    <w:rsid w:val="00CC5CF1"/>
    <w:rsid w:val="00D23F1E"/>
    <w:rsid w:val="00D82881"/>
    <w:rsid w:val="00D82949"/>
    <w:rsid w:val="00D90178"/>
    <w:rsid w:val="00DA18E3"/>
    <w:rsid w:val="00DE514C"/>
    <w:rsid w:val="00DE5541"/>
    <w:rsid w:val="00DF08F7"/>
    <w:rsid w:val="00E14987"/>
    <w:rsid w:val="00E5641D"/>
    <w:rsid w:val="00E949FB"/>
    <w:rsid w:val="00EB1C1D"/>
    <w:rsid w:val="00EC19AF"/>
    <w:rsid w:val="00EC6238"/>
    <w:rsid w:val="00F12467"/>
    <w:rsid w:val="00F22E7C"/>
    <w:rsid w:val="00F636A3"/>
    <w:rsid w:val="00F73640"/>
    <w:rsid w:val="00F73A6B"/>
    <w:rsid w:val="00F850F3"/>
    <w:rsid w:val="00F85F33"/>
    <w:rsid w:val="00F97D97"/>
    <w:rsid w:val="00FA61EE"/>
    <w:rsid w:val="01780EF9"/>
    <w:rsid w:val="052D5910"/>
    <w:rsid w:val="05C15080"/>
    <w:rsid w:val="05E11BA5"/>
    <w:rsid w:val="0781197B"/>
    <w:rsid w:val="097129F0"/>
    <w:rsid w:val="0C8D0714"/>
    <w:rsid w:val="0F8D020F"/>
    <w:rsid w:val="16501227"/>
    <w:rsid w:val="1C217434"/>
    <w:rsid w:val="1E857F22"/>
    <w:rsid w:val="1FD665CB"/>
    <w:rsid w:val="22727213"/>
    <w:rsid w:val="229009C2"/>
    <w:rsid w:val="255B2F57"/>
    <w:rsid w:val="291021EA"/>
    <w:rsid w:val="2DDA3448"/>
    <w:rsid w:val="2E6E2B9C"/>
    <w:rsid w:val="30054CD6"/>
    <w:rsid w:val="3166141B"/>
    <w:rsid w:val="35002E80"/>
    <w:rsid w:val="371254C9"/>
    <w:rsid w:val="373B05AC"/>
    <w:rsid w:val="3A956CA9"/>
    <w:rsid w:val="3C554A8C"/>
    <w:rsid w:val="3E0D055A"/>
    <w:rsid w:val="452F2C10"/>
    <w:rsid w:val="463E4FCC"/>
    <w:rsid w:val="4A411F28"/>
    <w:rsid w:val="4BBA244A"/>
    <w:rsid w:val="4D371A30"/>
    <w:rsid w:val="4E5C081F"/>
    <w:rsid w:val="50F23CDB"/>
    <w:rsid w:val="51CC1440"/>
    <w:rsid w:val="553F2EA9"/>
    <w:rsid w:val="594D1592"/>
    <w:rsid w:val="5B653C0C"/>
    <w:rsid w:val="5D3E0381"/>
    <w:rsid w:val="5E417DB0"/>
    <w:rsid w:val="5E4C19C5"/>
    <w:rsid w:val="615867A8"/>
    <w:rsid w:val="65B243E4"/>
    <w:rsid w:val="66BE141F"/>
    <w:rsid w:val="699456BD"/>
    <w:rsid w:val="6A49074B"/>
    <w:rsid w:val="72A66EA6"/>
    <w:rsid w:val="75742F72"/>
    <w:rsid w:val="75DA39E0"/>
    <w:rsid w:val="77EC215A"/>
    <w:rsid w:val="79D2406A"/>
    <w:rsid w:val="7C6158D2"/>
    <w:rsid w:val="7C8C7A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qFormat="1" w:unhideWhenUsed="0" w:uiPriority="39" w:semiHidden="0" w:name="toc 3"/>
    <w:lsdException w:uiPriority="39" w:name="toc 4"/>
    <w:lsdException w:qFormat="1" w:unhideWhenUsed="0" w:uiPriority="39" w:semiHidden="0"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nhideWhenUsed="0" w:uiPriority="0" w:semiHidden="0" w:name="Body Text First Indent"/>
    <w:lsdException w:uiPriority="99" w:name="Body Text First Indent 2"/>
    <w:lsdException w:uiPriority="99" w:name="Note Heading"/>
    <w:lsdException w:uiPriority="99" w:name="Body Text 2"/>
    <w:lsdException w:qFormat="1" w:unhideWhenUsed="0" w:uiPriority="0" w:semiHidden="0"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8"/>
    <w:qFormat/>
    <w:uiPriority w:val="0"/>
    <w:pPr>
      <w:keepNext/>
      <w:keepLines/>
      <w:numPr>
        <w:ilvl w:val="0"/>
        <w:numId w:val="1"/>
      </w:numPr>
      <w:adjustRightInd w:val="0"/>
      <w:spacing w:before="340" w:after="330" w:line="578" w:lineRule="atLeast"/>
      <w:ind w:left="0"/>
      <w:jc w:val="left"/>
      <w:textAlignment w:val="baseline"/>
      <w:outlineLvl w:val="0"/>
    </w:pPr>
    <w:rPr>
      <w:rFonts w:ascii="Calibri" w:hAnsi="Calibri" w:eastAsia="宋体" w:cs="Times New Roman"/>
      <w:b/>
      <w:bCs/>
      <w:kern w:val="44"/>
      <w:sz w:val="44"/>
      <w:szCs w:val="44"/>
    </w:rPr>
  </w:style>
  <w:style w:type="paragraph" w:styleId="3">
    <w:name w:val="heading 2"/>
    <w:basedOn w:val="1"/>
    <w:next w:val="1"/>
    <w:link w:val="29"/>
    <w:qFormat/>
    <w:uiPriority w:val="0"/>
    <w:pPr>
      <w:keepNext/>
      <w:keepLines/>
      <w:numPr>
        <w:ilvl w:val="1"/>
        <w:numId w:val="1"/>
      </w:numPr>
      <w:adjustRightInd w:val="0"/>
      <w:spacing w:before="260" w:after="260" w:line="416" w:lineRule="atLeast"/>
      <w:jc w:val="left"/>
      <w:textAlignment w:val="baseline"/>
      <w:outlineLvl w:val="1"/>
    </w:pPr>
    <w:rPr>
      <w:rFonts w:ascii="Arial" w:hAnsi="Arial" w:eastAsia="黑体" w:cs="Times New Roman"/>
      <w:b/>
      <w:bCs/>
      <w:kern w:val="0"/>
      <w:sz w:val="32"/>
      <w:szCs w:val="32"/>
    </w:rPr>
  </w:style>
  <w:style w:type="paragraph" w:styleId="4">
    <w:name w:val="heading 3"/>
    <w:basedOn w:val="1"/>
    <w:next w:val="1"/>
    <w:link w:val="30"/>
    <w:qFormat/>
    <w:uiPriority w:val="0"/>
    <w:pPr>
      <w:autoSpaceDE w:val="0"/>
      <w:autoSpaceDN w:val="0"/>
      <w:adjustRightInd w:val="0"/>
      <w:spacing w:afterLines="50" w:line="360" w:lineRule="auto"/>
      <w:ind w:left="-4"/>
      <w:jc w:val="center"/>
      <w:outlineLvl w:val="2"/>
    </w:pPr>
    <w:rPr>
      <w:rFonts w:ascii="宋体" w:hAnsi="宋体" w:eastAsia="宋体" w:cs="Times New Roman"/>
      <w:b/>
      <w:color w:val="000000"/>
      <w:kern w:val="0"/>
      <w:sz w:val="24"/>
      <w:szCs w:val="20"/>
      <w:lang w:val="en-GB"/>
    </w:rPr>
  </w:style>
  <w:style w:type="paragraph" w:styleId="5">
    <w:name w:val="heading 4"/>
    <w:basedOn w:val="1"/>
    <w:next w:val="1"/>
    <w:link w:val="31"/>
    <w:qFormat/>
    <w:uiPriority w:val="0"/>
    <w:pPr>
      <w:keepNext/>
      <w:keepLines/>
      <w:numPr>
        <w:ilvl w:val="3"/>
        <w:numId w:val="1"/>
      </w:numPr>
      <w:adjustRightInd w:val="0"/>
      <w:spacing w:before="280" w:after="290" w:line="376" w:lineRule="atLeast"/>
      <w:jc w:val="left"/>
      <w:textAlignment w:val="baseline"/>
      <w:outlineLvl w:val="3"/>
    </w:pPr>
    <w:rPr>
      <w:rFonts w:ascii="Arial" w:hAnsi="Arial" w:eastAsia="黑体" w:cs="Times New Roman"/>
      <w:b/>
      <w:bCs/>
      <w:kern w:val="0"/>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5"/>
    </w:pPr>
    <w:rPr>
      <w:rFonts w:ascii="Times New Roman" w:hAnsi="Times New Roman" w:eastAsia="宋体" w:cs="Times New Roman"/>
      <w:szCs w:val="20"/>
    </w:rPr>
  </w:style>
  <w:style w:type="paragraph" w:styleId="7">
    <w:name w:val="caption"/>
    <w:basedOn w:val="1"/>
    <w:next w:val="1"/>
    <w:qFormat/>
    <w:uiPriority w:val="0"/>
    <w:rPr>
      <w:rFonts w:ascii="Arial" w:hAnsi="Arial" w:eastAsia="黑体" w:cs="Arial"/>
      <w:sz w:val="20"/>
      <w:szCs w:val="20"/>
    </w:rPr>
  </w:style>
  <w:style w:type="paragraph" w:styleId="8">
    <w:name w:val="Body Text 3"/>
    <w:basedOn w:val="1"/>
    <w:link w:val="32"/>
    <w:qFormat/>
    <w:uiPriority w:val="0"/>
    <w:rPr>
      <w:rFonts w:ascii="Times New Roman" w:hAnsi="Times New Roman" w:eastAsia="宋体" w:cs="Times New Roman"/>
      <w:color w:val="FF0000"/>
      <w:sz w:val="24"/>
      <w:szCs w:val="24"/>
    </w:rPr>
  </w:style>
  <w:style w:type="paragraph" w:styleId="9">
    <w:name w:val="Body Text"/>
    <w:basedOn w:val="1"/>
    <w:link w:val="33"/>
    <w:semiHidden/>
    <w:unhideWhenUsed/>
    <w:qFormat/>
    <w:uiPriority w:val="99"/>
    <w:pPr>
      <w:spacing w:after="120"/>
    </w:pPr>
  </w:style>
  <w:style w:type="paragraph" w:styleId="10">
    <w:name w:val="Body Text Indent"/>
    <w:basedOn w:val="1"/>
    <w:link w:val="57"/>
    <w:qFormat/>
    <w:uiPriority w:val="0"/>
    <w:pPr>
      <w:adjustRightInd w:val="0"/>
      <w:spacing w:after="120" w:line="360" w:lineRule="atLeast"/>
      <w:ind w:left="420" w:leftChars="200"/>
      <w:jc w:val="left"/>
      <w:textAlignment w:val="baseline"/>
    </w:pPr>
    <w:rPr>
      <w:sz w:val="24"/>
    </w:rPr>
  </w:style>
  <w:style w:type="paragraph" w:styleId="11">
    <w:name w:val="toc 5"/>
    <w:basedOn w:val="1"/>
    <w:next w:val="1"/>
    <w:qFormat/>
    <w:uiPriority w:val="39"/>
    <w:pPr>
      <w:spacing w:line="276" w:lineRule="auto"/>
      <w:ind w:left="960"/>
      <w:jc w:val="center"/>
    </w:pPr>
    <w:rPr>
      <w:rFonts w:ascii="Times New Roman" w:hAnsi="Times New Roman" w:eastAsia="宋体" w:cs="Times New Roman"/>
      <w:b/>
      <w:color w:val="000000"/>
      <w:sz w:val="36"/>
      <w:szCs w:val="36"/>
    </w:rPr>
  </w:style>
  <w:style w:type="paragraph" w:styleId="12">
    <w:name w:val="toc 3"/>
    <w:basedOn w:val="1"/>
    <w:next w:val="1"/>
    <w:qFormat/>
    <w:uiPriority w:val="39"/>
    <w:pPr>
      <w:ind w:left="480"/>
      <w:jc w:val="left"/>
    </w:pPr>
    <w:rPr>
      <w:rFonts w:ascii="Times New Roman" w:hAnsi="Times New Roman" w:eastAsia="宋体" w:cs="Times New Roman"/>
      <w:i/>
      <w:iCs/>
      <w:color w:val="0000FF"/>
      <w:sz w:val="20"/>
      <w:szCs w:val="20"/>
    </w:rPr>
  </w:style>
  <w:style w:type="paragraph" w:styleId="13">
    <w:name w:val="Plain Text"/>
    <w:basedOn w:val="1"/>
    <w:link w:val="35"/>
    <w:qFormat/>
    <w:uiPriority w:val="0"/>
    <w:rPr>
      <w:rFonts w:eastAsia="宋体"/>
      <w:sz w:val="24"/>
    </w:rPr>
  </w:style>
  <w:style w:type="paragraph" w:styleId="14">
    <w:name w:val="Date"/>
    <w:basedOn w:val="1"/>
    <w:next w:val="1"/>
    <w:link w:val="36"/>
    <w:unhideWhenUsed/>
    <w:qFormat/>
    <w:uiPriority w:val="99"/>
    <w:pPr>
      <w:ind w:left="100" w:leftChars="2500"/>
    </w:pPr>
  </w:style>
  <w:style w:type="paragraph" w:styleId="15">
    <w:name w:val="Balloon Text"/>
    <w:basedOn w:val="1"/>
    <w:link w:val="58"/>
    <w:semiHidden/>
    <w:unhideWhenUsed/>
    <w:qFormat/>
    <w:uiPriority w:val="99"/>
    <w:rPr>
      <w:sz w:val="18"/>
      <w:szCs w:val="18"/>
    </w:rPr>
  </w:style>
  <w:style w:type="paragraph" w:styleId="16">
    <w:name w:val="footer"/>
    <w:basedOn w:val="1"/>
    <w:link w:val="38"/>
    <w:unhideWhenUsed/>
    <w:qFormat/>
    <w:uiPriority w:val="99"/>
    <w:pPr>
      <w:tabs>
        <w:tab w:val="center" w:pos="4153"/>
        <w:tab w:val="right" w:pos="8306"/>
      </w:tabs>
      <w:snapToGrid w:val="0"/>
      <w:jc w:val="left"/>
    </w:pPr>
    <w:rPr>
      <w:sz w:val="18"/>
      <w:szCs w:val="18"/>
    </w:rPr>
  </w:style>
  <w:style w:type="paragraph" w:styleId="17">
    <w:name w:val="header"/>
    <w:basedOn w:val="1"/>
    <w:link w:val="39"/>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toc 1"/>
    <w:basedOn w:val="1"/>
    <w:next w:val="1"/>
    <w:qFormat/>
    <w:uiPriority w:val="39"/>
    <w:pPr>
      <w:spacing w:before="120" w:after="120"/>
      <w:jc w:val="left"/>
    </w:pPr>
    <w:rPr>
      <w:rFonts w:ascii="Times New Roman" w:hAnsi="Times New Roman" w:eastAsia="宋体" w:cs="Times New Roman"/>
      <w:b/>
      <w:bCs/>
      <w:caps/>
      <w:color w:val="0000FF"/>
      <w:sz w:val="20"/>
      <w:szCs w:val="20"/>
    </w:rPr>
  </w:style>
  <w:style w:type="paragraph" w:styleId="19">
    <w:name w:val="HTML Preformatted"/>
    <w:basedOn w:val="1"/>
    <w:link w:val="56"/>
    <w:semiHidden/>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rPr>
  </w:style>
  <w:style w:type="paragraph" w:styleId="20">
    <w:name w:val="Normal (Web)"/>
    <w:basedOn w:val="1"/>
    <w:qFormat/>
    <w:uiPriority w:val="99"/>
    <w:rPr>
      <w:rFonts w:ascii="Calibri" w:hAnsi="Calibri" w:eastAsia="宋体" w:cs="Times New Roman"/>
      <w:sz w:val="24"/>
      <w:szCs w:val="24"/>
    </w:rPr>
  </w:style>
  <w:style w:type="paragraph" w:styleId="21">
    <w:name w:val="Body Text First Indent"/>
    <w:basedOn w:val="9"/>
    <w:link w:val="41"/>
    <w:qFormat/>
    <w:uiPriority w:val="0"/>
    <w:pPr>
      <w:ind w:firstLine="420" w:firstLineChars="100"/>
    </w:pPr>
    <w:rPr>
      <w:rFonts w:ascii="宋体" w:hAnsi="Times New Roman" w:eastAsia="宋体" w:cs="Times New Roman"/>
      <w:kern w:val="0"/>
      <w:sz w:val="34"/>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Strong"/>
    <w:basedOn w:val="24"/>
    <w:qFormat/>
    <w:uiPriority w:val="22"/>
    <w:rPr>
      <w:b/>
      <w:bCs/>
    </w:rPr>
  </w:style>
  <w:style w:type="character" w:styleId="26">
    <w:name w:val="FollowedHyperlink"/>
    <w:basedOn w:val="24"/>
    <w:semiHidden/>
    <w:unhideWhenUsed/>
    <w:qFormat/>
    <w:uiPriority w:val="99"/>
    <w:rPr>
      <w:color w:val="800080" w:themeColor="followedHyperlink"/>
      <w:u w:val="single"/>
    </w:rPr>
  </w:style>
  <w:style w:type="character" w:styleId="27">
    <w:name w:val="Hyperlink"/>
    <w:basedOn w:val="24"/>
    <w:unhideWhenUsed/>
    <w:qFormat/>
    <w:uiPriority w:val="99"/>
    <w:rPr>
      <w:color w:val="0000FF"/>
      <w:u w:val="single"/>
    </w:rPr>
  </w:style>
  <w:style w:type="character" w:customStyle="1" w:styleId="28">
    <w:name w:val="标题 1 Char"/>
    <w:basedOn w:val="24"/>
    <w:link w:val="2"/>
    <w:qFormat/>
    <w:uiPriority w:val="0"/>
    <w:rPr>
      <w:rFonts w:ascii="Calibri" w:hAnsi="Calibri" w:eastAsia="宋体" w:cs="Times New Roman"/>
      <w:b/>
      <w:bCs/>
      <w:kern w:val="44"/>
      <w:sz w:val="44"/>
      <w:szCs w:val="44"/>
    </w:rPr>
  </w:style>
  <w:style w:type="character" w:customStyle="1" w:styleId="29">
    <w:name w:val="标题 2 Char"/>
    <w:basedOn w:val="24"/>
    <w:link w:val="3"/>
    <w:qFormat/>
    <w:uiPriority w:val="0"/>
    <w:rPr>
      <w:rFonts w:ascii="Arial" w:hAnsi="Arial" w:eastAsia="黑体" w:cs="Times New Roman"/>
      <w:b/>
      <w:bCs/>
      <w:kern w:val="0"/>
      <w:sz w:val="32"/>
      <w:szCs w:val="32"/>
    </w:rPr>
  </w:style>
  <w:style w:type="character" w:customStyle="1" w:styleId="30">
    <w:name w:val="标题 3 Char"/>
    <w:basedOn w:val="24"/>
    <w:link w:val="4"/>
    <w:qFormat/>
    <w:uiPriority w:val="0"/>
    <w:rPr>
      <w:rFonts w:ascii="宋体" w:hAnsi="宋体" w:eastAsia="宋体" w:cs="Times New Roman"/>
      <w:b/>
      <w:color w:val="000000"/>
      <w:kern w:val="0"/>
      <w:sz w:val="24"/>
      <w:szCs w:val="20"/>
      <w:lang w:val="en-GB"/>
    </w:rPr>
  </w:style>
  <w:style w:type="character" w:customStyle="1" w:styleId="31">
    <w:name w:val="标题 4 Char"/>
    <w:basedOn w:val="24"/>
    <w:link w:val="5"/>
    <w:qFormat/>
    <w:uiPriority w:val="0"/>
    <w:rPr>
      <w:rFonts w:ascii="Arial" w:hAnsi="Arial" w:eastAsia="黑体" w:cs="Times New Roman"/>
      <w:b/>
      <w:bCs/>
      <w:kern w:val="0"/>
      <w:sz w:val="28"/>
      <w:szCs w:val="28"/>
    </w:rPr>
  </w:style>
  <w:style w:type="character" w:customStyle="1" w:styleId="32">
    <w:name w:val="正文文本 3 Char"/>
    <w:basedOn w:val="24"/>
    <w:link w:val="8"/>
    <w:qFormat/>
    <w:uiPriority w:val="0"/>
    <w:rPr>
      <w:rFonts w:ascii="Times New Roman" w:hAnsi="Times New Roman" w:eastAsia="宋体" w:cs="Times New Roman"/>
      <w:color w:val="FF0000"/>
      <w:sz w:val="24"/>
      <w:szCs w:val="24"/>
    </w:rPr>
  </w:style>
  <w:style w:type="character" w:customStyle="1" w:styleId="33">
    <w:name w:val="正文文本 Char"/>
    <w:basedOn w:val="24"/>
    <w:link w:val="9"/>
    <w:semiHidden/>
    <w:qFormat/>
    <w:uiPriority w:val="99"/>
  </w:style>
  <w:style w:type="character" w:customStyle="1" w:styleId="34">
    <w:name w:val="正文文本缩进 Char"/>
    <w:basedOn w:val="24"/>
    <w:qFormat/>
    <w:uiPriority w:val="0"/>
  </w:style>
  <w:style w:type="character" w:customStyle="1" w:styleId="35">
    <w:name w:val="纯文本 Char"/>
    <w:basedOn w:val="24"/>
    <w:link w:val="13"/>
    <w:qFormat/>
    <w:uiPriority w:val="0"/>
    <w:rPr>
      <w:rFonts w:eastAsia="宋体"/>
      <w:sz w:val="24"/>
    </w:rPr>
  </w:style>
  <w:style w:type="character" w:customStyle="1" w:styleId="36">
    <w:name w:val="日期 Char"/>
    <w:basedOn w:val="24"/>
    <w:link w:val="14"/>
    <w:qFormat/>
    <w:uiPriority w:val="99"/>
  </w:style>
  <w:style w:type="character" w:customStyle="1" w:styleId="37">
    <w:name w:val="批注框文本 Char"/>
    <w:basedOn w:val="24"/>
    <w:semiHidden/>
    <w:qFormat/>
    <w:uiPriority w:val="99"/>
    <w:rPr>
      <w:sz w:val="18"/>
      <w:szCs w:val="18"/>
    </w:rPr>
  </w:style>
  <w:style w:type="character" w:customStyle="1" w:styleId="38">
    <w:name w:val="页脚 Char"/>
    <w:basedOn w:val="24"/>
    <w:link w:val="16"/>
    <w:qFormat/>
    <w:uiPriority w:val="99"/>
    <w:rPr>
      <w:sz w:val="18"/>
      <w:szCs w:val="18"/>
    </w:rPr>
  </w:style>
  <w:style w:type="character" w:customStyle="1" w:styleId="39">
    <w:name w:val="页眉 Char"/>
    <w:basedOn w:val="24"/>
    <w:link w:val="17"/>
    <w:qFormat/>
    <w:uiPriority w:val="99"/>
    <w:rPr>
      <w:sz w:val="18"/>
      <w:szCs w:val="18"/>
    </w:rPr>
  </w:style>
  <w:style w:type="character" w:customStyle="1" w:styleId="40">
    <w:name w:val="HTML 预设格式 Char"/>
    <w:basedOn w:val="24"/>
    <w:semiHidden/>
    <w:qFormat/>
    <w:uiPriority w:val="99"/>
    <w:rPr>
      <w:rFonts w:ascii="Courier New" w:hAnsi="Courier New" w:cs="Courier New"/>
      <w:sz w:val="20"/>
      <w:szCs w:val="20"/>
    </w:rPr>
  </w:style>
  <w:style w:type="character" w:customStyle="1" w:styleId="41">
    <w:name w:val="正文首行缩进 Char"/>
    <w:basedOn w:val="33"/>
    <w:link w:val="21"/>
    <w:qFormat/>
    <w:uiPriority w:val="0"/>
    <w:rPr>
      <w:rFonts w:ascii="宋体" w:hAnsi="Times New Roman" w:eastAsia="宋体" w:cs="Times New Roman"/>
      <w:kern w:val="0"/>
      <w:sz w:val="34"/>
      <w:szCs w:val="20"/>
    </w:rPr>
  </w:style>
  <w:style w:type="character" w:customStyle="1" w:styleId="42">
    <w:name w:val="纯文本 Char1"/>
    <w:qFormat/>
    <w:uiPriority w:val="0"/>
    <w:rPr>
      <w:rFonts w:eastAsia="宋体"/>
      <w:sz w:val="24"/>
    </w:rPr>
  </w:style>
  <w:style w:type="paragraph" w:customStyle="1" w:styleId="43">
    <w:name w:val="Default"/>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paragraph" w:customStyle="1" w:styleId="44">
    <w:name w:val="列出段落1"/>
    <w:basedOn w:val="1"/>
    <w:qFormat/>
    <w:uiPriority w:val="0"/>
    <w:pPr>
      <w:ind w:firstLine="420" w:firstLineChars="200"/>
    </w:pPr>
  </w:style>
  <w:style w:type="paragraph" w:styleId="45">
    <w:name w:val="List Paragraph"/>
    <w:basedOn w:val="1"/>
    <w:unhideWhenUsed/>
    <w:qFormat/>
    <w:uiPriority w:val="99"/>
    <w:pPr>
      <w:ind w:firstLine="420" w:firstLineChars="200"/>
    </w:pPr>
  </w:style>
  <w:style w:type="character" w:customStyle="1" w:styleId="46">
    <w:name w:val="正文文本缩进 Char Char"/>
    <w:link w:val="47"/>
    <w:qFormat/>
    <w:uiPriority w:val="0"/>
    <w:rPr>
      <w:rFonts w:ascii="宋体"/>
      <w:sz w:val="24"/>
    </w:rPr>
  </w:style>
  <w:style w:type="paragraph" w:customStyle="1" w:styleId="47">
    <w:name w:val="正文文本缩进1"/>
    <w:basedOn w:val="1"/>
    <w:link w:val="46"/>
    <w:qFormat/>
    <w:uiPriority w:val="0"/>
    <w:pPr>
      <w:spacing w:line="360" w:lineRule="auto"/>
      <w:ind w:firstLine="480" w:firstLineChars="200"/>
    </w:pPr>
    <w:rPr>
      <w:rFonts w:ascii="宋体"/>
      <w:sz w:val="24"/>
    </w:rPr>
  </w:style>
  <w:style w:type="character" w:customStyle="1" w:styleId="48">
    <w:name w:val="日期 Char Char"/>
    <w:link w:val="49"/>
    <w:qFormat/>
    <w:uiPriority w:val="0"/>
    <w:rPr>
      <w:sz w:val="24"/>
    </w:rPr>
  </w:style>
  <w:style w:type="paragraph" w:customStyle="1" w:styleId="49">
    <w:name w:val="日期1"/>
    <w:basedOn w:val="1"/>
    <w:next w:val="1"/>
    <w:link w:val="48"/>
    <w:qFormat/>
    <w:uiPriority w:val="0"/>
    <w:rPr>
      <w:sz w:val="24"/>
    </w:rPr>
  </w:style>
  <w:style w:type="paragraph" w:customStyle="1" w:styleId="50">
    <w:name w:val="正文缩进1"/>
    <w:basedOn w:val="1"/>
    <w:qFormat/>
    <w:uiPriority w:val="0"/>
    <w:pPr>
      <w:adjustRightInd w:val="0"/>
      <w:spacing w:line="360" w:lineRule="atLeast"/>
      <w:ind w:firstLine="420" w:firstLineChars="200"/>
      <w:jc w:val="left"/>
      <w:textAlignment w:val="baseline"/>
    </w:pPr>
    <w:rPr>
      <w:rFonts w:ascii="Times New Roman" w:hAnsi="Times New Roman" w:eastAsia="宋体" w:cs="Times New Roman"/>
      <w:kern w:val="0"/>
      <w:sz w:val="24"/>
      <w:szCs w:val="20"/>
    </w:rPr>
  </w:style>
  <w:style w:type="paragraph" w:customStyle="1" w:styleId="51">
    <w:name w:val="样式1"/>
    <w:basedOn w:val="1"/>
    <w:qFormat/>
    <w:uiPriority w:val="0"/>
    <w:pPr>
      <w:numPr>
        <w:ilvl w:val="0"/>
        <w:numId w:val="2"/>
      </w:numPr>
      <w:adjustRightInd w:val="0"/>
      <w:textAlignment w:val="baseline"/>
    </w:pPr>
    <w:rPr>
      <w:rFonts w:ascii="宋体" w:hAnsi="宋体" w:eastAsia="宋体" w:cs="Times New Roman"/>
      <w:kern w:val="0"/>
      <w:szCs w:val="21"/>
    </w:rPr>
  </w:style>
  <w:style w:type="paragraph" w:customStyle="1" w:styleId="52">
    <w:name w:val="图"/>
    <w:basedOn w:val="1"/>
    <w:qFormat/>
    <w:uiPriority w:val="0"/>
    <w:pPr>
      <w:keepNext/>
      <w:adjustRightInd w:val="0"/>
      <w:spacing w:before="60" w:after="60" w:line="300" w:lineRule="auto"/>
      <w:jc w:val="center"/>
      <w:textAlignment w:val="center"/>
    </w:pPr>
    <w:rPr>
      <w:rFonts w:ascii="Times New Roman" w:hAnsi="Times New Roman" w:eastAsia="宋体" w:cs="Times New Roman"/>
      <w:snapToGrid w:val="0"/>
      <w:color w:val="0000FF"/>
      <w:spacing w:val="20"/>
      <w:kern w:val="0"/>
      <w:sz w:val="24"/>
      <w:szCs w:val="20"/>
    </w:rPr>
  </w:style>
  <w:style w:type="character" w:customStyle="1" w:styleId="53">
    <w:name w:val="edittexttarea"/>
    <w:basedOn w:val="24"/>
    <w:qFormat/>
    <w:uiPriority w:val="0"/>
  </w:style>
  <w:style w:type="paragraph" w:customStyle="1" w:styleId="54">
    <w:name w:val="样式 标题 1 + 四号 居中 段前: 12 磅 段后: 12 磅 行距: 单倍行距"/>
    <w:basedOn w:val="2"/>
    <w:qFormat/>
    <w:uiPriority w:val="0"/>
    <w:pPr>
      <w:spacing w:before="240" w:after="240" w:line="240" w:lineRule="auto"/>
      <w:ind w:left="-288"/>
      <w:jc w:val="center"/>
    </w:pPr>
    <w:rPr>
      <w:rFonts w:cs="宋体"/>
      <w:sz w:val="28"/>
      <w:szCs w:val="20"/>
    </w:rPr>
  </w:style>
  <w:style w:type="paragraph" w:customStyle="1" w:styleId="55">
    <w:name w:val="样式 样式 样式 样式 标题 2 + 宋体 五号 非加粗 黑色 + 段前: 6 磅 段后: 0 磅 行距: 单倍行距 + 段前:..."/>
    <w:basedOn w:val="1"/>
    <w:qFormat/>
    <w:uiPriority w:val="0"/>
    <w:pPr>
      <w:keepNext/>
      <w:keepLines/>
      <w:numPr>
        <w:ilvl w:val="0"/>
        <w:numId w:val="3"/>
      </w:numPr>
      <w:adjustRightInd w:val="0"/>
      <w:spacing w:before="240"/>
      <w:jc w:val="left"/>
      <w:textAlignment w:val="baseline"/>
      <w:outlineLvl w:val="1"/>
    </w:pPr>
    <w:rPr>
      <w:rFonts w:ascii="宋体" w:hAnsi="宋体" w:eastAsia="宋体" w:cs="宋体"/>
      <w:b/>
      <w:bCs/>
      <w:color w:val="000000"/>
      <w:kern w:val="0"/>
      <w:szCs w:val="20"/>
    </w:rPr>
  </w:style>
  <w:style w:type="character" w:customStyle="1" w:styleId="56">
    <w:name w:val="HTML 预设格式 Char1"/>
    <w:basedOn w:val="24"/>
    <w:link w:val="19"/>
    <w:semiHidden/>
    <w:qFormat/>
    <w:uiPriority w:val="99"/>
    <w:rPr>
      <w:rFonts w:ascii="宋体" w:hAnsi="宋体" w:eastAsia="宋体" w:cs="宋体"/>
      <w:kern w:val="0"/>
      <w:sz w:val="24"/>
      <w:szCs w:val="24"/>
    </w:rPr>
  </w:style>
  <w:style w:type="character" w:customStyle="1" w:styleId="57">
    <w:name w:val="正文文本缩进 Char1"/>
    <w:basedOn w:val="24"/>
    <w:link w:val="10"/>
    <w:qFormat/>
    <w:uiPriority w:val="0"/>
    <w:rPr>
      <w:sz w:val="24"/>
    </w:rPr>
  </w:style>
  <w:style w:type="character" w:customStyle="1" w:styleId="58">
    <w:name w:val="批注框文本 Char1"/>
    <w:basedOn w:val="24"/>
    <w:link w:val="15"/>
    <w:semiHidden/>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AF1B04F-C35E-4D0C-80E0-3EE78E5A62CF}">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74</Pages>
  <Words>5766</Words>
  <Characters>32868</Characters>
  <Lines>273</Lines>
  <Paragraphs>77</Paragraphs>
  <TotalTime>3</TotalTime>
  <ScaleCrop>false</ScaleCrop>
  <LinksUpToDate>false</LinksUpToDate>
  <CharactersWithSpaces>38557</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2023-07-26T02:29:00Z</dcterms:created>
  <dc:creator>许昌市公共资源交易中心:孟莉</dc:creator>
  <cp:lastModifiedBy>许昌市公共资源交易中心:沙鑫</cp:lastModifiedBy>
  <dcterms:modified xsi:type="dcterms:W3CDTF">2024-06-12T03:06:23Z</dcterms:modified>
  <cp:revision>85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EB5DA4AFC855428C98D4105145390BD8</vt:lpwstr>
  </property>
</Properties>
</file>