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99A4D">
      <w:pPr>
        <w:widowControl w:val="0"/>
        <w:tabs>
          <w:tab w:val="left" w:pos="945"/>
          <w:tab w:val="left" w:pos="1155"/>
        </w:tabs>
        <w:adjustRightInd w:val="0"/>
        <w:spacing w:after="120" w:line="360" w:lineRule="atLeast"/>
        <w:ind w:left="0" w:leftChars="0" w:firstLine="0" w:firstLineChars="0"/>
        <w:jc w:val="center"/>
        <w:textAlignment w:val="baseline"/>
        <w:rPr>
          <w:rFonts w:ascii="Calibri" w:hAnsi="Calibri" w:eastAsia="宋体" w:cs="黑体"/>
          <w:color w:val="auto"/>
          <w:kern w:val="2"/>
          <w:sz w:val="21"/>
          <w:szCs w:val="22"/>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YZCG-DLG2025078-2禹州市应急管理局禹州市区域性煤矿隐蔽致灾因素普查项目（三次）招标公告</w:t>
      </w:r>
    </w:p>
    <w:p w14:paraId="2B89CE84">
      <w:pPr>
        <w:wordWrap w:val="0"/>
        <w:spacing w:line="440" w:lineRule="atLeas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项目概况</w:t>
      </w:r>
      <w:bookmarkStart w:id="0" w:name="_GoBack"/>
      <w:bookmarkEnd w:id="0"/>
    </w:p>
    <w:p w14:paraId="2B89CE85">
      <w:pPr>
        <w:tabs>
          <w:tab w:val="left" w:pos="7095"/>
        </w:tabs>
        <w:spacing w:line="384"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u w:val="single"/>
          <w:lang w:val="zh-CN"/>
        </w:rPr>
        <w:t>禹州市应急管理局禹州市区域性煤矿隐蔽致灾因素普查项目（三次）</w:t>
      </w:r>
      <w:r>
        <w:rPr>
          <w:rFonts w:hint="eastAsia" w:ascii="宋体" w:hAnsi="宋体" w:eastAsia="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ascii="宋体" w:hAnsi="宋体" w:eastAsia="宋体" w:cs="仿宋_GB2312"/>
          <w:color w:val="auto"/>
          <w:szCs w:val="21"/>
          <w:highlight w:val="none"/>
          <w:u w:val="single"/>
          <w:lang w:val="zh-CN"/>
        </w:rPr>
        <w:t>202</w:t>
      </w:r>
      <w:r>
        <w:rPr>
          <w:rFonts w:hint="eastAsia" w:ascii="宋体" w:hAnsi="宋体" w:eastAsia="宋体" w:cs="仿宋_GB2312"/>
          <w:color w:val="auto"/>
          <w:szCs w:val="21"/>
          <w:highlight w:val="none"/>
          <w:u w:val="single"/>
          <w:lang w:val="en-US" w:eastAsia="zh-CN"/>
        </w:rPr>
        <w:t>6</w:t>
      </w:r>
      <w:r>
        <w:rPr>
          <w:rFonts w:hint="eastAsia" w:ascii="宋体" w:hAnsi="宋体" w:eastAsia="宋体" w:cs="仿宋_GB2312"/>
          <w:color w:val="auto"/>
          <w:szCs w:val="21"/>
          <w:highlight w:val="none"/>
          <w:u w:val="none"/>
          <w:lang w:val="zh-CN"/>
        </w:rPr>
        <w:t>年</w:t>
      </w:r>
      <w:r>
        <w:rPr>
          <w:rFonts w:hint="eastAsia" w:ascii="宋体" w:hAnsi="宋体" w:eastAsia="宋体" w:cs="仿宋_GB2312"/>
          <w:color w:val="auto"/>
          <w:szCs w:val="21"/>
          <w:highlight w:val="none"/>
          <w:u w:val="single"/>
          <w:lang w:val="en-US" w:eastAsia="zh-CN"/>
        </w:rPr>
        <w:t>02</w:t>
      </w:r>
      <w:r>
        <w:rPr>
          <w:rFonts w:hint="eastAsia" w:ascii="宋体" w:hAnsi="宋体" w:eastAsia="宋体" w:cs="仿宋_GB2312"/>
          <w:color w:val="auto"/>
          <w:szCs w:val="21"/>
          <w:highlight w:val="none"/>
          <w:u w:val="none"/>
          <w:lang w:val="zh-CN"/>
        </w:rPr>
        <w:t>月</w:t>
      </w:r>
      <w:r>
        <w:rPr>
          <w:rFonts w:hint="eastAsia" w:ascii="宋体" w:hAnsi="宋体" w:eastAsia="宋体" w:cs="仿宋_GB2312"/>
          <w:color w:val="auto"/>
          <w:szCs w:val="21"/>
          <w:highlight w:val="none"/>
          <w:u w:val="single"/>
          <w:lang w:val="en-US" w:eastAsia="zh-CN"/>
        </w:rPr>
        <w:t>02</w:t>
      </w:r>
      <w:r>
        <w:rPr>
          <w:rFonts w:hint="eastAsia" w:ascii="宋体" w:hAnsi="宋体" w:eastAsia="宋体" w:cs="仿宋_GB2312"/>
          <w:color w:val="auto"/>
          <w:szCs w:val="21"/>
          <w:highlight w:val="none"/>
          <w:u w:val="none"/>
          <w:lang w:val="zh-CN"/>
        </w:rPr>
        <w:t>日</w:t>
      </w:r>
      <w:r>
        <w:rPr>
          <w:rFonts w:hint="eastAsia" w:ascii="宋体" w:hAnsi="宋体" w:eastAsia="宋体" w:cs="仿宋_GB2312"/>
          <w:color w:val="auto"/>
          <w:szCs w:val="21"/>
          <w:highlight w:val="none"/>
          <w:u w:val="single"/>
          <w:lang w:val="zh-CN"/>
        </w:rPr>
        <w:t>08</w:t>
      </w:r>
      <w:r>
        <w:rPr>
          <w:rFonts w:hint="eastAsia" w:ascii="宋体" w:hAnsi="宋体" w:eastAsia="宋体" w:cs="仿宋_GB2312"/>
          <w:color w:val="auto"/>
          <w:szCs w:val="21"/>
          <w:highlight w:val="none"/>
          <w:u w:val="none"/>
          <w:lang w:val="zh-CN"/>
        </w:rPr>
        <w:t>时</w:t>
      </w:r>
      <w:r>
        <w:rPr>
          <w:rFonts w:hint="eastAsia" w:ascii="宋体" w:hAnsi="宋体" w:eastAsia="宋体" w:cs="仿宋_GB2312"/>
          <w:color w:val="auto"/>
          <w:szCs w:val="21"/>
          <w:highlight w:val="none"/>
          <w:u w:val="single"/>
          <w:lang w:val="zh-CN"/>
        </w:rPr>
        <w:t>30</w:t>
      </w:r>
      <w:r>
        <w:rPr>
          <w:rFonts w:hint="eastAsia" w:ascii="宋体" w:hAnsi="宋体" w:eastAsia="宋体" w:cs="仿宋_GB2312"/>
          <w:color w:val="auto"/>
          <w:szCs w:val="21"/>
          <w:highlight w:val="none"/>
          <w:u w:val="none"/>
          <w:lang w:val="zh-CN"/>
        </w:rPr>
        <w:t>分</w:t>
      </w:r>
      <w:r>
        <w:rPr>
          <w:rFonts w:hint="eastAsia" w:ascii="宋体" w:hAnsi="宋体" w:eastAsia="宋体" w:cs="仿宋_GB2312"/>
          <w:color w:val="auto"/>
          <w:szCs w:val="21"/>
          <w:highlight w:val="none"/>
          <w:lang w:val="zh-CN"/>
        </w:rPr>
        <w:t>（北京时间）前递交投标文件。</w:t>
      </w:r>
    </w:p>
    <w:p w14:paraId="2B89CE86">
      <w:pPr>
        <w:tabs>
          <w:tab w:val="left" w:pos="7095"/>
        </w:tabs>
        <w:spacing w:line="384" w:lineRule="auto"/>
        <w:ind w:firstLine="422" w:firstLineChars="200"/>
        <w:contextualSpacing/>
        <w:rPr>
          <w:rFonts w:hint="eastAsia" w:ascii="宋体" w:hAnsi="宋体" w:eastAsia="宋体" w:cs="黑体"/>
          <w:b/>
          <w:bCs/>
          <w:color w:val="auto"/>
          <w:szCs w:val="21"/>
          <w:highlight w:val="none"/>
        </w:rPr>
      </w:pPr>
      <w:r>
        <w:rPr>
          <w:rFonts w:hint="eastAsia" w:ascii="宋体" w:hAnsi="宋体" w:eastAsia="宋体" w:cs="黑体"/>
          <w:b/>
          <w:bCs/>
          <w:color w:val="auto"/>
          <w:szCs w:val="21"/>
          <w:highlight w:val="none"/>
        </w:rPr>
        <w:t>一、项目基本情况</w:t>
      </w:r>
    </w:p>
    <w:p w14:paraId="2B89CE87">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1.项目编号：</w:t>
      </w:r>
      <w:r>
        <w:rPr>
          <w:rFonts w:hint="eastAsia" w:ascii="宋体" w:hAnsi="宋体" w:eastAsia="宋体" w:cs="黑体"/>
          <w:color w:val="auto"/>
          <w:szCs w:val="21"/>
          <w:highlight w:val="none"/>
          <w:lang w:eastAsia="zh-CN"/>
        </w:rPr>
        <w:t>YZCG-DLG2025078-</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 xml:space="preserve">       </w:t>
      </w:r>
    </w:p>
    <w:p w14:paraId="2B89CE88">
      <w:pPr>
        <w:tabs>
          <w:tab w:val="left" w:pos="7095"/>
        </w:tabs>
        <w:spacing w:line="384" w:lineRule="auto"/>
        <w:ind w:firstLine="420" w:firstLineChars="200"/>
        <w:contextualSpacing/>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2.项目名称：</w:t>
      </w:r>
      <w:r>
        <w:rPr>
          <w:rFonts w:hint="eastAsia" w:ascii="宋体" w:hAnsi="宋体" w:eastAsia="宋体" w:cs="黑体"/>
          <w:color w:val="auto"/>
          <w:szCs w:val="21"/>
          <w:highlight w:val="none"/>
          <w:lang w:eastAsia="zh-CN"/>
        </w:rPr>
        <w:t>禹州市应急管理局禹州市区域性煤矿隐蔽致灾因素普查项目（三次）</w:t>
      </w:r>
    </w:p>
    <w:p w14:paraId="2B89CE89">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3.采购方式：公开招标</w:t>
      </w:r>
    </w:p>
    <w:p w14:paraId="7AAC3CBC">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4.预算金额：</w:t>
      </w:r>
      <w:r>
        <w:rPr>
          <w:rFonts w:hint="eastAsia" w:ascii="宋体" w:hAnsi="宋体" w:eastAsia="宋体" w:cs="黑体"/>
          <w:color w:val="auto"/>
          <w:szCs w:val="21"/>
          <w:highlight w:val="none"/>
          <w:lang w:val="en-US" w:eastAsia="zh-CN"/>
        </w:rPr>
        <w:t>3144960.47</w:t>
      </w:r>
      <w:r>
        <w:rPr>
          <w:rFonts w:hint="eastAsia" w:ascii="宋体" w:hAnsi="宋体" w:eastAsia="宋体" w:cs="黑体"/>
          <w:color w:val="auto"/>
          <w:szCs w:val="21"/>
          <w:highlight w:val="none"/>
        </w:rPr>
        <w:t xml:space="preserve">元  </w:t>
      </w:r>
    </w:p>
    <w:p w14:paraId="2B89CE8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 xml:space="preserve">  最高限价：</w:t>
      </w:r>
      <w:r>
        <w:rPr>
          <w:rFonts w:hint="eastAsia" w:ascii="宋体" w:hAnsi="宋体" w:eastAsia="宋体" w:cs="黑体"/>
          <w:color w:val="auto"/>
          <w:szCs w:val="21"/>
          <w:highlight w:val="none"/>
          <w:lang w:val="en-US" w:eastAsia="zh-CN"/>
        </w:rPr>
        <w:t>3144960.47</w:t>
      </w:r>
      <w:r>
        <w:rPr>
          <w:rFonts w:hint="eastAsia" w:ascii="宋体" w:hAnsi="宋体" w:eastAsia="宋体" w:cs="黑体"/>
          <w:color w:val="auto"/>
          <w:szCs w:val="21"/>
          <w:highlight w:val="none"/>
        </w:rPr>
        <w:t xml:space="preserve">元 </w:t>
      </w:r>
    </w:p>
    <w:tbl>
      <w:tblPr>
        <w:tblStyle w:val="3"/>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001"/>
        <w:gridCol w:w="2089"/>
        <w:gridCol w:w="1325"/>
        <w:gridCol w:w="1326"/>
        <w:gridCol w:w="1229"/>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2B89CE8D">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2B89CE8E">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2B89CE8F">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2B89CE90">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2B89CE91">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2B89CE92">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宋体" w:hAnsi="宋体" w:eastAsia="宋体" w:cs="黑体"/>
                <w:color w:val="auto"/>
                <w:szCs w:val="21"/>
                <w:highlight w:val="none"/>
              </w:rPr>
            </w:pPr>
            <w:r>
              <w:rPr>
                <w:rFonts w:hint="eastAsia" w:ascii="宋体" w:hAnsi="宋体" w:eastAsia="宋体" w:cs="黑体"/>
                <w:color w:val="auto"/>
                <w:szCs w:val="21"/>
                <w:highlight w:val="none"/>
              </w:rPr>
              <w:t>1</w:t>
            </w:r>
          </w:p>
        </w:tc>
        <w:tc>
          <w:tcPr>
            <w:tcW w:w="1639" w:type="dxa"/>
            <w:vAlign w:val="center"/>
          </w:tcPr>
          <w:p w14:paraId="2B89CE95">
            <w:pPr>
              <w:tabs>
                <w:tab w:val="left" w:pos="7095"/>
              </w:tabs>
              <w:spacing w:line="384" w:lineRule="auto"/>
              <w:contextualSpacing/>
              <w:jc w:val="center"/>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YZCG-DLG2025078-</w:t>
            </w:r>
            <w:r>
              <w:rPr>
                <w:rFonts w:hint="eastAsia" w:ascii="宋体" w:hAnsi="宋体" w:eastAsia="宋体" w:cs="黑体"/>
                <w:color w:val="auto"/>
                <w:szCs w:val="21"/>
                <w:highlight w:val="none"/>
                <w:lang w:val="en-US" w:eastAsia="zh-CN"/>
              </w:rPr>
              <w:t>2</w:t>
            </w:r>
          </w:p>
        </w:tc>
        <w:tc>
          <w:tcPr>
            <w:tcW w:w="2305" w:type="dxa"/>
            <w:vAlign w:val="center"/>
          </w:tcPr>
          <w:p w14:paraId="2B89CE96">
            <w:pPr>
              <w:tabs>
                <w:tab w:val="left" w:pos="7095"/>
              </w:tabs>
              <w:spacing w:line="384" w:lineRule="auto"/>
              <w:contextualSpacing/>
              <w:jc w:val="center"/>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第一标</w:t>
            </w:r>
            <w:r>
              <w:rPr>
                <w:rFonts w:hint="eastAsia" w:ascii="宋体" w:hAnsi="宋体" w:eastAsia="宋体" w:cs="黑体"/>
                <w:color w:val="auto"/>
                <w:szCs w:val="21"/>
                <w:highlight w:val="none"/>
                <w:lang w:eastAsia="zh-CN"/>
              </w:rPr>
              <w:t>包</w:t>
            </w:r>
          </w:p>
        </w:tc>
        <w:tc>
          <w:tcPr>
            <w:tcW w:w="1333" w:type="dxa"/>
            <w:vAlign w:val="center"/>
          </w:tcPr>
          <w:p w14:paraId="2B89CE97">
            <w:pPr>
              <w:tabs>
                <w:tab w:val="left" w:pos="7095"/>
              </w:tabs>
              <w:spacing w:line="384" w:lineRule="auto"/>
              <w:contextualSpacing/>
              <w:jc w:val="center"/>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3144960.47</w:t>
            </w:r>
          </w:p>
        </w:tc>
        <w:tc>
          <w:tcPr>
            <w:tcW w:w="1334" w:type="dxa"/>
            <w:vAlign w:val="center"/>
          </w:tcPr>
          <w:p w14:paraId="2B89CE98">
            <w:pPr>
              <w:tabs>
                <w:tab w:val="left" w:pos="7095"/>
              </w:tabs>
              <w:spacing w:line="384" w:lineRule="auto"/>
              <w:contextualSpacing/>
              <w:jc w:val="center"/>
              <w:rPr>
                <w:rFonts w:hint="eastAsia" w:ascii="宋体" w:hAnsi="宋体" w:eastAsia="宋体" w:cs="黑体"/>
                <w:color w:val="auto"/>
                <w:szCs w:val="21"/>
                <w:highlight w:val="none"/>
              </w:rPr>
            </w:pPr>
            <w:r>
              <w:rPr>
                <w:rFonts w:hint="eastAsia" w:ascii="宋体" w:hAnsi="宋体" w:eastAsia="宋体" w:cs="黑体"/>
                <w:color w:val="auto"/>
                <w:szCs w:val="21"/>
                <w:highlight w:val="none"/>
                <w:lang w:val="en-US" w:eastAsia="zh-CN"/>
              </w:rPr>
              <w:t>3144960.47</w:t>
            </w:r>
          </w:p>
        </w:tc>
        <w:tc>
          <w:tcPr>
            <w:tcW w:w="1334" w:type="dxa"/>
            <w:vAlign w:val="center"/>
          </w:tcPr>
          <w:p w14:paraId="2B89CE99">
            <w:pPr>
              <w:tabs>
                <w:tab w:val="left" w:pos="7095"/>
              </w:tabs>
              <w:spacing w:line="384" w:lineRule="auto"/>
              <w:contextualSpacing/>
              <w:jc w:val="center"/>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是</w:t>
            </w:r>
          </w:p>
        </w:tc>
      </w:tr>
    </w:tbl>
    <w:p w14:paraId="2B89CEA3">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5.采购需求（包括但不限于标的的名称、数量、简要技术需求等）</w:t>
      </w:r>
    </w:p>
    <w:p w14:paraId="2B89CEA4">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宋体"/>
          <w:b w:val="0"/>
          <w:bCs/>
          <w:color w:val="auto"/>
          <w:szCs w:val="22"/>
          <w:highlight w:val="none"/>
          <w:lang w:val="en-US" w:eastAsia="zh-CN"/>
        </w:rPr>
        <w:t>禹州</w:t>
      </w:r>
      <w:r>
        <w:rPr>
          <w:rFonts w:hint="default" w:ascii="宋体" w:hAnsi="宋体" w:eastAsia="宋体" w:cs="宋体"/>
          <w:b w:val="0"/>
          <w:bCs/>
          <w:color w:val="auto"/>
          <w:szCs w:val="22"/>
          <w:highlight w:val="none"/>
          <w:lang w:val="en-US" w:eastAsia="zh-CN"/>
        </w:rPr>
        <w:t>市</w:t>
      </w:r>
      <w:r>
        <w:rPr>
          <w:rFonts w:hint="eastAsia" w:ascii="宋体" w:hAnsi="宋体" w:eastAsia="宋体" w:cs="宋体"/>
          <w:b w:val="0"/>
          <w:bCs/>
          <w:color w:val="auto"/>
          <w:szCs w:val="22"/>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宋体" w:hAnsi="宋体" w:eastAsia="宋体" w:cs="黑体"/>
          <w:color w:val="auto"/>
          <w:szCs w:val="21"/>
          <w:highlight w:val="none"/>
        </w:rPr>
        <w:t>（详见招标文件第二章项目需求）</w:t>
      </w:r>
    </w:p>
    <w:p w14:paraId="041C8034">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6.合同履行期限：以采购人需求为准；</w:t>
      </w:r>
    </w:p>
    <w:p w14:paraId="46FC5911">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7.本项目是否接受联合体投标：否</w:t>
      </w:r>
    </w:p>
    <w:p w14:paraId="38A57950">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8.是否接受进口产品：否</w:t>
      </w:r>
    </w:p>
    <w:p w14:paraId="40B0398A">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9.是否专门面向中小企业：是</w:t>
      </w:r>
    </w:p>
    <w:p w14:paraId="2B89CEA9">
      <w:pPr>
        <w:tabs>
          <w:tab w:val="left" w:pos="7095"/>
        </w:tabs>
        <w:spacing w:line="384" w:lineRule="auto"/>
        <w:ind w:firstLine="422" w:firstLineChars="200"/>
        <w:contextualSpacing/>
        <w:rPr>
          <w:rFonts w:hint="eastAsia" w:ascii="宋体" w:hAnsi="宋体" w:eastAsia="宋体" w:cs="黑体"/>
          <w:b/>
          <w:bCs/>
          <w:color w:val="auto"/>
          <w:szCs w:val="21"/>
          <w:highlight w:val="none"/>
        </w:rPr>
      </w:pPr>
      <w:r>
        <w:rPr>
          <w:rFonts w:hint="eastAsia" w:ascii="宋体" w:hAnsi="宋体" w:eastAsia="宋体" w:cs="黑体"/>
          <w:b/>
          <w:bCs/>
          <w:color w:val="auto"/>
          <w:szCs w:val="21"/>
          <w:highlight w:val="none"/>
        </w:rPr>
        <w:t>二、申请人资格要求：</w:t>
      </w:r>
    </w:p>
    <w:p w14:paraId="2B89CEAA">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 满足《中华人民共和国政府采购法》第二十二条规定；</w:t>
      </w:r>
    </w:p>
    <w:p w14:paraId="2B89CEA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2.落实政府采购政策满足的资格要求：</w:t>
      </w:r>
    </w:p>
    <w:p w14:paraId="2B89CEAC">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3.本项目的特定资格要求</w:t>
      </w:r>
    </w:p>
    <w:p w14:paraId="2B89CEAE">
      <w:pPr>
        <w:tabs>
          <w:tab w:val="left" w:pos="7095"/>
        </w:tabs>
        <w:spacing w:line="384" w:lineRule="auto"/>
        <w:ind w:firstLine="420" w:firstLineChars="200"/>
        <w:contextualSpacing/>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3.1投标人须具有独立法人资格</w:t>
      </w:r>
      <w:r>
        <w:rPr>
          <w:rFonts w:hint="eastAsia" w:ascii="宋体" w:hAnsi="宋体" w:eastAsia="宋体" w:cs="黑体"/>
          <w:color w:val="auto"/>
          <w:szCs w:val="21"/>
          <w:highlight w:val="none"/>
          <w:lang w:eastAsia="zh-CN"/>
        </w:rPr>
        <w:t>。</w:t>
      </w:r>
    </w:p>
    <w:p w14:paraId="2B89CEB0">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被委托人须是本单位职工，须提供公司为本人缴纳社会保险证明。</w:t>
      </w:r>
    </w:p>
    <w:p w14:paraId="2B89CEB2">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三、招标文件的获取</w:t>
      </w:r>
    </w:p>
    <w:p w14:paraId="2B89CEB3">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w:t>
      </w:r>
      <w:r>
        <w:rPr>
          <w:rFonts w:hint="eastAsia" w:ascii="宋体" w:hAnsi="宋体" w:eastAsia="宋体" w:cs="黑体"/>
          <w:color w:val="auto"/>
          <w:szCs w:val="21"/>
          <w:highlight w:val="none"/>
          <w:lang w:val="en-US" w:eastAsia="zh-CN"/>
        </w:rPr>
        <w:t>6</w:t>
      </w:r>
      <w:r>
        <w:rPr>
          <w:rFonts w:hint="eastAsia" w:ascii="宋体" w:hAnsi="宋体" w:eastAsia="宋体" w:cs="黑体"/>
          <w:color w:val="auto"/>
          <w:szCs w:val="21"/>
          <w:highlight w:val="none"/>
        </w:rPr>
        <w:t>年</w:t>
      </w:r>
      <w:r>
        <w:rPr>
          <w:rFonts w:hint="eastAsia" w:ascii="宋体" w:hAnsi="宋体" w:eastAsia="宋体" w:cs="黑体"/>
          <w:color w:val="auto"/>
          <w:szCs w:val="21"/>
          <w:highlight w:val="none"/>
          <w:lang w:val="en-US" w:eastAsia="zh-CN"/>
        </w:rPr>
        <w:t>01</w:t>
      </w:r>
      <w:r>
        <w:rPr>
          <w:rFonts w:hint="eastAsia" w:ascii="宋体" w:hAnsi="宋体" w:eastAsia="宋体" w:cs="黑体"/>
          <w:color w:val="auto"/>
          <w:szCs w:val="21"/>
          <w:highlight w:val="none"/>
        </w:rPr>
        <w:t>月</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日至2026年0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月0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日，每天上午00:00至12:00，下午12:01至23:59（北京时间，法定节假日除外）。</w:t>
      </w:r>
    </w:p>
    <w:p w14:paraId="2B89CEB4">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3.方式：网上自行下载</w:t>
      </w:r>
    </w:p>
    <w:p w14:paraId="2B89CEB6">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4.售价：0元</w:t>
      </w:r>
    </w:p>
    <w:p w14:paraId="2B89CEB7">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四、投标截止时间及地点</w:t>
      </w:r>
    </w:p>
    <w:p w14:paraId="2B89CEB8">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1.时间：2026年0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月0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日08时30分（北京时间）</w:t>
      </w:r>
    </w:p>
    <w:p w14:paraId="2B89CEB9">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五、开标时间及地点</w:t>
      </w:r>
    </w:p>
    <w:p w14:paraId="2B89CEB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1.时间：2026年0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月0</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日08时30分（北京时间）</w:t>
      </w:r>
    </w:p>
    <w:p w14:paraId="2B89CEBC">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六、发布公告的媒介及招标公告期限</w:t>
      </w:r>
    </w:p>
    <w:p w14:paraId="2B89CEBE">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七、其他补充事宜</w:t>
      </w:r>
    </w:p>
    <w:p w14:paraId="2B89CEC0">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1.监督单位：禹州市政府采购监督管理办公室</w:t>
      </w:r>
    </w:p>
    <w:p w14:paraId="2B89CEC1">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2.电话：0374-8112523</w:t>
      </w:r>
    </w:p>
    <w:p w14:paraId="6498FECD">
      <w:pPr>
        <w:tabs>
          <w:tab w:val="left" w:pos="7095"/>
        </w:tabs>
        <w:spacing w:line="384" w:lineRule="auto"/>
        <w:ind w:firstLine="422" w:firstLineChars="200"/>
        <w:contextualSpacing/>
        <w:rPr>
          <w:rFonts w:hint="eastAsia" w:ascii="宋体" w:hAnsi="宋体" w:eastAsia="宋体" w:cs="仿宋_GB2312"/>
          <w:color w:val="auto"/>
          <w:szCs w:val="21"/>
          <w:highlight w:val="none"/>
          <w:lang w:val="zh-CN"/>
        </w:rPr>
      </w:pPr>
      <w:r>
        <w:rPr>
          <w:rFonts w:hint="eastAsia" w:ascii="宋体" w:hAnsi="宋体" w:eastAsia="宋体" w:cs="黑体"/>
          <w:b/>
          <w:bCs/>
          <w:color w:val="auto"/>
          <w:szCs w:val="21"/>
          <w:highlight w:val="none"/>
        </w:rPr>
        <w:t>八、凡对本次招标提出询问，请按照以下方式联系</w:t>
      </w:r>
    </w:p>
    <w:p w14:paraId="13F75AC4">
      <w:pPr>
        <w:tabs>
          <w:tab w:val="left" w:pos="7095"/>
        </w:tabs>
        <w:spacing w:line="384" w:lineRule="auto"/>
        <w:ind w:firstLine="420" w:firstLineChars="200"/>
        <w:contextualSpacing/>
        <w:rPr>
          <w:rFonts w:ascii="宋体" w:hAnsi="宋体" w:eastAsia="宋体" w:cs="黑体"/>
          <w:color w:val="auto"/>
          <w:szCs w:val="21"/>
          <w:highlight w:val="none"/>
        </w:rPr>
      </w:pPr>
      <w:r>
        <w:rPr>
          <w:rFonts w:hint="eastAsia" w:ascii="宋体" w:hAnsi="宋体" w:eastAsia="宋体" w:cs="黑体"/>
          <w:color w:val="auto"/>
          <w:szCs w:val="21"/>
          <w:highlight w:val="none"/>
        </w:rPr>
        <w:t>1.采购人信息</w:t>
      </w:r>
    </w:p>
    <w:p w14:paraId="1C7E6100">
      <w:pPr>
        <w:tabs>
          <w:tab w:val="left" w:pos="7095"/>
        </w:tabs>
        <w:spacing w:line="384"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黑体"/>
          <w:color w:val="auto"/>
          <w:szCs w:val="21"/>
          <w:highlight w:val="none"/>
        </w:rPr>
        <w:t>采购单位：</w:t>
      </w:r>
      <w:r>
        <w:rPr>
          <w:rFonts w:hint="eastAsia" w:ascii="宋体" w:hAnsi="宋体" w:eastAsia="宋体" w:cs="仿宋_GB2312"/>
          <w:color w:val="auto"/>
          <w:szCs w:val="21"/>
          <w:highlight w:val="none"/>
          <w:lang w:val="zh-CN"/>
        </w:rPr>
        <w:t>禹州市应急管理局</w:t>
      </w:r>
    </w:p>
    <w:p w14:paraId="6DADCBA3">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eastAsia="宋体" w:cs="黑体"/>
          <w:color w:val="auto"/>
          <w:szCs w:val="21"/>
          <w:highlight w:val="none"/>
        </w:rPr>
        <w:t>地</w:t>
      </w:r>
      <w:r>
        <w:rPr>
          <w:rFonts w:hint="eastAsia" w:ascii="宋体" w:hAnsi="宋体" w:eastAsia="宋体" w:cs="黑体"/>
          <w:color w:val="auto"/>
          <w:szCs w:val="21"/>
          <w:highlight w:val="none"/>
          <w:lang w:val="en-US" w:eastAsia="zh-CN"/>
        </w:rPr>
        <w:t xml:space="preserve">  </w:t>
      </w:r>
      <w:r>
        <w:rPr>
          <w:rFonts w:hint="eastAsia" w:ascii="宋体" w:hAnsi="宋体" w:eastAsia="宋体" w:cs="黑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802B6F5">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王女士</w:t>
      </w:r>
    </w:p>
    <w:p w14:paraId="75850771">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w:t>
      </w:r>
      <w:r>
        <w:rPr>
          <w:rFonts w:hint="eastAsia" w:ascii="宋体" w:hAnsi="宋体" w:eastAsia="宋体" w:cs="黑体"/>
          <w:color w:val="auto"/>
          <w:szCs w:val="21"/>
          <w:highlight w:val="none"/>
          <w:lang w:val="en-US" w:eastAsia="zh-CN"/>
        </w:rPr>
        <w:t>13782235537</w:t>
      </w:r>
    </w:p>
    <w:p w14:paraId="38F851DB">
      <w:pPr>
        <w:tabs>
          <w:tab w:val="left" w:pos="7095"/>
        </w:tabs>
        <w:spacing w:line="384" w:lineRule="auto"/>
        <w:ind w:firstLine="420" w:firstLineChars="200"/>
        <w:contextualSpacing/>
        <w:rPr>
          <w:rFonts w:ascii="宋体" w:hAnsi="宋体" w:eastAsia="宋体" w:cs="黑体"/>
          <w:color w:val="auto"/>
          <w:szCs w:val="21"/>
          <w:highlight w:val="none"/>
        </w:rPr>
      </w:pPr>
      <w:r>
        <w:rPr>
          <w:rFonts w:hint="eastAsia" w:ascii="宋体" w:hAnsi="宋体" w:eastAsia="宋体" w:cs="黑体"/>
          <w:color w:val="auto"/>
          <w:szCs w:val="21"/>
          <w:highlight w:val="none"/>
        </w:rPr>
        <w:t>2.采购代理机构信息</w:t>
      </w:r>
    </w:p>
    <w:p w14:paraId="639E0E3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代理机构：河南</w:t>
      </w:r>
      <w:r>
        <w:rPr>
          <w:rFonts w:hint="eastAsia" w:ascii="宋体" w:hAnsi="宋体" w:eastAsia="宋体" w:cs="黑体"/>
          <w:color w:val="auto"/>
          <w:szCs w:val="21"/>
          <w:highlight w:val="none"/>
          <w:lang w:eastAsia="zh-CN"/>
        </w:rPr>
        <w:t>特慧工程咨询</w:t>
      </w:r>
      <w:r>
        <w:rPr>
          <w:rFonts w:hint="eastAsia" w:ascii="宋体" w:hAnsi="宋体" w:eastAsia="宋体" w:cs="黑体"/>
          <w:color w:val="auto"/>
          <w:szCs w:val="21"/>
          <w:highlight w:val="none"/>
        </w:rPr>
        <w:t xml:space="preserve">有限公司 </w:t>
      </w:r>
    </w:p>
    <w:p w14:paraId="61867611">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地址：</w:t>
      </w:r>
      <w:r>
        <w:rPr>
          <w:rFonts w:hint="eastAsia" w:ascii="宋体" w:hAnsi="宋体" w:eastAsia="宋体" w:cs="黑体"/>
          <w:color w:val="auto"/>
          <w:szCs w:val="21"/>
          <w:highlight w:val="none"/>
          <w:lang w:val="en-US" w:eastAsia="zh-CN"/>
        </w:rPr>
        <w:t xml:space="preserve"> 许昌市信通国际金融中心D栋403室</w:t>
      </w:r>
    </w:p>
    <w:p w14:paraId="7930357E">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朱</w:t>
      </w:r>
      <w:r>
        <w:rPr>
          <w:rFonts w:hint="eastAsia" w:ascii="宋体" w:hAnsi="宋体" w:eastAsia="宋体" w:cs="黑体"/>
          <w:color w:val="auto"/>
          <w:szCs w:val="21"/>
          <w:highlight w:val="none"/>
        </w:rPr>
        <w:t>先生</w:t>
      </w:r>
    </w:p>
    <w:p w14:paraId="65457E7F">
      <w:pPr>
        <w:tabs>
          <w:tab w:val="left" w:pos="7095"/>
        </w:tabs>
        <w:spacing w:line="384" w:lineRule="auto"/>
        <w:ind w:firstLine="420" w:firstLineChars="200"/>
        <w:contextualSpacing/>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联系电话：1</w:t>
      </w:r>
      <w:r>
        <w:rPr>
          <w:rFonts w:hint="eastAsia" w:ascii="宋体" w:hAnsi="宋体" w:eastAsia="宋体" w:cs="黑体"/>
          <w:color w:val="auto"/>
          <w:szCs w:val="21"/>
          <w:highlight w:val="none"/>
          <w:lang w:val="en-US" w:eastAsia="zh-CN"/>
        </w:rPr>
        <w:t>5993642151</w:t>
      </w:r>
    </w:p>
    <w:p w14:paraId="7DBFE2FD">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3.项目联系方式</w:t>
      </w:r>
    </w:p>
    <w:p w14:paraId="7CA72E70">
      <w:pPr>
        <w:tabs>
          <w:tab w:val="left" w:pos="7095"/>
        </w:tabs>
        <w:spacing w:line="384" w:lineRule="auto"/>
        <w:ind w:firstLine="420" w:firstLineChars="200"/>
        <w:contextualSpacing/>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王女士</w:t>
      </w:r>
    </w:p>
    <w:p w14:paraId="6136EFBE">
      <w:pPr>
        <w:tabs>
          <w:tab w:val="left" w:pos="7095"/>
        </w:tabs>
        <w:spacing w:line="384" w:lineRule="auto"/>
        <w:ind w:firstLine="420" w:firstLineChars="200"/>
        <w:contextualSpacing/>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w:t>
      </w:r>
      <w:r>
        <w:rPr>
          <w:rFonts w:hint="eastAsia" w:ascii="宋体" w:hAnsi="宋体" w:eastAsia="宋体" w:cs="黑体"/>
          <w:color w:val="auto"/>
          <w:szCs w:val="21"/>
          <w:highlight w:val="none"/>
          <w:lang w:val="en-US" w:eastAsia="zh-CN"/>
        </w:rPr>
        <w:t>13782235537</w:t>
      </w:r>
    </w:p>
    <w:p w14:paraId="7F2C583E">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45EBBEA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2E8A6DC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051A6B3">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0873DEE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75B7D3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2D1BC0F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037DD2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E002A89">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7BE70E8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2CB6E92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726847B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13CE79D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A2A8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0E48084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E99E09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1631089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310D6ED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588E104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75FA716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DF0F74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166BD3B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2A69844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32BCD20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1F9C51">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eastAsia="宋体" w:cs="宋体"/>
          <w:bCs/>
          <w:color w:val="auto"/>
          <w:szCs w:val="21"/>
          <w:highlight w:val="none"/>
          <w:shd w:val="clear" w:color="auto" w:fill="FFFFFF"/>
          <w:lang w:eastAsia="zh-CN"/>
        </w:rPr>
        <w:t>。</w:t>
      </w:r>
    </w:p>
    <w:p w14:paraId="642ED2D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97DD6"/>
    <w:rsid w:val="05D9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2026-01-12T00:55:00Z</dcterms:created>
  <dc:creator>河南特慧工程咨询有限公司:张高朋</dc:creator>
  <cp:lastModifiedBy>河南特慧工程咨询有限公司:张高朋</cp:lastModifiedBy>
  <dcterms:modified xsi:type="dcterms:W3CDTF">2026-01-12T00:55:36Z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F7B8643423D64A368F5EAA2FBF2CE514_11</vt:lpwstr>
  </property>
  <property fmtid="{D5CDD505-2E9C-101B-9397-08002B2CF9AE}" pid="4" name="KSOTemplateDocerSaveRecord">
    <vt:lpwstr>eyJoZGlkIjoiYTk3YzU3NmE3MmIxYTc5Zjc2OTRhMTE2ODRkZTE2ODAiLCJ1c2VySWQiOiI3NDg0MTEyMjkifQ==</vt:lpwstr>
  </property>
</Properties>
</file>