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bidi w:val="0"/>
        <w:ind w:firstLine="0" w:firstLineChars="0"/>
        <w:rPr>
          <w:b/>
          <w:color w:val="auto"/>
          <w:spacing w:val="-20"/>
          <w:sz w:val="48"/>
          <w:szCs w:val="48"/>
          <w:highlight w:val="none"/>
        </w:rPr>
      </w:pPr>
      <w:bookmarkStart w:id="0" w:name="_Toc144974478"/>
      <w:bookmarkStart w:id="1" w:name="_Toc152042286"/>
    </w:p>
    <w:p>
      <w:pPr>
        <w:pageBreakBefore w:val="0"/>
        <w:kinsoku/>
        <w:overflowPunct/>
        <w:bidi w:val="0"/>
        <w:ind w:firstLine="0" w:firstLineChars="0"/>
        <w:jc w:val="center"/>
        <w:rPr>
          <w:rFonts w:hint="eastAsia" w:eastAsiaTheme="minorEastAsia"/>
          <w:b/>
          <w:color w:val="auto"/>
          <w:spacing w:val="-20"/>
          <w:sz w:val="48"/>
          <w:szCs w:val="48"/>
          <w:highlight w:val="none"/>
          <w:lang w:eastAsia="zh-CN"/>
        </w:rPr>
      </w:pPr>
      <w:r>
        <w:rPr>
          <w:rFonts w:hint="eastAsia"/>
          <w:b/>
          <w:color w:val="auto"/>
          <w:spacing w:val="-20"/>
          <w:sz w:val="48"/>
          <w:szCs w:val="48"/>
          <w:highlight w:val="none"/>
          <w:lang w:eastAsia="zh-CN"/>
        </w:rPr>
        <w:t>信阳市浉河区自然资源局关于编制浉河区2022年第一批土地征收成片开发方案项目</w:t>
      </w:r>
    </w:p>
    <w:p>
      <w:pPr>
        <w:pStyle w:val="54"/>
        <w:pageBreakBefore w:val="0"/>
        <w:kinsoku/>
        <w:overflowPunct/>
        <w:bidi w:val="0"/>
        <w:ind w:firstLine="0" w:firstLineChars="0"/>
        <w:rPr>
          <w:b/>
          <w:color w:val="auto"/>
          <w:spacing w:val="-20"/>
          <w:sz w:val="44"/>
          <w:szCs w:val="44"/>
          <w:highlight w:val="none"/>
        </w:rPr>
      </w:pPr>
    </w:p>
    <w:p>
      <w:pPr>
        <w:pStyle w:val="54"/>
        <w:pageBreakBefore w:val="0"/>
        <w:kinsoku/>
        <w:overflowPunct/>
        <w:bidi w:val="0"/>
        <w:ind w:firstLine="0" w:firstLineChars="0"/>
        <w:rPr>
          <w:b/>
          <w:color w:val="auto"/>
          <w:spacing w:val="-20"/>
          <w:sz w:val="44"/>
          <w:szCs w:val="44"/>
          <w:highlight w:val="none"/>
        </w:rPr>
      </w:pPr>
    </w:p>
    <w:p>
      <w:pPr>
        <w:pageBreakBefore w:val="0"/>
        <w:kinsoku/>
        <w:overflowPunct/>
        <w:bidi w:val="0"/>
        <w:ind w:firstLine="0" w:firstLineChars="0"/>
        <w:jc w:val="center"/>
        <w:rPr>
          <w:rFonts w:ascii="宋体" w:hAnsi="宋体"/>
          <w:b/>
          <w:color w:val="auto"/>
          <w:sz w:val="52"/>
          <w:szCs w:val="52"/>
          <w:highlight w:val="none"/>
        </w:rPr>
      </w:pPr>
      <w:r>
        <w:rPr>
          <w:rFonts w:hint="eastAsia" w:ascii="宋体" w:hAnsi="宋体"/>
          <w:b/>
          <w:color w:val="auto"/>
          <w:sz w:val="52"/>
          <w:szCs w:val="52"/>
          <w:highlight w:val="none"/>
        </w:rPr>
        <w:t>竞争性磋商文件</w:t>
      </w:r>
    </w:p>
    <w:p>
      <w:pPr>
        <w:pStyle w:val="2"/>
        <w:pageBreakBefore w:val="0"/>
        <w:kinsoku/>
        <w:overflowPunct/>
        <w:bidi w:val="0"/>
        <w:ind w:firstLine="0" w:firstLineChars="0"/>
        <w:rPr>
          <w:color w:val="auto"/>
          <w:highlight w:val="none"/>
        </w:rPr>
      </w:pPr>
    </w:p>
    <w:p>
      <w:pPr>
        <w:pageBreakBefore w:val="0"/>
        <w:kinsoku/>
        <w:overflowPunct/>
        <w:bidi w:val="0"/>
        <w:ind w:firstLine="0" w:firstLineChars="0"/>
        <w:jc w:val="center"/>
        <w:rPr>
          <w:rFonts w:hint="default" w:ascii="宋体" w:hAnsi="宋体" w:eastAsiaTheme="minorEastAsia"/>
          <w:b/>
          <w:color w:val="auto"/>
          <w:sz w:val="32"/>
          <w:szCs w:val="32"/>
          <w:highlight w:val="none"/>
          <w:lang w:val="en-US" w:eastAsia="zh-CN"/>
        </w:rPr>
      </w:pPr>
      <w:r>
        <w:rPr>
          <w:rFonts w:hint="eastAsia" w:ascii="宋体" w:hAnsi="宋体"/>
          <w:b/>
          <w:color w:val="auto"/>
          <w:sz w:val="32"/>
          <w:szCs w:val="32"/>
          <w:highlight w:val="none"/>
        </w:rPr>
        <w:t>采购编号：</w:t>
      </w:r>
      <w:r>
        <w:rPr>
          <w:rFonts w:hint="eastAsia" w:ascii="宋体" w:hAnsi="宋体"/>
          <w:b/>
          <w:color w:val="auto"/>
          <w:sz w:val="32"/>
          <w:szCs w:val="32"/>
          <w:highlight w:val="none"/>
          <w:lang w:eastAsia="zh-CN"/>
        </w:rPr>
        <w:t>信浉财磋商采购-2024-</w:t>
      </w:r>
      <w:r>
        <w:rPr>
          <w:rFonts w:hint="eastAsia" w:ascii="宋体" w:hAnsi="宋体"/>
          <w:b/>
          <w:color w:val="auto"/>
          <w:sz w:val="32"/>
          <w:szCs w:val="32"/>
          <w:highlight w:val="none"/>
          <w:lang w:val="en-US" w:eastAsia="zh-CN"/>
        </w:rPr>
        <w:t>11</w:t>
      </w:r>
    </w:p>
    <w:p>
      <w:pPr>
        <w:pStyle w:val="2"/>
        <w:pageBreakBefore w:val="0"/>
        <w:kinsoku/>
        <w:overflowPunct/>
        <w:bidi w:val="0"/>
        <w:ind w:firstLine="0" w:firstLineChars="0"/>
        <w:rPr>
          <w:color w:val="auto"/>
          <w:highlight w:val="none"/>
        </w:rPr>
      </w:pPr>
    </w:p>
    <w:p>
      <w:pPr>
        <w:pageBreakBefore w:val="0"/>
        <w:kinsoku/>
        <w:overflowPunct/>
        <w:bidi w:val="0"/>
        <w:ind w:firstLine="0" w:firstLineChars="0"/>
        <w:rPr>
          <w:rFonts w:ascii="宋体"/>
          <w:color w:val="auto"/>
          <w:sz w:val="28"/>
          <w:highlight w:val="none"/>
        </w:rPr>
      </w:pPr>
      <w:r>
        <w:rPr>
          <w:rFonts w:hint="eastAsia" w:ascii="宋体" w:hAnsi="宋体" w:eastAsia="宋体" w:cs="宋体"/>
          <w:color w:val="auto"/>
          <w:sz w:val="24"/>
          <w:highlight w:val="none"/>
        </w:rPr>
        <w:drawing>
          <wp:anchor distT="0" distB="0" distL="114300" distR="114300" simplePos="0" relativeHeight="251659264" behindDoc="1" locked="0" layoutInCell="1" allowOverlap="1">
            <wp:simplePos x="0" y="0"/>
            <wp:positionH relativeFrom="column">
              <wp:posOffset>1411605</wp:posOffset>
            </wp:positionH>
            <wp:positionV relativeFrom="paragraph">
              <wp:posOffset>273685</wp:posOffset>
            </wp:positionV>
            <wp:extent cx="2185035" cy="2345690"/>
            <wp:effectExtent l="0" t="0" r="5715" b="16510"/>
            <wp:wrapTight wrapText="bothSides">
              <wp:wrapPolygon>
                <wp:start x="0" y="0"/>
                <wp:lineTo x="0" y="21401"/>
                <wp:lineTo x="21468" y="21401"/>
                <wp:lineTo x="21468" y="0"/>
                <wp:lineTo x="0" y="0"/>
              </wp:wrapPolygon>
            </wp:wrapTight>
            <wp:docPr id="1" name="图片 1" descr="IMG_0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0999"/>
                    <pic:cNvPicPr>
                      <a:picLocks noChangeAspect="1"/>
                    </pic:cNvPicPr>
                  </pic:nvPicPr>
                  <pic:blipFill>
                    <a:blip r:embed="rId15"/>
                    <a:stretch>
                      <a:fillRect/>
                    </a:stretch>
                  </pic:blipFill>
                  <pic:spPr>
                    <a:xfrm>
                      <a:off x="0" y="0"/>
                      <a:ext cx="2185035" cy="2345690"/>
                    </a:xfrm>
                    <a:prstGeom prst="rect">
                      <a:avLst/>
                    </a:prstGeom>
                    <a:noFill/>
                    <a:ln>
                      <a:noFill/>
                    </a:ln>
                  </pic:spPr>
                </pic:pic>
              </a:graphicData>
            </a:graphic>
          </wp:anchor>
        </w:drawing>
      </w:r>
    </w:p>
    <w:p>
      <w:pPr>
        <w:pStyle w:val="54"/>
        <w:pageBreakBefore w:val="0"/>
        <w:kinsoku/>
        <w:overflowPunct/>
        <w:bidi w:val="0"/>
        <w:ind w:firstLine="0" w:firstLineChars="0"/>
        <w:rPr>
          <w:rFonts w:ascii="宋体"/>
          <w:color w:val="auto"/>
          <w:sz w:val="28"/>
          <w:highlight w:val="none"/>
        </w:rPr>
      </w:pPr>
    </w:p>
    <w:p>
      <w:pPr>
        <w:pStyle w:val="54"/>
        <w:pageBreakBefore w:val="0"/>
        <w:kinsoku/>
        <w:overflowPunct/>
        <w:bidi w:val="0"/>
        <w:ind w:firstLine="0" w:firstLineChars="0"/>
        <w:rPr>
          <w:rFonts w:ascii="宋体"/>
          <w:color w:val="auto"/>
          <w:sz w:val="28"/>
          <w:highlight w:val="none"/>
        </w:rPr>
      </w:pPr>
    </w:p>
    <w:p>
      <w:pPr>
        <w:pStyle w:val="54"/>
        <w:pageBreakBefore w:val="0"/>
        <w:kinsoku/>
        <w:overflowPunct/>
        <w:bidi w:val="0"/>
        <w:ind w:firstLine="0" w:firstLineChars="0"/>
        <w:rPr>
          <w:rFonts w:ascii="宋体"/>
          <w:color w:val="auto"/>
          <w:sz w:val="28"/>
          <w:highlight w:val="none"/>
        </w:rPr>
      </w:pPr>
    </w:p>
    <w:p>
      <w:pPr>
        <w:pStyle w:val="54"/>
        <w:pageBreakBefore w:val="0"/>
        <w:kinsoku/>
        <w:overflowPunct/>
        <w:bidi w:val="0"/>
        <w:ind w:firstLine="0" w:firstLineChars="0"/>
        <w:rPr>
          <w:rFonts w:ascii="宋体"/>
          <w:color w:val="auto"/>
          <w:sz w:val="28"/>
          <w:highlight w:val="none"/>
        </w:rPr>
      </w:pPr>
    </w:p>
    <w:p>
      <w:pPr>
        <w:pStyle w:val="54"/>
        <w:pageBreakBefore w:val="0"/>
        <w:kinsoku/>
        <w:overflowPunct/>
        <w:bidi w:val="0"/>
        <w:ind w:firstLine="0" w:firstLineChars="0"/>
        <w:rPr>
          <w:rFonts w:ascii="宋体"/>
          <w:color w:val="auto"/>
          <w:sz w:val="28"/>
          <w:highlight w:val="none"/>
        </w:rPr>
      </w:pPr>
    </w:p>
    <w:p>
      <w:pPr>
        <w:pStyle w:val="54"/>
        <w:pageBreakBefore w:val="0"/>
        <w:kinsoku/>
        <w:overflowPunct/>
        <w:bidi w:val="0"/>
        <w:ind w:firstLine="0" w:firstLineChars="0"/>
        <w:rPr>
          <w:rFonts w:ascii="宋体"/>
          <w:color w:val="auto"/>
          <w:sz w:val="28"/>
          <w:highlight w:val="none"/>
        </w:rPr>
      </w:pPr>
    </w:p>
    <w:p>
      <w:pPr>
        <w:pageBreakBefore w:val="0"/>
        <w:kinsoku/>
        <w:overflowPunct/>
        <w:bidi w:val="0"/>
        <w:ind w:firstLine="0" w:firstLineChars="0"/>
        <w:rPr>
          <w:rFonts w:ascii="宋体"/>
          <w:color w:val="auto"/>
          <w:sz w:val="28"/>
          <w:highlight w:val="none"/>
        </w:rPr>
      </w:pPr>
    </w:p>
    <w:p>
      <w:pPr>
        <w:pStyle w:val="54"/>
        <w:pageBreakBefore w:val="0"/>
        <w:kinsoku/>
        <w:overflowPunct/>
        <w:bidi w:val="0"/>
        <w:ind w:firstLine="0" w:firstLineChars="0"/>
        <w:rPr>
          <w:color w:val="auto"/>
          <w:highlight w:val="none"/>
        </w:rPr>
      </w:pPr>
    </w:p>
    <w:p>
      <w:pPr>
        <w:pStyle w:val="54"/>
        <w:pageBreakBefore w:val="0"/>
        <w:kinsoku/>
        <w:overflowPunct/>
        <w:bidi w:val="0"/>
        <w:ind w:firstLine="0" w:firstLineChars="0"/>
        <w:rPr>
          <w:color w:val="auto"/>
          <w:highlight w:val="none"/>
        </w:rPr>
      </w:pPr>
    </w:p>
    <w:p>
      <w:pPr>
        <w:pStyle w:val="54"/>
        <w:pageBreakBefore w:val="0"/>
        <w:kinsoku/>
        <w:overflowPunct/>
        <w:bidi w:val="0"/>
        <w:ind w:firstLine="0" w:firstLineChars="0"/>
        <w:rPr>
          <w:color w:val="auto"/>
          <w:highlight w:val="none"/>
        </w:rPr>
      </w:pPr>
    </w:p>
    <w:p>
      <w:pPr>
        <w:pageBreakBefore w:val="0"/>
        <w:widowControl/>
        <w:kinsoku/>
        <w:overflowPunct/>
        <w:bidi w:val="0"/>
        <w:spacing w:line="720" w:lineRule="auto"/>
        <w:ind w:firstLine="0" w:firstLineChars="0"/>
        <w:rPr>
          <w:rFonts w:ascii="宋体" w:hAnsi="宋体" w:cs="宋体"/>
          <w:b/>
          <w:bCs/>
          <w:color w:val="auto"/>
          <w:kern w:val="0"/>
          <w:sz w:val="32"/>
          <w:szCs w:val="32"/>
          <w:highlight w:val="none"/>
        </w:rPr>
      </w:pPr>
    </w:p>
    <w:p>
      <w:pPr>
        <w:pageBreakBefore w:val="0"/>
        <w:widowControl/>
        <w:kinsoku/>
        <w:overflowPunct/>
        <w:bidi w:val="0"/>
        <w:spacing w:line="720" w:lineRule="auto"/>
        <w:ind w:firstLine="1285" w:firstLineChars="400"/>
        <w:jc w:val="both"/>
        <w:rPr>
          <w:rFonts w:hint="eastAsia" w:ascii="宋体" w:hAnsi="宋体" w:cs="宋体" w:eastAsiaTheme="minorEastAsia"/>
          <w:b/>
          <w:bCs/>
          <w:color w:val="auto"/>
          <w:kern w:val="0"/>
          <w:sz w:val="32"/>
          <w:szCs w:val="32"/>
          <w:highlight w:val="none"/>
          <w:lang w:eastAsia="zh-CN"/>
        </w:rPr>
      </w:pPr>
      <w:r>
        <w:rPr>
          <w:rFonts w:hint="eastAsia" w:ascii="宋体" w:hAnsi="宋体" w:cs="宋体"/>
          <w:b/>
          <w:bCs/>
          <w:color w:val="auto"/>
          <w:kern w:val="0"/>
          <w:sz w:val="32"/>
          <w:szCs w:val="32"/>
          <w:highlight w:val="none"/>
        </w:rPr>
        <w:t xml:space="preserve">采 </w:t>
      </w: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rPr>
        <w:t xml:space="preserve">购 </w:t>
      </w: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rPr>
        <w:t>人：</w:t>
      </w:r>
      <w:r>
        <w:rPr>
          <w:rFonts w:hint="eastAsia" w:ascii="宋体" w:hAnsi="宋体" w:cs="宋体"/>
          <w:b/>
          <w:bCs/>
          <w:color w:val="auto"/>
          <w:kern w:val="0"/>
          <w:sz w:val="32"/>
          <w:szCs w:val="32"/>
          <w:highlight w:val="none"/>
          <w:lang w:eastAsia="zh-CN"/>
        </w:rPr>
        <w:t>信阳市浉河区自然资源局</w:t>
      </w:r>
    </w:p>
    <w:p>
      <w:pPr>
        <w:pageBreakBefore w:val="0"/>
        <w:widowControl/>
        <w:kinsoku/>
        <w:overflowPunct/>
        <w:bidi w:val="0"/>
        <w:spacing w:line="720" w:lineRule="auto"/>
        <w:ind w:firstLine="0" w:firstLineChars="0"/>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rPr>
        <w:t>采购代理机构：中金泰富工程管理有限公司</w:t>
      </w:r>
    </w:p>
    <w:p>
      <w:pPr>
        <w:pageBreakBefore w:val="0"/>
        <w:widowControl/>
        <w:kinsoku/>
        <w:overflowPunct/>
        <w:bidi w:val="0"/>
        <w:spacing w:line="720" w:lineRule="auto"/>
        <w:ind w:firstLine="1285" w:firstLineChars="400"/>
        <w:jc w:val="both"/>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日</w:t>
      </w: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rPr>
        <w:t>期：</w:t>
      </w:r>
      <w:r>
        <w:rPr>
          <w:rFonts w:hint="eastAsia" w:ascii="宋体" w:hAnsi="宋体" w:eastAsia="宋体" w:cs="宋体"/>
          <w:b/>
          <w:color w:val="auto"/>
          <w:sz w:val="28"/>
          <w:highlight w:val="none"/>
        </w:rPr>
        <w:t>二〇二</w:t>
      </w:r>
      <w:r>
        <w:rPr>
          <w:rFonts w:hint="eastAsia" w:ascii="宋体" w:hAnsi="宋体" w:eastAsia="宋体" w:cs="宋体"/>
          <w:b/>
          <w:color w:val="auto"/>
          <w:sz w:val="28"/>
          <w:highlight w:val="none"/>
          <w:lang w:eastAsia="zh-CN"/>
        </w:rPr>
        <w:t>四</w:t>
      </w:r>
      <w:r>
        <w:rPr>
          <w:rFonts w:hint="eastAsia" w:ascii="宋体" w:hAnsi="宋体" w:eastAsia="宋体" w:cs="宋体"/>
          <w:b/>
          <w:color w:val="auto"/>
          <w:sz w:val="28"/>
          <w:highlight w:val="none"/>
        </w:rPr>
        <w:t>年三月</w:t>
      </w:r>
    </w:p>
    <w:p>
      <w:pPr>
        <w:pStyle w:val="16"/>
        <w:pageBreakBefore w:val="0"/>
        <w:kinsoku/>
        <w:overflowPunct/>
        <w:bidi w:val="0"/>
        <w:ind w:firstLine="0" w:firstLineChars="0"/>
        <w:jc w:val="center"/>
        <w:rPr>
          <w:rFonts w:ascii="宋体" w:hAnsi="宋体" w:cs="宋体"/>
          <w:b/>
          <w:color w:val="auto"/>
          <w:sz w:val="32"/>
          <w:highlight w:val="none"/>
        </w:rPr>
        <w:sectPr>
          <w:footerReference r:id="rId5" w:type="default"/>
          <w:pgSz w:w="11905" w:h="16838"/>
          <w:pgMar w:top="1440" w:right="1803" w:bottom="1440" w:left="1803" w:header="850" w:footer="850" w:gutter="0"/>
          <w:pgNumType w:fmt="decimal" w:start="1"/>
          <w:cols w:space="720" w:num="1"/>
          <w:docGrid w:type="lines" w:linePitch="349" w:charSpace="0"/>
        </w:sectPr>
      </w:pPr>
    </w:p>
    <w:p>
      <w:pPr>
        <w:pStyle w:val="16"/>
        <w:pageBreakBefore w:val="0"/>
        <w:kinsoku/>
        <w:overflowPunct/>
        <w:bidi w:val="0"/>
        <w:ind w:firstLine="0" w:firstLineChars="0"/>
        <w:jc w:val="center"/>
        <w:rPr>
          <w:rFonts w:ascii="宋体" w:hAnsi="宋体" w:cs="宋体"/>
          <w:b/>
          <w:color w:val="auto"/>
          <w:sz w:val="32"/>
          <w:highlight w:val="none"/>
        </w:rPr>
      </w:pPr>
      <w:r>
        <w:rPr>
          <w:rFonts w:hint="eastAsia" w:ascii="宋体" w:hAnsi="宋体" w:cs="宋体"/>
          <w:b/>
          <w:color w:val="auto"/>
          <w:sz w:val="32"/>
          <w:highlight w:val="none"/>
        </w:rPr>
        <w:t>目     录</w:t>
      </w:r>
      <w:bookmarkEnd w:id="0"/>
      <w:bookmarkEnd w:id="1"/>
      <w:bookmarkStart w:id="2" w:name="_Toc490667779"/>
      <w:bookmarkStart w:id="3" w:name="_Toc144974479"/>
      <w:bookmarkStart w:id="4" w:name="_Toc152045511"/>
      <w:bookmarkStart w:id="5" w:name="_Toc152042287"/>
    </w:p>
    <w:p>
      <w:pPr>
        <w:pStyle w:val="25"/>
        <w:keepNext w:val="0"/>
        <w:keepLines w:val="0"/>
        <w:pageBreakBefore w:val="0"/>
        <w:tabs>
          <w:tab w:val="right" w:leader="dot" w:pos="8299"/>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_Toc32308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第一章 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_Toc32308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- 5 -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tabs>
          <w:tab w:val="right" w:leader="dot" w:pos="8299"/>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_Toc14928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第二章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_Toc14928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- 10 -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7"/>
        <w:keepNext w:val="0"/>
        <w:keepLines w:val="0"/>
        <w:pageBreakBefore w:val="0"/>
        <w:widowControl/>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_Toc22294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供应商须知前附表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_Toc22294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- 10 -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7"/>
        <w:keepNext w:val="0"/>
        <w:keepLines w:val="0"/>
        <w:pageBreakBefore w:val="0"/>
        <w:widowControl/>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_Toc24740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1. 总则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_Toc24740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- 14 -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7"/>
        <w:keepNext w:val="0"/>
        <w:keepLines w:val="0"/>
        <w:pageBreakBefore w:val="0"/>
        <w:widowControl/>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_Toc15552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2.竞争性磋商文件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_Toc15552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- 16 -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7"/>
        <w:keepNext w:val="0"/>
        <w:keepLines w:val="0"/>
        <w:pageBreakBefore w:val="0"/>
        <w:widowControl/>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_Toc22547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3. 响应文件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_Toc22547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- 17 -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7"/>
        <w:keepNext w:val="0"/>
        <w:keepLines w:val="0"/>
        <w:pageBreakBefore w:val="0"/>
        <w:widowControl/>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_Toc18951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4. 磋商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_Toc18951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- 19 -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7"/>
        <w:keepNext w:val="0"/>
        <w:keepLines w:val="0"/>
        <w:pageBreakBefore w:val="0"/>
        <w:widowControl/>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_Toc7480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5.磋商开始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_Toc7480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- 20 -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7"/>
        <w:keepNext w:val="0"/>
        <w:keepLines w:val="0"/>
        <w:pageBreakBefore w:val="0"/>
        <w:widowControl/>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_Toc24508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6. 磋商小组</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_Toc24508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- 21 -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7"/>
        <w:keepNext w:val="0"/>
        <w:keepLines w:val="0"/>
        <w:pageBreakBefore w:val="0"/>
        <w:widowControl/>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_Toc3578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7. 合同授予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_Toc3578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- 21 -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7"/>
        <w:keepNext w:val="0"/>
        <w:keepLines w:val="0"/>
        <w:pageBreakBefore w:val="0"/>
        <w:widowControl/>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8.重新招标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- 22 -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7"/>
        <w:keepNext w:val="0"/>
        <w:keepLines w:val="0"/>
        <w:pageBreakBefore w:val="0"/>
        <w:widowControl/>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9.纪律和监督</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- 22 -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7"/>
        <w:keepNext w:val="0"/>
        <w:keepLines w:val="0"/>
        <w:pageBreakBefore w:val="0"/>
        <w:widowControl/>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_Toc26468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10. 需要补充的其他内容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_Toc26468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- 22 -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tabs>
          <w:tab w:val="right" w:leader="dot" w:pos="8299"/>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_Toc22014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44"/>
          <w:sz w:val="24"/>
          <w:szCs w:val="24"/>
          <w:highlight w:val="none"/>
        </w:rPr>
        <w:t>第三章  评审办法（综合评分法）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_Toc22014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- 23 -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tabs>
          <w:tab w:val="right" w:leader="dot" w:pos="8299"/>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_Toc21270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44"/>
          <w:sz w:val="24"/>
          <w:szCs w:val="24"/>
          <w:highlight w:val="none"/>
        </w:rPr>
        <w:t>第四章  河南省政府采购合同（参考文本）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_Toc21270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- 27 -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tabs>
          <w:tab w:val="right" w:leader="dot" w:pos="8299"/>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_Toc4703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采购项目要求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_Toc4703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tabs>
          <w:tab w:val="right" w:leader="dot" w:pos="8299"/>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_Toc12248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第六章  竞争性磋商响应文件格式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_Toc12248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5"/>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_Toc784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一、磋商函及磋商函附录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_Toc784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_Toc18581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二、法定代表身份证明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_Toc18581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_Toc20490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三、授权委托书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_Toc20490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_Toc23445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四、资格证明文件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_Toc23445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_Toc5474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五、拟投入本项目人员</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_Toc5474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_Toc19486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六、技术方案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_Toc19486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_Toc20278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七、类似项目业绩</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_Toc20278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_Toc5368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八、中小企业声明函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_Toc5368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_Toc18371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九、残疾人福利性单位声明函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_Toc18371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_Toc4000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十、监狱企业证明文件（如有）</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_Toc4000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9"/>
        <w:keepNext w:val="0"/>
        <w:keepLines w:val="0"/>
        <w:pageBreakBefore w:val="0"/>
        <w:widowControl w:val="0"/>
        <w:tabs>
          <w:tab w:val="right" w:leader="dot" w:pos="8299"/>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_Toc4604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十一、其他材料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_Toc4604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ageBreakBefore w:val="0"/>
        <w:kinsoku/>
        <w:overflowPunct/>
        <w:bidi w:val="0"/>
        <w:spacing w:line="440" w:lineRule="exact"/>
        <w:ind w:firstLine="0" w:firstLineChars="0"/>
        <w:jc w:val="center"/>
        <w:rPr>
          <w:rFonts w:ascii="宋体" w:hAnsi="宋体" w:eastAsia="宋体" w:cs="宋体"/>
          <w:b/>
          <w:color w:val="auto"/>
          <w:spacing w:val="14"/>
          <w:sz w:val="44"/>
          <w:szCs w:val="44"/>
          <w:highlight w:val="none"/>
        </w:rPr>
      </w:pPr>
      <w:r>
        <w:rPr>
          <w:rFonts w:hint="eastAsia" w:ascii="宋体" w:hAnsi="宋体" w:eastAsia="宋体" w:cs="宋体"/>
          <w:color w:val="auto"/>
          <w:sz w:val="24"/>
          <w:szCs w:val="24"/>
          <w:highlight w:val="none"/>
        </w:rPr>
        <w:fldChar w:fldCharType="end"/>
      </w:r>
      <w:r>
        <w:rPr>
          <w:rFonts w:hint="eastAsia" w:ascii="宋体" w:hAnsi="宋体" w:eastAsia="宋体" w:cs="宋体"/>
          <w:b/>
          <w:color w:val="auto"/>
          <w:spacing w:val="14"/>
          <w:sz w:val="44"/>
          <w:szCs w:val="44"/>
          <w:highlight w:val="none"/>
        </w:rPr>
        <w:t>电子招投标特别提示</w:t>
      </w:r>
    </w:p>
    <w:p>
      <w:pPr>
        <w:pageBreakBefore w:val="0"/>
        <w:kinsoku/>
        <w:overflowPunct/>
        <w:bidi w:val="0"/>
        <w:spacing w:line="400" w:lineRule="exact"/>
        <w:ind w:firstLine="0" w:firstLineChars="0"/>
        <w:rPr>
          <w:rFonts w:ascii="宋体" w:hAnsi="宋体" w:cs="宋体"/>
          <w:b/>
          <w:bCs/>
          <w:color w:val="auto"/>
          <w:sz w:val="24"/>
          <w:highlight w:val="none"/>
        </w:rPr>
      </w:pPr>
    </w:p>
    <w:p>
      <w:pPr>
        <w:pageBreakBefore w:val="0"/>
        <w:kinsoku/>
        <w:overflowPunct/>
        <w:bidi w:val="0"/>
        <w:spacing w:line="360" w:lineRule="exact"/>
        <w:ind w:firstLine="0" w:firstLineChars="0"/>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一、投标人（供应商）注册</w:t>
      </w:r>
    </w:p>
    <w:p>
      <w:pPr>
        <w:pageBreakBefore w:val="0"/>
        <w:kinsoku/>
        <w:overflowPunct/>
        <w:bidi w:val="0"/>
        <w:spacing w:line="36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凡有意参加本项目的投标人（供应商），请</w:t>
      </w:r>
      <w:r>
        <w:rPr>
          <w:rFonts w:hint="eastAsia" w:ascii="宋体" w:hAnsi="宋体" w:eastAsia="宋体" w:cs="宋体"/>
          <w:color w:val="auto"/>
          <w:szCs w:val="21"/>
          <w:highlight w:val="none"/>
          <w:lang w:eastAsia="zh-CN"/>
        </w:rPr>
        <w:t>登录</w:t>
      </w:r>
      <w:r>
        <w:rPr>
          <w:rFonts w:hint="eastAsia" w:ascii="宋体" w:hAnsi="宋体" w:eastAsia="宋体" w:cs="宋体"/>
          <w:color w:val="auto"/>
          <w:szCs w:val="21"/>
          <w:highlight w:val="none"/>
        </w:rPr>
        <w:t>“全国公共资源交易平台（河南省·信阳市）（</w:t>
      </w:r>
      <w:r>
        <w:rPr>
          <w:rFonts w:hint="eastAsia" w:ascii="宋体" w:hAnsi="宋体" w:eastAsia="宋体" w:cs="宋体"/>
          <w:color w:val="auto"/>
          <w:szCs w:val="21"/>
          <w:highlight w:val="none"/>
          <w:lang w:eastAsia="zh-CN"/>
        </w:rPr>
        <w:t>https://ggzyjy.xinyang.gov.cn/</w:t>
      </w:r>
      <w:r>
        <w:rPr>
          <w:rFonts w:hint="eastAsia" w:ascii="宋体" w:hAnsi="宋体" w:eastAsia="宋体" w:cs="宋体"/>
          <w:color w:val="auto"/>
          <w:szCs w:val="21"/>
          <w:highlight w:val="none"/>
        </w:rPr>
        <w:t>）”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pPr>
        <w:pageBreakBefore w:val="0"/>
        <w:kinsoku/>
        <w:overflowPunct/>
        <w:bidi w:val="0"/>
        <w:spacing w:line="360" w:lineRule="exact"/>
        <w:ind w:firstLine="0" w:firstLineChars="0"/>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二、办理CA数字证书</w:t>
      </w:r>
    </w:p>
    <w:p>
      <w:pPr>
        <w:pageBreakBefore w:val="0"/>
        <w:kinsoku/>
        <w:overflowPunct/>
        <w:bidi w:val="0"/>
        <w:spacing w:line="36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完成企业诚信库注册后，必须办理CA数字证书方可在网上办理招投标相关业务。投标人（供应商）根据《信阳市公共资源交易网》左侧下载中心有关办理CA数字证书的要求，准备好CA办理所需资料，到信阳市公共资源交易中心一楼CA窗口现场办理CA数字证书。</w:t>
      </w:r>
    </w:p>
    <w:p>
      <w:pPr>
        <w:pageBreakBefore w:val="0"/>
        <w:kinsoku/>
        <w:overflowPunct/>
        <w:bidi w:val="0"/>
        <w:spacing w:line="360" w:lineRule="exact"/>
        <w:ind w:firstLine="0" w:firstLineChars="0"/>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三、招标（采购）文件获取方式</w:t>
      </w:r>
    </w:p>
    <w:p>
      <w:pPr>
        <w:pageBreakBefore w:val="0"/>
        <w:kinsoku/>
        <w:overflowPunct/>
        <w:bidi w:val="0"/>
        <w:spacing w:line="36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投标人（供应商）凭CA数字证书</w:t>
      </w:r>
      <w:r>
        <w:rPr>
          <w:rFonts w:hint="eastAsia" w:ascii="宋体" w:hAnsi="宋体" w:eastAsia="宋体" w:cs="宋体"/>
          <w:color w:val="auto"/>
          <w:szCs w:val="21"/>
          <w:highlight w:val="none"/>
          <w:lang w:eastAsia="zh-CN"/>
        </w:rPr>
        <w:t>登录</w:t>
      </w:r>
      <w:r>
        <w:rPr>
          <w:rFonts w:hint="eastAsia" w:ascii="宋体" w:hAnsi="宋体" w:eastAsia="宋体" w:cs="宋体"/>
          <w:color w:val="auto"/>
          <w:szCs w:val="21"/>
          <w:highlight w:val="none"/>
        </w:rPr>
        <w:t>会员系统后，即可按网上提示免费下载招标（采购）文件及资料（操作程序详见信阳市公共资源交易中心网站下载中心栏目里投标人操作手册）。招标文件(*.XYZF格式)下载后需使用“信阳市投标文件制作工具软件”打开（该工具软件可在“全国公共资源交易平台（河南省·信阳市）（</w:t>
      </w:r>
      <w:r>
        <w:rPr>
          <w:rFonts w:hint="eastAsia" w:ascii="宋体" w:hAnsi="宋体" w:eastAsia="宋体" w:cs="宋体"/>
          <w:color w:val="auto"/>
          <w:szCs w:val="21"/>
          <w:highlight w:val="none"/>
          <w:lang w:eastAsia="zh-CN"/>
        </w:rPr>
        <w:t>https://ggzyjy.xinyang.gov.cn/</w:t>
      </w:r>
      <w:r>
        <w:rPr>
          <w:rFonts w:hint="eastAsia" w:ascii="宋体" w:hAnsi="宋体" w:eastAsia="宋体" w:cs="宋体"/>
          <w:color w:val="auto"/>
          <w:szCs w:val="21"/>
          <w:highlight w:val="none"/>
        </w:rPr>
        <w:t>）”网站下载中心栏目内下载或在招标文件领取页面下载）。</w:t>
      </w:r>
    </w:p>
    <w:p>
      <w:pPr>
        <w:pageBreakBefore w:val="0"/>
        <w:tabs>
          <w:tab w:val="left" w:pos="0"/>
        </w:tabs>
        <w:kinsoku/>
        <w:overflowPunct/>
        <w:bidi w:val="0"/>
        <w:spacing w:line="360" w:lineRule="exact"/>
        <w:ind w:firstLine="0" w:firstLineChars="0"/>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四、投标（响应）文件制作</w:t>
      </w:r>
    </w:p>
    <w:p>
      <w:pPr>
        <w:pageBreakBefore w:val="0"/>
        <w:tabs>
          <w:tab w:val="left" w:pos="0"/>
        </w:tabs>
        <w:kinsoku/>
        <w:overflowPunct/>
        <w:bidi w:val="0"/>
        <w:spacing w:line="36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投标（响应）文件应使用信阳市公共资源交易系统投标文件制作专用工具软件编制，投标（响应）文件格式为“*.XYTF”。</w:t>
      </w:r>
    </w:p>
    <w:p>
      <w:pPr>
        <w:pageBreakBefore w:val="0"/>
        <w:tabs>
          <w:tab w:val="left" w:pos="0"/>
        </w:tabs>
        <w:kinsoku/>
        <w:overflowPunct/>
        <w:bidi w:val="0"/>
        <w:spacing w:line="360" w:lineRule="exact"/>
        <w:ind w:firstLine="0" w:firstLineChars="0"/>
        <w:rPr>
          <w:rFonts w:ascii="宋体" w:hAnsi="宋体" w:eastAsia="宋体" w:cs="宋体"/>
          <w:color w:val="auto"/>
          <w:szCs w:val="21"/>
          <w:highlight w:val="none"/>
          <w:u w:val="single"/>
        </w:rPr>
      </w:pPr>
      <w:r>
        <w:rPr>
          <w:rFonts w:hint="eastAsia" w:ascii="宋体" w:hAnsi="宋体" w:eastAsia="宋体" w:cs="宋体"/>
          <w:color w:val="auto"/>
          <w:szCs w:val="21"/>
          <w:highlight w:val="none"/>
        </w:rPr>
        <w:t>招标文件费用网上支付，支付成功后，方可上传电子投标（响应）文件。</w:t>
      </w:r>
      <w:r>
        <w:rPr>
          <w:rFonts w:hint="eastAsia" w:ascii="宋体" w:hAnsi="宋体" w:eastAsia="宋体" w:cs="宋体"/>
          <w:color w:val="auto"/>
          <w:szCs w:val="21"/>
          <w:highlight w:val="none"/>
          <w:u w:val="single"/>
        </w:rPr>
        <w:t>（政府采购类项目不收取招标文件费用）</w:t>
      </w:r>
    </w:p>
    <w:p>
      <w:pPr>
        <w:pageBreakBefore w:val="0"/>
        <w:tabs>
          <w:tab w:val="left" w:pos="0"/>
        </w:tabs>
        <w:kinsoku/>
        <w:overflowPunct/>
        <w:bidi w:val="0"/>
        <w:spacing w:line="36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投标人（供应商）须在投标（响应）文件递交截止时间前制作并提交。</w:t>
      </w:r>
    </w:p>
    <w:p>
      <w:pPr>
        <w:pStyle w:val="3"/>
        <w:pageBreakBefore w:val="0"/>
        <w:kinsoku/>
        <w:overflowPunct/>
        <w:bidi w:val="0"/>
        <w:spacing w:line="360" w:lineRule="exact"/>
        <w:ind w:firstLine="0" w:firstLineChars="0"/>
        <w:rPr>
          <w:rFonts w:ascii="宋体" w:hAnsi="宋体" w:eastAsia="宋体" w:cs="宋体"/>
          <w:b/>
          <w:bCs/>
          <w:color w:val="auto"/>
          <w:szCs w:val="21"/>
          <w:highlight w:val="none"/>
        </w:rPr>
      </w:pPr>
      <w:r>
        <w:rPr>
          <w:rFonts w:hint="eastAsia" w:ascii="宋体" w:hAnsi="宋体" w:eastAsia="宋体" w:cs="宋体"/>
          <w:b/>
          <w:bCs/>
          <w:color w:val="auto"/>
          <w:szCs w:val="21"/>
          <w:highlight w:val="none"/>
          <w:u w:val="double"/>
        </w:rPr>
        <w:t>五、投标（响应）文件的签字和盖章要求</w:t>
      </w:r>
    </w:p>
    <w:p>
      <w:pPr>
        <w:pageBreakBefore w:val="0"/>
        <w:kinsoku/>
        <w:overflowPunct/>
        <w:bidi w:val="0"/>
        <w:adjustRightInd w:val="0"/>
        <w:snapToGrid w:val="0"/>
        <w:spacing w:line="36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1、投标文件（响应）格式中所有要求投标人（供应商）加盖公章的地方都须加盖投标人（供应商）的 CA 印章。</w:t>
      </w:r>
    </w:p>
    <w:p>
      <w:pPr>
        <w:pageBreakBefore w:val="0"/>
        <w:kinsoku/>
        <w:overflowPunct/>
        <w:bidi w:val="0"/>
        <w:adjustRightInd w:val="0"/>
        <w:snapToGrid w:val="0"/>
        <w:spacing w:line="360" w:lineRule="exact"/>
        <w:ind w:left="-126" w:leftChars="-60" w:firstLine="0" w:firstLineChars="0"/>
        <w:jc w:val="left"/>
        <w:rPr>
          <w:rFonts w:ascii="宋体" w:hAnsi="宋体" w:eastAsia="宋体" w:cs="宋体"/>
          <w:b/>
          <w:bCs/>
          <w:color w:val="auto"/>
          <w:szCs w:val="21"/>
          <w:highlight w:val="none"/>
        </w:rPr>
      </w:pPr>
      <w:r>
        <w:rPr>
          <w:rFonts w:hint="eastAsia" w:ascii="宋体" w:hAnsi="宋体" w:eastAsia="宋体" w:cs="宋体"/>
          <w:color w:val="auto"/>
          <w:szCs w:val="21"/>
          <w:highlight w:val="none"/>
        </w:rPr>
        <w:t>2、投标文件（响应）格式中所有要求法定代表人或其委托代理人签字或盖章的地方</w:t>
      </w:r>
      <w:r>
        <w:rPr>
          <w:rFonts w:hint="eastAsia" w:ascii="宋体" w:hAnsi="宋体" w:eastAsia="宋体" w:cs="宋体"/>
          <w:b/>
          <w:bCs/>
          <w:color w:val="auto"/>
          <w:szCs w:val="21"/>
          <w:highlight w:val="none"/>
        </w:rPr>
        <w:t>（不含授权委托书委托人签字）</w:t>
      </w:r>
      <w:r>
        <w:rPr>
          <w:rFonts w:hint="eastAsia" w:ascii="宋体" w:hAnsi="宋体" w:eastAsia="宋体" w:cs="宋体"/>
          <w:color w:val="auto"/>
          <w:szCs w:val="21"/>
          <w:highlight w:val="none"/>
        </w:rPr>
        <w:t>都须加盖法定代表人</w:t>
      </w:r>
      <w:r>
        <w:rPr>
          <w:rFonts w:hint="eastAsia" w:ascii="宋体" w:hAnsi="宋体" w:eastAsia="宋体" w:cs="宋体"/>
          <w:b/>
          <w:bCs/>
          <w:color w:val="auto"/>
          <w:szCs w:val="21"/>
          <w:highlight w:val="none"/>
        </w:rPr>
        <w:t>CA 印章。</w:t>
      </w:r>
    </w:p>
    <w:p>
      <w:pPr>
        <w:pStyle w:val="3"/>
        <w:pageBreakBefore w:val="0"/>
        <w:kinsoku/>
        <w:overflowPunct/>
        <w:bidi w:val="0"/>
        <w:spacing w:line="360" w:lineRule="exact"/>
        <w:ind w:firstLine="0" w:firstLineChars="0"/>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六、投标文件份数</w:t>
      </w:r>
    </w:p>
    <w:p>
      <w:pPr>
        <w:pageBreakBefore w:val="0"/>
        <w:kinsoku/>
        <w:overflowPunct/>
        <w:bidi w:val="0"/>
        <w:adjustRightInd w:val="0"/>
        <w:snapToGrid w:val="0"/>
        <w:spacing w:line="36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加密的电子投标（响应）文件壹份（*.XYTF 格式，在会员系统指定位置上传）。</w:t>
      </w:r>
    </w:p>
    <w:p>
      <w:pPr>
        <w:pStyle w:val="3"/>
        <w:pageBreakBefore w:val="0"/>
        <w:kinsoku/>
        <w:overflowPunct/>
        <w:bidi w:val="0"/>
        <w:spacing w:line="360" w:lineRule="exact"/>
        <w:ind w:firstLine="0" w:firstLineChars="0"/>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七、投标（响应）文件的递交</w:t>
      </w:r>
    </w:p>
    <w:p>
      <w:pPr>
        <w:pageBreakBefore w:val="0"/>
        <w:kinsoku/>
        <w:overflowPunct/>
        <w:bidi w:val="0"/>
        <w:adjustRightInd w:val="0"/>
        <w:snapToGrid w:val="0"/>
        <w:spacing w:line="36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1、电子投标（响应）文件的递交</w:t>
      </w:r>
    </w:p>
    <w:p>
      <w:pPr>
        <w:pageBreakBefore w:val="0"/>
        <w:kinsoku/>
        <w:overflowPunct/>
        <w:bidi w:val="0"/>
        <w:spacing w:line="36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pPr>
        <w:pageBreakBefore w:val="0"/>
        <w:kinsoku/>
        <w:overflowPunct/>
        <w:bidi w:val="0"/>
        <w:spacing w:line="36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2、除电子投标（响应）文件外，不再接受任何纸质文件、资料原件等。</w:t>
      </w:r>
    </w:p>
    <w:p>
      <w:pPr>
        <w:pageBreakBefore w:val="0"/>
        <w:kinsoku/>
        <w:overflowPunct/>
        <w:bidi w:val="0"/>
        <w:spacing w:line="360" w:lineRule="exact"/>
        <w:ind w:firstLine="0" w:firstLineChars="0"/>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八、澄清与变更</w:t>
      </w:r>
    </w:p>
    <w:p>
      <w:pPr>
        <w:pageBreakBefore w:val="0"/>
        <w:kinsoku/>
        <w:overflowPunct/>
        <w:bidi w:val="0"/>
        <w:spacing w:line="36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采购人）未及时查看而造成的后果自负。</w:t>
      </w:r>
    </w:p>
    <w:p>
      <w:pPr>
        <w:pageBreakBefore w:val="0"/>
        <w:widowControl/>
        <w:kinsoku/>
        <w:overflowPunct/>
        <w:bidi w:val="0"/>
        <w:spacing w:line="360" w:lineRule="exact"/>
        <w:ind w:firstLine="0" w:firstLineChars="0"/>
        <w:jc w:val="left"/>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 xml:space="preserve">九、其他注意事项 </w:t>
      </w:r>
    </w:p>
    <w:p>
      <w:pPr>
        <w:pageBreakBefore w:val="0"/>
        <w:widowControl/>
        <w:kinsoku/>
        <w:overflowPunct/>
        <w:bidi w:val="0"/>
        <w:spacing w:line="360" w:lineRule="exact"/>
        <w:ind w:firstLine="0" w:firstLineChars="0"/>
        <w:jc w:val="left"/>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 xml:space="preserve">1、供应商编制投标文件时，涉及的营业执照、资质、获奖、社保、纳税等固定内容可在交易中心主体信用信息中录入。 </w:t>
      </w:r>
    </w:p>
    <w:p>
      <w:pPr>
        <w:pageBreakBefore w:val="0"/>
        <w:widowControl/>
        <w:kinsoku/>
        <w:overflowPunct/>
        <w:bidi w:val="0"/>
        <w:spacing w:line="360" w:lineRule="exact"/>
        <w:ind w:firstLine="0" w:firstLineChars="0"/>
        <w:jc w:val="left"/>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2、供应商编制响应文件时，涉及营业执照、资质、业绩、获奖、人员、财务、社保、纳税、各类证书等内容，须扫描编制在响应文件内。评委评审只需依法对响应文件进行评审，并以响应文件的响应为唯一评审依据，不再比对主体信用信息。</w:t>
      </w:r>
    </w:p>
    <w:p>
      <w:pPr>
        <w:pageBreakBefore w:val="0"/>
        <w:widowControl/>
        <w:kinsoku/>
        <w:overflowPunct/>
        <w:bidi w:val="0"/>
        <w:spacing w:line="360" w:lineRule="exact"/>
        <w:ind w:firstLine="0" w:firstLineChars="0"/>
        <w:jc w:val="left"/>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3、采购人或代理机构在发布中标公告或候选人公示时需同时将中标人或第一中标候选人响应文件中的营业执照、资质、业绩、获奖、人员、财务、社保、纳税、各类证书、标的名称、规格型号同时公告（涉及供应商商业机密除外），强化社会监督。（中标企业认为投标文件中资料涉及商业秘密的，可以要求代理机构对相关信息模糊处理后公示（2021版添加修订）。）</w:t>
      </w:r>
    </w:p>
    <w:p>
      <w:pPr>
        <w:pageBreakBefore w:val="0"/>
        <w:widowControl/>
        <w:kinsoku/>
        <w:overflowPunct/>
        <w:bidi w:val="0"/>
        <w:spacing w:line="360" w:lineRule="exact"/>
        <w:ind w:firstLine="0" w:firstLineChars="0"/>
        <w:jc w:val="left"/>
        <w:rPr>
          <w:rFonts w:ascii="宋体" w:hAnsi="宋体" w:eastAsia="宋体" w:cs="宋体"/>
          <w:color w:val="auto"/>
          <w:szCs w:val="21"/>
          <w:highlight w:val="none"/>
          <w:u w:val="double"/>
        </w:rPr>
      </w:pPr>
      <w:r>
        <w:rPr>
          <w:rFonts w:hint="eastAsia" w:ascii="宋体" w:hAnsi="宋体" w:eastAsia="宋体" w:cs="宋体"/>
          <w:b/>
          <w:bCs/>
          <w:color w:val="auto"/>
          <w:szCs w:val="21"/>
          <w:highlight w:val="none"/>
          <w:u w:val="double"/>
        </w:rPr>
        <w:t>4、投标文件中的扫描件，在确保清晰的前提下，每张最好控制在 500kb 内,生成的加密电子投标文件最好不要超过50MB。</w:t>
      </w:r>
    </w:p>
    <w:p>
      <w:pPr>
        <w:pageBreakBefore w:val="0"/>
        <w:widowControl/>
        <w:kinsoku/>
        <w:overflowPunct/>
        <w:bidi w:val="0"/>
        <w:spacing w:line="360" w:lineRule="exact"/>
        <w:ind w:firstLine="0" w:firstLineChars="0"/>
        <w:jc w:val="left"/>
        <w:rPr>
          <w:rFonts w:ascii="宋体" w:hAnsi="宋体" w:eastAsia="宋体" w:cs="宋体"/>
          <w:b/>
          <w:bCs/>
          <w:color w:val="auto"/>
          <w:szCs w:val="21"/>
          <w:highlight w:val="none"/>
          <w:u w:val="double"/>
        </w:rPr>
      </w:pPr>
      <w:r>
        <w:rPr>
          <w:rFonts w:hint="eastAsia" w:ascii="宋体" w:hAnsi="宋体" w:eastAsia="宋体" w:cs="宋体"/>
          <w:b/>
          <w:bCs/>
          <w:color w:val="auto"/>
          <w:szCs w:val="21"/>
          <w:highlight w:val="none"/>
          <w:u w:val="double"/>
        </w:rPr>
        <w:t>十、特别提醒</w:t>
      </w:r>
    </w:p>
    <w:p>
      <w:pPr>
        <w:pStyle w:val="56"/>
        <w:pageBreakBefore w:val="0"/>
        <w:tabs>
          <w:tab w:val="right" w:leader="dot" w:pos="9240"/>
        </w:tabs>
        <w:kinsoku/>
        <w:overflowPunct/>
        <w:bidi w:val="0"/>
        <w:spacing w:line="480" w:lineRule="auto"/>
        <w:ind w:firstLine="0" w:firstLineChars="0"/>
        <w:jc w:val="both"/>
        <w:rPr>
          <w:rFonts w:ascii="宋体" w:hAnsi="宋体" w:cs="宋体"/>
          <w:b/>
          <w:bCs/>
          <w:color w:val="auto"/>
          <w:sz w:val="21"/>
          <w:szCs w:val="21"/>
          <w:highlight w:val="none"/>
        </w:rPr>
      </w:pPr>
      <w:r>
        <w:rPr>
          <w:rFonts w:hint="eastAsia" w:ascii="宋体" w:hAnsi="宋体" w:cs="宋体"/>
          <w:color w:val="auto"/>
          <w:sz w:val="21"/>
          <w:szCs w:val="21"/>
          <w:highlight w:val="none"/>
        </w:rPr>
        <w:t>招标（响应）文件与此内容不符的，以此内容为准。</w:t>
      </w:r>
    </w:p>
    <w:p>
      <w:pPr>
        <w:pStyle w:val="3"/>
        <w:pageBreakBefore w:val="0"/>
        <w:kinsoku/>
        <w:overflowPunct/>
        <w:bidi w:val="0"/>
        <w:ind w:firstLine="0" w:firstLineChars="0"/>
        <w:rPr>
          <w:rFonts w:ascii="宋体" w:hAnsi="宋体"/>
          <w:color w:val="auto"/>
          <w:szCs w:val="21"/>
          <w:highlight w:val="none"/>
        </w:rPr>
      </w:pPr>
    </w:p>
    <w:p>
      <w:pPr>
        <w:pStyle w:val="3"/>
        <w:pageBreakBefore w:val="0"/>
        <w:kinsoku/>
        <w:overflowPunct/>
        <w:bidi w:val="0"/>
        <w:ind w:firstLine="0" w:firstLineChars="0"/>
        <w:rPr>
          <w:rFonts w:ascii="宋体" w:hAnsi="宋体"/>
          <w:color w:val="auto"/>
          <w:sz w:val="24"/>
          <w:highlight w:val="none"/>
        </w:rPr>
      </w:pPr>
    </w:p>
    <w:p>
      <w:pPr>
        <w:pStyle w:val="3"/>
        <w:pageBreakBefore w:val="0"/>
        <w:kinsoku/>
        <w:overflowPunct/>
        <w:bidi w:val="0"/>
        <w:ind w:firstLine="0" w:firstLineChars="0"/>
        <w:rPr>
          <w:rFonts w:ascii="宋体" w:hAnsi="宋体"/>
          <w:color w:val="auto"/>
          <w:sz w:val="24"/>
          <w:highlight w:val="none"/>
        </w:rPr>
      </w:pPr>
    </w:p>
    <w:p>
      <w:pPr>
        <w:pStyle w:val="3"/>
        <w:pageBreakBefore w:val="0"/>
        <w:kinsoku/>
        <w:overflowPunct/>
        <w:bidi w:val="0"/>
        <w:ind w:firstLine="0" w:firstLineChars="0"/>
        <w:rPr>
          <w:rFonts w:ascii="宋体" w:hAnsi="宋体"/>
          <w:color w:val="auto"/>
          <w:sz w:val="24"/>
          <w:highlight w:val="none"/>
        </w:rPr>
      </w:pPr>
    </w:p>
    <w:p>
      <w:pPr>
        <w:pStyle w:val="3"/>
        <w:pageBreakBefore w:val="0"/>
        <w:kinsoku/>
        <w:overflowPunct/>
        <w:bidi w:val="0"/>
        <w:ind w:firstLine="0" w:firstLineChars="0"/>
        <w:rPr>
          <w:rFonts w:ascii="宋体" w:hAnsi="宋体"/>
          <w:color w:val="auto"/>
          <w:sz w:val="24"/>
          <w:highlight w:val="none"/>
        </w:rPr>
      </w:pPr>
    </w:p>
    <w:p>
      <w:pPr>
        <w:pStyle w:val="3"/>
        <w:pageBreakBefore w:val="0"/>
        <w:kinsoku/>
        <w:overflowPunct/>
        <w:bidi w:val="0"/>
        <w:ind w:firstLine="0" w:firstLineChars="0"/>
        <w:rPr>
          <w:rFonts w:ascii="宋体" w:hAnsi="宋体"/>
          <w:color w:val="auto"/>
          <w:sz w:val="24"/>
          <w:highlight w:val="none"/>
        </w:rPr>
      </w:pPr>
    </w:p>
    <w:p>
      <w:pPr>
        <w:pStyle w:val="27"/>
        <w:keepNext w:val="0"/>
        <w:keepLines w:val="0"/>
        <w:pageBreakBefore w:val="0"/>
        <w:tabs>
          <w:tab w:val="right" w:leader="underscore" w:pos="8296"/>
        </w:tabs>
        <w:kinsoku/>
        <w:overflowPunct/>
        <w:topLinePunct w:val="0"/>
        <w:autoSpaceDE/>
        <w:autoSpaceDN/>
        <w:bidi w:val="0"/>
        <w:spacing w:line="540" w:lineRule="exact"/>
        <w:ind w:left="0" w:firstLine="0" w:firstLineChars="0"/>
        <w:jc w:val="center"/>
        <w:textAlignment w:val="auto"/>
        <w:outlineLvl w:val="0"/>
        <w:rPr>
          <w:rFonts w:hint="eastAsia" w:ascii="宋体" w:hAnsi="宋体" w:cs="宋体"/>
          <w:b/>
          <w:bCs/>
          <w:color w:val="auto"/>
          <w:sz w:val="32"/>
          <w:szCs w:val="32"/>
          <w:highlight w:val="none"/>
        </w:rPr>
      </w:pPr>
      <w:bookmarkStart w:id="6" w:name="_Toc30363"/>
      <w:bookmarkStart w:id="7" w:name="_Toc32308"/>
    </w:p>
    <w:p>
      <w:pPr>
        <w:rPr>
          <w:rFonts w:hint="eastAsia"/>
          <w:color w:val="auto"/>
          <w:highlight w:val="none"/>
        </w:rPr>
      </w:pPr>
    </w:p>
    <w:p>
      <w:pPr>
        <w:pStyle w:val="27"/>
        <w:keepNext w:val="0"/>
        <w:keepLines w:val="0"/>
        <w:pageBreakBefore w:val="0"/>
        <w:tabs>
          <w:tab w:val="right" w:leader="underscore" w:pos="8296"/>
        </w:tabs>
        <w:kinsoku/>
        <w:overflowPunct/>
        <w:topLinePunct w:val="0"/>
        <w:autoSpaceDE/>
        <w:autoSpaceDN/>
        <w:bidi w:val="0"/>
        <w:spacing w:line="540" w:lineRule="exact"/>
        <w:ind w:left="0" w:firstLine="0" w:firstLineChars="0"/>
        <w:jc w:val="center"/>
        <w:textAlignment w:val="auto"/>
        <w:outlineLvl w:val="0"/>
        <w:rPr>
          <w:rFonts w:ascii="宋体" w:hAnsi="宋体" w:eastAsia="宋体" w:cs="宋体"/>
          <w:b/>
          <w:bCs/>
          <w:color w:val="auto"/>
          <w:sz w:val="32"/>
          <w:szCs w:val="32"/>
          <w:highlight w:val="none"/>
        </w:rPr>
      </w:pPr>
      <w:r>
        <w:rPr>
          <w:rFonts w:hint="eastAsia" w:ascii="宋体" w:hAnsi="宋体" w:cs="宋体"/>
          <w:b/>
          <w:bCs/>
          <w:color w:val="auto"/>
          <w:sz w:val="32"/>
          <w:szCs w:val="32"/>
          <w:highlight w:val="none"/>
        </w:rPr>
        <w:t xml:space="preserve">第一章 </w:t>
      </w:r>
      <w:bookmarkEnd w:id="2"/>
      <w:bookmarkEnd w:id="3"/>
      <w:bookmarkEnd w:id="4"/>
      <w:bookmarkEnd w:id="5"/>
      <w:bookmarkEnd w:id="6"/>
      <w:r>
        <w:rPr>
          <w:rFonts w:hint="eastAsia" w:ascii="宋体" w:hAnsi="宋体" w:cs="宋体"/>
          <w:b/>
          <w:bCs/>
          <w:color w:val="auto"/>
          <w:sz w:val="32"/>
          <w:szCs w:val="32"/>
          <w:highlight w:val="none"/>
        </w:rPr>
        <w:t>竞争性磋商公告</w:t>
      </w:r>
      <w:bookmarkEnd w:id="7"/>
    </w:p>
    <w:p>
      <w:pPr>
        <w:pStyle w:val="29"/>
        <w:keepNext w:val="0"/>
        <w:keepLines w:val="0"/>
        <w:pageBreakBefore w:val="0"/>
        <w:widowControl w:val="0"/>
        <w:kinsoku/>
        <w:overflowPunct/>
        <w:topLinePunct w:val="0"/>
        <w:autoSpaceDE/>
        <w:autoSpaceDN/>
        <w:bidi w:val="0"/>
        <w:spacing w:beforeAutospacing="0" w:afterAutospacing="0" w:line="540" w:lineRule="exact"/>
        <w:ind w:firstLine="0" w:firstLineChars="0"/>
        <w:textAlignment w:val="auto"/>
        <w:rPr>
          <w:rFonts w:eastAsia="宋体"/>
          <w:b/>
          <w:color w:val="auto"/>
          <w:sz w:val="21"/>
          <w:szCs w:val="21"/>
          <w:highlight w:val="none"/>
        </w:rPr>
      </w:pPr>
      <w:bookmarkStart w:id="8" w:name="OLE_LINK1"/>
      <w:bookmarkStart w:id="9" w:name="_Toc152045527"/>
      <w:bookmarkStart w:id="10" w:name="_Toc144974495"/>
      <w:bookmarkStart w:id="11" w:name="_Toc152042303"/>
      <w:r>
        <w:rPr>
          <w:rFonts w:hint="eastAsia" w:eastAsia="宋体"/>
          <w:b/>
          <w:color w:val="auto"/>
          <w:sz w:val="21"/>
          <w:szCs w:val="21"/>
          <w:highlight w:val="none"/>
        </w:rPr>
        <w:t>项目概况</w:t>
      </w:r>
    </w:p>
    <w:p>
      <w:pPr>
        <w:pStyle w:val="29"/>
        <w:keepNext w:val="0"/>
        <w:keepLines w:val="0"/>
        <w:pageBreakBefore w:val="0"/>
        <w:widowControl w:val="0"/>
        <w:kinsoku/>
        <w:overflowPunct/>
        <w:topLinePunct w:val="0"/>
        <w:autoSpaceDE/>
        <w:autoSpaceDN/>
        <w:bidi w:val="0"/>
        <w:spacing w:beforeAutospacing="0" w:afterAutospacing="0" w:line="540" w:lineRule="exact"/>
        <w:ind w:left="210" w:leftChars="100" w:firstLine="0" w:firstLineChars="0"/>
        <w:textAlignment w:val="auto"/>
        <w:rPr>
          <w:rFonts w:eastAsia="宋体"/>
          <w:bCs/>
          <w:color w:val="auto"/>
          <w:sz w:val="21"/>
          <w:szCs w:val="21"/>
          <w:highlight w:val="none"/>
        </w:rPr>
      </w:pPr>
      <w:r>
        <w:rPr>
          <w:rFonts w:hint="eastAsia" w:eastAsia="宋体"/>
          <w:bCs/>
          <w:color w:val="auto"/>
          <w:sz w:val="21"/>
          <w:szCs w:val="21"/>
          <w:highlight w:val="none"/>
          <w:lang w:eastAsia="zh-CN"/>
        </w:rPr>
        <w:t>信阳市浉河区自然资源局关于编制浉河区2022年第一批土地征收成片开发方案项目</w:t>
      </w:r>
      <w:r>
        <w:rPr>
          <w:rFonts w:hint="eastAsia" w:eastAsia="宋体"/>
          <w:bCs/>
          <w:color w:val="auto"/>
          <w:sz w:val="21"/>
          <w:szCs w:val="21"/>
          <w:highlight w:val="none"/>
        </w:rPr>
        <w:t>的潜在供应商应在</w:t>
      </w:r>
      <w:r>
        <w:rPr>
          <w:rFonts w:hint="eastAsia" w:eastAsia="宋体"/>
          <w:bCs/>
          <w:color w:val="auto"/>
          <w:sz w:val="21"/>
          <w:szCs w:val="21"/>
          <w:highlight w:val="none"/>
          <w:lang w:eastAsia="zh-CN"/>
        </w:rPr>
        <w:t>登录</w:t>
      </w:r>
      <w:r>
        <w:rPr>
          <w:rFonts w:hint="eastAsia" w:eastAsia="宋体"/>
          <w:bCs/>
          <w:color w:val="auto"/>
          <w:sz w:val="21"/>
          <w:szCs w:val="21"/>
          <w:highlight w:val="none"/>
        </w:rPr>
        <w:t>“全国公共资源交易中心（河南省·信阳市）（</w:t>
      </w:r>
      <w:r>
        <w:rPr>
          <w:rFonts w:hint="eastAsia" w:eastAsia="宋体"/>
          <w:bCs/>
          <w:color w:val="auto"/>
          <w:sz w:val="21"/>
          <w:szCs w:val="21"/>
          <w:highlight w:val="none"/>
          <w:lang w:eastAsia="zh-CN"/>
        </w:rPr>
        <w:t>https://ggzyjy.xinyang.gov.cn/</w:t>
      </w:r>
      <w:r>
        <w:rPr>
          <w:rFonts w:hint="eastAsia" w:eastAsia="宋体"/>
          <w:bCs/>
          <w:color w:val="auto"/>
          <w:sz w:val="21"/>
          <w:szCs w:val="21"/>
          <w:highlight w:val="none"/>
        </w:rPr>
        <w:t>）”网站，凭办理的企业身份认证锁（CA数字证书）</w:t>
      </w:r>
      <w:r>
        <w:rPr>
          <w:rFonts w:hint="eastAsia" w:eastAsia="宋体"/>
          <w:bCs/>
          <w:color w:val="auto"/>
          <w:sz w:val="21"/>
          <w:szCs w:val="21"/>
          <w:highlight w:val="none"/>
          <w:lang w:eastAsia="zh-CN"/>
        </w:rPr>
        <w:t>登录</w:t>
      </w:r>
      <w:r>
        <w:rPr>
          <w:rFonts w:hint="eastAsia" w:eastAsia="宋体"/>
          <w:bCs/>
          <w:color w:val="auto"/>
          <w:sz w:val="21"/>
          <w:szCs w:val="21"/>
          <w:highlight w:val="none"/>
        </w:rPr>
        <w:t>会员系统进行网上投标并获取竞争性磋商文件，并于</w:t>
      </w:r>
      <w:r>
        <w:rPr>
          <w:rFonts w:hint="eastAsia" w:eastAsia="宋体"/>
          <w:bCs/>
          <w:color w:val="auto"/>
          <w:sz w:val="21"/>
          <w:szCs w:val="21"/>
          <w:highlight w:val="none"/>
          <w:lang w:eastAsia="zh-CN"/>
        </w:rPr>
        <w:t>202</w:t>
      </w:r>
      <w:r>
        <w:rPr>
          <w:rFonts w:hint="eastAsia" w:eastAsia="宋体"/>
          <w:bCs/>
          <w:color w:val="auto"/>
          <w:sz w:val="21"/>
          <w:szCs w:val="21"/>
          <w:highlight w:val="none"/>
          <w:lang w:val="en-US" w:eastAsia="zh-CN"/>
        </w:rPr>
        <w:t>4</w:t>
      </w:r>
      <w:r>
        <w:rPr>
          <w:rFonts w:hint="eastAsia" w:eastAsia="宋体"/>
          <w:bCs/>
          <w:color w:val="auto"/>
          <w:sz w:val="21"/>
          <w:szCs w:val="21"/>
          <w:highlight w:val="none"/>
          <w:lang w:eastAsia="zh-CN"/>
        </w:rPr>
        <w:t xml:space="preserve">年 </w:t>
      </w:r>
      <w:r>
        <w:rPr>
          <w:rFonts w:hint="eastAsia" w:eastAsia="宋体"/>
          <w:bCs/>
          <w:color w:val="auto"/>
          <w:sz w:val="21"/>
          <w:szCs w:val="21"/>
          <w:highlight w:val="none"/>
          <w:lang w:val="en-US" w:eastAsia="zh-CN"/>
        </w:rPr>
        <w:t>3</w:t>
      </w:r>
      <w:r>
        <w:rPr>
          <w:rFonts w:hint="eastAsia" w:eastAsia="宋体"/>
          <w:bCs/>
          <w:color w:val="auto"/>
          <w:sz w:val="21"/>
          <w:szCs w:val="21"/>
          <w:highlight w:val="none"/>
          <w:lang w:eastAsia="zh-CN"/>
        </w:rPr>
        <w:t xml:space="preserve"> 月 </w:t>
      </w:r>
      <w:r>
        <w:rPr>
          <w:rFonts w:hint="eastAsia" w:eastAsia="宋体"/>
          <w:bCs/>
          <w:color w:val="auto"/>
          <w:sz w:val="21"/>
          <w:szCs w:val="21"/>
          <w:highlight w:val="none"/>
          <w:lang w:val="en-US" w:eastAsia="zh-CN"/>
        </w:rPr>
        <w:t>18</w:t>
      </w:r>
      <w:r>
        <w:rPr>
          <w:rFonts w:hint="eastAsia" w:eastAsia="宋体"/>
          <w:bCs/>
          <w:color w:val="auto"/>
          <w:sz w:val="21"/>
          <w:szCs w:val="21"/>
          <w:highlight w:val="none"/>
          <w:lang w:eastAsia="zh-CN"/>
        </w:rPr>
        <w:t xml:space="preserve"> 日9时30分</w:t>
      </w:r>
      <w:r>
        <w:rPr>
          <w:rFonts w:hint="eastAsia" w:eastAsia="宋体"/>
          <w:bCs/>
          <w:color w:val="auto"/>
          <w:sz w:val="21"/>
          <w:szCs w:val="21"/>
          <w:highlight w:val="none"/>
        </w:rPr>
        <w:t>（北京时间）前递交响应文件。</w:t>
      </w:r>
    </w:p>
    <w:p>
      <w:pPr>
        <w:pStyle w:val="29"/>
        <w:keepNext w:val="0"/>
        <w:keepLines w:val="0"/>
        <w:pageBreakBefore w:val="0"/>
        <w:widowControl w:val="0"/>
        <w:kinsoku/>
        <w:overflowPunct/>
        <w:topLinePunct w:val="0"/>
        <w:autoSpaceDE/>
        <w:autoSpaceDN/>
        <w:bidi w:val="0"/>
        <w:spacing w:beforeAutospacing="0" w:afterAutospacing="0" w:line="540" w:lineRule="exact"/>
        <w:ind w:firstLine="0" w:firstLineChars="0"/>
        <w:textAlignment w:val="auto"/>
        <w:rPr>
          <w:rFonts w:eastAsia="宋体"/>
          <w:b/>
          <w:color w:val="auto"/>
          <w:sz w:val="21"/>
          <w:szCs w:val="21"/>
          <w:highlight w:val="none"/>
        </w:rPr>
      </w:pPr>
      <w:r>
        <w:rPr>
          <w:rFonts w:hint="eastAsia" w:eastAsia="宋体"/>
          <w:b/>
          <w:color w:val="auto"/>
          <w:sz w:val="21"/>
          <w:szCs w:val="21"/>
          <w:highlight w:val="none"/>
        </w:rPr>
        <w:t>一、项目基本情况</w:t>
      </w:r>
    </w:p>
    <w:p>
      <w:pPr>
        <w:pStyle w:val="29"/>
        <w:keepNext w:val="0"/>
        <w:keepLines w:val="0"/>
        <w:pageBreakBefore w:val="0"/>
        <w:widowControl w:val="0"/>
        <w:kinsoku/>
        <w:overflowPunct/>
        <w:topLinePunct w:val="0"/>
        <w:autoSpaceDE/>
        <w:autoSpaceDN/>
        <w:bidi w:val="0"/>
        <w:spacing w:beforeAutospacing="0" w:afterAutospacing="0" w:line="540" w:lineRule="exact"/>
        <w:ind w:firstLine="0" w:firstLineChars="0"/>
        <w:textAlignment w:val="auto"/>
        <w:rPr>
          <w:rFonts w:hint="eastAsia" w:eastAsia="宋体"/>
          <w:bCs/>
          <w:color w:val="auto"/>
          <w:sz w:val="21"/>
          <w:szCs w:val="21"/>
          <w:highlight w:val="none"/>
          <w:lang w:val="en-US" w:eastAsia="zh-CN"/>
        </w:rPr>
      </w:pPr>
      <w:r>
        <w:rPr>
          <w:rFonts w:hint="eastAsia" w:eastAsia="宋体"/>
          <w:bCs/>
          <w:color w:val="auto"/>
          <w:sz w:val="21"/>
          <w:szCs w:val="21"/>
          <w:highlight w:val="none"/>
        </w:rPr>
        <w:t>1、项目编号：</w:t>
      </w:r>
      <w:r>
        <w:rPr>
          <w:rFonts w:hint="eastAsia" w:eastAsia="宋体"/>
          <w:bCs/>
          <w:color w:val="auto"/>
          <w:sz w:val="21"/>
          <w:szCs w:val="21"/>
          <w:highlight w:val="none"/>
          <w:lang w:eastAsia="zh-CN"/>
        </w:rPr>
        <w:t>信浉财磋商采购-2024-</w:t>
      </w:r>
      <w:r>
        <w:rPr>
          <w:rFonts w:hint="eastAsia" w:eastAsia="宋体"/>
          <w:bCs/>
          <w:color w:val="auto"/>
          <w:sz w:val="21"/>
          <w:szCs w:val="21"/>
          <w:highlight w:val="none"/>
          <w:lang w:val="en-US" w:eastAsia="zh-CN"/>
        </w:rPr>
        <w:t>11</w:t>
      </w:r>
      <w:r>
        <w:rPr>
          <w:rFonts w:hint="eastAsia" w:eastAsia="宋体"/>
          <w:bCs/>
          <w:color w:val="auto"/>
          <w:sz w:val="21"/>
          <w:szCs w:val="21"/>
          <w:highlight w:val="none"/>
          <w:lang w:eastAsia="zh-CN"/>
        </w:rPr>
        <w:t xml:space="preserve"> </w:t>
      </w:r>
    </w:p>
    <w:p>
      <w:pPr>
        <w:pStyle w:val="29"/>
        <w:keepNext w:val="0"/>
        <w:keepLines w:val="0"/>
        <w:pageBreakBefore w:val="0"/>
        <w:widowControl w:val="0"/>
        <w:kinsoku/>
        <w:overflowPunct/>
        <w:topLinePunct w:val="0"/>
        <w:autoSpaceDE/>
        <w:autoSpaceDN/>
        <w:bidi w:val="0"/>
        <w:spacing w:beforeAutospacing="0" w:afterAutospacing="0" w:line="540" w:lineRule="exact"/>
        <w:ind w:firstLine="0" w:firstLineChars="0"/>
        <w:textAlignment w:val="auto"/>
        <w:rPr>
          <w:rFonts w:hint="eastAsia" w:eastAsia="宋体"/>
          <w:bCs/>
          <w:color w:val="auto"/>
          <w:sz w:val="21"/>
          <w:szCs w:val="21"/>
          <w:highlight w:val="none"/>
          <w:lang w:eastAsia="zh-CN"/>
        </w:rPr>
      </w:pPr>
      <w:r>
        <w:rPr>
          <w:rFonts w:hint="eastAsia" w:eastAsia="宋体"/>
          <w:bCs/>
          <w:color w:val="auto"/>
          <w:sz w:val="21"/>
          <w:szCs w:val="21"/>
          <w:highlight w:val="none"/>
        </w:rPr>
        <w:t>2、项目名称：</w:t>
      </w:r>
      <w:r>
        <w:rPr>
          <w:rFonts w:hint="eastAsia" w:eastAsia="宋体"/>
          <w:bCs/>
          <w:color w:val="auto"/>
          <w:sz w:val="21"/>
          <w:szCs w:val="21"/>
          <w:highlight w:val="none"/>
          <w:lang w:eastAsia="zh-CN"/>
        </w:rPr>
        <w:t>信阳市浉河区自然资源局关于编制浉河区2022年第一批土地征收成片开发方案项目</w:t>
      </w:r>
    </w:p>
    <w:p>
      <w:pPr>
        <w:pStyle w:val="29"/>
        <w:keepNext w:val="0"/>
        <w:keepLines w:val="0"/>
        <w:pageBreakBefore w:val="0"/>
        <w:widowControl w:val="0"/>
        <w:kinsoku/>
        <w:overflowPunct/>
        <w:topLinePunct w:val="0"/>
        <w:autoSpaceDE/>
        <w:autoSpaceDN/>
        <w:bidi w:val="0"/>
        <w:spacing w:beforeAutospacing="0" w:afterAutospacing="0" w:line="540" w:lineRule="exact"/>
        <w:ind w:firstLine="0" w:firstLineChars="0"/>
        <w:textAlignment w:val="auto"/>
        <w:rPr>
          <w:rFonts w:eastAsia="宋体"/>
          <w:bCs/>
          <w:color w:val="auto"/>
          <w:sz w:val="21"/>
          <w:szCs w:val="21"/>
          <w:highlight w:val="none"/>
        </w:rPr>
      </w:pPr>
      <w:r>
        <w:rPr>
          <w:rFonts w:hint="eastAsia" w:eastAsia="宋体"/>
          <w:bCs/>
          <w:color w:val="auto"/>
          <w:sz w:val="21"/>
          <w:szCs w:val="21"/>
          <w:highlight w:val="none"/>
        </w:rPr>
        <w:t>3、采购方式：竞争性磋商</w:t>
      </w:r>
    </w:p>
    <w:p>
      <w:pPr>
        <w:pStyle w:val="29"/>
        <w:keepNext w:val="0"/>
        <w:keepLines w:val="0"/>
        <w:pageBreakBefore w:val="0"/>
        <w:widowControl w:val="0"/>
        <w:kinsoku/>
        <w:overflowPunct/>
        <w:topLinePunct w:val="0"/>
        <w:autoSpaceDE/>
        <w:autoSpaceDN/>
        <w:bidi w:val="0"/>
        <w:spacing w:beforeAutospacing="0" w:afterAutospacing="0" w:line="540" w:lineRule="exact"/>
        <w:ind w:firstLine="0" w:firstLineChars="0"/>
        <w:textAlignment w:val="auto"/>
        <w:rPr>
          <w:rFonts w:eastAsia="宋体"/>
          <w:bCs/>
          <w:color w:val="auto"/>
          <w:sz w:val="21"/>
          <w:szCs w:val="21"/>
          <w:highlight w:val="none"/>
        </w:rPr>
      </w:pPr>
      <w:r>
        <w:rPr>
          <w:rFonts w:hint="eastAsia" w:eastAsia="宋体"/>
          <w:bCs/>
          <w:color w:val="auto"/>
          <w:sz w:val="21"/>
          <w:szCs w:val="21"/>
          <w:highlight w:val="none"/>
        </w:rPr>
        <w:t>4、预算金额：</w:t>
      </w:r>
      <w:r>
        <w:rPr>
          <w:rFonts w:hint="eastAsia" w:eastAsia="宋体"/>
          <w:bCs/>
          <w:color w:val="auto"/>
          <w:sz w:val="21"/>
          <w:szCs w:val="21"/>
          <w:highlight w:val="none"/>
          <w:lang w:eastAsia="zh-CN"/>
        </w:rPr>
        <w:t>1149869.13</w:t>
      </w:r>
      <w:r>
        <w:rPr>
          <w:rFonts w:hint="eastAsia" w:eastAsia="宋体"/>
          <w:bCs/>
          <w:color w:val="auto"/>
          <w:sz w:val="21"/>
          <w:szCs w:val="21"/>
          <w:highlight w:val="none"/>
        </w:rPr>
        <w:t>元</w:t>
      </w:r>
    </w:p>
    <w:p>
      <w:pPr>
        <w:pStyle w:val="29"/>
        <w:keepNext w:val="0"/>
        <w:keepLines w:val="0"/>
        <w:pageBreakBefore w:val="0"/>
        <w:widowControl w:val="0"/>
        <w:kinsoku/>
        <w:overflowPunct/>
        <w:topLinePunct w:val="0"/>
        <w:autoSpaceDE/>
        <w:autoSpaceDN/>
        <w:bidi w:val="0"/>
        <w:spacing w:beforeAutospacing="0" w:afterAutospacing="0" w:line="540" w:lineRule="exact"/>
        <w:ind w:firstLine="0" w:firstLineChars="0"/>
        <w:textAlignment w:val="auto"/>
        <w:rPr>
          <w:rFonts w:eastAsia="宋体"/>
          <w:color w:val="auto"/>
          <w:sz w:val="21"/>
          <w:szCs w:val="21"/>
          <w:highlight w:val="none"/>
        </w:rPr>
      </w:pPr>
      <w:r>
        <w:rPr>
          <w:rFonts w:hint="eastAsia" w:eastAsia="宋体"/>
          <w:color w:val="auto"/>
          <w:sz w:val="21"/>
          <w:szCs w:val="21"/>
          <w:highlight w:val="none"/>
        </w:rPr>
        <w:t>最高限价：</w:t>
      </w:r>
      <w:r>
        <w:rPr>
          <w:rFonts w:hint="eastAsia" w:eastAsia="宋体"/>
          <w:color w:val="auto"/>
          <w:sz w:val="21"/>
          <w:szCs w:val="21"/>
          <w:highlight w:val="none"/>
          <w:lang w:val="en-US" w:eastAsia="zh-CN"/>
        </w:rPr>
        <w:t>1149869.13</w:t>
      </w:r>
      <w:r>
        <w:rPr>
          <w:rFonts w:hint="eastAsia" w:eastAsia="宋体"/>
          <w:color w:val="auto"/>
          <w:sz w:val="21"/>
          <w:szCs w:val="21"/>
          <w:highlight w:val="none"/>
        </w:rPr>
        <w:t>元</w:t>
      </w:r>
    </w:p>
    <w:p>
      <w:pPr>
        <w:pStyle w:val="29"/>
        <w:keepNext w:val="0"/>
        <w:keepLines w:val="0"/>
        <w:pageBreakBefore w:val="0"/>
        <w:widowControl w:val="0"/>
        <w:numPr>
          <w:ilvl w:val="0"/>
          <w:numId w:val="2"/>
        </w:numPr>
        <w:kinsoku/>
        <w:overflowPunct/>
        <w:topLinePunct w:val="0"/>
        <w:autoSpaceDE/>
        <w:autoSpaceDN/>
        <w:bidi w:val="0"/>
        <w:spacing w:beforeAutospacing="0" w:afterAutospacing="0" w:line="540" w:lineRule="exact"/>
        <w:ind w:firstLine="0" w:firstLineChars="0"/>
        <w:textAlignment w:val="auto"/>
        <w:rPr>
          <w:rFonts w:hint="eastAsia" w:ascii="宋体" w:hAnsi="宋体" w:eastAsia="宋体" w:cs="宋体"/>
          <w:color w:val="auto"/>
          <w:szCs w:val="21"/>
          <w:highlight w:val="none"/>
        </w:rPr>
      </w:pPr>
      <w:r>
        <w:rPr>
          <w:rFonts w:hint="eastAsia" w:eastAsia="宋体"/>
          <w:bCs/>
          <w:color w:val="auto"/>
          <w:sz w:val="21"/>
          <w:szCs w:val="21"/>
          <w:highlight w:val="none"/>
        </w:rPr>
        <w:t>采购需求（包括但不限于标的的名称、数量、简要技术需求或服务要求等）</w:t>
      </w:r>
    </w:p>
    <w:p>
      <w:pPr>
        <w:keepNext w:val="0"/>
        <w:keepLines w:val="0"/>
        <w:pageBreakBefore w:val="0"/>
        <w:numPr>
          <w:ilvl w:val="0"/>
          <w:numId w:val="0"/>
        </w:numPr>
        <w:kinsoku/>
        <w:overflowPunct/>
        <w:topLinePunct w:val="0"/>
        <w:autoSpaceDE/>
        <w:autoSpaceDN/>
        <w:bidi w:val="0"/>
        <w:adjustRightInd w:val="0"/>
        <w:snapToGrid w:val="0"/>
        <w:spacing w:line="5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5.1 采购内容：本项目为</w:t>
      </w:r>
      <w:r>
        <w:rPr>
          <w:rFonts w:hint="eastAsia" w:ascii="宋体" w:hAnsi="宋体" w:eastAsia="宋体" w:cs="宋体"/>
          <w:color w:val="auto"/>
          <w:szCs w:val="21"/>
          <w:highlight w:val="none"/>
          <w:lang w:eastAsia="zh-CN"/>
        </w:rPr>
        <w:t>浉河区2022年第一批土地征收成片开发方案和浉河区</w:t>
      </w:r>
      <w:r>
        <w:rPr>
          <w:rFonts w:hint="eastAsia" w:ascii="宋体" w:hAnsi="宋体" w:eastAsia="宋体" w:cs="宋体"/>
          <w:color w:val="auto"/>
          <w:szCs w:val="21"/>
          <w:highlight w:val="none"/>
          <w:lang w:val="en-US" w:eastAsia="zh-CN"/>
        </w:rPr>
        <w:t>2023年第一批土地征收成片开发方案</w:t>
      </w:r>
      <w:r>
        <w:rPr>
          <w:rFonts w:hint="eastAsia" w:ascii="宋体" w:hAnsi="宋体" w:eastAsia="宋体" w:cs="宋体"/>
          <w:color w:val="auto"/>
          <w:szCs w:val="21"/>
          <w:highlight w:val="none"/>
        </w:rPr>
        <w:t>，主要包括1、拟征收部分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确定范围线、片区功能及用途确定、拟建项目、开发时序和年度实施计划</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拟征收之外其他部分</w:t>
      </w:r>
      <w:r>
        <w:rPr>
          <w:rFonts w:hint="eastAsia" w:ascii="宋体" w:hAnsi="宋体" w:eastAsia="宋体" w:cs="宋体"/>
          <w:color w:val="auto"/>
          <w:szCs w:val="21"/>
          <w:highlight w:val="none"/>
          <w:lang w:eastAsia="zh-CN"/>
        </w:rPr>
        <w:t>：方案规划文本、图集、数据库编制；</w:t>
      </w:r>
      <w:r>
        <w:rPr>
          <w:rFonts w:hint="eastAsia" w:ascii="宋体" w:hAnsi="宋体" w:eastAsia="宋体" w:cs="宋体"/>
          <w:color w:val="auto"/>
          <w:szCs w:val="21"/>
          <w:highlight w:val="none"/>
        </w:rPr>
        <w:t>3、勘测定界资料编制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4、方案上报审批等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5.2服务期限：</w:t>
      </w:r>
      <w:r>
        <w:rPr>
          <w:rFonts w:hint="eastAsia" w:ascii="宋体" w:hAnsi="宋体" w:cs="宋体"/>
          <w:color w:val="auto"/>
          <w:szCs w:val="21"/>
          <w:highlight w:val="none"/>
          <w:lang w:val="en-US" w:eastAsia="zh-CN"/>
        </w:rPr>
        <w:t>自合同签订之日起，按照河南省自然资源厅要求时限完成；</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5.3质量标准：</w:t>
      </w:r>
      <w:r>
        <w:rPr>
          <w:rFonts w:hint="eastAsia" w:ascii="宋体" w:hAnsi="宋体" w:cs="宋体"/>
          <w:color w:val="auto"/>
          <w:szCs w:val="21"/>
          <w:highlight w:val="none"/>
          <w:lang w:eastAsia="zh-CN"/>
        </w:rPr>
        <w:t>满足国家、省、市相关技术要求</w:t>
      </w:r>
      <w:r>
        <w:rPr>
          <w:rFonts w:hint="eastAsia" w:ascii="宋体" w:hAnsi="宋体" w:cs="宋体"/>
          <w:color w:val="auto"/>
          <w:szCs w:val="21"/>
          <w:highlight w:val="none"/>
        </w:rPr>
        <w:t>；</w:t>
      </w:r>
    </w:p>
    <w:p>
      <w:pPr>
        <w:pStyle w:val="29"/>
        <w:keepNext w:val="0"/>
        <w:keepLines w:val="0"/>
        <w:pageBreakBefore w:val="0"/>
        <w:widowControl w:val="0"/>
        <w:numPr>
          <w:ilvl w:val="0"/>
          <w:numId w:val="2"/>
        </w:numPr>
        <w:kinsoku/>
        <w:overflowPunct/>
        <w:topLinePunct w:val="0"/>
        <w:autoSpaceDE/>
        <w:autoSpaceDN/>
        <w:bidi w:val="0"/>
        <w:spacing w:beforeAutospacing="0" w:afterAutospacing="0" w:line="54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合同履行期限：自合同签订之日起，按照河南省自然资源厅要求时限完成。</w:t>
      </w:r>
    </w:p>
    <w:p>
      <w:pPr>
        <w:pStyle w:val="29"/>
        <w:keepNext w:val="0"/>
        <w:keepLines w:val="0"/>
        <w:pageBreakBefore w:val="0"/>
        <w:widowControl w:val="0"/>
        <w:numPr>
          <w:ilvl w:val="0"/>
          <w:numId w:val="2"/>
        </w:numPr>
        <w:kinsoku/>
        <w:overflowPunct/>
        <w:topLinePunct w:val="0"/>
        <w:autoSpaceDE/>
        <w:autoSpaceDN/>
        <w:bidi w:val="0"/>
        <w:spacing w:beforeAutospacing="0" w:afterAutospacing="0" w:line="54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本项目是否接受联合体投标：否</w:t>
      </w:r>
    </w:p>
    <w:p>
      <w:pPr>
        <w:pStyle w:val="29"/>
        <w:keepNext w:val="0"/>
        <w:keepLines w:val="0"/>
        <w:pageBreakBefore w:val="0"/>
        <w:widowControl w:val="0"/>
        <w:numPr>
          <w:ilvl w:val="0"/>
          <w:numId w:val="2"/>
        </w:numPr>
        <w:kinsoku/>
        <w:overflowPunct/>
        <w:topLinePunct w:val="0"/>
        <w:autoSpaceDE/>
        <w:autoSpaceDN/>
        <w:bidi w:val="0"/>
        <w:spacing w:beforeAutospacing="0" w:afterAutospacing="0" w:line="54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是否接受进口产品：否</w:t>
      </w:r>
    </w:p>
    <w:p>
      <w:pPr>
        <w:pStyle w:val="29"/>
        <w:keepNext w:val="0"/>
        <w:keepLines w:val="0"/>
        <w:pageBreakBefore w:val="0"/>
        <w:widowControl w:val="0"/>
        <w:numPr>
          <w:ilvl w:val="0"/>
          <w:numId w:val="2"/>
        </w:numPr>
        <w:kinsoku/>
        <w:overflowPunct/>
        <w:topLinePunct w:val="0"/>
        <w:autoSpaceDE/>
        <w:autoSpaceDN/>
        <w:bidi w:val="0"/>
        <w:spacing w:beforeAutospacing="0" w:afterAutospacing="0" w:line="540" w:lineRule="exact"/>
        <w:ind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是否专门面向中小企业：是</w:t>
      </w:r>
    </w:p>
    <w:p>
      <w:pPr>
        <w:pStyle w:val="29"/>
        <w:keepNext w:val="0"/>
        <w:keepLines w:val="0"/>
        <w:pageBreakBefore w:val="0"/>
        <w:widowControl w:val="0"/>
        <w:kinsoku/>
        <w:overflowPunct/>
        <w:topLinePunct w:val="0"/>
        <w:autoSpaceDE/>
        <w:autoSpaceDN/>
        <w:bidi w:val="0"/>
        <w:spacing w:beforeAutospacing="0" w:afterAutospacing="0" w:line="540" w:lineRule="exact"/>
        <w:ind w:firstLine="0" w:firstLineChars="0"/>
        <w:textAlignment w:val="auto"/>
        <w:rPr>
          <w:rFonts w:eastAsia="宋体"/>
          <w:b/>
          <w:bCs/>
          <w:color w:val="auto"/>
          <w:sz w:val="21"/>
          <w:szCs w:val="21"/>
          <w:highlight w:val="none"/>
        </w:rPr>
      </w:pPr>
      <w:r>
        <w:rPr>
          <w:rFonts w:hint="eastAsia" w:eastAsia="宋体"/>
          <w:b/>
          <w:bCs/>
          <w:color w:val="auto"/>
          <w:sz w:val="21"/>
          <w:szCs w:val="21"/>
          <w:highlight w:val="none"/>
        </w:rPr>
        <w:t>二、申请人资格要求：</w:t>
      </w:r>
    </w:p>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1、满足《中华人民共和国政府采购法》第二十二条规定。</w:t>
      </w:r>
    </w:p>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default" w:ascii="宋体" w:hAnsi="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2、落实政府采购政策满足的资格要求：</w:t>
      </w:r>
      <w:r>
        <w:rPr>
          <w:rFonts w:hint="eastAsia" w:ascii="宋体" w:hAnsi="宋体" w:eastAsia="宋体" w:cs="宋体"/>
          <w:color w:val="auto"/>
          <w:highlight w:val="none"/>
          <w:lang w:val="en-US" w:eastAsia="zh-CN"/>
        </w:rPr>
        <w:t>本项目专门面向中小微企业采购。本项目落实优先采购节能环保、环境标志性产品、优先采购自主创 新产品，扶持不发达地区和少数民族地区，促进中小企业、监狱企业、残疾人福利性企业发展等相关政府采购政策。</w:t>
      </w:r>
    </w:p>
    <w:p>
      <w:pPr>
        <w:keepNext w:val="0"/>
        <w:keepLines w:val="0"/>
        <w:pageBreakBefore w:val="0"/>
        <w:numPr>
          <w:ilvl w:val="0"/>
          <w:numId w:val="3"/>
        </w:numPr>
        <w:kinsoku/>
        <w:wordWrap/>
        <w:overflowPunct/>
        <w:topLinePunct w:val="0"/>
        <w:autoSpaceDE/>
        <w:autoSpaceDN/>
        <w:bidi w:val="0"/>
        <w:adjustRightInd w:val="0"/>
        <w:snapToGrid w:val="0"/>
        <w:spacing w:line="540" w:lineRule="exact"/>
        <w:ind w:firstLine="0" w:firstLineChars="0"/>
        <w:textAlignment w:val="auto"/>
        <w:rPr>
          <w:rFonts w:ascii="宋体" w:hAnsi="宋体" w:cs="宋体"/>
          <w:color w:val="auto"/>
          <w:szCs w:val="21"/>
          <w:highlight w:val="none"/>
        </w:rPr>
      </w:pPr>
      <w:r>
        <w:rPr>
          <w:rFonts w:hint="eastAsia" w:ascii="宋体" w:hAnsi="宋体" w:cs="宋体"/>
          <w:color w:val="auto"/>
          <w:sz w:val="21"/>
          <w:szCs w:val="21"/>
          <w:highlight w:val="none"/>
          <w:lang w:val="en-US" w:eastAsia="zh-CN"/>
        </w:rPr>
        <w:t>本项目的特定资格要求：</w:t>
      </w:r>
      <w:r>
        <w:rPr>
          <w:rFonts w:hint="eastAsia" w:ascii="宋体" w:hAnsi="宋体" w:cs="宋体"/>
          <w:color w:val="auto"/>
          <w:szCs w:val="21"/>
          <w:highlight w:val="none"/>
        </w:rPr>
        <w:t>供应商须具备行政主管部门核准和颁发的</w:t>
      </w:r>
      <w:r>
        <w:rPr>
          <w:rFonts w:hint="eastAsia" w:ascii="宋体" w:hAnsi="宋体" w:cs="宋体"/>
          <w:color w:val="auto"/>
          <w:szCs w:val="21"/>
          <w:highlight w:val="none"/>
          <w:lang w:eastAsia="zh-CN"/>
        </w:rPr>
        <w:t>土地规划</w:t>
      </w:r>
      <w:r>
        <w:rPr>
          <w:rFonts w:hint="eastAsia" w:ascii="宋体" w:hAnsi="宋体" w:eastAsia="宋体" w:cs="宋体"/>
          <w:color w:val="auto"/>
          <w:szCs w:val="21"/>
          <w:highlight w:val="none"/>
          <w:lang w:val="en-US" w:eastAsia="zh-CN"/>
        </w:rPr>
        <w:t>乙级（含）以上资质和测绘乙级（含）以上资质</w:t>
      </w:r>
      <w:r>
        <w:rPr>
          <w:rFonts w:hint="eastAsia" w:ascii="宋体" w:hAnsi="宋体" w:cs="宋体"/>
          <w:color w:val="auto"/>
          <w:szCs w:val="21"/>
          <w:highlight w:val="none"/>
        </w:rPr>
        <w:t>。</w:t>
      </w:r>
      <w:r>
        <w:rPr>
          <w:rFonts w:hint="eastAsia" w:ascii="宋体" w:hAnsi="宋体" w:eastAsia="宋体" w:cs="宋体"/>
          <w:color w:val="auto"/>
          <w:highlight w:val="none"/>
          <w:lang w:val="en-US" w:eastAsia="zh-CN"/>
        </w:rPr>
        <w:t>拟派的项目负责人具有相关专业中级及以上职称证书，并具有2023年6月以来任意三个月社保部门出具的缴纳养老保险证明；</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4、其他说明：</w:t>
      </w:r>
    </w:p>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4.1 单位负责人为同一人或者存在直接控股、管理关系的不同单位，不得同时参加同一合同项下的政府采购活动（提供加盖投标人公章的“国家企业信用信息公示系统”中公示的公司基础信息包含股东及出资信息。查询截止时点为：从报名开始之日起至投标截止之日止。）</w:t>
      </w:r>
    </w:p>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4.2 本项目</w:t>
      </w:r>
      <w:r>
        <w:rPr>
          <w:rFonts w:hint="eastAsia" w:ascii="宋体" w:hAnsi="宋体" w:cs="宋体"/>
          <w:color w:val="auto"/>
          <w:sz w:val="21"/>
          <w:szCs w:val="21"/>
          <w:highlight w:val="none"/>
          <w:u w:val="single"/>
          <w:lang w:val="en-US" w:eastAsia="zh-CN"/>
        </w:rPr>
        <w:t xml:space="preserve"> 适用 </w:t>
      </w:r>
      <w:r>
        <w:rPr>
          <w:rFonts w:hint="eastAsia" w:ascii="宋体" w:hAnsi="宋体" w:cs="宋体"/>
          <w:color w:val="auto"/>
          <w:sz w:val="21"/>
          <w:szCs w:val="21"/>
          <w:highlight w:val="none"/>
          <w:lang w:val="en-US" w:eastAsia="zh-CN"/>
        </w:rPr>
        <w:t>信用承诺（详见下述要求）：根据财政部《关于在政府采购活动中查询及使用信用记录有关问题的通知》(财库[2016] 125 号)和豫财购[2016]15 号的规定，对列入失信被执行人、重大税收违法失信主体、政府采购严重违法失信行为记录名单的投标人，视为无效投标。提供“信用中国”网站的列入失信被执行人、重大税收违法失信主体网站截图和“中国政府采购网”网站的政府采购严重违法失信行为记录名单网站截图；查询渠道：“信用中国”网站（www.creditchina.gov.cn）、中国政府采购网（www.ccgp.gov.cn），查询截止时点为：从报名开始之日起至投标截止之日止。）</w:t>
      </w:r>
    </w:p>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（一）在本项目政府采购活动中，供应商在投标（响应）时，可对照资格要求进行自主核对，确定符合资格要求的，可按照规定提供相关承诺函（详见响应文件“ 资格审查资料”附件），供应商在资格审查环节提供满足相应条件的书面承诺书，不需要提供以下证明材料：</w:t>
      </w:r>
    </w:p>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①具有独立承担民事责任的能力（提供有效的企业营业执照或其他组织的证明材料）；</w:t>
      </w:r>
    </w:p>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②具有良好的商业信誉和健全的财务会计制度（提供2022年度或2023年度的财务审计报告，若企业成立年份不足1年，则需提供开户行出具的资信证明）；</w:t>
      </w:r>
    </w:p>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③具有履行合同所必须的设备和专业技术能力（提供承诺书）；</w:t>
      </w:r>
    </w:p>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④具有依法缴纳税收和社会保障资金的良好记录【提供2023年6月以来任意3个月的已依法缴纳税收和社会保障资金的凭据，依法免税或不需要缴纳社会保障资金的供应商，应提供相应证明文件，新成立公司按实际月份提供。（如依法免税的，则须提供相关部门出具的证明文件。如投标人在规定的时间段内没有发生业务的，则提供税务部门出具的纳税证明，或加盖税务部门公章的纳税申报表。）】；</w:t>
      </w:r>
    </w:p>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⑤参加政府采购活动前三年内在经营活动中没有重大违法记录的证明材料（提供承诺书）；</w:t>
      </w:r>
    </w:p>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⑥未被列入失信被执行人、重大税收违法失信主体、政府采购严重违法失信行为记录名单的证明材料。</w:t>
      </w:r>
    </w:p>
    <w:p>
      <w:pPr>
        <w:keepNext w:val="0"/>
        <w:keepLines w:val="0"/>
        <w:pageBreakBefore w:val="0"/>
        <w:kinsoku/>
        <w:wordWrap/>
        <w:overflowPunct/>
        <w:topLinePunct w:val="0"/>
        <w:autoSpaceDE/>
        <w:autoSpaceDN/>
        <w:bidi w:val="0"/>
        <w:adjustRightInd w:val="0"/>
        <w:snapToGrid w:val="0"/>
        <w:spacing w:line="540" w:lineRule="exact"/>
        <w:ind w:firstLine="0" w:firstLineChars="0"/>
        <w:textAlignment w:val="auto"/>
        <w:rPr>
          <w:rFonts w:ascii="宋体" w:hAnsi="宋体" w:cs="宋体"/>
          <w:color w:val="auto"/>
          <w:szCs w:val="21"/>
          <w:highlight w:val="none"/>
        </w:rPr>
      </w:pPr>
      <w:r>
        <w:rPr>
          <w:rFonts w:hint="eastAsia" w:ascii="宋体" w:hAnsi="宋体" w:cs="宋体"/>
          <w:color w:val="auto"/>
          <w:sz w:val="21"/>
          <w:szCs w:val="21"/>
          <w:highlight w:val="none"/>
          <w:lang w:val="en-US" w:eastAsia="zh-CN"/>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pPr>
        <w:pStyle w:val="60"/>
        <w:keepNext w:val="0"/>
        <w:keepLines w:val="0"/>
        <w:pageBreakBefore w:val="0"/>
        <w:kinsoku/>
        <w:overflowPunct/>
        <w:topLinePunct w:val="0"/>
        <w:autoSpaceDE/>
        <w:autoSpaceDN/>
        <w:bidi w:val="0"/>
        <w:spacing w:line="540" w:lineRule="exact"/>
        <w:ind w:firstLine="0" w:firstLineChars="0"/>
        <w:textAlignment w:val="auto"/>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三、获取采购文件</w:t>
      </w:r>
    </w:p>
    <w:p>
      <w:pPr>
        <w:keepNext w:val="0"/>
        <w:keepLines w:val="0"/>
        <w:pageBreakBefore w:val="0"/>
        <w:kinsoku/>
        <w:overflowPunct/>
        <w:topLinePunct w:val="0"/>
        <w:autoSpaceDE/>
        <w:autoSpaceDN/>
        <w:bidi w:val="0"/>
        <w:spacing w:line="540" w:lineRule="exact"/>
        <w:ind w:firstLine="0" w:firstLineChars="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1、时间： 202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 xml:space="preserve"> 03 </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 xml:space="preserve"> 07 </w:t>
      </w:r>
      <w:r>
        <w:rPr>
          <w:rFonts w:hint="eastAsia" w:ascii="宋体" w:hAnsi="宋体" w:cs="宋体"/>
          <w:color w:val="auto"/>
          <w:kern w:val="0"/>
          <w:szCs w:val="21"/>
          <w:highlight w:val="none"/>
        </w:rPr>
        <w:t>日至202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 xml:space="preserve"> 03 </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 xml:space="preserve"> 13 </w:t>
      </w:r>
      <w:r>
        <w:rPr>
          <w:rFonts w:hint="eastAsia" w:ascii="宋体" w:hAnsi="宋体" w:cs="宋体"/>
          <w:color w:val="auto"/>
          <w:kern w:val="0"/>
          <w:szCs w:val="21"/>
          <w:highlight w:val="none"/>
        </w:rPr>
        <w:t>日，每天上午00:00至12:00，下午12:01至23:59（北京时间，法定节假日除外。）</w:t>
      </w:r>
    </w:p>
    <w:p>
      <w:pPr>
        <w:keepNext w:val="0"/>
        <w:keepLines w:val="0"/>
        <w:pageBreakBefore w:val="0"/>
        <w:kinsoku/>
        <w:overflowPunct/>
        <w:topLinePunct w:val="0"/>
        <w:autoSpaceDE/>
        <w:autoSpaceDN/>
        <w:bidi w:val="0"/>
        <w:spacing w:line="540" w:lineRule="exact"/>
        <w:ind w:firstLine="0" w:firstLineChars="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2、地点：“全国公共资源交易平台（河南省·信阳市）（</w:t>
      </w:r>
      <w:r>
        <w:rPr>
          <w:rFonts w:hint="eastAsia" w:ascii="宋体" w:hAnsi="宋体" w:cs="宋体"/>
          <w:color w:val="auto"/>
          <w:kern w:val="0"/>
          <w:szCs w:val="21"/>
          <w:highlight w:val="none"/>
          <w:lang w:eastAsia="zh-CN"/>
        </w:rPr>
        <w:t>https://ggzyjy.xinyang.gov.cn/</w:t>
      </w:r>
      <w:r>
        <w:rPr>
          <w:rFonts w:hint="eastAsia" w:ascii="宋体" w:hAnsi="宋体" w:cs="宋体"/>
          <w:color w:val="auto"/>
          <w:kern w:val="0"/>
          <w:szCs w:val="21"/>
          <w:highlight w:val="none"/>
        </w:rPr>
        <w:t>）”网站，凭办理的企业身份认证锁（CA数字证书）</w:t>
      </w:r>
      <w:r>
        <w:rPr>
          <w:rFonts w:hint="eastAsia" w:ascii="宋体" w:hAnsi="宋体" w:cs="宋体"/>
          <w:color w:val="auto"/>
          <w:kern w:val="0"/>
          <w:szCs w:val="21"/>
          <w:highlight w:val="none"/>
          <w:lang w:eastAsia="zh-CN"/>
        </w:rPr>
        <w:t>登录</w:t>
      </w:r>
      <w:r>
        <w:rPr>
          <w:rFonts w:hint="eastAsia" w:ascii="宋体" w:hAnsi="宋体" w:cs="宋体"/>
          <w:color w:val="auto"/>
          <w:kern w:val="0"/>
          <w:szCs w:val="21"/>
          <w:highlight w:val="none"/>
        </w:rPr>
        <w:t>会员系统。</w:t>
      </w:r>
    </w:p>
    <w:p>
      <w:pPr>
        <w:pStyle w:val="3"/>
        <w:keepNext w:val="0"/>
        <w:keepLines w:val="0"/>
        <w:pageBreakBefore w:val="0"/>
        <w:kinsoku/>
        <w:overflowPunct/>
        <w:topLinePunct w:val="0"/>
        <w:autoSpaceDE/>
        <w:autoSpaceDN/>
        <w:bidi w:val="0"/>
        <w:spacing w:line="540" w:lineRule="exact"/>
        <w:ind w:firstLine="0" w:firstLineChars="0"/>
        <w:textAlignment w:val="auto"/>
        <w:rPr>
          <w:color w:val="auto"/>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w:t>
      </w:r>
      <w:r>
        <w:rPr>
          <w:rFonts w:hint="eastAsia"/>
          <w:color w:val="auto"/>
          <w:highlight w:val="none"/>
        </w:rPr>
        <w:t>办理CA数字证书</w:t>
      </w:r>
      <w:r>
        <w:rPr>
          <w:rFonts w:hint="eastAsia"/>
          <w:color w:val="auto"/>
          <w:highlight w:val="none"/>
          <w:lang w:val="en-US" w:eastAsia="zh-CN"/>
        </w:rPr>
        <w:t>:</w:t>
      </w:r>
      <w:r>
        <w:rPr>
          <w:rFonts w:hint="eastAsia"/>
          <w:color w:val="auto"/>
          <w:highlight w:val="none"/>
        </w:rPr>
        <w:t>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pPr>
        <w:keepNext w:val="0"/>
        <w:keepLines w:val="0"/>
        <w:pageBreakBefore w:val="0"/>
        <w:kinsoku/>
        <w:overflowPunct/>
        <w:topLinePunct w:val="0"/>
        <w:autoSpaceDE/>
        <w:autoSpaceDN/>
        <w:bidi w:val="0"/>
        <w:spacing w:line="540" w:lineRule="exact"/>
        <w:ind w:firstLine="0" w:firstLineChars="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、方式：供应商凭CA数字证书</w:t>
      </w:r>
      <w:r>
        <w:rPr>
          <w:rFonts w:hint="eastAsia" w:ascii="宋体" w:hAnsi="宋体" w:cs="宋体"/>
          <w:color w:val="auto"/>
          <w:kern w:val="0"/>
          <w:szCs w:val="21"/>
          <w:highlight w:val="none"/>
          <w:lang w:eastAsia="zh-CN"/>
        </w:rPr>
        <w:t>登录</w:t>
      </w:r>
      <w:r>
        <w:rPr>
          <w:rFonts w:hint="eastAsia" w:ascii="宋体" w:hAnsi="宋体" w:cs="宋体"/>
          <w:color w:val="auto"/>
          <w:kern w:val="0"/>
          <w:szCs w:val="21"/>
          <w:highlight w:val="none"/>
        </w:rPr>
        <w:t>会员系统后，即可按网上提示免费下载竞争性磋商文件及资料（操作程序详见信阳市公共资源交易中心网站下载中心栏目里投标人操作手册）。竞争性磋商文件(*.XYZF格式)下载后需使用“信阳市投标文件制作工具软件”打开（该工具软件可在“全国公共资源交易平台（河南省·信阳市）（</w:t>
      </w:r>
      <w:r>
        <w:rPr>
          <w:rFonts w:hint="eastAsia" w:ascii="宋体" w:hAnsi="宋体" w:cs="宋体"/>
          <w:color w:val="auto"/>
          <w:kern w:val="0"/>
          <w:szCs w:val="21"/>
          <w:highlight w:val="none"/>
          <w:lang w:eastAsia="zh-CN"/>
        </w:rPr>
        <w:t>https://ggzyjy.xinyang.gov.cn/</w:t>
      </w:r>
      <w:r>
        <w:rPr>
          <w:rFonts w:hint="eastAsia" w:ascii="宋体" w:hAnsi="宋体" w:cs="宋体"/>
          <w:color w:val="auto"/>
          <w:kern w:val="0"/>
          <w:szCs w:val="21"/>
          <w:highlight w:val="none"/>
        </w:rPr>
        <w:t>）”网站下载中心栏目内下载或在文件领取页面下载）。请供应商下载磋商文件后及时关注系统业务菜单（“答疑澄清文件领取”，“控制价文件领取”）内该项目是否有新的答疑澄清文件或控制价文件。如有请直接下载，不再另行通知。</w:t>
      </w:r>
    </w:p>
    <w:p>
      <w:pPr>
        <w:keepNext w:val="0"/>
        <w:keepLines w:val="0"/>
        <w:pageBreakBefore w:val="0"/>
        <w:kinsoku/>
        <w:overflowPunct/>
        <w:topLinePunct w:val="0"/>
        <w:autoSpaceDE/>
        <w:autoSpaceDN/>
        <w:bidi w:val="0"/>
        <w:spacing w:line="540" w:lineRule="exact"/>
        <w:ind w:firstLine="0" w:firstLineChars="0"/>
        <w:jc w:val="left"/>
        <w:textAlignment w:val="auto"/>
        <w:rPr>
          <w:color w:val="auto"/>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、售价：竞争性磋商文件售价0元。</w:t>
      </w:r>
    </w:p>
    <w:p>
      <w:pPr>
        <w:keepNext w:val="0"/>
        <w:keepLines w:val="0"/>
        <w:pageBreakBefore w:val="0"/>
        <w:widowControl/>
        <w:kinsoku/>
        <w:overflowPunct/>
        <w:topLinePunct w:val="0"/>
        <w:autoSpaceDE/>
        <w:autoSpaceDN/>
        <w:bidi w:val="0"/>
        <w:spacing w:line="540" w:lineRule="exact"/>
        <w:ind w:firstLine="0" w:firstLineChars="0"/>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四、响应文件提交：</w:t>
      </w:r>
    </w:p>
    <w:p>
      <w:pPr>
        <w:pStyle w:val="29"/>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Autospacing="0" w:afterAutospacing="0" w:line="540" w:lineRule="exact"/>
        <w:ind w:firstLine="0" w:firstLineChars="0"/>
        <w:textAlignment w:val="auto"/>
        <w:rPr>
          <w:rFonts w:eastAsia="宋体"/>
          <w:color w:val="auto"/>
          <w:sz w:val="21"/>
          <w:szCs w:val="21"/>
          <w:highlight w:val="none"/>
        </w:rPr>
      </w:pPr>
      <w:r>
        <w:rPr>
          <w:rFonts w:hint="eastAsia" w:eastAsia="宋体"/>
          <w:color w:val="auto"/>
          <w:sz w:val="21"/>
          <w:szCs w:val="21"/>
          <w:highlight w:val="none"/>
        </w:rPr>
        <w:t>1、时间：</w:t>
      </w:r>
      <w:r>
        <w:rPr>
          <w:rFonts w:hint="eastAsia" w:eastAsia="宋体"/>
          <w:color w:val="auto"/>
          <w:sz w:val="21"/>
          <w:szCs w:val="21"/>
          <w:highlight w:val="none"/>
          <w:lang w:val="en-US" w:eastAsia="zh-CN"/>
        </w:rPr>
        <w:t>2024</w:t>
      </w:r>
      <w:r>
        <w:rPr>
          <w:rFonts w:hint="eastAsia" w:eastAsia="宋体"/>
          <w:color w:val="auto"/>
          <w:sz w:val="21"/>
          <w:szCs w:val="21"/>
          <w:highlight w:val="none"/>
        </w:rPr>
        <w:t>年</w:t>
      </w:r>
      <w:r>
        <w:rPr>
          <w:rFonts w:hint="eastAsia" w:eastAsia="宋体"/>
          <w:color w:val="auto"/>
          <w:sz w:val="21"/>
          <w:szCs w:val="21"/>
          <w:highlight w:val="none"/>
          <w:lang w:val="en-US" w:eastAsia="zh-CN"/>
        </w:rPr>
        <w:t xml:space="preserve"> 03 </w:t>
      </w:r>
      <w:r>
        <w:rPr>
          <w:rFonts w:hint="eastAsia" w:eastAsia="宋体"/>
          <w:color w:val="auto"/>
          <w:sz w:val="21"/>
          <w:szCs w:val="21"/>
          <w:highlight w:val="none"/>
        </w:rPr>
        <w:t>月</w:t>
      </w:r>
      <w:r>
        <w:rPr>
          <w:rFonts w:hint="eastAsia" w:eastAsia="宋体"/>
          <w:color w:val="auto"/>
          <w:sz w:val="21"/>
          <w:szCs w:val="21"/>
          <w:highlight w:val="none"/>
          <w:lang w:val="en-US" w:eastAsia="zh-CN"/>
        </w:rPr>
        <w:t xml:space="preserve"> 18 </w:t>
      </w:r>
      <w:r>
        <w:rPr>
          <w:rFonts w:hint="eastAsia" w:eastAsia="宋体"/>
          <w:color w:val="auto"/>
          <w:sz w:val="21"/>
          <w:szCs w:val="21"/>
          <w:highlight w:val="none"/>
        </w:rPr>
        <w:t>日</w:t>
      </w:r>
      <w:r>
        <w:rPr>
          <w:rFonts w:hint="eastAsia" w:eastAsia="宋体"/>
          <w:color w:val="auto"/>
          <w:sz w:val="21"/>
          <w:szCs w:val="21"/>
          <w:highlight w:val="none"/>
          <w:lang w:val="en-US" w:eastAsia="zh-CN"/>
        </w:rPr>
        <w:t>9</w:t>
      </w:r>
      <w:r>
        <w:rPr>
          <w:rFonts w:hint="eastAsia" w:eastAsia="宋体"/>
          <w:color w:val="auto"/>
          <w:sz w:val="21"/>
          <w:szCs w:val="21"/>
          <w:highlight w:val="none"/>
        </w:rPr>
        <w:t xml:space="preserve"> 时</w:t>
      </w:r>
      <w:r>
        <w:rPr>
          <w:rFonts w:hint="eastAsia" w:eastAsia="宋体"/>
          <w:color w:val="auto"/>
          <w:sz w:val="21"/>
          <w:szCs w:val="21"/>
          <w:highlight w:val="none"/>
          <w:lang w:val="en-US" w:eastAsia="zh-CN"/>
        </w:rPr>
        <w:t>30</w:t>
      </w:r>
      <w:r>
        <w:rPr>
          <w:rFonts w:hint="eastAsia" w:eastAsia="宋体"/>
          <w:color w:val="auto"/>
          <w:sz w:val="21"/>
          <w:szCs w:val="21"/>
          <w:highlight w:val="none"/>
        </w:rPr>
        <w:t>分（北京时间）。</w:t>
      </w:r>
    </w:p>
    <w:p>
      <w:pPr>
        <w:keepNext w:val="0"/>
        <w:keepLines w:val="0"/>
        <w:pageBreakBefore w:val="0"/>
        <w:kinsoku/>
        <w:overflowPunct/>
        <w:topLinePunct w:val="0"/>
        <w:autoSpaceDE/>
        <w:autoSpaceDN/>
        <w:bidi w:val="0"/>
        <w:spacing w:line="540" w:lineRule="exact"/>
        <w:ind w:firstLine="0" w:firstLineChars="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2、地点：供应商必须在响应文件提交截止时间前通过信阳市公共资源交易中心电子招投标系统上传加密的电子响应文件(*.XYTF格式)。注：加密电子响应文件逾期上传采购人不予受理。</w:t>
      </w:r>
    </w:p>
    <w:p>
      <w:pPr>
        <w:keepNext w:val="0"/>
        <w:keepLines w:val="0"/>
        <w:pageBreakBefore w:val="0"/>
        <w:widowControl/>
        <w:kinsoku/>
        <w:overflowPunct/>
        <w:topLinePunct w:val="0"/>
        <w:autoSpaceDE/>
        <w:autoSpaceDN/>
        <w:bidi w:val="0"/>
        <w:spacing w:line="540" w:lineRule="exact"/>
        <w:ind w:firstLine="0" w:firstLineChars="0"/>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五、响应文件开启：</w:t>
      </w:r>
    </w:p>
    <w:p>
      <w:pPr>
        <w:pStyle w:val="29"/>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Autospacing="0" w:afterAutospacing="0" w:line="540" w:lineRule="exact"/>
        <w:ind w:firstLine="0" w:firstLineChars="0"/>
        <w:textAlignment w:val="auto"/>
        <w:rPr>
          <w:rFonts w:eastAsia="宋体"/>
          <w:color w:val="auto"/>
          <w:sz w:val="21"/>
          <w:szCs w:val="21"/>
          <w:highlight w:val="none"/>
        </w:rPr>
      </w:pPr>
      <w:r>
        <w:rPr>
          <w:rFonts w:hint="eastAsia" w:eastAsia="宋体"/>
          <w:color w:val="auto"/>
          <w:sz w:val="21"/>
          <w:szCs w:val="21"/>
          <w:highlight w:val="none"/>
        </w:rPr>
        <w:t>1、时间：</w:t>
      </w:r>
      <w:r>
        <w:rPr>
          <w:rFonts w:hint="eastAsia" w:eastAsia="宋体"/>
          <w:color w:val="auto"/>
          <w:sz w:val="21"/>
          <w:szCs w:val="21"/>
          <w:highlight w:val="none"/>
          <w:lang w:val="en-US" w:eastAsia="zh-CN"/>
        </w:rPr>
        <w:t>2024年 03 月 18 日9时30分</w:t>
      </w:r>
      <w:r>
        <w:rPr>
          <w:rFonts w:hint="eastAsia" w:eastAsia="宋体"/>
          <w:color w:val="auto"/>
          <w:sz w:val="21"/>
          <w:szCs w:val="21"/>
          <w:highlight w:val="none"/>
        </w:rPr>
        <w:t>（北京时间）。</w:t>
      </w:r>
    </w:p>
    <w:p>
      <w:pPr>
        <w:keepNext w:val="0"/>
        <w:keepLines w:val="0"/>
        <w:pageBreakBefore w:val="0"/>
        <w:widowControl/>
        <w:kinsoku/>
        <w:overflowPunct/>
        <w:topLinePunct w:val="0"/>
        <w:autoSpaceDE/>
        <w:autoSpaceDN/>
        <w:bidi w:val="0"/>
        <w:spacing w:line="540" w:lineRule="exact"/>
        <w:ind w:firstLine="0" w:firstLineChars="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2、地点：信阳市公共资源交易中心第</w:t>
      </w:r>
      <w:r>
        <w:rPr>
          <w:rFonts w:hint="eastAsia" w:ascii="宋体" w:hAnsi="宋体" w:cs="宋体"/>
          <w:color w:val="auto"/>
          <w:kern w:val="0"/>
          <w:szCs w:val="21"/>
          <w:highlight w:val="none"/>
          <w:lang w:val="en-US" w:eastAsia="zh-CN"/>
        </w:rPr>
        <w:t>四</w:t>
      </w:r>
      <w:r>
        <w:rPr>
          <w:rFonts w:hint="eastAsia" w:ascii="宋体" w:hAnsi="宋体" w:cs="宋体"/>
          <w:color w:val="auto"/>
          <w:kern w:val="0"/>
          <w:szCs w:val="21"/>
          <w:highlight w:val="none"/>
        </w:rPr>
        <w:t>开标室。</w:t>
      </w:r>
    </w:p>
    <w:p>
      <w:pPr>
        <w:keepNext w:val="0"/>
        <w:keepLines w:val="0"/>
        <w:pageBreakBefore w:val="0"/>
        <w:widowControl/>
        <w:kinsoku/>
        <w:overflowPunct/>
        <w:topLinePunct w:val="0"/>
        <w:autoSpaceDE/>
        <w:autoSpaceDN/>
        <w:bidi w:val="0"/>
        <w:spacing w:line="540" w:lineRule="exact"/>
        <w:ind w:firstLine="0" w:firstLineChars="0"/>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六、发布公告的媒介及招标公告期限：</w:t>
      </w:r>
    </w:p>
    <w:p>
      <w:pPr>
        <w:keepNext w:val="0"/>
        <w:keepLines w:val="0"/>
        <w:pageBreakBefore w:val="0"/>
        <w:widowControl/>
        <w:kinsoku/>
        <w:overflowPunct/>
        <w:topLinePunct w:val="0"/>
        <w:autoSpaceDE/>
        <w:autoSpaceDN/>
        <w:bidi w:val="0"/>
        <w:spacing w:line="540" w:lineRule="exact"/>
        <w:ind w:firstLine="0" w:firstLineChars="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本次招标公告在《河南省政府采购网》、《全国公共资源交易平台（河南省·信阳市）》网上发布，招标公告期限为五个工作日。</w:t>
      </w:r>
    </w:p>
    <w:p>
      <w:pPr>
        <w:pStyle w:val="3"/>
        <w:keepNext w:val="0"/>
        <w:keepLines w:val="0"/>
        <w:pageBreakBefore w:val="0"/>
        <w:kinsoku/>
        <w:overflowPunct/>
        <w:topLinePunct w:val="0"/>
        <w:autoSpaceDE/>
        <w:autoSpaceDN/>
        <w:bidi w:val="0"/>
        <w:spacing w:line="540" w:lineRule="exact"/>
        <w:ind w:firstLine="0" w:firstLineChars="0"/>
        <w:textAlignment w:val="auto"/>
        <w:rPr>
          <w:rFonts w:ascii="宋体" w:hAnsi="宋体" w:cs="宋体"/>
          <w:b/>
          <w:bCs/>
          <w:color w:val="auto"/>
          <w:szCs w:val="21"/>
          <w:highlight w:val="none"/>
        </w:rPr>
      </w:pPr>
      <w:r>
        <w:rPr>
          <w:rFonts w:hint="eastAsia" w:ascii="宋体" w:hAnsi="宋体" w:cs="宋体"/>
          <w:b/>
          <w:bCs/>
          <w:color w:val="auto"/>
          <w:szCs w:val="21"/>
          <w:highlight w:val="none"/>
        </w:rPr>
        <w:t>七、其他补充事宜：</w:t>
      </w:r>
    </w:p>
    <w:p>
      <w:pPr>
        <w:keepNext w:val="0"/>
        <w:keepLines w:val="0"/>
        <w:pageBreakBefore w:val="0"/>
        <w:widowControl/>
        <w:kinsoku/>
        <w:overflowPunct/>
        <w:topLinePunct w:val="0"/>
        <w:autoSpaceDE/>
        <w:autoSpaceDN/>
        <w:bidi w:val="0"/>
        <w:spacing w:line="540" w:lineRule="exact"/>
        <w:ind w:firstLine="0" w:firstLineChars="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1、本项目采用“不见面开标”交易方式，不见面开标大厅网址为 https://ggzyjy.xinyang.gov.cn/BidOpening/bidhall/xinyang/login.html，供应商无需寄送和递交非加密的电子响应文件，无需到现场参加开标会议，无需到达现场提交原件资料。</w:t>
      </w:r>
    </w:p>
    <w:p>
      <w:pPr>
        <w:keepNext w:val="0"/>
        <w:keepLines w:val="0"/>
        <w:pageBreakBefore w:val="0"/>
        <w:widowControl/>
        <w:kinsoku/>
        <w:overflowPunct/>
        <w:topLinePunct w:val="0"/>
        <w:autoSpaceDE/>
        <w:autoSpaceDN/>
        <w:bidi w:val="0"/>
        <w:spacing w:line="540" w:lineRule="exact"/>
        <w:ind w:firstLine="0" w:firstLineChars="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2、供应商应当在响应文件提交截止时间前，使用供应商CA数字证书登录不见面开标大厅，在线签到并准时参加开标活动，并在规定时间内完成响应文件解密、答疑澄清等。</w:t>
      </w:r>
    </w:p>
    <w:p>
      <w:pPr>
        <w:keepNext w:val="0"/>
        <w:keepLines w:val="0"/>
        <w:pageBreakBefore w:val="0"/>
        <w:widowControl/>
        <w:kinsoku/>
        <w:overflowPunct/>
        <w:topLinePunct w:val="0"/>
        <w:autoSpaceDE/>
        <w:autoSpaceDN/>
        <w:bidi w:val="0"/>
        <w:spacing w:line="540" w:lineRule="exact"/>
        <w:ind w:firstLine="0" w:firstLineChars="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3、逾期解密或者没有准时在线参加开标活动导致的一切后果供应商自行承担。</w:t>
      </w:r>
    </w:p>
    <w:p>
      <w:pPr>
        <w:keepNext w:val="0"/>
        <w:keepLines w:val="0"/>
        <w:pageBreakBefore w:val="0"/>
        <w:widowControl/>
        <w:kinsoku/>
        <w:overflowPunct/>
        <w:topLinePunct w:val="0"/>
        <w:autoSpaceDE/>
        <w:autoSpaceDN/>
        <w:bidi w:val="0"/>
        <w:spacing w:line="540" w:lineRule="exact"/>
        <w:ind w:firstLine="0" w:firstLineChars="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4、不见面开标服务的具体事宜，请查阅信阳市公共资源交易中心网站首页—下载中心—信阳市不见面开标大厅系统操作手册 。</w:t>
      </w:r>
    </w:p>
    <w:p>
      <w:pPr>
        <w:keepNext w:val="0"/>
        <w:keepLines w:val="0"/>
        <w:pageBreakBefore w:val="0"/>
        <w:widowControl/>
        <w:kinsoku/>
        <w:overflowPunct/>
        <w:topLinePunct w:val="0"/>
        <w:autoSpaceDE/>
        <w:autoSpaceDN/>
        <w:bidi w:val="0"/>
        <w:spacing w:line="540" w:lineRule="exact"/>
        <w:ind w:firstLine="0" w:firstLineChars="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特别提示：供应商在线签到时，应如实准确的填写授权委托人的联系电话，开标当天请务必保证电话保持畅通。</w:t>
      </w:r>
    </w:p>
    <w:p>
      <w:pPr>
        <w:keepNext w:val="0"/>
        <w:keepLines w:val="0"/>
        <w:pageBreakBefore w:val="0"/>
        <w:kinsoku/>
        <w:overflowPunct/>
        <w:topLinePunct w:val="0"/>
        <w:autoSpaceDE/>
        <w:autoSpaceDN/>
        <w:bidi w:val="0"/>
        <w:spacing w:line="540" w:lineRule="exact"/>
        <w:ind w:firstLine="0" w:firstLineChars="0"/>
        <w:textAlignment w:val="auto"/>
        <w:rPr>
          <w:rFonts w:ascii="宋体" w:hAnsi="宋体" w:eastAsia="宋体" w:cs="宋体"/>
          <w:bCs/>
          <w:color w:val="auto"/>
          <w:kern w:val="0"/>
          <w:szCs w:val="24"/>
          <w:highlight w:val="none"/>
        </w:rPr>
      </w:pPr>
      <w:r>
        <w:rPr>
          <w:rFonts w:hint="eastAsia" w:ascii="宋体" w:hAnsi="宋体" w:eastAsia="宋体" w:cs="宋体"/>
          <w:bCs/>
          <w:color w:val="auto"/>
          <w:kern w:val="0"/>
          <w:szCs w:val="24"/>
          <w:highlight w:val="none"/>
          <w:lang w:val="en-US" w:eastAsia="zh-CN"/>
        </w:rPr>
        <w:t>5</w:t>
      </w:r>
      <w:r>
        <w:rPr>
          <w:rFonts w:hint="eastAsia" w:ascii="宋体" w:hAnsi="宋体" w:eastAsia="宋体" w:cs="宋体"/>
          <w:bCs/>
          <w:color w:val="auto"/>
          <w:kern w:val="0"/>
          <w:szCs w:val="24"/>
          <w:highlight w:val="none"/>
        </w:rPr>
        <w:t>.监督部门信息</w:t>
      </w:r>
    </w:p>
    <w:p>
      <w:pPr>
        <w:keepNext w:val="0"/>
        <w:keepLines w:val="0"/>
        <w:pageBreakBefore w:val="0"/>
        <w:widowControl/>
        <w:kinsoku/>
        <w:overflowPunct/>
        <w:topLinePunct w:val="0"/>
        <w:autoSpaceDE/>
        <w:autoSpaceDN/>
        <w:bidi w:val="0"/>
        <w:spacing w:line="540" w:lineRule="exact"/>
        <w:ind w:firstLine="0" w:firstLineChars="0"/>
        <w:jc w:val="left"/>
        <w:textAlignment w:val="auto"/>
        <w:rPr>
          <w:rFonts w:ascii="宋体" w:hAnsi="宋体" w:eastAsia="宋体" w:cs="宋体"/>
          <w:bCs/>
          <w:color w:val="auto"/>
          <w:kern w:val="0"/>
          <w:szCs w:val="24"/>
          <w:highlight w:val="none"/>
        </w:rPr>
      </w:pPr>
      <w:r>
        <w:rPr>
          <w:rFonts w:hint="eastAsia" w:ascii="宋体" w:hAnsi="宋体" w:eastAsia="宋体" w:cs="宋体"/>
          <w:bCs/>
          <w:color w:val="auto"/>
          <w:kern w:val="0"/>
          <w:szCs w:val="24"/>
          <w:highlight w:val="none"/>
        </w:rPr>
        <w:t>监督单位：信阳市浉河区政府采购管理办公室</w:t>
      </w:r>
    </w:p>
    <w:p>
      <w:pPr>
        <w:keepNext w:val="0"/>
        <w:keepLines w:val="0"/>
        <w:pageBreakBefore w:val="0"/>
        <w:widowControl/>
        <w:kinsoku/>
        <w:overflowPunct/>
        <w:topLinePunct w:val="0"/>
        <w:autoSpaceDE/>
        <w:autoSpaceDN/>
        <w:bidi w:val="0"/>
        <w:spacing w:line="540" w:lineRule="exact"/>
        <w:ind w:firstLine="0" w:firstLineChars="0"/>
        <w:jc w:val="left"/>
        <w:textAlignment w:val="auto"/>
        <w:rPr>
          <w:rFonts w:ascii="宋体" w:hAnsi="宋体" w:eastAsia="宋体" w:cs="宋体"/>
          <w:bCs/>
          <w:color w:val="auto"/>
          <w:kern w:val="0"/>
          <w:szCs w:val="24"/>
          <w:highlight w:val="none"/>
        </w:rPr>
      </w:pPr>
      <w:r>
        <w:rPr>
          <w:rFonts w:hint="eastAsia" w:ascii="宋体" w:hAnsi="宋体" w:eastAsia="宋体" w:cs="宋体"/>
          <w:bCs/>
          <w:color w:val="auto"/>
          <w:kern w:val="0"/>
          <w:szCs w:val="24"/>
          <w:highlight w:val="none"/>
        </w:rPr>
        <w:t>联系人：张先生</w:t>
      </w:r>
    </w:p>
    <w:p>
      <w:pPr>
        <w:keepNext w:val="0"/>
        <w:keepLines w:val="0"/>
        <w:pageBreakBefore w:val="0"/>
        <w:widowControl/>
        <w:kinsoku/>
        <w:overflowPunct/>
        <w:topLinePunct w:val="0"/>
        <w:autoSpaceDE/>
        <w:autoSpaceDN/>
        <w:bidi w:val="0"/>
        <w:spacing w:line="540" w:lineRule="exact"/>
        <w:ind w:firstLine="0" w:firstLineChars="0"/>
        <w:jc w:val="left"/>
        <w:textAlignment w:val="auto"/>
        <w:rPr>
          <w:color w:val="auto"/>
          <w:highlight w:val="none"/>
        </w:rPr>
      </w:pPr>
      <w:r>
        <w:rPr>
          <w:rFonts w:hint="eastAsia" w:ascii="宋体" w:hAnsi="宋体" w:eastAsia="宋体" w:cs="宋体"/>
          <w:bCs/>
          <w:color w:val="auto"/>
          <w:kern w:val="0"/>
          <w:szCs w:val="24"/>
          <w:highlight w:val="none"/>
        </w:rPr>
        <w:t>监督电话：0376-6312702</w:t>
      </w:r>
    </w:p>
    <w:p>
      <w:pPr>
        <w:keepNext w:val="0"/>
        <w:keepLines w:val="0"/>
        <w:pageBreakBefore w:val="0"/>
        <w:widowControl/>
        <w:kinsoku/>
        <w:overflowPunct/>
        <w:topLinePunct w:val="0"/>
        <w:autoSpaceDE/>
        <w:autoSpaceDN/>
        <w:bidi w:val="0"/>
        <w:spacing w:line="540" w:lineRule="exact"/>
        <w:ind w:firstLine="0" w:firstLineChars="0"/>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八、凡对本次招标提出询问，请按照以下方式联系：</w:t>
      </w:r>
    </w:p>
    <w:p>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 xml:space="preserve">1.采购人信息 </w:t>
      </w:r>
    </w:p>
    <w:p>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采购人：</w:t>
      </w:r>
      <w:r>
        <w:rPr>
          <w:rFonts w:hint="eastAsia" w:ascii="宋体" w:hAnsi="宋体" w:cs="宋体"/>
          <w:color w:val="auto"/>
          <w:szCs w:val="21"/>
          <w:highlight w:val="none"/>
          <w:lang w:eastAsia="zh-CN"/>
        </w:rPr>
        <w:t>信阳市浉河区自然资源局</w:t>
      </w:r>
    </w:p>
    <w:p>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eastAsia="宋体" w:cs="宋体"/>
          <w:bCs/>
          <w:color w:val="auto"/>
          <w:kern w:val="0"/>
          <w:highlight w:val="none"/>
        </w:rPr>
        <w:t>信阳市</w:t>
      </w:r>
      <w:r>
        <w:rPr>
          <w:rFonts w:hint="eastAsia" w:ascii="宋体" w:hAnsi="宋体" w:eastAsia="宋体" w:cs="宋体"/>
          <w:bCs/>
          <w:color w:val="auto"/>
          <w:kern w:val="0"/>
          <w:highlight w:val="none"/>
          <w:lang w:eastAsia="zh-CN"/>
        </w:rPr>
        <w:t>浉河区湖东大道与五星街交叉口</w:t>
      </w:r>
    </w:p>
    <w:p>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刘坤山</w:t>
      </w:r>
      <w:r>
        <w:rPr>
          <w:rFonts w:hint="eastAsia" w:ascii="宋体" w:hAnsi="宋体" w:cs="宋体"/>
          <w:color w:val="auto"/>
          <w:szCs w:val="21"/>
          <w:highlight w:val="none"/>
        </w:rPr>
        <w:t xml:space="preserve"> </w:t>
      </w:r>
    </w:p>
    <w:p>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电 话：15188286877</w:t>
      </w:r>
    </w:p>
    <w:p>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 xml:space="preserve">2.采购代理机构信息 </w:t>
      </w:r>
    </w:p>
    <w:p>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名 称：中金泰富工程管理有限公司</w:t>
      </w:r>
    </w:p>
    <w:p>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地　址：郑州市经七路15号中亨大厦7楼</w:t>
      </w:r>
    </w:p>
    <w:p>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联系人：吴</w:t>
      </w:r>
      <w:r>
        <w:rPr>
          <w:rFonts w:hint="eastAsia" w:ascii="宋体" w:hAnsi="宋体" w:cs="宋体"/>
          <w:color w:val="auto"/>
          <w:szCs w:val="21"/>
          <w:highlight w:val="none"/>
          <w:lang w:eastAsia="zh-CN"/>
        </w:rPr>
        <w:t>伟丽</w:t>
      </w:r>
    </w:p>
    <w:p>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联系方式：18530056373</w:t>
      </w:r>
    </w:p>
    <w:p>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 xml:space="preserve">3.项目联系方式 </w:t>
      </w:r>
    </w:p>
    <w:p>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联 系 人：吴</w:t>
      </w:r>
      <w:r>
        <w:rPr>
          <w:rFonts w:hint="eastAsia" w:ascii="宋体" w:hAnsi="宋体" w:cs="宋体"/>
          <w:color w:val="auto"/>
          <w:szCs w:val="21"/>
          <w:highlight w:val="none"/>
          <w:lang w:eastAsia="zh-CN"/>
        </w:rPr>
        <w:t>伟丽</w:t>
      </w:r>
    </w:p>
    <w:p>
      <w:pPr>
        <w:keepNext w:val="0"/>
        <w:keepLines w:val="0"/>
        <w:pageBreakBefore w:val="0"/>
        <w:kinsoku/>
        <w:overflowPunct/>
        <w:topLinePunct w:val="0"/>
        <w:autoSpaceDE/>
        <w:autoSpaceDN/>
        <w:bidi w:val="0"/>
        <w:adjustRightInd w:val="0"/>
        <w:snapToGrid w:val="0"/>
        <w:spacing w:line="540" w:lineRule="exact"/>
        <w:ind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 xml:space="preserve">电    话：18530056373 </w:t>
      </w:r>
    </w:p>
    <w:p>
      <w:pPr>
        <w:pageBreakBefore w:val="0"/>
        <w:widowControl/>
        <w:kinsoku/>
        <w:overflowPunct/>
        <w:bidi w:val="0"/>
        <w:spacing w:line="360" w:lineRule="auto"/>
        <w:ind w:firstLine="0" w:firstLineChars="0"/>
        <w:jc w:val="left"/>
        <w:rPr>
          <w:rFonts w:ascii="宋体" w:hAnsi="宋体" w:cs="宋体"/>
          <w:color w:val="auto"/>
          <w:kern w:val="0"/>
          <w:szCs w:val="21"/>
          <w:highlight w:val="none"/>
        </w:rPr>
      </w:pPr>
      <w:r>
        <w:rPr>
          <w:rFonts w:hint="eastAsia" w:ascii="宋体" w:hAnsi="宋体" w:cs="宋体"/>
          <w:color w:val="auto"/>
          <w:kern w:val="0"/>
          <w:szCs w:val="21"/>
          <w:highlight w:val="none"/>
        </w:rPr>
        <w:t>            </w:t>
      </w:r>
      <w:bookmarkEnd w:id="8"/>
      <w:bookmarkStart w:id="12" w:name="_Toc8890"/>
    </w:p>
    <w:p>
      <w:pPr>
        <w:pStyle w:val="49"/>
        <w:pageBreakBefore w:val="0"/>
        <w:kinsoku/>
        <w:overflowPunct/>
        <w:bidi w:val="0"/>
        <w:ind w:firstLine="0" w:firstLineChars="0"/>
        <w:rPr>
          <w:color w:val="auto"/>
          <w:highlight w:val="none"/>
        </w:rPr>
      </w:pPr>
    </w:p>
    <w:p>
      <w:pPr>
        <w:pageBreakBefore w:val="0"/>
        <w:kinsoku/>
        <w:overflowPunct/>
        <w:bidi w:val="0"/>
        <w:ind w:firstLine="0" w:firstLineChars="0"/>
        <w:rPr>
          <w:color w:val="auto"/>
          <w:highlight w:val="none"/>
        </w:rPr>
      </w:pPr>
    </w:p>
    <w:p>
      <w:pPr>
        <w:pStyle w:val="27"/>
        <w:pageBreakBefore w:val="0"/>
        <w:tabs>
          <w:tab w:val="right" w:leader="underscore" w:pos="8296"/>
        </w:tabs>
        <w:kinsoku/>
        <w:overflowPunct/>
        <w:bidi w:val="0"/>
        <w:spacing w:line="360" w:lineRule="auto"/>
        <w:ind w:left="0" w:leftChars="0" w:firstLine="0" w:firstLineChars="0"/>
        <w:jc w:val="center"/>
        <w:outlineLvl w:val="0"/>
        <w:rPr>
          <w:rFonts w:hint="eastAsia" w:ascii="宋体" w:hAnsi="宋体" w:cs="宋体"/>
          <w:b/>
          <w:bCs/>
          <w:color w:val="auto"/>
          <w:sz w:val="32"/>
          <w:szCs w:val="32"/>
          <w:highlight w:val="none"/>
        </w:rPr>
      </w:pPr>
    </w:p>
    <w:p>
      <w:pPr>
        <w:rPr>
          <w:rFonts w:hint="eastAsia"/>
          <w:color w:val="auto"/>
          <w:highlight w:val="none"/>
        </w:rPr>
      </w:pPr>
    </w:p>
    <w:p>
      <w:pPr>
        <w:pStyle w:val="27"/>
        <w:pageBreakBefore w:val="0"/>
        <w:tabs>
          <w:tab w:val="right" w:leader="underscore" w:pos="8296"/>
        </w:tabs>
        <w:kinsoku/>
        <w:overflowPunct/>
        <w:bidi w:val="0"/>
        <w:spacing w:line="360" w:lineRule="auto"/>
        <w:ind w:left="0" w:leftChars="0" w:firstLine="0" w:firstLineChars="0"/>
        <w:jc w:val="center"/>
        <w:outlineLvl w:val="0"/>
        <w:rPr>
          <w:rFonts w:hint="eastAsia" w:ascii="宋体" w:hAnsi="宋体" w:cs="宋体"/>
          <w:b/>
          <w:bCs/>
          <w:color w:val="auto"/>
          <w:sz w:val="32"/>
          <w:szCs w:val="32"/>
          <w:highlight w:val="none"/>
        </w:rPr>
      </w:pPr>
      <w:bookmarkStart w:id="13" w:name="_Toc14928"/>
    </w:p>
    <w:p>
      <w:pPr>
        <w:rPr>
          <w:rFonts w:hint="eastAsia"/>
          <w:color w:val="auto"/>
          <w:highlight w:val="none"/>
        </w:rPr>
      </w:pPr>
    </w:p>
    <w:p>
      <w:pPr>
        <w:pStyle w:val="27"/>
        <w:pageBreakBefore w:val="0"/>
        <w:tabs>
          <w:tab w:val="right" w:leader="underscore" w:pos="8296"/>
        </w:tabs>
        <w:kinsoku/>
        <w:overflowPunct/>
        <w:bidi w:val="0"/>
        <w:spacing w:line="360" w:lineRule="auto"/>
        <w:ind w:left="0" w:leftChars="0" w:firstLine="0" w:firstLineChars="0"/>
        <w:jc w:val="center"/>
        <w:outlineLvl w:val="0"/>
        <w:rPr>
          <w:rFonts w:hint="eastAsia" w:ascii="宋体" w:hAnsi="宋体" w:cs="宋体"/>
          <w:b/>
          <w:bCs/>
          <w:color w:val="auto"/>
          <w:sz w:val="32"/>
          <w:szCs w:val="32"/>
          <w:highlight w:val="none"/>
        </w:rPr>
      </w:pPr>
    </w:p>
    <w:p>
      <w:pPr>
        <w:pStyle w:val="27"/>
        <w:pageBreakBefore w:val="0"/>
        <w:tabs>
          <w:tab w:val="right" w:leader="underscore" w:pos="8296"/>
        </w:tabs>
        <w:kinsoku/>
        <w:overflowPunct/>
        <w:bidi w:val="0"/>
        <w:spacing w:line="360" w:lineRule="auto"/>
        <w:ind w:left="0" w:leftChars="0" w:firstLine="0" w:firstLineChars="0"/>
        <w:jc w:val="center"/>
        <w:outlineLvl w:val="0"/>
        <w:rPr>
          <w:rFonts w:ascii="宋体" w:hAnsi="宋体" w:cs="宋体"/>
          <w:b/>
          <w:bCs/>
          <w:color w:val="auto"/>
          <w:sz w:val="32"/>
          <w:szCs w:val="32"/>
          <w:highlight w:val="none"/>
        </w:rPr>
      </w:pPr>
      <w:r>
        <w:rPr>
          <w:rFonts w:hint="eastAsia" w:ascii="宋体" w:hAnsi="宋体" w:cs="宋体"/>
          <w:b/>
          <w:bCs/>
          <w:color w:val="auto"/>
          <w:sz w:val="32"/>
          <w:szCs w:val="32"/>
          <w:highlight w:val="none"/>
        </w:rPr>
        <w:t>第二章 供应商须知</w:t>
      </w:r>
      <w:bookmarkEnd w:id="9"/>
      <w:bookmarkEnd w:id="10"/>
      <w:bookmarkEnd w:id="11"/>
      <w:bookmarkEnd w:id="12"/>
      <w:bookmarkEnd w:id="13"/>
    </w:p>
    <w:p>
      <w:pPr>
        <w:pStyle w:val="67"/>
        <w:pageBreakBefore w:val="0"/>
        <w:kinsoku/>
        <w:overflowPunct/>
        <w:bidi w:val="0"/>
        <w:ind w:left="0" w:leftChars="0" w:firstLine="0" w:firstLineChars="0"/>
        <w:jc w:val="center"/>
        <w:rPr>
          <w:rFonts w:ascii="宋体" w:hAnsi="宋体" w:eastAsia="宋体"/>
          <w:b/>
          <w:bCs/>
          <w:color w:val="auto"/>
          <w:highlight w:val="none"/>
        </w:rPr>
      </w:pPr>
      <w:bookmarkStart w:id="14" w:name="_Toc471"/>
      <w:bookmarkStart w:id="15" w:name="_Toc27072"/>
      <w:bookmarkStart w:id="16" w:name="_Toc144974496"/>
      <w:bookmarkStart w:id="17" w:name="_Toc152045528"/>
      <w:bookmarkStart w:id="18" w:name="_Toc152042304"/>
      <w:bookmarkStart w:id="19" w:name="_Toc455080107"/>
      <w:bookmarkStart w:id="20" w:name="_Toc466298090"/>
      <w:bookmarkStart w:id="21" w:name="_Toc22294"/>
      <w:r>
        <w:rPr>
          <w:rFonts w:hint="eastAsia" w:ascii="宋体" w:hAnsi="宋体" w:eastAsia="宋体"/>
          <w:b/>
          <w:bCs/>
          <w:color w:val="auto"/>
          <w:highlight w:val="none"/>
        </w:rPr>
        <w:t>供应商须知前附表</w:t>
      </w:r>
      <w:bookmarkEnd w:id="14"/>
      <w:bookmarkEnd w:id="15"/>
      <w:bookmarkEnd w:id="16"/>
      <w:bookmarkEnd w:id="17"/>
      <w:bookmarkEnd w:id="18"/>
      <w:bookmarkEnd w:id="19"/>
      <w:bookmarkEnd w:id="20"/>
      <w:bookmarkEnd w:id="21"/>
    </w:p>
    <w:tbl>
      <w:tblPr>
        <w:tblStyle w:val="31"/>
        <w:tblW w:w="8899" w:type="dxa"/>
        <w:tblInd w:w="108" w:type="dxa"/>
        <w:tblLayout w:type="fixed"/>
        <w:tblCellMar>
          <w:top w:w="0" w:type="dxa"/>
          <w:left w:w="108" w:type="dxa"/>
          <w:bottom w:w="0" w:type="dxa"/>
          <w:right w:w="108" w:type="dxa"/>
        </w:tblCellMar>
      </w:tblPr>
      <w:tblGrid>
        <w:gridCol w:w="1087"/>
        <w:gridCol w:w="2262"/>
        <w:gridCol w:w="5550"/>
      </w:tblGrid>
      <w:tr>
        <w:tblPrEx>
          <w:tblCellMar>
            <w:top w:w="0" w:type="dxa"/>
            <w:left w:w="108" w:type="dxa"/>
            <w:bottom w:w="0" w:type="dxa"/>
            <w:right w:w="108" w:type="dxa"/>
          </w:tblCellMar>
        </w:tblPrEx>
        <w:trPr>
          <w:trHeight w:val="496"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条款号</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条款名称</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编  列  内  容</w:t>
            </w:r>
          </w:p>
        </w:tc>
      </w:tr>
      <w:tr>
        <w:tblPrEx>
          <w:tblCellMar>
            <w:top w:w="0" w:type="dxa"/>
            <w:left w:w="108" w:type="dxa"/>
            <w:bottom w:w="0" w:type="dxa"/>
            <w:right w:w="108" w:type="dxa"/>
          </w:tblCellMar>
        </w:tblPrEx>
        <w:trPr>
          <w:trHeight w:val="1890"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1.2.1</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采购人</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lang w:eastAsia="zh-CN"/>
              </w:rPr>
              <w:t>信阳市浉河区自然资源局</w:t>
            </w:r>
          </w:p>
          <w:p>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bCs/>
                <w:color w:val="auto"/>
                <w:kern w:val="0"/>
                <w:highlight w:val="none"/>
              </w:rPr>
              <w:t>信阳市</w:t>
            </w:r>
            <w:r>
              <w:rPr>
                <w:rFonts w:hint="eastAsia" w:ascii="宋体" w:hAnsi="宋体" w:eastAsia="宋体" w:cs="宋体"/>
                <w:bCs/>
                <w:color w:val="auto"/>
                <w:kern w:val="0"/>
                <w:highlight w:val="none"/>
                <w:lang w:eastAsia="zh-CN"/>
              </w:rPr>
              <w:t>浉河区湖东大道与五星街交叉口</w:t>
            </w:r>
          </w:p>
          <w:p>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刘坤山</w:t>
            </w:r>
            <w:r>
              <w:rPr>
                <w:rFonts w:hint="eastAsia" w:ascii="宋体" w:hAnsi="宋体" w:eastAsia="宋体" w:cs="宋体"/>
                <w:color w:val="auto"/>
                <w:szCs w:val="21"/>
                <w:highlight w:val="none"/>
              </w:rPr>
              <w:t xml:space="preserve"> </w:t>
            </w:r>
          </w:p>
          <w:p>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电 话：15188286877</w:t>
            </w:r>
          </w:p>
        </w:tc>
      </w:tr>
      <w:tr>
        <w:tblPrEx>
          <w:tblCellMar>
            <w:top w:w="0" w:type="dxa"/>
            <w:left w:w="108" w:type="dxa"/>
            <w:bottom w:w="0" w:type="dxa"/>
            <w:right w:w="108" w:type="dxa"/>
          </w:tblCellMar>
        </w:tblPrEx>
        <w:trPr>
          <w:trHeight w:val="1930"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1.2.2</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采购代理机构</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rPr>
                <w:rFonts w:ascii="宋体" w:hAnsi="宋体" w:eastAsia="宋体" w:cs="宋体"/>
                <w:color w:val="auto"/>
                <w:szCs w:val="21"/>
                <w:highlight w:val="none"/>
              </w:rPr>
            </w:pPr>
            <w:r>
              <w:rPr>
                <w:rFonts w:ascii="宋体" w:hAnsi="宋体" w:eastAsia="宋体" w:cs="宋体"/>
                <w:color w:val="auto"/>
                <w:szCs w:val="21"/>
                <w:highlight w:val="none"/>
              </w:rPr>
              <w:t>名 称：中金泰富工程管理有限公司</w:t>
            </w:r>
          </w:p>
          <w:p>
            <w:pPr>
              <w:pageBreakBefore w:val="0"/>
              <w:kinsoku/>
              <w:overflowPunct/>
              <w:bidi w:val="0"/>
              <w:spacing w:line="400" w:lineRule="exact"/>
              <w:ind w:firstLine="0" w:firstLineChars="0"/>
              <w:rPr>
                <w:rFonts w:ascii="宋体" w:hAnsi="宋体" w:eastAsia="宋体" w:cs="宋体"/>
                <w:color w:val="auto"/>
                <w:szCs w:val="21"/>
                <w:highlight w:val="none"/>
              </w:rPr>
            </w:pPr>
            <w:r>
              <w:rPr>
                <w:rFonts w:ascii="宋体" w:hAnsi="宋体" w:eastAsia="宋体" w:cs="宋体"/>
                <w:color w:val="auto"/>
                <w:szCs w:val="21"/>
                <w:highlight w:val="none"/>
              </w:rPr>
              <w:t>地　址：郑州市经七路15号中亨大厦7楼</w:t>
            </w:r>
          </w:p>
          <w:p>
            <w:pPr>
              <w:pageBreakBefore w:val="0"/>
              <w:kinsoku/>
              <w:overflowPunct/>
              <w:bidi w:val="0"/>
              <w:spacing w:line="400" w:lineRule="exact"/>
              <w:ind w:firstLine="0" w:firstLineChars="0"/>
              <w:rPr>
                <w:rFonts w:hint="eastAsia" w:ascii="宋体" w:hAnsi="宋体" w:eastAsia="宋体" w:cs="宋体"/>
                <w:color w:val="auto"/>
                <w:szCs w:val="21"/>
                <w:highlight w:val="none"/>
                <w:lang w:eastAsia="zh-CN"/>
              </w:rPr>
            </w:pPr>
            <w:r>
              <w:rPr>
                <w:rFonts w:ascii="宋体" w:hAnsi="宋体" w:eastAsia="宋体" w:cs="宋体"/>
                <w:color w:val="auto"/>
                <w:szCs w:val="21"/>
                <w:highlight w:val="none"/>
              </w:rPr>
              <w:t>联系人：吴</w:t>
            </w:r>
            <w:r>
              <w:rPr>
                <w:rFonts w:hint="eastAsia" w:ascii="宋体" w:hAnsi="宋体" w:eastAsia="宋体" w:cs="宋体"/>
                <w:color w:val="auto"/>
                <w:szCs w:val="21"/>
                <w:highlight w:val="none"/>
                <w:lang w:eastAsia="zh-CN"/>
              </w:rPr>
              <w:t>伟丽</w:t>
            </w:r>
          </w:p>
          <w:p>
            <w:pPr>
              <w:pageBreakBefore w:val="0"/>
              <w:kinsoku/>
              <w:overflowPunct/>
              <w:bidi w:val="0"/>
              <w:spacing w:line="400" w:lineRule="exact"/>
              <w:ind w:firstLine="0" w:firstLineChars="0"/>
              <w:rPr>
                <w:rFonts w:ascii="宋体" w:hAnsi="宋体" w:eastAsia="宋体" w:cs="宋体"/>
                <w:color w:val="auto"/>
                <w:szCs w:val="21"/>
                <w:highlight w:val="none"/>
              </w:rPr>
            </w:pPr>
            <w:r>
              <w:rPr>
                <w:rFonts w:ascii="宋体" w:hAnsi="宋体" w:eastAsia="宋体" w:cs="宋体"/>
                <w:color w:val="auto"/>
                <w:szCs w:val="21"/>
                <w:highlight w:val="none"/>
              </w:rPr>
              <w:t>联系方式：18530056373</w:t>
            </w:r>
          </w:p>
        </w:tc>
      </w:tr>
      <w:tr>
        <w:tblPrEx>
          <w:tblCellMar>
            <w:top w:w="0" w:type="dxa"/>
            <w:left w:w="108" w:type="dxa"/>
            <w:bottom w:w="0" w:type="dxa"/>
            <w:right w:w="108" w:type="dxa"/>
          </w:tblCellMar>
        </w:tblPrEx>
        <w:trPr>
          <w:trHeight w:val="1210"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1.2.3</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项目名称</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信阳市浉河区自然资源局关于编制浉河区2022年第一批土地征收成片开发方案项目</w:t>
            </w:r>
          </w:p>
        </w:tc>
      </w:tr>
      <w:tr>
        <w:tblPrEx>
          <w:tblCellMar>
            <w:top w:w="0" w:type="dxa"/>
            <w:left w:w="108" w:type="dxa"/>
            <w:bottom w:w="0" w:type="dxa"/>
            <w:right w:w="108" w:type="dxa"/>
          </w:tblCellMar>
        </w:tblPrEx>
        <w:trPr>
          <w:trHeight w:val="865"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eastAsia="宋体" w:cs="宋体"/>
                <w:color w:val="auto"/>
                <w:szCs w:val="21"/>
                <w:highlight w:val="none"/>
              </w:rPr>
            </w:pPr>
            <w:r>
              <w:rPr>
                <w:rFonts w:hint="eastAsia" w:ascii="宋体" w:hAnsi="宋体" w:cs="宋体"/>
                <w:color w:val="auto"/>
                <w:szCs w:val="21"/>
                <w:highlight w:val="none"/>
              </w:rPr>
              <w:t>1.2.4</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autoSpaceDE w:val="0"/>
              <w:autoSpaceDN w:val="0"/>
              <w:bidi w:val="0"/>
              <w:adjustRightInd w:val="0"/>
              <w:spacing w:line="400" w:lineRule="exact"/>
              <w:ind w:right="35" w:firstLine="0" w:firstLineChars="0"/>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采购方式</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autoSpaceDE w:val="0"/>
              <w:autoSpaceDN w:val="0"/>
              <w:bidi w:val="0"/>
              <w:adjustRightInd w:val="0"/>
              <w:spacing w:line="400" w:lineRule="exact"/>
              <w:ind w:firstLine="0" w:firstLineChars="0"/>
              <w:jc w:val="left"/>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竞争性磋商</w:t>
            </w:r>
          </w:p>
        </w:tc>
      </w:tr>
      <w:tr>
        <w:tblPrEx>
          <w:tblCellMar>
            <w:top w:w="0" w:type="dxa"/>
            <w:left w:w="108" w:type="dxa"/>
            <w:bottom w:w="0" w:type="dxa"/>
            <w:right w:w="108" w:type="dxa"/>
          </w:tblCellMar>
        </w:tblPrEx>
        <w:trPr>
          <w:trHeight w:val="1144"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eastAsia="宋体" w:cs="宋体"/>
                <w:color w:val="auto"/>
                <w:szCs w:val="21"/>
                <w:highlight w:val="none"/>
              </w:rPr>
            </w:pPr>
            <w:r>
              <w:rPr>
                <w:rFonts w:hint="eastAsia" w:ascii="宋体" w:hAnsi="宋体" w:cs="宋体"/>
                <w:color w:val="auto"/>
                <w:szCs w:val="21"/>
                <w:highlight w:val="none"/>
              </w:rPr>
              <w:t>1.2.5</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autoSpaceDE w:val="0"/>
              <w:autoSpaceDN w:val="0"/>
              <w:bidi w:val="0"/>
              <w:adjustRightInd w:val="0"/>
              <w:spacing w:line="400" w:lineRule="exact"/>
              <w:ind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预算价（</w:t>
            </w:r>
            <w:r>
              <w:rPr>
                <w:rFonts w:hint="eastAsia" w:ascii="宋体" w:hAnsi="宋体" w:eastAsia="宋体" w:cs="宋体"/>
                <w:color w:val="auto"/>
                <w:szCs w:val="21"/>
                <w:highlight w:val="none"/>
              </w:rPr>
              <w:t>最高限价</w:t>
            </w:r>
            <w:r>
              <w:rPr>
                <w:rFonts w:hint="eastAsia" w:ascii="宋体" w:hAnsi="宋体" w:eastAsia="宋体" w:cs="宋体"/>
                <w:color w:val="auto"/>
                <w:kern w:val="0"/>
                <w:szCs w:val="21"/>
                <w:highlight w:val="none"/>
              </w:rPr>
              <w:t>）</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预算价（最高限价）：</w:t>
            </w:r>
            <w:r>
              <w:rPr>
                <w:rFonts w:hint="eastAsia" w:ascii="宋体" w:hAnsi="宋体" w:eastAsia="宋体" w:cs="宋体"/>
                <w:color w:val="auto"/>
                <w:kern w:val="0"/>
                <w:szCs w:val="21"/>
                <w:highlight w:val="none"/>
                <w:lang w:val="en-US" w:eastAsia="zh-CN"/>
              </w:rPr>
              <w:t>1149869.13</w:t>
            </w:r>
            <w:r>
              <w:rPr>
                <w:rFonts w:hint="eastAsia" w:ascii="宋体" w:hAnsi="宋体" w:eastAsia="宋体" w:cs="宋体"/>
                <w:color w:val="auto"/>
                <w:kern w:val="0"/>
                <w:szCs w:val="21"/>
                <w:highlight w:val="none"/>
              </w:rPr>
              <w:t>元</w:t>
            </w:r>
          </w:p>
          <w:p>
            <w:pPr>
              <w:pStyle w:val="57"/>
              <w:pageBreakBefore w:val="0"/>
              <w:kinsoku/>
              <w:overflowPunct/>
              <w:bidi w:val="0"/>
              <w:spacing w:line="400" w:lineRule="exact"/>
              <w:ind w:firstLine="0"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第一次报价超过预算价（最高限价）按无效投标处理。</w:t>
            </w:r>
          </w:p>
        </w:tc>
      </w:tr>
      <w:tr>
        <w:tblPrEx>
          <w:tblCellMar>
            <w:top w:w="0" w:type="dxa"/>
            <w:left w:w="108" w:type="dxa"/>
            <w:bottom w:w="0" w:type="dxa"/>
            <w:right w:w="108" w:type="dxa"/>
          </w:tblCellMar>
        </w:tblPrEx>
        <w:trPr>
          <w:trHeight w:val="858"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1.4.1</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eastAsia="宋体" w:cs="宋体"/>
                <w:color w:val="auto"/>
                <w:szCs w:val="21"/>
                <w:highlight w:val="none"/>
              </w:rPr>
            </w:pPr>
            <w:r>
              <w:rPr>
                <w:rFonts w:hint="eastAsia" w:ascii="宋体" w:hAnsi="宋体" w:cs="宋体"/>
                <w:color w:val="auto"/>
                <w:szCs w:val="21"/>
                <w:highlight w:val="none"/>
              </w:rPr>
              <w:t>磋商内容</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rPr>
                <w:rFonts w:ascii="宋体" w:hAnsi="宋体" w:cs="宋体"/>
                <w:color w:val="auto"/>
                <w:szCs w:val="21"/>
                <w:highlight w:val="none"/>
              </w:rPr>
            </w:pPr>
            <w:r>
              <w:rPr>
                <w:rFonts w:hint="eastAsia" w:ascii="宋体" w:hAnsi="宋体" w:eastAsia="宋体" w:cs="宋体"/>
                <w:color w:val="auto"/>
                <w:szCs w:val="21"/>
                <w:highlight w:val="none"/>
                <w:lang w:eastAsia="zh-CN"/>
              </w:rPr>
              <w:t>浉河区2022年第一批土地征收成片开发方案和浉河区</w:t>
            </w:r>
            <w:r>
              <w:rPr>
                <w:rFonts w:hint="eastAsia" w:ascii="宋体" w:hAnsi="宋体" w:eastAsia="宋体" w:cs="宋体"/>
                <w:color w:val="auto"/>
                <w:szCs w:val="21"/>
                <w:highlight w:val="none"/>
                <w:lang w:val="en-US" w:eastAsia="zh-CN"/>
              </w:rPr>
              <w:t>2023年第一批土地征收成片开发方案</w:t>
            </w:r>
            <w:r>
              <w:rPr>
                <w:rFonts w:hint="eastAsia" w:ascii="宋体" w:hAnsi="宋体" w:eastAsia="宋体" w:cs="宋体"/>
                <w:color w:val="auto"/>
                <w:szCs w:val="21"/>
                <w:highlight w:val="none"/>
              </w:rPr>
              <w:t>，主要包括1、拟征收部分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确定范围线、片区功能及用途确定、拟建项目、开发时序和年度实施计划</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拟征收之外其他部分</w:t>
            </w:r>
            <w:r>
              <w:rPr>
                <w:rFonts w:hint="eastAsia" w:ascii="宋体" w:hAnsi="宋体" w:eastAsia="宋体" w:cs="宋体"/>
                <w:color w:val="auto"/>
                <w:szCs w:val="21"/>
                <w:highlight w:val="none"/>
                <w:lang w:eastAsia="zh-CN"/>
              </w:rPr>
              <w:t>：方案规划文本、图集、数据库编制；</w:t>
            </w:r>
            <w:r>
              <w:rPr>
                <w:rFonts w:hint="eastAsia" w:ascii="宋体" w:hAnsi="宋体" w:eastAsia="宋体" w:cs="宋体"/>
                <w:color w:val="auto"/>
                <w:szCs w:val="21"/>
                <w:highlight w:val="none"/>
              </w:rPr>
              <w:t>3、勘测定界资料编制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4、方案上报审批等</w:t>
            </w:r>
            <w:r>
              <w:rPr>
                <w:rFonts w:hint="eastAsia" w:ascii="宋体" w:hAnsi="宋体" w:eastAsia="宋体" w:cs="宋体"/>
                <w:color w:val="auto"/>
                <w:szCs w:val="21"/>
                <w:highlight w:val="none"/>
                <w:lang w:eastAsia="zh-CN"/>
              </w:rPr>
              <w:t>；</w:t>
            </w:r>
          </w:p>
        </w:tc>
      </w:tr>
      <w:tr>
        <w:tblPrEx>
          <w:tblCellMar>
            <w:top w:w="0" w:type="dxa"/>
            <w:left w:w="108" w:type="dxa"/>
            <w:bottom w:w="0" w:type="dxa"/>
            <w:right w:w="108" w:type="dxa"/>
          </w:tblCellMar>
        </w:tblPrEx>
        <w:trPr>
          <w:trHeight w:val="994"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1.4.2</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jc w:val="center"/>
              <w:rPr>
                <w:rFonts w:ascii="宋体" w:hAnsi="宋体" w:eastAsia="宋体"/>
                <w:color w:val="auto"/>
                <w:szCs w:val="21"/>
                <w:highlight w:val="none"/>
              </w:rPr>
            </w:pPr>
            <w:r>
              <w:rPr>
                <w:rFonts w:hint="eastAsia" w:ascii="宋体" w:hAnsi="宋体"/>
                <w:color w:val="auto"/>
                <w:szCs w:val="21"/>
                <w:highlight w:val="none"/>
              </w:rPr>
              <w:t>服务期限</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jc w:val="left"/>
              <w:rPr>
                <w:rFonts w:ascii="宋体" w:hAnsi="宋体"/>
                <w:color w:val="auto"/>
                <w:szCs w:val="21"/>
                <w:highlight w:val="none"/>
              </w:rPr>
            </w:pPr>
            <w:r>
              <w:rPr>
                <w:rFonts w:hint="eastAsia" w:ascii="宋体" w:hAnsi="宋体" w:cs="宋体"/>
                <w:color w:val="auto"/>
                <w:szCs w:val="21"/>
                <w:highlight w:val="none"/>
                <w:lang w:val="en-US" w:eastAsia="zh-CN"/>
              </w:rPr>
              <w:t>自合同签订之日起，按照河南省自然资源厅要求时限完成。</w:t>
            </w:r>
          </w:p>
        </w:tc>
      </w:tr>
      <w:tr>
        <w:tblPrEx>
          <w:tblCellMar>
            <w:top w:w="0" w:type="dxa"/>
            <w:left w:w="108" w:type="dxa"/>
            <w:bottom w:w="0" w:type="dxa"/>
            <w:right w:w="108" w:type="dxa"/>
          </w:tblCellMar>
        </w:tblPrEx>
        <w:trPr>
          <w:trHeight w:val="821"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eastAsia="宋体" w:cs="宋体"/>
                <w:color w:val="auto"/>
                <w:szCs w:val="21"/>
                <w:highlight w:val="none"/>
              </w:rPr>
            </w:pPr>
            <w:r>
              <w:rPr>
                <w:rFonts w:hint="eastAsia" w:ascii="宋体" w:hAnsi="宋体" w:cs="宋体"/>
                <w:color w:val="auto"/>
                <w:szCs w:val="21"/>
                <w:highlight w:val="none"/>
              </w:rPr>
              <w:t>1.4.4</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jc w:val="center"/>
              <w:rPr>
                <w:rFonts w:ascii="宋体" w:hAnsi="宋体"/>
                <w:color w:val="auto"/>
                <w:szCs w:val="21"/>
                <w:highlight w:val="none"/>
              </w:rPr>
            </w:pPr>
            <w:r>
              <w:rPr>
                <w:rFonts w:hint="eastAsia" w:ascii="宋体" w:hAnsi="宋体"/>
                <w:color w:val="auto"/>
                <w:szCs w:val="21"/>
                <w:highlight w:val="none"/>
              </w:rPr>
              <w:t>质量要求</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jc w:val="left"/>
              <w:rPr>
                <w:rFonts w:ascii="宋体" w:hAnsi="宋体"/>
                <w:color w:val="auto"/>
                <w:szCs w:val="21"/>
                <w:highlight w:val="none"/>
              </w:rPr>
            </w:pPr>
            <w:r>
              <w:rPr>
                <w:rFonts w:hint="eastAsia" w:ascii="宋体" w:hAnsi="宋体" w:cs="宋体"/>
                <w:color w:val="auto"/>
                <w:szCs w:val="21"/>
                <w:highlight w:val="none"/>
                <w:lang w:eastAsia="zh-CN"/>
              </w:rPr>
              <w:t>满足国家、省、市相关技术要求</w:t>
            </w:r>
            <w:r>
              <w:rPr>
                <w:rFonts w:hint="eastAsia" w:ascii="宋体" w:hAnsi="宋体" w:cs="宋体"/>
                <w:color w:val="auto"/>
                <w:szCs w:val="21"/>
                <w:highlight w:val="none"/>
              </w:rPr>
              <w:t>；</w:t>
            </w:r>
          </w:p>
        </w:tc>
      </w:tr>
      <w:tr>
        <w:tblPrEx>
          <w:tblCellMar>
            <w:top w:w="0" w:type="dxa"/>
            <w:left w:w="108" w:type="dxa"/>
            <w:bottom w:w="0" w:type="dxa"/>
            <w:right w:w="108" w:type="dxa"/>
          </w:tblCellMar>
        </w:tblPrEx>
        <w:trPr>
          <w:trHeight w:val="1541"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eastAsia="宋体" w:cs="宋体"/>
                <w:color w:val="auto"/>
                <w:szCs w:val="21"/>
                <w:highlight w:val="none"/>
              </w:rPr>
            </w:pPr>
            <w:r>
              <w:rPr>
                <w:rFonts w:hint="eastAsia" w:ascii="宋体" w:hAnsi="宋体" w:cs="宋体"/>
                <w:color w:val="auto"/>
                <w:szCs w:val="21"/>
                <w:highlight w:val="none"/>
              </w:rPr>
              <w:t>1.4.5</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rPr>
                <w:rFonts w:hint="default" w:eastAsiaTheme="minorEastAsia"/>
                <w:color w:val="auto"/>
                <w:highlight w:val="none"/>
                <w:lang w:val="en-US" w:eastAsia="zh-CN"/>
              </w:rPr>
            </w:pPr>
            <w:r>
              <w:rPr>
                <w:rFonts w:hint="eastAsia"/>
                <w:color w:val="auto"/>
                <w:highlight w:val="none"/>
                <w:lang w:val="en-US" w:eastAsia="zh-CN"/>
              </w:rPr>
              <w:t>双方自行约定</w:t>
            </w:r>
          </w:p>
        </w:tc>
      </w:tr>
      <w:tr>
        <w:tblPrEx>
          <w:tblCellMar>
            <w:top w:w="0" w:type="dxa"/>
            <w:left w:w="108" w:type="dxa"/>
            <w:bottom w:w="0" w:type="dxa"/>
            <w:right w:w="108" w:type="dxa"/>
          </w:tblCellMar>
        </w:tblPrEx>
        <w:trPr>
          <w:trHeight w:val="6284"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1.5.1</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供应商资质条件及能力要求</w:t>
            </w:r>
          </w:p>
        </w:tc>
        <w:tc>
          <w:tcPr>
            <w:tcW w:w="55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1、满足《中华人民共和国政府采购法》第二十二条规定。</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2、落实政府采购政策满足的资格要求：本项目专门面向中小微企业采购。</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3、本项目的特定资格要求：供应商须具备行政主管部门核准和颁发的土地规划乙级（含）以上资质和测绘乙级（含）以上资质。拟派的项目负责人具有相关专业中级及以上职称证书，</w:t>
            </w:r>
            <w:r>
              <w:rPr>
                <w:rFonts w:hint="eastAsia" w:ascii="宋体" w:hAnsi="宋体" w:eastAsia="宋体" w:cs="宋体"/>
                <w:color w:val="auto"/>
                <w:highlight w:val="none"/>
                <w:lang w:val="en-US" w:eastAsia="zh-CN"/>
              </w:rPr>
              <w:t>并具有2023年6月以来任意三个月社保部门出具的缴纳养老保险证明；</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4、其他说明：</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4.1 单位负责人为同一人或者存在直接控股、管理关系的不同单位，不得同时参加同一合同项下的政府采购活动（提供加盖投标人公章的“国家企业信用信息公示系统”中公示的公司基础信息包含股东及出资信息。查询截止时点为：从报名开始之日起至投标截止之日止。）</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4.2 本项目 适用 信用承诺（详见下述要求）：根据财政部《关于在政府采购活动中查询及使用信用记录有关问题的通知》(财库[2016] 125 号)和豫财购[2016]15 号的规定，对列入失信被执行人、重大税收违法失信主体、政府采购严重违法失信行为记录名单的投标人，视为无效投标。提供“信用中国”网站的列入失信被执行人、重大税收违法失信主体网站截图和“中国政府采购网”网站的政府采购严重违法失信行为记录名单网站截图；查询渠道：“信用中国”网站（www.creditchina.gov.cn）、中国政府采购网（www.ccgp.gov.cn），查询截止时点为：从报名开始之日起至投标截止之日止。）</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（一）在本项目政府采购活动中，供应商在投标（响应）时，可对照资格要求进行自主核对，确定符合资格要求的，可按照规定提供相关承诺函（详见响应文件“ 资格审查资料”附件），供应商在资格审查环节提供满足相应条件的书面承诺书，不需要提供以下证明材料：</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①具有独立承担民事责任的能力（提供有效的企业营业执照或其他组织的证明材料）；</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②具有良好的商业信誉和健全的财务会计制度（提供2022年度或2023年度的财务审计报告，若企业成立年份不足1年，则需提供开户行出具的资信证明）；</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③具有履行合同所必须的设备和专业技术能力（提供承诺书）；</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④具有依法缴纳税收和社会保障资金的良好记录【提供2023年6月以来任意3个月的已依法缴纳税收和社会保障资金的凭据，依法免税或不需要缴纳社会保障资金的供应商，应提供相应证明文件，新成立公司按实际月份提供。（如依法免税的，则须提供相关部门出具的证明文件。如投标人在规定的时间段内没有发生业务的，则提供税务部门出具的纳税证明，或加盖税务部门公章的纳税申报表。）】；</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⑤参加政府采购活动前三年内在经营活动中没有重大违法记录的证明材料（提供承诺书）；</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⑥未被列入失信被执行人、重大税收违法失信主体、政府采购严重违法失信行为记录名单的证明材料。</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tc>
      </w:tr>
      <w:tr>
        <w:tblPrEx>
          <w:tblCellMar>
            <w:top w:w="0" w:type="dxa"/>
            <w:left w:w="108" w:type="dxa"/>
            <w:bottom w:w="0" w:type="dxa"/>
            <w:right w:w="108" w:type="dxa"/>
          </w:tblCellMar>
        </w:tblPrEx>
        <w:trPr>
          <w:trHeight w:val="493"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1.5.2</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是否接受联合体</w:t>
            </w:r>
          </w:p>
        </w:tc>
        <w:tc>
          <w:tcPr>
            <w:tcW w:w="5550" w:type="dxa"/>
            <w:tcBorders>
              <w:top w:val="single" w:color="auto" w:sz="4" w:space="0"/>
              <w:left w:val="single" w:color="auto" w:sz="4" w:space="0"/>
              <w:bottom w:val="single" w:color="auto" w:sz="4" w:space="0"/>
              <w:right w:val="single" w:color="auto" w:sz="4" w:space="0"/>
            </w:tcBorders>
            <w:noWrap/>
            <w:vAlign w:val="center"/>
          </w:tcPr>
          <w:p>
            <w:pPr>
              <w:pStyle w:val="17"/>
              <w:pageBreakBefore w:val="0"/>
              <w:kinsoku/>
              <w:overflowPunct/>
              <w:topLinePunct/>
              <w:bidi w:val="0"/>
              <w:adjustRightInd w:val="0"/>
              <w:spacing w:line="400" w:lineRule="exact"/>
              <w:ind w:firstLine="0" w:firstLineChars="0"/>
              <w:jc w:val="left"/>
              <w:textAlignment w:val="baseline"/>
              <w:rPr>
                <w:rFonts w:ascii="宋体" w:hAnsi="宋体" w:cs="宋体"/>
                <w:color w:val="auto"/>
                <w:kern w:val="2"/>
                <w:sz w:val="21"/>
                <w:szCs w:val="21"/>
                <w:highlight w:val="none"/>
              </w:rPr>
            </w:pPr>
            <w:r>
              <w:rPr>
                <w:rFonts w:hint="eastAsia" w:ascii="宋体" w:hAnsi="宋体" w:cs="宋体"/>
                <w:color w:val="auto"/>
                <w:kern w:val="2"/>
                <w:sz w:val="21"/>
                <w:szCs w:val="21"/>
                <w:highlight w:val="none"/>
              </w:rPr>
              <w:t>不接受</w:t>
            </w:r>
          </w:p>
        </w:tc>
      </w:tr>
      <w:tr>
        <w:tblPrEx>
          <w:tblCellMar>
            <w:top w:w="0" w:type="dxa"/>
            <w:left w:w="108" w:type="dxa"/>
            <w:bottom w:w="0" w:type="dxa"/>
            <w:right w:w="108" w:type="dxa"/>
          </w:tblCellMar>
        </w:tblPrEx>
        <w:trPr>
          <w:trHeight w:val="469"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1.10</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eastAsia="宋体" w:cs="宋体"/>
                <w:color w:val="auto"/>
                <w:szCs w:val="21"/>
                <w:highlight w:val="none"/>
              </w:rPr>
            </w:pPr>
            <w:r>
              <w:rPr>
                <w:rFonts w:hint="eastAsia" w:ascii="宋体" w:hAnsi="宋体" w:cs="宋体"/>
                <w:color w:val="auto"/>
                <w:szCs w:val="21"/>
                <w:highlight w:val="none"/>
              </w:rPr>
              <w:t>现场踏勘</w:t>
            </w:r>
          </w:p>
        </w:tc>
        <w:tc>
          <w:tcPr>
            <w:tcW w:w="5550" w:type="dxa"/>
            <w:tcBorders>
              <w:top w:val="single" w:color="auto" w:sz="4" w:space="0"/>
              <w:left w:val="single" w:color="auto" w:sz="4" w:space="0"/>
              <w:bottom w:val="single" w:color="auto" w:sz="4" w:space="0"/>
              <w:right w:val="single" w:color="auto" w:sz="4" w:space="0"/>
            </w:tcBorders>
            <w:noWrap/>
            <w:vAlign w:val="center"/>
          </w:tcPr>
          <w:p>
            <w:pPr>
              <w:pStyle w:val="17"/>
              <w:pageBreakBefore w:val="0"/>
              <w:kinsoku/>
              <w:overflowPunct/>
              <w:topLinePunct/>
              <w:bidi w:val="0"/>
              <w:adjustRightInd w:val="0"/>
              <w:spacing w:line="400" w:lineRule="exact"/>
              <w:ind w:firstLine="0" w:firstLineChars="0"/>
              <w:jc w:val="left"/>
              <w:textAlignment w:val="baseline"/>
              <w:rPr>
                <w:rFonts w:ascii="宋体" w:hAnsi="宋体" w:cs="宋体"/>
                <w:color w:val="auto"/>
                <w:kern w:val="2"/>
                <w:sz w:val="21"/>
                <w:szCs w:val="21"/>
                <w:highlight w:val="none"/>
              </w:rPr>
            </w:pPr>
            <w:r>
              <w:rPr>
                <w:rFonts w:hint="eastAsia" w:ascii="宋体" w:hAnsi="宋体" w:cs="宋体"/>
                <w:color w:val="auto"/>
                <w:kern w:val="2"/>
                <w:sz w:val="21"/>
                <w:szCs w:val="21"/>
                <w:highlight w:val="none"/>
              </w:rPr>
              <w:t>自行踏勘</w:t>
            </w:r>
          </w:p>
        </w:tc>
      </w:tr>
      <w:tr>
        <w:tblPrEx>
          <w:tblCellMar>
            <w:top w:w="0" w:type="dxa"/>
            <w:left w:w="108" w:type="dxa"/>
            <w:bottom w:w="0" w:type="dxa"/>
            <w:right w:w="108" w:type="dxa"/>
          </w:tblCellMar>
        </w:tblPrEx>
        <w:trPr>
          <w:trHeight w:val="469"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1.11</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分包</w:t>
            </w:r>
          </w:p>
        </w:tc>
        <w:tc>
          <w:tcPr>
            <w:tcW w:w="5550" w:type="dxa"/>
            <w:tcBorders>
              <w:top w:val="single" w:color="auto" w:sz="4" w:space="0"/>
              <w:left w:val="single" w:color="auto" w:sz="4" w:space="0"/>
              <w:bottom w:val="single" w:color="auto" w:sz="4" w:space="0"/>
              <w:right w:val="single" w:color="auto" w:sz="4" w:space="0"/>
            </w:tcBorders>
            <w:noWrap/>
            <w:vAlign w:val="center"/>
          </w:tcPr>
          <w:p>
            <w:pPr>
              <w:pStyle w:val="17"/>
              <w:pageBreakBefore w:val="0"/>
              <w:kinsoku/>
              <w:overflowPunct/>
              <w:topLinePunct/>
              <w:bidi w:val="0"/>
              <w:adjustRightInd w:val="0"/>
              <w:spacing w:line="400" w:lineRule="exact"/>
              <w:ind w:firstLine="0" w:firstLineChars="0"/>
              <w:jc w:val="left"/>
              <w:textAlignment w:val="baseline"/>
              <w:rPr>
                <w:rFonts w:ascii="宋体" w:hAnsi="宋体" w:cs="宋体"/>
                <w:color w:val="auto"/>
                <w:kern w:val="2"/>
                <w:sz w:val="21"/>
                <w:szCs w:val="21"/>
                <w:highlight w:val="none"/>
              </w:rPr>
            </w:pPr>
            <w:r>
              <w:rPr>
                <w:rFonts w:hint="eastAsia" w:ascii="宋体" w:hAnsi="宋体" w:cs="宋体"/>
                <w:color w:val="auto"/>
                <w:kern w:val="2"/>
                <w:sz w:val="21"/>
                <w:szCs w:val="21"/>
                <w:highlight w:val="none"/>
              </w:rPr>
              <w:t>不允许</w:t>
            </w:r>
          </w:p>
        </w:tc>
      </w:tr>
      <w:tr>
        <w:tblPrEx>
          <w:tblCellMar>
            <w:top w:w="0" w:type="dxa"/>
            <w:left w:w="108" w:type="dxa"/>
            <w:bottom w:w="0" w:type="dxa"/>
            <w:right w:w="108" w:type="dxa"/>
          </w:tblCellMar>
        </w:tblPrEx>
        <w:trPr>
          <w:trHeight w:val="1058"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2.1</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构成磋商文件</w:t>
            </w:r>
          </w:p>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的其他材料</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left"/>
              <w:textAlignment w:val="baseline"/>
              <w:rPr>
                <w:rFonts w:ascii="宋体" w:hAnsi="宋体" w:cs="宋体"/>
                <w:color w:val="auto"/>
                <w:szCs w:val="21"/>
                <w:highlight w:val="none"/>
              </w:rPr>
            </w:pPr>
            <w:r>
              <w:rPr>
                <w:rFonts w:hint="eastAsia" w:ascii="宋体" w:hAnsi="宋体" w:cs="宋体"/>
                <w:color w:val="auto"/>
                <w:szCs w:val="21"/>
                <w:highlight w:val="none"/>
              </w:rPr>
              <w:t>除磋商文件外，采购人在磋商期间发出的澄清、修改、补充、补遗和其它有效正式函件等内容均是磋商文件的组成部分</w:t>
            </w:r>
          </w:p>
        </w:tc>
      </w:tr>
      <w:tr>
        <w:tblPrEx>
          <w:tblCellMar>
            <w:top w:w="0" w:type="dxa"/>
            <w:left w:w="108" w:type="dxa"/>
            <w:bottom w:w="0" w:type="dxa"/>
            <w:right w:w="108" w:type="dxa"/>
          </w:tblCellMar>
        </w:tblPrEx>
        <w:trPr>
          <w:trHeight w:val="708"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2.2.1</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供应商提出问题的截止时间</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left"/>
              <w:textAlignment w:val="baseline"/>
              <w:rPr>
                <w:rFonts w:ascii="宋体" w:hAnsi="宋体" w:eastAsia="宋体" w:cs="宋体"/>
                <w:color w:val="auto"/>
                <w:szCs w:val="21"/>
                <w:highlight w:val="none"/>
              </w:rPr>
            </w:pPr>
            <w:r>
              <w:rPr>
                <w:rFonts w:hint="eastAsia" w:ascii="宋体" w:hAnsi="宋体" w:cs="宋体"/>
                <w:color w:val="auto"/>
                <w:szCs w:val="21"/>
                <w:highlight w:val="none"/>
              </w:rPr>
              <w:t>公告发布之日起7个工作日内</w:t>
            </w:r>
          </w:p>
        </w:tc>
      </w:tr>
      <w:tr>
        <w:tblPrEx>
          <w:tblCellMar>
            <w:top w:w="0" w:type="dxa"/>
            <w:left w:w="108" w:type="dxa"/>
            <w:bottom w:w="0" w:type="dxa"/>
            <w:right w:w="108" w:type="dxa"/>
          </w:tblCellMar>
        </w:tblPrEx>
        <w:trPr>
          <w:trHeight w:val="708"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2.2.2</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采购人澄清磋商文件的截止时间</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left"/>
              <w:textAlignment w:val="baseline"/>
              <w:rPr>
                <w:rFonts w:ascii="宋体" w:hAnsi="宋体" w:cs="宋体"/>
                <w:color w:val="auto"/>
                <w:szCs w:val="21"/>
                <w:highlight w:val="none"/>
              </w:rPr>
            </w:pPr>
            <w:r>
              <w:rPr>
                <w:rFonts w:hint="eastAsia" w:ascii="宋体" w:hAnsi="宋体" w:cs="宋体"/>
                <w:color w:val="auto"/>
                <w:szCs w:val="21"/>
                <w:highlight w:val="none"/>
              </w:rPr>
              <w:t>递交响应文件截止之日</w:t>
            </w:r>
            <w:r>
              <w:rPr>
                <w:rFonts w:hint="eastAsia" w:ascii="宋体" w:hAnsi="宋体" w:cs="宋体"/>
                <w:color w:val="auto"/>
                <w:szCs w:val="21"/>
                <w:highlight w:val="none"/>
                <w:u w:val="single"/>
              </w:rPr>
              <w:t>5</w:t>
            </w:r>
            <w:r>
              <w:rPr>
                <w:rFonts w:hint="eastAsia" w:ascii="宋体" w:hAnsi="宋体" w:cs="宋体"/>
                <w:color w:val="auto"/>
                <w:szCs w:val="21"/>
                <w:highlight w:val="none"/>
              </w:rPr>
              <w:t>天前</w:t>
            </w:r>
          </w:p>
        </w:tc>
      </w:tr>
      <w:tr>
        <w:tblPrEx>
          <w:tblCellMar>
            <w:top w:w="0" w:type="dxa"/>
            <w:left w:w="108" w:type="dxa"/>
            <w:bottom w:w="0" w:type="dxa"/>
            <w:right w:w="108" w:type="dxa"/>
          </w:tblCellMar>
        </w:tblPrEx>
        <w:trPr>
          <w:trHeight w:val="708"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2.2.3</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供应商确认收到磋商文件澄清的时间</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left"/>
              <w:textAlignment w:val="baseline"/>
              <w:rPr>
                <w:rFonts w:ascii="宋体" w:hAnsi="宋体" w:cs="宋体"/>
                <w:color w:val="auto"/>
                <w:szCs w:val="21"/>
                <w:highlight w:val="none"/>
              </w:rPr>
            </w:pPr>
            <w:r>
              <w:rPr>
                <w:rFonts w:hint="eastAsia" w:ascii="宋体" w:hAnsi="宋体" w:cs="宋体"/>
                <w:color w:val="auto"/>
                <w:szCs w:val="21"/>
                <w:highlight w:val="none"/>
              </w:rPr>
              <w:t>在收到相应澄清文件后</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小时内</w:t>
            </w:r>
          </w:p>
        </w:tc>
      </w:tr>
      <w:tr>
        <w:tblPrEx>
          <w:tblCellMar>
            <w:top w:w="0" w:type="dxa"/>
            <w:left w:w="108" w:type="dxa"/>
            <w:bottom w:w="0" w:type="dxa"/>
            <w:right w:w="108" w:type="dxa"/>
          </w:tblCellMar>
        </w:tblPrEx>
        <w:trPr>
          <w:trHeight w:val="708"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2.3.2</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供应商确认收到磋商文件修改的时间</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left"/>
              <w:textAlignment w:val="baseline"/>
              <w:rPr>
                <w:rFonts w:ascii="宋体" w:hAnsi="宋体" w:cs="宋体"/>
                <w:color w:val="auto"/>
                <w:szCs w:val="21"/>
                <w:highlight w:val="none"/>
              </w:rPr>
            </w:pPr>
            <w:r>
              <w:rPr>
                <w:rFonts w:hint="eastAsia" w:ascii="宋体" w:hAnsi="宋体" w:cs="宋体"/>
                <w:color w:val="auto"/>
                <w:szCs w:val="21"/>
                <w:highlight w:val="none"/>
              </w:rPr>
              <w:t>在收到相应修改文件后</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小时内</w:t>
            </w:r>
          </w:p>
        </w:tc>
      </w:tr>
      <w:tr>
        <w:tblPrEx>
          <w:tblCellMar>
            <w:top w:w="0" w:type="dxa"/>
            <w:left w:w="108" w:type="dxa"/>
            <w:bottom w:w="0" w:type="dxa"/>
            <w:right w:w="108" w:type="dxa"/>
          </w:tblCellMar>
        </w:tblPrEx>
        <w:trPr>
          <w:trHeight w:val="708"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3.1</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构成响应文件</w:t>
            </w:r>
          </w:p>
          <w:p>
            <w:pPr>
              <w:pageBreakBefore w:val="0"/>
              <w:kinsoku/>
              <w:overflowPunct/>
              <w:bidi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的其他材料</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left"/>
              <w:textAlignment w:val="baseline"/>
              <w:rPr>
                <w:rFonts w:ascii="宋体" w:hAnsi="宋体" w:cs="宋体"/>
                <w:color w:val="auto"/>
                <w:szCs w:val="21"/>
                <w:highlight w:val="none"/>
              </w:rPr>
            </w:pPr>
            <w:r>
              <w:rPr>
                <w:rFonts w:hint="eastAsia" w:ascii="宋体" w:hAnsi="宋体" w:cs="宋体"/>
                <w:color w:val="auto"/>
                <w:szCs w:val="21"/>
                <w:highlight w:val="none"/>
              </w:rPr>
              <w:t>供应商认为需要提交的其他证明材料</w:t>
            </w:r>
          </w:p>
        </w:tc>
      </w:tr>
      <w:tr>
        <w:tblPrEx>
          <w:tblCellMar>
            <w:top w:w="0" w:type="dxa"/>
            <w:left w:w="108" w:type="dxa"/>
            <w:bottom w:w="0" w:type="dxa"/>
            <w:right w:w="108" w:type="dxa"/>
          </w:tblCellMar>
        </w:tblPrEx>
        <w:trPr>
          <w:trHeight w:val="398"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3.3.1</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磋商有效期</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left"/>
              <w:textAlignment w:val="baseline"/>
              <w:rPr>
                <w:rFonts w:ascii="宋体" w:hAnsi="宋体" w:cs="宋体"/>
                <w:color w:val="auto"/>
                <w:szCs w:val="21"/>
                <w:highlight w:val="none"/>
              </w:rPr>
            </w:pPr>
            <w:r>
              <w:rPr>
                <w:rFonts w:hint="eastAsia" w:ascii="宋体" w:hAnsi="宋体" w:cs="宋体"/>
                <w:color w:val="auto"/>
                <w:kern w:val="0"/>
                <w:szCs w:val="21"/>
                <w:highlight w:val="none"/>
              </w:rPr>
              <w:t>60日历天（响应文件截止之日起）</w:t>
            </w:r>
          </w:p>
        </w:tc>
      </w:tr>
      <w:tr>
        <w:tblPrEx>
          <w:tblCellMar>
            <w:top w:w="0" w:type="dxa"/>
            <w:left w:w="108" w:type="dxa"/>
            <w:bottom w:w="0" w:type="dxa"/>
            <w:right w:w="108" w:type="dxa"/>
          </w:tblCellMar>
        </w:tblPrEx>
        <w:trPr>
          <w:trHeight w:val="359"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jc w:val="center"/>
              <w:textAlignment w:val="center"/>
              <w:rPr>
                <w:rFonts w:ascii="宋体" w:hAnsi="宋体"/>
                <w:color w:val="auto"/>
                <w:szCs w:val="21"/>
                <w:highlight w:val="none"/>
              </w:rPr>
            </w:pPr>
            <w:r>
              <w:rPr>
                <w:rFonts w:hint="eastAsia" w:ascii="宋体" w:hAnsi="宋体"/>
                <w:color w:val="auto"/>
                <w:szCs w:val="21"/>
                <w:highlight w:val="none"/>
              </w:rPr>
              <w:t>3.2.3</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jc w:val="center"/>
              <w:textAlignment w:val="center"/>
              <w:rPr>
                <w:color w:val="auto"/>
                <w:szCs w:val="24"/>
                <w:highlight w:val="none"/>
              </w:rPr>
            </w:pPr>
            <w:r>
              <w:rPr>
                <w:color w:val="auto"/>
                <w:highlight w:val="none"/>
              </w:rPr>
              <w:t>报价方式</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jc w:val="left"/>
              <w:textAlignment w:val="center"/>
              <w:rPr>
                <w:rFonts w:ascii="宋体" w:hAnsi="宋体"/>
                <w:color w:val="auto"/>
                <w:szCs w:val="24"/>
                <w:highlight w:val="none"/>
              </w:rPr>
            </w:pPr>
            <w:r>
              <w:rPr>
                <w:rFonts w:hint="eastAsia" w:ascii="宋体" w:hAnsi="宋体"/>
                <w:color w:val="auto"/>
                <w:highlight w:val="none"/>
              </w:rPr>
              <w:t>自主报价</w:t>
            </w:r>
          </w:p>
        </w:tc>
      </w:tr>
      <w:tr>
        <w:tblPrEx>
          <w:tblCellMar>
            <w:top w:w="0" w:type="dxa"/>
            <w:left w:w="108" w:type="dxa"/>
            <w:bottom w:w="0" w:type="dxa"/>
            <w:right w:w="108" w:type="dxa"/>
          </w:tblCellMar>
        </w:tblPrEx>
        <w:trPr>
          <w:trHeight w:val="708"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3.6</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是否允许递交</w:t>
            </w:r>
          </w:p>
          <w:p>
            <w:pPr>
              <w:pageBreakBefore w:val="0"/>
              <w:kinsoku/>
              <w:overflowPunct/>
              <w:bidi w:val="0"/>
              <w:spacing w:line="40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备选磋商方案</w:t>
            </w:r>
          </w:p>
        </w:tc>
        <w:tc>
          <w:tcPr>
            <w:tcW w:w="5550" w:type="dxa"/>
            <w:tcBorders>
              <w:top w:val="single" w:color="auto" w:sz="4" w:space="0"/>
              <w:left w:val="single" w:color="auto" w:sz="4" w:space="0"/>
              <w:bottom w:val="single" w:color="auto" w:sz="4" w:space="0"/>
              <w:right w:val="single" w:color="auto" w:sz="4" w:space="0"/>
            </w:tcBorders>
            <w:noWrap/>
            <w:vAlign w:val="center"/>
          </w:tcPr>
          <w:p>
            <w:pPr>
              <w:pStyle w:val="17"/>
              <w:pageBreakBefore w:val="0"/>
              <w:kinsoku/>
              <w:overflowPunct/>
              <w:topLinePunct/>
              <w:bidi w:val="0"/>
              <w:adjustRightInd w:val="0"/>
              <w:spacing w:line="400" w:lineRule="exact"/>
              <w:ind w:firstLine="0" w:firstLineChars="0"/>
              <w:jc w:val="left"/>
              <w:textAlignment w:val="baseline"/>
              <w:rPr>
                <w:rFonts w:ascii="宋体" w:hAnsi="宋体" w:cs="宋体"/>
                <w:color w:val="auto"/>
                <w:kern w:val="2"/>
                <w:sz w:val="21"/>
                <w:szCs w:val="21"/>
                <w:highlight w:val="none"/>
              </w:rPr>
            </w:pPr>
            <w:r>
              <w:rPr>
                <w:rFonts w:hint="eastAsia" w:ascii="宋体" w:hAnsi="宋体" w:cs="宋体"/>
                <w:color w:val="auto"/>
                <w:kern w:val="2"/>
                <w:sz w:val="21"/>
                <w:szCs w:val="21"/>
                <w:highlight w:val="none"/>
              </w:rPr>
              <w:t>不允许</w:t>
            </w:r>
          </w:p>
        </w:tc>
      </w:tr>
      <w:tr>
        <w:tblPrEx>
          <w:tblCellMar>
            <w:top w:w="0" w:type="dxa"/>
            <w:left w:w="108" w:type="dxa"/>
            <w:bottom w:w="0" w:type="dxa"/>
            <w:right w:w="108" w:type="dxa"/>
          </w:tblCellMar>
        </w:tblPrEx>
        <w:trPr>
          <w:trHeight w:val="1408"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3.7.3</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电子响应文件</w:t>
            </w:r>
          </w:p>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签字盖章要求</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napToGrid w:val="0"/>
              <w:spacing w:line="40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（1）所有要求供应商加盖公章的地方都须加盖供应商的 CA 印章。</w:t>
            </w:r>
          </w:p>
          <w:p>
            <w:pPr>
              <w:pageBreakBefore w:val="0"/>
              <w:kinsoku/>
              <w:overflowPunct/>
              <w:bidi w:val="0"/>
              <w:adjustRightInd w:val="0"/>
              <w:snapToGrid w:val="0"/>
              <w:spacing w:line="40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（2）所有要求法定代表人或其委托代理人签字的地方都须法定代表人或其委托代理人加盖CA印章或签字。</w:t>
            </w:r>
          </w:p>
        </w:tc>
      </w:tr>
      <w:tr>
        <w:tblPrEx>
          <w:tblCellMar>
            <w:top w:w="0" w:type="dxa"/>
            <w:left w:w="108" w:type="dxa"/>
            <w:bottom w:w="0" w:type="dxa"/>
            <w:right w:w="108" w:type="dxa"/>
          </w:tblCellMar>
        </w:tblPrEx>
        <w:trPr>
          <w:trHeight w:val="708"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jc w:val="center"/>
              <w:rPr>
                <w:rFonts w:ascii="宋体" w:hAnsi="宋体" w:cs="宋体"/>
                <w:bCs/>
                <w:color w:val="auto"/>
                <w:szCs w:val="21"/>
                <w:highlight w:val="none"/>
              </w:rPr>
            </w:pPr>
            <w:r>
              <w:rPr>
                <w:rFonts w:hint="eastAsia" w:ascii="宋体" w:hAnsi="宋体" w:cs="宋体"/>
                <w:bCs/>
                <w:color w:val="auto"/>
                <w:szCs w:val="21"/>
                <w:highlight w:val="none"/>
              </w:rPr>
              <w:t>3.7.4</w:t>
            </w:r>
          </w:p>
        </w:tc>
        <w:tc>
          <w:tcPr>
            <w:tcW w:w="2262"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napToGrid w:val="0"/>
              <w:spacing w:line="400" w:lineRule="exact"/>
              <w:ind w:firstLine="0" w:firstLineChars="0"/>
              <w:jc w:val="center"/>
              <w:rPr>
                <w:rFonts w:ascii="宋体" w:hAnsi="宋体" w:cs="宋体"/>
                <w:bCs/>
                <w:color w:val="auto"/>
                <w:szCs w:val="21"/>
                <w:highlight w:val="none"/>
              </w:rPr>
            </w:pPr>
            <w:r>
              <w:rPr>
                <w:rFonts w:hint="eastAsia" w:ascii="宋体" w:hAnsi="宋体" w:cs="宋体"/>
                <w:bCs/>
                <w:color w:val="auto"/>
                <w:szCs w:val="21"/>
                <w:highlight w:val="none"/>
              </w:rPr>
              <w:t>响应文件份数</w:t>
            </w:r>
          </w:p>
        </w:tc>
        <w:tc>
          <w:tcPr>
            <w:tcW w:w="5550"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napToGrid w:val="0"/>
              <w:spacing w:line="400" w:lineRule="exact"/>
              <w:ind w:firstLine="0" w:firstLineChars="0"/>
              <w:jc w:val="left"/>
              <w:rPr>
                <w:rFonts w:ascii="宋体" w:hAnsi="宋体" w:cs="宋体"/>
                <w:bCs/>
                <w:color w:val="auto"/>
                <w:szCs w:val="21"/>
                <w:highlight w:val="none"/>
              </w:rPr>
            </w:pPr>
            <w:r>
              <w:rPr>
                <w:rFonts w:hint="eastAsia" w:ascii="宋体" w:hAnsi="宋体" w:cs="宋体"/>
                <w:bCs/>
                <w:color w:val="auto"/>
                <w:szCs w:val="21"/>
                <w:highlight w:val="none"/>
              </w:rPr>
              <w:t>加密的电子响应文件壹份（*.XYTF 格式，在会员系统指定位置上传）</w:t>
            </w:r>
          </w:p>
        </w:tc>
      </w:tr>
      <w:tr>
        <w:tblPrEx>
          <w:tblCellMar>
            <w:top w:w="0" w:type="dxa"/>
            <w:left w:w="108" w:type="dxa"/>
            <w:bottom w:w="0" w:type="dxa"/>
            <w:right w:w="108" w:type="dxa"/>
          </w:tblCellMar>
        </w:tblPrEx>
        <w:trPr>
          <w:trHeight w:val="402"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4.2</w:t>
            </w:r>
          </w:p>
        </w:tc>
        <w:tc>
          <w:tcPr>
            <w:tcW w:w="22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val="0"/>
              <w:spacing w:line="36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响应文件的递交</w:t>
            </w:r>
          </w:p>
        </w:tc>
        <w:tc>
          <w:tcPr>
            <w:tcW w:w="55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val="0"/>
              <w:snapToGrid w:val="0"/>
              <w:spacing w:line="36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1、电子响应文件的递交</w:t>
            </w:r>
          </w:p>
          <w:p>
            <w:pPr>
              <w:keepNext w:val="0"/>
              <w:keepLines w:val="0"/>
              <w:pageBreakBefore w:val="0"/>
              <w:widowControl w:val="0"/>
              <w:kinsoku/>
              <w:wordWrap/>
              <w:overflowPunct/>
              <w:topLinePunct w:val="0"/>
              <w:bidi w:val="0"/>
              <w:adjustRightInd w:val="0"/>
              <w:snapToGrid w:val="0"/>
              <w:spacing w:line="36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各供应商应在响应文件提交截止时间前上传加密的电子响应文件（*.XYTF）到会员系统的指定位置。上传时必须得到交易系统“上传成功”的确认回复后方为上传成功。请供应商在上传前务必认真检查上传响应文件是否完整、正确。</w:t>
            </w:r>
          </w:p>
          <w:p>
            <w:pPr>
              <w:keepNext w:val="0"/>
              <w:keepLines w:val="0"/>
              <w:pageBreakBefore w:val="0"/>
              <w:widowControl w:val="0"/>
              <w:kinsoku/>
              <w:wordWrap/>
              <w:overflowPunct/>
              <w:topLinePunct w:val="0"/>
              <w:bidi w:val="0"/>
              <w:adjustRightInd w:val="0"/>
              <w:snapToGrid w:val="0"/>
              <w:spacing w:line="36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 xml:space="preserve">2、本项目采用“不见面开标”交易方式，不见面开标大厅网址为 </w:t>
            </w:r>
            <w:r>
              <w:rPr>
                <w:color w:val="auto"/>
                <w:highlight w:val="none"/>
              </w:rPr>
              <w:fldChar w:fldCharType="begin"/>
            </w:r>
            <w:r>
              <w:rPr>
                <w:color w:val="auto"/>
                <w:highlight w:val="none"/>
              </w:rPr>
              <w:instrText xml:space="preserve"> HYPERLINK "http://117.158.91.68:8095/xxhy，投标人无需寄送和递交非加密的电子投标文件，无需到现场参加开标会议，无需到达现场提交原件资料。" </w:instrText>
            </w:r>
            <w:r>
              <w:rPr>
                <w:color w:val="auto"/>
                <w:highlight w:val="none"/>
              </w:rPr>
              <w:fldChar w:fldCharType="separate"/>
            </w:r>
            <w:r>
              <w:rPr>
                <w:rFonts w:hint="eastAsia" w:ascii="宋体" w:hAnsi="宋体" w:cs="宋体"/>
                <w:color w:val="auto"/>
                <w:szCs w:val="21"/>
                <w:highlight w:val="none"/>
                <w:lang w:eastAsia="zh-CN"/>
              </w:rPr>
              <w:t>https://ggzyjy.xinyang.gov.cn/BidOpening/bidhall/xinyang/login.html</w:t>
            </w:r>
            <w:r>
              <w:rPr>
                <w:rFonts w:hint="eastAsia" w:ascii="宋体" w:hAnsi="宋体" w:cs="宋体"/>
                <w:color w:val="auto"/>
                <w:szCs w:val="21"/>
                <w:highlight w:val="none"/>
              </w:rPr>
              <w:t>，供应商无需寄送和递交非加密的电子响应文件，无需到现场参加开标会议，无需到达现场提交原件资料。</w:t>
            </w:r>
            <w:r>
              <w:rPr>
                <w:rFonts w:hint="eastAsia" w:ascii="宋体" w:hAnsi="宋体" w:cs="宋体"/>
                <w:color w:val="auto"/>
                <w:szCs w:val="21"/>
                <w:highlight w:val="none"/>
              </w:rPr>
              <w:fldChar w:fldCharType="end"/>
            </w:r>
          </w:p>
        </w:tc>
      </w:tr>
      <w:tr>
        <w:tblPrEx>
          <w:tblCellMar>
            <w:top w:w="0" w:type="dxa"/>
            <w:left w:w="108" w:type="dxa"/>
            <w:bottom w:w="0" w:type="dxa"/>
            <w:right w:w="108" w:type="dxa"/>
          </w:tblCellMar>
        </w:tblPrEx>
        <w:trPr>
          <w:trHeight w:val="90"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5.1</w:t>
            </w:r>
          </w:p>
        </w:tc>
        <w:tc>
          <w:tcPr>
            <w:tcW w:w="22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val="0"/>
              <w:spacing w:line="36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提交响应文件</w:t>
            </w:r>
          </w:p>
          <w:p>
            <w:pPr>
              <w:keepNext w:val="0"/>
              <w:keepLines w:val="0"/>
              <w:pageBreakBefore w:val="0"/>
              <w:widowControl w:val="0"/>
              <w:kinsoku/>
              <w:wordWrap/>
              <w:overflowPunct/>
              <w:topLinePunct w:val="0"/>
              <w:bidi w:val="0"/>
              <w:adjustRightInd w:val="0"/>
              <w:spacing w:line="36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截止时间</w:t>
            </w:r>
          </w:p>
        </w:tc>
        <w:tc>
          <w:tcPr>
            <w:tcW w:w="55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val="0"/>
              <w:spacing w:line="360" w:lineRule="exact"/>
              <w:ind w:firstLine="0" w:firstLineChars="0"/>
              <w:jc w:val="left"/>
              <w:textAlignment w:val="baseline"/>
              <w:rPr>
                <w:rFonts w:ascii="宋体" w:hAnsi="宋体" w:cs="宋体"/>
                <w:color w:val="auto"/>
                <w:szCs w:val="21"/>
                <w:highlight w:val="none"/>
              </w:rPr>
            </w:pPr>
            <w:r>
              <w:rPr>
                <w:rFonts w:hint="eastAsia" w:ascii="宋体" w:hAnsi="宋体" w:eastAsia="宋体" w:cs="宋体"/>
                <w:bCs/>
                <w:color w:val="auto"/>
                <w:szCs w:val="21"/>
                <w:highlight w:val="none"/>
                <w:lang w:val="en-US" w:eastAsia="zh-CN"/>
              </w:rPr>
              <w:t>2024</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 xml:space="preserve"> 03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lang w:val="en-US" w:eastAsia="zh-CN"/>
              </w:rPr>
              <w:t xml:space="preserve"> 18 日09</w:t>
            </w:r>
            <w:r>
              <w:rPr>
                <w:rFonts w:hint="eastAsia" w:ascii="宋体" w:hAnsi="宋体" w:eastAsia="宋体" w:cs="宋体"/>
                <w:bCs/>
                <w:color w:val="auto"/>
                <w:szCs w:val="21"/>
                <w:highlight w:val="none"/>
              </w:rPr>
              <w:t>时</w:t>
            </w:r>
            <w:r>
              <w:rPr>
                <w:rFonts w:hint="eastAsia" w:ascii="宋体" w:hAnsi="宋体" w:eastAsia="宋体" w:cs="宋体"/>
                <w:bCs/>
                <w:color w:val="auto"/>
                <w:szCs w:val="21"/>
                <w:highlight w:val="none"/>
                <w:lang w:val="en-US" w:eastAsia="zh-CN"/>
              </w:rPr>
              <w:t>30</w:t>
            </w:r>
            <w:r>
              <w:rPr>
                <w:rFonts w:hint="eastAsia" w:ascii="宋体" w:hAnsi="宋体" w:eastAsia="宋体" w:cs="宋体"/>
                <w:bCs/>
                <w:color w:val="auto"/>
                <w:szCs w:val="21"/>
                <w:highlight w:val="none"/>
              </w:rPr>
              <w:t>分</w:t>
            </w:r>
          </w:p>
        </w:tc>
      </w:tr>
      <w:tr>
        <w:tblPrEx>
          <w:tblCellMar>
            <w:top w:w="0" w:type="dxa"/>
            <w:left w:w="108" w:type="dxa"/>
            <w:bottom w:w="0" w:type="dxa"/>
            <w:right w:w="108" w:type="dxa"/>
          </w:tblCellMar>
        </w:tblPrEx>
        <w:trPr>
          <w:trHeight w:val="607"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5.1.1</w:t>
            </w:r>
          </w:p>
        </w:tc>
        <w:tc>
          <w:tcPr>
            <w:tcW w:w="22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val="0"/>
              <w:spacing w:line="36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磋商时间和地点</w:t>
            </w:r>
          </w:p>
        </w:tc>
        <w:tc>
          <w:tcPr>
            <w:tcW w:w="55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0" w:firstLineChars="0"/>
              <w:jc w:val="left"/>
              <w:rPr>
                <w:rFonts w:ascii="宋体" w:hAnsi="宋体" w:cs="宋体"/>
                <w:color w:val="auto"/>
                <w:kern w:val="0"/>
                <w:szCs w:val="21"/>
                <w:highlight w:val="none"/>
              </w:rPr>
            </w:pPr>
            <w:r>
              <w:rPr>
                <w:rFonts w:hint="eastAsia" w:ascii="宋体" w:hAnsi="宋体" w:cs="宋体"/>
                <w:color w:val="auto"/>
                <w:szCs w:val="21"/>
                <w:highlight w:val="none"/>
              </w:rPr>
              <w:t>磋商</w:t>
            </w:r>
            <w:r>
              <w:rPr>
                <w:rFonts w:hint="eastAsia" w:ascii="宋体" w:hAnsi="宋体" w:cs="宋体"/>
                <w:color w:val="auto"/>
                <w:kern w:val="0"/>
                <w:szCs w:val="21"/>
                <w:highlight w:val="none"/>
              </w:rPr>
              <w:t>时间：同</w:t>
            </w:r>
            <w:r>
              <w:rPr>
                <w:rFonts w:hint="eastAsia" w:ascii="宋体" w:hAnsi="宋体" w:cs="宋体"/>
                <w:color w:val="auto"/>
                <w:szCs w:val="21"/>
                <w:highlight w:val="none"/>
              </w:rPr>
              <w:t>响应文件提交</w:t>
            </w:r>
            <w:r>
              <w:rPr>
                <w:rFonts w:hint="eastAsia" w:ascii="宋体" w:hAnsi="宋体" w:cs="宋体"/>
                <w:color w:val="auto"/>
                <w:kern w:val="0"/>
                <w:szCs w:val="21"/>
                <w:highlight w:val="none"/>
              </w:rPr>
              <w:t>截止时间</w:t>
            </w:r>
          </w:p>
          <w:p>
            <w:pPr>
              <w:keepNext w:val="0"/>
              <w:keepLines w:val="0"/>
              <w:pageBreakBefore w:val="0"/>
              <w:widowControl w:val="0"/>
              <w:kinsoku/>
              <w:wordWrap/>
              <w:overflowPunct/>
              <w:topLinePunct w:val="0"/>
              <w:bidi w:val="0"/>
              <w:spacing w:line="360" w:lineRule="exact"/>
              <w:ind w:firstLine="0" w:firstLineChars="0"/>
              <w:jc w:val="left"/>
              <w:rPr>
                <w:rFonts w:ascii="宋体" w:hAnsi="宋体" w:eastAsia="宋体" w:cs="宋体"/>
                <w:color w:val="auto"/>
                <w:szCs w:val="21"/>
                <w:highlight w:val="none"/>
              </w:rPr>
            </w:pPr>
            <w:r>
              <w:rPr>
                <w:rFonts w:hint="eastAsia" w:ascii="宋体" w:hAnsi="宋体" w:cs="宋体"/>
                <w:color w:val="auto"/>
                <w:szCs w:val="21"/>
                <w:highlight w:val="none"/>
              </w:rPr>
              <w:t>磋商</w:t>
            </w:r>
            <w:r>
              <w:rPr>
                <w:rFonts w:hint="eastAsia" w:ascii="宋体" w:hAnsi="宋体" w:cs="宋体"/>
                <w:color w:val="auto"/>
                <w:kern w:val="0"/>
                <w:szCs w:val="21"/>
                <w:highlight w:val="none"/>
              </w:rPr>
              <w:t>地点：信阳市公共资源交易中心第</w:t>
            </w:r>
            <w:r>
              <w:rPr>
                <w:rFonts w:hint="eastAsia" w:ascii="宋体" w:hAnsi="宋体" w:cs="宋体"/>
                <w:color w:val="auto"/>
                <w:kern w:val="0"/>
                <w:szCs w:val="21"/>
                <w:highlight w:val="none"/>
                <w:lang w:val="en-US" w:eastAsia="zh-CN"/>
              </w:rPr>
              <w:t>四</w:t>
            </w:r>
            <w:bookmarkStart w:id="1344" w:name="_GoBack"/>
            <w:bookmarkEnd w:id="1344"/>
            <w:r>
              <w:rPr>
                <w:rFonts w:hint="eastAsia" w:ascii="宋体" w:hAnsi="宋体" w:cs="宋体"/>
                <w:color w:val="auto"/>
                <w:kern w:val="0"/>
                <w:szCs w:val="21"/>
                <w:highlight w:val="none"/>
              </w:rPr>
              <w:t>开标室</w:t>
            </w:r>
          </w:p>
        </w:tc>
      </w:tr>
      <w:tr>
        <w:tblPrEx>
          <w:tblCellMar>
            <w:top w:w="0" w:type="dxa"/>
            <w:left w:w="108" w:type="dxa"/>
            <w:bottom w:w="0" w:type="dxa"/>
            <w:right w:w="108" w:type="dxa"/>
          </w:tblCellMar>
        </w:tblPrEx>
        <w:trPr>
          <w:trHeight w:val="856"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6.1</w:t>
            </w:r>
          </w:p>
        </w:tc>
        <w:tc>
          <w:tcPr>
            <w:tcW w:w="22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val="0"/>
              <w:spacing w:line="36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磋商小组的组建</w:t>
            </w:r>
          </w:p>
        </w:tc>
        <w:tc>
          <w:tcPr>
            <w:tcW w:w="55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磋商小组构成：</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人，其中业主评委</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人，技术、经济类专家</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人；</w:t>
            </w:r>
          </w:p>
          <w:p>
            <w:pPr>
              <w:keepNext w:val="0"/>
              <w:keepLines w:val="0"/>
              <w:pageBreakBefore w:val="0"/>
              <w:widowControl w:val="0"/>
              <w:kinsoku/>
              <w:wordWrap/>
              <w:overflowPunct/>
              <w:topLinePunct w:val="0"/>
              <w:bidi w:val="0"/>
              <w:adjustRightInd w:val="0"/>
              <w:spacing w:line="360" w:lineRule="exact"/>
              <w:ind w:firstLine="0" w:firstLineChars="0"/>
              <w:jc w:val="left"/>
              <w:textAlignment w:val="baseline"/>
              <w:rPr>
                <w:rFonts w:ascii="宋体" w:hAnsi="宋体" w:cs="宋体"/>
                <w:color w:val="auto"/>
                <w:szCs w:val="21"/>
                <w:highlight w:val="none"/>
              </w:rPr>
            </w:pPr>
            <w:r>
              <w:rPr>
                <w:rFonts w:hint="eastAsia" w:ascii="宋体" w:hAnsi="宋体" w:cs="宋体"/>
                <w:color w:val="auto"/>
                <w:kern w:val="0"/>
                <w:szCs w:val="21"/>
                <w:highlight w:val="none"/>
              </w:rPr>
              <w:t>专家确定方式：磋商前从政府采购专家库中随机抽取。</w:t>
            </w:r>
          </w:p>
        </w:tc>
      </w:tr>
      <w:tr>
        <w:tblPrEx>
          <w:tblCellMar>
            <w:top w:w="0" w:type="dxa"/>
            <w:left w:w="108" w:type="dxa"/>
            <w:bottom w:w="0" w:type="dxa"/>
            <w:right w:w="108" w:type="dxa"/>
          </w:tblCellMar>
        </w:tblPrEx>
        <w:trPr>
          <w:trHeight w:val="507"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7.1</w:t>
            </w:r>
          </w:p>
        </w:tc>
        <w:tc>
          <w:tcPr>
            <w:tcW w:w="22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val="0"/>
              <w:spacing w:line="36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是否授权磋商小组</w:t>
            </w:r>
          </w:p>
          <w:p>
            <w:pPr>
              <w:keepNext w:val="0"/>
              <w:keepLines w:val="0"/>
              <w:pageBreakBefore w:val="0"/>
              <w:widowControl w:val="0"/>
              <w:kinsoku/>
              <w:wordWrap/>
              <w:overflowPunct/>
              <w:topLinePunct w:val="0"/>
              <w:bidi w:val="0"/>
              <w:adjustRightInd w:val="0"/>
              <w:spacing w:line="36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确定成交人</w:t>
            </w:r>
          </w:p>
        </w:tc>
        <w:tc>
          <w:tcPr>
            <w:tcW w:w="55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val="0"/>
              <w:spacing w:line="360" w:lineRule="exact"/>
              <w:ind w:firstLine="0" w:firstLineChars="0"/>
              <w:jc w:val="left"/>
              <w:textAlignment w:val="baseline"/>
              <w:rPr>
                <w:rFonts w:ascii="宋体" w:hAnsi="宋体" w:cs="宋体"/>
                <w:color w:val="auto"/>
                <w:szCs w:val="21"/>
                <w:highlight w:val="none"/>
              </w:rPr>
            </w:pPr>
            <w:r>
              <w:rPr>
                <w:rFonts w:hint="eastAsia" w:ascii="宋体" w:hAnsi="宋体" w:cs="宋体"/>
                <w:color w:val="auto"/>
                <w:szCs w:val="21"/>
                <w:highlight w:val="none"/>
              </w:rPr>
              <w:t>否；推荐的成交候选人数：3名</w:t>
            </w:r>
          </w:p>
        </w:tc>
      </w:tr>
      <w:tr>
        <w:tblPrEx>
          <w:tblCellMar>
            <w:top w:w="0" w:type="dxa"/>
            <w:left w:w="108" w:type="dxa"/>
            <w:bottom w:w="0" w:type="dxa"/>
            <w:right w:w="108" w:type="dxa"/>
          </w:tblCellMar>
        </w:tblPrEx>
        <w:trPr>
          <w:trHeight w:val="412"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autoSpaceDE w:val="0"/>
              <w:autoSpaceDN w:val="0"/>
              <w:bidi w:val="0"/>
              <w:adjustRightInd w:val="0"/>
              <w:spacing w:line="400" w:lineRule="exact"/>
              <w:ind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7.3</w:t>
            </w:r>
          </w:p>
        </w:tc>
        <w:tc>
          <w:tcPr>
            <w:tcW w:w="22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0" w:firstLineChars="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履约保证金</w:t>
            </w:r>
          </w:p>
        </w:tc>
        <w:tc>
          <w:tcPr>
            <w:tcW w:w="55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无</w:t>
            </w:r>
          </w:p>
        </w:tc>
      </w:tr>
      <w:tr>
        <w:tblPrEx>
          <w:tblCellMar>
            <w:top w:w="0" w:type="dxa"/>
            <w:left w:w="108" w:type="dxa"/>
            <w:bottom w:w="0" w:type="dxa"/>
            <w:right w:w="108" w:type="dxa"/>
          </w:tblCellMar>
        </w:tblPrEx>
        <w:trPr>
          <w:trHeight w:val="481" w:hRule="atLeast"/>
        </w:trPr>
        <w:tc>
          <w:tcPr>
            <w:tcW w:w="889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val="0"/>
              <w:spacing w:line="36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tblPrEx>
          <w:tblCellMar>
            <w:top w:w="0" w:type="dxa"/>
            <w:left w:w="108" w:type="dxa"/>
            <w:bottom w:w="0" w:type="dxa"/>
            <w:right w:w="108" w:type="dxa"/>
          </w:tblCellMar>
        </w:tblPrEx>
        <w:trPr>
          <w:trHeight w:val="1673"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adjustRightInd w:val="0"/>
              <w:spacing w:line="400" w:lineRule="exact"/>
              <w:ind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解释权</w:t>
            </w:r>
          </w:p>
        </w:tc>
        <w:tc>
          <w:tcPr>
            <w:tcW w:w="781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adjustRightInd w:val="0"/>
              <w:spacing w:line="360" w:lineRule="exact"/>
              <w:ind w:firstLine="0" w:firstLineChars="0"/>
              <w:jc w:val="left"/>
              <w:textAlignment w:val="baseline"/>
              <w:rPr>
                <w:rFonts w:ascii="宋体" w:hAnsi="宋体" w:cs="宋体"/>
                <w:color w:val="auto"/>
                <w:szCs w:val="21"/>
                <w:highlight w:val="none"/>
              </w:rPr>
            </w:pPr>
            <w:r>
              <w:rPr>
                <w:rFonts w:hint="eastAsia" w:ascii="宋体" w:hAnsi="宋体" w:cs="宋体"/>
                <w:color w:val="auto"/>
                <w:szCs w:val="21"/>
                <w:highlight w:val="none"/>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CellMar>
            <w:top w:w="0" w:type="dxa"/>
            <w:left w:w="108" w:type="dxa"/>
            <w:bottom w:w="0" w:type="dxa"/>
            <w:right w:w="108" w:type="dxa"/>
          </w:tblCellMar>
        </w:tblPrEx>
        <w:trPr>
          <w:trHeight w:val="440"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autoSpaceDE w:val="0"/>
              <w:autoSpaceDN w:val="0"/>
              <w:bidi w:val="0"/>
              <w:adjustRightInd w:val="0"/>
              <w:spacing w:line="400" w:lineRule="exact"/>
              <w:ind w:firstLine="0" w:firstLineChars="0"/>
              <w:jc w:val="center"/>
              <w:rPr>
                <w:rFonts w:ascii="宋体" w:hAnsi="宋体"/>
                <w:color w:val="auto"/>
                <w:szCs w:val="21"/>
                <w:highlight w:val="none"/>
              </w:rPr>
            </w:pPr>
            <w:r>
              <w:rPr>
                <w:rFonts w:hint="eastAsia" w:ascii="宋体" w:hAnsi="宋体" w:eastAsia="宋体" w:cs="宋体"/>
                <w:color w:val="auto"/>
                <w:kern w:val="0"/>
                <w:szCs w:val="21"/>
                <w:highlight w:val="none"/>
              </w:rPr>
              <w:t>标书雷同性分析</w:t>
            </w:r>
          </w:p>
        </w:tc>
        <w:tc>
          <w:tcPr>
            <w:tcW w:w="781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pacing w:line="360" w:lineRule="exact"/>
              <w:ind w:firstLine="0" w:firstLineChars="0"/>
              <w:rPr>
                <w:rFonts w:ascii="宋体" w:hAnsi="宋体"/>
                <w:color w:val="auto"/>
                <w:szCs w:val="21"/>
                <w:highlight w:val="none"/>
              </w:rPr>
            </w:pPr>
            <w:r>
              <w:rPr>
                <w:rFonts w:hint="eastAsia" w:ascii="宋体" w:hAnsi="宋体" w:eastAsia="宋体" w:cs="宋体"/>
                <w:color w:val="auto"/>
                <w:kern w:val="0"/>
                <w:szCs w:val="21"/>
                <w:highlight w:val="none"/>
              </w:rPr>
              <w:t>文件制作机器码、文件创建标识码有相同的按废标处理。</w:t>
            </w:r>
          </w:p>
        </w:tc>
      </w:tr>
      <w:tr>
        <w:tblPrEx>
          <w:tblCellMar>
            <w:top w:w="0" w:type="dxa"/>
            <w:left w:w="108" w:type="dxa"/>
            <w:bottom w:w="0" w:type="dxa"/>
            <w:right w:w="108" w:type="dxa"/>
          </w:tblCellMar>
        </w:tblPrEx>
        <w:trPr>
          <w:trHeight w:val="90"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pageBreakBefore w:val="0"/>
              <w:kinsoku/>
              <w:overflowPunct/>
              <w:bidi w:val="0"/>
              <w:spacing w:line="400" w:lineRule="exact"/>
              <w:ind w:firstLine="0" w:firstLineChars="0"/>
              <w:jc w:val="center"/>
              <w:rPr>
                <w:rFonts w:ascii="宋体" w:hAnsi="宋体" w:eastAsia="宋体"/>
                <w:color w:val="auto"/>
                <w:szCs w:val="21"/>
                <w:highlight w:val="none"/>
              </w:rPr>
            </w:pPr>
            <w:r>
              <w:rPr>
                <w:rFonts w:ascii="宋体" w:hAnsi="宋体" w:eastAsia="宋体"/>
                <w:color w:val="auto"/>
                <w:szCs w:val="21"/>
                <w:highlight w:val="none"/>
              </w:rPr>
              <w:t>采购代理服务费</w:t>
            </w:r>
          </w:p>
        </w:tc>
        <w:tc>
          <w:tcPr>
            <w:tcW w:w="781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spacing w:line="360" w:lineRule="exact"/>
              <w:ind w:firstLine="0" w:firstLineChars="0"/>
              <w:jc w:val="left"/>
              <w:rPr>
                <w:rFonts w:ascii="宋体" w:hAnsi="宋体" w:eastAsia="宋体"/>
                <w:color w:val="auto"/>
                <w:szCs w:val="21"/>
                <w:highlight w:val="none"/>
              </w:rPr>
            </w:pPr>
            <w:r>
              <w:rPr>
                <w:rFonts w:hint="eastAsia" w:ascii="宋体" w:hAnsi="宋体" w:eastAsia="宋体"/>
                <w:color w:val="auto"/>
                <w:szCs w:val="21"/>
                <w:highlight w:val="none"/>
                <w:lang w:eastAsia="zh-CN"/>
              </w:rPr>
              <w:t>招标代理服务费按《河南省招标代理服务收费指导意见》计取，</w:t>
            </w:r>
            <w:r>
              <w:rPr>
                <w:rFonts w:hint="eastAsia" w:ascii="宋体" w:hAnsi="宋体" w:eastAsia="宋体"/>
                <w:color w:val="auto"/>
                <w:szCs w:val="21"/>
                <w:highlight w:val="none"/>
              </w:rPr>
              <w:t>由中标供应商在领取中标通知书前向代理机构支付。</w:t>
            </w:r>
          </w:p>
        </w:tc>
      </w:tr>
      <w:tr>
        <w:tblPrEx>
          <w:tblCellMar>
            <w:top w:w="0" w:type="dxa"/>
            <w:left w:w="108" w:type="dxa"/>
            <w:bottom w:w="0" w:type="dxa"/>
            <w:right w:w="108" w:type="dxa"/>
          </w:tblCellMar>
        </w:tblPrEx>
        <w:trPr>
          <w:trHeight w:val="3386"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宋体" w:hAnsi="宋体" w:eastAsia="宋体"/>
                <w:color w:val="auto"/>
                <w:szCs w:val="21"/>
                <w:highlight w:val="none"/>
              </w:rPr>
            </w:pPr>
            <w:bookmarkStart w:id="22" w:name="_Toc455080108"/>
            <w:bookmarkStart w:id="23" w:name="_Toc152045529"/>
            <w:bookmarkStart w:id="24" w:name="_Toc466298091"/>
            <w:bookmarkStart w:id="25" w:name="_Toc144974497"/>
            <w:bookmarkStart w:id="26" w:name="_Toc10694"/>
            <w:bookmarkStart w:id="27" w:name="_Toc152042305"/>
            <w:r>
              <w:rPr>
                <w:rFonts w:ascii="宋体" w:hAnsi="宋体" w:eastAsia="宋体"/>
                <w:color w:val="auto"/>
                <w:szCs w:val="21"/>
                <w:highlight w:val="none"/>
              </w:rPr>
              <w:t>河南省政府采购合同融资政策告知函</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宋体" w:hAnsi="宋体" w:eastAsia="宋体"/>
                <w:color w:val="auto"/>
                <w:szCs w:val="21"/>
                <w:highlight w:val="none"/>
              </w:rPr>
            </w:pPr>
          </w:p>
        </w:tc>
        <w:tc>
          <w:tcPr>
            <w:tcW w:w="781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各供应商：</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欢迎贵公司参与河南省政府采购活动！</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贷款渠道和提供贷款的金融机构，可在河南省政府采购网“河南省政府采购合同融资平台”查询联系。政策解读网址：http://www.hngp.gov.cn/henan/content?infoId=1601449567470800&amp;channelCode=H6016</w:t>
            </w:r>
          </w:p>
        </w:tc>
      </w:tr>
      <w:tr>
        <w:tblPrEx>
          <w:tblCellMar>
            <w:top w:w="0" w:type="dxa"/>
            <w:left w:w="108" w:type="dxa"/>
            <w:bottom w:w="0" w:type="dxa"/>
            <w:right w:w="108" w:type="dxa"/>
          </w:tblCellMar>
        </w:tblPrEx>
        <w:trPr>
          <w:trHeight w:val="464" w:hRule="atLeast"/>
        </w:trPr>
        <w:tc>
          <w:tcPr>
            <w:tcW w:w="10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宋体" w:hAnsi="宋体" w:eastAsia="宋体"/>
                <w:color w:val="auto"/>
                <w:szCs w:val="21"/>
                <w:highlight w:val="none"/>
              </w:rPr>
            </w:pPr>
            <w:bookmarkStart w:id="28" w:name="_Toc24740"/>
            <w:r>
              <w:rPr>
                <w:rFonts w:hint="eastAsia" w:ascii="宋体" w:hAnsi="宋体" w:eastAsia="宋体"/>
                <w:color w:val="auto"/>
                <w:szCs w:val="21"/>
                <w:highlight w:val="none"/>
              </w:rPr>
              <w:t>其它</w:t>
            </w:r>
          </w:p>
        </w:tc>
        <w:tc>
          <w:tcPr>
            <w:tcW w:w="7812"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本项目所属行业为其他未列明行业</w:t>
            </w:r>
          </w:p>
        </w:tc>
      </w:tr>
    </w:tbl>
    <w:p>
      <w:pPr>
        <w:pStyle w:val="67"/>
        <w:pageBreakBefore w:val="0"/>
        <w:kinsoku/>
        <w:overflowPunct/>
        <w:bidi w:val="0"/>
        <w:spacing w:line="360" w:lineRule="auto"/>
        <w:ind w:firstLine="0" w:firstLineChars="0"/>
        <w:rPr>
          <w:rFonts w:ascii="宋体" w:hAnsi="宋体" w:eastAsia="宋体"/>
          <w:color w:val="auto"/>
          <w:sz w:val="21"/>
          <w:szCs w:val="21"/>
          <w:highlight w:val="none"/>
        </w:rPr>
      </w:pPr>
      <w:r>
        <w:rPr>
          <w:rFonts w:hint="eastAsia" w:ascii="宋体" w:hAnsi="宋体" w:eastAsia="宋体"/>
          <w:b/>
          <w:bCs/>
          <w:color w:val="auto"/>
          <w:sz w:val="24"/>
          <w:szCs w:val="24"/>
          <w:highlight w:val="none"/>
        </w:rPr>
        <w:t>1</w:t>
      </w:r>
      <w:r>
        <w:rPr>
          <w:rFonts w:hint="eastAsia" w:ascii="宋体" w:hAnsi="宋体" w:eastAsia="宋体"/>
          <w:b/>
          <w:bCs/>
          <w:color w:val="auto"/>
          <w:sz w:val="21"/>
          <w:szCs w:val="21"/>
          <w:highlight w:val="none"/>
        </w:rPr>
        <w:t>. 总则</w:t>
      </w:r>
      <w:bookmarkEnd w:id="22"/>
      <w:bookmarkEnd w:id="23"/>
      <w:bookmarkEnd w:id="24"/>
      <w:bookmarkEnd w:id="25"/>
      <w:bookmarkEnd w:id="26"/>
      <w:bookmarkEnd w:id="27"/>
      <w:bookmarkEnd w:id="28"/>
    </w:p>
    <w:p>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29" w:name="_Toc20827"/>
      <w:bookmarkStart w:id="30" w:name="_Toc274409866"/>
      <w:bookmarkStart w:id="31" w:name="_Toc318450675"/>
      <w:bookmarkStart w:id="32" w:name="_Toc31404"/>
      <w:bookmarkStart w:id="33" w:name="_Toc21458"/>
      <w:bookmarkStart w:id="34" w:name="_Toc658"/>
      <w:bookmarkStart w:id="35" w:name="_Toc15709"/>
      <w:bookmarkStart w:id="36" w:name="_Toc466298092"/>
      <w:bookmarkStart w:id="37" w:name="_Toc1172"/>
      <w:bookmarkStart w:id="38" w:name="_Toc27339"/>
      <w:bookmarkStart w:id="39" w:name="_Toc21979"/>
      <w:bookmarkStart w:id="40" w:name="_Toc1209"/>
      <w:bookmarkStart w:id="41" w:name="_Toc15391"/>
      <w:bookmarkStart w:id="42" w:name="_Toc1669"/>
      <w:bookmarkStart w:id="43" w:name="_Toc21266"/>
      <w:bookmarkStart w:id="44" w:name="_Toc9953"/>
      <w:bookmarkStart w:id="45" w:name="_Toc6747"/>
      <w:bookmarkStart w:id="46" w:name="_Toc29023"/>
      <w:bookmarkStart w:id="47" w:name="_Toc455080109"/>
      <w:bookmarkStart w:id="48" w:name="_Toc455867769"/>
      <w:bookmarkStart w:id="49" w:name="_Toc281380952"/>
      <w:bookmarkStart w:id="50" w:name="_Toc10273"/>
      <w:bookmarkStart w:id="51" w:name="_Toc490667828"/>
      <w:bookmarkStart w:id="52" w:name="_Toc152042307"/>
      <w:bookmarkStart w:id="53" w:name="_Toc144974499"/>
      <w:bookmarkStart w:id="54" w:name="_Toc152045531"/>
      <w:r>
        <w:rPr>
          <w:rFonts w:hint="eastAsia" w:ascii="宋体" w:hAnsi="宋体" w:eastAsia="宋体"/>
          <w:b/>
          <w:bCs/>
          <w:color w:val="auto"/>
          <w:sz w:val="21"/>
          <w:szCs w:val="21"/>
          <w:highlight w:val="none"/>
        </w:rPr>
        <w:t>1.1 适用范围</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1.1.1根据《中华人民共和国政府采购法》等有关法律、法规和规章的规定，编制本项目磋商文件。</w:t>
      </w:r>
    </w:p>
    <w:p>
      <w:pPr>
        <w:pStyle w:val="68"/>
        <w:pageBreakBefore w:val="0"/>
        <w:tabs>
          <w:tab w:val="left" w:pos="7410"/>
        </w:tabs>
        <w:kinsoku/>
        <w:overflowPunct/>
        <w:bidi w:val="0"/>
        <w:spacing w:line="360" w:lineRule="auto"/>
        <w:ind w:firstLine="0" w:firstLineChars="0"/>
        <w:outlineLvl w:val="0"/>
        <w:rPr>
          <w:rFonts w:ascii="宋体" w:hAnsi="宋体" w:eastAsia="宋体"/>
          <w:b/>
          <w:bCs/>
          <w:color w:val="auto"/>
          <w:sz w:val="21"/>
          <w:szCs w:val="21"/>
          <w:highlight w:val="none"/>
        </w:rPr>
      </w:pPr>
      <w:bookmarkStart w:id="55" w:name="_Toc455080110"/>
      <w:bookmarkStart w:id="56" w:name="_Toc10556"/>
      <w:bookmarkStart w:id="57" w:name="_Toc455867770"/>
      <w:bookmarkStart w:id="58" w:name="_Toc10269"/>
      <w:bookmarkStart w:id="59" w:name="_Toc281405468"/>
      <w:bookmarkStart w:id="60" w:name="_Toc274409867"/>
      <w:bookmarkStart w:id="61" w:name="_Toc2291"/>
      <w:bookmarkStart w:id="62" w:name="_Toc490667829"/>
      <w:bookmarkStart w:id="63" w:name="_Toc7062"/>
      <w:bookmarkStart w:id="64" w:name="_Toc14944"/>
      <w:bookmarkStart w:id="65" w:name="_Toc318450676"/>
      <w:bookmarkStart w:id="66" w:name="_Toc29506"/>
      <w:bookmarkStart w:id="67" w:name="_Toc7237"/>
      <w:bookmarkStart w:id="68" w:name="_Toc17549"/>
      <w:bookmarkStart w:id="69" w:name="_Toc32619"/>
      <w:bookmarkStart w:id="70" w:name="_Toc2929"/>
      <w:bookmarkStart w:id="71" w:name="_Toc466298093"/>
      <w:bookmarkStart w:id="72" w:name="_Toc25049"/>
      <w:bookmarkStart w:id="73" w:name="_Toc24852"/>
      <w:bookmarkStart w:id="74" w:name="_Toc710"/>
      <w:bookmarkStart w:id="75" w:name="_Toc3336"/>
      <w:bookmarkStart w:id="76" w:name="_Toc25773"/>
      <w:bookmarkStart w:id="77" w:name="_Toc30891"/>
      <w:r>
        <w:rPr>
          <w:rFonts w:hint="eastAsia" w:ascii="宋体" w:hAnsi="宋体" w:eastAsia="宋体"/>
          <w:b/>
          <w:bCs/>
          <w:color w:val="auto"/>
          <w:sz w:val="21"/>
          <w:szCs w:val="21"/>
          <w:highlight w:val="none"/>
        </w:rPr>
        <w:t>1.2 招标项目说明</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1.2.1 本项目</w:t>
      </w:r>
      <w:r>
        <w:rPr>
          <w:rFonts w:hint="eastAsia" w:ascii="宋体" w:hAnsi="宋体"/>
          <w:color w:val="auto"/>
          <w:szCs w:val="21"/>
          <w:highlight w:val="none"/>
        </w:rPr>
        <w:t>采购人</w:t>
      </w:r>
      <w:r>
        <w:rPr>
          <w:rFonts w:hint="eastAsia" w:ascii="宋体" w:hAnsi="宋体" w:cs="宋体"/>
          <w:color w:val="auto"/>
          <w:szCs w:val="21"/>
          <w:highlight w:val="none"/>
        </w:rPr>
        <w:t>：见供应商须知前附表。</w:t>
      </w:r>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1.2.2 本项目采购代理机构：见供应商须知前附表。</w:t>
      </w:r>
    </w:p>
    <w:p>
      <w:pPr>
        <w:pageBreakBefore w:val="0"/>
        <w:kinsoku/>
        <w:overflowPunct/>
        <w:bidi w:val="0"/>
        <w:spacing w:line="360" w:lineRule="auto"/>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1.2.3 本项目名称：见供应商须知前附表。</w:t>
      </w:r>
    </w:p>
    <w:p>
      <w:pPr>
        <w:pageBreakBefore w:val="0"/>
        <w:kinsoku/>
        <w:overflowPunct/>
        <w:bidi w:val="0"/>
        <w:spacing w:line="360" w:lineRule="auto"/>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1.2.4本项目采购方式：见供应商须知前附表。</w:t>
      </w:r>
    </w:p>
    <w:p>
      <w:pPr>
        <w:pageBreakBefore w:val="0"/>
        <w:kinsoku/>
        <w:overflowPunct/>
        <w:bidi w:val="0"/>
        <w:spacing w:line="360" w:lineRule="auto"/>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1.2.5本项目预算价（最高限价）：见供应商须知前附表。</w:t>
      </w:r>
    </w:p>
    <w:p>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78" w:name="_Toc17146"/>
      <w:bookmarkStart w:id="79" w:name="_Toc22979"/>
      <w:bookmarkStart w:id="80" w:name="_Toc16931"/>
      <w:bookmarkStart w:id="81" w:name="_Toc455867771"/>
      <w:bookmarkStart w:id="82" w:name="_Toc12098"/>
      <w:bookmarkStart w:id="83" w:name="_Toc4952"/>
      <w:bookmarkStart w:id="84" w:name="_Toc4563"/>
      <w:bookmarkStart w:id="85" w:name="_Toc9593"/>
      <w:bookmarkStart w:id="86" w:name="_Toc4608"/>
      <w:bookmarkStart w:id="87" w:name="_Toc18583"/>
      <w:bookmarkStart w:id="88" w:name="_Toc281405469"/>
      <w:bookmarkStart w:id="89" w:name="_Toc490667830"/>
      <w:bookmarkStart w:id="90" w:name="_Toc1373"/>
      <w:bookmarkStart w:id="91" w:name="_Toc455080111"/>
      <w:bookmarkStart w:id="92" w:name="_Toc466298094"/>
      <w:bookmarkStart w:id="93" w:name="_Toc17016"/>
      <w:bookmarkStart w:id="94" w:name="_Toc18960"/>
      <w:bookmarkStart w:id="95" w:name="_Toc3477"/>
      <w:bookmarkStart w:id="96" w:name="_Toc318450677"/>
      <w:bookmarkStart w:id="97" w:name="_Toc4122"/>
      <w:bookmarkStart w:id="98" w:name="_Toc16825"/>
      <w:bookmarkStart w:id="99" w:name="_Toc12395"/>
      <w:bookmarkStart w:id="100" w:name="_Toc274409868"/>
      <w:r>
        <w:rPr>
          <w:rFonts w:hint="eastAsia" w:ascii="宋体" w:hAnsi="宋体" w:eastAsia="宋体"/>
          <w:b/>
          <w:bCs/>
          <w:color w:val="auto"/>
          <w:sz w:val="21"/>
          <w:szCs w:val="21"/>
          <w:highlight w:val="none"/>
        </w:rPr>
        <w:t>1.3 定义及解释</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1.3.1</w:t>
      </w:r>
      <w:r>
        <w:rPr>
          <w:rFonts w:hint="eastAsia" w:ascii="宋体" w:hAnsi="宋体"/>
          <w:color w:val="auto"/>
          <w:szCs w:val="21"/>
          <w:highlight w:val="none"/>
        </w:rPr>
        <w:t>采购人</w:t>
      </w:r>
      <w:r>
        <w:rPr>
          <w:rFonts w:hint="eastAsia" w:ascii="宋体" w:hAnsi="宋体" w:cs="宋体"/>
          <w:color w:val="auto"/>
          <w:szCs w:val="21"/>
          <w:highlight w:val="none"/>
        </w:rPr>
        <w:t>：依法进行政府采购的国家机关、事业单位、团体组织。</w:t>
      </w:r>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1.3.2</w:t>
      </w:r>
      <w:r>
        <w:rPr>
          <w:rFonts w:hint="eastAsia" w:ascii="宋体" w:hAnsi="宋体"/>
          <w:color w:val="auto"/>
          <w:szCs w:val="21"/>
          <w:highlight w:val="none"/>
        </w:rPr>
        <w:t>采购代理机构</w:t>
      </w:r>
      <w:r>
        <w:rPr>
          <w:rFonts w:hint="eastAsia" w:ascii="宋体" w:hAnsi="宋体" w:cs="宋体"/>
          <w:color w:val="auto"/>
          <w:szCs w:val="21"/>
          <w:highlight w:val="none"/>
        </w:rPr>
        <w:t>：取得政府采购招标代理资质，受采购人委托组织招标活动的社会中介组织。</w:t>
      </w:r>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1.3.3服务：系指根据本磋商文件规定供应商须承担的服务以及其他类似的义务等。</w:t>
      </w:r>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1.3.4供应商：供应商是响应磋商文件、参加磋商竞争的中华人民共和国境内的法人、其它组织。</w:t>
      </w:r>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1.3.5响应文件：指供应商根据竞争性磋商文件提交的所有文件。</w:t>
      </w:r>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1.3.6磋商小组：依据</w:t>
      </w:r>
      <w:r>
        <w:rPr>
          <w:rFonts w:hint="eastAsia" w:ascii="宋体" w:hAnsi="宋体" w:cs="宋体"/>
          <w:color w:val="auto"/>
          <w:szCs w:val="21"/>
          <w:highlight w:val="none"/>
          <w:lang w:bidi="en-US"/>
        </w:rPr>
        <w:t>《中华人民共和国政府采购法》及有关法律、法规的规定依法组建的专门负责本次评标工作的临时机构</w:t>
      </w:r>
      <w:r>
        <w:rPr>
          <w:rFonts w:hint="eastAsia" w:ascii="宋体" w:hAnsi="宋体" w:cs="宋体"/>
          <w:color w:val="auto"/>
          <w:szCs w:val="21"/>
          <w:highlight w:val="none"/>
        </w:rPr>
        <w:t>。</w:t>
      </w:r>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1.3.7偏离：响应文件的响应相对于竞争性磋商文件要求的偏差，该偏差优于竞争性磋商文件要求的为正偏离；劣于的，为负偏离。</w:t>
      </w:r>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1.3.8“日期”或“天”：指日历天。</w:t>
      </w:r>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1.3.9合同：指依据本次服务采购招标结果签订的协议或合约文件。</w:t>
      </w:r>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1.3.10竞争性磋商文件中的标题或题名仅起引导作用，而不应视为对竞争性磋商文件内容的理解和解释。</w:t>
      </w:r>
    </w:p>
    <w:bookmarkEnd w:id="52"/>
    <w:bookmarkEnd w:id="53"/>
    <w:bookmarkEnd w:id="54"/>
    <w:p>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101" w:name="_Toc12752"/>
      <w:bookmarkStart w:id="102" w:name="_Toc28499"/>
      <w:bookmarkStart w:id="103" w:name="_Toc144974500"/>
      <w:bookmarkStart w:id="104" w:name="_Toc19363"/>
      <w:bookmarkStart w:id="105" w:name="_Toc25616"/>
      <w:bookmarkStart w:id="106" w:name="_Toc14043"/>
      <w:bookmarkStart w:id="107" w:name="_Toc490667831"/>
      <w:bookmarkStart w:id="108" w:name="_Toc21766"/>
      <w:bookmarkStart w:id="109" w:name="_Toc17808"/>
      <w:bookmarkStart w:id="110" w:name="_Toc18788"/>
      <w:bookmarkStart w:id="111" w:name="_Toc24289"/>
      <w:bookmarkStart w:id="112" w:name="_Toc455867772"/>
      <w:bookmarkStart w:id="113" w:name="_Toc32236"/>
      <w:bookmarkStart w:id="114" w:name="_Toc152045532"/>
      <w:bookmarkStart w:id="115" w:name="_Toc17908"/>
      <w:bookmarkStart w:id="116" w:name="_Toc10894"/>
      <w:bookmarkStart w:id="117" w:name="_Toc16470"/>
      <w:bookmarkStart w:id="118" w:name="_Toc152042308"/>
      <w:bookmarkStart w:id="119" w:name="_Toc23228"/>
      <w:bookmarkStart w:id="120" w:name="_Toc318450678"/>
      <w:bookmarkStart w:id="121" w:name="_Toc27407"/>
      <w:bookmarkStart w:id="122" w:name="_Toc455080112"/>
      <w:bookmarkStart w:id="123" w:name="_Toc30975"/>
      <w:bookmarkStart w:id="124" w:name="_Toc466298095"/>
      <w:r>
        <w:rPr>
          <w:rFonts w:hint="eastAsia" w:ascii="宋体" w:hAnsi="宋体" w:eastAsia="宋体"/>
          <w:b/>
          <w:bCs/>
          <w:color w:val="auto"/>
          <w:sz w:val="21"/>
          <w:szCs w:val="21"/>
          <w:highlight w:val="none"/>
        </w:rPr>
        <w:t>1.4 磋商内容、交货期、质保期和质量要求</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1.4.1 本次磋商内容：见供应商须知前附表。</w:t>
      </w:r>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1.4.2 本项目的交货期：见供应商须知前附表。</w:t>
      </w:r>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1.4.3本项目的质保期：见供应商须知前附表。</w:t>
      </w:r>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1.4.4本项目的质量要求：见供应商须知前附表。</w:t>
      </w:r>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eastAsia="宋体" w:cs="宋体"/>
          <w:color w:val="auto"/>
          <w:szCs w:val="21"/>
          <w:highlight w:val="none"/>
        </w:rPr>
        <w:t>1.4.5付款方式：见供应商须知前附表。</w:t>
      </w:r>
    </w:p>
    <w:p>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125" w:name="_Toc152042310"/>
      <w:bookmarkStart w:id="126" w:name="_Toc318450679"/>
      <w:bookmarkStart w:id="127" w:name="_Toc152045534"/>
      <w:bookmarkStart w:id="128" w:name="_Toc144974502"/>
      <w:bookmarkStart w:id="129" w:name="_Toc18004"/>
      <w:bookmarkStart w:id="130" w:name="_Toc11063"/>
      <w:bookmarkStart w:id="131" w:name="_Toc455080113"/>
      <w:bookmarkStart w:id="132" w:name="_Toc466298096"/>
      <w:bookmarkStart w:id="133" w:name="_Toc4850"/>
      <w:bookmarkStart w:id="134" w:name="_Toc7209"/>
      <w:bookmarkStart w:id="135" w:name="_Toc455867773"/>
      <w:bookmarkStart w:id="136" w:name="_Toc4301"/>
      <w:bookmarkStart w:id="137" w:name="_Toc31969"/>
      <w:bookmarkStart w:id="138" w:name="_Toc5019"/>
      <w:bookmarkStart w:id="139" w:name="_Toc19901"/>
      <w:bookmarkStart w:id="140" w:name="_Toc13438"/>
      <w:bookmarkStart w:id="141" w:name="_Toc490667832"/>
      <w:bookmarkStart w:id="142" w:name="_Toc1602"/>
      <w:bookmarkStart w:id="143" w:name="_Toc9716"/>
      <w:bookmarkStart w:id="144" w:name="_Toc22643"/>
      <w:bookmarkStart w:id="145" w:name="_Toc32156"/>
      <w:bookmarkStart w:id="146" w:name="_Toc25754"/>
      <w:bookmarkStart w:id="147" w:name="_Toc18689"/>
      <w:bookmarkStart w:id="148" w:name="_Toc4711"/>
      <w:r>
        <w:rPr>
          <w:rFonts w:hint="eastAsia" w:ascii="宋体" w:hAnsi="宋体" w:eastAsia="宋体"/>
          <w:b/>
          <w:bCs/>
          <w:color w:val="auto"/>
          <w:sz w:val="21"/>
          <w:szCs w:val="21"/>
          <w:highlight w:val="none"/>
        </w:rPr>
        <w:t xml:space="preserve">1.5 </w:t>
      </w:r>
      <w:bookmarkEnd w:id="125"/>
      <w:bookmarkEnd w:id="126"/>
      <w:bookmarkEnd w:id="127"/>
      <w:bookmarkEnd w:id="128"/>
      <w:r>
        <w:rPr>
          <w:rFonts w:hint="eastAsia" w:ascii="宋体" w:hAnsi="宋体" w:eastAsia="宋体"/>
          <w:b/>
          <w:bCs/>
          <w:color w:val="auto"/>
          <w:sz w:val="21"/>
          <w:szCs w:val="21"/>
          <w:highlight w:val="none"/>
        </w:rPr>
        <w:t>供应商资质条件和能力</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pPr>
        <w:pageBreakBefore w:val="0"/>
        <w:kinsoku/>
        <w:overflowPunct/>
        <w:bidi w:val="0"/>
        <w:spacing w:line="360" w:lineRule="auto"/>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1.5.1供应商资质及能力要求：见供应商须知前附表。</w:t>
      </w:r>
    </w:p>
    <w:p>
      <w:pPr>
        <w:pageBreakBefore w:val="0"/>
        <w:kinsoku/>
        <w:overflowPunct/>
        <w:bidi w:val="0"/>
        <w:spacing w:line="360" w:lineRule="auto"/>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1.5.2是否接受联合体：见供应商须知前附表。</w:t>
      </w:r>
    </w:p>
    <w:p>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149" w:name="_Toc32446"/>
      <w:bookmarkStart w:id="150" w:name="_Toc11905"/>
      <w:bookmarkStart w:id="151" w:name="_Toc490667833"/>
      <w:bookmarkStart w:id="152" w:name="_Toc981"/>
      <w:bookmarkStart w:id="153" w:name="_Toc5162"/>
      <w:bookmarkStart w:id="154" w:name="_Toc144974503"/>
      <w:bookmarkStart w:id="155" w:name="_Toc12403"/>
      <w:bookmarkStart w:id="156" w:name="_Toc17411"/>
      <w:bookmarkStart w:id="157" w:name="_Toc16889"/>
      <w:bookmarkStart w:id="158" w:name="_Toc529"/>
      <w:bookmarkStart w:id="159" w:name="_Toc466298097"/>
      <w:bookmarkStart w:id="160" w:name="_Toc455867774"/>
      <w:bookmarkStart w:id="161" w:name="_Toc318450680"/>
      <w:bookmarkStart w:id="162" w:name="_Toc14511"/>
      <w:bookmarkStart w:id="163" w:name="_Toc651"/>
      <w:bookmarkStart w:id="164" w:name="_Toc31854"/>
      <w:bookmarkStart w:id="165" w:name="_Toc455080114"/>
      <w:bookmarkStart w:id="166" w:name="_Toc25712"/>
      <w:bookmarkStart w:id="167" w:name="_Toc152042311"/>
      <w:bookmarkStart w:id="168" w:name="_Toc9505"/>
      <w:bookmarkStart w:id="169" w:name="_Toc16828"/>
      <w:bookmarkStart w:id="170" w:name="_Toc152045535"/>
      <w:bookmarkStart w:id="171" w:name="_Toc6233"/>
      <w:bookmarkStart w:id="172" w:name="_Toc28135"/>
      <w:r>
        <w:rPr>
          <w:rFonts w:hint="eastAsia" w:ascii="宋体" w:hAnsi="宋体" w:eastAsia="宋体"/>
          <w:b/>
          <w:bCs/>
          <w:color w:val="auto"/>
          <w:sz w:val="21"/>
          <w:szCs w:val="21"/>
          <w:highlight w:val="none"/>
        </w:rPr>
        <w:t>1.6 费用承担</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供应商准备和参加磋商活动发生的费用自理，不论磋商的结果如何，采购人和采购代理机构在任何情况下均无义务和责任承担这些费用。</w:t>
      </w:r>
    </w:p>
    <w:p>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173" w:name="_Toc11954"/>
      <w:bookmarkStart w:id="174" w:name="_Toc5402"/>
      <w:bookmarkStart w:id="175" w:name="_Toc455867775"/>
      <w:bookmarkStart w:id="176" w:name="_Toc152042312"/>
      <w:bookmarkStart w:id="177" w:name="_Toc16419"/>
      <w:bookmarkStart w:id="178" w:name="_Toc8055"/>
      <w:bookmarkStart w:id="179" w:name="_Toc20145"/>
      <w:bookmarkStart w:id="180" w:name="_Toc152045536"/>
      <w:bookmarkStart w:id="181" w:name="_Toc24530"/>
      <w:bookmarkStart w:id="182" w:name="_Toc8390"/>
      <w:bookmarkStart w:id="183" w:name="_Toc490667834"/>
      <w:bookmarkStart w:id="184" w:name="_Toc10331"/>
      <w:bookmarkStart w:id="185" w:name="_Toc24601"/>
      <w:bookmarkStart w:id="186" w:name="_Toc144974504"/>
      <w:bookmarkStart w:id="187" w:name="_Toc466298098"/>
      <w:bookmarkStart w:id="188" w:name="_Toc1879"/>
      <w:bookmarkStart w:id="189" w:name="_Toc22136"/>
      <w:bookmarkStart w:id="190" w:name="_Toc22800"/>
      <w:bookmarkStart w:id="191" w:name="_Toc318450681"/>
      <w:bookmarkStart w:id="192" w:name="_Toc455080115"/>
      <w:bookmarkStart w:id="193" w:name="_Toc2622"/>
      <w:bookmarkStart w:id="194" w:name="_Toc6014"/>
      <w:bookmarkStart w:id="195" w:name="_Toc32053"/>
      <w:bookmarkStart w:id="196" w:name="_Toc609"/>
      <w:r>
        <w:rPr>
          <w:rFonts w:hint="eastAsia" w:ascii="宋体" w:hAnsi="宋体" w:eastAsia="宋体"/>
          <w:b/>
          <w:bCs/>
          <w:color w:val="auto"/>
          <w:sz w:val="21"/>
          <w:szCs w:val="21"/>
          <w:highlight w:val="none"/>
        </w:rPr>
        <w:t>1.7 保密</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 xml:space="preserve">参与磋商活动的各方应对竞争性磋商文件和响应文件中的商业和技术等秘密保密，违者应对由此造成的后果承担法律责任。 </w:t>
      </w:r>
    </w:p>
    <w:p>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197" w:name="_Toc144974505"/>
      <w:bookmarkStart w:id="198" w:name="_Toc23509"/>
      <w:bookmarkStart w:id="199" w:name="_Toc21089"/>
      <w:bookmarkStart w:id="200" w:name="_Toc6615"/>
      <w:bookmarkStart w:id="201" w:name="_Toc3628"/>
      <w:bookmarkStart w:id="202" w:name="_Toc23942"/>
      <w:bookmarkStart w:id="203" w:name="_Toc30747"/>
      <w:bookmarkStart w:id="204" w:name="_Toc14775"/>
      <w:bookmarkStart w:id="205" w:name="_Toc318450682"/>
      <w:bookmarkStart w:id="206" w:name="_Toc29323"/>
      <w:bookmarkStart w:id="207" w:name="_Toc7031"/>
      <w:bookmarkStart w:id="208" w:name="_Toc490667835"/>
      <w:bookmarkStart w:id="209" w:name="_Toc466298099"/>
      <w:bookmarkStart w:id="210" w:name="_Toc152045537"/>
      <w:bookmarkStart w:id="211" w:name="_Toc455867776"/>
      <w:bookmarkStart w:id="212" w:name="_Toc2658"/>
      <w:bookmarkStart w:id="213" w:name="_Toc6550"/>
      <w:bookmarkStart w:id="214" w:name="_Toc30583"/>
      <w:bookmarkStart w:id="215" w:name="_Toc15673"/>
      <w:bookmarkStart w:id="216" w:name="_Toc13976"/>
      <w:bookmarkStart w:id="217" w:name="_Toc152042313"/>
      <w:bookmarkStart w:id="218" w:name="_Toc455080116"/>
      <w:bookmarkStart w:id="219" w:name="_Toc28512"/>
      <w:bookmarkStart w:id="220" w:name="_Toc25517"/>
      <w:r>
        <w:rPr>
          <w:rFonts w:hint="eastAsia" w:ascii="宋体" w:hAnsi="宋体" w:eastAsia="宋体"/>
          <w:b/>
          <w:bCs/>
          <w:color w:val="auto"/>
          <w:sz w:val="21"/>
          <w:szCs w:val="21"/>
          <w:highlight w:val="none"/>
        </w:rPr>
        <w:t>1.8 语言</w:t>
      </w:r>
      <w:bookmarkEnd w:id="197"/>
      <w:r>
        <w:rPr>
          <w:rFonts w:hint="eastAsia" w:ascii="宋体" w:hAnsi="宋体" w:eastAsia="宋体"/>
          <w:b/>
          <w:bCs/>
          <w:color w:val="auto"/>
          <w:sz w:val="21"/>
          <w:szCs w:val="21"/>
          <w:highlight w:val="none"/>
        </w:rPr>
        <w:t>文字</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除专用术语外，与磋商有关的语言均使用中文。必要时专用术语应附有中文注释，</w:t>
      </w:r>
      <w:r>
        <w:rPr>
          <w:rFonts w:hint="eastAsia" w:ascii="宋体" w:hAnsi="宋体" w:cs="宋体"/>
          <w:color w:val="auto"/>
          <w:szCs w:val="21"/>
          <w:highlight w:val="none"/>
          <w:lang w:bidi="en-US"/>
        </w:rPr>
        <w:t>对不同文字文本响应文件的解释发生异议的，以中文文本为准。</w:t>
      </w:r>
    </w:p>
    <w:p>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221" w:name="_Toc455867777"/>
      <w:bookmarkStart w:id="222" w:name="_Toc4237"/>
      <w:bookmarkStart w:id="223" w:name="_Toc4501"/>
      <w:bookmarkStart w:id="224" w:name="_Toc455080117"/>
      <w:bookmarkStart w:id="225" w:name="_Toc14555"/>
      <w:bookmarkStart w:id="226" w:name="_Toc22378"/>
      <w:bookmarkStart w:id="227" w:name="_Toc9446"/>
      <w:bookmarkStart w:id="228" w:name="_Toc318450683"/>
      <w:bookmarkStart w:id="229" w:name="_Toc2313"/>
      <w:bookmarkStart w:id="230" w:name="_Toc18357"/>
      <w:bookmarkStart w:id="231" w:name="_Toc18425"/>
      <w:bookmarkStart w:id="232" w:name="_Toc152042314"/>
      <w:bookmarkStart w:id="233" w:name="_Toc466298100"/>
      <w:bookmarkStart w:id="234" w:name="_Toc24337"/>
      <w:bookmarkStart w:id="235" w:name="_Toc29060"/>
      <w:bookmarkStart w:id="236" w:name="_Toc152045538"/>
      <w:bookmarkStart w:id="237" w:name="_Toc14934"/>
      <w:bookmarkStart w:id="238" w:name="_Toc22415"/>
      <w:bookmarkStart w:id="239" w:name="_Toc29626"/>
      <w:bookmarkStart w:id="240" w:name="_Toc2702"/>
      <w:bookmarkStart w:id="241" w:name="_Toc17559"/>
      <w:bookmarkStart w:id="242" w:name="_Toc32507"/>
      <w:bookmarkStart w:id="243" w:name="_Toc490667836"/>
      <w:bookmarkStart w:id="244" w:name="_Toc144974506"/>
      <w:r>
        <w:rPr>
          <w:rFonts w:hint="eastAsia" w:ascii="宋体" w:hAnsi="宋体" w:eastAsia="宋体"/>
          <w:b/>
          <w:bCs/>
          <w:color w:val="auto"/>
          <w:sz w:val="21"/>
          <w:szCs w:val="21"/>
          <w:highlight w:val="none"/>
        </w:rPr>
        <w:t>1.9 计量单位</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pPr>
        <w:pStyle w:val="68"/>
        <w:pageBreakBefore w:val="0"/>
        <w:kinsoku/>
        <w:overflowPunct/>
        <w:bidi w:val="0"/>
        <w:spacing w:line="360" w:lineRule="auto"/>
        <w:ind w:firstLine="0" w:firstLineChars="0"/>
        <w:outlineLvl w:val="0"/>
        <w:rPr>
          <w:rFonts w:ascii="宋体" w:hAnsi="宋体" w:eastAsia="宋体"/>
          <w:color w:val="auto"/>
          <w:sz w:val="21"/>
          <w:szCs w:val="21"/>
          <w:highlight w:val="none"/>
        </w:rPr>
      </w:pPr>
      <w:bookmarkStart w:id="245" w:name="_Toc318450684"/>
      <w:bookmarkStart w:id="246" w:name="_Toc455867778"/>
      <w:bookmarkStart w:id="247" w:name="_Toc31195"/>
      <w:bookmarkStart w:id="248" w:name="_Toc29845"/>
      <w:bookmarkStart w:id="249" w:name="_Toc152042316"/>
      <w:bookmarkStart w:id="250" w:name="_Toc18589"/>
      <w:bookmarkStart w:id="251" w:name="_Toc284"/>
      <w:bookmarkStart w:id="252" w:name="_Toc144974508"/>
      <w:bookmarkStart w:id="253" w:name="_Toc152045540"/>
      <w:bookmarkStart w:id="254" w:name="_Toc490667837"/>
      <w:bookmarkStart w:id="255" w:name="_Toc19685"/>
      <w:bookmarkStart w:id="256" w:name="_Toc2508"/>
      <w:bookmarkStart w:id="257" w:name="_Toc338"/>
      <w:bookmarkStart w:id="258" w:name="_Toc455080118"/>
      <w:bookmarkStart w:id="259" w:name="_Toc466298101"/>
      <w:bookmarkStart w:id="260" w:name="_Toc13675"/>
      <w:bookmarkStart w:id="261" w:name="_Toc27570"/>
      <w:bookmarkStart w:id="262" w:name="_Toc12027"/>
      <w:bookmarkStart w:id="263" w:name="_Toc21098"/>
      <w:bookmarkStart w:id="264" w:name="_Toc21643"/>
      <w:bookmarkStart w:id="265" w:name="_Toc30886"/>
      <w:bookmarkStart w:id="266" w:name="_Toc8379"/>
      <w:bookmarkStart w:id="267" w:name="_Toc15047"/>
      <w:bookmarkStart w:id="268" w:name="_Toc27512"/>
      <w:r>
        <w:rPr>
          <w:rFonts w:hint="eastAsia" w:ascii="宋体" w:hAnsi="宋体" w:eastAsia="宋体"/>
          <w:b/>
          <w:bCs/>
          <w:color w:val="auto"/>
          <w:sz w:val="21"/>
          <w:szCs w:val="21"/>
          <w:highlight w:val="none"/>
        </w:rPr>
        <w:t xml:space="preserve">1.10 </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Pr>
          <w:rFonts w:hint="eastAsia" w:ascii="宋体" w:hAnsi="宋体" w:eastAsia="宋体"/>
          <w:b/>
          <w:bCs/>
          <w:color w:val="auto"/>
          <w:sz w:val="21"/>
          <w:szCs w:val="21"/>
          <w:highlight w:val="none"/>
        </w:rPr>
        <w:t>现场踏勘：</w:t>
      </w:r>
      <w:r>
        <w:rPr>
          <w:rFonts w:hint="eastAsia" w:ascii="宋体" w:hAnsi="宋体" w:eastAsia="宋体"/>
          <w:color w:val="auto"/>
          <w:sz w:val="21"/>
          <w:szCs w:val="21"/>
          <w:highlight w:val="none"/>
        </w:rPr>
        <w:t>自行踏勘，与之相关的费用，供应商自行承担。</w:t>
      </w:r>
      <w:bookmarkEnd w:id="263"/>
      <w:bookmarkEnd w:id="264"/>
      <w:bookmarkEnd w:id="265"/>
      <w:bookmarkEnd w:id="266"/>
      <w:bookmarkEnd w:id="267"/>
      <w:bookmarkEnd w:id="268"/>
    </w:p>
    <w:p>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269" w:name="_Toc11744"/>
      <w:bookmarkStart w:id="270" w:name="_Toc25167"/>
      <w:bookmarkStart w:id="271" w:name="_Toc9182"/>
      <w:bookmarkStart w:id="272" w:name="_Toc23635"/>
      <w:bookmarkStart w:id="273" w:name="_Toc23678"/>
      <w:bookmarkStart w:id="274" w:name="_Toc5365"/>
      <w:bookmarkStart w:id="275" w:name="_Toc490667838"/>
      <w:bookmarkStart w:id="276" w:name="_Toc152042317"/>
      <w:bookmarkStart w:id="277" w:name="_Toc25208"/>
      <w:bookmarkStart w:id="278" w:name="_Toc7035"/>
      <w:bookmarkStart w:id="279" w:name="_Toc12562"/>
      <w:bookmarkStart w:id="280" w:name="_Toc144974509"/>
      <w:bookmarkStart w:id="281" w:name="_Toc29433"/>
      <w:bookmarkStart w:id="282" w:name="_Toc21571"/>
      <w:bookmarkStart w:id="283" w:name="_Toc3853"/>
      <w:bookmarkStart w:id="284" w:name="_Toc32757"/>
      <w:bookmarkStart w:id="285" w:name="_Toc24262"/>
      <w:bookmarkStart w:id="286" w:name="_Toc455867779"/>
      <w:bookmarkStart w:id="287" w:name="_Toc455080119"/>
      <w:bookmarkStart w:id="288" w:name="_Toc466298102"/>
      <w:bookmarkStart w:id="289" w:name="_Toc31725"/>
      <w:bookmarkStart w:id="290" w:name="_Toc318450685"/>
      <w:bookmarkStart w:id="291" w:name="_Toc152045541"/>
      <w:bookmarkStart w:id="292" w:name="_Toc4384"/>
      <w:r>
        <w:rPr>
          <w:rFonts w:hint="eastAsia" w:ascii="宋体" w:hAnsi="宋体" w:eastAsia="宋体"/>
          <w:b/>
          <w:bCs/>
          <w:color w:val="auto"/>
          <w:sz w:val="21"/>
          <w:szCs w:val="21"/>
          <w:highlight w:val="none"/>
        </w:rPr>
        <w:t>1.11分包</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是否允许分包：见供应商须知前附表。</w:t>
      </w:r>
      <w:bookmarkStart w:id="293" w:name="_Toc152045542"/>
      <w:bookmarkStart w:id="294" w:name="_Toc152042318"/>
      <w:bookmarkStart w:id="295" w:name="_Toc144974510"/>
      <w:bookmarkStart w:id="296" w:name="_Toc455080120"/>
    </w:p>
    <w:bookmarkEnd w:id="293"/>
    <w:bookmarkEnd w:id="294"/>
    <w:bookmarkEnd w:id="295"/>
    <w:p>
      <w:pPr>
        <w:pageBreakBefore w:val="0"/>
        <w:kinsoku/>
        <w:overflowPunct/>
        <w:bidi w:val="0"/>
        <w:spacing w:line="360" w:lineRule="auto"/>
        <w:ind w:firstLine="0" w:firstLineChars="0"/>
        <w:outlineLvl w:val="1"/>
        <w:rPr>
          <w:rFonts w:ascii="宋体" w:hAnsi="宋体" w:eastAsia="宋体"/>
          <w:b/>
          <w:bCs/>
          <w:color w:val="auto"/>
          <w:szCs w:val="21"/>
          <w:highlight w:val="none"/>
        </w:rPr>
      </w:pPr>
      <w:bookmarkStart w:id="297" w:name="_Toc12453"/>
      <w:bookmarkStart w:id="298" w:name="_Toc15552"/>
      <w:r>
        <w:rPr>
          <w:rFonts w:hint="eastAsia" w:ascii="宋体" w:hAnsi="宋体"/>
          <w:b/>
          <w:bCs/>
          <w:color w:val="auto"/>
          <w:szCs w:val="21"/>
          <w:highlight w:val="none"/>
        </w:rPr>
        <w:t>2.</w:t>
      </w:r>
      <w:bookmarkEnd w:id="296"/>
      <w:bookmarkEnd w:id="297"/>
      <w:r>
        <w:rPr>
          <w:rFonts w:hint="eastAsia" w:ascii="宋体" w:hAnsi="宋体"/>
          <w:b/>
          <w:bCs/>
          <w:color w:val="auto"/>
          <w:szCs w:val="21"/>
          <w:highlight w:val="none"/>
        </w:rPr>
        <w:t>竞争性磋商文件</w:t>
      </w:r>
      <w:bookmarkEnd w:id="298"/>
    </w:p>
    <w:p>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299" w:name="_Toc152042319"/>
      <w:bookmarkStart w:id="300" w:name="_Toc3982"/>
      <w:bookmarkStart w:id="301" w:name="_Toc32711"/>
      <w:bookmarkStart w:id="302" w:name="_Toc9780"/>
      <w:bookmarkStart w:id="303" w:name="_Toc12004"/>
      <w:bookmarkStart w:id="304" w:name="_Toc11567"/>
      <w:bookmarkStart w:id="305" w:name="_Toc11599"/>
      <w:bookmarkStart w:id="306" w:name="_Toc7999"/>
      <w:bookmarkStart w:id="307" w:name="_Toc30664"/>
      <w:bookmarkStart w:id="308" w:name="_Toc12640"/>
      <w:bookmarkStart w:id="309" w:name="_Toc455080121"/>
      <w:bookmarkStart w:id="310" w:name="_Toc30071"/>
      <w:bookmarkStart w:id="311" w:name="_Toc490667840"/>
      <w:bookmarkStart w:id="312" w:name="_Toc466298104"/>
      <w:bookmarkStart w:id="313" w:name="_Toc152045543"/>
      <w:bookmarkStart w:id="314" w:name="_Toc318450687"/>
      <w:bookmarkStart w:id="315" w:name="_Toc6065"/>
      <w:bookmarkStart w:id="316" w:name="_Toc23649"/>
      <w:bookmarkStart w:id="317" w:name="_Toc144974511"/>
      <w:bookmarkStart w:id="318" w:name="_Toc455867781"/>
      <w:bookmarkStart w:id="319" w:name="_Toc32497"/>
      <w:bookmarkStart w:id="320" w:name="_Toc30730"/>
      <w:bookmarkStart w:id="321" w:name="_Toc1008"/>
      <w:r>
        <w:rPr>
          <w:rFonts w:hint="eastAsia" w:ascii="宋体" w:hAnsi="宋体" w:eastAsia="宋体"/>
          <w:b/>
          <w:bCs/>
          <w:color w:val="auto"/>
          <w:sz w:val="21"/>
          <w:szCs w:val="21"/>
          <w:highlight w:val="none"/>
        </w:rPr>
        <w:t>2.1竞争性磋商文件的组成</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　　本竞争性磋商文件包括：</w:t>
      </w:r>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（1）竞争性磋商公告；</w:t>
      </w:r>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（2）供应商须知；</w:t>
      </w:r>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（3）评审办法；</w:t>
      </w:r>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（4）河南省政府采购合同（参考文本）；</w:t>
      </w:r>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（5）采购项目技术参数、规格与要求；</w:t>
      </w:r>
    </w:p>
    <w:p>
      <w:pPr>
        <w:pageBreakBefore w:val="0"/>
        <w:kinsoku/>
        <w:overflowPunct/>
        <w:bidi w:val="0"/>
        <w:spacing w:line="360" w:lineRule="auto"/>
        <w:ind w:firstLine="0" w:firstLineChars="0"/>
        <w:rPr>
          <w:rFonts w:ascii="宋体" w:hAnsi="宋体" w:eastAsia="宋体" w:cs="宋体"/>
          <w:color w:val="auto"/>
          <w:szCs w:val="21"/>
          <w:highlight w:val="none"/>
        </w:rPr>
      </w:pPr>
      <w:r>
        <w:rPr>
          <w:rFonts w:hint="eastAsia" w:ascii="宋体" w:hAnsi="宋体" w:cs="宋体"/>
          <w:color w:val="auto"/>
          <w:szCs w:val="21"/>
          <w:highlight w:val="none"/>
        </w:rPr>
        <w:t>（6）竞争性磋商响应文件格式；</w:t>
      </w:r>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（7）供应商须知前附表规定的其他材料。</w:t>
      </w:r>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根据本章第2.2款和第2.3款对竞争性磋商文件所作的澄清、修改，构成竞争性磋商文件的组成部分。</w:t>
      </w:r>
    </w:p>
    <w:p>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322" w:name="_Toc391"/>
      <w:bookmarkStart w:id="323" w:name="_Toc14688"/>
      <w:bookmarkStart w:id="324" w:name="_Toc2133"/>
      <w:bookmarkStart w:id="325" w:name="_Toc4054"/>
      <w:bookmarkStart w:id="326" w:name="_Toc15658"/>
      <w:bookmarkStart w:id="327" w:name="_Toc29229"/>
      <w:bookmarkStart w:id="328" w:name="_Toc152045546"/>
      <w:bookmarkStart w:id="329" w:name="_Toc144974514"/>
      <w:bookmarkStart w:id="330" w:name="_Toc152042322"/>
      <w:bookmarkStart w:id="331" w:name="_Toc455080124"/>
      <w:r>
        <w:rPr>
          <w:rFonts w:hint="eastAsia" w:ascii="宋体" w:hAnsi="宋体" w:eastAsia="宋体"/>
          <w:b/>
          <w:bCs/>
          <w:color w:val="auto"/>
          <w:sz w:val="21"/>
          <w:szCs w:val="21"/>
          <w:highlight w:val="none"/>
        </w:rPr>
        <w:t>2.2 竞争性磋商文件的澄清</w:t>
      </w:r>
      <w:bookmarkEnd w:id="322"/>
      <w:bookmarkEnd w:id="323"/>
      <w:bookmarkEnd w:id="324"/>
      <w:bookmarkEnd w:id="325"/>
      <w:bookmarkEnd w:id="326"/>
      <w:bookmarkEnd w:id="327"/>
    </w:p>
    <w:p>
      <w:pPr>
        <w:pageBreakBefore w:val="0"/>
        <w:kinsoku/>
        <w:overflowPunct/>
        <w:bidi w:val="0"/>
        <w:spacing w:line="400" w:lineRule="exact"/>
        <w:ind w:firstLine="0" w:firstLineChars="0"/>
        <w:rPr>
          <w:rFonts w:ascii="宋体" w:hAnsi="宋体" w:cs="宋体"/>
          <w:color w:val="auto"/>
          <w:highlight w:val="none"/>
        </w:rPr>
      </w:pPr>
      <w:r>
        <w:rPr>
          <w:rFonts w:hint="eastAsia" w:ascii="宋体" w:hAnsi="宋体" w:cs="宋体"/>
          <w:color w:val="auto"/>
          <w:highlight w:val="none"/>
        </w:rPr>
        <w:t>2.2.1供应商应仔细阅读和检查竞争性磋商文件的全部内容。</w:t>
      </w:r>
      <w:r>
        <w:rPr>
          <w:rFonts w:hint="eastAsia" w:ascii="宋体" w:hAnsi="宋体" w:cs="宋体"/>
          <w:color w:val="auto"/>
          <w:szCs w:val="21"/>
          <w:highlight w:val="none"/>
        </w:rPr>
        <w:t>如发现缺页或附件不全，应及时向采购人提出，以便补齐。</w:t>
      </w:r>
      <w:r>
        <w:rPr>
          <w:rFonts w:hint="eastAsia" w:ascii="宋体" w:hAnsi="宋体" w:cs="宋体"/>
          <w:color w:val="auto"/>
          <w:highlight w:val="none"/>
        </w:rPr>
        <w:t>如有疑问，应在供应商须知前附表规定的时间前</w:t>
      </w:r>
      <w:r>
        <w:rPr>
          <w:rFonts w:hint="eastAsia" w:ascii="宋体" w:hAnsi="宋体"/>
          <w:color w:val="auto"/>
          <w:szCs w:val="21"/>
          <w:highlight w:val="none"/>
        </w:rPr>
        <w:t>以书面形式（包括信函、电报、传真等可以有形表现所载内容的形式，下同），</w:t>
      </w:r>
      <w:r>
        <w:rPr>
          <w:rFonts w:hint="eastAsia" w:ascii="宋体" w:hAnsi="宋体" w:cs="宋体"/>
          <w:color w:val="auto"/>
          <w:highlight w:val="none"/>
        </w:rPr>
        <w:t>要求采购人对竞争性磋商文件予以澄清。</w:t>
      </w:r>
    </w:p>
    <w:p>
      <w:pPr>
        <w:pageBreakBefore w:val="0"/>
        <w:kinsoku/>
        <w:overflowPunct/>
        <w:bidi w:val="0"/>
        <w:spacing w:line="400" w:lineRule="exact"/>
        <w:ind w:firstLine="0" w:firstLineChars="0"/>
        <w:rPr>
          <w:rFonts w:ascii="宋体" w:hAnsi="宋体" w:cs="宋体"/>
          <w:color w:val="auto"/>
          <w:highlight w:val="none"/>
        </w:rPr>
      </w:pPr>
      <w:r>
        <w:rPr>
          <w:rFonts w:hint="eastAsia" w:ascii="宋体" w:hAnsi="宋体" w:cs="宋体"/>
          <w:color w:val="auto"/>
          <w:highlight w:val="none"/>
        </w:rPr>
        <w:t>2.2.2 竞争性磋商文件的澄清将在供应商须知前附表规定的响应文件递交截止时间5天前在信阳市公共资源交易系统“变更公告”或“答疑文件”</w:t>
      </w:r>
      <w:r>
        <w:rPr>
          <w:rFonts w:hint="eastAsia" w:ascii="宋体" w:hAnsi="宋体"/>
          <w:color w:val="auto"/>
          <w:szCs w:val="21"/>
          <w:highlight w:val="none"/>
        </w:rPr>
        <w:t>将澄清内容予以发布，</w:t>
      </w:r>
      <w:r>
        <w:rPr>
          <w:rFonts w:hint="eastAsia" w:ascii="宋体" w:hAnsi="宋体" w:cs="宋体"/>
          <w:color w:val="auto"/>
          <w:highlight w:val="none"/>
        </w:rPr>
        <w:t>但不指明澄清问题的来源。如果澄清的内容可能影响响应文件编制且发出的时间距响应文件递交截止时间不足5天，相应延长投标截止时间。</w:t>
      </w:r>
    </w:p>
    <w:p>
      <w:pPr>
        <w:pageBreakBefore w:val="0"/>
        <w:kinsoku/>
        <w:overflowPunct/>
        <w:bidi w:val="0"/>
        <w:spacing w:line="360" w:lineRule="auto"/>
        <w:ind w:firstLine="0" w:firstLineChars="0"/>
        <w:rPr>
          <w:color w:val="auto"/>
          <w:highlight w:val="none"/>
        </w:rPr>
      </w:pPr>
      <w:r>
        <w:rPr>
          <w:rFonts w:hint="eastAsia" w:ascii="宋体" w:hAnsi="宋体"/>
          <w:color w:val="auto"/>
          <w:szCs w:val="21"/>
          <w:highlight w:val="none"/>
        </w:rPr>
        <w:t>2.2.3供应商应在响应文件递交截止时间前及时查看澄清内容，因供应商未及时查看而造成的后果自负。</w:t>
      </w:r>
    </w:p>
    <w:p>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332" w:name="_Toc10140"/>
      <w:bookmarkStart w:id="333" w:name="_Toc1637"/>
      <w:bookmarkStart w:id="334" w:name="_Toc27360"/>
      <w:bookmarkStart w:id="335" w:name="_Toc6489"/>
      <w:bookmarkStart w:id="336" w:name="_Toc8263"/>
      <w:bookmarkStart w:id="337" w:name="_Toc5672"/>
      <w:r>
        <w:rPr>
          <w:rFonts w:hint="eastAsia" w:ascii="宋体" w:hAnsi="宋体" w:eastAsia="宋体"/>
          <w:b/>
          <w:bCs/>
          <w:color w:val="auto"/>
          <w:sz w:val="21"/>
          <w:szCs w:val="21"/>
          <w:highlight w:val="none"/>
        </w:rPr>
        <w:t>2.3 竞争性磋商文件的修改</w:t>
      </w:r>
      <w:bookmarkEnd w:id="332"/>
      <w:bookmarkEnd w:id="333"/>
      <w:bookmarkEnd w:id="334"/>
      <w:bookmarkEnd w:id="335"/>
      <w:bookmarkEnd w:id="336"/>
      <w:bookmarkEnd w:id="337"/>
    </w:p>
    <w:p>
      <w:pPr>
        <w:pageBreakBefore w:val="0"/>
        <w:kinsoku/>
        <w:overflowPunct/>
        <w:bidi w:val="0"/>
        <w:spacing w:line="400" w:lineRule="exact"/>
        <w:ind w:firstLine="0" w:firstLineChars="0"/>
        <w:rPr>
          <w:rFonts w:ascii="宋体" w:hAnsi="宋体" w:cs="宋体"/>
          <w:color w:val="auto"/>
          <w:highlight w:val="none"/>
        </w:rPr>
      </w:pPr>
      <w:r>
        <w:rPr>
          <w:rFonts w:hint="eastAsia" w:ascii="宋体" w:hAnsi="宋体" w:cs="宋体"/>
          <w:color w:val="auto"/>
          <w:highlight w:val="none"/>
        </w:rPr>
        <w:t>2.3.1 在响应文件递交截止时间5天前，采购人可以修改竞争性磋商文件。如有修改，应在信阳市公共资源交易系统“变更公告”或“答疑文件”</w:t>
      </w:r>
      <w:r>
        <w:rPr>
          <w:rFonts w:hint="eastAsia" w:ascii="宋体" w:hAnsi="宋体"/>
          <w:color w:val="auto"/>
          <w:szCs w:val="21"/>
          <w:highlight w:val="none"/>
        </w:rPr>
        <w:t>将修改内容予以发布</w:t>
      </w:r>
      <w:r>
        <w:rPr>
          <w:rFonts w:hint="eastAsia" w:ascii="宋体" w:hAnsi="宋体" w:cs="宋体"/>
          <w:color w:val="auto"/>
          <w:highlight w:val="none"/>
        </w:rPr>
        <w:t>。如果修改的内容可能影响响应文件编制且发出的时间距响应文件递交截止时间不足5天，相应延长响应文件递交截止时间。</w:t>
      </w:r>
    </w:p>
    <w:p>
      <w:pPr>
        <w:pageBreakBefore w:val="0"/>
        <w:kinsoku/>
        <w:overflowPunct/>
        <w:bidi w:val="0"/>
        <w:spacing w:line="360" w:lineRule="auto"/>
        <w:ind w:firstLine="0" w:firstLineChars="0"/>
        <w:rPr>
          <w:rFonts w:ascii="宋体" w:hAnsi="宋体"/>
          <w:color w:val="auto"/>
          <w:szCs w:val="21"/>
          <w:highlight w:val="none"/>
        </w:rPr>
      </w:pPr>
      <w:r>
        <w:rPr>
          <w:rFonts w:hint="eastAsia" w:ascii="宋体" w:hAnsi="宋体" w:cs="宋体"/>
          <w:color w:val="auto"/>
          <w:highlight w:val="none"/>
        </w:rPr>
        <w:t>2.3.2当竞争性磋商文件的澄清、修改、补充等在同一内容的表述上不一致时，</w:t>
      </w:r>
      <w:r>
        <w:rPr>
          <w:rFonts w:hint="eastAsia" w:ascii="宋体" w:hAnsi="宋体"/>
          <w:color w:val="auto"/>
          <w:szCs w:val="21"/>
          <w:highlight w:val="none"/>
        </w:rPr>
        <w:t>以最后在信阳市公共资源交易系统发出的文件为准。</w:t>
      </w:r>
    </w:p>
    <w:p>
      <w:pPr>
        <w:pageBreakBefore w:val="0"/>
        <w:kinsoku/>
        <w:overflowPunct/>
        <w:bidi w:val="0"/>
        <w:spacing w:line="360" w:lineRule="auto"/>
        <w:ind w:firstLine="0" w:firstLineChars="0"/>
        <w:rPr>
          <w:color w:val="auto"/>
          <w:highlight w:val="none"/>
        </w:rPr>
      </w:pPr>
      <w:r>
        <w:rPr>
          <w:rFonts w:hint="eastAsia" w:ascii="宋体" w:hAnsi="宋体" w:cs="宋体"/>
          <w:color w:val="auto"/>
          <w:highlight w:val="none"/>
        </w:rPr>
        <w:t>2.3.3</w:t>
      </w:r>
      <w:r>
        <w:rPr>
          <w:rFonts w:hint="eastAsia" w:ascii="宋体" w:hAnsi="宋体"/>
          <w:color w:val="auto"/>
          <w:szCs w:val="21"/>
          <w:highlight w:val="none"/>
        </w:rPr>
        <w:t>供应商应在响应文件递交截止时间前及时查看修改内容，因供应商未及时查看而造成的后果自负。</w:t>
      </w:r>
    </w:p>
    <w:p>
      <w:pPr>
        <w:pStyle w:val="67"/>
        <w:pageBreakBefore w:val="0"/>
        <w:kinsoku/>
        <w:overflowPunct/>
        <w:bidi w:val="0"/>
        <w:spacing w:line="360" w:lineRule="auto"/>
        <w:ind w:firstLine="0" w:firstLineChars="0"/>
        <w:rPr>
          <w:rFonts w:ascii="宋体" w:hAnsi="宋体" w:eastAsia="宋体"/>
          <w:b/>
          <w:bCs/>
          <w:color w:val="auto"/>
          <w:sz w:val="21"/>
          <w:szCs w:val="21"/>
          <w:highlight w:val="none"/>
        </w:rPr>
      </w:pPr>
      <w:bookmarkStart w:id="338" w:name="_Toc22547"/>
      <w:bookmarkStart w:id="339" w:name="_Toc4666"/>
      <w:r>
        <w:rPr>
          <w:rFonts w:hint="eastAsia" w:ascii="宋体" w:hAnsi="宋体" w:eastAsia="宋体"/>
          <w:b/>
          <w:bCs/>
          <w:color w:val="auto"/>
          <w:sz w:val="21"/>
          <w:szCs w:val="21"/>
          <w:highlight w:val="none"/>
        </w:rPr>
        <w:t xml:space="preserve">3. </w:t>
      </w:r>
      <w:bookmarkEnd w:id="328"/>
      <w:bookmarkEnd w:id="329"/>
      <w:bookmarkEnd w:id="330"/>
      <w:r>
        <w:rPr>
          <w:rFonts w:hint="eastAsia" w:ascii="宋体" w:hAnsi="宋体" w:eastAsia="宋体"/>
          <w:b/>
          <w:bCs/>
          <w:color w:val="auto"/>
          <w:sz w:val="21"/>
          <w:szCs w:val="21"/>
          <w:highlight w:val="none"/>
        </w:rPr>
        <w:t>响应文件</w:t>
      </w:r>
      <w:bookmarkEnd w:id="331"/>
      <w:bookmarkEnd w:id="338"/>
      <w:bookmarkEnd w:id="339"/>
    </w:p>
    <w:p>
      <w:pPr>
        <w:pStyle w:val="68"/>
        <w:pageBreakBefore w:val="0"/>
        <w:kinsoku/>
        <w:overflowPunct/>
        <w:bidi w:val="0"/>
        <w:spacing w:line="360" w:lineRule="auto"/>
        <w:ind w:firstLine="0" w:firstLineChars="0"/>
        <w:outlineLvl w:val="9"/>
        <w:rPr>
          <w:rFonts w:ascii="宋体" w:hAnsi="宋体" w:eastAsia="宋体"/>
          <w:b/>
          <w:bCs/>
          <w:color w:val="auto"/>
          <w:sz w:val="21"/>
          <w:szCs w:val="21"/>
          <w:highlight w:val="none"/>
        </w:rPr>
      </w:pPr>
      <w:bookmarkStart w:id="340" w:name="_Toc28231"/>
      <w:bookmarkStart w:id="341" w:name="_Toc9273"/>
      <w:bookmarkStart w:id="342" w:name="_Toc10096"/>
      <w:bookmarkStart w:id="343" w:name="_Toc490667844"/>
      <w:bookmarkStart w:id="344" w:name="_Toc144974515"/>
      <w:bookmarkStart w:id="345" w:name="_Toc13674"/>
      <w:bookmarkStart w:id="346" w:name="_Toc152042323"/>
      <w:bookmarkStart w:id="347" w:name="_Toc15810"/>
      <w:bookmarkStart w:id="348" w:name="_Toc27373"/>
      <w:bookmarkStart w:id="349" w:name="_Toc13956"/>
      <w:bookmarkStart w:id="350" w:name="_Toc16198"/>
      <w:bookmarkStart w:id="351" w:name="_Toc152045547"/>
      <w:bookmarkStart w:id="352" w:name="_Toc318450691"/>
      <w:bookmarkStart w:id="353" w:name="_Toc15800"/>
      <w:bookmarkStart w:id="354" w:name="_Toc24440"/>
      <w:bookmarkStart w:id="355" w:name="_Toc32410"/>
      <w:r>
        <w:rPr>
          <w:rFonts w:hint="eastAsia" w:ascii="宋体" w:hAnsi="宋体" w:eastAsia="宋体"/>
          <w:b/>
          <w:bCs/>
          <w:color w:val="auto"/>
          <w:sz w:val="21"/>
          <w:szCs w:val="21"/>
          <w:highlight w:val="none"/>
        </w:rPr>
        <w:t>3.1 响应文件的组成</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pPr>
        <w:pageBreakBefore w:val="0"/>
        <w:widowControl/>
        <w:kinsoku/>
        <w:overflowPunct/>
        <w:bidi w:val="0"/>
        <w:spacing w:line="400" w:lineRule="exact"/>
        <w:ind w:firstLine="0" w:firstLineChars="0"/>
        <w:jc w:val="left"/>
        <w:rPr>
          <w:rFonts w:ascii="宋体" w:hAnsi="宋体" w:eastAsia="宋体" w:cs="宋体"/>
          <w:color w:val="auto"/>
          <w:szCs w:val="21"/>
          <w:highlight w:val="none"/>
        </w:rPr>
      </w:pPr>
      <w:bookmarkStart w:id="356" w:name="_Toc152045548"/>
      <w:bookmarkStart w:id="357" w:name="_Toc279156232"/>
      <w:bookmarkStart w:id="358" w:name="_Toc152042324"/>
      <w:bookmarkStart w:id="359" w:name="_Toc144974516"/>
      <w:bookmarkStart w:id="360" w:name="_Toc318450692"/>
      <w:bookmarkStart w:id="361" w:name="_Toc26291"/>
      <w:bookmarkStart w:id="362" w:name="_Toc899"/>
      <w:r>
        <w:rPr>
          <w:rFonts w:hint="eastAsia" w:ascii="宋体" w:hAnsi="宋体" w:eastAsia="宋体" w:cs="宋体"/>
          <w:color w:val="auto"/>
          <w:szCs w:val="21"/>
          <w:highlight w:val="none"/>
        </w:rPr>
        <w:t>响应文件应包括下列内容</w:t>
      </w:r>
      <w:r>
        <w:rPr>
          <w:rFonts w:hint="eastAsia" w:ascii="宋体" w:hAnsi="宋体" w:eastAsia="宋体" w:cs="宋体"/>
          <w:b/>
          <w:bCs/>
          <w:color w:val="auto"/>
          <w:szCs w:val="21"/>
          <w:highlight w:val="none"/>
        </w:rPr>
        <w:t>：</w:t>
      </w:r>
    </w:p>
    <w:p>
      <w:pPr>
        <w:pStyle w:val="2"/>
        <w:pageBreakBefore w:val="0"/>
        <w:kinsoku/>
        <w:overflowPunct/>
        <w:bidi w:val="0"/>
        <w:spacing w:line="400" w:lineRule="exact"/>
        <w:ind w:firstLine="0" w:firstLineChars="0"/>
        <w:rPr>
          <w:rFonts w:ascii="宋体" w:hAnsi="宋体" w:eastAsia="宋体" w:cs="宋体"/>
          <w:bCs/>
          <w:color w:val="auto"/>
          <w:szCs w:val="21"/>
          <w:highlight w:val="none"/>
        </w:rPr>
      </w:pPr>
      <w:r>
        <w:rPr>
          <w:rFonts w:hint="eastAsia" w:ascii="宋体" w:hAnsi="宋体" w:eastAsia="宋体" w:cs="宋体"/>
          <w:bCs/>
          <w:color w:val="auto"/>
          <w:szCs w:val="21"/>
          <w:highlight w:val="none"/>
        </w:rPr>
        <w:t>1）响应函及响应函附录</w:t>
      </w:r>
    </w:p>
    <w:p>
      <w:pPr>
        <w:pStyle w:val="2"/>
        <w:pageBreakBefore w:val="0"/>
        <w:kinsoku/>
        <w:overflowPunct/>
        <w:bidi w:val="0"/>
        <w:spacing w:line="400" w:lineRule="exact"/>
        <w:ind w:firstLine="0" w:firstLineChars="0"/>
        <w:rPr>
          <w:rFonts w:ascii="宋体" w:hAnsi="宋体" w:eastAsia="宋体" w:cs="宋体"/>
          <w:bCs/>
          <w:color w:val="auto"/>
          <w:szCs w:val="21"/>
          <w:highlight w:val="none"/>
        </w:rPr>
      </w:pPr>
      <w:r>
        <w:rPr>
          <w:rFonts w:hint="eastAsia" w:ascii="宋体" w:hAnsi="宋体" w:eastAsia="宋体" w:cs="宋体"/>
          <w:bCs/>
          <w:color w:val="auto"/>
          <w:szCs w:val="21"/>
          <w:highlight w:val="none"/>
        </w:rPr>
        <w:t>2）法定代表人（单位负责人）身份证明</w:t>
      </w:r>
    </w:p>
    <w:p>
      <w:pPr>
        <w:pStyle w:val="2"/>
        <w:pageBreakBefore w:val="0"/>
        <w:kinsoku/>
        <w:overflowPunct/>
        <w:bidi w:val="0"/>
        <w:spacing w:line="400" w:lineRule="exact"/>
        <w:ind w:firstLine="0" w:firstLineChars="0"/>
        <w:rPr>
          <w:rFonts w:ascii="宋体" w:hAnsi="宋体" w:eastAsia="宋体" w:cs="宋体"/>
          <w:bCs/>
          <w:color w:val="auto"/>
          <w:szCs w:val="21"/>
          <w:highlight w:val="none"/>
        </w:rPr>
      </w:pPr>
      <w:r>
        <w:rPr>
          <w:rFonts w:hint="eastAsia" w:ascii="宋体" w:hAnsi="宋体" w:eastAsia="宋体" w:cs="宋体"/>
          <w:bCs/>
          <w:color w:val="auto"/>
          <w:szCs w:val="21"/>
          <w:highlight w:val="none"/>
        </w:rPr>
        <w:t>3）授权委托书</w:t>
      </w:r>
    </w:p>
    <w:p>
      <w:pPr>
        <w:pStyle w:val="2"/>
        <w:pageBreakBefore w:val="0"/>
        <w:kinsoku/>
        <w:overflowPunct/>
        <w:bidi w:val="0"/>
        <w:spacing w:line="400" w:lineRule="exact"/>
        <w:ind w:firstLine="0" w:firstLineChars="0"/>
        <w:rPr>
          <w:rFonts w:ascii="宋体" w:hAnsi="宋体" w:eastAsia="宋体" w:cs="宋体"/>
          <w:bCs/>
          <w:color w:val="auto"/>
          <w:szCs w:val="21"/>
          <w:highlight w:val="none"/>
        </w:rPr>
      </w:pPr>
      <w:r>
        <w:rPr>
          <w:rFonts w:hint="eastAsia" w:ascii="宋体" w:hAnsi="宋体" w:eastAsia="宋体" w:cs="宋体"/>
          <w:bCs/>
          <w:color w:val="auto"/>
          <w:szCs w:val="21"/>
          <w:highlight w:val="none"/>
        </w:rPr>
        <w:t>4）资格审查材料</w:t>
      </w:r>
    </w:p>
    <w:p>
      <w:pPr>
        <w:pStyle w:val="2"/>
        <w:pageBreakBefore w:val="0"/>
        <w:kinsoku/>
        <w:overflowPunct/>
        <w:bidi w:val="0"/>
        <w:spacing w:line="400" w:lineRule="exact"/>
        <w:ind w:firstLine="0" w:firstLineChars="0"/>
        <w:rPr>
          <w:rFonts w:ascii="宋体" w:hAnsi="宋体" w:eastAsia="宋体" w:cs="宋体"/>
          <w:bCs/>
          <w:color w:val="auto"/>
          <w:szCs w:val="21"/>
          <w:highlight w:val="none"/>
        </w:rPr>
      </w:pPr>
      <w:r>
        <w:rPr>
          <w:rFonts w:hint="eastAsia" w:ascii="宋体" w:hAnsi="宋体" w:eastAsia="宋体" w:cs="宋体"/>
          <w:bCs/>
          <w:color w:val="auto"/>
          <w:szCs w:val="21"/>
          <w:highlight w:val="none"/>
        </w:rPr>
        <w:t>5）技术方案</w:t>
      </w:r>
    </w:p>
    <w:p>
      <w:pPr>
        <w:pStyle w:val="2"/>
        <w:pageBreakBefore w:val="0"/>
        <w:kinsoku/>
        <w:overflowPunct/>
        <w:bidi w:val="0"/>
        <w:spacing w:line="400" w:lineRule="exact"/>
        <w:ind w:firstLine="0" w:firstLineChars="0"/>
        <w:rPr>
          <w:rFonts w:ascii="宋体" w:hAnsi="宋体" w:eastAsia="宋体" w:cs="宋体"/>
          <w:bCs/>
          <w:color w:val="auto"/>
          <w:szCs w:val="21"/>
          <w:highlight w:val="none"/>
        </w:rPr>
      </w:pPr>
      <w:r>
        <w:rPr>
          <w:rFonts w:hint="eastAsia" w:ascii="宋体" w:hAnsi="宋体" w:eastAsia="宋体" w:cs="宋体"/>
          <w:bCs/>
          <w:color w:val="auto"/>
          <w:szCs w:val="21"/>
          <w:highlight w:val="none"/>
        </w:rPr>
        <w:t>6）项目管理机构</w:t>
      </w:r>
    </w:p>
    <w:p>
      <w:pPr>
        <w:pStyle w:val="2"/>
        <w:pageBreakBefore w:val="0"/>
        <w:kinsoku/>
        <w:overflowPunct/>
        <w:bidi w:val="0"/>
        <w:spacing w:line="400" w:lineRule="exact"/>
        <w:ind w:firstLine="0" w:firstLineChars="0"/>
        <w:rPr>
          <w:rFonts w:ascii="宋体" w:hAnsi="宋体" w:eastAsia="宋体" w:cs="宋体"/>
          <w:bCs/>
          <w:color w:val="auto"/>
          <w:szCs w:val="21"/>
          <w:highlight w:val="none"/>
        </w:rPr>
      </w:pPr>
      <w:r>
        <w:rPr>
          <w:rFonts w:hint="eastAsia" w:ascii="宋体" w:hAnsi="宋体" w:eastAsia="宋体" w:cs="宋体"/>
          <w:bCs/>
          <w:color w:val="auto"/>
          <w:szCs w:val="21"/>
          <w:highlight w:val="none"/>
        </w:rPr>
        <w:t>7）中小企业声明函</w:t>
      </w:r>
    </w:p>
    <w:p>
      <w:pPr>
        <w:pStyle w:val="2"/>
        <w:pageBreakBefore w:val="0"/>
        <w:kinsoku/>
        <w:overflowPunct/>
        <w:bidi w:val="0"/>
        <w:spacing w:line="400" w:lineRule="exact"/>
        <w:ind w:firstLine="0" w:firstLineChars="0"/>
        <w:rPr>
          <w:rFonts w:ascii="宋体" w:hAnsi="宋体" w:eastAsia="宋体" w:cs="宋体"/>
          <w:bCs/>
          <w:color w:val="auto"/>
          <w:szCs w:val="21"/>
          <w:highlight w:val="none"/>
        </w:rPr>
      </w:pPr>
      <w:r>
        <w:rPr>
          <w:rFonts w:hint="eastAsia" w:ascii="宋体" w:hAnsi="宋体" w:eastAsia="宋体" w:cs="宋体"/>
          <w:bCs/>
          <w:color w:val="auto"/>
          <w:szCs w:val="21"/>
          <w:highlight w:val="none"/>
        </w:rPr>
        <w:t>8）残疾人福利性单位声明函</w:t>
      </w:r>
    </w:p>
    <w:p>
      <w:pPr>
        <w:pStyle w:val="2"/>
        <w:pageBreakBefore w:val="0"/>
        <w:kinsoku/>
        <w:overflowPunct/>
        <w:bidi w:val="0"/>
        <w:spacing w:line="400" w:lineRule="exact"/>
        <w:ind w:firstLine="0" w:firstLineChars="0"/>
        <w:rPr>
          <w:rFonts w:ascii="宋体" w:hAnsi="宋体" w:eastAsia="宋体" w:cs="宋体"/>
          <w:bCs/>
          <w:color w:val="auto"/>
          <w:szCs w:val="21"/>
          <w:highlight w:val="none"/>
        </w:rPr>
      </w:pPr>
      <w:r>
        <w:rPr>
          <w:rFonts w:hint="eastAsia" w:ascii="宋体" w:hAnsi="宋体" w:eastAsia="宋体" w:cs="宋体"/>
          <w:bCs/>
          <w:color w:val="auto"/>
          <w:szCs w:val="21"/>
          <w:highlight w:val="none"/>
        </w:rPr>
        <w:t>9）监狱企业证明文件</w:t>
      </w:r>
    </w:p>
    <w:p>
      <w:pPr>
        <w:pStyle w:val="2"/>
        <w:pageBreakBefore w:val="0"/>
        <w:kinsoku/>
        <w:overflowPunct/>
        <w:bidi w:val="0"/>
        <w:spacing w:line="400" w:lineRule="exact"/>
        <w:ind w:firstLine="0" w:firstLineChars="0"/>
        <w:rPr>
          <w:rFonts w:ascii="宋体" w:hAnsi="宋体" w:eastAsia="宋体" w:cs="宋体"/>
          <w:bCs/>
          <w:color w:val="auto"/>
          <w:szCs w:val="21"/>
          <w:highlight w:val="none"/>
        </w:rPr>
      </w:pPr>
      <w:r>
        <w:rPr>
          <w:rFonts w:hint="eastAsia" w:ascii="宋体" w:hAnsi="宋体" w:eastAsia="宋体" w:cs="宋体"/>
          <w:bCs/>
          <w:color w:val="auto"/>
          <w:szCs w:val="21"/>
          <w:highlight w:val="none"/>
        </w:rPr>
        <w:t>10）反商业贿赂承诺书</w:t>
      </w:r>
    </w:p>
    <w:p>
      <w:pPr>
        <w:pStyle w:val="2"/>
        <w:pageBreakBefore w:val="0"/>
        <w:kinsoku/>
        <w:overflowPunct/>
        <w:bidi w:val="0"/>
        <w:spacing w:line="400" w:lineRule="exact"/>
        <w:ind w:firstLine="0" w:firstLineChars="0"/>
        <w:rPr>
          <w:rFonts w:ascii="宋体" w:hAnsi="宋体" w:eastAsia="宋体" w:cs="宋体"/>
          <w:bCs/>
          <w:color w:val="auto"/>
          <w:szCs w:val="21"/>
          <w:highlight w:val="none"/>
        </w:rPr>
      </w:pPr>
      <w:r>
        <w:rPr>
          <w:rFonts w:hint="eastAsia" w:ascii="宋体" w:hAnsi="宋体" w:eastAsia="宋体" w:cs="宋体"/>
          <w:bCs/>
          <w:color w:val="auto"/>
          <w:szCs w:val="21"/>
          <w:highlight w:val="none"/>
        </w:rPr>
        <w:t>11）采购代理服务费承诺函</w:t>
      </w:r>
    </w:p>
    <w:p>
      <w:pPr>
        <w:pStyle w:val="2"/>
        <w:pageBreakBefore w:val="0"/>
        <w:kinsoku/>
        <w:overflowPunct/>
        <w:bidi w:val="0"/>
        <w:spacing w:line="400" w:lineRule="exact"/>
        <w:ind w:firstLine="0" w:firstLineChars="0"/>
        <w:rPr>
          <w:rFonts w:ascii="宋体" w:hAnsi="宋体" w:eastAsia="宋体" w:cs="宋体"/>
          <w:bCs/>
          <w:color w:val="auto"/>
          <w:szCs w:val="21"/>
          <w:highlight w:val="none"/>
        </w:rPr>
      </w:pPr>
      <w:r>
        <w:rPr>
          <w:rFonts w:hint="eastAsia" w:ascii="宋体" w:hAnsi="宋体" w:eastAsia="宋体" w:cs="宋体"/>
          <w:bCs/>
          <w:color w:val="auto"/>
          <w:szCs w:val="21"/>
          <w:highlight w:val="none"/>
        </w:rPr>
        <w:t>12）其他材料</w:t>
      </w:r>
    </w:p>
    <w:p>
      <w:pPr>
        <w:pageBreakBefore w:val="0"/>
        <w:kinsoku/>
        <w:overflowPunct/>
        <w:bidi w:val="0"/>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3.2 磋商报价</w:t>
      </w:r>
      <w:bookmarkEnd w:id="356"/>
      <w:bookmarkEnd w:id="357"/>
      <w:bookmarkEnd w:id="358"/>
      <w:bookmarkEnd w:id="359"/>
      <w:bookmarkEnd w:id="360"/>
      <w:bookmarkEnd w:id="361"/>
      <w:bookmarkEnd w:id="362"/>
    </w:p>
    <w:p>
      <w:pPr>
        <w:pageBreakBefore w:val="0"/>
        <w:tabs>
          <w:tab w:val="left" w:pos="0"/>
          <w:tab w:val="left" w:pos="1050"/>
        </w:tabs>
        <w:kinsoku/>
        <w:overflowPunct/>
        <w:bidi w:val="0"/>
        <w:spacing w:line="440" w:lineRule="exact"/>
        <w:ind w:firstLine="0" w:firstLineChars="0"/>
        <w:rPr>
          <w:rFonts w:ascii="宋体" w:hAnsi="宋体" w:cs="宋体"/>
          <w:color w:val="auto"/>
          <w:szCs w:val="21"/>
          <w:highlight w:val="none"/>
        </w:rPr>
      </w:pPr>
      <w:bookmarkStart w:id="363" w:name="_Toc12402"/>
      <w:bookmarkStart w:id="364" w:name="_Toc3624"/>
      <w:bookmarkStart w:id="365" w:name="_Toc466298109"/>
      <w:bookmarkStart w:id="366" w:name="_Toc21600"/>
      <w:bookmarkStart w:id="367" w:name="_Toc21680"/>
      <w:bookmarkStart w:id="368" w:name="_Toc455080126"/>
      <w:bookmarkStart w:id="369" w:name="_Toc2425"/>
      <w:bookmarkStart w:id="370" w:name="_Toc29133"/>
      <w:bookmarkStart w:id="371" w:name="_Toc455867786"/>
      <w:bookmarkStart w:id="372" w:name="_Toc7105"/>
      <w:bookmarkStart w:id="373" w:name="_Toc144974517"/>
      <w:bookmarkStart w:id="374" w:name="_Toc152045549"/>
      <w:bookmarkStart w:id="375" w:name="_Toc152042325"/>
      <w:bookmarkStart w:id="376" w:name="_Toc7910"/>
      <w:bookmarkStart w:id="377" w:name="_Toc25387"/>
      <w:bookmarkStart w:id="378" w:name="_Toc318450693"/>
      <w:bookmarkStart w:id="379" w:name="_Toc11968"/>
      <w:bookmarkStart w:id="380" w:name="_Toc6105"/>
      <w:bookmarkStart w:id="381" w:name="_Toc490667846"/>
      <w:r>
        <w:rPr>
          <w:rFonts w:hint="eastAsia" w:ascii="宋体" w:hAnsi="宋体" w:cs="宋体"/>
          <w:color w:val="auto"/>
          <w:szCs w:val="21"/>
          <w:highlight w:val="none"/>
        </w:rPr>
        <w:t>3.2.1本项目的磋商报价应按照竞争性磋商文件、补充通知、答疑纪要、现场情况、承包范围，并充分考虑供货期间各类材料、人工市场风险和国家政策性调整等风险系数，由各响应人根据自身情况，在合理范围内，自主考虑、优惠报价，维保人工服务费、差旅费、运输费（含装卸费）、保险费、安装调试费、税费、培训费等维保期间所发生的所有费用，但不得低于企业成本，分二次报价：第一次报价必须按照竞争性磋商文件的报价格式填报，第二次报价在磋商中填报，第二次报价（不得高于第一次报价）即为最终报价</w:t>
      </w:r>
      <w:bookmarkEnd w:id="363"/>
      <w:r>
        <w:rPr>
          <w:rFonts w:hint="eastAsia" w:ascii="宋体" w:hAnsi="宋体" w:cs="宋体"/>
          <w:color w:val="auto"/>
          <w:szCs w:val="21"/>
          <w:highlight w:val="none"/>
        </w:rPr>
        <w:t>。</w:t>
      </w:r>
    </w:p>
    <w:p>
      <w:pPr>
        <w:pageBreakBefore w:val="0"/>
        <w:tabs>
          <w:tab w:val="left" w:pos="0"/>
          <w:tab w:val="left" w:pos="1050"/>
        </w:tabs>
        <w:kinsoku/>
        <w:overflowPunct/>
        <w:bidi w:val="0"/>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3.2.2供应商应充分了解该项目的总体情况以及影响磋商报价的其它要素，考虑供货期间的价格风险因素，成交价在合同实施期内不得调整，同时也不因市场价格变动而调整。</w:t>
      </w:r>
    </w:p>
    <w:p>
      <w:pPr>
        <w:pageBreakBefore w:val="0"/>
        <w:tabs>
          <w:tab w:val="left" w:pos="0"/>
          <w:tab w:val="left" w:pos="1050"/>
        </w:tabs>
        <w:kinsoku/>
        <w:overflowPunct/>
        <w:bidi w:val="0"/>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3.2.3 响应报价表中的大写金额和小写金额不一致的，以大写金额为准。</w:t>
      </w:r>
    </w:p>
    <w:p>
      <w:pPr>
        <w:pageBreakBefore w:val="0"/>
        <w:tabs>
          <w:tab w:val="left" w:pos="0"/>
          <w:tab w:val="left" w:pos="1050"/>
        </w:tabs>
        <w:kinsoku/>
        <w:overflowPunct/>
        <w:bidi w:val="0"/>
        <w:spacing w:line="440" w:lineRule="exact"/>
        <w:ind w:firstLine="0" w:firstLineChars="0"/>
        <w:rPr>
          <w:rFonts w:ascii="宋体" w:hAnsi="宋体" w:cs="宋体"/>
          <w:b/>
          <w:bCs/>
          <w:color w:val="auto"/>
          <w:szCs w:val="21"/>
          <w:highlight w:val="none"/>
        </w:rPr>
      </w:pPr>
      <w:r>
        <w:rPr>
          <w:rFonts w:hint="eastAsia" w:ascii="宋体" w:hAnsi="宋体" w:cs="宋体"/>
          <w:color w:val="auto"/>
          <w:szCs w:val="21"/>
          <w:highlight w:val="none"/>
        </w:rPr>
        <w:t>3.2.4供应商的报价明显低于其他通过符合性审查供应商的报价，有可能影响产品质量或者不能诚信履约的，磋商委员会应当要求其在磋商现场</w:t>
      </w:r>
      <w:r>
        <w:rPr>
          <w:rFonts w:hint="eastAsia" w:ascii="宋体" w:hAnsi="宋体" w:cs="宋体"/>
          <w:color w:val="auto"/>
          <w:kern w:val="0"/>
          <w:szCs w:val="21"/>
          <w:highlight w:val="none"/>
        </w:rPr>
        <w:t>（或电子交易系统）</w:t>
      </w:r>
      <w:r>
        <w:rPr>
          <w:rFonts w:hint="eastAsia" w:ascii="宋体" w:hAnsi="宋体" w:cs="宋体"/>
          <w:color w:val="auto"/>
          <w:szCs w:val="21"/>
          <w:highlight w:val="none"/>
        </w:rPr>
        <w:t>合理的时间内提供书面说明</w:t>
      </w:r>
      <w:r>
        <w:rPr>
          <w:rFonts w:hint="eastAsia" w:ascii="宋体" w:hAnsi="宋体" w:cs="宋体"/>
          <w:color w:val="auto"/>
          <w:kern w:val="0"/>
          <w:szCs w:val="21"/>
          <w:highlight w:val="none"/>
        </w:rPr>
        <w:t>（或电子澄清说明文件）</w:t>
      </w:r>
      <w:r>
        <w:rPr>
          <w:rFonts w:hint="eastAsia" w:ascii="宋体" w:hAnsi="宋体" w:cs="宋体"/>
          <w:color w:val="auto"/>
          <w:szCs w:val="21"/>
          <w:highlight w:val="none"/>
        </w:rPr>
        <w:t xml:space="preserve">，必要时提交相关证明材料；供应商不能证明其报价合理性的，磋商委员会应当将其作为无效投标处理。 </w:t>
      </w:r>
    </w:p>
    <w:p>
      <w:pPr>
        <w:spacing w:line="400" w:lineRule="exact"/>
        <w:ind w:firstLine="422" w:firstLineChars="200"/>
        <w:outlineLvl w:val="2"/>
        <w:rPr>
          <w:rFonts w:hint="eastAsia" w:ascii="宋体" w:hAnsi="宋体" w:cs="宋体"/>
          <w:b/>
          <w:bCs/>
          <w:color w:val="auto"/>
          <w:szCs w:val="21"/>
          <w:highlight w:val="none"/>
          <w:lang w:val="zh-CN"/>
        </w:rPr>
      </w:pPr>
      <w:bookmarkStart w:id="382" w:name="_Toc3822"/>
      <w:bookmarkStart w:id="383" w:name="_Toc19445"/>
      <w:bookmarkStart w:id="384" w:name="_Toc6786"/>
      <w:bookmarkStart w:id="385" w:name="_Toc22762"/>
      <w:bookmarkStart w:id="386" w:name="_Toc6707"/>
      <w:bookmarkStart w:id="387" w:name="_Toc8041"/>
      <w:bookmarkStart w:id="388" w:name="_Toc20443"/>
      <w:bookmarkStart w:id="389" w:name="_Toc358"/>
      <w:bookmarkStart w:id="390" w:name="_Toc11851"/>
      <w:bookmarkStart w:id="391" w:name="_Toc21628"/>
      <w:bookmarkStart w:id="392" w:name="_Toc22930"/>
      <w:bookmarkStart w:id="393" w:name="_Toc31811"/>
      <w:r>
        <w:rPr>
          <w:rFonts w:hint="eastAsia" w:ascii="宋体" w:hAnsi="宋体" w:cs="宋体"/>
          <w:b/>
          <w:bCs/>
          <w:color w:val="auto"/>
          <w:szCs w:val="21"/>
          <w:highlight w:val="none"/>
        </w:rPr>
        <w:t xml:space="preserve">3.3 </w:t>
      </w:r>
      <w:r>
        <w:rPr>
          <w:rFonts w:hint="eastAsia" w:ascii="宋体" w:hAnsi="宋体" w:cs="宋体"/>
          <w:b/>
          <w:bCs/>
          <w:color w:val="auto"/>
          <w:szCs w:val="21"/>
          <w:highlight w:val="none"/>
          <w:lang w:val="zh-CN"/>
        </w:rPr>
        <w:t>小型微型企业认定及评标价格评审（非专门面向中小企业适用）</w:t>
      </w:r>
      <w:bookmarkEnd w:id="382"/>
      <w:bookmarkEnd w:id="383"/>
      <w:bookmarkEnd w:id="384"/>
      <w:bookmarkEnd w:id="385"/>
      <w:bookmarkEnd w:id="386"/>
      <w:bookmarkEnd w:id="387"/>
      <w:bookmarkEnd w:id="388"/>
      <w:bookmarkEnd w:id="389"/>
    </w:p>
    <w:p>
      <w:pPr>
        <w:pStyle w:val="46"/>
        <w:spacing w:line="400" w:lineRule="exact"/>
        <w:ind w:firstLine="480" w:firstLineChars="200"/>
        <w:rPr>
          <w:rFonts w:hint="eastAsia" w:ascii="宋体" w:hAnsi="宋体" w:cs="宋体"/>
          <w:color w:val="auto"/>
          <w:highlight w:val="none"/>
          <w:lang w:val="zh-CN"/>
        </w:rPr>
      </w:pPr>
    </w:p>
    <w:tbl>
      <w:tblPr>
        <w:tblStyle w:val="31"/>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0"/>
            <w:vAlign w:val="center"/>
          </w:tcPr>
          <w:p>
            <w:pPr>
              <w:pStyle w:val="15"/>
              <w:ind w:firstLine="0" w:firstLineChars="0"/>
              <w:jc w:val="center"/>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内容</w:t>
            </w:r>
          </w:p>
        </w:tc>
        <w:tc>
          <w:tcPr>
            <w:tcW w:w="1561" w:type="dxa"/>
            <w:noWrap w:val="0"/>
            <w:vAlign w:val="center"/>
          </w:tcPr>
          <w:p>
            <w:pPr>
              <w:pStyle w:val="15"/>
              <w:ind w:firstLine="0" w:firstLineChars="0"/>
              <w:jc w:val="center"/>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大型企业</w:t>
            </w:r>
          </w:p>
        </w:tc>
        <w:tc>
          <w:tcPr>
            <w:tcW w:w="1492" w:type="dxa"/>
            <w:noWrap w:val="0"/>
            <w:vAlign w:val="center"/>
          </w:tcPr>
          <w:p>
            <w:pPr>
              <w:pStyle w:val="15"/>
              <w:ind w:firstLine="0" w:firstLineChars="0"/>
              <w:jc w:val="center"/>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中型企业</w:t>
            </w:r>
          </w:p>
        </w:tc>
        <w:tc>
          <w:tcPr>
            <w:tcW w:w="2273" w:type="dxa"/>
            <w:noWrap w:val="0"/>
            <w:vAlign w:val="center"/>
          </w:tcPr>
          <w:p>
            <w:pPr>
              <w:pStyle w:val="15"/>
              <w:ind w:firstLine="0" w:firstLineChars="0"/>
              <w:jc w:val="center"/>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小型企业</w:t>
            </w:r>
          </w:p>
        </w:tc>
        <w:tc>
          <w:tcPr>
            <w:tcW w:w="2094" w:type="dxa"/>
            <w:noWrap w:val="0"/>
            <w:vAlign w:val="center"/>
          </w:tcPr>
          <w:p>
            <w:pPr>
              <w:pStyle w:val="15"/>
              <w:ind w:firstLine="0" w:firstLineChars="0"/>
              <w:jc w:val="center"/>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0"/>
            <w:vAlign w:val="center"/>
          </w:tcPr>
          <w:p>
            <w:pPr>
              <w:pStyle w:val="15"/>
              <w:ind w:firstLine="0" w:firstLineChars="0"/>
              <w:jc w:val="center"/>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价格=</w:t>
            </w:r>
          </w:p>
        </w:tc>
        <w:tc>
          <w:tcPr>
            <w:tcW w:w="1561" w:type="dxa"/>
            <w:noWrap w:val="0"/>
            <w:vAlign w:val="center"/>
          </w:tcPr>
          <w:p>
            <w:pPr>
              <w:pStyle w:val="15"/>
              <w:ind w:firstLine="0" w:firstLineChars="0"/>
              <w:jc w:val="center"/>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报价</w:t>
            </w:r>
          </w:p>
        </w:tc>
        <w:tc>
          <w:tcPr>
            <w:tcW w:w="1492" w:type="dxa"/>
            <w:noWrap w:val="0"/>
            <w:vAlign w:val="center"/>
          </w:tcPr>
          <w:p>
            <w:pPr>
              <w:pStyle w:val="15"/>
              <w:ind w:firstLine="0" w:firstLineChars="0"/>
              <w:jc w:val="center"/>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报价</w:t>
            </w:r>
          </w:p>
        </w:tc>
        <w:tc>
          <w:tcPr>
            <w:tcW w:w="2273" w:type="dxa"/>
            <w:noWrap w:val="0"/>
            <w:vAlign w:val="center"/>
          </w:tcPr>
          <w:p>
            <w:pPr>
              <w:pStyle w:val="15"/>
              <w:ind w:firstLine="0" w:firstLineChars="0"/>
              <w:jc w:val="center"/>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报价×（1</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lang w:val="zh-CN" w:eastAsia="zh-CN"/>
              </w:rPr>
              <w:t>-</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lang w:val="zh-CN" w:eastAsia="zh-CN"/>
              </w:rPr>
              <w:t>%）</w:t>
            </w:r>
          </w:p>
        </w:tc>
        <w:tc>
          <w:tcPr>
            <w:tcW w:w="2094" w:type="dxa"/>
            <w:noWrap w:val="0"/>
            <w:vAlign w:val="center"/>
          </w:tcPr>
          <w:p>
            <w:pPr>
              <w:pStyle w:val="15"/>
              <w:ind w:firstLine="0" w:firstLineChars="0"/>
              <w:jc w:val="center"/>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报价×（1</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lang w:val="zh-CN" w:eastAsia="zh-CN"/>
              </w:rPr>
              <w:t>-</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lang w:val="zh-CN" w:eastAsia="zh-CN"/>
              </w:rPr>
              <w:t>%）</w:t>
            </w:r>
          </w:p>
        </w:tc>
      </w:tr>
    </w:tbl>
    <w:p>
      <w:pPr>
        <w:pStyle w:val="15"/>
        <w:rPr>
          <w:rFonts w:hint="eastAsia" w:ascii="宋体" w:hAnsi="宋体" w:cs="宋体"/>
          <w:color w:val="auto"/>
          <w:highlight w:val="none"/>
        </w:rPr>
      </w:pPr>
      <w:r>
        <w:rPr>
          <w:rFonts w:hint="eastAsia" w:ascii="宋体" w:hAnsi="宋体" w:cs="宋体"/>
          <w:color w:val="auto"/>
          <w:highlight w:val="none"/>
        </w:rPr>
        <w:t>3.3.1</w:t>
      </w:r>
      <w:r>
        <w:rPr>
          <w:rFonts w:hint="eastAsia" w:ascii="宋体" w:hAnsi="宋体" w:cs="宋体"/>
          <w:color w:val="auto"/>
          <w:highlight w:val="none"/>
          <w:lang w:val="zh-CN"/>
        </w:rPr>
        <w:t>根据《政府采购促进中小企业发展管理办法》（财库[20</w:t>
      </w:r>
      <w:r>
        <w:rPr>
          <w:rFonts w:hint="eastAsia" w:ascii="宋体" w:hAnsi="宋体" w:cs="宋体"/>
          <w:color w:val="auto"/>
          <w:highlight w:val="none"/>
        </w:rPr>
        <w:t>20</w:t>
      </w:r>
      <w:r>
        <w:rPr>
          <w:rFonts w:hint="eastAsia" w:ascii="宋体" w:hAnsi="宋体" w:cs="宋体"/>
          <w:color w:val="auto"/>
          <w:highlight w:val="none"/>
          <w:lang w:val="zh-CN"/>
        </w:rPr>
        <w:t>]</w:t>
      </w:r>
      <w:r>
        <w:rPr>
          <w:rFonts w:hint="eastAsia" w:ascii="宋体" w:hAnsi="宋体" w:cs="宋体"/>
          <w:color w:val="auto"/>
          <w:highlight w:val="none"/>
        </w:rPr>
        <w:t>46</w:t>
      </w:r>
      <w:r>
        <w:rPr>
          <w:rFonts w:hint="eastAsia" w:ascii="宋体" w:hAnsi="宋体" w:cs="宋体"/>
          <w:color w:val="auto"/>
          <w:highlight w:val="none"/>
          <w:lang w:val="zh-CN"/>
        </w:rPr>
        <w:t>号）的规定、《工业和信息化部、国家统计局、国家发展和改革委员会、财政部关于印发中小企业划型标准规定的通知》（工信部联企业[</w:t>
      </w:r>
      <w:r>
        <w:rPr>
          <w:rFonts w:hint="eastAsia" w:ascii="宋体" w:hAnsi="宋体" w:cs="宋体"/>
          <w:color w:val="auto"/>
          <w:highlight w:val="none"/>
        </w:rPr>
        <w:t>20</w:t>
      </w:r>
      <w:r>
        <w:rPr>
          <w:rFonts w:hint="eastAsia" w:ascii="宋体" w:hAnsi="宋体" w:cs="宋体"/>
          <w:color w:val="auto"/>
          <w:highlight w:val="none"/>
          <w:lang w:val="zh-CN"/>
        </w:rPr>
        <w:t>11]300号）、河南省财政厅 河南省工业和信息化厅《关于政府采购促进小型微型企业发展的实施意见》（豫财购[</w:t>
      </w:r>
      <w:r>
        <w:rPr>
          <w:rFonts w:hint="eastAsia" w:ascii="宋体" w:hAnsi="宋体" w:cs="宋体"/>
          <w:color w:val="auto"/>
          <w:highlight w:val="none"/>
        </w:rPr>
        <w:t>20</w:t>
      </w:r>
      <w:r>
        <w:rPr>
          <w:rFonts w:hint="eastAsia" w:ascii="宋体" w:hAnsi="宋体" w:cs="宋体"/>
          <w:color w:val="auto"/>
          <w:highlight w:val="none"/>
          <w:lang w:val="zh-CN"/>
        </w:rPr>
        <w:t>13]14号）文件规定，对小型和微型企业产品的价格给予</w:t>
      </w:r>
      <w:r>
        <w:rPr>
          <w:rFonts w:hint="eastAsia" w:ascii="宋体" w:hAnsi="宋体" w:cs="宋体"/>
          <w:color w:val="auto"/>
          <w:highlight w:val="none"/>
          <w:lang w:val="en-US" w:eastAsia="zh-CN"/>
        </w:rPr>
        <w:t>20</w:t>
      </w:r>
      <w:r>
        <w:rPr>
          <w:rFonts w:hint="eastAsia" w:ascii="宋体" w:hAnsi="宋体" w:cs="宋体"/>
          <w:color w:val="auto"/>
          <w:highlight w:val="none"/>
          <w:lang w:val="zh-CN"/>
        </w:rPr>
        <w:t>%的扣除，用扣除后的价格参与评审。</w:t>
      </w:r>
    </w:p>
    <w:p>
      <w:pPr>
        <w:pStyle w:val="15"/>
        <w:rPr>
          <w:rFonts w:hint="eastAsia" w:ascii="宋体" w:hAnsi="宋体" w:cs="宋体"/>
          <w:color w:val="auto"/>
          <w:highlight w:val="none"/>
        </w:rPr>
      </w:pPr>
      <w:r>
        <w:rPr>
          <w:rFonts w:hint="eastAsia" w:ascii="宋体" w:hAnsi="宋体" w:cs="宋体"/>
          <w:color w:val="auto"/>
          <w:highlight w:val="none"/>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的价格扣除，但必须提供由省级以上监狱管理局、戒毒管理局（含新疆生产建设兵团）出具的属于监狱企业的证明文件，否则评审时不予价格扣除优惠。</w:t>
      </w:r>
    </w:p>
    <w:p>
      <w:pPr>
        <w:pStyle w:val="15"/>
        <w:rPr>
          <w:rFonts w:hint="eastAsia" w:ascii="宋体" w:hAnsi="宋体" w:cs="宋体"/>
          <w:color w:val="auto"/>
          <w:highlight w:val="none"/>
        </w:rPr>
      </w:pPr>
      <w:r>
        <w:rPr>
          <w:rFonts w:hint="eastAsia" w:ascii="宋体" w:hAnsi="宋体" w:cs="宋体"/>
          <w:color w:val="auto"/>
          <w:highlight w:val="none"/>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竞争性磋商响应文件格式)，并对声明的真实性负责。</w:t>
      </w:r>
    </w:p>
    <w:p>
      <w:pPr>
        <w:pStyle w:val="15"/>
        <w:ind w:firstLine="422"/>
        <w:rPr>
          <w:rFonts w:hint="eastAsia" w:ascii="宋体" w:hAnsi="宋体" w:cs="宋体"/>
          <w:b/>
          <w:bCs/>
          <w:color w:val="auto"/>
          <w:highlight w:val="none"/>
        </w:rPr>
      </w:pPr>
      <w:r>
        <w:rPr>
          <w:rFonts w:hint="eastAsia" w:ascii="宋体" w:hAnsi="宋体" w:cs="宋体"/>
          <w:b/>
          <w:bCs/>
          <w:color w:val="auto"/>
          <w:highlight w:val="none"/>
        </w:rPr>
        <w:t>注：投标价格为含税价。</w:t>
      </w:r>
    </w:p>
    <w:p>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394" w:name="_Toc13240"/>
      <w:r>
        <w:rPr>
          <w:rFonts w:hint="eastAsia" w:ascii="宋体" w:hAnsi="宋体" w:eastAsia="宋体"/>
          <w:b/>
          <w:bCs/>
          <w:color w:val="auto"/>
          <w:sz w:val="21"/>
          <w:szCs w:val="21"/>
          <w:highlight w:val="none"/>
        </w:rPr>
        <w:t>3.3 磋商有效期</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90"/>
      <w:bookmarkEnd w:id="391"/>
      <w:bookmarkEnd w:id="392"/>
      <w:bookmarkEnd w:id="393"/>
      <w:bookmarkEnd w:id="394"/>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3.3.1 在供应商须知前附表规定的磋商有效期内，供应商不得要求撤销或修改其响应文件。</w:t>
      </w:r>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 xml:space="preserve">3.3.2出现特殊情况需要延长磋商有效期的，采购人以书面形式通知所有供应商延长磋商有效期。供应商同意延长的，但不得要求或被允许修改或撤销其响应文件；供应商拒绝延长的，其响应文件失效。 </w:t>
      </w:r>
    </w:p>
    <w:p>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395" w:name="_Toc455867787"/>
      <w:bookmarkStart w:id="396" w:name="_Toc466298110"/>
      <w:bookmarkStart w:id="397" w:name="_Toc7973"/>
      <w:bookmarkStart w:id="398" w:name="_Toc152045550"/>
      <w:bookmarkStart w:id="399" w:name="_Toc22634"/>
      <w:bookmarkStart w:id="400" w:name="_Toc8406"/>
      <w:bookmarkStart w:id="401" w:name="_Toc7618"/>
      <w:bookmarkStart w:id="402" w:name="_Toc10370"/>
      <w:bookmarkStart w:id="403" w:name="_Toc152042326"/>
      <w:bookmarkStart w:id="404" w:name="_Toc144974518"/>
      <w:bookmarkStart w:id="405" w:name="_Toc455080127"/>
      <w:bookmarkStart w:id="406" w:name="_Toc2505"/>
      <w:bookmarkStart w:id="407" w:name="_Toc318450694"/>
      <w:bookmarkStart w:id="408" w:name="_Toc4165"/>
      <w:bookmarkStart w:id="409" w:name="_Toc30697"/>
      <w:bookmarkStart w:id="410" w:name="_Toc7057"/>
      <w:bookmarkStart w:id="411" w:name="_Toc490667847"/>
      <w:bookmarkStart w:id="412" w:name="_Toc7436"/>
      <w:bookmarkStart w:id="413" w:name="_Toc13403"/>
      <w:bookmarkStart w:id="414" w:name="_Toc11372"/>
      <w:bookmarkStart w:id="415" w:name="_Toc13921"/>
      <w:bookmarkStart w:id="416" w:name="_Toc24281"/>
      <w:bookmarkStart w:id="417" w:name="_Toc24456"/>
      <w:r>
        <w:rPr>
          <w:rFonts w:hint="eastAsia" w:ascii="宋体" w:hAnsi="宋体" w:eastAsia="宋体"/>
          <w:b/>
          <w:bCs/>
          <w:color w:val="auto"/>
          <w:sz w:val="21"/>
          <w:szCs w:val="21"/>
          <w:highlight w:val="none"/>
        </w:rPr>
        <w:t>3.4 磋商保证金</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Start w:id="418" w:name="_Toc144974520"/>
      <w:bookmarkStart w:id="419" w:name="_Toc152042328"/>
      <w:bookmarkStart w:id="420" w:name="_Toc318450695"/>
      <w:bookmarkStart w:id="421" w:name="_Toc152045552"/>
      <w:r>
        <w:rPr>
          <w:rFonts w:hint="eastAsia" w:ascii="宋体" w:hAnsi="宋体" w:eastAsia="宋体"/>
          <w:b/>
          <w:bCs/>
          <w:color w:val="auto"/>
          <w:sz w:val="21"/>
          <w:szCs w:val="21"/>
          <w:highlight w:val="none"/>
        </w:rPr>
        <w:t>：无。</w:t>
      </w:r>
      <w:bookmarkEnd w:id="412"/>
      <w:bookmarkEnd w:id="413"/>
      <w:bookmarkEnd w:id="414"/>
      <w:bookmarkEnd w:id="415"/>
      <w:bookmarkEnd w:id="416"/>
      <w:bookmarkEnd w:id="417"/>
    </w:p>
    <w:p>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422" w:name="_Toc13680"/>
      <w:bookmarkStart w:id="423" w:name="_Toc15547"/>
      <w:bookmarkStart w:id="424" w:name="_Toc455867788"/>
      <w:bookmarkStart w:id="425" w:name="_Toc490667848"/>
      <w:bookmarkStart w:id="426" w:name="_Toc17153"/>
      <w:bookmarkStart w:id="427" w:name="_Toc2794"/>
      <w:bookmarkStart w:id="428" w:name="_Toc16747"/>
      <w:bookmarkStart w:id="429" w:name="_Toc20328"/>
      <w:bookmarkStart w:id="430" w:name="_Toc29082"/>
      <w:bookmarkStart w:id="431" w:name="_Toc455080128"/>
      <w:bookmarkStart w:id="432" w:name="_Toc11077"/>
      <w:bookmarkStart w:id="433" w:name="_Toc17148"/>
      <w:bookmarkStart w:id="434" w:name="_Toc22384"/>
      <w:bookmarkStart w:id="435" w:name="_Toc31935"/>
      <w:bookmarkStart w:id="436" w:name="_Toc27579"/>
      <w:bookmarkStart w:id="437" w:name="_Toc22527"/>
      <w:bookmarkStart w:id="438" w:name="_Toc466298111"/>
      <w:bookmarkStart w:id="439" w:name="_Toc30696"/>
      <w:bookmarkStart w:id="440" w:name="_Toc23136"/>
      <w:r>
        <w:rPr>
          <w:rFonts w:hint="eastAsia" w:ascii="宋体" w:hAnsi="宋体" w:eastAsia="宋体"/>
          <w:b/>
          <w:bCs/>
          <w:color w:val="auto"/>
          <w:sz w:val="21"/>
          <w:szCs w:val="21"/>
          <w:highlight w:val="none"/>
        </w:rPr>
        <w:t>3.5资格审查资料</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pPr>
        <w:pStyle w:val="68"/>
        <w:pageBreakBefore w:val="0"/>
        <w:kinsoku/>
        <w:overflowPunct/>
        <w:bidi w:val="0"/>
        <w:spacing w:line="360" w:lineRule="auto"/>
        <w:ind w:firstLine="0" w:firstLineChars="0"/>
        <w:outlineLvl w:val="0"/>
        <w:rPr>
          <w:rFonts w:ascii="宋体" w:hAnsi="宋体" w:eastAsia="宋体"/>
          <w:color w:val="auto"/>
          <w:sz w:val="21"/>
          <w:szCs w:val="21"/>
          <w:highlight w:val="none"/>
        </w:rPr>
      </w:pPr>
      <w:bookmarkStart w:id="441" w:name="_Toc20557"/>
      <w:bookmarkStart w:id="442" w:name="_Toc933"/>
      <w:bookmarkStart w:id="443" w:name="_Toc13787"/>
      <w:bookmarkStart w:id="444" w:name="_Toc10160"/>
      <w:bookmarkStart w:id="445" w:name="_Toc1848"/>
      <w:bookmarkStart w:id="446" w:name="_Toc4586"/>
      <w:bookmarkStart w:id="447" w:name="_Toc26258"/>
      <w:bookmarkStart w:id="448" w:name="_Toc3286"/>
      <w:bookmarkStart w:id="449" w:name="_Toc18915"/>
      <w:bookmarkStart w:id="450" w:name="_Toc152045553"/>
      <w:bookmarkStart w:id="451" w:name="_Toc466298112"/>
      <w:bookmarkStart w:id="452" w:name="_Toc19724"/>
      <w:bookmarkStart w:id="453" w:name="_Toc152042329"/>
      <w:bookmarkStart w:id="454" w:name="_Toc5132"/>
      <w:bookmarkStart w:id="455" w:name="_Toc490667849"/>
      <w:bookmarkStart w:id="456" w:name="_Toc11694"/>
      <w:bookmarkStart w:id="457" w:name="_Toc455080129"/>
      <w:bookmarkStart w:id="458" w:name="_Toc9015"/>
      <w:bookmarkStart w:id="459" w:name="_Toc144974521"/>
      <w:bookmarkStart w:id="460" w:name="_Toc30442"/>
      <w:bookmarkStart w:id="461" w:name="_Toc455867789"/>
      <w:bookmarkStart w:id="462" w:name="_Toc318450696"/>
      <w:bookmarkStart w:id="463" w:name="_Toc1228"/>
      <w:r>
        <w:rPr>
          <w:rFonts w:hint="eastAsia" w:ascii="宋体" w:hAnsi="宋体" w:eastAsia="宋体"/>
          <w:color w:val="auto"/>
          <w:sz w:val="21"/>
          <w:szCs w:val="21"/>
          <w:highlight w:val="none"/>
        </w:rPr>
        <w:t>按照第二章供应商须知表“供应商须知前附表”1.5.1要求，提供其他相关材料。</w:t>
      </w:r>
      <w:bookmarkEnd w:id="441"/>
      <w:bookmarkEnd w:id="442"/>
      <w:bookmarkEnd w:id="443"/>
      <w:bookmarkEnd w:id="444"/>
      <w:bookmarkEnd w:id="445"/>
      <w:bookmarkEnd w:id="446"/>
    </w:p>
    <w:p>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464" w:name="_Toc3034"/>
      <w:bookmarkStart w:id="465" w:name="_Toc2472"/>
      <w:bookmarkStart w:id="466" w:name="_Toc9338"/>
      <w:bookmarkStart w:id="467" w:name="_Toc27283"/>
      <w:bookmarkStart w:id="468" w:name="_Toc24976"/>
      <w:bookmarkStart w:id="469" w:name="_Toc24859"/>
      <w:r>
        <w:rPr>
          <w:rFonts w:hint="eastAsia" w:ascii="宋体" w:hAnsi="宋体" w:eastAsia="宋体"/>
          <w:b/>
          <w:bCs/>
          <w:color w:val="auto"/>
          <w:sz w:val="21"/>
          <w:szCs w:val="21"/>
          <w:highlight w:val="none"/>
        </w:rPr>
        <w:t>3.6 备选方案</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除供应商须知前附表另有规定外，供应商不得递交备选磋商方案。</w:t>
      </w:r>
    </w:p>
    <w:p>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470" w:name="_Toc5516"/>
      <w:bookmarkStart w:id="471" w:name="_Toc18912"/>
      <w:bookmarkStart w:id="472" w:name="_Toc466298113"/>
      <w:bookmarkStart w:id="473" w:name="_Toc318450697"/>
      <w:bookmarkStart w:id="474" w:name="_Toc152042330"/>
      <w:bookmarkStart w:id="475" w:name="_Toc455867790"/>
      <w:bookmarkStart w:id="476" w:name="_Toc6323"/>
      <w:bookmarkStart w:id="477" w:name="_Toc490667850"/>
      <w:bookmarkStart w:id="478" w:name="_Toc22454"/>
      <w:bookmarkStart w:id="479" w:name="_Toc12541"/>
      <w:bookmarkStart w:id="480" w:name="_Toc25620"/>
      <w:bookmarkStart w:id="481" w:name="_Toc455080130"/>
      <w:bookmarkStart w:id="482" w:name="_Toc144974522"/>
      <w:bookmarkStart w:id="483" w:name="_Toc28656"/>
      <w:bookmarkStart w:id="484" w:name="_Toc7966"/>
      <w:bookmarkStart w:id="485" w:name="_Toc18141"/>
      <w:bookmarkStart w:id="486" w:name="_Toc10246"/>
      <w:bookmarkStart w:id="487" w:name="_Toc1358"/>
      <w:bookmarkStart w:id="488" w:name="_Toc12275"/>
      <w:bookmarkStart w:id="489" w:name="_Toc7626"/>
      <w:bookmarkStart w:id="490" w:name="_Toc17697"/>
      <w:bookmarkStart w:id="491" w:name="_Toc8143"/>
      <w:bookmarkStart w:id="492" w:name="_Toc152045554"/>
      <w:r>
        <w:rPr>
          <w:rFonts w:hint="eastAsia" w:ascii="宋体" w:hAnsi="宋体" w:eastAsia="宋体"/>
          <w:b/>
          <w:bCs/>
          <w:color w:val="auto"/>
          <w:sz w:val="21"/>
          <w:szCs w:val="21"/>
          <w:highlight w:val="none"/>
        </w:rPr>
        <w:t>3.7 响应文件的编制</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pageBreakBefore w:val="0"/>
        <w:kinsoku/>
        <w:overflowPunct/>
        <w:bidi w:val="0"/>
        <w:spacing w:line="360" w:lineRule="auto"/>
        <w:ind w:firstLine="0" w:firstLineChars="0"/>
        <w:rPr>
          <w:rFonts w:ascii="宋体" w:hAnsi="宋体" w:cs="宋体"/>
          <w:color w:val="auto"/>
          <w:szCs w:val="21"/>
          <w:highlight w:val="none"/>
        </w:rPr>
      </w:pPr>
      <w:bookmarkStart w:id="493" w:name="_Toc152045555"/>
      <w:bookmarkStart w:id="494" w:name="_Toc152042331"/>
      <w:bookmarkStart w:id="495" w:name="_Toc455080131"/>
      <w:bookmarkStart w:id="496" w:name="_Toc144974523"/>
      <w:r>
        <w:rPr>
          <w:rFonts w:hint="eastAsia" w:ascii="宋体" w:hAnsi="宋体" w:cs="宋体"/>
          <w:color w:val="auto"/>
          <w:szCs w:val="21"/>
          <w:highlight w:val="none"/>
        </w:rPr>
        <w:t>3.7.1响应文件应按第六章“竞争性磋商响应文件格式”进行编写，如有必要，可以增加附页，作为响应文件的组成部分。其中，响应函附录在满足竞争性磋商文件实质性要求的基础上，可以提出比竞争性磋商文件要求更有利于采购人的承诺。</w:t>
      </w:r>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3.7.2 响应文件应当对竞争性磋商文件有关交货期、磋商有效期、质量要求、磋商内容作出响应。</w:t>
      </w:r>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3.7.3响应文件应使用信阳市公共资源交易系统投标文件制作专用工具软件编制，竞争性磋商响应文件格式为“*.XYTF”。电子响应文件签字或盖章的具体要求见供应商须知前附表。）供应商须在响应文件递交截止时间前制作并提交。</w:t>
      </w:r>
    </w:p>
    <w:p>
      <w:pPr>
        <w:pageBreakBefore w:val="0"/>
        <w:kinsoku/>
        <w:overflowPunct/>
        <w:bidi w:val="0"/>
        <w:spacing w:line="360" w:lineRule="auto"/>
        <w:ind w:firstLine="0" w:firstLineChars="0"/>
        <w:rPr>
          <w:rFonts w:ascii="宋体" w:hAnsi="宋体" w:cs="宋体"/>
          <w:color w:val="auto"/>
          <w:highlight w:val="none"/>
        </w:rPr>
      </w:pPr>
      <w:r>
        <w:rPr>
          <w:rFonts w:hint="eastAsia" w:ascii="宋体" w:hAnsi="宋体" w:cs="宋体"/>
          <w:color w:val="auto"/>
          <w:szCs w:val="21"/>
          <w:highlight w:val="none"/>
        </w:rPr>
        <w:t xml:space="preserve"> 3.7.4 响应文件份数见供应商须知前附表。</w:t>
      </w:r>
    </w:p>
    <w:p>
      <w:pPr>
        <w:pStyle w:val="67"/>
        <w:pageBreakBefore w:val="0"/>
        <w:kinsoku/>
        <w:overflowPunct/>
        <w:bidi w:val="0"/>
        <w:spacing w:line="360" w:lineRule="auto"/>
        <w:ind w:firstLine="0" w:firstLineChars="0"/>
        <w:rPr>
          <w:rFonts w:ascii="宋体" w:hAnsi="宋体" w:eastAsia="宋体"/>
          <w:b/>
          <w:bCs/>
          <w:color w:val="auto"/>
          <w:sz w:val="21"/>
          <w:szCs w:val="21"/>
          <w:highlight w:val="none"/>
        </w:rPr>
      </w:pPr>
      <w:bookmarkStart w:id="497" w:name="_Toc19433"/>
      <w:bookmarkStart w:id="498" w:name="_Toc18951"/>
      <w:r>
        <w:rPr>
          <w:rFonts w:hint="eastAsia" w:ascii="宋体" w:hAnsi="宋体" w:eastAsia="宋体"/>
          <w:b/>
          <w:bCs/>
          <w:color w:val="auto"/>
          <w:sz w:val="21"/>
          <w:szCs w:val="21"/>
          <w:highlight w:val="none"/>
        </w:rPr>
        <w:t xml:space="preserve">4. </w:t>
      </w:r>
      <w:bookmarkEnd w:id="493"/>
      <w:bookmarkEnd w:id="494"/>
      <w:bookmarkEnd w:id="495"/>
      <w:bookmarkEnd w:id="496"/>
      <w:r>
        <w:rPr>
          <w:rFonts w:hint="eastAsia" w:ascii="宋体" w:hAnsi="宋体" w:eastAsia="宋体"/>
          <w:b/>
          <w:bCs/>
          <w:color w:val="auto"/>
          <w:sz w:val="21"/>
          <w:szCs w:val="21"/>
          <w:highlight w:val="none"/>
        </w:rPr>
        <w:t>磋商</w:t>
      </w:r>
      <w:bookmarkEnd w:id="497"/>
      <w:bookmarkEnd w:id="498"/>
    </w:p>
    <w:p>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499" w:name="_Toc31492"/>
      <w:bookmarkStart w:id="500" w:name="_Toc455867792"/>
      <w:bookmarkStart w:id="501" w:name="_Toc26583"/>
      <w:bookmarkStart w:id="502" w:name="_Toc16344"/>
      <w:bookmarkStart w:id="503" w:name="_Toc144974524"/>
      <w:bookmarkStart w:id="504" w:name="_Toc16783"/>
      <w:bookmarkStart w:id="505" w:name="_Toc22961"/>
      <w:bookmarkStart w:id="506" w:name="_Toc18820"/>
      <w:bookmarkStart w:id="507" w:name="_Toc152042332"/>
      <w:bookmarkStart w:id="508" w:name="_Toc455080132"/>
      <w:bookmarkStart w:id="509" w:name="_Toc11243"/>
      <w:bookmarkStart w:id="510" w:name="_Toc466298115"/>
      <w:bookmarkStart w:id="511" w:name="_Toc16962"/>
      <w:bookmarkStart w:id="512" w:name="_Toc490667852"/>
      <w:bookmarkStart w:id="513" w:name="_Toc26550"/>
      <w:bookmarkStart w:id="514" w:name="_Toc152045556"/>
      <w:bookmarkStart w:id="515" w:name="_Toc318450699"/>
      <w:bookmarkStart w:id="516" w:name="_Toc7666"/>
      <w:bookmarkStart w:id="517" w:name="_Toc9644"/>
      <w:bookmarkStart w:id="518" w:name="_Toc24560"/>
      <w:bookmarkStart w:id="519" w:name="_Toc21145"/>
      <w:bookmarkStart w:id="520" w:name="_Toc29366"/>
      <w:bookmarkStart w:id="521" w:name="_Toc25812"/>
      <w:r>
        <w:rPr>
          <w:rFonts w:hint="eastAsia" w:ascii="宋体" w:hAnsi="宋体" w:eastAsia="宋体"/>
          <w:b/>
          <w:bCs/>
          <w:color w:val="auto"/>
          <w:sz w:val="21"/>
          <w:szCs w:val="21"/>
          <w:highlight w:val="none"/>
        </w:rPr>
        <w:t>4.1 响应文件的</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rPr>
          <w:rFonts w:hint="eastAsia" w:ascii="宋体" w:hAnsi="宋体" w:eastAsia="宋体"/>
          <w:b/>
          <w:bCs/>
          <w:color w:val="auto"/>
          <w:sz w:val="21"/>
          <w:szCs w:val="21"/>
          <w:highlight w:val="none"/>
        </w:rPr>
        <w:t>上传</w:t>
      </w:r>
      <w:bookmarkEnd w:id="516"/>
      <w:bookmarkEnd w:id="517"/>
      <w:bookmarkEnd w:id="518"/>
      <w:bookmarkEnd w:id="519"/>
      <w:bookmarkEnd w:id="520"/>
      <w:bookmarkEnd w:id="521"/>
    </w:p>
    <w:p>
      <w:pPr>
        <w:pageBreakBefore w:val="0"/>
        <w:kinsoku/>
        <w:overflowPunct/>
        <w:bidi w:val="0"/>
        <w:spacing w:line="360" w:lineRule="auto"/>
        <w:ind w:firstLine="0" w:firstLineChars="0"/>
        <w:rPr>
          <w:rFonts w:ascii="宋体" w:hAnsi="宋体"/>
          <w:color w:val="auto"/>
          <w:szCs w:val="21"/>
          <w:highlight w:val="none"/>
        </w:rPr>
      </w:pPr>
      <w:r>
        <w:rPr>
          <w:rFonts w:hint="eastAsia" w:ascii="宋体" w:hAnsi="宋体" w:cs="宋体"/>
          <w:color w:val="auto"/>
          <w:szCs w:val="21"/>
          <w:highlight w:val="none"/>
        </w:rPr>
        <w:t>4.1.1网上上传的电子响应文件应使用供应商数字证书认证并加密</w:t>
      </w:r>
      <w:r>
        <w:rPr>
          <w:rFonts w:hint="eastAsia" w:ascii="宋体" w:hAnsi="宋体"/>
          <w:color w:val="auto"/>
          <w:szCs w:val="21"/>
          <w:highlight w:val="none"/>
        </w:rPr>
        <w:t>。</w:t>
      </w:r>
    </w:p>
    <w:p>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522" w:name="_Toc16832"/>
      <w:bookmarkStart w:id="523" w:name="_Toc15488"/>
      <w:bookmarkStart w:id="524" w:name="_Toc455080133"/>
      <w:bookmarkStart w:id="525" w:name="_Toc28272"/>
      <w:bookmarkStart w:id="526" w:name="_Toc20259"/>
      <w:bookmarkStart w:id="527" w:name="_Toc7663"/>
      <w:bookmarkStart w:id="528" w:name="_Toc466298116"/>
      <w:bookmarkStart w:id="529" w:name="_Toc144974525"/>
      <w:bookmarkStart w:id="530" w:name="_Toc16394"/>
      <w:bookmarkStart w:id="531" w:name="_Toc462"/>
      <w:bookmarkStart w:id="532" w:name="_Toc318450700"/>
      <w:bookmarkStart w:id="533" w:name="_Toc152042333"/>
      <w:bookmarkStart w:id="534" w:name="_Toc4767"/>
      <w:bookmarkStart w:id="535" w:name="_Toc455867793"/>
      <w:bookmarkStart w:id="536" w:name="_Toc490667853"/>
      <w:bookmarkStart w:id="537" w:name="_Toc21072"/>
      <w:bookmarkStart w:id="538" w:name="_Toc28929"/>
      <w:bookmarkStart w:id="539" w:name="_Toc22202"/>
      <w:bookmarkStart w:id="540" w:name="_Toc152045557"/>
      <w:bookmarkStart w:id="541" w:name="_Toc16976"/>
      <w:bookmarkStart w:id="542" w:name="_Toc27132"/>
      <w:bookmarkStart w:id="543" w:name="_Toc21897"/>
      <w:bookmarkStart w:id="544" w:name="_Toc8754"/>
      <w:r>
        <w:rPr>
          <w:rFonts w:hint="eastAsia" w:ascii="宋体" w:hAnsi="宋体" w:eastAsia="宋体"/>
          <w:b/>
          <w:bCs/>
          <w:color w:val="auto"/>
          <w:sz w:val="21"/>
          <w:szCs w:val="21"/>
          <w:highlight w:val="none"/>
        </w:rPr>
        <w:t>4.2 响应文件的递交</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pPr>
        <w:pageBreakBefore w:val="0"/>
        <w:kinsoku/>
        <w:overflowPunct/>
        <w:bidi w:val="0"/>
        <w:spacing w:line="400" w:lineRule="exact"/>
        <w:ind w:firstLine="0" w:firstLineChars="0"/>
        <w:rPr>
          <w:rFonts w:ascii="宋体" w:hAnsi="宋体" w:cs="宋体"/>
          <w:color w:val="auto"/>
          <w:highlight w:val="none"/>
        </w:rPr>
      </w:pPr>
      <w:bookmarkStart w:id="545" w:name="_Toc2952"/>
      <w:bookmarkStart w:id="546" w:name="_Toc490667854"/>
      <w:bookmarkStart w:id="547" w:name="_Toc152042334"/>
      <w:bookmarkStart w:id="548" w:name="_Toc30860"/>
      <w:bookmarkStart w:id="549" w:name="_Toc5102"/>
      <w:bookmarkStart w:id="550" w:name="_Toc17161"/>
      <w:bookmarkStart w:id="551" w:name="_Toc11817"/>
      <w:bookmarkStart w:id="552" w:name="_Toc21890"/>
      <w:bookmarkStart w:id="553" w:name="_Toc152045558"/>
      <w:bookmarkStart w:id="554" w:name="_Toc26684"/>
      <w:bookmarkStart w:id="555" w:name="_Toc455867794"/>
      <w:bookmarkStart w:id="556" w:name="_Toc20281"/>
      <w:bookmarkStart w:id="557" w:name="_Toc144974526"/>
      <w:bookmarkStart w:id="558" w:name="_Toc19951"/>
      <w:bookmarkStart w:id="559" w:name="_Toc455080134"/>
      <w:bookmarkStart w:id="560" w:name="_Toc318450701"/>
      <w:bookmarkStart w:id="561" w:name="_Toc466298117"/>
      <w:r>
        <w:rPr>
          <w:rFonts w:hint="eastAsia" w:ascii="宋体" w:hAnsi="宋体" w:cs="宋体"/>
          <w:color w:val="auto"/>
          <w:highlight w:val="none"/>
        </w:rPr>
        <w:t>4.2.1电子响应文件的递交</w:t>
      </w:r>
    </w:p>
    <w:p>
      <w:pPr>
        <w:pageBreakBefore w:val="0"/>
        <w:kinsoku/>
        <w:overflowPunct/>
        <w:bidi w:val="0"/>
        <w:spacing w:line="400" w:lineRule="exact"/>
        <w:ind w:firstLine="0" w:firstLineChars="0"/>
        <w:rPr>
          <w:rFonts w:ascii="宋体" w:hAnsi="宋体" w:cs="宋体"/>
          <w:color w:val="auto"/>
          <w:highlight w:val="none"/>
        </w:rPr>
      </w:pPr>
      <w:r>
        <w:rPr>
          <w:rFonts w:hint="eastAsia" w:ascii="宋体" w:hAnsi="宋体" w:cs="宋体"/>
          <w:color w:val="auto"/>
          <w:highlight w:val="none"/>
        </w:rPr>
        <w:t>各供应商应在响应文件提交截止时间前上传加密的电子响应文件（*.XYTF）到会员系统的指定位置。上传的电子响应文件应使用供应商CA数字证书认证并加密。上传时必须得到交易系统“上传成功”的确认回复后方为上传成功。请供应商在上传前务必认真检查上传响应文件是否完整、正确。</w:t>
      </w:r>
    </w:p>
    <w:p>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562" w:name="_Toc11973"/>
      <w:bookmarkStart w:id="563" w:name="_Toc21902"/>
      <w:bookmarkStart w:id="564" w:name="_Toc12093"/>
      <w:bookmarkStart w:id="565" w:name="_Toc15897"/>
      <w:bookmarkStart w:id="566" w:name="_Toc19985"/>
      <w:bookmarkStart w:id="567" w:name="_Toc1790"/>
      <w:r>
        <w:rPr>
          <w:rFonts w:hint="eastAsia" w:ascii="宋体" w:hAnsi="宋体" w:eastAsia="宋体"/>
          <w:b/>
          <w:bCs/>
          <w:color w:val="auto"/>
          <w:sz w:val="21"/>
          <w:szCs w:val="21"/>
          <w:highlight w:val="none"/>
        </w:rPr>
        <w:t>4.3 响应文件的修改与撤回</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pPr>
        <w:pageBreakBefore w:val="0"/>
        <w:kinsoku/>
        <w:overflowPunct/>
        <w:bidi w:val="0"/>
        <w:spacing w:line="400" w:lineRule="exact"/>
        <w:ind w:firstLine="0" w:firstLineChars="0"/>
        <w:rPr>
          <w:rFonts w:ascii="宋体" w:hAnsi="宋体" w:cs="宋体"/>
          <w:color w:val="auto"/>
          <w:szCs w:val="21"/>
          <w:highlight w:val="none"/>
        </w:rPr>
      </w:pPr>
      <w:bookmarkStart w:id="568" w:name="_Toc144974527"/>
      <w:bookmarkStart w:id="569" w:name="_Toc152042335"/>
      <w:bookmarkStart w:id="570" w:name="_Toc152045559"/>
      <w:bookmarkStart w:id="571" w:name="_Toc455080135"/>
      <w:r>
        <w:rPr>
          <w:rFonts w:hint="eastAsia" w:ascii="宋体" w:hAnsi="宋体" w:cs="宋体"/>
          <w:color w:val="auto"/>
          <w:szCs w:val="21"/>
          <w:highlight w:val="none"/>
        </w:rPr>
        <w:t>4.3.1 在第一章“竞争性磋商公告”规定的响应文件提交截止时间前，供应商可以多次修改或撤回已递交的响应文件，最终响应文件以响应文件提交截止时间前完成上传至信阳市公共资源交易中心交易系统最后一份响应文件为准。</w:t>
      </w:r>
    </w:p>
    <w:p>
      <w:pPr>
        <w:pageBreakBefore w:val="0"/>
        <w:kinsoku/>
        <w:overflowPunct/>
        <w:bidi w:val="0"/>
        <w:spacing w:line="40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4.3.2修改的响应文件应按照本章第3.7条、第4.2条规定进行编制和递交。</w:t>
      </w:r>
    </w:p>
    <w:bookmarkEnd w:id="568"/>
    <w:bookmarkEnd w:id="569"/>
    <w:bookmarkEnd w:id="570"/>
    <w:p>
      <w:pPr>
        <w:pageBreakBefore w:val="0"/>
        <w:kinsoku/>
        <w:overflowPunct/>
        <w:bidi w:val="0"/>
        <w:spacing w:line="400" w:lineRule="exact"/>
        <w:ind w:firstLine="0" w:firstLineChars="0"/>
        <w:outlineLvl w:val="1"/>
        <w:rPr>
          <w:rFonts w:ascii="宋体" w:hAnsi="宋体"/>
          <w:b/>
          <w:bCs/>
          <w:color w:val="auto"/>
          <w:szCs w:val="21"/>
          <w:highlight w:val="none"/>
        </w:rPr>
      </w:pPr>
      <w:bookmarkStart w:id="572" w:name="_Toc14969"/>
      <w:bookmarkStart w:id="573" w:name="_Toc7480"/>
      <w:r>
        <w:rPr>
          <w:rFonts w:hint="eastAsia" w:ascii="宋体" w:hAnsi="宋体"/>
          <w:b/>
          <w:bCs/>
          <w:color w:val="auto"/>
          <w:szCs w:val="21"/>
          <w:highlight w:val="none"/>
        </w:rPr>
        <w:t>5.磋商开始</w:t>
      </w:r>
      <w:bookmarkEnd w:id="571"/>
      <w:bookmarkEnd w:id="572"/>
      <w:bookmarkEnd w:id="573"/>
      <w:bookmarkStart w:id="574" w:name="_Toc455867796"/>
      <w:bookmarkStart w:id="575" w:name="_Toc14"/>
      <w:bookmarkStart w:id="576" w:name="_Toc152045560"/>
      <w:bookmarkStart w:id="577" w:name="_Toc490667856"/>
      <w:bookmarkStart w:id="578" w:name="_Toc144974528"/>
      <w:bookmarkStart w:id="579" w:name="_Toc9969"/>
      <w:bookmarkStart w:id="580" w:name="_Toc455080136"/>
      <w:bookmarkStart w:id="581" w:name="_Toc20333"/>
      <w:bookmarkStart w:id="582" w:name="_Toc25533"/>
      <w:bookmarkStart w:id="583" w:name="_Toc6763"/>
      <w:bookmarkStart w:id="584" w:name="_Toc16040"/>
      <w:bookmarkStart w:id="585" w:name="_Toc152042336"/>
      <w:bookmarkStart w:id="586" w:name="_Toc466298119"/>
      <w:bookmarkStart w:id="587" w:name="_Toc25809"/>
      <w:bookmarkStart w:id="588" w:name="_Toc20660"/>
      <w:bookmarkStart w:id="589" w:name="_Toc318450703"/>
      <w:bookmarkStart w:id="590" w:name="_Toc26426"/>
    </w:p>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Pr>
        <w:pageBreakBefore w:val="0"/>
        <w:kinsoku/>
        <w:overflowPunct/>
        <w:bidi w:val="0"/>
        <w:spacing w:line="440" w:lineRule="exact"/>
        <w:ind w:firstLine="0" w:firstLineChars="0"/>
        <w:rPr>
          <w:rFonts w:ascii="宋体" w:hAnsi="宋体"/>
          <w:b/>
          <w:bCs/>
          <w:color w:val="auto"/>
          <w:szCs w:val="21"/>
          <w:highlight w:val="none"/>
        </w:rPr>
      </w:pPr>
      <w:bookmarkStart w:id="591" w:name="_Toc490667857"/>
      <w:bookmarkStart w:id="592" w:name="_Toc9328"/>
      <w:bookmarkStart w:id="593" w:name="_Toc152045561"/>
      <w:bookmarkStart w:id="594" w:name="_Toc11148"/>
      <w:bookmarkStart w:id="595" w:name="_Toc152042337"/>
      <w:bookmarkStart w:id="596" w:name="_Toc747"/>
      <w:bookmarkStart w:id="597" w:name="_Toc455867797"/>
      <w:bookmarkStart w:id="598" w:name="_Toc18582"/>
      <w:bookmarkStart w:id="599" w:name="_Toc144974529"/>
      <w:bookmarkStart w:id="600" w:name="_Toc30074"/>
      <w:bookmarkStart w:id="601" w:name="_Toc466298120"/>
      <w:bookmarkStart w:id="602" w:name="_Toc30792"/>
      <w:bookmarkStart w:id="603" w:name="_Toc25911"/>
      <w:bookmarkStart w:id="604" w:name="_Toc30965"/>
      <w:bookmarkStart w:id="605" w:name="_Toc318450704"/>
      <w:bookmarkStart w:id="606" w:name="_Toc455080137"/>
      <w:bookmarkStart w:id="607" w:name="_Toc17491"/>
      <w:bookmarkStart w:id="608" w:name="_Toc3865"/>
      <w:r>
        <w:rPr>
          <w:rFonts w:hint="eastAsia" w:ascii="宋体" w:hAnsi="宋体"/>
          <w:b/>
          <w:bCs/>
          <w:color w:val="auto"/>
          <w:szCs w:val="21"/>
          <w:highlight w:val="none"/>
        </w:rPr>
        <w:t>5.1 磋商时间和地点</w:t>
      </w:r>
    </w:p>
    <w:p>
      <w:pPr>
        <w:pageBreakBefore w:val="0"/>
        <w:kinsoku/>
        <w:overflowPunct/>
        <w:bidi w:val="0"/>
        <w:spacing w:line="440" w:lineRule="exact"/>
        <w:ind w:firstLine="0" w:firstLineChars="0"/>
        <w:rPr>
          <w:rFonts w:ascii="宋体" w:hAnsi="宋体"/>
          <w:color w:val="auto"/>
          <w:szCs w:val="21"/>
          <w:highlight w:val="none"/>
        </w:rPr>
      </w:pPr>
      <w:r>
        <w:rPr>
          <w:rFonts w:hint="eastAsia" w:ascii="宋体" w:hAnsi="宋体"/>
          <w:color w:val="auto"/>
          <w:szCs w:val="21"/>
          <w:highlight w:val="none"/>
        </w:rPr>
        <w:t>5.1.1 采购人在本章规定的投标截止时间（开标时间）和供应商须知前附表规定的地点开标。</w:t>
      </w:r>
    </w:p>
    <w:p>
      <w:pPr>
        <w:pageBreakBefore w:val="0"/>
        <w:kinsoku/>
        <w:overflowPunct/>
        <w:bidi w:val="0"/>
        <w:spacing w:line="440" w:lineRule="exact"/>
        <w:ind w:firstLine="0" w:firstLineChars="0"/>
        <w:rPr>
          <w:rFonts w:ascii="宋体" w:hAnsi="宋体"/>
          <w:b/>
          <w:bCs/>
          <w:color w:val="auto"/>
          <w:szCs w:val="21"/>
          <w:highlight w:val="none"/>
        </w:rPr>
      </w:pPr>
      <w:r>
        <w:rPr>
          <w:rFonts w:hint="eastAsia" w:ascii="宋体" w:hAnsi="宋体"/>
          <w:b/>
          <w:bCs/>
          <w:color w:val="auto"/>
          <w:szCs w:val="21"/>
          <w:highlight w:val="none"/>
        </w:rPr>
        <w:t xml:space="preserve">5.1.2 本项目采用“不见面开标”交易方式，不见面开标大厅网址为 </w:t>
      </w:r>
      <w:r>
        <w:rPr>
          <w:color w:val="auto"/>
          <w:highlight w:val="none"/>
        </w:rPr>
        <w:fldChar w:fldCharType="begin"/>
      </w:r>
      <w:r>
        <w:rPr>
          <w:color w:val="auto"/>
          <w:highlight w:val="none"/>
        </w:rPr>
        <w:instrText xml:space="preserve"> HYPERLINK "http://117.158.91.68:8095/xxhy，投标人无需寄送和递交非加密的电子投标文件，无需到现场参加开标会议，无需到达现场提交原件资料。" </w:instrText>
      </w:r>
      <w:r>
        <w:rPr>
          <w:color w:val="auto"/>
          <w:highlight w:val="none"/>
        </w:rPr>
        <w:fldChar w:fldCharType="separate"/>
      </w:r>
      <w:r>
        <w:rPr>
          <w:rFonts w:hint="eastAsia" w:ascii="宋体" w:hAnsi="宋体"/>
          <w:b/>
          <w:bCs/>
          <w:color w:val="auto"/>
          <w:szCs w:val="21"/>
          <w:highlight w:val="none"/>
          <w:lang w:eastAsia="zh-CN"/>
        </w:rPr>
        <w:t>https://ggzyjy.xinyang.gov.cn/BidOpening/bidhall/xinyang/login.html</w:t>
      </w:r>
      <w:r>
        <w:rPr>
          <w:rFonts w:hint="eastAsia" w:ascii="宋体" w:hAnsi="宋体"/>
          <w:b/>
          <w:bCs/>
          <w:color w:val="auto"/>
          <w:szCs w:val="21"/>
          <w:highlight w:val="none"/>
        </w:rPr>
        <w:t>，供应商无需寄送和递交非加密的电子响应文件，无需到现场参加开标会议，无需到达现场提交原件资料。</w:t>
      </w:r>
      <w:r>
        <w:rPr>
          <w:rFonts w:hint="eastAsia" w:ascii="宋体" w:hAnsi="宋体"/>
          <w:b/>
          <w:bCs/>
          <w:color w:val="auto"/>
          <w:szCs w:val="21"/>
          <w:highlight w:val="none"/>
        </w:rPr>
        <w:fldChar w:fldCharType="end"/>
      </w:r>
    </w:p>
    <w:p>
      <w:pPr>
        <w:pageBreakBefore w:val="0"/>
        <w:kinsoku/>
        <w:overflowPunct/>
        <w:bidi w:val="0"/>
        <w:spacing w:line="440" w:lineRule="exact"/>
        <w:ind w:firstLine="0" w:firstLineChars="0"/>
        <w:rPr>
          <w:rFonts w:ascii="宋体" w:hAnsi="宋体"/>
          <w:b/>
          <w:bCs/>
          <w:color w:val="auto"/>
          <w:szCs w:val="21"/>
          <w:highlight w:val="none"/>
        </w:rPr>
      </w:pPr>
      <w:r>
        <w:rPr>
          <w:rFonts w:hint="eastAsia" w:ascii="宋体" w:hAnsi="宋体"/>
          <w:b/>
          <w:bCs/>
          <w:color w:val="auto"/>
          <w:szCs w:val="21"/>
          <w:highlight w:val="none"/>
        </w:rPr>
        <w:t>供应商应当在响应文件提交截止时间前，使用供应商CA数字证书登录不见面开标大厅，在线签到并准时参加开标活动，并在规定时间内完成响应文件解密、答疑澄清等。</w:t>
      </w:r>
    </w:p>
    <w:p>
      <w:pPr>
        <w:pageBreakBefore w:val="0"/>
        <w:kinsoku/>
        <w:overflowPunct/>
        <w:bidi w:val="0"/>
        <w:spacing w:line="440" w:lineRule="exact"/>
        <w:ind w:firstLine="0" w:firstLineChars="0"/>
        <w:rPr>
          <w:rFonts w:ascii="宋体" w:hAnsi="宋体"/>
          <w:b/>
          <w:bCs/>
          <w:color w:val="auto"/>
          <w:szCs w:val="21"/>
          <w:highlight w:val="none"/>
        </w:rPr>
      </w:pPr>
      <w:r>
        <w:rPr>
          <w:rFonts w:hint="eastAsia" w:ascii="宋体" w:hAnsi="宋体"/>
          <w:b/>
          <w:bCs/>
          <w:color w:val="auto"/>
          <w:szCs w:val="21"/>
          <w:highlight w:val="none"/>
        </w:rPr>
        <w:t>供应商需在解密开始后10分钟内完成解密（当供应商过多时，解密时间可以适当延长）。在响应文件解密过程中，因供应商原因（如供应商准备不到位、电脑网络问题等），造成无法及时解密的，将被退回响应文件。</w:t>
      </w:r>
    </w:p>
    <w:p>
      <w:pPr>
        <w:pageBreakBefore w:val="0"/>
        <w:kinsoku/>
        <w:overflowPunct/>
        <w:bidi w:val="0"/>
        <w:spacing w:line="440" w:lineRule="exact"/>
        <w:ind w:firstLine="0" w:firstLineChars="0"/>
        <w:rPr>
          <w:rFonts w:ascii="宋体" w:hAnsi="宋体"/>
          <w:b/>
          <w:bCs/>
          <w:color w:val="auto"/>
          <w:szCs w:val="21"/>
          <w:highlight w:val="none"/>
        </w:rPr>
      </w:pPr>
      <w:r>
        <w:rPr>
          <w:rFonts w:hint="eastAsia" w:ascii="宋体" w:hAnsi="宋体"/>
          <w:b/>
          <w:bCs/>
          <w:color w:val="auto"/>
          <w:szCs w:val="21"/>
          <w:highlight w:val="none"/>
        </w:rPr>
        <w:t>不见面开标服务的具体事宜，请查阅信阳市公共资源交易中心网站首页—下载中心—信阳市不见面开标大厅系统操作手册 。</w:t>
      </w:r>
    </w:p>
    <w:p>
      <w:pPr>
        <w:pageBreakBefore w:val="0"/>
        <w:kinsoku/>
        <w:overflowPunct/>
        <w:bidi w:val="0"/>
        <w:spacing w:line="440" w:lineRule="exact"/>
        <w:ind w:firstLine="0" w:firstLineChars="0"/>
        <w:rPr>
          <w:rFonts w:ascii="宋体" w:hAnsi="宋体"/>
          <w:b/>
          <w:bCs/>
          <w:color w:val="auto"/>
          <w:szCs w:val="21"/>
          <w:highlight w:val="none"/>
        </w:rPr>
      </w:pPr>
      <w:r>
        <w:rPr>
          <w:rFonts w:hint="eastAsia" w:ascii="宋体" w:hAnsi="宋体"/>
          <w:b/>
          <w:bCs/>
          <w:color w:val="auto"/>
          <w:szCs w:val="21"/>
          <w:highlight w:val="none"/>
        </w:rPr>
        <w:t xml:space="preserve">开标过程中，供应商如有异议，须在开标结束前通过系统提出，否则视同认可开标记录。开标结束后，对开标记录的任何异议不再接受。 </w:t>
      </w:r>
    </w:p>
    <w:p>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609" w:name="_Toc28600"/>
      <w:bookmarkStart w:id="610" w:name="_Toc4518"/>
      <w:bookmarkStart w:id="611" w:name="_Toc26637"/>
      <w:bookmarkStart w:id="612" w:name="_Toc21144"/>
      <w:bookmarkStart w:id="613" w:name="_Toc24353"/>
      <w:r>
        <w:rPr>
          <w:rFonts w:hint="eastAsia" w:ascii="宋体" w:hAnsi="宋体" w:eastAsia="宋体"/>
          <w:b/>
          <w:bCs/>
          <w:color w:val="auto"/>
          <w:sz w:val="21"/>
          <w:szCs w:val="21"/>
          <w:highlight w:val="none"/>
        </w:rPr>
        <w:t>5.2 磋商程序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614" w:name="_Toc27540"/>
      <w:bookmarkStart w:id="615" w:name="_Toc26086"/>
      <w:bookmarkStart w:id="616" w:name="_Toc11770"/>
      <w:bookmarkStart w:id="617" w:name="_Toc8008"/>
      <w:bookmarkStart w:id="618" w:name="_Toc30403"/>
      <w:bookmarkStart w:id="619" w:name="_Toc1467"/>
      <w:r>
        <w:rPr>
          <w:rFonts w:hint="eastAsia" w:ascii="宋体" w:hAnsi="宋体" w:eastAsia="宋体"/>
          <w:color w:val="auto"/>
          <w:sz w:val="21"/>
          <w:szCs w:val="21"/>
          <w:highlight w:val="none"/>
        </w:rPr>
        <w:t>5.2.1磋商小组对竞争性磋商文件进行熟悉确认。</w:t>
      </w:r>
      <w:bookmarkEnd w:id="614"/>
      <w:bookmarkEnd w:id="615"/>
      <w:bookmarkEnd w:id="616"/>
      <w:bookmarkEnd w:id="617"/>
      <w:bookmarkEnd w:id="618"/>
      <w:bookmarkEnd w:id="619"/>
    </w:p>
    <w:p>
      <w:pPr>
        <w:pageBreakBefore w:val="0"/>
        <w:kinsoku/>
        <w:overflowPunct/>
        <w:bidi w:val="0"/>
        <w:spacing w:line="360" w:lineRule="auto"/>
        <w:ind w:firstLine="0" w:firstLineChars="0"/>
        <w:rPr>
          <w:rFonts w:ascii="宋体" w:hAnsi="宋体" w:cs="宋体"/>
          <w:color w:val="auto"/>
          <w:szCs w:val="21"/>
          <w:highlight w:val="none"/>
        </w:rPr>
      </w:pPr>
      <w:bookmarkStart w:id="620" w:name="_Toc152042338"/>
      <w:bookmarkStart w:id="621" w:name="_Toc152045562"/>
      <w:bookmarkStart w:id="622" w:name="_Toc144974530"/>
      <w:r>
        <w:rPr>
          <w:rFonts w:hint="eastAsia" w:ascii="宋体" w:hAnsi="宋体" w:cs="宋体"/>
          <w:color w:val="auto"/>
          <w:szCs w:val="21"/>
          <w:highlight w:val="none"/>
        </w:rPr>
        <w:t>5.2.2磋商小组推选组长，讨论、通过磋商工作流程和磋商要点。</w:t>
      </w:r>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5.2.3资格评审审查：采购人依据竞争性磋商文件规定，对供应商进行审查，以确定磋商供应商是否具备参与磋商的资格。</w:t>
      </w:r>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5.2.4符合性评审审查：磋商开始后，磋商小组依据竞争性磋商文件规定，对通过资格评审的供应商进行审查，以确定磋商供应商是否具备参与磋商的资格。</w:t>
      </w:r>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5.2.5磋商小组对通过资格性和符合性审查的响应文件进行评估，确定与各竞标人磋商的具体内容。</w:t>
      </w:r>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 xml:space="preserve"> 5.2.6磋商过程中，磋商小组可以根据磋商情况实质性变动招标需求中的技术、服务要求以及合同草案条款，但不得变动竞争性磋商文件中的其他内容。实质性变动的内容需经采购人(业主)代表确认。并以书面形式通知所有参加磋商的供应商，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5.2.7磋商小组对符合招标需求的供应商进行两轮报价；供应商只有通过资格评审及符合性评审后方可进入下一轮报价，在规定的时间内同时提交报价，最终报价不得超过响应文件中报价。</w:t>
      </w:r>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5.2.8经磋商确定最终招标需求，由磋商小组采用综合评分法对通过初步评审的供应商的响应文件进行综合评分。</w:t>
      </w:r>
    </w:p>
    <w:p>
      <w:pPr>
        <w:pStyle w:val="67"/>
        <w:pageBreakBefore w:val="0"/>
        <w:kinsoku/>
        <w:overflowPunct/>
        <w:bidi w:val="0"/>
        <w:spacing w:line="360" w:lineRule="auto"/>
        <w:ind w:firstLine="0" w:firstLineChars="0"/>
        <w:rPr>
          <w:rFonts w:ascii="宋体" w:hAnsi="宋体" w:eastAsia="宋体"/>
          <w:b/>
          <w:bCs/>
          <w:color w:val="auto"/>
          <w:sz w:val="21"/>
          <w:szCs w:val="21"/>
          <w:highlight w:val="none"/>
        </w:rPr>
      </w:pPr>
      <w:bookmarkStart w:id="623" w:name="_Toc455080138"/>
      <w:bookmarkStart w:id="624" w:name="_Toc14039"/>
      <w:bookmarkStart w:id="625" w:name="_Toc24508"/>
      <w:r>
        <w:rPr>
          <w:rFonts w:hint="eastAsia" w:ascii="宋体" w:hAnsi="宋体" w:eastAsia="宋体"/>
          <w:b/>
          <w:bCs/>
          <w:color w:val="auto"/>
          <w:sz w:val="21"/>
          <w:szCs w:val="21"/>
          <w:highlight w:val="none"/>
        </w:rPr>
        <w:t xml:space="preserve">6. </w:t>
      </w:r>
      <w:bookmarkEnd w:id="620"/>
      <w:bookmarkEnd w:id="621"/>
      <w:bookmarkEnd w:id="622"/>
      <w:r>
        <w:rPr>
          <w:rFonts w:hint="eastAsia" w:ascii="宋体" w:hAnsi="宋体" w:eastAsia="宋体"/>
          <w:b/>
          <w:bCs/>
          <w:color w:val="auto"/>
          <w:sz w:val="21"/>
          <w:szCs w:val="21"/>
          <w:highlight w:val="none"/>
        </w:rPr>
        <w:t>磋商</w:t>
      </w:r>
      <w:bookmarkEnd w:id="623"/>
      <w:r>
        <w:rPr>
          <w:rFonts w:hint="eastAsia" w:ascii="宋体" w:hAnsi="宋体" w:eastAsia="宋体"/>
          <w:b/>
          <w:bCs/>
          <w:color w:val="auto"/>
          <w:sz w:val="21"/>
          <w:szCs w:val="21"/>
          <w:highlight w:val="none"/>
        </w:rPr>
        <w:t>小组</w:t>
      </w:r>
      <w:bookmarkEnd w:id="624"/>
      <w:bookmarkEnd w:id="625"/>
    </w:p>
    <w:p>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626" w:name="_Toc26098"/>
      <w:bookmarkStart w:id="627" w:name="_Toc9808"/>
      <w:bookmarkStart w:id="628" w:name="_Toc144974531"/>
      <w:bookmarkStart w:id="629" w:name="_Toc152042339"/>
      <w:bookmarkStart w:id="630" w:name="_Toc22250"/>
      <w:bookmarkStart w:id="631" w:name="_Toc318450706"/>
      <w:bookmarkStart w:id="632" w:name="_Toc152045563"/>
      <w:bookmarkStart w:id="633" w:name="_Toc466298122"/>
      <w:bookmarkStart w:id="634" w:name="_Toc13978"/>
      <w:bookmarkStart w:id="635" w:name="_Toc8157"/>
      <w:bookmarkStart w:id="636" w:name="_Toc23138"/>
      <w:bookmarkStart w:id="637" w:name="_Toc109"/>
      <w:bookmarkStart w:id="638" w:name="_Toc1546"/>
      <w:bookmarkStart w:id="639" w:name="_Toc1574"/>
      <w:bookmarkStart w:id="640" w:name="_Toc455080139"/>
      <w:bookmarkStart w:id="641" w:name="_Toc11499"/>
      <w:bookmarkStart w:id="642" w:name="_Toc455867799"/>
      <w:bookmarkStart w:id="643" w:name="_Toc23866"/>
      <w:bookmarkStart w:id="644" w:name="_Toc18985"/>
      <w:bookmarkStart w:id="645" w:name="_Toc490667859"/>
      <w:bookmarkStart w:id="646" w:name="_Toc8725"/>
      <w:bookmarkStart w:id="647" w:name="_Toc21542"/>
      <w:bookmarkStart w:id="648" w:name="_Toc23775"/>
      <w:r>
        <w:rPr>
          <w:rFonts w:hint="eastAsia" w:ascii="宋体" w:hAnsi="宋体" w:eastAsia="宋体"/>
          <w:b/>
          <w:bCs/>
          <w:color w:val="auto"/>
          <w:sz w:val="21"/>
          <w:szCs w:val="21"/>
          <w:highlight w:val="none"/>
        </w:rPr>
        <w:t>6.1</w:t>
      </w:r>
      <w:bookmarkEnd w:id="626"/>
      <w:bookmarkEnd w:id="627"/>
      <w:bookmarkEnd w:id="628"/>
      <w:bookmarkEnd w:id="629"/>
      <w:bookmarkEnd w:id="630"/>
      <w:bookmarkEnd w:id="631"/>
      <w:bookmarkEnd w:id="632"/>
      <w:r>
        <w:rPr>
          <w:rFonts w:hint="eastAsia" w:ascii="宋体" w:hAnsi="宋体" w:eastAsia="宋体"/>
          <w:b/>
          <w:bCs/>
          <w:color w:val="auto"/>
          <w:sz w:val="21"/>
          <w:szCs w:val="21"/>
          <w:highlight w:val="none"/>
        </w:rPr>
        <w:t>磋商小组</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磋商由采购人依法组建的磋商小组负责。磋商小组由采购人代表以及有关技术、经济等方面的专家组成。磋商小组成员人数以及技术、经济等方面专家的确定方式见供应商须知前附表。</w:t>
      </w:r>
    </w:p>
    <w:p>
      <w:pPr>
        <w:pStyle w:val="68"/>
        <w:pageBreakBefore w:val="0"/>
        <w:tabs>
          <w:tab w:val="left" w:pos="2620"/>
        </w:tabs>
        <w:kinsoku/>
        <w:overflowPunct/>
        <w:bidi w:val="0"/>
        <w:spacing w:line="360" w:lineRule="auto"/>
        <w:ind w:firstLine="0" w:firstLineChars="0"/>
        <w:outlineLvl w:val="0"/>
        <w:rPr>
          <w:rFonts w:ascii="宋体" w:hAnsi="宋体" w:eastAsia="宋体"/>
          <w:b/>
          <w:bCs/>
          <w:color w:val="auto"/>
          <w:sz w:val="21"/>
          <w:szCs w:val="21"/>
          <w:highlight w:val="none"/>
        </w:rPr>
      </w:pPr>
      <w:bookmarkStart w:id="649" w:name="_Toc8240"/>
      <w:bookmarkStart w:id="650" w:name="_Toc5376"/>
      <w:bookmarkStart w:id="651" w:name="_Toc152045564"/>
      <w:bookmarkStart w:id="652" w:name="_Toc31961"/>
      <w:bookmarkStart w:id="653" w:name="_Toc21102"/>
      <w:bookmarkStart w:id="654" w:name="_Toc490667860"/>
      <w:bookmarkStart w:id="655" w:name="_Toc7286"/>
      <w:bookmarkStart w:id="656" w:name="_Toc9532"/>
      <w:bookmarkStart w:id="657" w:name="_Toc27035"/>
      <w:bookmarkStart w:id="658" w:name="_Toc455867800"/>
      <w:bookmarkStart w:id="659" w:name="_Toc32608"/>
      <w:bookmarkStart w:id="660" w:name="_Toc152042340"/>
      <w:bookmarkStart w:id="661" w:name="_Toc13368"/>
      <w:bookmarkStart w:id="662" w:name="_Toc144974532"/>
      <w:bookmarkStart w:id="663" w:name="_Toc22143"/>
      <w:bookmarkStart w:id="664" w:name="_Toc8248"/>
      <w:bookmarkStart w:id="665" w:name="_Toc6050"/>
      <w:bookmarkStart w:id="666" w:name="_Toc466298123"/>
      <w:bookmarkStart w:id="667" w:name="_Toc4435"/>
      <w:bookmarkStart w:id="668" w:name="_Toc318450707"/>
      <w:bookmarkStart w:id="669" w:name="_Toc31227"/>
      <w:bookmarkStart w:id="670" w:name="_Toc25721"/>
      <w:bookmarkStart w:id="671" w:name="_Toc455080140"/>
      <w:r>
        <w:rPr>
          <w:rFonts w:hint="eastAsia" w:ascii="宋体" w:hAnsi="宋体" w:eastAsia="宋体"/>
          <w:b/>
          <w:bCs/>
          <w:color w:val="auto"/>
          <w:sz w:val="21"/>
          <w:szCs w:val="21"/>
          <w:highlight w:val="none"/>
        </w:rPr>
        <w:t>6.2 磋商原则</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磋商活动遵循公平、公正、科学和择优的原则。</w:t>
      </w:r>
    </w:p>
    <w:p>
      <w:pPr>
        <w:pStyle w:val="68"/>
        <w:pageBreakBefore w:val="0"/>
        <w:kinsoku/>
        <w:overflowPunct/>
        <w:bidi w:val="0"/>
        <w:spacing w:line="360" w:lineRule="auto"/>
        <w:ind w:firstLine="0" w:firstLineChars="0"/>
        <w:outlineLvl w:val="0"/>
        <w:rPr>
          <w:rFonts w:ascii="宋体" w:hAnsi="宋体" w:eastAsia="宋体"/>
          <w:color w:val="auto"/>
          <w:sz w:val="21"/>
          <w:szCs w:val="21"/>
          <w:highlight w:val="none"/>
        </w:rPr>
      </w:pPr>
      <w:bookmarkStart w:id="672" w:name="_Toc152045565"/>
      <w:bookmarkStart w:id="673" w:name="_Toc318450708"/>
      <w:bookmarkStart w:id="674" w:name="_Toc15595"/>
      <w:bookmarkStart w:id="675" w:name="_Toc144974533"/>
      <w:bookmarkStart w:id="676" w:name="_Toc8705"/>
      <w:bookmarkStart w:id="677" w:name="_Toc152042341"/>
      <w:bookmarkStart w:id="678" w:name="_Toc16725"/>
      <w:bookmarkStart w:id="679" w:name="_Toc28734"/>
      <w:bookmarkStart w:id="680" w:name="_Toc11018"/>
      <w:bookmarkStart w:id="681" w:name="_Toc24358"/>
      <w:bookmarkStart w:id="682" w:name="_Toc490667861"/>
      <w:bookmarkStart w:id="683" w:name="_Toc3606"/>
      <w:bookmarkStart w:id="684" w:name="_Toc466298124"/>
      <w:bookmarkStart w:id="685" w:name="_Toc28882"/>
      <w:bookmarkStart w:id="686" w:name="_Toc11010"/>
      <w:bookmarkStart w:id="687" w:name="_Toc18756"/>
      <w:bookmarkStart w:id="688" w:name="_Toc27036"/>
      <w:bookmarkStart w:id="689" w:name="_Toc7890"/>
      <w:bookmarkStart w:id="690" w:name="_Toc455867801"/>
      <w:bookmarkStart w:id="691" w:name="_Toc915"/>
      <w:bookmarkStart w:id="692" w:name="_Toc20062"/>
      <w:bookmarkStart w:id="693" w:name="_Toc1768"/>
      <w:bookmarkStart w:id="694" w:name="_Toc455080141"/>
      <w:r>
        <w:rPr>
          <w:rFonts w:hint="eastAsia" w:ascii="宋体" w:hAnsi="宋体" w:eastAsia="宋体"/>
          <w:b/>
          <w:bCs/>
          <w:color w:val="auto"/>
          <w:sz w:val="21"/>
          <w:szCs w:val="21"/>
          <w:highlight w:val="none"/>
        </w:rPr>
        <w:t xml:space="preserve">6.3 </w:t>
      </w:r>
      <w:bookmarkEnd w:id="672"/>
      <w:bookmarkEnd w:id="673"/>
      <w:bookmarkEnd w:id="674"/>
      <w:bookmarkEnd w:id="675"/>
      <w:bookmarkEnd w:id="676"/>
      <w:bookmarkEnd w:id="677"/>
      <w:bookmarkEnd w:id="678"/>
      <w:r>
        <w:rPr>
          <w:rFonts w:hint="eastAsia" w:ascii="宋体" w:hAnsi="宋体" w:eastAsia="宋体"/>
          <w:b/>
          <w:bCs/>
          <w:color w:val="auto"/>
          <w:sz w:val="21"/>
          <w:szCs w:val="21"/>
          <w:highlight w:val="none"/>
        </w:rPr>
        <w:t>磋商</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磋商小组按照第三章“评审办法”规定的方法、评审因素、标准和程序对响应文件进行评审。第三章“评审办法”没有规定的方法、评审因素和标准，不作为评标依据。</w:t>
      </w:r>
    </w:p>
    <w:p>
      <w:pPr>
        <w:pStyle w:val="67"/>
        <w:pageBreakBefore w:val="0"/>
        <w:kinsoku/>
        <w:overflowPunct/>
        <w:bidi w:val="0"/>
        <w:spacing w:line="360" w:lineRule="auto"/>
        <w:ind w:firstLine="0" w:firstLineChars="0"/>
        <w:rPr>
          <w:rFonts w:ascii="宋体" w:hAnsi="宋体" w:eastAsia="宋体"/>
          <w:b/>
          <w:bCs/>
          <w:color w:val="auto"/>
          <w:sz w:val="21"/>
          <w:szCs w:val="21"/>
          <w:highlight w:val="none"/>
        </w:rPr>
      </w:pPr>
      <w:bookmarkStart w:id="695" w:name="_Toc9522"/>
      <w:bookmarkStart w:id="696" w:name="_Toc455080142"/>
      <w:bookmarkStart w:id="697" w:name="_Toc152042342"/>
      <w:bookmarkStart w:id="698" w:name="_Toc144974534"/>
      <w:bookmarkStart w:id="699" w:name="_Toc152045566"/>
      <w:bookmarkStart w:id="700" w:name="_Toc3578"/>
      <w:r>
        <w:rPr>
          <w:rFonts w:hint="eastAsia" w:ascii="宋体" w:hAnsi="宋体" w:eastAsia="宋体"/>
          <w:b/>
          <w:bCs/>
          <w:color w:val="auto"/>
          <w:sz w:val="21"/>
          <w:szCs w:val="21"/>
          <w:highlight w:val="none"/>
        </w:rPr>
        <w:t>7. 合同授予</w:t>
      </w:r>
      <w:bookmarkEnd w:id="695"/>
      <w:bookmarkEnd w:id="696"/>
      <w:bookmarkEnd w:id="697"/>
      <w:bookmarkEnd w:id="698"/>
      <w:bookmarkEnd w:id="699"/>
      <w:bookmarkEnd w:id="700"/>
    </w:p>
    <w:p>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701" w:name="_Toc552"/>
      <w:bookmarkStart w:id="702" w:name="_Toc144974535"/>
      <w:bookmarkStart w:id="703" w:name="_Toc17667"/>
      <w:bookmarkStart w:id="704" w:name="_Toc24041"/>
      <w:bookmarkStart w:id="705" w:name="_Toc4262"/>
      <w:bookmarkStart w:id="706" w:name="_Toc466298126"/>
      <w:bookmarkStart w:id="707" w:name="_Toc152045567"/>
      <w:bookmarkStart w:id="708" w:name="_Toc7358"/>
      <w:bookmarkStart w:id="709" w:name="_Toc14528"/>
      <w:bookmarkStart w:id="710" w:name="_Toc25316"/>
      <w:bookmarkStart w:id="711" w:name="_Toc11008"/>
      <w:bookmarkStart w:id="712" w:name="_Toc152042343"/>
      <w:bookmarkStart w:id="713" w:name="_Toc490667863"/>
      <w:bookmarkStart w:id="714" w:name="_Toc29686"/>
      <w:bookmarkStart w:id="715" w:name="_Toc11409"/>
      <w:bookmarkStart w:id="716" w:name="_Toc455867803"/>
      <w:bookmarkStart w:id="717" w:name="_Toc455080143"/>
      <w:bookmarkStart w:id="718" w:name="_Toc20777"/>
      <w:bookmarkStart w:id="719" w:name="_Toc17660"/>
      <w:bookmarkStart w:id="720" w:name="_Toc22461"/>
      <w:bookmarkStart w:id="721" w:name="_Toc28919"/>
      <w:bookmarkStart w:id="722" w:name="_Toc29664"/>
      <w:bookmarkStart w:id="723" w:name="_Toc318450710"/>
      <w:r>
        <w:rPr>
          <w:rFonts w:hint="eastAsia" w:ascii="宋体" w:hAnsi="宋体" w:eastAsia="宋体"/>
          <w:b/>
          <w:bCs/>
          <w:color w:val="auto"/>
          <w:sz w:val="21"/>
          <w:szCs w:val="21"/>
          <w:highlight w:val="none"/>
        </w:rPr>
        <w:t>7.1 定标方式</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pPr>
        <w:pageBreakBefore w:val="0"/>
        <w:kinsoku/>
        <w:overflowPunct/>
        <w:bidi w:val="0"/>
        <w:spacing w:line="360" w:lineRule="auto"/>
        <w:ind w:firstLine="0" w:firstLineChars="0"/>
        <w:rPr>
          <w:rFonts w:ascii="宋体" w:hAnsi="宋体" w:cs="宋体"/>
          <w:color w:val="auto"/>
          <w:szCs w:val="21"/>
          <w:highlight w:val="none"/>
        </w:rPr>
      </w:pPr>
      <w:bookmarkStart w:id="724" w:name="_Toc10868"/>
      <w:bookmarkStart w:id="725" w:name="_Toc152042344"/>
      <w:bookmarkStart w:id="726" w:name="_Toc144974536"/>
      <w:bookmarkStart w:id="727" w:name="_Toc152045568"/>
      <w:bookmarkStart w:id="728" w:name="_Toc28254"/>
      <w:bookmarkStart w:id="729" w:name="_Toc7066"/>
      <w:bookmarkStart w:id="730" w:name="_Toc318450711"/>
      <w:r>
        <w:rPr>
          <w:rFonts w:hint="eastAsia" w:ascii="宋体" w:hAnsi="宋体" w:cs="宋体"/>
          <w:color w:val="auto"/>
          <w:szCs w:val="21"/>
          <w:highlight w:val="none"/>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人，也可以重新磋商。</w:t>
      </w:r>
    </w:p>
    <w:p>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731" w:name="_Toc8133"/>
      <w:bookmarkStart w:id="732" w:name="_Toc16163"/>
      <w:bookmarkStart w:id="733" w:name="_Toc14331"/>
      <w:bookmarkStart w:id="734" w:name="_Toc25515"/>
      <w:bookmarkStart w:id="735" w:name="_Toc15825"/>
      <w:bookmarkStart w:id="736" w:name="_Toc9775"/>
      <w:bookmarkStart w:id="737" w:name="_Toc5428"/>
      <w:bookmarkStart w:id="738" w:name="_Toc466298127"/>
      <w:bookmarkStart w:id="739" w:name="_Toc21229"/>
      <w:bookmarkStart w:id="740" w:name="_Toc490667864"/>
      <w:bookmarkStart w:id="741" w:name="_Toc28177"/>
      <w:bookmarkStart w:id="742" w:name="_Toc9897"/>
      <w:bookmarkStart w:id="743" w:name="_Toc455080144"/>
      <w:bookmarkStart w:id="744" w:name="_Toc7337"/>
      <w:bookmarkStart w:id="745" w:name="_Toc5668"/>
      <w:bookmarkStart w:id="746" w:name="_Toc455867804"/>
      <w:r>
        <w:rPr>
          <w:rFonts w:hint="eastAsia" w:ascii="宋体" w:hAnsi="宋体" w:eastAsia="宋体"/>
          <w:b/>
          <w:bCs/>
          <w:color w:val="auto"/>
          <w:sz w:val="21"/>
          <w:szCs w:val="21"/>
          <w:highlight w:val="none"/>
        </w:rPr>
        <w:t>7.2 成交通知</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在本章第3.3.1款规定的磋商有效期内，采购人以书面形式向成交人发出成交通知书，同时将成交结果通知未成交的供应商。</w:t>
      </w:r>
    </w:p>
    <w:p>
      <w:pPr>
        <w:pageBreakBefore w:val="0"/>
        <w:kinsoku/>
        <w:overflowPunct/>
        <w:bidi w:val="0"/>
        <w:spacing w:line="400" w:lineRule="exact"/>
        <w:ind w:firstLine="0" w:firstLineChars="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7.3 履约保证金</w:t>
      </w:r>
    </w:p>
    <w:p>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747" w:name="_Toc27005"/>
      <w:bookmarkStart w:id="748" w:name="_Toc5993"/>
      <w:bookmarkStart w:id="749" w:name="_Toc24659"/>
      <w:bookmarkStart w:id="750" w:name="_Toc9509"/>
      <w:bookmarkStart w:id="751" w:name="_Toc10489"/>
      <w:bookmarkStart w:id="752" w:name="_Toc21271"/>
      <w:bookmarkStart w:id="753" w:name="_Toc15458"/>
      <w:bookmarkStart w:id="754" w:name="_Toc26760"/>
      <w:bookmarkStart w:id="755" w:name="_Toc490667865"/>
      <w:bookmarkStart w:id="756" w:name="_Toc10082"/>
      <w:bookmarkStart w:id="757" w:name="_Toc13147"/>
      <w:bookmarkStart w:id="758" w:name="_Toc144974538"/>
      <w:bookmarkStart w:id="759" w:name="_Toc26655"/>
      <w:bookmarkStart w:id="760" w:name="_Toc12663"/>
      <w:bookmarkStart w:id="761" w:name="_Toc318450712"/>
      <w:bookmarkStart w:id="762" w:name="_Toc455867805"/>
      <w:bookmarkStart w:id="763" w:name="_Toc152042346"/>
      <w:bookmarkStart w:id="764" w:name="_Toc152045570"/>
      <w:bookmarkStart w:id="765" w:name="_Toc466298128"/>
      <w:bookmarkStart w:id="766" w:name="_Toc24026"/>
      <w:bookmarkStart w:id="767" w:name="_Toc26915"/>
      <w:bookmarkStart w:id="768" w:name="_Toc8886"/>
      <w:bookmarkStart w:id="769" w:name="_Toc455080145"/>
      <w:r>
        <w:rPr>
          <w:rFonts w:hint="eastAsia" w:ascii="宋体" w:hAnsi="宋体" w:eastAsia="宋体"/>
          <w:b/>
          <w:bCs/>
          <w:color w:val="auto"/>
          <w:sz w:val="21"/>
          <w:szCs w:val="21"/>
          <w:highlight w:val="none"/>
        </w:rPr>
        <w:t>免收履约保证金</w:t>
      </w:r>
      <w:bookmarkEnd w:id="747"/>
      <w:bookmarkEnd w:id="748"/>
      <w:bookmarkEnd w:id="749"/>
      <w:bookmarkEnd w:id="750"/>
      <w:bookmarkEnd w:id="751"/>
    </w:p>
    <w:p>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770" w:name="_Toc21220"/>
      <w:bookmarkStart w:id="771" w:name="_Toc27033"/>
      <w:bookmarkStart w:id="772" w:name="_Toc27441"/>
      <w:bookmarkStart w:id="773" w:name="_Toc27919"/>
      <w:bookmarkStart w:id="774" w:name="_Toc1041"/>
      <w:r>
        <w:rPr>
          <w:rFonts w:hint="eastAsia" w:ascii="宋体" w:hAnsi="宋体" w:eastAsia="宋体"/>
          <w:b/>
          <w:bCs/>
          <w:color w:val="auto"/>
          <w:sz w:val="21"/>
          <w:szCs w:val="21"/>
          <w:highlight w:val="none"/>
        </w:rPr>
        <w:t>7.4 签订合同</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 xml:space="preserve">7.4.1采购人和成交人应当自成交通知书发出之日起2-7天内，根据竞争性磋商文件和成交人的响应文件订立书面合同。成交人无正当理由拒签合同的，采购人取消其成交资格，其磋商保证金不予退还；给采购人造成的损失超过磋商保证金数额的，成交人还应当对超过部分予以赔偿。 </w:t>
      </w:r>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 xml:space="preserve">7.4.2 发出成交通知书后，采购人无正当理由拒签合同的，采购人向成交人退还磋商保证金；给成交人造成损失的，还应当赔偿损失。 </w:t>
      </w:r>
      <w:bookmarkStart w:id="775" w:name="_Toc152045574"/>
      <w:bookmarkStart w:id="776" w:name="_Toc152042350"/>
      <w:bookmarkStart w:id="777" w:name="_Toc144974542"/>
    </w:p>
    <w:p>
      <w:pPr>
        <w:pStyle w:val="67"/>
        <w:pageBreakBefore w:val="0"/>
        <w:kinsoku/>
        <w:overflowPunct/>
        <w:bidi w:val="0"/>
        <w:spacing w:line="360" w:lineRule="auto"/>
        <w:ind w:firstLine="0" w:firstLineChars="0"/>
        <w:rPr>
          <w:rFonts w:ascii="宋体" w:hAnsi="宋体" w:eastAsia="宋体"/>
          <w:b/>
          <w:bCs/>
          <w:color w:val="auto"/>
          <w:sz w:val="21"/>
          <w:szCs w:val="21"/>
          <w:highlight w:val="none"/>
        </w:rPr>
      </w:pPr>
      <w:bookmarkStart w:id="778" w:name="_Toc18918"/>
      <w:bookmarkStart w:id="779" w:name="_Toc16866"/>
      <w:bookmarkStart w:id="780" w:name="_Toc455080146"/>
      <w:r>
        <w:rPr>
          <w:rFonts w:hint="eastAsia" w:ascii="宋体" w:hAnsi="宋体" w:eastAsia="宋体"/>
          <w:b/>
          <w:bCs/>
          <w:color w:val="auto"/>
          <w:sz w:val="21"/>
          <w:szCs w:val="21"/>
          <w:highlight w:val="none"/>
        </w:rPr>
        <w:t>8.重新招标</w:t>
      </w:r>
      <w:bookmarkEnd w:id="778"/>
      <w:bookmarkEnd w:id="779"/>
      <w:bookmarkEnd w:id="780"/>
    </w:p>
    <w:p>
      <w:pPr>
        <w:pageBreakBefore w:val="0"/>
        <w:kinsoku/>
        <w:overflowPunct/>
        <w:bidi w:val="0"/>
        <w:spacing w:line="360" w:lineRule="auto"/>
        <w:ind w:firstLine="0" w:firstLineChars="0"/>
        <w:rPr>
          <w:rFonts w:ascii="宋体" w:hAnsi="宋体"/>
          <w:color w:val="auto"/>
          <w:szCs w:val="21"/>
          <w:highlight w:val="none"/>
        </w:rPr>
      </w:pPr>
      <w:bookmarkStart w:id="781" w:name="_Toc16556"/>
      <w:r>
        <w:rPr>
          <w:rFonts w:hint="eastAsia" w:ascii="宋体" w:hAnsi="宋体"/>
          <w:b/>
          <w:bCs/>
          <w:color w:val="auto"/>
          <w:szCs w:val="21"/>
          <w:highlight w:val="none"/>
        </w:rPr>
        <w:t>8.1 重新招标</w:t>
      </w:r>
      <w:bookmarkEnd w:id="781"/>
    </w:p>
    <w:p>
      <w:pPr>
        <w:pageBreakBefore w:val="0"/>
        <w:kinsoku/>
        <w:overflowPunct/>
        <w:bidi w:val="0"/>
        <w:spacing w:line="360" w:lineRule="auto"/>
        <w:ind w:firstLine="0" w:firstLineChars="0"/>
        <w:rPr>
          <w:rFonts w:ascii="宋体" w:hAnsi="宋体"/>
          <w:color w:val="auto"/>
          <w:szCs w:val="21"/>
          <w:highlight w:val="none"/>
        </w:rPr>
      </w:pPr>
      <w:bookmarkStart w:id="782" w:name="_Toc9985"/>
      <w:r>
        <w:rPr>
          <w:rFonts w:hint="eastAsia" w:ascii="宋体" w:hAnsi="宋体"/>
          <w:color w:val="auto"/>
          <w:szCs w:val="21"/>
          <w:highlight w:val="none"/>
        </w:rPr>
        <w:t>有下列情形之一的，采购人将重新招标：</w:t>
      </w:r>
      <w:bookmarkEnd w:id="782"/>
    </w:p>
    <w:p>
      <w:pPr>
        <w:pageBreakBefore w:val="0"/>
        <w:kinsoku/>
        <w:overflowPunct/>
        <w:bidi w:val="0"/>
        <w:spacing w:line="360" w:lineRule="auto"/>
        <w:ind w:firstLine="0" w:firstLineChars="0"/>
        <w:rPr>
          <w:rFonts w:ascii="宋体" w:hAnsi="宋体"/>
          <w:color w:val="auto"/>
          <w:szCs w:val="21"/>
          <w:highlight w:val="none"/>
        </w:rPr>
      </w:pPr>
      <w:bookmarkStart w:id="783" w:name="_Toc25063"/>
      <w:r>
        <w:rPr>
          <w:rFonts w:hint="eastAsia" w:ascii="宋体" w:hAnsi="宋体"/>
          <w:color w:val="auto"/>
          <w:szCs w:val="21"/>
          <w:highlight w:val="none"/>
        </w:rPr>
        <w:t xml:space="preserve">   （1）提交响应文件截止时间止，供应商少于3个的；</w:t>
      </w:r>
      <w:bookmarkEnd w:id="783"/>
    </w:p>
    <w:p>
      <w:pPr>
        <w:pageBreakBefore w:val="0"/>
        <w:kinsoku/>
        <w:overflowPunct/>
        <w:bidi w:val="0"/>
        <w:spacing w:line="360" w:lineRule="auto"/>
        <w:ind w:firstLine="0" w:firstLineChars="0"/>
        <w:rPr>
          <w:rFonts w:ascii="宋体" w:hAnsi="宋体"/>
          <w:color w:val="auto"/>
          <w:szCs w:val="21"/>
          <w:highlight w:val="none"/>
        </w:rPr>
      </w:pPr>
      <w:bookmarkStart w:id="784" w:name="_Toc17911"/>
      <w:r>
        <w:rPr>
          <w:rFonts w:hint="eastAsia" w:ascii="宋体" w:hAnsi="宋体"/>
          <w:color w:val="auto"/>
          <w:szCs w:val="21"/>
          <w:highlight w:val="none"/>
        </w:rPr>
        <w:t>（2）经磋商小组评审后否决所有响应文件的。</w:t>
      </w:r>
      <w:bookmarkEnd w:id="784"/>
    </w:p>
    <w:p>
      <w:pPr>
        <w:pStyle w:val="67"/>
        <w:pageBreakBefore w:val="0"/>
        <w:kinsoku/>
        <w:overflowPunct/>
        <w:bidi w:val="0"/>
        <w:spacing w:line="360" w:lineRule="auto"/>
        <w:ind w:firstLine="0" w:firstLineChars="0"/>
        <w:rPr>
          <w:rFonts w:ascii="宋体" w:hAnsi="宋体" w:eastAsia="宋体"/>
          <w:b/>
          <w:bCs/>
          <w:color w:val="auto"/>
          <w:sz w:val="21"/>
          <w:szCs w:val="21"/>
          <w:highlight w:val="none"/>
        </w:rPr>
      </w:pPr>
      <w:bookmarkStart w:id="785" w:name="_Toc2509"/>
      <w:bookmarkStart w:id="786" w:name="_Toc9996"/>
      <w:bookmarkStart w:id="787" w:name="_Toc455080147"/>
      <w:r>
        <w:rPr>
          <w:rFonts w:hint="eastAsia" w:ascii="宋体" w:hAnsi="宋体" w:eastAsia="宋体"/>
          <w:b/>
          <w:bCs/>
          <w:color w:val="auto"/>
          <w:sz w:val="21"/>
          <w:szCs w:val="21"/>
          <w:highlight w:val="none"/>
        </w:rPr>
        <w:t>9.纪律和监督</w:t>
      </w:r>
      <w:bookmarkEnd w:id="775"/>
      <w:bookmarkEnd w:id="776"/>
      <w:bookmarkEnd w:id="777"/>
      <w:bookmarkEnd w:id="785"/>
      <w:bookmarkEnd w:id="786"/>
      <w:bookmarkEnd w:id="787"/>
    </w:p>
    <w:p>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788" w:name="_Toc455867808"/>
      <w:bookmarkStart w:id="789" w:name="_Toc318450714"/>
      <w:bookmarkStart w:id="790" w:name="_Toc27836"/>
      <w:bookmarkStart w:id="791" w:name="_Toc152042351"/>
      <w:bookmarkStart w:id="792" w:name="_Toc8381"/>
      <w:bookmarkStart w:id="793" w:name="_Toc490667868"/>
      <w:bookmarkStart w:id="794" w:name="_Toc31857"/>
      <w:bookmarkStart w:id="795" w:name="_Toc144974543"/>
      <w:bookmarkStart w:id="796" w:name="_Toc15769"/>
      <w:bookmarkStart w:id="797" w:name="_Toc20009"/>
      <w:bookmarkStart w:id="798" w:name="_Toc697"/>
      <w:bookmarkStart w:id="799" w:name="_Toc14614"/>
      <w:bookmarkStart w:id="800" w:name="_Toc466298131"/>
      <w:bookmarkStart w:id="801" w:name="_Toc24482"/>
      <w:bookmarkStart w:id="802" w:name="_Toc15592"/>
      <w:bookmarkStart w:id="803" w:name="_Toc12992"/>
      <w:bookmarkStart w:id="804" w:name="_Toc14620"/>
      <w:bookmarkStart w:id="805" w:name="_Toc1282"/>
      <w:bookmarkStart w:id="806" w:name="_Toc13970"/>
      <w:bookmarkStart w:id="807" w:name="_Toc269"/>
      <w:bookmarkStart w:id="808" w:name="_Toc455080148"/>
      <w:bookmarkStart w:id="809" w:name="_Toc19159"/>
      <w:bookmarkStart w:id="810" w:name="_Toc152045575"/>
      <w:r>
        <w:rPr>
          <w:rFonts w:hint="eastAsia" w:ascii="宋体" w:hAnsi="宋体" w:eastAsia="宋体"/>
          <w:b/>
          <w:bCs/>
          <w:color w:val="auto"/>
          <w:sz w:val="21"/>
          <w:szCs w:val="21"/>
          <w:highlight w:val="none"/>
        </w:rPr>
        <w:t>9.1 对采购人的纪律要求</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采购人不得泄漏磋商活动中应当保密的情况和资料，不得与供应商串通损害国家利益、社会公共利益或者他人合法权益。</w:t>
      </w:r>
    </w:p>
    <w:p>
      <w:pPr>
        <w:pStyle w:val="68"/>
        <w:pageBreakBefore w:val="0"/>
        <w:kinsoku/>
        <w:overflowPunct/>
        <w:bidi w:val="0"/>
        <w:spacing w:line="360" w:lineRule="auto"/>
        <w:ind w:firstLine="0" w:firstLineChars="0"/>
        <w:outlineLvl w:val="0"/>
        <w:rPr>
          <w:rFonts w:ascii="宋体" w:hAnsi="宋体" w:eastAsia="宋体"/>
          <w:color w:val="auto"/>
          <w:sz w:val="21"/>
          <w:szCs w:val="21"/>
          <w:highlight w:val="none"/>
        </w:rPr>
      </w:pPr>
      <w:bookmarkStart w:id="811" w:name="_Toc3089"/>
      <w:bookmarkStart w:id="812" w:name="_Toc17040"/>
      <w:bookmarkStart w:id="813" w:name="_Toc466298132"/>
      <w:bookmarkStart w:id="814" w:name="_Toc318450715"/>
      <w:bookmarkStart w:id="815" w:name="_Toc19167"/>
      <w:bookmarkStart w:id="816" w:name="_Toc455080149"/>
      <w:bookmarkStart w:id="817" w:name="_Toc27698"/>
      <w:bookmarkStart w:id="818" w:name="_Toc490667869"/>
      <w:bookmarkStart w:id="819" w:name="_Toc20261"/>
      <w:bookmarkStart w:id="820" w:name="_Toc18204"/>
      <w:bookmarkStart w:id="821" w:name="_Toc152045576"/>
      <w:bookmarkStart w:id="822" w:name="_Toc3375"/>
      <w:bookmarkStart w:id="823" w:name="_Toc3220"/>
      <w:bookmarkStart w:id="824" w:name="_Toc9058"/>
      <w:bookmarkStart w:id="825" w:name="_Toc23415"/>
      <w:bookmarkStart w:id="826" w:name="_Toc144974544"/>
      <w:bookmarkStart w:id="827" w:name="_Toc13753"/>
      <w:bookmarkStart w:id="828" w:name="_Toc18604"/>
      <w:bookmarkStart w:id="829" w:name="_Toc455867809"/>
      <w:bookmarkStart w:id="830" w:name="_Toc1743"/>
      <w:bookmarkStart w:id="831" w:name="_Toc152042352"/>
      <w:bookmarkStart w:id="832" w:name="_Toc21646"/>
      <w:bookmarkStart w:id="833" w:name="_Toc7572"/>
      <w:r>
        <w:rPr>
          <w:rFonts w:hint="eastAsia" w:ascii="宋体" w:hAnsi="宋体" w:eastAsia="宋体"/>
          <w:b/>
          <w:bCs/>
          <w:color w:val="auto"/>
          <w:sz w:val="21"/>
          <w:szCs w:val="21"/>
          <w:highlight w:val="none"/>
        </w:rPr>
        <w:t>9.2 对供应商的纪律要求</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供应商不得相互串通或者与采购人串通，不得向采购人或者谈判小组行贿谋取成交，不得以他人名义或者以其他方式弄虚作假骗取成交；供应商不得以任何方式干扰、影响评审工作。</w:t>
      </w:r>
    </w:p>
    <w:p>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834" w:name="_Toc318450716"/>
      <w:bookmarkStart w:id="835" w:name="_Toc455080150"/>
      <w:bookmarkStart w:id="836" w:name="_Toc28813"/>
      <w:bookmarkStart w:id="837" w:name="_Toc466298133"/>
      <w:bookmarkStart w:id="838" w:name="_Toc30153"/>
      <w:bookmarkStart w:id="839" w:name="_Toc25211"/>
      <w:bookmarkStart w:id="840" w:name="_Toc152042353"/>
      <w:bookmarkStart w:id="841" w:name="_Toc7439"/>
      <w:bookmarkStart w:id="842" w:name="_Toc9247"/>
      <w:bookmarkStart w:id="843" w:name="_Toc12177"/>
      <w:bookmarkStart w:id="844" w:name="_Toc1928"/>
      <w:bookmarkStart w:id="845" w:name="_Toc2199"/>
      <w:bookmarkStart w:id="846" w:name="_Toc19086"/>
      <w:bookmarkStart w:id="847" w:name="_Toc32320"/>
      <w:bookmarkStart w:id="848" w:name="_Toc31001"/>
      <w:bookmarkStart w:id="849" w:name="_Toc144974545"/>
      <w:bookmarkStart w:id="850" w:name="_Toc25241"/>
      <w:bookmarkStart w:id="851" w:name="_Toc2542"/>
      <w:bookmarkStart w:id="852" w:name="_Toc152045577"/>
      <w:bookmarkStart w:id="853" w:name="_Toc7107"/>
      <w:bookmarkStart w:id="854" w:name="_Toc490667870"/>
      <w:bookmarkStart w:id="855" w:name="_Toc455867810"/>
      <w:bookmarkStart w:id="856" w:name="_Toc19965"/>
      <w:r>
        <w:rPr>
          <w:rFonts w:hint="eastAsia" w:ascii="宋体" w:hAnsi="宋体" w:eastAsia="宋体"/>
          <w:b/>
          <w:bCs/>
          <w:color w:val="auto"/>
          <w:sz w:val="21"/>
          <w:szCs w:val="21"/>
          <w:highlight w:val="none"/>
        </w:rPr>
        <w:t>9.3 对磋商小组成员的纪律要求</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pPr>
        <w:pStyle w:val="68"/>
        <w:pageBreakBefore w:val="0"/>
        <w:kinsoku/>
        <w:overflowPunct/>
        <w:bidi w:val="0"/>
        <w:spacing w:line="360" w:lineRule="auto"/>
        <w:ind w:firstLine="0" w:firstLineChars="0"/>
        <w:outlineLvl w:val="0"/>
        <w:rPr>
          <w:rFonts w:ascii="宋体" w:hAnsi="宋体" w:eastAsia="宋体"/>
          <w:color w:val="auto"/>
          <w:sz w:val="21"/>
          <w:szCs w:val="21"/>
          <w:highlight w:val="none"/>
        </w:rPr>
      </w:pPr>
      <w:bookmarkStart w:id="857" w:name="_Toc24733"/>
      <w:bookmarkStart w:id="858" w:name="_Toc8677"/>
      <w:bookmarkStart w:id="859" w:name="_Toc9063"/>
      <w:bookmarkStart w:id="860" w:name="_Toc20546"/>
      <w:bookmarkStart w:id="861" w:name="_Toc32632"/>
      <w:bookmarkStart w:id="862" w:name="_Toc1295"/>
      <w:bookmarkStart w:id="863" w:name="_Toc318450717"/>
      <w:bookmarkStart w:id="864" w:name="_Toc24"/>
      <w:bookmarkStart w:id="865" w:name="_Toc455867811"/>
      <w:bookmarkStart w:id="866" w:name="_Toc466298134"/>
      <w:bookmarkStart w:id="867" w:name="_Toc8952"/>
      <w:bookmarkStart w:id="868" w:name="_Toc26462"/>
      <w:bookmarkStart w:id="869" w:name="_Toc23717"/>
      <w:bookmarkStart w:id="870" w:name="_Toc19485"/>
      <w:bookmarkStart w:id="871" w:name="_Toc152042354"/>
      <w:bookmarkStart w:id="872" w:name="_Toc27559"/>
      <w:bookmarkStart w:id="873" w:name="_Toc490667871"/>
      <w:bookmarkStart w:id="874" w:name="_Toc15116"/>
      <w:bookmarkStart w:id="875" w:name="_Toc455080151"/>
      <w:bookmarkStart w:id="876" w:name="_Toc152045578"/>
      <w:bookmarkStart w:id="877" w:name="_Toc235"/>
      <w:bookmarkStart w:id="878" w:name="_Toc7368"/>
      <w:bookmarkStart w:id="879" w:name="_Toc144974546"/>
      <w:r>
        <w:rPr>
          <w:rFonts w:hint="eastAsia" w:ascii="宋体" w:hAnsi="宋体" w:eastAsia="宋体"/>
          <w:b/>
          <w:bCs/>
          <w:color w:val="auto"/>
          <w:sz w:val="21"/>
          <w:szCs w:val="21"/>
          <w:highlight w:val="none"/>
        </w:rPr>
        <w:t>9.4 对与评标活动有关的工作人员的纪律要求</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pPr>
        <w:pageBreakBefore w:val="0"/>
        <w:kinsoku/>
        <w:overflowPunct/>
        <w:bidi w:val="0"/>
        <w:spacing w:line="360" w:lineRule="auto"/>
        <w:ind w:firstLine="0" w:firstLineChars="0"/>
        <w:rPr>
          <w:rFonts w:ascii="宋体" w:hAnsi="宋体" w:cs="宋体"/>
          <w:color w:val="auto"/>
          <w:szCs w:val="21"/>
          <w:highlight w:val="none"/>
        </w:rPr>
      </w:pPr>
      <w:bookmarkStart w:id="880" w:name="_Toc152042355"/>
      <w:r>
        <w:rPr>
          <w:rFonts w:hint="eastAsia" w:ascii="宋体" w:hAnsi="宋体" w:cs="宋体"/>
          <w:color w:val="auto"/>
          <w:szCs w:val="21"/>
          <w:highlight w:val="none"/>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880"/>
    </w:p>
    <w:p>
      <w:pPr>
        <w:pStyle w:val="68"/>
        <w:pageBreakBefore w:val="0"/>
        <w:kinsoku/>
        <w:overflowPunct/>
        <w:bidi w:val="0"/>
        <w:spacing w:line="360" w:lineRule="auto"/>
        <w:ind w:firstLine="0" w:firstLineChars="0"/>
        <w:outlineLvl w:val="0"/>
        <w:rPr>
          <w:rFonts w:ascii="宋体" w:hAnsi="宋体" w:eastAsia="宋体"/>
          <w:b/>
          <w:bCs/>
          <w:color w:val="auto"/>
          <w:sz w:val="21"/>
          <w:szCs w:val="21"/>
          <w:highlight w:val="none"/>
        </w:rPr>
      </w:pPr>
      <w:bookmarkStart w:id="881" w:name="_Toc32675"/>
      <w:bookmarkStart w:id="882" w:name="_Toc8074"/>
      <w:bookmarkStart w:id="883" w:name="_Toc11924"/>
      <w:bookmarkStart w:id="884" w:name="_Toc3617"/>
      <w:bookmarkStart w:id="885" w:name="_Toc31010"/>
      <w:bookmarkStart w:id="886" w:name="_Toc466298135"/>
      <w:bookmarkStart w:id="887" w:name="_Toc455867812"/>
      <w:bookmarkStart w:id="888" w:name="_Toc31609"/>
      <w:bookmarkStart w:id="889" w:name="_Toc18178"/>
      <w:bookmarkStart w:id="890" w:name="_Toc32064"/>
      <w:bookmarkStart w:id="891" w:name="_Toc25751"/>
      <w:bookmarkStart w:id="892" w:name="_Toc1820"/>
      <w:bookmarkStart w:id="893" w:name="_Toc7556"/>
      <w:bookmarkStart w:id="894" w:name="_Toc17735"/>
      <w:bookmarkStart w:id="895" w:name="_Toc318450718"/>
      <w:bookmarkStart w:id="896" w:name="_Toc152045579"/>
      <w:bookmarkStart w:id="897" w:name="_Toc490667872"/>
      <w:bookmarkStart w:id="898" w:name="_Toc5504"/>
      <w:bookmarkStart w:id="899" w:name="_Toc152042356"/>
      <w:bookmarkStart w:id="900" w:name="_Toc455080152"/>
      <w:bookmarkStart w:id="901" w:name="_Toc3303"/>
      <w:bookmarkStart w:id="902" w:name="_Toc6199"/>
      <w:r>
        <w:rPr>
          <w:rFonts w:hint="eastAsia" w:ascii="宋体" w:hAnsi="宋体" w:eastAsia="宋体"/>
          <w:b/>
          <w:bCs/>
          <w:color w:val="auto"/>
          <w:sz w:val="21"/>
          <w:szCs w:val="21"/>
          <w:highlight w:val="none"/>
        </w:rPr>
        <w:t>9.5 投诉</w:t>
      </w:r>
      <w:bookmarkEnd w:id="879"/>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p>
      <w:pPr>
        <w:pageBreakBefore w:val="0"/>
        <w:kinsoku/>
        <w:overflowPunct/>
        <w:bidi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供应商和其他利害关系人认为本次磋商活动违反法律、法规和规章规定的，有权向有关行政监督部门投诉。</w:t>
      </w:r>
    </w:p>
    <w:p>
      <w:pPr>
        <w:pStyle w:val="67"/>
        <w:pageBreakBefore w:val="0"/>
        <w:kinsoku/>
        <w:overflowPunct/>
        <w:bidi w:val="0"/>
        <w:spacing w:line="360" w:lineRule="auto"/>
        <w:ind w:firstLine="0" w:firstLineChars="0"/>
        <w:rPr>
          <w:rFonts w:ascii="宋体" w:hAnsi="宋体" w:eastAsia="宋体"/>
          <w:b/>
          <w:bCs/>
          <w:color w:val="auto"/>
          <w:sz w:val="21"/>
          <w:szCs w:val="21"/>
          <w:highlight w:val="none"/>
        </w:rPr>
      </w:pPr>
      <w:bookmarkStart w:id="903" w:name="_Toc152042357"/>
      <w:bookmarkStart w:id="904" w:name="_Toc26468"/>
      <w:bookmarkStart w:id="905" w:name="_Toc455080153"/>
      <w:bookmarkStart w:id="906" w:name="_Toc144974547"/>
      <w:bookmarkStart w:id="907" w:name="_Toc152045580"/>
      <w:bookmarkStart w:id="908" w:name="_Toc14221"/>
      <w:r>
        <w:rPr>
          <w:rFonts w:hint="eastAsia" w:ascii="宋体" w:hAnsi="宋体" w:eastAsia="宋体"/>
          <w:b/>
          <w:bCs/>
          <w:color w:val="auto"/>
          <w:sz w:val="21"/>
          <w:szCs w:val="21"/>
          <w:highlight w:val="none"/>
        </w:rPr>
        <w:t>10. 需要补充的其他内容</w:t>
      </w:r>
      <w:bookmarkEnd w:id="903"/>
      <w:bookmarkEnd w:id="904"/>
      <w:bookmarkEnd w:id="905"/>
      <w:bookmarkEnd w:id="906"/>
      <w:bookmarkEnd w:id="907"/>
      <w:bookmarkEnd w:id="908"/>
    </w:p>
    <w:p>
      <w:pPr>
        <w:pageBreakBefore w:val="0"/>
        <w:kinsoku/>
        <w:overflowPunct/>
        <w:bidi w:val="0"/>
        <w:ind w:firstLine="0" w:firstLineChars="0"/>
        <w:outlineLvl w:val="0"/>
        <w:rPr>
          <w:rFonts w:ascii="宋体" w:hAnsi="宋体" w:cs="宋体"/>
          <w:b/>
          <w:color w:val="auto"/>
          <w:kern w:val="44"/>
          <w:sz w:val="28"/>
          <w:szCs w:val="28"/>
          <w:highlight w:val="none"/>
        </w:rPr>
      </w:pPr>
      <w:bookmarkStart w:id="909" w:name="_Toc455080154"/>
      <w:bookmarkStart w:id="910" w:name="_Toc466298137"/>
      <w:bookmarkStart w:id="911" w:name="_Toc455867814"/>
      <w:bookmarkStart w:id="912" w:name="_Toc152045598"/>
      <w:bookmarkStart w:id="913" w:name="_Toc144974565"/>
      <w:bookmarkStart w:id="914" w:name="_Toc152042375"/>
    </w:p>
    <w:p>
      <w:pPr>
        <w:pageBreakBefore w:val="0"/>
        <w:kinsoku/>
        <w:overflowPunct/>
        <w:bidi w:val="0"/>
        <w:ind w:firstLine="0" w:firstLineChars="0"/>
        <w:outlineLvl w:val="0"/>
        <w:rPr>
          <w:rFonts w:ascii="宋体" w:hAnsi="宋体" w:cs="宋体"/>
          <w:b/>
          <w:color w:val="auto"/>
          <w:kern w:val="44"/>
          <w:sz w:val="32"/>
          <w:szCs w:val="32"/>
          <w:highlight w:val="none"/>
        </w:rPr>
      </w:pPr>
      <w:bookmarkStart w:id="915" w:name="_Toc6192"/>
    </w:p>
    <w:p>
      <w:pPr>
        <w:pageBreakBefore w:val="0"/>
        <w:kinsoku/>
        <w:overflowPunct/>
        <w:bidi w:val="0"/>
        <w:ind w:firstLine="0" w:firstLineChars="0"/>
        <w:outlineLvl w:val="0"/>
        <w:rPr>
          <w:rFonts w:ascii="宋体" w:hAnsi="宋体" w:cs="宋体"/>
          <w:b/>
          <w:color w:val="auto"/>
          <w:kern w:val="44"/>
          <w:sz w:val="32"/>
          <w:szCs w:val="32"/>
          <w:highlight w:val="none"/>
        </w:rPr>
      </w:pPr>
    </w:p>
    <w:p>
      <w:pPr>
        <w:pageBreakBefore w:val="0"/>
        <w:kinsoku/>
        <w:overflowPunct/>
        <w:bidi w:val="0"/>
        <w:ind w:firstLine="0" w:firstLineChars="0"/>
        <w:outlineLvl w:val="0"/>
        <w:rPr>
          <w:rFonts w:ascii="宋体" w:hAnsi="宋体" w:cs="宋体"/>
          <w:b/>
          <w:color w:val="auto"/>
          <w:kern w:val="44"/>
          <w:sz w:val="32"/>
          <w:szCs w:val="32"/>
          <w:highlight w:val="none"/>
        </w:rPr>
      </w:pPr>
    </w:p>
    <w:p>
      <w:pPr>
        <w:pStyle w:val="2"/>
        <w:pageBreakBefore w:val="0"/>
        <w:kinsoku/>
        <w:overflowPunct/>
        <w:bidi w:val="0"/>
        <w:ind w:firstLine="0" w:firstLineChars="0"/>
        <w:rPr>
          <w:rFonts w:ascii="宋体" w:hAnsi="宋体" w:cs="宋体"/>
          <w:b/>
          <w:color w:val="auto"/>
          <w:kern w:val="44"/>
          <w:sz w:val="32"/>
          <w:szCs w:val="32"/>
          <w:highlight w:val="none"/>
        </w:rPr>
      </w:pPr>
    </w:p>
    <w:p>
      <w:pPr>
        <w:pageBreakBefore w:val="0"/>
        <w:kinsoku/>
        <w:overflowPunct/>
        <w:bidi w:val="0"/>
        <w:ind w:firstLine="0" w:firstLineChars="0"/>
        <w:jc w:val="center"/>
        <w:outlineLvl w:val="0"/>
        <w:rPr>
          <w:rFonts w:ascii="宋体" w:hAnsi="宋体" w:cs="宋体"/>
          <w:bCs/>
          <w:color w:val="auto"/>
          <w:sz w:val="32"/>
          <w:szCs w:val="32"/>
          <w:highlight w:val="none"/>
        </w:rPr>
      </w:pPr>
      <w:bookmarkStart w:id="916" w:name="_Toc22014"/>
      <w:r>
        <w:rPr>
          <w:rFonts w:hint="eastAsia" w:ascii="宋体" w:hAnsi="宋体" w:cs="宋体"/>
          <w:b/>
          <w:color w:val="auto"/>
          <w:kern w:val="44"/>
          <w:sz w:val="32"/>
          <w:szCs w:val="32"/>
          <w:highlight w:val="none"/>
        </w:rPr>
        <w:t>第三章  评审办法（综合评分法）</w:t>
      </w:r>
      <w:bookmarkEnd w:id="909"/>
      <w:bookmarkEnd w:id="910"/>
      <w:bookmarkEnd w:id="911"/>
      <w:bookmarkEnd w:id="915"/>
      <w:bookmarkEnd w:id="916"/>
    </w:p>
    <w:bookmarkEnd w:id="912"/>
    <w:bookmarkEnd w:id="913"/>
    <w:bookmarkEnd w:id="914"/>
    <w:p>
      <w:pPr>
        <w:pageBreakBefore w:val="0"/>
        <w:kinsoku/>
        <w:overflowPunct/>
        <w:bidi w:val="0"/>
        <w:ind w:firstLine="0" w:firstLineChars="0"/>
        <w:jc w:val="center"/>
        <w:outlineLvl w:val="1"/>
        <w:rPr>
          <w:rFonts w:ascii="宋体" w:hAnsi="宋体"/>
          <w:color w:val="auto"/>
          <w:sz w:val="24"/>
          <w:highlight w:val="none"/>
        </w:rPr>
      </w:pPr>
      <w:bookmarkStart w:id="917" w:name="_Toc152045599"/>
      <w:bookmarkStart w:id="918" w:name="_Toc27806"/>
      <w:bookmarkStart w:id="919" w:name="_Toc281405527"/>
      <w:bookmarkStart w:id="920" w:name="_Toc466298139"/>
      <w:bookmarkStart w:id="921" w:name="_Toc25472"/>
      <w:bookmarkStart w:id="922" w:name="_Toc11491"/>
      <w:bookmarkStart w:id="923" w:name="_Toc28069"/>
      <w:bookmarkStart w:id="924" w:name="_Toc152042376"/>
      <w:bookmarkStart w:id="925" w:name="_Toc455080156"/>
      <w:bookmarkStart w:id="926" w:name="_Toc144974566"/>
      <w:bookmarkStart w:id="927" w:name="_Toc455867816"/>
      <w:bookmarkStart w:id="928" w:name="_Toc31647"/>
      <w:bookmarkStart w:id="929" w:name="_Toc318450721"/>
      <w:r>
        <w:rPr>
          <w:rFonts w:hint="eastAsia" w:ascii="宋体" w:hAnsi="宋体"/>
          <w:color w:val="auto"/>
          <w:sz w:val="24"/>
          <w:highlight w:val="none"/>
        </w:rPr>
        <w:t>评审办法前附表</w:t>
      </w:r>
      <w:bookmarkEnd w:id="917"/>
      <w:bookmarkEnd w:id="918"/>
      <w:bookmarkEnd w:id="919"/>
      <w:bookmarkEnd w:id="920"/>
      <w:bookmarkEnd w:id="921"/>
      <w:bookmarkEnd w:id="922"/>
      <w:bookmarkEnd w:id="923"/>
      <w:bookmarkEnd w:id="924"/>
      <w:bookmarkEnd w:id="925"/>
      <w:bookmarkEnd w:id="926"/>
      <w:bookmarkEnd w:id="927"/>
      <w:bookmarkEnd w:id="928"/>
      <w:bookmarkEnd w:id="929"/>
    </w:p>
    <w:p>
      <w:pPr>
        <w:pageBreakBefore w:val="0"/>
        <w:kinsoku/>
        <w:overflowPunct/>
        <w:bidi w:val="0"/>
        <w:ind w:firstLine="0" w:firstLineChars="0"/>
        <w:jc w:val="center"/>
        <w:outlineLvl w:val="1"/>
        <w:rPr>
          <w:rFonts w:ascii="宋体" w:hAnsi="宋体"/>
          <w:color w:val="auto"/>
          <w:sz w:val="24"/>
          <w:highlight w:val="none"/>
        </w:rPr>
      </w:pPr>
    </w:p>
    <w:tbl>
      <w:tblPr>
        <w:tblStyle w:val="31"/>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5"/>
        <w:gridCol w:w="2399"/>
        <w:gridCol w:w="5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032" w:type="dxa"/>
            <w:gridSpan w:val="2"/>
            <w:noWrap/>
            <w:vAlign w:val="center"/>
          </w:tcPr>
          <w:p>
            <w:pPr>
              <w:pageBreakBefore w:val="0"/>
              <w:kinsoku/>
              <w:overflowPunct/>
              <w:bidi w:val="0"/>
              <w:spacing w:line="44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2399" w:type="dxa"/>
            <w:noWrap/>
            <w:vAlign w:val="center"/>
          </w:tcPr>
          <w:p>
            <w:pPr>
              <w:pageBreakBefore w:val="0"/>
              <w:kinsoku/>
              <w:overflowPunct/>
              <w:bidi w:val="0"/>
              <w:spacing w:line="44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评审因素</w:t>
            </w:r>
          </w:p>
        </w:tc>
        <w:tc>
          <w:tcPr>
            <w:tcW w:w="5107" w:type="dxa"/>
            <w:noWrap/>
            <w:vAlign w:val="center"/>
          </w:tcPr>
          <w:p>
            <w:pPr>
              <w:pageBreakBefore w:val="0"/>
              <w:kinsoku/>
              <w:overflowPunct/>
              <w:bidi w:val="0"/>
              <w:spacing w:line="44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97" w:type="dxa"/>
            <w:vMerge w:val="restart"/>
            <w:noWrap/>
            <w:vAlign w:val="center"/>
          </w:tcPr>
          <w:p>
            <w:pPr>
              <w:pageBreakBefore w:val="0"/>
              <w:kinsoku/>
              <w:overflowPunct/>
              <w:bidi w:val="0"/>
              <w:spacing w:line="44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1235" w:type="dxa"/>
            <w:vMerge w:val="restart"/>
            <w:noWrap/>
            <w:vAlign w:val="center"/>
          </w:tcPr>
          <w:p>
            <w:pPr>
              <w:pageBreakBefore w:val="0"/>
              <w:kinsoku/>
              <w:overflowPunct/>
              <w:bidi w:val="0"/>
              <w:spacing w:line="44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资格评审</w:t>
            </w:r>
          </w:p>
          <w:p>
            <w:pPr>
              <w:pageBreakBefore w:val="0"/>
              <w:kinsoku/>
              <w:overflowPunct/>
              <w:bidi w:val="0"/>
              <w:spacing w:line="44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标  准</w:t>
            </w:r>
          </w:p>
        </w:tc>
        <w:tc>
          <w:tcPr>
            <w:tcW w:w="2399" w:type="dxa"/>
            <w:noWrap/>
            <w:vAlign w:val="center"/>
          </w:tcPr>
          <w:p>
            <w:pPr>
              <w:keepNext w:val="0"/>
              <w:keepLines w:val="0"/>
              <w:pageBreakBefore w:val="0"/>
              <w:widowControl w:val="0"/>
              <w:kinsoku/>
              <w:wordWrap w:val="0"/>
              <w:overflowPunct/>
              <w:topLinePunct/>
              <w:autoSpaceDE/>
              <w:autoSpaceDN/>
              <w:bidi w:val="0"/>
              <w:adjustRightInd/>
              <w:snapToGrid/>
              <w:spacing w:line="240" w:lineRule="auto"/>
              <w:ind w:left="105" w:leftChars="50" w:right="0" w:rightChars="0" w:firstLine="0" w:firstLineChars="0"/>
              <w:jc w:val="center"/>
              <w:textAlignment w:val="auto"/>
              <w:rPr>
                <w:rFonts w:ascii="宋体" w:hAnsi="宋体" w:eastAsia="宋体" w:cs="宋体"/>
                <w:color w:val="auto"/>
                <w:szCs w:val="21"/>
                <w:highlight w:val="none"/>
              </w:rPr>
            </w:pPr>
            <w:r>
              <w:rPr>
                <w:rFonts w:hint="eastAsia" w:ascii="宋体" w:hAnsi="宋体" w:eastAsia="宋体" w:cs="宋体"/>
                <w:color w:val="auto"/>
                <w:sz w:val="21"/>
                <w:szCs w:val="21"/>
                <w:highlight w:val="none"/>
              </w:rPr>
              <w:t>符合《中华人民共和国政府采购法》第22条规定</w:t>
            </w:r>
          </w:p>
        </w:tc>
        <w:tc>
          <w:tcPr>
            <w:tcW w:w="5107" w:type="dxa"/>
            <w:noWrap/>
            <w:vAlign w:val="center"/>
          </w:tcPr>
          <w:p>
            <w:pPr>
              <w:keepNext w:val="0"/>
              <w:keepLines w:val="0"/>
              <w:pageBreakBefore w:val="0"/>
              <w:widowControl w:val="0"/>
              <w:kinsoku/>
              <w:wordWrap w:val="0"/>
              <w:overflowPunct/>
              <w:topLinePunct/>
              <w:autoSpaceDE/>
              <w:autoSpaceDN/>
              <w:bidi w:val="0"/>
              <w:adjustRightInd/>
              <w:snapToGrid/>
              <w:spacing w:line="240" w:lineRule="auto"/>
              <w:ind w:left="105" w:leftChars="50" w:right="0" w:rightChars="0"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97" w:type="dxa"/>
            <w:vMerge w:val="continue"/>
            <w:noWrap/>
            <w:vAlign w:val="center"/>
          </w:tcPr>
          <w:p>
            <w:pPr>
              <w:pageBreakBefore w:val="0"/>
              <w:kinsoku/>
              <w:overflowPunct/>
              <w:bidi w:val="0"/>
              <w:spacing w:line="440" w:lineRule="exact"/>
              <w:ind w:firstLine="0" w:firstLineChars="0"/>
              <w:rPr>
                <w:rFonts w:ascii="宋体" w:hAnsi="宋体" w:eastAsia="宋体" w:cs="宋体"/>
                <w:color w:val="auto"/>
                <w:szCs w:val="21"/>
                <w:highlight w:val="none"/>
              </w:rPr>
            </w:pPr>
          </w:p>
        </w:tc>
        <w:tc>
          <w:tcPr>
            <w:tcW w:w="1235" w:type="dxa"/>
            <w:vMerge w:val="continue"/>
            <w:noWrap/>
            <w:vAlign w:val="center"/>
          </w:tcPr>
          <w:p>
            <w:pPr>
              <w:pageBreakBefore w:val="0"/>
              <w:kinsoku/>
              <w:overflowPunct/>
              <w:bidi w:val="0"/>
              <w:spacing w:line="440" w:lineRule="exact"/>
              <w:ind w:firstLine="0" w:firstLineChars="0"/>
              <w:jc w:val="center"/>
              <w:rPr>
                <w:rFonts w:ascii="宋体" w:hAnsi="宋体" w:eastAsia="宋体" w:cs="宋体"/>
                <w:color w:val="auto"/>
                <w:szCs w:val="21"/>
                <w:highlight w:val="none"/>
              </w:rPr>
            </w:pPr>
          </w:p>
        </w:tc>
        <w:tc>
          <w:tcPr>
            <w:tcW w:w="2399" w:type="dxa"/>
            <w:noWrap/>
            <w:vAlign w:val="center"/>
          </w:tcPr>
          <w:p>
            <w:pPr>
              <w:keepNext w:val="0"/>
              <w:keepLines w:val="0"/>
              <w:pageBreakBefore w:val="0"/>
              <w:widowControl w:val="0"/>
              <w:kinsoku/>
              <w:wordWrap w:val="0"/>
              <w:overflowPunct/>
              <w:topLinePunct/>
              <w:autoSpaceDE/>
              <w:autoSpaceDN/>
              <w:bidi w:val="0"/>
              <w:adjustRightInd/>
              <w:snapToGrid/>
              <w:spacing w:line="240" w:lineRule="auto"/>
              <w:ind w:left="105" w:leftChars="50" w:right="0" w:rightChars="0" w:firstLine="0" w:firstLineChars="0"/>
              <w:jc w:val="center"/>
              <w:textAlignment w:val="auto"/>
              <w:rPr>
                <w:rFonts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落实政府采购政策</w:t>
            </w:r>
          </w:p>
        </w:tc>
        <w:tc>
          <w:tcPr>
            <w:tcW w:w="5107" w:type="dxa"/>
            <w:noWrap/>
            <w:vAlign w:val="center"/>
          </w:tcPr>
          <w:p>
            <w:pPr>
              <w:keepNext w:val="0"/>
              <w:keepLines w:val="0"/>
              <w:pageBreakBefore w:val="0"/>
              <w:widowControl w:val="0"/>
              <w:kinsoku/>
              <w:wordWrap w:val="0"/>
              <w:overflowPunct/>
              <w:topLinePunct/>
              <w:autoSpaceDE/>
              <w:autoSpaceDN/>
              <w:bidi w:val="0"/>
              <w:adjustRightInd/>
              <w:snapToGrid/>
              <w:spacing w:line="240" w:lineRule="auto"/>
              <w:ind w:left="105" w:leftChars="50" w:right="0" w:rightChars="0"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97" w:type="dxa"/>
            <w:vMerge w:val="continue"/>
            <w:noWrap/>
            <w:vAlign w:val="center"/>
          </w:tcPr>
          <w:p>
            <w:pPr>
              <w:pageBreakBefore w:val="0"/>
              <w:kinsoku/>
              <w:overflowPunct/>
              <w:bidi w:val="0"/>
              <w:spacing w:line="440" w:lineRule="exact"/>
              <w:ind w:firstLine="0" w:firstLineChars="0"/>
              <w:rPr>
                <w:rFonts w:ascii="宋体" w:hAnsi="宋体" w:eastAsia="宋体" w:cs="宋体"/>
                <w:color w:val="auto"/>
                <w:szCs w:val="21"/>
                <w:highlight w:val="none"/>
              </w:rPr>
            </w:pPr>
          </w:p>
        </w:tc>
        <w:tc>
          <w:tcPr>
            <w:tcW w:w="1235" w:type="dxa"/>
            <w:vMerge w:val="continue"/>
            <w:noWrap/>
            <w:vAlign w:val="center"/>
          </w:tcPr>
          <w:p>
            <w:pPr>
              <w:pageBreakBefore w:val="0"/>
              <w:kinsoku/>
              <w:overflowPunct/>
              <w:bidi w:val="0"/>
              <w:spacing w:line="440" w:lineRule="exact"/>
              <w:ind w:firstLine="0" w:firstLineChars="0"/>
              <w:jc w:val="center"/>
              <w:rPr>
                <w:rFonts w:ascii="宋体" w:hAnsi="宋体" w:eastAsia="宋体" w:cs="宋体"/>
                <w:color w:val="auto"/>
                <w:szCs w:val="21"/>
                <w:highlight w:val="none"/>
              </w:rPr>
            </w:pPr>
          </w:p>
        </w:tc>
        <w:tc>
          <w:tcPr>
            <w:tcW w:w="2399" w:type="dxa"/>
            <w:noWrap/>
            <w:vAlign w:val="center"/>
          </w:tcPr>
          <w:p>
            <w:pPr>
              <w:keepNext w:val="0"/>
              <w:keepLines w:val="0"/>
              <w:pageBreakBefore w:val="0"/>
              <w:widowControl w:val="0"/>
              <w:kinsoku/>
              <w:wordWrap w:val="0"/>
              <w:overflowPunct/>
              <w:topLinePunct/>
              <w:autoSpaceDE/>
              <w:autoSpaceDN/>
              <w:bidi w:val="0"/>
              <w:adjustRightInd/>
              <w:snapToGrid/>
              <w:spacing w:line="240" w:lineRule="auto"/>
              <w:ind w:left="105" w:leftChars="50" w:right="0" w:rightChars="0" w:firstLine="0" w:firstLineChars="0"/>
              <w:jc w:val="center"/>
              <w:textAlignment w:val="auto"/>
              <w:rPr>
                <w:rFonts w:ascii="宋体" w:hAnsi="宋体" w:eastAsia="宋体" w:cs="宋体"/>
                <w:color w:val="auto"/>
                <w:szCs w:val="21"/>
                <w:highlight w:val="none"/>
              </w:rPr>
            </w:pPr>
            <w:r>
              <w:rPr>
                <w:rFonts w:hint="eastAsia" w:ascii="宋体" w:hAnsi="宋体" w:eastAsia="宋体" w:cs="宋体"/>
                <w:color w:val="auto"/>
                <w:sz w:val="21"/>
                <w:szCs w:val="21"/>
                <w:highlight w:val="none"/>
                <w:lang w:eastAsia="zh-CN"/>
              </w:rPr>
              <w:t>特定资格要求</w:t>
            </w:r>
          </w:p>
        </w:tc>
        <w:tc>
          <w:tcPr>
            <w:tcW w:w="5107" w:type="dxa"/>
            <w:noWrap/>
            <w:vAlign w:val="center"/>
          </w:tcPr>
          <w:p>
            <w:pPr>
              <w:keepNext w:val="0"/>
              <w:keepLines w:val="0"/>
              <w:pageBreakBefore w:val="0"/>
              <w:widowControl w:val="0"/>
              <w:kinsoku/>
              <w:wordWrap w:val="0"/>
              <w:overflowPunct/>
              <w:topLinePunct/>
              <w:autoSpaceDE/>
              <w:autoSpaceDN/>
              <w:bidi w:val="0"/>
              <w:adjustRightInd/>
              <w:snapToGrid/>
              <w:spacing w:line="240" w:lineRule="auto"/>
              <w:ind w:left="105" w:leftChars="50" w:right="0" w:rightChars="0"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97" w:type="dxa"/>
            <w:vMerge w:val="continue"/>
            <w:noWrap/>
            <w:vAlign w:val="center"/>
          </w:tcPr>
          <w:p>
            <w:pPr>
              <w:pageBreakBefore w:val="0"/>
              <w:widowControl/>
              <w:kinsoku/>
              <w:overflowPunct/>
              <w:bidi w:val="0"/>
              <w:spacing w:line="440" w:lineRule="exact"/>
              <w:ind w:firstLine="0" w:firstLineChars="0"/>
              <w:jc w:val="left"/>
              <w:rPr>
                <w:rFonts w:ascii="宋体" w:hAnsi="宋体" w:eastAsia="宋体" w:cs="宋体"/>
                <w:color w:val="auto"/>
                <w:szCs w:val="21"/>
                <w:highlight w:val="none"/>
              </w:rPr>
            </w:pPr>
          </w:p>
        </w:tc>
        <w:tc>
          <w:tcPr>
            <w:tcW w:w="1235" w:type="dxa"/>
            <w:vMerge w:val="continue"/>
            <w:noWrap/>
            <w:vAlign w:val="center"/>
          </w:tcPr>
          <w:p>
            <w:pPr>
              <w:pageBreakBefore w:val="0"/>
              <w:widowControl/>
              <w:kinsoku/>
              <w:overflowPunct/>
              <w:bidi w:val="0"/>
              <w:spacing w:line="440" w:lineRule="exact"/>
              <w:ind w:firstLine="0" w:firstLineChars="0"/>
              <w:jc w:val="left"/>
              <w:rPr>
                <w:rFonts w:ascii="宋体" w:hAnsi="宋体" w:eastAsia="宋体" w:cs="宋体"/>
                <w:color w:val="auto"/>
                <w:szCs w:val="21"/>
                <w:highlight w:val="none"/>
              </w:rPr>
            </w:pPr>
          </w:p>
        </w:tc>
        <w:tc>
          <w:tcPr>
            <w:tcW w:w="2399" w:type="dxa"/>
            <w:noWrap/>
            <w:vAlign w:val="center"/>
          </w:tcPr>
          <w:p>
            <w:pPr>
              <w:keepNext w:val="0"/>
              <w:keepLines w:val="0"/>
              <w:pageBreakBefore w:val="0"/>
              <w:widowControl w:val="0"/>
              <w:kinsoku/>
              <w:wordWrap w:val="0"/>
              <w:overflowPunct/>
              <w:topLinePunct/>
              <w:autoSpaceDE/>
              <w:autoSpaceDN/>
              <w:bidi w:val="0"/>
              <w:adjustRightInd/>
              <w:snapToGrid/>
              <w:spacing w:line="240" w:lineRule="auto"/>
              <w:ind w:left="105" w:leftChars="50" w:right="0" w:rightChars="0" w:firstLine="0" w:firstLineChars="0"/>
              <w:jc w:val="center"/>
              <w:textAlignment w:val="auto"/>
              <w:rPr>
                <w:rFonts w:ascii="宋体" w:hAnsi="宋体" w:eastAsia="宋体" w:cs="宋体"/>
                <w:color w:val="auto"/>
                <w:szCs w:val="21"/>
                <w:highlight w:val="none"/>
              </w:rPr>
            </w:pPr>
            <w:r>
              <w:rPr>
                <w:rFonts w:hint="eastAsia" w:ascii="宋体" w:hAnsi="宋体" w:eastAsia="宋体" w:cs="宋体"/>
                <w:color w:val="auto"/>
                <w:sz w:val="21"/>
                <w:szCs w:val="21"/>
                <w:highlight w:val="none"/>
              </w:rPr>
              <w:t>其他要求</w:t>
            </w:r>
          </w:p>
        </w:tc>
        <w:tc>
          <w:tcPr>
            <w:tcW w:w="5107" w:type="dxa"/>
            <w:noWrap/>
            <w:vAlign w:val="center"/>
          </w:tcPr>
          <w:p>
            <w:pPr>
              <w:keepNext w:val="0"/>
              <w:keepLines w:val="0"/>
              <w:pageBreakBefore w:val="0"/>
              <w:widowControl w:val="0"/>
              <w:kinsoku/>
              <w:wordWrap w:val="0"/>
              <w:overflowPunct/>
              <w:topLinePunct/>
              <w:autoSpaceDE/>
              <w:autoSpaceDN/>
              <w:bidi w:val="0"/>
              <w:adjustRightInd/>
              <w:snapToGrid/>
              <w:spacing w:line="240" w:lineRule="auto"/>
              <w:ind w:left="105" w:leftChars="50" w:right="0" w:rightChars="0" w:firstLine="0" w:firstLineChars="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符合第二章“供应商须知”第1.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7" w:type="dxa"/>
            <w:vMerge w:val="restart"/>
            <w:noWrap/>
            <w:vAlign w:val="center"/>
          </w:tcPr>
          <w:p>
            <w:pPr>
              <w:pageBreakBefore w:val="0"/>
              <w:kinsoku/>
              <w:overflowPunct/>
              <w:bidi w:val="0"/>
              <w:spacing w:line="44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2.1.2</w:t>
            </w:r>
          </w:p>
        </w:tc>
        <w:tc>
          <w:tcPr>
            <w:tcW w:w="1235" w:type="dxa"/>
            <w:vMerge w:val="restart"/>
            <w:noWrap/>
            <w:vAlign w:val="center"/>
          </w:tcPr>
          <w:p>
            <w:pPr>
              <w:pageBreakBefore w:val="0"/>
              <w:kinsoku/>
              <w:overflowPunct/>
              <w:bidi w:val="0"/>
              <w:spacing w:line="44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符合性</w:t>
            </w:r>
          </w:p>
          <w:p>
            <w:pPr>
              <w:pageBreakBefore w:val="0"/>
              <w:kinsoku/>
              <w:overflowPunct/>
              <w:bidi w:val="0"/>
              <w:spacing w:line="44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评审标准</w:t>
            </w:r>
          </w:p>
        </w:tc>
        <w:tc>
          <w:tcPr>
            <w:tcW w:w="2399" w:type="dxa"/>
            <w:noWrap/>
            <w:vAlign w:val="center"/>
          </w:tcPr>
          <w:p>
            <w:pPr>
              <w:pageBreakBefore w:val="0"/>
              <w:kinsoku/>
              <w:overflowPunct/>
              <w:bidi w:val="0"/>
              <w:spacing w:line="44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5107" w:type="dxa"/>
            <w:noWrap/>
            <w:vAlign w:val="center"/>
          </w:tcPr>
          <w:p>
            <w:pPr>
              <w:pageBreakBefore w:val="0"/>
              <w:kinsoku/>
              <w:overflowPunct/>
              <w:bidi w:val="0"/>
              <w:spacing w:line="44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与营业执照</w:t>
            </w:r>
            <w:r>
              <w:rPr>
                <w:rFonts w:hint="eastAsia" w:ascii="宋体" w:hAnsi="宋体" w:eastAsia="宋体" w:cs="宋体"/>
                <w:color w:val="auto"/>
                <w:kern w:val="0"/>
                <w:szCs w:val="21"/>
                <w:highlight w:val="none"/>
              </w:rPr>
              <w:t>或</w:t>
            </w:r>
            <w:r>
              <w:rPr>
                <w:rFonts w:hint="eastAsia" w:ascii="宋体" w:hAnsi="宋体" w:eastAsia="宋体" w:cs="宋体"/>
                <w:color w:val="auto"/>
                <w:kern w:val="0"/>
                <w:szCs w:val="21"/>
                <w:highlight w:val="none"/>
                <w:lang w:eastAsia="zh-CN"/>
              </w:rPr>
              <w:t>其他组织的证明材料</w:t>
            </w:r>
            <w:r>
              <w:rPr>
                <w:rFonts w:hint="eastAsia" w:ascii="宋体" w:hAnsi="宋体" w:eastAsia="宋体" w:cs="宋体"/>
                <w:color w:val="auto"/>
                <w:szCs w:val="21"/>
                <w:highlight w:val="none"/>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7" w:type="dxa"/>
            <w:vMerge w:val="continue"/>
            <w:noWrap/>
            <w:vAlign w:val="center"/>
          </w:tcPr>
          <w:p>
            <w:pPr>
              <w:pageBreakBefore w:val="0"/>
              <w:widowControl/>
              <w:kinsoku/>
              <w:overflowPunct/>
              <w:bidi w:val="0"/>
              <w:spacing w:line="440" w:lineRule="exact"/>
              <w:ind w:firstLine="0" w:firstLineChars="0"/>
              <w:jc w:val="left"/>
              <w:rPr>
                <w:rFonts w:ascii="宋体" w:hAnsi="宋体" w:eastAsia="宋体" w:cs="宋体"/>
                <w:color w:val="auto"/>
                <w:szCs w:val="21"/>
                <w:highlight w:val="none"/>
              </w:rPr>
            </w:pPr>
          </w:p>
        </w:tc>
        <w:tc>
          <w:tcPr>
            <w:tcW w:w="1235" w:type="dxa"/>
            <w:vMerge w:val="continue"/>
            <w:noWrap/>
            <w:vAlign w:val="center"/>
          </w:tcPr>
          <w:p>
            <w:pPr>
              <w:pageBreakBefore w:val="0"/>
              <w:widowControl/>
              <w:kinsoku/>
              <w:overflowPunct/>
              <w:bidi w:val="0"/>
              <w:spacing w:line="440" w:lineRule="exact"/>
              <w:ind w:firstLine="0" w:firstLineChars="0"/>
              <w:jc w:val="left"/>
              <w:rPr>
                <w:rFonts w:ascii="宋体" w:hAnsi="宋体" w:eastAsia="宋体" w:cs="宋体"/>
                <w:color w:val="auto"/>
                <w:szCs w:val="21"/>
                <w:highlight w:val="none"/>
              </w:rPr>
            </w:pPr>
          </w:p>
        </w:tc>
        <w:tc>
          <w:tcPr>
            <w:tcW w:w="2399" w:type="dxa"/>
            <w:noWrap/>
            <w:vAlign w:val="center"/>
          </w:tcPr>
          <w:p>
            <w:pPr>
              <w:pageBreakBefore w:val="0"/>
              <w:kinsoku/>
              <w:overflowPunct/>
              <w:bidi w:val="0"/>
              <w:spacing w:line="44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响应函签字盖章</w:t>
            </w:r>
          </w:p>
        </w:tc>
        <w:tc>
          <w:tcPr>
            <w:tcW w:w="5107" w:type="dxa"/>
            <w:noWrap/>
            <w:vAlign w:val="center"/>
          </w:tcPr>
          <w:p>
            <w:pPr>
              <w:pageBreakBefore w:val="0"/>
              <w:kinsoku/>
              <w:overflowPunct/>
              <w:bidi w:val="0"/>
              <w:spacing w:line="440" w:lineRule="exact"/>
              <w:ind w:firstLine="0" w:firstLineChars="0"/>
              <w:rPr>
                <w:rFonts w:ascii="宋体" w:hAnsi="宋体" w:eastAsia="宋体" w:cs="宋体"/>
                <w:color w:val="auto"/>
                <w:szCs w:val="21"/>
                <w:highlight w:val="none"/>
              </w:rPr>
            </w:pPr>
            <w:r>
              <w:rPr>
                <w:rFonts w:hint="eastAsia" w:ascii="宋体" w:hAnsi="宋体" w:eastAsia="宋体" w:cs="宋体"/>
                <w:color w:val="auto"/>
                <w:spacing w:val="-6"/>
                <w:szCs w:val="21"/>
                <w:highlight w:val="none"/>
              </w:rPr>
              <w:t>符合第六章“竞争性磋商响应文件格式”响应函签字盖章的要求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97" w:type="dxa"/>
            <w:vMerge w:val="continue"/>
            <w:noWrap/>
            <w:vAlign w:val="center"/>
          </w:tcPr>
          <w:p>
            <w:pPr>
              <w:pageBreakBefore w:val="0"/>
              <w:widowControl/>
              <w:kinsoku/>
              <w:overflowPunct/>
              <w:bidi w:val="0"/>
              <w:spacing w:line="440" w:lineRule="exact"/>
              <w:ind w:firstLine="0" w:firstLineChars="0"/>
              <w:jc w:val="left"/>
              <w:rPr>
                <w:rFonts w:ascii="宋体" w:hAnsi="宋体" w:eastAsia="宋体" w:cs="宋体"/>
                <w:color w:val="auto"/>
                <w:szCs w:val="21"/>
                <w:highlight w:val="none"/>
              </w:rPr>
            </w:pPr>
          </w:p>
        </w:tc>
        <w:tc>
          <w:tcPr>
            <w:tcW w:w="1235" w:type="dxa"/>
            <w:vMerge w:val="continue"/>
            <w:noWrap/>
            <w:vAlign w:val="center"/>
          </w:tcPr>
          <w:p>
            <w:pPr>
              <w:pageBreakBefore w:val="0"/>
              <w:widowControl/>
              <w:kinsoku/>
              <w:overflowPunct/>
              <w:bidi w:val="0"/>
              <w:spacing w:line="440" w:lineRule="exact"/>
              <w:ind w:firstLine="0" w:firstLineChars="0"/>
              <w:jc w:val="left"/>
              <w:rPr>
                <w:rFonts w:ascii="宋体" w:hAnsi="宋体" w:eastAsia="宋体" w:cs="宋体"/>
                <w:color w:val="auto"/>
                <w:szCs w:val="21"/>
                <w:highlight w:val="none"/>
              </w:rPr>
            </w:pPr>
          </w:p>
        </w:tc>
        <w:tc>
          <w:tcPr>
            <w:tcW w:w="2399" w:type="dxa"/>
            <w:noWrap/>
            <w:vAlign w:val="center"/>
          </w:tcPr>
          <w:p>
            <w:pPr>
              <w:pageBreakBefore w:val="0"/>
              <w:kinsoku/>
              <w:overflowPunct/>
              <w:bidi w:val="0"/>
              <w:spacing w:line="44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响应文件格式</w:t>
            </w:r>
          </w:p>
        </w:tc>
        <w:tc>
          <w:tcPr>
            <w:tcW w:w="5107" w:type="dxa"/>
            <w:noWrap/>
            <w:vAlign w:val="center"/>
          </w:tcPr>
          <w:p>
            <w:pPr>
              <w:pageBreakBefore w:val="0"/>
              <w:kinsoku/>
              <w:overflowPunct/>
              <w:bidi w:val="0"/>
              <w:spacing w:line="44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符合第六章“竞争性磋商响应文件格式”的要求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97" w:type="dxa"/>
            <w:vMerge w:val="continue"/>
            <w:noWrap/>
            <w:vAlign w:val="center"/>
          </w:tcPr>
          <w:p>
            <w:pPr>
              <w:pageBreakBefore w:val="0"/>
              <w:kinsoku/>
              <w:overflowPunct/>
              <w:bidi w:val="0"/>
              <w:spacing w:line="440" w:lineRule="exact"/>
              <w:ind w:firstLine="0" w:firstLineChars="0"/>
              <w:rPr>
                <w:rFonts w:ascii="宋体" w:hAnsi="宋体" w:eastAsia="宋体" w:cs="宋体"/>
                <w:color w:val="auto"/>
                <w:szCs w:val="21"/>
                <w:highlight w:val="none"/>
              </w:rPr>
            </w:pPr>
          </w:p>
        </w:tc>
        <w:tc>
          <w:tcPr>
            <w:tcW w:w="1235" w:type="dxa"/>
            <w:vMerge w:val="continue"/>
            <w:noWrap/>
            <w:vAlign w:val="center"/>
          </w:tcPr>
          <w:p>
            <w:pPr>
              <w:pageBreakBefore w:val="0"/>
              <w:kinsoku/>
              <w:overflowPunct/>
              <w:bidi w:val="0"/>
              <w:spacing w:line="440" w:lineRule="exact"/>
              <w:ind w:firstLine="0" w:firstLineChars="0"/>
              <w:jc w:val="center"/>
              <w:rPr>
                <w:rFonts w:ascii="宋体" w:hAnsi="宋体" w:eastAsia="宋体" w:cs="宋体"/>
                <w:color w:val="auto"/>
                <w:szCs w:val="21"/>
                <w:highlight w:val="none"/>
              </w:rPr>
            </w:pPr>
          </w:p>
        </w:tc>
        <w:tc>
          <w:tcPr>
            <w:tcW w:w="2399" w:type="dxa"/>
            <w:noWrap/>
            <w:vAlign w:val="center"/>
          </w:tcPr>
          <w:p>
            <w:pPr>
              <w:pageBreakBefore w:val="0"/>
              <w:kinsoku/>
              <w:overflowPunct/>
              <w:bidi w:val="0"/>
              <w:spacing w:line="44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响应内容</w:t>
            </w:r>
          </w:p>
        </w:tc>
        <w:tc>
          <w:tcPr>
            <w:tcW w:w="5107" w:type="dxa"/>
            <w:noWrap/>
            <w:vAlign w:val="center"/>
          </w:tcPr>
          <w:p>
            <w:pPr>
              <w:pageBreakBefore w:val="0"/>
              <w:kinsoku/>
              <w:overflowPunct/>
              <w:bidi w:val="0"/>
              <w:spacing w:line="44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97" w:type="dxa"/>
            <w:vMerge w:val="continue"/>
            <w:noWrap/>
            <w:vAlign w:val="center"/>
          </w:tcPr>
          <w:p>
            <w:pPr>
              <w:pageBreakBefore w:val="0"/>
              <w:widowControl/>
              <w:kinsoku/>
              <w:overflowPunct/>
              <w:bidi w:val="0"/>
              <w:spacing w:line="440" w:lineRule="exact"/>
              <w:ind w:firstLine="0" w:firstLineChars="0"/>
              <w:jc w:val="left"/>
              <w:rPr>
                <w:rFonts w:ascii="宋体" w:hAnsi="宋体" w:eastAsia="宋体" w:cs="宋体"/>
                <w:color w:val="auto"/>
                <w:szCs w:val="21"/>
                <w:highlight w:val="none"/>
              </w:rPr>
            </w:pPr>
          </w:p>
        </w:tc>
        <w:tc>
          <w:tcPr>
            <w:tcW w:w="1235" w:type="dxa"/>
            <w:vMerge w:val="continue"/>
            <w:noWrap/>
            <w:vAlign w:val="center"/>
          </w:tcPr>
          <w:p>
            <w:pPr>
              <w:pageBreakBefore w:val="0"/>
              <w:widowControl/>
              <w:kinsoku/>
              <w:overflowPunct/>
              <w:bidi w:val="0"/>
              <w:spacing w:line="440" w:lineRule="exact"/>
              <w:ind w:firstLine="0" w:firstLineChars="0"/>
              <w:jc w:val="left"/>
              <w:rPr>
                <w:rFonts w:ascii="宋体" w:hAnsi="宋体" w:eastAsia="宋体" w:cs="宋体"/>
                <w:color w:val="auto"/>
                <w:szCs w:val="21"/>
                <w:highlight w:val="none"/>
              </w:rPr>
            </w:pPr>
          </w:p>
        </w:tc>
        <w:tc>
          <w:tcPr>
            <w:tcW w:w="2399" w:type="dxa"/>
            <w:noWrap/>
            <w:vAlign w:val="center"/>
          </w:tcPr>
          <w:p>
            <w:pPr>
              <w:pageBreakBefore w:val="0"/>
              <w:kinsoku/>
              <w:overflowPunct/>
              <w:bidi w:val="0"/>
              <w:spacing w:line="44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服务期限</w:t>
            </w:r>
          </w:p>
        </w:tc>
        <w:tc>
          <w:tcPr>
            <w:tcW w:w="5107" w:type="dxa"/>
            <w:noWrap/>
            <w:vAlign w:val="center"/>
          </w:tcPr>
          <w:p>
            <w:pPr>
              <w:pageBreakBefore w:val="0"/>
              <w:kinsoku/>
              <w:overflowPunct/>
              <w:bidi w:val="0"/>
              <w:spacing w:line="44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符合第二章“供应商须知”第1.4.2项规定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97" w:type="dxa"/>
            <w:vMerge w:val="continue"/>
            <w:noWrap/>
            <w:vAlign w:val="center"/>
          </w:tcPr>
          <w:p>
            <w:pPr>
              <w:pageBreakBefore w:val="0"/>
              <w:widowControl/>
              <w:kinsoku/>
              <w:overflowPunct/>
              <w:bidi w:val="0"/>
              <w:spacing w:line="440" w:lineRule="exact"/>
              <w:ind w:firstLine="0" w:firstLineChars="0"/>
              <w:jc w:val="left"/>
              <w:rPr>
                <w:rFonts w:ascii="宋体" w:hAnsi="宋体" w:eastAsia="宋体" w:cs="宋体"/>
                <w:color w:val="auto"/>
                <w:szCs w:val="21"/>
                <w:highlight w:val="none"/>
              </w:rPr>
            </w:pPr>
          </w:p>
        </w:tc>
        <w:tc>
          <w:tcPr>
            <w:tcW w:w="1235" w:type="dxa"/>
            <w:vMerge w:val="continue"/>
            <w:noWrap/>
            <w:vAlign w:val="center"/>
          </w:tcPr>
          <w:p>
            <w:pPr>
              <w:pageBreakBefore w:val="0"/>
              <w:widowControl/>
              <w:kinsoku/>
              <w:overflowPunct/>
              <w:bidi w:val="0"/>
              <w:spacing w:line="440" w:lineRule="exact"/>
              <w:ind w:firstLine="0" w:firstLineChars="0"/>
              <w:jc w:val="left"/>
              <w:rPr>
                <w:rFonts w:ascii="宋体" w:hAnsi="宋体" w:eastAsia="宋体" w:cs="宋体"/>
                <w:color w:val="auto"/>
                <w:szCs w:val="21"/>
                <w:highlight w:val="none"/>
              </w:rPr>
            </w:pPr>
          </w:p>
        </w:tc>
        <w:tc>
          <w:tcPr>
            <w:tcW w:w="2399" w:type="dxa"/>
            <w:noWrap/>
            <w:vAlign w:val="center"/>
          </w:tcPr>
          <w:p>
            <w:pPr>
              <w:pageBreakBefore w:val="0"/>
              <w:kinsoku/>
              <w:overflowPunct/>
              <w:bidi w:val="0"/>
              <w:spacing w:line="44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质量要求</w:t>
            </w:r>
          </w:p>
        </w:tc>
        <w:tc>
          <w:tcPr>
            <w:tcW w:w="5107" w:type="dxa"/>
            <w:noWrap/>
            <w:vAlign w:val="center"/>
          </w:tcPr>
          <w:p>
            <w:pPr>
              <w:pageBreakBefore w:val="0"/>
              <w:kinsoku/>
              <w:overflowPunct/>
              <w:bidi w:val="0"/>
              <w:spacing w:line="44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符合第二章“供应商须知”第1.4.4项规定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97" w:type="dxa"/>
            <w:vMerge w:val="continue"/>
            <w:noWrap/>
            <w:vAlign w:val="center"/>
          </w:tcPr>
          <w:p>
            <w:pPr>
              <w:pageBreakBefore w:val="0"/>
              <w:widowControl/>
              <w:kinsoku/>
              <w:overflowPunct/>
              <w:bidi w:val="0"/>
              <w:spacing w:line="440" w:lineRule="exact"/>
              <w:ind w:firstLine="0" w:firstLineChars="0"/>
              <w:jc w:val="left"/>
              <w:rPr>
                <w:rFonts w:ascii="宋体" w:hAnsi="宋体" w:eastAsia="宋体" w:cs="宋体"/>
                <w:color w:val="auto"/>
                <w:szCs w:val="21"/>
                <w:highlight w:val="none"/>
              </w:rPr>
            </w:pPr>
          </w:p>
        </w:tc>
        <w:tc>
          <w:tcPr>
            <w:tcW w:w="1235" w:type="dxa"/>
            <w:vMerge w:val="continue"/>
            <w:noWrap/>
            <w:vAlign w:val="center"/>
          </w:tcPr>
          <w:p>
            <w:pPr>
              <w:pageBreakBefore w:val="0"/>
              <w:widowControl/>
              <w:kinsoku/>
              <w:overflowPunct/>
              <w:bidi w:val="0"/>
              <w:spacing w:line="440" w:lineRule="exact"/>
              <w:ind w:firstLine="0" w:firstLineChars="0"/>
              <w:jc w:val="left"/>
              <w:rPr>
                <w:rFonts w:ascii="宋体" w:hAnsi="宋体" w:eastAsia="宋体" w:cs="宋体"/>
                <w:color w:val="auto"/>
                <w:szCs w:val="21"/>
                <w:highlight w:val="none"/>
              </w:rPr>
            </w:pPr>
          </w:p>
        </w:tc>
        <w:tc>
          <w:tcPr>
            <w:tcW w:w="2399" w:type="dxa"/>
            <w:noWrap/>
            <w:vAlign w:val="center"/>
          </w:tcPr>
          <w:p>
            <w:pPr>
              <w:pageBreakBefore w:val="0"/>
              <w:kinsoku/>
              <w:overflowPunct/>
              <w:bidi w:val="0"/>
              <w:spacing w:line="44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磋商有效期</w:t>
            </w:r>
          </w:p>
        </w:tc>
        <w:tc>
          <w:tcPr>
            <w:tcW w:w="5107" w:type="dxa"/>
            <w:noWrap/>
            <w:vAlign w:val="center"/>
          </w:tcPr>
          <w:p>
            <w:pPr>
              <w:pageBreakBefore w:val="0"/>
              <w:kinsoku/>
              <w:overflowPunct/>
              <w:bidi w:val="0"/>
              <w:spacing w:line="44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97" w:type="dxa"/>
            <w:vMerge w:val="continue"/>
            <w:noWrap/>
            <w:vAlign w:val="center"/>
          </w:tcPr>
          <w:p>
            <w:pPr>
              <w:pageBreakBefore w:val="0"/>
              <w:widowControl/>
              <w:kinsoku/>
              <w:overflowPunct/>
              <w:bidi w:val="0"/>
              <w:spacing w:line="440" w:lineRule="exact"/>
              <w:ind w:firstLine="0" w:firstLineChars="0"/>
              <w:jc w:val="left"/>
              <w:rPr>
                <w:rFonts w:ascii="宋体" w:hAnsi="宋体" w:eastAsia="宋体" w:cs="宋体"/>
                <w:color w:val="auto"/>
                <w:szCs w:val="21"/>
                <w:highlight w:val="none"/>
              </w:rPr>
            </w:pPr>
          </w:p>
        </w:tc>
        <w:tc>
          <w:tcPr>
            <w:tcW w:w="1235" w:type="dxa"/>
            <w:vMerge w:val="continue"/>
            <w:noWrap/>
            <w:vAlign w:val="center"/>
          </w:tcPr>
          <w:p>
            <w:pPr>
              <w:pageBreakBefore w:val="0"/>
              <w:widowControl/>
              <w:kinsoku/>
              <w:overflowPunct/>
              <w:bidi w:val="0"/>
              <w:spacing w:line="440" w:lineRule="exact"/>
              <w:ind w:firstLine="0" w:firstLineChars="0"/>
              <w:jc w:val="left"/>
              <w:rPr>
                <w:rFonts w:ascii="宋体" w:hAnsi="宋体" w:eastAsia="宋体" w:cs="宋体"/>
                <w:color w:val="auto"/>
                <w:szCs w:val="21"/>
                <w:highlight w:val="none"/>
              </w:rPr>
            </w:pPr>
          </w:p>
        </w:tc>
        <w:tc>
          <w:tcPr>
            <w:tcW w:w="2399" w:type="dxa"/>
            <w:noWrap/>
            <w:vAlign w:val="center"/>
          </w:tcPr>
          <w:p>
            <w:pPr>
              <w:pageBreakBefore w:val="0"/>
              <w:kinsoku/>
              <w:overflowPunct/>
              <w:bidi w:val="0"/>
              <w:spacing w:line="44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磋商报价</w:t>
            </w:r>
          </w:p>
        </w:tc>
        <w:tc>
          <w:tcPr>
            <w:tcW w:w="5107" w:type="dxa"/>
            <w:noWrap/>
            <w:vAlign w:val="center"/>
          </w:tcPr>
          <w:p>
            <w:pPr>
              <w:pageBreakBefore w:val="0"/>
              <w:kinsoku/>
              <w:overflowPunct/>
              <w:bidi w:val="0"/>
              <w:spacing w:line="44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报价不超过预算价（最高限价）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2032" w:type="dxa"/>
            <w:gridSpan w:val="2"/>
            <w:noWrap/>
            <w:vAlign w:val="center"/>
          </w:tcPr>
          <w:p>
            <w:pPr>
              <w:pageBreakBefore w:val="0"/>
              <w:kinsoku/>
              <w:overflowPunct/>
              <w:bidi w:val="0"/>
              <w:spacing w:line="400" w:lineRule="exact"/>
              <w:ind w:firstLine="0" w:firstLineChars="0"/>
              <w:jc w:val="center"/>
              <w:rPr>
                <w:rFonts w:ascii="宋体" w:hAnsi="宋体" w:eastAsia="宋体" w:cs="宋体"/>
                <w:color w:val="auto"/>
                <w:szCs w:val="21"/>
                <w:highlight w:val="none"/>
              </w:rPr>
            </w:pPr>
            <w:bookmarkStart w:id="930" w:name="_Toc31578"/>
            <w:bookmarkStart w:id="931" w:name="_Toc152045600"/>
            <w:bookmarkStart w:id="932" w:name="_Toc318450722"/>
            <w:bookmarkStart w:id="933" w:name="_Toc281405528"/>
            <w:bookmarkStart w:id="934" w:name="_Toc144974567"/>
            <w:bookmarkStart w:id="935" w:name="_Toc152042377"/>
            <w:r>
              <w:rPr>
                <w:rFonts w:hint="eastAsia" w:ascii="宋体" w:hAnsi="宋体" w:eastAsia="宋体" w:cs="宋体"/>
                <w:color w:val="auto"/>
                <w:szCs w:val="21"/>
                <w:highlight w:val="none"/>
              </w:rPr>
              <w:t>2.2</w:t>
            </w:r>
          </w:p>
        </w:tc>
        <w:tc>
          <w:tcPr>
            <w:tcW w:w="2399" w:type="dxa"/>
            <w:noWrap/>
            <w:vAlign w:val="center"/>
          </w:tcPr>
          <w:p>
            <w:pPr>
              <w:pageBreakBefore w:val="0"/>
              <w:kinsoku/>
              <w:overflowPunct/>
              <w:bidi w:val="0"/>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分值构成（100分）</w:t>
            </w:r>
          </w:p>
        </w:tc>
        <w:tc>
          <w:tcPr>
            <w:tcW w:w="5107" w:type="dxa"/>
            <w:noWrap/>
            <w:vAlign w:val="center"/>
          </w:tcPr>
          <w:p>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商务部分：</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 xml:space="preserve">分 </w:t>
            </w:r>
          </w:p>
          <w:p>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技术部分：</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 xml:space="preserve">分 </w:t>
            </w:r>
          </w:p>
          <w:p>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综合部分：</w:t>
            </w:r>
            <w:r>
              <w:rPr>
                <w:rFonts w:hint="eastAsia" w:ascii="宋体" w:hAnsi="宋体" w:eastAsia="宋体" w:cs="宋体"/>
                <w:color w:val="auto"/>
                <w:szCs w:val="21"/>
                <w:highlight w:val="none"/>
                <w:lang w:val="en-US" w:eastAsia="zh-CN"/>
              </w:rPr>
              <w:t>40</w:t>
            </w:r>
            <w:r>
              <w:rPr>
                <w:rFonts w:hint="eastAsia" w:ascii="宋体" w:hAnsi="宋体" w:eastAsia="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032" w:type="dxa"/>
            <w:gridSpan w:val="2"/>
            <w:noWrap/>
            <w:vAlign w:val="center"/>
          </w:tcPr>
          <w:p>
            <w:pPr>
              <w:pageBreakBefore w:val="0"/>
              <w:kinsoku/>
              <w:overflowPunct/>
              <w:bidi w:val="0"/>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2399" w:type="dxa"/>
            <w:noWrap/>
            <w:vAlign w:val="center"/>
          </w:tcPr>
          <w:p>
            <w:pPr>
              <w:pageBreakBefore w:val="0"/>
              <w:kinsoku/>
              <w:overflowPunct/>
              <w:bidi w:val="0"/>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评分因素</w:t>
            </w:r>
          </w:p>
        </w:tc>
        <w:tc>
          <w:tcPr>
            <w:tcW w:w="5107" w:type="dxa"/>
            <w:noWrap/>
            <w:vAlign w:val="center"/>
          </w:tcPr>
          <w:p>
            <w:pPr>
              <w:pageBreakBefore w:val="0"/>
              <w:kinsoku/>
              <w:overflowPunct/>
              <w:bidi w:val="0"/>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jc w:val="center"/>
        </w:trPr>
        <w:tc>
          <w:tcPr>
            <w:tcW w:w="797" w:type="dxa"/>
            <w:noWrap/>
            <w:vAlign w:val="center"/>
          </w:tcPr>
          <w:p>
            <w:pPr>
              <w:pageBreakBefore w:val="0"/>
              <w:kinsoku/>
              <w:overflowPunct/>
              <w:bidi w:val="0"/>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1235" w:type="dxa"/>
            <w:noWrap/>
            <w:vAlign w:val="center"/>
          </w:tcPr>
          <w:p>
            <w:pPr>
              <w:pageBreakBefore w:val="0"/>
              <w:kinsoku/>
              <w:overflowPunct/>
              <w:bidi w:val="0"/>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商务标</w:t>
            </w:r>
          </w:p>
          <w:p>
            <w:pPr>
              <w:pageBreakBefore w:val="0"/>
              <w:kinsoku/>
              <w:overflowPunct/>
              <w:bidi w:val="0"/>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w:t>
            </w:r>
          </w:p>
        </w:tc>
        <w:tc>
          <w:tcPr>
            <w:tcW w:w="2399" w:type="dxa"/>
            <w:noWrap/>
            <w:vAlign w:val="center"/>
          </w:tcPr>
          <w:p>
            <w:pPr>
              <w:pageBreakBefore w:val="0"/>
              <w:kinsoku/>
              <w:overflowPunct/>
              <w:bidi w:val="0"/>
              <w:spacing w:line="400" w:lineRule="exact"/>
              <w:ind w:firstLine="0" w:firstLineChars="0"/>
              <w:jc w:val="center"/>
              <w:rPr>
                <w:rFonts w:ascii="宋体" w:hAnsi="宋体" w:eastAsia="宋体" w:cs="宋体"/>
                <w:color w:val="auto"/>
                <w:szCs w:val="21"/>
                <w:highlight w:val="none"/>
              </w:rPr>
            </w:pPr>
          </w:p>
          <w:p>
            <w:pPr>
              <w:pageBreakBefore w:val="0"/>
              <w:kinsoku/>
              <w:overflowPunct/>
              <w:bidi w:val="0"/>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磋商最终报价得分</w:t>
            </w:r>
          </w:p>
          <w:p>
            <w:pPr>
              <w:pageBreakBefore w:val="0"/>
              <w:kinsoku/>
              <w:overflowPunct/>
              <w:bidi w:val="0"/>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w:t>
            </w:r>
          </w:p>
          <w:p>
            <w:pPr>
              <w:pageBreakBefore w:val="0"/>
              <w:kinsoku/>
              <w:overflowPunct/>
              <w:bidi w:val="0"/>
              <w:spacing w:line="400" w:lineRule="exact"/>
              <w:ind w:firstLine="0" w:firstLineChars="0"/>
              <w:jc w:val="center"/>
              <w:rPr>
                <w:rFonts w:ascii="宋体" w:hAnsi="宋体" w:eastAsia="宋体" w:cs="宋体"/>
                <w:color w:val="auto"/>
                <w:szCs w:val="21"/>
                <w:highlight w:val="none"/>
              </w:rPr>
            </w:pPr>
          </w:p>
        </w:tc>
        <w:tc>
          <w:tcPr>
            <w:tcW w:w="5107" w:type="dxa"/>
            <w:noWrap/>
            <w:vAlign w:val="center"/>
          </w:tcPr>
          <w:p>
            <w:pPr>
              <w:pageBreakBefore w:val="0"/>
              <w:kinsoku/>
              <w:overflowPunct/>
              <w:bidi w:val="0"/>
              <w:spacing w:line="40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价格分统一采用低价优先法计算，即满足竞争性磋商文件要求且最终报价最低的最终报价为评标基准价，其价格分满分</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分。其他供应商的价格分统一按照下列公式计算：</w:t>
            </w:r>
          </w:p>
          <w:p>
            <w:pPr>
              <w:pageBreakBefore w:val="0"/>
              <w:kinsoku/>
              <w:overflowPunct/>
              <w:bidi w:val="0"/>
              <w:spacing w:line="400" w:lineRule="exact"/>
              <w:ind w:firstLine="0" w:firstLineChars="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最终报价得分=（评标基准价/最终报价）×</w:t>
            </w:r>
            <w:r>
              <w:rPr>
                <w:rFonts w:hint="eastAsia" w:ascii="宋体" w:hAnsi="宋体" w:eastAsia="宋体" w:cs="宋体"/>
                <w:color w:val="auto"/>
                <w:szCs w:val="21"/>
                <w:highlight w:val="none"/>
                <w:lang w:val="en-US" w:eastAsia="zh-CN"/>
              </w:rPr>
              <w:t>30</w:t>
            </w:r>
          </w:p>
          <w:p>
            <w:pPr>
              <w:pStyle w:val="2"/>
              <w:pageBreakBefore w:val="0"/>
              <w:kinsoku/>
              <w:overflowPunct/>
              <w:bidi w:val="0"/>
              <w:spacing w:line="400" w:lineRule="exact"/>
              <w:ind w:left="145" w:leftChars="69"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注：1.价格分计算保留小数点后二位；</w:t>
            </w:r>
          </w:p>
          <w:p>
            <w:pPr>
              <w:pageBreakBefore w:val="0"/>
              <w:kinsoku/>
              <w:overflowPunct/>
              <w:bidi w:val="0"/>
              <w:spacing w:line="40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2.优惠政策：</w:t>
            </w:r>
            <w:r>
              <w:rPr>
                <w:rFonts w:hint="eastAsia" w:ascii="宋体" w:hAnsi="宋体" w:eastAsia="宋体" w:cs="宋体"/>
                <w:color w:val="auto"/>
                <w:szCs w:val="21"/>
                <w:highlight w:val="none"/>
                <w:lang w:val="zh-CN"/>
              </w:rPr>
              <w:t>对小型和微型企业、监狱企业、残疾人福利性等单位的最终报价给予</w:t>
            </w:r>
            <w:r>
              <w:rPr>
                <w:rFonts w:hint="eastAsia" w:ascii="宋体" w:hAnsi="宋体" w:eastAsia="宋体" w:cs="宋体"/>
                <w:color w:val="auto"/>
                <w:szCs w:val="21"/>
                <w:highlight w:val="none"/>
                <w:u w:val="single"/>
                <w:lang w:val="en-US" w:eastAsia="zh-CN"/>
              </w:rPr>
              <w:t>20</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lang w:val="zh-CN"/>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797" w:type="dxa"/>
            <w:vMerge w:val="restart"/>
            <w:noWrap/>
            <w:vAlign w:val="center"/>
          </w:tcPr>
          <w:p>
            <w:pPr>
              <w:pageBreakBefore w:val="0"/>
              <w:kinsoku/>
              <w:overflowPunct/>
              <w:bidi w:val="0"/>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1235" w:type="dxa"/>
            <w:vMerge w:val="restart"/>
            <w:noWrap/>
            <w:vAlign w:val="center"/>
          </w:tcPr>
          <w:p>
            <w:pPr>
              <w:pageBreakBefore w:val="0"/>
              <w:kinsoku/>
              <w:overflowPunct/>
              <w:bidi w:val="0"/>
              <w:spacing w:line="400" w:lineRule="exact"/>
              <w:ind w:firstLine="0" w:firstLineChars="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技术标</w:t>
            </w:r>
          </w:p>
          <w:p>
            <w:pPr>
              <w:pageBreakBefore w:val="0"/>
              <w:kinsoku/>
              <w:overflowPunct/>
              <w:bidi w:val="0"/>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30</w:t>
            </w:r>
            <w:r>
              <w:rPr>
                <w:rFonts w:hint="eastAsia" w:ascii="宋体" w:hAnsi="宋体" w:eastAsia="宋体" w:cs="宋体"/>
                <w:bCs/>
                <w:color w:val="auto"/>
                <w:szCs w:val="21"/>
                <w:highlight w:val="none"/>
              </w:rPr>
              <w:t>分）</w:t>
            </w:r>
          </w:p>
        </w:tc>
        <w:tc>
          <w:tcPr>
            <w:tcW w:w="2399" w:type="dxa"/>
            <w:noWrap/>
            <w:vAlign w:val="center"/>
          </w:tcPr>
          <w:p>
            <w:pPr>
              <w:pageBreakBefore w:val="0"/>
              <w:kinsoku/>
              <w:overflowPunct/>
              <w:bidi w:val="0"/>
              <w:spacing w:line="40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指导思想和技术方案</w:t>
            </w:r>
          </w:p>
          <w:p>
            <w:pPr>
              <w:pageBreakBefore w:val="0"/>
              <w:kinsoku/>
              <w:overflowPunct/>
              <w:bidi w:val="0"/>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pPr>
              <w:pageBreakBefore w:val="0"/>
              <w:kinsoku/>
              <w:overflowPunct/>
              <w:bidi w:val="0"/>
              <w:spacing w:line="276" w:lineRule="auto"/>
              <w:ind w:firstLine="0" w:firstLineChars="0"/>
              <w:jc w:val="center"/>
              <w:rPr>
                <w:rFonts w:ascii="宋体" w:hAnsi="宋体" w:eastAsia="宋体" w:cs="宋体"/>
                <w:color w:val="auto"/>
                <w:szCs w:val="21"/>
                <w:highlight w:val="none"/>
              </w:rPr>
            </w:pPr>
          </w:p>
        </w:tc>
        <w:tc>
          <w:tcPr>
            <w:tcW w:w="5107" w:type="dxa"/>
            <w:noWrap/>
            <w:vAlign w:val="center"/>
          </w:tcPr>
          <w:p>
            <w:pPr>
              <w:pageBreakBefore w:val="0"/>
              <w:kinsoku/>
              <w:overflowPunct/>
              <w:bidi w:val="0"/>
              <w:spacing w:line="42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内容全面完整、针对性强、切实可行的得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pPr>
              <w:pageBreakBefore w:val="0"/>
              <w:kinsoku/>
              <w:overflowPunct/>
              <w:bidi w:val="0"/>
              <w:spacing w:line="42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内容较全面完整、针对性较强的得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pPr>
              <w:pageBreakBefore w:val="0"/>
              <w:kinsoku/>
              <w:overflowPunct/>
              <w:bidi w:val="0"/>
              <w:spacing w:line="42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内容不太全面完整、不太具有针对性的得1分；</w:t>
            </w:r>
          </w:p>
          <w:p>
            <w:pPr>
              <w:pageBreakBefore w:val="0"/>
              <w:kinsoku/>
              <w:overflowPunct/>
              <w:bidi w:val="0"/>
              <w:spacing w:line="42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797" w:type="dxa"/>
            <w:vMerge w:val="continue"/>
            <w:noWrap/>
            <w:vAlign w:val="center"/>
          </w:tcPr>
          <w:p>
            <w:pPr>
              <w:pageBreakBefore w:val="0"/>
              <w:kinsoku/>
              <w:overflowPunct/>
              <w:bidi w:val="0"/>
              <w:spacing w:line="400" w:lineRule="exact"/>
              <w:ind w:firstLine="0" w:firstLineChars="0"/>
              <w:jc w:val="center"/>
              <w:rPr>
                <w:rFonts w:ascii="宋体" w:hAnsi="宋体" w:eastAsia="宋体" w:cs="宋体"/>
                <w:color w:val="auto"/>
                <w:szCs w:val="21"/>
                <w:highlight w:val="none"/>
              </w:rPr>
            </w:pPr>
          </w:p>
        </w:tc>
        <w:tc>
          <w:tcPr>
            <w:tcW w:w="1235" w:type="dxa"/>
            <w:vMerge w:val="continue"/>
            <w:noWrap/>
            <w:vAlign w:val="center"/>
          </w:tcPr>
          <w:p>
            <w:pPr>
              <w:pageBreakBefore w:val="0"/>
              <w:kinsoku/>
              <w:overflowPunct/>
              <w:bidi w:val="0"/>
              <w:spacing w:line="400" w:lineRule="exact"/>
              <w:ind w:firstLine="0" w:firstLineChars="0"/>
              <w:jc w:val="center"/>
              <w:rPr>
                <w:rFonts w:ascii="宋体" w:hAnsi="宋体" w:eastAsia="宋体" w:cs="宋体"/>
                <w:bCs/>
                <w:color w:val="auto"/>
                <w:szCs w:val="21"/>
                <w:highlight w:val="none"/>
              </w:rPr>
            </w:pPr>
          </w:p>
        </w:tc>
        <w:tc>
          <w:tcPr>
            <w:tcW w:w="2399" w:type="dxa"/>
            <w:noWrap/>
            <w:vAlign w:val="center"/>
          </w:tcPr>
          <w:p>
            <w:pPr>
              <w:pageBreakBefore w:val="0"/>
              <w:kinsoku/>
              <w:overflowPunct/>
              <w:bidi w:val="0"/>
              <w:spacing w:line="40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拟投入本项目人员计划和仪器设备配置</w:t>
            </w:r>
          </w:p>
          <w:p>
            <w:pPr>
              <w:pageBreakBefore w:val="0"/>
              <w:kinsoku/>
              <w:overflowPunct/>
              <w:bidi w:val="0"/>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5107" w:type="dxa"/>
            <w:noWrap/>
            <w:vAlign w:val="center"/>
          </w:tcPr>
          <w:p>
            <w:pPr>
              <w:pageBreakBefore w:val="0"/>
              <w:kinsoku/>
              <w:overflowPunct/>
              <w:bidi w:val="0"/>
              <w:spacing w:line="42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安排合理得力的得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pPr>
              <w:pageBreakBefore w:val="0"/>
              <w:kinsoku/>
              <w:overflowPunct/>
              <w:bidi w:val="0"/>
              <w:spacing w:line="42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安排较合理得力的得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pPr>
              <w:pageBreakBefore w:val="0"/>
              <w:kinsoku/>
              <w:overflowPunct/>
              <w:bidi w:val="0"/>
              <w:spacing w:line="42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安排不太合理得力的得1分；</w:t>
            </w:r>
          </w:p>
          <w:p>
            <w:pPr>
              <w:pageBreakBefore w:val="0"/>
              <w:kinsoku/>
              <w:overflowPunct/>
              <w:bidi w:val="0"/>
              <w:spacing w:line="42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797" w:type="dxa"/>
            <w:vMerge w:val="continue"/>
            <w:noWrap/>
            <w:vAlign w:val="center"/>
          </w:tcPr>
          <w:p>
            <w:pPr>
              <w:pageBreakBefore w:val="0"/>
              <w:kinsoku/>
              <w:overflowPunct/>
              <w:bidi w:val="0"/>
              <w:spacing w:line="400" w:lineRule="exact"/>
              <w:ind w:firstLine="0" w:firstLineChars="0"/>
              <w:jc w:val="center"/>
              <w:rPr>
                <w:rFonts w:ascii="宋体" w:hAnsi="宋体" w:eastAsia="宋体" w:cs="宋体"/>
                <w:color w:val="auto"/>
                <w:szCs w:val="21"/>
                <w:highlight w:val="none"/>
              </w:rPr>
            </w:pPr>
          </w:p>
        </w:tc>
        <w:tc>
          <w:tcPr>
            <w:tcW w:w="1235" w:type="dxa"/>
            <w:vMerge w:val="continue"/>
            <w:noWrap/>
            <w:vAlign w:val="center"/>
          </w:tcPr>
          <w:p>
            <w:pPr>
              <w:pageBreakBefore w:val="0"/>
              <w:kinsoku/>
              <w:overflowPunct/>
              <w:bidi w:val="0"/>
              <w:spacing w:line="400" w:lineRule="exact"/>
              <w:ind w:firstLine="0" w:firstLineChars="0"/>
              <w:jc w:val="center"/>
              <w:rPr>
                <w:rFonts w:ascii="宋体" w:hAnsi="宋体" w:eastAsia="宋体" w:cs="宋体"/>
                <w:bCs/>
                <w:color w:val="auto"/>
                <w:szCs w:val="21"/>
                <w:highlight w:val="none"/>
              </w:rPr>
            </w:pPr>
          </w:p>
        </w:tc>
        <w:tc>
          <w:tcPr>
            <w:tcW w:w="2399" w:type="dxa"/>
            <w:noWrap/>
            <w:vAlign w:val="center"/>
          </w:tcPr>
          <w:p>
            <w:pPr>
              <w:pageBreakBefore w:val="0"/>
              <w:kinsoku/>
              <w:overflowPunct/>
              <w:bidi w:val="0"/>
              <w:spacing w:line="400" w:lineRule="exact"/>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确保工作计划组织措施和进度保证措施</w:t>
            </w:r>
          </w:p>
          <w:p>
            <w:pPr>
              <w:pageBreakBefore w:val="0"/>
              <w:kinsoku/>
              <w:overflowPunct/>
              <w:bidi w:val="0"/>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5107" w:type="dxa"/>
            <w:noWrap/>
            <w:vAlign w:val="center"/>
          </w:tcPr>
          <w:p>
            <w:pPr>
              <w:pageBreakBefore w:val="0"/>
              <w:kinsoku/>
              <w:overflowPunct/>
              <w:bidi w:val="0"/>
              <w:spacing w:line="42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组织措施具体、切实可行的得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pPr>
              <w:pageBreakBefore w:val="0"/>
              <w:kinsoku/>
              <w:overflowPunct/>
              <w:bidi w:val="0"/>
              <w:spacing w:line="42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组织措施较具体、较切实可行的得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pPr>
              <w:pageBreakBefore w:val="0"/>
              <w:kinsoku/>
              <w:overflowPunct/>
              <w:bidi w:val="0"/>
              <w:spacing w:line="42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组织措施不太具体、不太切实可行的得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797" w:type="dxa"/>
            <w:vMerge w:val="continue"/>
            <w:noWrap/>
            <w:vAlign w:val="center"/>
          </w:tcPr>
          <w:p>
            <w:pPr>
              <w:pageBreakBefore w:val="0"/>
              <w:kinsoku/>
              <w:overflowPunct/>
              <w:bidi w:val="0"/>
              <w:spacing w:line="400" w:lineRule="exact"/>
              <w:ind w:firstLine="0" w:firstLineChars="0"/>
              <w:jc w:val="center"/>
              <w:rPr>
                <w:rFonts w:ascii="宋体" w:hAnsi="宋体" w:eastAsia="宋体" w:cs="宋体"/>
                <w:color w:val="auto"/>
                <w:szCs w:val="21"/>
                <w:highlight w:val="none"/>
              </w:rPr>
            </w:pPr>
          </w:p>
        </w:tc>
        <w:tc>
          <w:tcPr>
            <w:tcW w:w="1235" w:type="dxa"/>
            <w:vMerge w:val="continue"/>
            <w:noWrap/>
            <w:vAlign w:val="center"/>
          </w:tcPr>
          <w:p>
            <w:pPr>
              <w:pageBreakBefore w:val="0"/>
              <w:kinsoku/>
              <w:overflowPunct/>
              <w:bidi w:val="0"/>
              <w:spacing w:line="400" w:lineRule="exact"/>
              <w:ind w:firstLine="0" w:firstLineChars="0"/>
              <w:jc w:val="center"/>
              <w:rPr>
                <w:rFonts w:ascii="宋体" w:hAnsi="宋体" w:eastAsia="宋体" w:cs="宋体"/>
                <w:bCs/>
                <w:color w:val="auto"/>
                <w:szCs w:val="21"/>
                <w:highlight w:val="none"/>
              </w:rPr>
            </w:pPr>
          </w:p>
        </w:tc>
        <w:tc>
          <w:tcPr>
            <w:tcW w:w="2399" w:type="dxa"/>
            <w:noWrap/>
            <w:vAlign w:val="center"/>
          </w:tcPr>
          <w:p>
            <w:pPr>
              <w:pageBreakBefore w:val="0"/>
              <w:kinsoku/>
              <w:overflowPunct/>
              <w:bidi w:val="0"/>
              <w:spacing w:line="400" w:lineRule="exact"/>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确保项目成果质量的技术路线和方法措施</w:t>
            </w:r>
          </w:p>
          <w:p>
            <w:pPr>
              <w:pageBreakBefore w:val="0"/>
              <w:kinsoku/>
              <w:overflowPunct/>
              <w:bidi w:val="0"/>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5107" w:type="dxa"/>
            <w:noWrap/>
            <w:vAlign w:val="center"/>
          </w:tcPr>
          <w:p>
            <w:pPr>
              <w:pageBreakBefore w:val="0"/>
              <w:kinsoku/>
              <w:overflowPunct/>
              <w:bidi w:val="0"/>
              <w:spacing w:line="42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技术和方法措施科学、合理并切实可行的得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pPr>
              <w:pageBreakBefore w:val="0"/>
              <w:kinsoku/>
              <w:overflowPunct/>
              <w:bidi w:val="0"/>
              <w:spacing w:line="42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技术和方法措施较科学、较合理的得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pPr>
              <w:pageBreakBefore w:val="0"/>
              <w:kinsoku/>
              <w:overflowPunct/>
              <w:bidi w:val="0"/>
              <w:spacing w:line="42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技术和方法措施不太科学、不太合理的得1分；</w:t>
            </w:r>
          </w:p>
          <w:p>
            <w:pPr>
              <w:pageBreakBefore w:val="0"/>
              <w:kinsoku/>
              <w:overflowPunct/>
              <w:bidi w:val="0"/>
              <w:spacing w:line="42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797" w:type="dxa"/>
            <w:vMerge w:val="continue"/>
            <w:noWrap/>
            <w:vAlign w:val="center"/>
          </w:tcPr>
          <w:p>
            <w:pPr>
              <w:pageBreakBefore w:val="0"/>
              <w:kinsoku/>
              <w:overflowPunct/>
              <w:bidi w:val="0"/>
              <w:spacing w:line="400" w:lineRule="exact"/>
              <w:ind w:firstLine="0" w:firstLineChars="0"/>
              <w:jc w:val="center"/>
              <w:rPr>
                <w:rFonts w:ascii="宋体" w:hAnsi="宋体" w:eastAsia="宋体" w:cs="宋体"/>
                <w:color w:val="auto"/>
                <w:szCs w:val="21"/>
                <w:highlight w:val="none"/>
              </w:rPr>
            </w:pPr>
          </w:p>
        </w:tc>
        <w:tc>
          <w:tcPr>
            <w:tcW w:w="1235" w:type="dxa"/>
            <w:vMerge w:val="continue"/>
            <w:noWrap/>
            <w:vAlign w:val="center"/>
          </w:tcPr>
          <w:p>
            <w:pPr>
              <w:pageBreakBefore w:val="0"/>
              <w:kinsoku/>
              <w:overflowPunct/>
              <w:bidi w:val="0"/>
              <w:spacing w:line="400" w:lineRule="exact"/>
              <w:ind w:firstLine="0" w:firstLineChars="0"/>
              <w:jc w:val="center"/>
              <w:rPr>
                <w:rFonts w:ascii="宋体" w:hAnsi="宋体" w:eastAsia="宋体" w:cs="宋体"/>
                <w:bCs/>
                <w:color w:val="auto"/>
                <w:szCs w:val="21"/>
                <w:highlight w:val="none"/>
              </w:rPr>
            </w:pPr>
          </w:p>
        </w:tc>
        <w:tc>
          <w:tcPr>
            <w:tcW w:w="2399" w:type="dxa"/>
            <w:noWrap/>
            <w:vAlign w:val="center"/>
          </w:tcPr>
          <w:p>
            <w:pPr>
              <w:pageBreakBefore w:val="0"/>
              <w:kinsoku/>
              <w:overflowPunct/>
              <w:bidi w:val="0"/>
              <w:spacing w:line="40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项目实施重点、难点、关键过程分析及对策</w:t>
            </w:r>
          </w:p>
          <w:p>
            <w:pPr>
              <w:pageBreakBefore w:val="0"/>
              <w:kinsoku/>
              <w:overflowPunct/>
              <w:bidi w:val="0"/>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5107" w:type="dxa"/>
            <w:noWrap/>
            <w:vAlign w:val="center"/>
          </w:tcPr>
          <w:p>
            <w:pPr>
              <w:pageBreakBefore w:val="0"/>
              <w:kinsoku/>
              <w:overflowPunct/>
              <w:bidi w:val="0"/>
              <w:spacing w:line="42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重点、难点、过程分析针对性强、分析深刻、切实可行的得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pPr>
              <w:pageBreakBefore w:val="0"/>
              <w:kinsoku/>
              <w:overflowPunct/>
              <w:bidi w:val="0"/>
              <w:spacing w:line="42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重点、难点、过程分析针对性较强、分析较深刻的得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pPr>
              <w:pageBreakBefore w:val="0"/>
              <w:kinsoku/>
              <w:overflowPunct/>
              <w:bidi w:val="0"/>
              <w:spacing w:line="42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重点、难点、过程分析针对性不太强、分析不太深刻的得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p>
          <w:p>
            <w:pPr>
              <w:pageBreakBefore w:val="0"/>
              <w:kinsoku/>
              <w:overflowPunct/>
              <w:bidi w:val="0"/>
              <w:spacing w:line="42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797" w:type="dxa"/>
            <w:vMerge w:val="continue"/>
            <w:noWrap/>
            <w:vAlign w:val="center"/>
          </w:tcPr>
          <w:p>
            <w:pPr>
              <w:pageBreakBefore w:val="0"/>
              <w:kinsoku/>
              <w:overflowPunct/>
              <w:bidi w:val="0"/>
              <w:spacing w:line="400" w:lineRule="exact"/>
              <w:ind w:firstLine="0" w:firstLineChars="0"/>
              <w:jc w:val="center"/>
              <w:rPr>
                <w:rFonts w:ascii="宋体" w:hAnsi="宋体" w:eastAsia="宋体" w:cs="宋体"/>
                <w:color w:val="auto"/>
                <w:szCs w:val="21"/>
                <w:highlight w:val="none"/>
              </w:rPr>
            </w:pPr>
          </w:p>
        </w:tc>
        <w:tc>
          <w:tcPr>
            <w:tcW w:w="1235" w:type="dxa"/>
            <w:vMerge w:val="continue"/>
            <w:noWrap/>
            <w:vAlign w:val="center"/>
          </w:tcPr>
          <w:p>
            <w:pPr>
              <w:pageBreakBefore w:val="0"/>
              <w:kinsoku/>
              <w:overflowPunct/>
              <w:bidi w:val="0"/>
              <w:spacing w:line="400" w:lineRule="exact"/>
              <w:ind w:firstLine="0" w:firstLineChars="0"/>
              <w:jc w:val="center"/>
              <w:rPr>
                <w:rFonts w:ascii="宋体" w:hAnsi="宋体" w:eastAsia="宋体" w:cs="宋体"/>
                <w:bCs/>
                <w:color w:val="auto"/>
                <w:szCs w:val="21"/>
                <w:highlight w:val="none"/>
              </w:rPr>
            </w:pPr>
          </w:p>
        </w:tc>
        <w:tc>
          <w:tcPr>
            <w:tcW w:w="2399" w:type="dxa"/>
            <w:noWrap/>
            <w:vAlign w:val="center"/>
          </w:tcPr>
          <w:p>
            <w:pPr>
              <w:pageBreakBefore w:val="0"/>
              <w:kinsoku/>
              <w:overflowPunct/>
              <w:bidi w:val="0"/>
              <w:spacing w:line="40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具有切实可行的提高</w:t>
            </w:r>
            <w:r>
              <w:rPr>
                <w:rFonts w:hint="eastAsia" w:ascii="宋体" w:hAnsi="宋体" w:eastAsia="宋体" w:cs="宋体"/>
                <w:color w:val="auto"/>
                <w:szCs w:val="21"/>
                <w:highlight w:val="none"/>
                <w:lang w:eastAsia="zh-CN"/>
              </w:rPr>
              <w:t>工作效率</w:t>
            </w:r>
            <w:r>
              <w:rPr>
                <w:rFonts w:hint="eastAsia" w:ascii="宋体" w:hAnsi="宋体" w:eastAsia="宋体" w:cs="宋体"/>
                <w:color w:val="auto"/>
                <w:szCs w:val="21"/>
                <w:highlight w:val="none"/>
              </w:rPr>
              <w:t>、保证工期的合理化建议</w:t>
            </w:r>
          </w:p>
          <w:p>
            <w:pPr>
              <w:pageBreakBefore w:val="0"/>
              <w:kinsoku/>
              <w:overflowPunct/>
              <w:bidi w:val="0"/>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5107" w:type="dxa"/>
            <w:noWrap/>
            <w:vAlign w:val="center"/>
          </w:tcPr>
          <w:p>
            <w:pPr>
              <w:pageBreakBefore w:val="0"/>
              <w:kinsoku/>
              <w:overflowPunct/>
              <w:bidi w:val="0"/>
              <w:spacing w:line="42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合理化建议具有实质性内容可操作性强的得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pPr>
              <w:pageBreakBefore w:val="0"/>
              <w:kinsoku/>
              <w:overflowPunct/>
              <w:bidi w:val="0"/>
              <w:spacing w:line="42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合理化建议具有实质性内容可操作性较强的得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pPr>
              <w:pageBreakBefore w:val="0"/>
              <w:kinsoku/>
              <w:overflowPunct/>
              <w:bidi w:val="0"/>
              <w:spacing w:line="42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合理化建议具有实质性内容但可操作性一般得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p>
          <w:p>
            <w:pPr>
              <w:pageBreakBefore w:val="0"/>
              <w:kinsoku/>
              <w:overflowPunct/>
              <w:bidi w:val="0"/>
              <w:spacing w:line="420" w:lineRule="exact"/>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7" w:type="dxa"/>
            <w:vMerge w:val="restart"/>
            <w:noWrap/>
            <w:vAlign w:val="center"/>
          </w:tcPr>
          <w:p>
            <w:pPr>
              <w:pageBreakBefore w:val="0"/>
              <w:kinsoku/>
              <w:overflowPunct/>
              <w:bidi w:val="0"/>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2.2（3）</w:t>
            </w:r>
          </w:p>
        </w:tc>
        <w:tc>
          <w:tcPr>
            <w:tcW w:w="1235" w:type="dxa"/>
            <w:vMerge w:val="restart"/>
            <w:noWrap/>
            <w:vAlign w:val="center"/>
          </w:tcPr>
          <w:p>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综合标 （</w:t>
            </w:r>
            <w:r>
              <w:rPr>
                <w:rFonts w:hint="eastAsia" w:ascii="宋体" w:hAnsi="宋体" w:eastAsia="宋体" w:cs="宋体"/>
                <w:color w:val="auto"/>
                <w:szCs w:val="21"/>
                <w:highlight w:val="none"/>
                <w:lang w:val="en-US" w:eastAsia="zh-CN"/>
              </w:rPr>
              <w:t>40</w:t>
            </w:r>
            <w:r>
              <w:rPr>
                <w:rFonts w:hint="eastAsia" w:ascii="宋体" w:hAnsi="宋体" w:eastAsia="宋体" w:cs="宋体"/>
                <w:color w:val="auto"/>
                <w:szCs w:val="21"/>
                <w:highlight w:val="none"/>
              </w:rPr>
              <w:t>分）</w:t>
            </w:r>
          </w:p>
        </w:tc>
        <w:tc>
          <w:tcPr>
            <w:tcW w:w="2399" w:type="dxa"/>
            <w:noWrap/>
            <w:vAlign w:val="center"/>
          </w:tcPr>
          <w:p>
            <w:pPr>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项目成员</w:t>
            </w:r>
          </w:p>
          <w:p>
            <w:pPr>
              <w:spacing w:line="40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（16分）</w:t>
            </w:r>
          </w:p>
        </w:tc>
        <w:tc>
          <w:tcPr>
            <w:tcW w:w="5107" w:type="dxa"/>
            <w:noWrap/>
            <w:vAlign w:val="center"/>
          </w:tcPr>
          <w:p>
            <w:pPr>
              <w:spacing w:line="400" w:lineRule="exact"/>
              <w:ind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szCs w:val="21"/>
                <w:highlight w:val="none"/>
              </w:rPr>
              <w:t xml:space="preserve"> 项目</w:t>
            </w:r>
            <w:r>
              <w:rPr>
                <w:rFonts w:hint="eastAsia" w:ascii="宋体" w:hAnsi="宋体" w:eastAsia="宋体" w:cs="宋体"/>
                <w:color w:val="auto"/>
                <w:highlight w:val="none"/>
              </w:rPr>
              <w:t>拟派技术负责人具有测绘类高级职称</w:t>
            </w:r>
            <w:r>
              <w:rPr>
                <w:rFonts w:hint="eastAsia" w:ascii="宋体" w:hAnsi="宋体" w:eastAsia="宋体" w:cs="宋体"/>
                <w:color w:val="auto"/>
                <w:highlight w:val="none"/>
                <w:lang w:val="en-US" w:eastAsia="zh-CN"/>
              </w:rPr>
              <w:t>得</w:t>
            </w:r>
            <w:r>
              <w:rPr>
                <w:rFonts w:hint="eastAsia" w:ascii="宋体" w:hAnsi="宋体" w:eastAsia="宋体" w:cs="宋体"/>
                <w:color w:val="auto"/>
                <w:highlight w:val="none"/>
              </w:rPr>
              <w:t>6分,没有不得分；</w:t>
            </w:r>
          </w:p>
          <w:p>
            <w:pPr>
              <w:spacing w:line="40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highlight w:val="none"/>
              </w:rPr>
              <w:t>2、</w:t>
            </w:r>
            <w:r>
              <w:rPr>
                <w:rFonts w:hint="eastAsia" w:ascii="宋体" w:hAnsi="宋体" w:eastAsia="宋体" w:cs="宋体"/>
                <w:color w:val="auto"/>
                <w:szCs w:val="21"/>
                <w:highlight w:val="none"/>
              </w:rPr>
              <w:t>项目成员中具有相关专业中级及以上</w:t>
            </w:r>
            <w:r>
              <w:rPr>
                <w:rFonts w:hint="eastAsia" w:ascii="宋体" w:hAnsi="宋体" w:eastAsia="宋体" w:cs="宋体"/>
                <w:color w:val="auto"/>
                <w:szCs w:val="21"/>
                <w:highlight w:val="none"/>
                <w:lang w:eastAsia="zh-CN"/>
              </w:rPr>
              <w:t>职称证</w:t>
            </w:r>
            <w:r>
              <w:rPr>
                <w:rFonts w:hint="eastAsia" w:ascii="宋体" w:hAnsi="宋体" w:eastAsia="宋体" w:cs="宋体"/>
                <w:color w:val="auto"/>
                <w:szCs w:val="21"/>
                <w:highlight w:val="none"/>
              </w:rPr>
              <w:t>的， 每有一人得 2分，最多得10分。</w:t>
            </w:r>
          </w:p>
          <w:p>
            <w:pPr>
              <w:spacing w:line="40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注：提供证书扫描件及供应商为其缴纳的养老保险明细（以个人单页为准），否则不得分。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97" w:type="dxa"/>
            <w:vMerge w:val="continue"/>
            <w:noWrap/>
            <w:vAlign w:val="center"/>
          </w:tcPr>
          <w:p>
            <w:pPr>
              <w:pageBreakBefore w:val="0"/>
              <w:kinsoku/>
              <w:overflowPunct/>
              <w:bidi w:val="0"/>
              <w:spacing w:line="400" w:lineRule="exact"/>
              <w:ind w:firstLine="0" w:firstLineChars="0"/>
              <w:jc w:val="center"/>
              <w:rPr>
                <w:rFonts w:ascii="宋体" w:hAnsi="宋体" w:eastAsia="宋体" w:cs="宋体"/>
                <w:color w:val="auto"/>
                <w:szCs w:val="21"/>
                <w:highlight w:val="none"/>
              </w:rPr>
            </w:pPr>
          </w:p>
        </w:tc>
        <w:tc>
          <w:tcPr>
            <w:tcW w:w="1235" w:type="dxa"/>
            <w:vMerge w:val="continue"/>
            <w:noWrap/>
            <w:vAlign w:val="center"/>
          </w:tcPr>
          <w:p>
            <w:pPr>
              <w:pageBreakBefore w:val="0"/>
              <w:kinsoku/>
              <w:overflowPunct/>
              <w:bidi w:val="0"/>
              <w:spacing w:line="400" w:lineRule="exact"/>
              <w:ind w:firstLine="0" w:firstLineChars="0"/>
              <w:jc w:val="left"/>
              <w:rPr>
                <w:rFonts w:ascii="宋体" w:hAnsi="宋体" w:eastAsia="宋体" w:cs="宋体"/>
                <w:color w:val="auto"/>
                <w:szCs w:val="21"/>
                <w:highlight w:val="none"/>
              </w:rPr>
            </w:pPr>
          </w:p>
        </w:tc>
        <w:tc>
          <w:tcPr>
            <w:tcW w:w="2399" w:type="dxa"/>
            <w:noWrap/>
            <w:vAlign w:val="center"/>
          </w:tcPr>
          <w:p>
            <w:pPr>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企业业绩</w:t>
            </w:r>
          </w:p>
          <w:p>
            <w:pPr>
              <w:spacing w:line="400" w:lineRule="exac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（15分）</w:t>
            </w:r>
          </w:p>
        </w:tc>
        <w:tc>
          <w:tcPr>
            <w:tcW w:w="5107" w:type="dxa"/>
            <w:noWrap/>
            <w:vAlign w:val="center"/>
          </w:tcPr>
          <w:p>
            <w:pPr>
              <w:spacing w:line="40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2022年以来投标人承担过类似项目业绩的每有一份得5分，最多得15分。</w:t>
            </w:r>
          </w:p>
          <w:p>
            <w:pPr>
              <w:spacing w:line="40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注：</w:t>
            </w:r>
            <w:r>
              <w:rPr>
                <w:rFonts w:hint="eastAsia" w:ascii="宋体" w:hAnsi="宋体" w:eastAsia="宋体" w:cs="宋体"/>
                <w:color w:val="auto"/>
                <w:szCs w:val="21"/>
                <w:highlight w:val="none"/>
              </w:rPr>
              <w:t>提供合同</w:t>
            </w:r>
            <w:r>
              <w:rPr>
                <w:rFonts w:hint="eastAsia" w:ascii="宋体" w:hAnsi="宋体" w:eastAsia="宋体" w:cs="宋体"/>
                <w:color w:val="auto"/>
                <w:szCs w:val="21"/>
                <w:highlight w:val="none"/>
                <w:lang w:eastAsia="zh-CN"/>
              </w:rPr>
              <w:t>扫描件</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797" w:type="dxa"/>
            <w:vMerge w:val="continue"/>
            <w:noWrap/>
            <w:vAlign w:val="center"/>
          </w:tcPr>
          <w:p>
            <w:pPr>
              <w:pageBreakBefore w:val="0"/>
              <w:kinsoku/>
              <w:overflowPunct/>
              <w:bidi w:val="0"/>
              <w:spacing w:line="400" w:lineRule="exact"/>
              <w:ind w:firstLine="0" w:firstLineChars="0"/>
              <w:jc w:val="center"/>
              <w:rPr>
                <w:rFonts w:ascii="宋体" w:hAnsi="宋体" w:eastAsia="宋体" w:cs="宋体"/>
                <w:color w:val="auto"/>
                <w:szCs w:val="21"/>
                <w:highlight w:val="none"/>
              </w:rPr>
            </w:pPr>
          </w:p>
        </w:tc>
        <w:tc>
          <w:tcPr>
            <w:tcW w:w="1235" w:type="dxa"/>
            <w:vMerge w:val="continue"/>
            <w:noWrap/>
            <w:vAlign w:val="center"/>
          </w:tcPr>
          <w:p>
            <w:pPr>
              <w:pageBreakBefore w:val="0"/>
              <w:kinsoku/>
              <w:overflowPunct/>
              <w:bidi w:val="0"/>
              <w:spacing w:line="400" w:lineRule="exact"/>
              <w:ind w:firstLine="0" w:firstLineChars="0"/>
              <w:jc w:val="left"/>
              <w:rPr>
                <w:rFonts w:ascii="宋体" w:hAnsi="宋体" w:eastAsia="宋体" w:cs="宋体"/>
                <w:color w:val="auto"/>
                <w:szCs w:val="21"/>
                <w:highlight w:val="none"/>
              </w:rPr>
            </w:pPr>
          </w:p>
        </w:tc>
        <w:tc>
          <w:tcPr>
            <w:tcW w:w="2399" w:type="dxa"/>
            <w:noWrap/>
            <w:vAlign w:val="center"/>
          </w:tcPr>
          <w:p>
            <w:pPr>
              <w:spacing w:line="400" w:lineRule="exact"/>
              <w:ind w:firstLine="0" w:firstLineChars="0"/>
              <w:jc w:val="center"/>
              <w:rPr>
                <w:rFonts w:ascii="宋体" w:hAnsi="宋体" w:eastAsia="宋体" w:cs="宋体"/>
                <w:color w:val="auto"/>
                <w:szCs w:val="21"/>
                <w:highlight w:val="none"/>
              </w:rPr>
            </w:pPr>
            <w:r>
              <w:rPr>
                <w:rFonts w:hint="eastAsia" w:ascii="宋体" w:hAnsi="宋体" w:eastAsia="宋体" w:cs="宋体"/>
                <w:color w:val="auto"/>
                <w:szCs w:val="21"/>
                <w:highlight w:val="none"/>
              </w:rPr>
              <w:t>管理体系认证证书</w:t>
            </w:r>
          </w:p>
          <w:p>
            <w:pPr>
              <w:spacing w:line="400" w:lineRule="exact"/>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（9分）</w:t>
            </w:r>
          </w:p>
        </w:tc>
        <w:tc>
          <w:tcPr>
            <w:tcW w:w="5107" w:type="dxa"/>
            <w:noWrap/>
            <w:vAlign w:val="center"/>
          </w:tcPr>
          <w:p>
            <w:pPr>
              <w:spacing w:line="40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投标人具有质量管理体系认证、 环境管理体系认证、职业安全健康管理体系认证的，每一项得3分，最多得9分。</w:t>
            </w:r>
          </w:p>
          <w:p>
            <w:pPr>
              <w:spacing w:line="40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注：</w:t>
            </w:r>
            <w:r>
              <w:rPr>
                <w:rFonts w:hint="eastAsia" w:ascii="宋体" w:hAnsi="宋体" w:eastAsia="宋体" w:cs="宋体"/>
                <w:color w:val="auto"/>
                <w:szCs w:val="21"/>
                <w:highlight w:val="none"/>
                <w:lang w:val="en-US" w:eastAsia="zh-CN"/>
              </w:rPr>
              <w:t>提供证书扫描件。</w:t>
            </w:r>
          </w:p>
        </w:tc>
      </w:tr>
    </w:tbl>
    <w:p>
      <w:pPr>
        <w:pageBreakBefore w:val="0"/>
        <w:kinsoku/>
        <w:overflowPunct/>
        <w:bidi w:val="0"/>
        <w:ind w:firstLine="0" w:firstLineChars="0"/>
        <w:rPr>
          <w:color w:val="auto"/>
          <w:highlight w:val="none"/>
        </w:rPr>
      </w:pPr>
    </w:p>
    <w:p>
      <w:pPr>
        <w:pageBreakBefore w:val="0"/>
        <w:numPr>
          <w:ilvl w:val="0"/>
          <w:numId w:val="4"/>
        </w:numPr>
        <w:kinsoku/>
        <w:overflowPunct/>
        <w:bidi w:val="0"/>
        <w:spacing w:line="400" w:lineRule="exact"/>
        <w:ind w:firstLine="0" w:firstLineChars="0"/>
        <w:outlineLvl w:val="1"/>
        <w:rPr>
          <w:rFonts w:ascii="宋体" w:hAnsi="宋体" w:eastAsia="宋体" w:cs="宋体"/>
          <w:b/>
          <w:bCs/>
          <w:color w:val="auto"/>
          <w:szCs w:val="21"/>
          <w:highlight w:val="none"/>
        </w:rPr>
      </w:pPr>
      <w:bookmarkStart w:id="936" w:name="_Toc9743"/>
      <w:bookmarkStart w:id="937" w:name="_Toc21598"/>
      <w:bookmarkStart w:id="938" w:name="_Toc27706"/>
      <w:r>
        <w:rPr>
          <w:rFonts w:hint="eastAsia" w:ascii="宋体" w:hAnsi="宋体" w:eastAsia="宋体" w:cs="宋体"/>
          <w:b/>
          <w:bCs/>
          <w:color w:val="auto"/>
          <w:szCs w:val="21"/>
          <w:highlight w:val="none"/>
        </w:rPr>
        <w:t>评审方法</w:t>
      </w:r>
      <w:bookmarkEnd w:id="930"/>
      <w:bookmarkEnd w:id="931"/>
      <w:bookmarkEnd w:id="932"/>
      <w:bookmarkEnd w:id="933"/>
      <w:bookmarkEnd w:id="934"/>
      <w:bookmarkEnd w:id="935"/>
      <w:bookmarkEnd w:id="936"/>
      <w:bookmarkEnd w:id="937"/>
      <w:bookmarkEnd w:id="938"/>
    </w:p>
    <w:p>
      <w:pPr>
        <w:pageBreakBefore w:val="0"/>
        <w:kinsoku/>
        <w:overflowPunct/>
        <w:bidi w:val="0"/>
        <w:spacing w:line="400" w:lineRule="exact"/>
        <w:ind w:firstLine="0" w:firstLineChars="0"/>
        <w:rPr>
          <w:rFonts w:ascii="宋体" w:hAnsi="宋体" w:eastAsia="宋体" w:cs="宋体"/>
          <w:color w:val="auto"/>
          <w:kern w:val="0"/>
          <w:szCs w:val="21"/>
          <w:highlight w:val="none"/>
        </w:rPr>
      </w:pPr>
      <w:r>
        <w:rPr>
          <w:rFonts w:hint="eastAsia" w:ascii="宋体" w:hAnsi="宋体" w:eastAsia="宋体" w:cs="宋体"/>
          <w:color w:val="auto"/>
          <w:szCs w:val="21"/>
          <w:highlight w:val="none"/>
          <w:lang w:bidi="en-US"/>
        </w:rPr>
        <w:t>本次评审采用综合评分法。磋商小组对满足竞争性磋商文件实质性要求的响应文件</w:t>
      </w:r>
      <w:r>
        <w:rPr>
          <w:rFonts w:hint="eastAsia" w:ascii="宋体" w:hAnsi="宋体" w:eastAsia="宋体" w:cs="宋体"/>
          <w:color w:val="auto"/>
          <w:szCs w:val="21"/>
          <w:highlight w:val="none"/>
        </w:rPr>
        <w:t>，按照本章规定的评分标准进行打分，并按得分由高到低顺序推荐成交候选人，</w:t>
      </w:r>
      <w:r>
        <w:rPr>
          <w:rFonts w:hint="eastAsia" w:ascii="宋体" w:hAnsi="宋体" w:eastAsia="宋体" w:cs="宋体"/>
          <w:color w:val="auto"/>
          <w:kern w:val="0"/>
          <w:szCs w:val="21"/>
          <w:highlight w:val="none"/>
        </w:rPr>
        <w:t>综合评分相等时，以报价得分高的优先；报价得分也相等的，由采购人自行确定。</w:t>
      </w:r>
      <w:bookmarkStart w:id="939" w:name="_Toc6612"/>
      <w:bookmarkStart w:id="940" w:name="_Toc144974568"/>
      <w:bookmarkStart w:id="941" w:name="_Toc152045601"/>
      <w:bookmarkStart w:id="942" w:name="_Toc318450723"/>
      <w:bookmarkStart w:id="943" w:name="_Toc490667876"/>
      <w:bookmarkStart w:id="944" w:name="_Toc455080157"/>
      <w:bookmarkStart w:id="945" w:name="_Toc26131"/>
      <w:bookmarkStart w:id="946" w:name="_Toc455867817"/>
      <w:bookmarkStart w:id="947" w:name="_Toc466298140"/>
      <w:bookmarkStart w:id="948" w:name="_Toc29362"/>
      <w:bookmarkStart w:id="949" w:name="_Toc24936"/>
      <w:bookmarkStart w:id="950" w:name="_Toc152042378"/>
      <w:bookmarkStart w:id="951" w:name="_Toc20837"/>
      <w:bookmarkStart w:id="952" w:name="_Toc281405529"/>
    </w:p>
    <w:p>
      <w:pPr>
        <w:pageBreakBefore w:val="0"/>
        <w:kinsoku/>
        <w:overflowPunct/>
        <w:bidi w:val="0"/>
        <w:spacing w:line="400" w:lineRule="exact"/>
        <w:ind w:firstLine="0" w:firstLineChars="0"/>
        <w:rPr>
          <w:rFonts w:ascii="宋体" w:hAnsi="宋体" w:eastAsia="宋体" w:cs="宋体"/>
          <w:color w:val="auto"/>
          <w:highlight w:val="none"/>
        </w:rPr>
      </w:pPr>
      <w:r>
        <w:rPr>
          <w:rFonts w:hint="eastAsia" w:ascii="宋体" w:hAnsi="宋体" w:eastAsia="宋体" w:cs="宋体"/>
          <w:color w:val="auto"/>
          <w:kern w:val="0"/>
          <w:szCs w:val="21"/>
          <w:highlight w:val="none"/>
        </w:rPr>
        <w:t>1.2</w:t>
      </w:r>
      <w:r>
        <w:rPr>
          <w:rFonts w:hint="eastAsia" w:ascii="宋体" w:hAnsi="宋体" w:eastAsia="宋体" w:cs="宋体"/>
          <w:color w:val="auto"/>
          <w:szCs w:val="21"/>
          <w:highlight w:val="none"/>
        </w:rPr>
        <w:t>经评标委员会初步评审后有效投标不足3个的，评标委员会应予废标。</w:t>
      </w:r>
    </w:p>
    <w:p>
      <w:pPr>
        <w:pageBreakBefore w:val="0"/>
        <w:numPr>
          <w:ilvl w:val="0"/>
          <w:numId w:val="4"/>
        </w:numPr>
        <w:kinsoku/>
        <w:overflowPunct/>
        <w:bidi w:val="0"/>
        <w:spacing w:line="400" w:lineRule="exact"/>
        <w:ind w:firstLine="0" w:firstLineChars="0"/>
        <w:outlineLvl w:val="1"/>
        <w:rPr>
          <w:rFonts w:ascii="宋体" w:hAnsi="宋体" w:eastAsia="宋体" w:cs="宋体"/>
          <w:b/>
          <w:bCs/>
          <w:color w:val="auto"/>
          <w:szCs w:val="21"/>
          <w:highlight w:val="none"/>
        </w:rPr>
      </w:pPr>
      <w:bookmarkStart w:id="953" w:name="_Toc10406"/>
      <w:bookmarkStart w:id="954" w:name="_Toc19388"/>
      <w:bookmarkStart w:id="955" w:name="_Toc21350"/>
      <w:r>
        <w:rPr>
          <w:rFonts w:hint="eastAsia" w:ascii="宋体" w:hAnsi="宋体" w:eastAsia="宋体" w:cs="宋体"/>
          <w:b/>
          <w:bCs/>
          <w:color w:val="auto"/>
          <w:szCs w:val="21"/>
          <w:highlight w:val="none"/>
        </w:rPr>
        <w:t>评审标准</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Start w:id="956" w:name="_Toc31037"/>
      <w:bookmarkStart w:id="957" w:name="_Toc281405530"/>
      <w:bookmarkStart w:id="958" w:name="_Toc11223"/>
      <w:bookmarkStart w:id="959" w:name="_Toc2867"/>
      <w:bookmarkStart w:id="960" w:name="_Toc24558"/>
      <w:bookmarkStart w:id="961" w:name="_Toc152042379"/>
      <w:bookmarkStart w:id="962" w:name="_Toc455867818"/>
      <w:bookmarkStart w:id="963" w:name="_Toc25637"/>
      <w:bookmarkStart w:id="964" w:name="_Toc152045602"/>
      <w:bookmarkStart w:id="965" w:name="_Toc455080158"/>
      <w:bookmarkStart w:id="966" w:name="_Toc6711"/>
      <w:bookmarkStart w:id="967" w:name="_Toc144974569"/>
      <w:bookmarkStart w:id="968" w:name="_Toc318450724"/>
      <w:bookmarkStart w:id="969" w:name="_Toc21120"/>
      <w:bookmarkStart w:id="970" w:name="_Toc15813"/>
      <w:bookmarkStart w:id="971" w:name="_Toc466298141"/>
      <w:bookmarkStart w:id="972" w:name="_Toc19934"/>
      <w:bookmarkStart w:id="973" w:name="_Toc490667877"/>
    </w:p>
    <w:p>
      <w:pPr>
        <w:pageBreakBefore w:val="0"/>
        <w:kinsoku/>
        <w:overflowPunct/>
        <w:bidi w:val="0"/>
        <w:spacing w:line="400" w:lineRule="exact"/>
        <w:ind w:firstLine="0" w:firstLineChars="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2.1 初步评审标准</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2.1.1 资格检查评审标准：见评审办法前附表。</w:t>
      </w:r>
    </w:p>
    <w:p>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2.1.2符合性检查评审标准：见评审办法前附表。</w:t>
      </w:r>
    </w:p>
    <w:p>
      <w:pPr>
        <w:pStyle w:val="68"/>
        <w:pageBreakBefore w:val="0"/>
        <w:kinsoku/>
        <w:overflowPunct/>
        <w:bidi w:val="0"/>
        <w:ind w:firstLine="0" w:firstLineChars="0"/>
        <w:outlineLvl w:val="0"/>
        <w:rPr>
          <w:rFonts w:ascii="宋体" w:hAnsi="宋体" w:eastAsia="宋体"/>
          <w:b/>
          <w:bCs/>
          <w:color w:val="auto"/>
          <w:sz w:val="21"/>
          <w:szCs w:val="21"/>
          <w:highlight w:val="none"/>
        </w:rPr>
      </w:pPr>
      <w:bookmarkStart w:id="974" w:name="_Toc455080159"/>
      <w:bookmarkStart w:id="975" w:name="_Toc4734"/>
      <w:bookmarkStart w:id="976" w:name="_Toc11061"/>
      <w:bookmarkStart w:id="977" w:name="_Toc31385"/>
      <w:bookmarkStart w:id="978" w:name="_Toc21970"/>
      <w:bookmarkStart w:id="979" w:name="_Toc7284"/>
      <w:bookmarkStart w:id="980" w:name="_Toc466298142"/>
      <w:bookmarkStart w:id="981" w:name="_Toc318450725"/>
      <w:bookmarkStart w:id="982" w:name="_Toc455867819"/>
      <w:bookmarkStart w:id="983" w:name="_Toc18417"/>
      <w:bookmarkStart w:id="984" w:name="_Toc152045603"/>
      <w:bookmarkStart w:id="985" w:name="_Toc281405531"/>
      <w:bookmarkStart w:id="986" w:name="_Toc30189"/>
      <w:bookmarkStart w:id="987" w:name="_Toc144974570"/>
      <w:bookmarkStart w:id="988" w:name="_Toc25492"/>
      <w:bookmarkStart w:id="989" w:name="_Toc26179"/>
      <w:bookmarkStart w:id="990" w:name="_Toc24825"/>
      <w:bookmarkStart w:id="991" w:name="_Toc152042380"/>
      <w:bookmarkStart w:id="992" w:name="_Toc12013"/>
      <w:bookmarkStart w:id="993" w:name="_Toc22439"/>
      <w:bookmarkStart w:id="994" w:name="_Toc490667878"/>
      <w:r>
        <w:rPr>
          <w:rFonts w:hint="eastAsia" w:ascii="宋体" w:hAnsi="宋体" w:eastAsia="宋体"/>
          <w:b/>
          <w:bCs/>
          <w:color w:val="auto"/>
          <w:sz w:val="21"/>
          <w:szCs w:val="21"/>
          <w:highlight w:val="none"/>
        </w:rPr>
        <w:t>2.2 分值构成与评分标准</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p>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（1）商务标：见评审办法前附表；</w:t>
      </w:r>
    </w:p>
    <w:p>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（2）技术标：见评审办法前附表；</w:t>
      </w:r>
    </w:p>
    <w:p>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（3）综合标：见评审办法前附表。</w:t>
      </w:r>
    </w:p>
    <w:p>
      <w:pPr>
        <w:pStyle w:val="67"/>
        <w:pageBreakBefore w:val="0"/>
        <w:kinsoku/>
        <w:overflowPunct/>
        <w:bidi w:val="0"/>
        <w:ind w:firstLine="0" w:firstLineChars="0"/>
        <w:rPr>
          <w:rFonts w:ascii="宋体" w:hAnsi="宋体" w:eastAsia="宋体"/>
          <w:b/>
          <w:bCs/>
          <w:color w:val="auto"/>
          <w:sz w:val="21"/>
          <w:szCs w:val="21"/>
          <w:highlight w:val="none"/>
        </w:rPr>
      </w:pPr>
      <w:bookmarkStart w:id="995" w:name="_Toc281405532"/>
      <w:bookmarkStart w:id="996" w:name="_Toc32314"/>
      <w:bookmarkStart w:id="997" w:name="_Toc318450726"/>
      <w:bookmarkStart w:id="998" w:name="_Toc18127"/>
      <w:bookmarkStart w:id="999" w:name="_Toc16479"/>
      <w:bookmarkStart w:id="1000" w:name="_Toc455080160"/>
      <w:bookmarkStart w:id="1001" w:name="_Toc3149"/>
      <w:bookmarkStart w:id="1002" w:name="_Toc17308"/>
      <w:bookmarkStart w:id="1003" w:name="_Toc490667879"/>
      <w:bookmarkStart w:id="1004" w:name="_Toc455867820"/>
      <w:bookmarkStart w:id="1005" w:name="_Toc466298143"/>
      <w:bookmarkStart w:id="1006" w:name="_Toc5766"/>
      <w:bookmarkStart w:id="1007" w:name="_Toc11546"/>
      <w:bookmarkStart w:id="1008" w:name="_Toc29297"/>
      <w:r>
        <w:rPr>
          <w:rFonts w:hint="eastAsia" w:ascii="宋体" w:hAnsi="宋体" w:eastAsia="宋体"/>
          <w:b/>
          <w:bCs/>
          <w:color w:val="auto"/>
          <w:sz w:val="21"/>
          <w:szCs w:val="21"/>
          <w:highlight w:val="none"/>
        </w:rPr>
        <w:t>3. 评审程序</w:t>
      </w:r>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pStyle w:val="68"/>
        <w:pageBreakBefore w:val="0"/>
        <w:kinsoku/>
        <w:overflowPunct/>
        <w:bidi w:val="0"/>
        <w:ind w:firstLine="0" w:firstLineChars="0"/>
        <w:outlineLvl w:val="0"/>
        <w:rPr>
          <w:rFonts w:ascii="宋体" w:hAnsi="宋体" w:eastAsia="宋体"/>
          <w:b/>
          <w:bCs/>
          <w:color w:val="auto"/>
          <w:sz w:val="21"/>
          <w:szCs w:val="21"/>
          <w:highlight w:val="none"/>
        </w:rPr>
      </w:pPr>
      <w:bookmarkStart w:id="1009" w:name="_Toc31432"/>
      <w:bookmarkStart w:id="1010" w:name="_Toc11826"/>
      <w:bookmarkStart w:id="1011" w:name="_Toc14633"/>
      <w:bookmarkStart w:id="1012" w:name="_Toc455080161"/>
      <w:bookmarkStart w:id="1013" w:name="_Toc29092"/>
      <w:bookmarkStart w:id="1014" w:name="_Toc281405533"/>
      <w:bookmarkStart w:id="1015" w:name="_Toc5427"/>
      <w:bookmarkStart w:id="1016" w:name="_Toc9433"/>
      <w:bookmarkStart w:id="1017" w:name="_Toc29614"/>
      <w:bookmarkStart w:id="1018" w:name="_Toc318450727"/>
      <w:bookmarkStart w:id="1019" w:name="_Toc455867821"/>
      <w:bookmarkStart w:id="1020" w:name="_Toc7272"/>
      <w:bookmarkStart w:id="1021" w:name="_Toc490667880"/>
      <w:bookmarkStart w:id="1022" w:name="_Toc30986"/>
      <w:bookmarkStart w:id="1023" w:name="_Toc466298144"/>
      <w:bookmarkStart w:id="1024" w:name="_Toc28837"/>
      <w:bookmarkStart w:id="1025" w:name="_Toc18886"/>
      <w:bookmarkStart w:id="1026" w:name="_Toc2410"/>
      <w:bookmarkStart w:id="1027" w:name="_Toc16892"/>
      <w:r>
        <w:rPr>
          <w:rFonts w:hint="eastAsia" w:ascii="宋体" w:hAnsi="宋体" w:eastAsia="宋体"/>
          <w:b/>
          <w:bCs/>
          <w:color w:val="auto"/>
          <w:sz w:val="21"/>
          <w:szCs w:val="21"/>
          <w:highlight w:val="none"/>
        </w:rPr>
        <w:t>3.1 初步评审</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p>
    <w:p>
      <w:pPr>
        <w:pageBreakBefore w:val="0"/>
        <w:kinsoku/>
        <w:overflowPunct/>
        <w:bidi w:val="0"/>
        <w:spacing w:line="400" w:lineRule="exact"/>
        <w:ind w:firstLine="0" w:firstLineChars="0"/>
        <w:rPr>
          <w:rFonts w:ascii="宋体" w:hAnsi="宋体" w:eastAsia="宋体" w:cs="宋体"/>
          <w:b/>
          <w:bCs/>
          <w:color w:val="auto"/>
          <w:szCs w:val="21"/>
          <w:highlight w:val="none"/>
        </w:rPr>
      </w:pPr>
      <w:bookmarkStart w:id="1028" w:name="_Toc26049"/>
      <w:bookmarkStart w:id="1029" w:name="_Toc490667881"/>
      <w:bookmarkStart w:id="1030" w:name="_Toc466298145"/>
      <w:bookmarkStart w:id="1031" w:name="_Toc455080162"/>
      <w:bookmarkStart w:id="1032" w:name="_Toc318450728"/>
      <w:bookmarkStart w:id="1033" w:name="_Toc13386"/>
      <w:bookmarkStart w:id="1034" w:name="_Toc16964"/>
      <w:bookmarkStart w:id="1035" w:name="_Toc21032"/>
      <w:bookmarkStart w:id="1036" w:name="_Toc21570"/>
      <w:bookmarkStart w:id="1037" w:name="_Toc281405534"/>
      <w:bookmarkStart w:id="1038" w:name="_Toc455867822"/>
      <w:bookmarkStart w:id="1039" w:name="_Toc10692"/>
      <w:bookmarkStart w:id="1040" w:name="_Toc12406"/>
      <w:bookmarkStart w:id="1041" w:name="_Toc22101"/>
      <w:bookmarkStart w:id="1042" w:name="_Toc7121"/>
      <w:bookmarkStart w:id="1043" w:name="_Toc26280"/>
      <w:r>
        <w:rPr>
          <w:rFonts w:hint="eastAsia" w:ascii="宋体" w:hAnsi="宋体" w:eastAsia="宋体" w:cs="宋体"/>
          <w:color w:val="auto"/>
          <w:szCs w:val="21"/>
          <w:highlight w:val="none"/>
        </w:rPr>
        <w:t>3.1.1只有通过资格审查的供应商才能进入符合性评审。评标委员会依据2.1.2规定的内容和标准对响应文件进行符合性审查。</w:t>
      </w:r>
      <w:r>
        <w:rPr>
          <w:rFonts w:hint="eastAsia" w:ascii="宋体" w:hAnsi="宋体" w:eastAsia="宋体" w:cs="宋体"/>
          <w:b/>
          <w:bCs/>
          <w:color w:val="auto"/>
          <w:szCs w:val="21"/>
          <w:highlight w:val="none"/>
        </w:rPr>
        <w:t>有一项不符合评审标准的，其投标做无效投标处理，不得进入详细评审。</w:t>
      </w:r>
    </w:p>
    <w:p>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3.1.2 供应商有以下情形之一的，其响应文件作无效处理：</w:t>
      </w:r>
    </w:p>
    <w:p>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（1）串通或弄虚作假或有其他违法行为的；</w:t>
      </w:r>
    </w:p>
    <w:p>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（2）不按磋商小组要求澄清、说明或补正的；</w:t>
      </w:r>
    </w:p>
    <w:p>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（3）未按规定格式填写、内容不全或关键字迹模糊、无法辨认的；</w:t>
      </w:r>
    </w:p>
    <w:p>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（4）响应文件附有采购人不能接受的条件；</w:t>
      </w:r>
    </w:p>
    <w:p>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（5）不符合竞争性磋商文件规定的其他实质性要求。</w:t>
      </w:r>
    </w:p>
    <w:p>
      <w:pPr>
        <w:pStyle w:val="68"/>
        <w:pageBreakBefore w:val="0"/>
        <w:kinsoku/>
        <w:overflowPunct/>
        <w:bidi w:val="0"/>
        <w:ind w:firstLine="0" w:firstLineChars="0"/>
        <w:outlineLvl w:val="0"/>
        <w:rPr>
          <w:rFonts w:ascii="宋体" w:hAnsi="宋体" w:eastAsia="宋体"/>
          <w:b/>
          <w:bCs/>
          <w:color w:val="auto"/>
          <w:sz w:val="21"/>
          <w:szCs w:val="21"/>
          <w:highlight w:val="none"/>
        </w:rPr>
      </w:pPr>
      <w:bookmarkStart w:id="1044" w:name="_Toc21966"/>
      <w:bookmarkStart w:id="1045" w:name="_Toc28255"/>
      <w:bookmarkStart w:id="1046" w:name="_Toc8771"/>
      <w:r>
        <w:rPr>
          <w:rFonts w:hint="eastAsia" w:ascii="宋体" w:hAnsi="宋体" w:eastAsia="宋体"/>
          <w:b/>
          <w:bCs/>
          <w:color w:val="auto"/>
          <w:sz w:val="21"/>
          <w:szCs w:val="21"/>
          <w:highlight w:val="none"/>
        </w:rPr>
        <w:t>3.2 详细评审</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3.2.1 磋商小组按本章第2.2款规定的量化因素和分值进行打分，并计算出综合评分得分。</w:t>
      </w:r>
    </w:p>
    <w:p>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3.2.2 评分分值计算保留小数点后两位，小数点后第三位“四舍五入”。</w:t>
      </w:r>
    </w:p>
    <w:p>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3.2.3供应商的最终得分以全部小组成员打分的算术平均值为准，作为该供应商的最终得分。</w:t>
      </w:r>
    </w:p>
    <w:p>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3.2.4在磋商过程中，凡遇到竞争性磋商文件中无界定或界定不清、前后不一致使磋商小组意见有分歧且又难以协商一致的问题，均由磋商小组予以表决，获半数以上同意的即为通过，未获半数同意的即为否决。</w:t>
      </w:r>
    </w:p>
    <w:p>
      <w:pPr>
        <w:pStyle w:val="68"/>
        <w:pageBreakBefore w:val="0"/>
        <w:kinsoku/>
        <w:overflowPunct/>
        <w:bidi w:val="0"/>
        <w:ind w:firstLine="0" w:firstLineChars="0"/>
        <w:outlineLvl w:val="0"/>
        <w:rPr>
          <w:rFonts w:ascii="宋体" w:hAnsi="宋体" w:eastAsia="宋体"/>
          <w:b/>
          <w:bCs/>
          <w:color w:val="auto"/>
          <w:sz w:val="21"/>
          <w:szCs w:val="21"/>
          <w:highlight w:val="none"/>
        </w:rPr>
      </w:pPr>
      <w:bookmarkStart w:id="1047" w:name="_Toc318450729"/>
      <w:bookmarkStart w:id="1048" w:name="_Toc11958"/>
      <w:bookmarkStart w:id="1049" w:name="_Toc455867823"/>
      <w:bookmarkStart w:id="1050" w:name="_Toc281405535"/>
      <w:bookmarkStart w:id="1051" w:name="_Toc455080163"/>
      <w:bookmarkStart w:id="1052" w:name="_Toc24862"/>
      <w:bookmarkStart w:id="1053" w:name="_Toc10153"/>
      <w:bookmarkStart w:id="1054" w:name="_Toc12374"/>
      <w:bookmarkStart w:id="1055" w:name="_Toc25291"/>
      <w:bookmarkStart w:id="1056" w:name="_Toc28633"/>
      <w:bookmarkStart w:id="1057" w:name="_Toc2657"/>
      <w:bookmarkStart w:id="1058" w:name="_Toc12390"/>
      <w:bookmarkStart w:id="1059" w:name="_Toc331"/>
      <w:bookmarkStart w:id="1060" w:name="_Toc8342"/>
      <w:bookmarkStart w:id="1061" w:name="_Toc8813"/>
      <w:bookmarkStart w:id="1062" w:name="_Toc466298146"/>
      <w:bookmarkStart w:id="1063" w:name="_Toc490667882"/>
      <w:bookmarkStart w:id="1064" w:name="_Toc9193"/>
      <w:bookmarkStart w:id="1065" w:name="_Toc22084"/>
      <w:r>
        <w:rPr>
          <w:rFonts w:hint="eastAsia" w:ascii="宋体" w:hAnsi="宋体" w:eastAsia="宋体"/>
          <w:b/>
          <w:bCs/>
          <w:color w:val="auto"/>
          <w:sz w:val="21"/>
          <w:szCs w:val="21"/>
          <w:highlight w:val="none"/>
        </w:rPr>
        <w:t>3.3 响应文件的澄清和补正</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p>
    <w:p>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3.3.1在磋商过程中，磋商小组可以书面形式要求供应商对所提交的响应文件中不明确的内容进行书面澄清或说明，或者对细微偏离进行补正。磋商小组不接受供应商主动提出的澄清、说明或补正。</w:t>
      </w:r>
    </w:p>
    <w:p>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3.3.2 澄清、说明和补正不得超出响应文件的范围或者改变响应文件的实质性内容（算术性错误修正的除外）。供应商的书面澄清、说明和补正属于响应文件的组成部分。</w:t>
      </w:r>
    </w:p>
    <w:p>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3.3.3 磋商小组对供应商提交的澄清、说明或补正有疑问的，可以要求供应商进一步澄清、说明或补正，直至满足磋商小组的要求。</w:t>
      </w:r>
    </w:p>
    <w:p>
      <w:pPr>
        <w:pStyle w:val="68"/>
        <w:pageBreakBefore w:val="0"/>
        <w:kinsoku/>
        <w:overflowPunct/>
        <w:bidi w:val="0"/>
        <w:ind w:firstLine="0" w:firstLineChars="0"/>
        <w:outlineLvl w:val="0"/>
        <w:rPr>
          <w:rFonts w:ascii="宋体" w:hAnsi="宋体" w:eastAsia="宋体"/>
          <w:color w:val="auto"/>
          <w:sz w:val="21"/>
          <w:szCs w:val="21"/>
          <w:highlight w:val="none"/>
        </w:rPr>
      </w:pPr>
      <w:bookmarkStart w:id="1066" w:name="_Toc8139"/>
      <w:bookmarkStart w:id="1067" w:name="_Toc22682"/>
      <w:bookmarkStart w:id="1068" w:name="_Toc5903"/>
      <w:bookmarkStart w:id="1069" w:name="_Toc281405536"/>
      <w:bookmarkStart w:id="1070" w:name="_Toc27990"/>
      <w:bookmarkStart w:id="1071" w:name="_Toc22049"/>
      <w:bookmarkStart w:id="1072" w:name="_Toc19938"/>
      <w:bookmarkStart w:id="1073" w:name="_Toc1857"/>
      <w:bookmarkStart w:id="1074" w:name="_Toc455867824"/>
      <w:bookmarkStart w:id="1075" w:name="_Toc455080164"/>
      <w:bookmarkStart w:id="1076" w:name="_Toc32183"/>
      <w:bookmarkStart w:id="1077" w:name="_Toc6270"/>
      <w:bookmarkStart w:id="1078" w:name="_Toc466298147"/>
      <w:bookmarkStart w:id="1079" w:name="_Toc19453"/>
      <w:bookmarkStart w:id="1080" w:name="_Toc26894"/>
      <w:bookmarkStart w:id="1081" w:name="_Toc318450730"/>
      <w:bookmarkStart w:id="1082" w:name="_Toc490667883"/>
      <w:bookmarkStart w:id="1083" w:name="_Toc30053"/>
      <w:bookmarkStart w:id="1084" w:name="_Toc22986"/>
      <w:r>
        <w:rPr>
          <w:rFonts w:hint="eastAsia" w:ascii="宋体" w:hAnsi="宋体" w:eastAsia="宋体"/>
          <w:color w:val="auto"/>
          <w:sz w:val="21"/>
          <w:szCs w:val="21"/>
          <w:highlight w:val="none"/>
        </w:rPr>
        <w:t>3.4 评审结果</w:t>
      </w:r>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3.4.1除第二章“供应商须知”前附表授权直接确定成交人外，磋商小组按照得分由高到低的顺序推荐成交候选人。</w:t>
      </w:r>
    </w:p>
    <w:p>
      <w:pPr>
        <w:pageBreakBefore w:val="0"/>
        <w:kinsoku/>
        <w:overflowPunct/>
        <w:bidi w:val="0"/>
        <w:spacing w:line="400" w:lineRule="exact"/>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3.4.2 磋商小组完成评审后，应当向采购人提交书面评审报告。</w:t>
      </w:r>
    </w:p>
    <w:p>
      <w:pPr>
        <w:pageBreakBefore w:val="0"/>
        <w:kinsoku/>
        <w:overflowPunct/>
        <w:bidi w:val="0"/>
        <w:spacing w:line="400" w:lineRule="exact"/>
        <w:ind w:firstLine="0" w:firstLineChars="0"/>
        <w:rPr>
          <w:rFonts w:ascii="宋体" w:hAnsi="宋体" w:eastAsia="宋体" w:cs="宋体"/>
          <w:color w:val="auto"/>
          <w:szCs w:val="21"/>
          <w:highlight w:val="none"/>
        </w:rPr>
      </w:pPr>
      <w:bookmarkStart w:id="1085" w:name="_Toc14024"/>
      <w:bookmarkStart w:id="1086" w:name="_Toc152042387"/>
      <w:bookmarkStart w:id="1087" w:name="_Toc152045609"/>
      <w:bookmarkStart w:id="1088" w:name="_Toc144974577"/>
      <w:r>
        <w:rPr>
          <w:rFonts w:hint="eastAsia" w:ascii="宋体" w:hAnsi="宋体" w:eastAsia="宋体" w:cs="宋体"/>
          <w:color w:val="auto"/>
          <w:szCs w:val="21"/>
          <w:highlight w:val="none"/>
        </w:rPr>
        <w:t>3.4.3评标结果同时在《河南省政府采购网》、《全国公共资源交易平台（河南省·信阳市）》公示。</w:t>
      </w:r>
    </w:p>
    <w:p>
      <w:pPr>
        <w:pStyle w:val="9"/>
        <w:pageBreakBefore w:val="0"/>
        <w:kinsoku/>
        <w:overflowPunct/>
        <w:bidi w:val="0"/>
        <w:spacing w:line="400" w:lineRule="exact"/>
        <w:ind w:left="459" w:firstLine="0" w:firstLineChars="0"/>
        <w:rPr>
          <w:rFonts w:hint="eastAsia" w:ascii="宋体" w:hAnsi="宋体" w:eastAsia="宋体" w:cs="宋体"/>
          <w:color w:val="auto"/>
          <w:sz w:val="21"/>
          <w:szCs w:val="21"/>
          <w:highlight w:val="none"/>
        </w:rPr>
      </w:pPr>
      <w:bookmarkStart w:id="1089" w:name="_Toc6806"/>
      <w:bookmarkStart w:id="1090" w:name="_Toc22046"/>
      <w:bookmarkStart w:id="1091" w:name="_Toc27942"/>
    </w:p>
    <w:p>
      <w:pPr>
        <w:rPr>
          <w:rFonts w:hint="eastAsia"/>
          <w:color w:val="auto"/>
          <w:highlight w:val="none"/>
        </w:rPr>
      </w:pPr>
    </w:p>
    <w:p>
      <w:pPr>
        <w:pStyle w:val="9"/>
        <w:pageBreakBefore w:val="0"/>
        <w:kinsoku/>
        <w:overflowPunct/>
        <w:bidi w:val="0"/>
        <w:spacing w:line="400" w:lineRule="exact"/>
        <w:ind w:left="459"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附件：废标条件</w:t>
      </w:r>
      <w:bookmarkEnd w:id="1089"/>
      <w:bookmarkEnd w:id="1090"/>
      <w:bookmarkEnd w:id="1091"/>
    </w:p>
    <w:p>
      <w:pPr>
        <w:pageBreakBefore w:val="0"/>
        <w:kinsoku/>
        <w:overflowPunct/>
        <w:bidi w:val="0"/>
        <w:spacing w:line="400" w:lineRule="exact"/>
        <w:ind w:firstLine="0" w:firstLineChars="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废标条件</w:t>
      </w:r>
    </w:p>
    <w:p>
      <w:pPr>
        <w:pageBreakBefore w:val="0"/>
        <w:kinsoku/>
        <w:overflowPunct/>
        <w:bidi w:val="0"/>
        <w:spacing w:line="400" w:lineRule="exact"/>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本附件所集中列示的废标条件，是本章“评标办法”的组成部分，是对第二章“供应商须知”和本章正文部分所规定的废标条件的总结和补充，如果出现相互矛盾的情况，以第二章“供应商须知”和本章正文部分的规定为准。</w:t>
      </w:r>
    </w:p>
    <w:p>
      <w:pPr>
        <w:pageBreakBefore w:val="0"/>
        <w:kinsoku/>
        <w:overflowPunct/>
        <w:bidi w:val="0"/>
        <w:spacing w:line="400" w:lineRule="exact"/>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1.未通过第三章评标办法资格评审、符合性评审的； </w:t>
      </w:r>
    </w:p>
    <w:p>
      <w:pPr>
        <w:pageBreakBefore w:val="0"/>
        <w:kinsoku/>
        <w:overflowPunct/>
        <w:bidi w:val="0"/>
        <w:spacing w:line="400" w:lineRule="exact"/>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2.不按磋商小组要求澄清、说明或补正的；</w:t>
      </w:r>
    </w:p>
    <w:p>
      <w:pPr>
        <w:pageBreakBefore w:val="0"/>
        <w:kinsoku/>
        <w:overflowPunct/>
        <w:bidi w:val="0"/>
        <w:spacing w:line="400" w:lineRule="exact"/>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3.磋商报价有算术性错误，投标人不接受修正价格的；</w:t>
      </w:r>
    </w:p>
    <w:p>
      <w:pPr>
        <w:pageBreakBefore w:val="0"/>
        <w:kinsoku/>
        <w:overflowPunct/>
        <w:bidi w:val="0"/>
        <w:spacing w:line="400" w:lineRule="exact"/>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4.以他人的名义投标、以行贿手段谋取中标或者以其他弄虚作假方式投标的；</w:t>
      </w:r>
    </w:p>
    <w:p>
      <w:pPr>
        <w:pageBreakBefore w:val="0"/>
        <w:kinsoku/>
        <w:overflowPunct/>
        <w:bidi w:val="0"/>
        <w:spacing w:line="400" w:lineRule="exact"/>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5.属于串（围）标行为的；</w:t>
      </w:r>
    </w:p>
    <w:p>
      <w:pPr>
        <w:pageBreakBefore w:val="0"/>
        <w:kinsoku/>
        <w:overflowPunct/>
        <w:bidi w:val="0"/>
        <w:spacing w:line="400" w:lineRule="exact"/>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6.评标委员会认定投标人以低于成本报价竞标的；</w:t>
      </w:r>
    </w:p>
    <w:p>
      <w:pPr>
        <w:pageBreakBefore w:val="0"/>
        <w:kinsoku/>
        <w:overflowPunct/>
        <w:bidi w:val="0"/>
        <w:spacing w:line="400" w:lineRule="exact"/>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7．明显不符合技术规格、技术标准的要求；</w:t>
      </w:r>
    </w:p>
    <w:p>
      <w:pPr>
        <w:pageBreakBefore w:val="0"/>
        <w:kinsoku/>
        <w:overflowPunct/>
        <w:bidi w:val="0"/>
        <w:spacing w:line="400" w:lineRule="exact"/>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8.文件制作机器码、文件创建标识码有相同的；</w:t>
      </w:r>
    </w:p>
    <w:p>
      <w:pPr>
        <w:pageBreakBefore w:val="0"/>
        <w:kinsoku/>
        <w:overflowPunct/>
        <w:bidi w:val="0"/>
        <w:spacing w:line="400" w:lineRule="exact"/>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9．不符合竞争性磋商文件规定的其他实质性要求及相关法律、法规或规章规定可以废标的其他情形。</w:t>
      </w:r>
    </w:p>
    <w:p>
      <w:pPr>
        <w:pStyle w:val="2"/>
        <w:pageBreakBefore w:val="0"/>
        <w:kinsoku/>
        <w:overflowPunct/>
        <w:bidi w:val="0"/>
        <w:ind w:firstLine="0" w:firstLineChars="0"/>
        <w:rPr>
          <w:rFonts w:ascii="宋体" w:hAnsi="宋体" w:cs="宋体"/>
          <w:bCs/>
          <w:color w:val="auto"/>
          <w:sz w:val="28"/>
          <w:szCs w:val="28"/>
          <w:highlight w:val="none"/>
        </w:rPr>
      </w:pPr>
    </w:p>
    <w:p>
      <w:pPr>
        <w:pStyle w:val="4"/>
        <w:pageBreakBefore w:val="0"/>
        <w:tabs>
          <w:tab w:val="left" w:pos="945"/>
          <w:tab w:val="left" w:pos="1155"/>
        </w:tabs>
        <w:kinsoku/>
        <w:overflowPunct/>
        <w:bidi w:val="0"/>
        <w:ind w:firstLine="0" w:firstLineChars="0"/>
        <w:rPr>
          <w:rFonts w:ascii="宋体" w:hAnsi="宋体" w:cs="宋体"/>
          <w:bCs/>
          <w:color w:val="auto"/>
          <w:sz w:val="28"/>
          <w:szCs w:val="28"/>
          <w:highlight w:val="none"/>
        </w:rPr>
      </w:pPr>
    </w:p>
    <w:p>
      <w:pPr>
        <w:pStyle w:val="47"/>
        <w:pageBreakBefore w:val="0"/>
        <w:kinsoku/>
        <w:overflowPunct/>
        <w:bidi w:val="0"/>
        <w:ind w:firstLine="0" w:firstLineChars="0"/>
        <w:rPr>
          <w:color w:val="auto"/>
          <w:highlight w:val="none"/>
        </w:rPr>
      </w:pPr>
    </w:p>
    <w:p>
      <w:pPr>
        <w:pStyle w:val="49"/>
        <w:rPr>
          <w:color w:val="auto"/>
          <w:highlight w:val="none"/>
        </w:rPr>
      </w:pPr>
    </w:p>
    <w:p>
      <w:pPr>
        <w:rPr>
          <w:color w:val="auto"/>
          <w:highlight w:val="none"/>
        </w:rPr>
      </w:pPr>
    </w:p>
    <w:p>
      <w:pPr>
        <w:pStyle w:val="3"/>
        <w:rPr>
          <w:color w:val="auto"/>
          <w:highlight w:val="none"/>
        </w:rPr>
      </w:pPr>
    </w:p>
    <w:p>
      <w:pPr>
        <w:pStyle w:val="46"/>
        <w:rPr>
          <w:color w:val="auto"/>
          <w:highlight w:val="none"/>
        </w:rPr>
      </w:pPr>
    </w:p>
    <w:p>
      <w:pPr>
        <w:rPr>
          <w:color w:val="auto"/>
          <w:highlight w:val="none"/>
        </w:rPr>
      </w:pPr>
    </w:p>
    <w:p>
      <w:pPr>
        <w:pStyle w:val="3"/>
        <w:rPr>
          <w:color w:val="auto"/>
          <w:highlight w:val="none"/>
        </w:rPr>
      </w:pPr>
    </w:p>
    <w:p/>
    <w:bookmarkEnd w:id="1085"/>
    <w:bookmarkEnd w:id="1086"/>
    <w:bookmarkEnd w:id="1087"/>
    <w:bookmarkEnd w:id="1088"/>
    <w:p>
      <w:pPr>
        <w:pageBreakBefore w:val="0"/>
        <w:kinsoku/>
        <w:overflowPunct/>
        <w:bidi w:val="0"/>
        <w:ind w:firstLine="0" w:firstLineChars="0"/>
        <w:jc w:val="center"/>
        <w:outlineLvl w:val="0"/>
        <w:rPr>
          <w:rFonts w:ascii="宋体" w:hAnsi="宋体" w:cs="宋体"/>
          <w:b/>
          <w:color w:val="auto"/>
          <w:kern w:val="44"/>
          <w:sz w:val="32"/>
          <w:szCs w:val="32"/>
          <w:highlight w:val="none"/>
        </w:rPr>
      </w:pPr>
      <w:bookmarkStart w:id="1092" w:name="_Toc21270"/>
      <w:bookmarkStart w:id="1093" w:name="_Toc14158"/>
      <w:bookmarkStart w:id="1094" w:name="_Toc144974855"/>
      <w:bookmarkStart w:id="1095" w:name="_Toc152042575"/>
      <w:bookmarkStart w:id="1096" w:name="_Toc152045786"/>
      <w:r>
        <w:rPr>
          <w:rFonts w:hint="eastAsia" w:ascii="宋体" w:hAnsi="宋体" w:cs="宋体"/>
          <w:b/>
          <w:color w:val="auto"/>
          <w:kern w:val="44"/>
          <w:sz w:val="32"/>
          <w:szCs w:val="32"/>
          <w:highlight w:val="none"/>
        </w:rPr>
        <w:t>第四章  河南省政府采购合同（参考文本）</w:t>
      </w:r>
      <w:bookmarkEnd w:id="1092"/>
    </w:p>
    <w:p>
      <w:pPr>
        <w:pageBreakBefore w:val="0"/>
        <w:kinsoku/>
        <w:overflowPunct/>
        <w:bidi w:val="0"/>
        <w:spacing w:line="400" w:lineRule="exact"/>
        <w:ind w:firstLine="0" w:firstLineChars="0"/>
        <w:rPr>
          <w:rFonts w:ascii="宋体" w:hAnsi="宋体" w:cs="宋体"/>
          <w:color w:val="auto"/>
          <w:sz w:val="30"/>
          <w:szCs w:val="30"/>
          <w:highlight w:val="none"/>
        </w:rPr>
      </w:pPr>
    </w:p>
    <w:p>
      <w:pPr>
        <w:pageBreakBefore w:val="0"/>
        <w:kinsoku/>
        <w:overflowPunct/>
        <w:bidi w:val="0"/>
        <w:spacing w:line="360" w:lineRule="auto"/>
        <w:ind w:firstLine="0" w:firstLineChars="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（采购人可根据采购项目的实际情况增减条款和内容）</w:t>
      </w:r>
    </w:p>
    <w:p>
      <w:pPr>
        <w:spacing w:line="560" w:lineRule="exact"/>
        <w:ind w:firstLine="422"/>
        <w:rPr>
          <w:rFonts w:ascii="宋体" w:hAnsi="宋体"/>
          <w:b/>
          <w:bCs/>
          <w:color w:val="auto"/>
          <w:szCs w:val="21"/>
          <w:highlight w:val="none"/>
        </w:rPr>
      </w:pPr>
      <w:r>
        <w:rPr>
          <w:rFonts w:hint="eastAsia" w:ascii="宋体" w:hAnsi="宋体"/>
          <w:b/>
          <w:bCs/>
          <w:color w:val="auto"/>
          <w:szCs w:val="21"/>
          <w:highlight w:val="none"/>
        </w:rPr>
        <w:t>委托方（甲方）：</w:t>
      </w:r>
    </w:p>
    <w:p>
      <w:pPr>
        <w:spacing w:line="560" w:lineRule="exact"/>
        <w:ind w:firstLine="422"/>
        <w:rPr>
          <w:rFonts w:ascii="宋体" w:hAnsi="宋体"/>
          <w:b/>
          <w:bCs/>
          <w:color w:val="auto"/>
          <w:szCs w:val="21"/>
          <w:highlight w:val="none"/>
        </w:rPr>
      </w:pPr>
      <w:r>
        <w:rPr>
          <w:rFonts w:hint="eastAsia" w:ascii="宋体" w:hAnsi="宋体"/>
          <w:b/>
          <w:bCs/>
          <w:color w:val="auto"/>
          <w:szCs w:val="21"/>
          <w:highlight w:val="none"/>
        </w:rPr>
        <w:t>受托方（乙方）：</w:t>
      </w:r>
    </w:p>
    <w:p>
      <w:pPr>
        <w:spacing w:line="560" w:lineRule="exact"/>
        <w:ind w:firstLine="420"/>
        <w:rPr>
          <w:rFonts w:ascii="宋体" w:hAnsi="宋体"/>
          <w:color w:val="auto"/>
          <w:szCs w:val="21"/>
          <w:highlight w:val="none"/>
        </w:rPr>
      </w:pPr>
    </w:p>
    <w:p>
      <w:pPr>
        <w:spacing w:line="400" w:lineRule="exact"/>
        <w:ind w:firstLine="420"/>
        <w:rPr>
          <w:rFonts w:ascii="宋体" w:hAnsi="宋体"/>
          <w:color w:val="auto"/>
          <w:szCs w:val="21"/>
          <w:highlight w:val="none"/>
        </w:rPr>
      </w:pPr>
      <w:r>
        <w:rPr>
          <w:rFonts w:hint="eastAsia" w:ascii="宋体" w:hAnsi="宋体"/>
          <w:color w:val="auto"/>
          <w:szCs w:val="21"/>
          <w:highlight w:val="none"/>
        </w:rPr>
        <w:t>根据《中华人民共和国</w:t>
      </w:r>
      <w:r>
        <w:rPr>
          <w:rFonts w:hint="eastAsia" w:ascii="宋体" w:hAnsi="宋体"/>
          <w:color w:val="auto"/>
          <w:szCs w:val="21"/>
          <w:highlight w:val="none"/>
          <w:lang w:eastAsia="zh-CN"/>
        </w:rPr>
        <w:t>民典</w:t>
      </w:r>
      <w:r>
        <w:rPr>
          <w:rFonts w:hint="eastAsia" w:ascii="宋体" w:hAnsi="宋体"/>
          <w:color w:val="auto"/>
          <w:szCs w:val="21"/>
          <w:highlight w:val="none"/>
        </w:rPr>
        <w:t>法》、招标文件、中标通知书及有关法律规定，甲方委托乙方承担“</w:t>
      </w:r>
      <w:r>
        <w:rPr>
          <w:rFonts w:hint="eastAsia" w:ascii="宋体" w:hAnsi="宋体"/>
          <w:color w:val="auto"/>
          <w:szCs w:val="21"/>
          <w:highlight w:val="none"/>
          <w:lang w:val="en-US" w:eastAsia="zh-CN"/>
        </w:rPr>
        <w:t>信阳市浉河区自然资源局关于编制浉河区2022年第一批土地征收成片开发方案项目</w:t>
      </w:r>
      <w:r>
        <w:rPr>
          <w:rFonts w:hint="eastAsia" w:ascii="宋体" w:hAnsi="宋体"/>
          <w:color w:val="auto"/>
          <w:szCs w:val="21"/>
          <w:highlight w:val="none"/>
        </w:rPr>
        <w:t>”的技术性工作，并就有关事宜达成如下协议：</w:t>
      </w:r>
    </w:p>
    <w:p>
      <w:pPr>
        <w:spacing w:line="400" w:lineRule="exact"/>
        <w:ind w:firstLine="422"/>
        <w:rPr>
          <w:rFonts w:ascii="宋体" w:hAnsi="宋体"/>
          <w:b/>
          <w:bCs/>
          <w:color w:val="auto"/>
          <w:szCs w:val="21"/>
          <w:highlight w:val="none"/>
        </w:rPr>
      </w:pPr>
      <w:r>
        <w:rPr>
          <w:rFonts w:hint="eastAsia" w:ascii="宋体" w:hAnsi="宋体"/>
          <w:b/>
          <w:bCs/>
          <w:color w:val="auto"/>
          <w:szCs w:val="21"/>
          <w:highlight w:val="none"/>
        </w:rPr>
        <w:t>第一条  工程名称</w:t>
      </w:r>
    </w:p>
    <w:p>
      <w:pPr>
        <w:spacing w:line="400" w:lineRule="exact"/>
        <w:ind w:firstLine="422"/>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信阳市浉河区自然资源局关于编制浉河区2022年第一批土地征收成片开发方案项目</w:t>
      </w:r>
    </w:p>
    <w:p>
      <w:pPr>
        <w:spacing w:line="400" w:lineRule="exact"/>
        <w:ind w:firstLine="422"/>
        <w:rPr>
          <w:rFonts w:ascii="宋体" w:hAnsi="宋体"/>
          <w:b/>
          <w:bCs/>
          <w:color w:val="auto"/>
          <w:szCs w:val="21"/>
          <w:highlight w:val="none"/>
        </w:rPr>
      </w:pPr>
      <w:r>
        <w:rPr>
          <w:rFonts w:hint="eastAsia" w:ascii="宋体" w:hAnsi="宋体"/>
          <w:b/>
          <w:bCs/>
          <w:color w:val="auto"/>
          <w:szCs w:val="21"/>
          <w:highlight w:val="none"/>
        </w:rPr>
        <w:t>第二条  项目位置规模</w:t>
      </w:r>
    </w:p>
    <w:p>
      <w:pPr>
        <w:spacing w:line="400" w:lineRule="exact"/>
        <w:ind w:firstLine="420"/>
        <w:rPr>
          <w:rFonts w:ascii="宋体" w:hAnsi="宋体"/>
          <w:color w:val="auto"/>
          <w:szCs w:val="21"/>
          <w:highlight w:val="none"/>
        </w:rPr>
      </w:pPr>
      <w:r>
        <w:rPr>
          <w:rFonts w:hint="eastAsia" w:ascii="宋体" w:hAnsi="宋体"/>
          <w:color w:val="auto"/>
          <w:szCs w:val="21"/>
          <w:highlight w:val="none"/>
        </w:rPr>
        <w:t>该项目</w:t>
      </w:r>
      <w:r>
        <w:rPr>
          <w:rFonts w:hint="eastAsia" w:ascii="宋体" w:hAnsi="宋体"/>
          <w:color w:val="auto"/>
          <w:szCs w:val="21"/>
          <w:highlight w:val="none"/>
          <w:lang w:val="en-US" w:eastAsia="zh-CN"/>
        </w:rPr>
        <w:t>位于信阳市浉河区</w:t>
      </w:r>
      <w:r>
        <w:rPr>
          <w:rFonts w:hint="eastAsia" w:ascii="宋体" w:hAnsi="宋体"/>
          <w:color w:val="auto"/>
          <w:szCs w:val="21"/>
          <w:highlight w:val="none"/>
          <w:lang w:eastAsia="zh-CN"/>
        </w:rPr>
        <w:t>。</w:t>
      </w:r>
    </w:p>
    <w:p>
      <w:pPr>
        <w:spacing w:line="400" w:lineRule="exact"/>
        <w:ind w:firstLine="422"/>
        <w:rPr>
          <w:rFonts w:ascii="宋体" w:hAnsi="宋体"/>
          <w:b/>
          <w:bCs/>
          <w:color w:val="auto"/>
          <w:szCs w:val="21"/>
          <w:highlight w:val="none"/>
        </w:rPr>
      </w:pPr>
      <w:r>
        <w:rPr>
          <w:rFonts w:hint="eastAsia" w:ascii="宋体" w:hAnsi="宋体"/>
          <w:b/>
          <w:bCs/>
          <w:color w:val="auto"/>
          <w:szCs w:val="21"/>
          <w:highlight w:val="none"/>
        </w:rPr>
        <w:t>第三条  项目任务内容</w:t>
      </w:r>
    </w:p>
    <w:p>
      <w:pPr>
        <w:spacing w:line="400" w:lineRule="exact"/>
        <w:ind w:firstLine="42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本项目为信阳市浉河区自然资源局关于编制浉河区2022年第一批土地征收成片开发方案项目，涉及浉河区2022年、2023年两个年度土地征收成片开发方案。</w:t>
      </w:r>
      <w:r>
        <w:rPr>
          <w:rFonts w:hint="eastAsia" w:ascii="宋体" w:hAnsi="宋体" w:eastAsia="宋体" w:cs="宋体"/>
          <w:color w:val="auto"/>
          <w:szCs w:val="21"/>
          <w:highlight w:val="none"/>
        </w:rPr>
        <w:t>主要包括1、拟征收部分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确定范围线、片区功能及用途确定、拟建项目、开发时序和年度实施计划</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拟征收之外其他部分</w:t>
      </w:r>
      <w:r>
        <w:rPr>
          <w:rFonts w:hint="eastAsia" w:ascii="宋体" w:hAnsi="宋体" w:eastAsia="宋体" w:cs="宋体"/>
          <w:color w:val="auto"/>
          <w:szCs w:val="21"/>
          <w:highlight w:val="none"/>
          <w:lang w:eastAsia="zh-CN"/>
        </w:rPr>
        <w:t>：方案规划文本、图集、数据库编制；</w:t>
      </w:r>
      <w:r>
        <w:rPr>
          <w:rFonts w:hint="eastAsia" w:ascii="宋体" w:hAnsi="宋体" w:eastAsia="宋体" w:cs="宋体"/>
          <w:color w:val="auto"/>
          <w:szCs w:val="21"/>
          <w:highlight w:val="none"/>
        </w:rPr>
        <w:t>3、勘测定界资料编制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4、方案上报审批等</w:t>
      </w:r>
      <w:r>
        <w:rPr>
          <w:rFonts w:hint="eastAsia" w:ascii="宋体" w:hAnsi="宋体" w:eastAsia="宋体" w:cs="宋体"/>
          <w:color w:val="auto"/>
          <w:szCs w:val="21"/>
          <w:highlight w:val="none"/>
          <w:lang w:eastAsia="zh-CN"/>
        </w:rPr>
        <w:t>；</w:t>
      </w:r>
    </w:p>
    <w:p>
      <w:pPr>
        <w:spacing w:line="400" w:lineRule="exact"/>
        <w:ind w:firstLine="422"/>
        <w:rPr>
          <w:rFonts w:ascii="宋体" w:hAnsi="宋体"/>
          <w:b/>
          <w:bCs/>
          <w:color w:val="auto"/>
          <w:szCs w:val="21"/>
          <w:highlight w:val="none"/>
        </w:rPr>
      </w:pPr>
      <w:r>
        <w:rPr>
          <w:rFonts w:hint="eastAsia" w:ascii="宋体" w:hAnsi="宋体"/>
          <w:b/>
          <w:bCs/>
          <w:color w:val="auto"/>
          <w:szCs w:val="21"/>
          <w:highlight w:val="none"/>
        </w:rPr>
        <w:t>第四条  技术工作要求</w:t>
      </w:r>
    </w:p>
    <w:p>
      <w:pPr>
        <w:spacing w:line="400" w:lineRule="exact"/>
        <w:ind w:firstLine="422"/>
        <w:rPr>
          <w:rFonts w:ascii="宋体" w:hAnsi="宋体"/>
          <w:b w:val="0"/>
          <w:bCs w:val="0"/>
          <w:color w:val="auto"/>
          <w:szCs w:val="21"/>
          <w:highlight w:val="none"/>
        </w:rPr>
      </w:pPr>
      <w:r>
        <w:rPr>
          <w:rFonts w:hint="eastAsia" w:ascii="宋体" w:hAnsi="宋体"/>
          <w:b w:val="0"/>
          <w:bCs w:val="0"/>
          <w:color w:val="auto"/>
          <w:szCs w:val="21"/>
          <w:highlight w:val="none"/>
        </w:rPr>
        <w:t>相关法律法规</w:t>
      </w:r>
    </w:p>
    <w:p>
      <w:pPr>
        <w:spacing w:line="400" w:lineRule="exact"/>
        <w:ind w:firstLine="422"/>
        <w:rPr>
          <w:rFonts w:ascii="宋体" w:hAnsi="宋体"/>
          <w:b w:val="0"/>
          <w:bCs w:val="0"/>
          <w:color w:val="auto"/>
          <w:szCs w:val="21"/>
          <w:highlight w:val="none"/>
        </w:rPr>
      </w:pPr>
      <w:r>
        <w:rPr>
          <w:rFonts w:hint="eastAsia" w:ascii="宋体" w:hAnsi="宋体"/>
          <w:b w:val="0"/>
          <w:bCs w:val="0"/>
          <w:color w:val="auto"/>
          <w:szCs w:val="21"/>
          <w:highlight w:val="none"/>
        </w:rPr>
        <w:t>相关法规文件</w:t>
      </w:r>
    </w:p>
    <w:p>
      <w:pPr>
        <w:spacing w:line="400" w:lineRule="exact"/>
        <w:ind w:firstLine="422"/>
        <w:rPr>
          <w:rFonts w:ascii="宋体" w:hAnsi="宋体"/>
          <w:b w:val="0"/>
          <w:bCs w:val="0"/>
          <w:color w:val="auto"/>
          <w:szCs w:val="21"/>
          <w:highlight w:val="none"/>
        </w:rPr>
      </w:pPr>
      <w:r>
        <w:rPr>
          <w:rFonts w:hint="eastAsia" w:ascii="宋体" w:hAnsi="宋体"/>
          <w:b w:val="0"/>
          <w:bCs w:val="0"/>
          <w:color w:val="auto"/>
          <w:szCs w:val="21"/>
          <w:highlight w:val="none"/>
        </w:rPr>
        <w:t>相关行业标准、规程</w:t>
      </w:r>
    </w:p>
    <w:p>
      <w:pPr>
        <w:spacing w:line="400" w:lineRule="exact"/>
        <w:ind w:firstLine="422"/>
        <w:rPr>
          <w:rFonts w:ascii="宋体" w:hAnsi="宋体"/>
          <w:b w:val="0"/>
          <w:bCs w:val="0"/>
          <w:color w:val="auto"/>
          <w:szCs w:val="21"/>
          <w:highlight w:val="none"/>
        </w:rPr>
      </w:pPr>
      <w:r>
        <w:rPr>
          <w:rFonts w:hint="eastAsia" w:ascii="宋体" w:hAnsi="宋体"/>
          <w:b w:val="0"/>
          <w:bCs w:val="0"/>
          <w:color w:val="auto"/>
          <w:szCs w:val="21"/>
          <w:highlight w:val="none"/>
        </w:rPr>
        <w:t>相关规划、资料</w:t>
      </w:r>
    </w:p>
    <w:p>
      <w:pPr>
        <w:spacing w:line="400" w:lineRule="exact"/>
        <w:ind w:firstLine="422"/>
        <w:rPr>
          <w:rFonts w:ascii="宋体" w:hAnsi="宋体"/>
          <w:b/>
          <w:bCs/>
          <w:color w:val="auto"/>
          <w:szCs w:val="21"/>
          <w:highlight w:val="none"/>
        </w:rPr>
      </w:pPr>
      <w:r>
        <w:rPr>
          <w:rFonts w:hint="eastAsia" w:ascii="宋体" w:hAnsi="宋体"/>
          <w:b/>
          <w:bCs/>
          <w:color w:val="auto"/>
          <w:szCs w:val="21"/>
          <w:highlight w:val="none"/>
        </w:rPr>
        <w:t>第五条  项目工程款及支付方式</w:t>
      </w:r>
    </w:p>
    <w:p>
      <w:pPr>
        <w:spacing w:line="400" w:lineRule="exact"/>
        <w:ind w:firstLine="422"/>
        <w:rPr>
          <w:rFonts w:hint="eastAsia"/>
          <w:color w:val="auto"/>
          <w:highlight w:val="none"/>
          <w:lang w:val="en-US" w:eastAsia="zh-CN"/>
        </w:rPr>
      </w:pPr>
      <w:r>
        <w:rPr>
          <w:rFonts w:hint="eastAsia"/>
          <w:color w:val="auto"/>
          <w:highlight w:val="none"/>
          <w:lang w:val="en-US" w:eastAsia="zh-CN"/>
        </w:rPr>
        <w:t>双方自行约定。</w:t>
      </w:r>
    </w:p>
    <w:p>
      <w:pPr>
        <w:spacing w:line="400" w:lineRule="exact"/>
        <w:ind w:firstLine="422"/>
        <w:rPr>
          <w:rFonts w:ascii="宋体" w:hAnsi="宋体"/>
          <w:b/>
          <w:bCs/>
          <w:color w:val="auto"/>
          <w:szCs w:val="21"/>
          <w:highlight w:val="none"/>
        </w:rPr>
      </w:pPr>
      <w:r>
        <w:rPr>
          <w:rFonts w:hint="eastAsia" w:ascii="宋体" w:hAnsi="宋体"/>
          <w:b/>
          <w:bCs/>
          <w:color w:val="auto"/>
          <w:szCs w:val="21"/>
          <w:highlight w:val="none"/>
        </w:rPr>
        <w:t>第六条  服务期限</w:t>
      </w:r>
    </w:p>
    <w:p>
      <w:pPr>
        <w:spacing w:line="400" w:lineRule="exact"/>
        <w:ind w:firstLine="42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自合同签订之日起，按照河南省自然资源厅要求时限完成。</w:t>
      </w:r>
    </w:p>
    <w:p>
      <w:pPr>
        <w:spacing w:line="400" w:lineRule="exact"/>
        <w:ind w:firstLine="422"/>
        <w:rPr>
          <w:rFonts w:ascii="宋体" w:hAnsi="宋体"/>
          <w:b/>
          <w:bCs/>
          <w:color w:val="auto"/>
          <w:szCs w:val="21"/>
          <w:highlight w:val="none"/>
        </w:rPr>
      </w:pPr>
      <w:r>
        <w:rPr>
          <w:rFonts w:hint="eastAsia" w:ascii="宋体" w:hAnsi="宋体"/>
          <w:b/>
          <w:bCs/>
          <w:color w:val="auto"/>
          <w:szCs w:val="21"/>
          <w:highlight w:val="none"/>
        </w:rPr>
        <w:t>第七条  甲方义务与责任</w:t>
      </w:r>
    </w:p>
    <w:p>
      <w:pPr>
        <w:spacing w:line="400" w:lineRule="exact"/>
        <w:ind w:firstLine="420"/>
        <w:rPr>
          <w:rFonts w:ascii="宋体" w:hAnsi="宋体"/>
          <w:color w:val="auto"/>
          <w:szCs w:val="21"/>
          <w:highlight w:val="none"/>
        </w:rPr>
      </w:pPr>
      <w:r>
        <w:rPr>
          <w:rFonts w:hint="eastAsia" w:ascii="宋体" w:hAnsi="宋体"/>
          <w:color w:val="auto"/>
          <w:szCs w:val="21"/>
          <w:highlight w:val="none"/>
        </w:rPr>
        <w:t>1、自合同签订之日起向乙方提交有关资料和提出技术要求。</w:t>
      </w:r>
    </w:p>
    <w:p>
      <w:pPr>
        <w:spacing w:line="400" w:lineRule="exact"/>
        <w:ind w:firstLine="420"/>
        <w:rPr>
          <w:rFonts w:ascii="宋体" w:hAnsi="宋体"/>
          <w:color w:val="auto"/>
          <w:szCs w:val="21"/>
          <w:highlight w:val="none"/>
        </w:rPr>
      </w:pPr>
      <w:r>
        <w:rPr>
          <w:rFonts w:hint="eastAsia" w:ascii="宋体" w:hAnsi="宋体"/>
          <w:color w:val="auto"/>
          <w:szCs w:val="21"/>
          <w:highlight w:val="none"/>
        </w:rPr>
        <w:t>2、为乙方工作提供方便条件和进行必要的配合。</w:t>
      </w:r>
    </w:p>
    <w:p>
      <w:pPr>
        <w:spacing w:line="400" w:lineRule="exact"/>
        <w:ind w:firstLine="420"/>
        <w:rPr>
          <w:rFonts w:ascii="宋体" w:hAnsi="宋体"/>
          <w:color w:val="auto"/>
          <w:szCs w:val="21"/>
          <w:highlight w:val="none"/>
        </w:rPr>
      </w:pPr>
      <w:r>
        <w:rPr>
          <w:rFonts w:hint="eastAsia" w:ascii="宋体" w:hAnsi="宋体"/>
          <w:color w:val="auto"/>
          <w:szCs w:val="21"/>
          <w:highlight w:val="none"/>
        </w:rPr>
        <w:t>3、因甲方原因，不按规定的范围内容和标准而造成质量不合格时，责任由甲方承担，并支付乙方全部工程项目款。</w:t>
      </w:r>
    </w:p>
    <w:p>
      <w:pPr>
        <w:spacing w:line="400" w:lineRule="exact"/>
        <w:ind w:firstLine="420"/>
        <w:rPr>
          <w:rFonts w:ascii="宋体" w:hAnsi="宋体"/>
          <w:color w:val="auto"/>
          <w:szCs w:val="21"/>
          <w:highlight w:val="none"/>
        </w:rPr>
      </w:pPr>
      <w:r>
        <w:rPr>
          <w:rFonts w:hint="eastAsia" w:ascii="宋体" w:hAnsi="宋体"/>
          <w:color w:val="auto"/>
          <w:szCs w:val="21"/>
          <w:highlight w:val="none"/>
        </w:rPr>
        <w:t>4、合同签订后，如甲方擅自中止合同，甲方除按已完成工作量支付项目款，并赔偿总项目款的30%的违约金。</w:t>
      </w:r>
    </w:p>
    <w:p>
      <w:pPr>
        <w:spacing w:line="400" w:lineRule="exact"/>
        <w:ind w:firstLine="422"/>
        <w:rPr>
          <w:rFonts w:ascii="宋体" w:hAnsi="宋体"/>
          <w:b/>
          <w:bCs/>
          <w:color w:val="auto"/>
          <w:szCs w:val="21"/>
          <w:highlight w:val="none"/>
        </w:rPr>
      </w:pPr>
      <w:r>
        <w:rPr>
          <w:rFonts w:hint="eastAsia" w:ascii="宋体" w:hAnsi="宋体"/>
          <w:b/>
          <w:bCs/>
          <w:color w:val="auto"/>
          <w:szCs w:val="21"/>
          <w:highlight w:val="none"/>
        </w:rPr>
        <w:t>第八条  乙方义务与责任</w:t>
      </w:r>
    </w:p>
    <w:p>
      <w:pPr>
        <w:spacing w:line="400" w:lineRule="exact"/>
        <w:ind w:firstLine="420"/>
        <w:rPr>
          <w:rFonts w:ascii="宋体" w:hAnsi="宋体"/>
          <w:color w:val="auto"/>
          <w:szCs w:val="21"/>
          <w:highlight w:val="none"/>
        </w:rPr>
      </w:pPr>
      <w:r>
        <w:rPr>
          <w:rFonts w:hint="eastAsia" w:ascii="宋体" w:hAnsi="宋体"/>
          <w:color w:val="auto"/>
          <w:szCs w:val="21"/>
          <w:highlight w:val="none"/>
        </w:rPr>
        <w:t>1、乙方自合同签订之日起按时组织人员进行作业。</w:t>
      </w:r>
    </w:p>
    <w:p>
      <w:pPr>
        <w:spacing w:line="400" w:lineRule="exact"/>
        <w:ind w:firstLine="420"/>
        <w:rPr>
          <w:rFonts w:ascii="宋体" w:hAnsi="宋体"/>
          <w:color w:val="auto"/>
          <w:szCs w:val="21"/>
          <w:highlight w:val="none"/>
        </w:rPr>
      </w:pPr>
      <w:r>
        <w:rPr>
          <w:rFonts w:hint="eastAsia" w:ascii="宋体" w:hAnsi="宋体"/>
          <w:color w:val="auto"/>
          <w:szCs w:val="21"/>
          <w:highlight w:val="none"/>
        </w:rPr>
        <w:t>2、乙方应当根据有关规程规范要求按合同完成本项目。</w:t>
      </w:r>
    </w:p>
    <w:p>
      <w:pPr>
        <w:spacing w:line="400" w:lineRule="exact"/>
        <w:ind w:firstLine="420"/>
        <w:rPr>
          <w:rFonts w:ascii="宋体" w:hAnsi="宋体"/>
          <w:color w:val="auto"/>
          <w:szCs w:val="21"/>
          <w:highlight w:val="none"/>
        </w:rPr>
      </w:pPr>
      <w:r>
        <w:rPr>
          <w:rFonts w:hint="eastAsia" w:ascii="宋体" w:hAnsi="宋体"/>
          <w:color w:val="auto"/>
          <w:szCs w:val="21"/>
          <w:highlight w:val="none"/>
        </w:rPr>
        <w:t>3、因乙方原因，产品质量不合格时，责任由乙方承担，并负责返工达到合格。</w:t>
      </w:r>
    </w:p>
    <w:p>
      <w:pPr>
        <w:spacing w:line="400" w:lineRule="exact"/>
        <w:ind w:firstLine="420"/>
        <w:rPr>
          <w:rFonts w:ascii="宋体" w:hAnsi="宋体"/>
          <w:color w:val="auto"/>
          <w:szCs w:val="21"/>
          <w:highlight w:val="none"/>
        </w:rPr>
      </w:pPr>
      <w:r>
        <w:rPr>
          <w:rFonts w:hint="eastAsia" w:ascii="宋体" w:hAnsi="宋体"/>
          <w:color w:val="auto"/>
          <w:szCs w:val="21"/>
          <w:highlight w:val="none"/>
        </w:rPr>
        <w:t>4、合同签订后，如乙方擅自中止合同，乙方向甲方支付项目总价款的30%的违约金。</w:t>
      </w:r>
    </w:p>
    <w:p>
      <w:pPr>
        <w:spacing w:line="400" w:lineRule="exact"/>
        <w:ind w:firstLine="422"/>
        <w:rPr>
          <w:rFonts w:ascii="宋体" w:hAnsi="宋体"/>
          <w:b/>
          <w:bCs/>
          <w:color w:val="auto"/>
          <w:szCs w:val="21"/>
          <w:highlight w:val="none"/>
        </w:rPr>
      </w:pPr>
      <w:r>
        <w:rPr>
          <w:rFonts w:hint="eastAsia" w:ascii="宋体" w:hAnsi="宋体"/>
          <w:b/>
          <w:bCs/>
          <w:color w:val="auto"/>
          <w:szCs w:val="21"/>
          <w:highlight w:val="none"/>
        </w:rPr>
        <w:t>第九条  技术成果资料的保密</w:t>
      </w:r>
    </w:p>
    <w:p>
      <w:pPr>
        <w:spacing w:line="400" w:lineRule="exact"/>
        <w:ind w:firstLine="420"/>
        <w:rPr>
          <w:rFonts w:ascii="宋体" w:hAnsi="宋体"/>
          <w:color w:val="auto"/>
          <w:szCs w:val="21"/>
          <w:highlight w:val="none"/>
        </w:rPr>
      </w:pPr>
      <w:r>
        <w:rPr>
          <w:rFonts w:hint="eastAsia" w:ascii="宋体" w:hAnsi="宋体"/>
          <w:color w:val="auto"/>
          <w:szCs w:val="21"/>
          <w:highlight w:val="none"/>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spacing w:line="400" w:lineRule="exact"/>
        <w:ind w:firstLine="422"/>
        <w:rPr>
          <w:rFonts w:ascii="宋体" w:hAnsi="宋体"/>
          <w:b/>
          <w:bCs/>
          <w:color w:val="auto"/>
          <w:szCs w:val="21"/>
          <w:highlight w:val="none"/>
        </w:rPr>
      </w:pPr>
      <w:r>
        <w:rPr>
          <w:rFonts w:hint="eastAsia" w:ascii="宋体" w:hAnsi="宋体"/>
          <w:b/>
          <w:bCs/>
          <w:color w:val="auto"/>
          <w:szCs w:val="21"/>
          <w:highlight w:val="none"/>
        </w:rPr>
        <w:t>第十条  争议解决</w:t>
      </w:r>
    </w:p>
    <w:p>
      <w:pPr>
        <w:spacing w:line="400" w:lineRule="exact"/>
        <w:ind w:firstLine="420"/>
        <w:rPr>
          <w:rFonts w:ascii="宋体" w:hAnsi="宋体"/>
          <w:color w:val="auto"/>
          <w:szCs w:val="21"/>
          <w:highlight w:val="none"/>
        </w:rPr>
      </w:pPr>
      <w:r>
        <w:rPr>
          <w:rFonts w:hint="eastAsia" w:ascii="宋体" w:hAnsi="宋体"/>
          <w:color w:val="auto"/>
          <w:szCs w:val="21"/>
          <w:highlight w:val="none"/>
        </w:rPr>
        <w:t>本合同发生争议时，甲乙双方应及时协商解决。也可由当地行政主管部门调解调解不成时，可由仲裁机构仲裁。双方当事人未在合同中约定仲裁机构，当事人又未达成仲裁书面协议的，可向人民法院起诉。</w:t>
      </w:r>
    </w:p>
    <w:p>
      <w:pPr>
        <w:spacing w:line="400" w:lineRule="exact"/>
        <w:ind w:firstLine="422"/>
        <w:rPr>
          <w:rFonts w:ascii="宋体" w:hAnsi="宋体"/>
          <w:b/>
          <w:bCs/>
          <w:color w:val="auto"/>
          <w:szCs w:val="21"/>
          <w:highlight w:val="none"/>
        </w:rPr>
      </w:pPr>
      <w:r>
        <w:rPr>
          <w:rFonts w:hint="eastAsia" w:ascii="宋体" w:hAnsi="宋体"/>
          <w:b/>
          <w:bCs/>
          <w:color w:val="auto"/>
          <w:szCs w:val="21"/>
          <w:highlight w:val="none"/>
        </w:rPr>
        <w:t>第十一条  其他</w:t>
      </w:r>
    </w:p>
    <w:p>
      <w:pPr>
        <w:spacing w:line="400" w:lineRule="exact"/>
        <w:ind w:firstLine="420"/>
        <w:rPr>
          <w:rFonts w:ascii="宋体" w:hAnsi="宋体"/>
          <w:color w:val="auto"/>
          <w:szCs w:val="21"/>
          <w:highlight w:val="none"/>
        </w:rPr>
      </w:pPr>
      <w:r>
        <w:rPr>
          <w:rFonts w:hint="eastAsia" w:ascii="宋体" w:hAnsi="宋体"/>
          <w:color w:val="auto"/>
          <w:szCs w:val="21"/>
          <w:highlight w:val="none"/>
        </w:rPr>
        <w:t>1、本合同由双方代表签字，或加盖双方公章或合同专用章即生效。</w:t>
      </w:r>
    </w:p>
    <w:p>
      <w:pPr>
        <w:spacing w:line="400" w:lineRule="exact"/>
        <w:ind w:firstLine="420"/>
        <w:rPr>
          <w:rFonts w:ascii="宋体" w:hAnsi="宋体"/>
          <w:color w:val="auto"/>
          <w:szCs w:val="21"/>
          <w:highlight w:val="none"/>
        </w:rPr>
      </w:pPr>
      <w:r>
        <w:rPr>
          <w:rFonts w:hint="eastAsia" w:ascii="宋体" w:hAnsi="宋体"/>
          <w:color w:val="auto"/>
          <w:szCs w:val="21"/>
          <w:highlight w:val="none"/>
        </w:rPr>
        <w:t>2、未尽事宜，经双方协商一致，签订补充协议，补充协议与本合同具有同等效力。</w:t>
      </w:r>
    </w:p>
    <w:p>
      <w:pPr>
        <w:spacing w:line="400" w:lineRule="exact"/>
        <w:ind w:firstLine="420"/>
        <w:rPr>
          <w:rFonts w:ascii="宋体" w:hAnsi="宋体"/>
          <w:color w:val="auto"/>
          <w:szCs w:val="21"/>
          <w:highlight w:val="none"/>
        </w:rPr>
      </w:pPr>
      <w:r>
        <w:rPr>
          <w:rFonts w:hint="eastAsia" w:ascii="宋体" w:hAnsi="宋体"/>
          <w:color w:val="auto"/>
          <w:szCs w:val="21"/>
          <w:highlight w:val="none"/>
        </w:rPr>
        <w:t>3、本合同一式陆份，甲方叁份，乙方叁份，具有同等法律效力。成果资料提交完毕和项目款全部结清后，本合同终止。</w:t>
      </w:r>
    </w:p>
    <w:p>
      <w:pPr>
        <w:spacing w:line="400" w:lineRule="exact"/>
        <w:ind w:firstLine="420"/>
        <w:rPr>
          <w:rFonts w:ascii="宋体" w:hAnsi="宋体"/>
          <w:color w:val="auto"/>
          <w:szCs w:val="21"/>
          <w:highlight w:val="none"/>
        </w:rPr>
      </w:pPr>
      <w:r>
        <w:rPr>
          <w:rFonts w:hint="eastAsia" w:ascii="宋体" w:hAnsi="宋体"/>
          <w:color w:val="auto"/>
          <w:szCs w:val="21"/>
          <w:highlight w:val="none"/>
        </w:rPr>
        <w:t>委托方（甲方）：（盖章）</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受委托方（乙方）：（盖章）</w:t>
      </w:r>
    </w:p>
    <w:p>
      <w:pPr>
        <w:spacing w:line="400" w:lineRule="exact"/>
        <w:ind w:firstLine="420"/>
        <w:rPr>
          <w:rFonts w:ascii="宋体" w:hAnsi="宋体"/>
          <w:color w:val="auto"/>
          <w:szCs w:val="21"/>
          <w:highlight w:val="none"/>
        </w:rPr>
      </w:pPr>
      <w:r>
        <w:rPr>
          <w:rFonts w:hint="eastAsia" w:ascii="宋体" w:hAnsi="宋体"/>
          <w:color w:val="auto"/>
          <w:szCs w:val="21"/>
          <w:highlight w:val="none"/>
        </w:rPr>
        <w:t>法定代表人（签字）：</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法定代表人（签字）：</w:t>
      </w:r>
    </w:p>
    <w:p>
      <w:pPr>
        <w:spacing w:line="400" w:lineRule="exact"/>
        <w:ind w:firstLine="420"/>
        <w:rPr>
          <w:rFonts w:ascii="宋体" w:hAnsi="宋体"/>
          <w:color w:val="auto"/>
          <w:szCs w:val="21"/>
          <w:highlight w:val="none"/>
        </w:rPr>
      </w:pPr>
      <w:r>
        <w:rPr>
          <w:rFonts w:hint="eastAsia" w:ascii="宋体" w:hAnsi="宋体"/>
          <w:color w:val="auto"/>
          <w:szCs w:val="21"/>
          <w:highlight w:val="none"/>
        </w:rPr>
        <w:t>或委托代理人（签字）：</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或委托代理人（签字）：</w:t>
      </w:r>
    </w:p>
    <w:p>
      <w:pPr>
        <w:spacing w:line="400" w:lineRule="exact"/>
        <w:ind w:firstLine="42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地址： </w:t>
      </w:r>
    </w:p>
    <w:p>
      <w:pPr>
        <w:spacing w:line="400" w:lineRule="exact"/>
        <w:ind w:firstLine="420"/>
        <w:rPr>
          <w:rFonts w:ascii="宋体" w:hAnsi="宋体"/>
          <w:color w:val="auto"/>
          <w:szCs w:val="21"/>
          <w:highlight w:val="none"/>
        </w:rPr>
      </w:pPr>
    </w:p>
    <w:p>
      <w:pPr>
        <w:spacing w:line="400" w:lineRule="exact"/>
        <w:ind w:firstLine="420"/>
        <w:rPr>
          <w:rFonts w:ascii="宋体" w:hAnsi="宋体"/>
          <w:color w:val="auto"/>
          <w:szCs w:val="21"/>
          <w:highlight w:val="none"/>
        </w:rPr>
      </w:pPr>
      <w:r>
        <w:rPr>
          <w:rFonts w:hint="eastAsia" w:ascii="宋体" w:hAnsi="宋体"/>
          <w:color w:val="auto"/>
          <w:szCs w:val="21"/>
          <w:highlight w:val="none"/>
        </w:rPr>
        <w:t xml:space="preserve">邮政编码：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联系电话：  </w:t>
      </w:r>
    </w:p>
    <w:p>
      <w:pPr>
        <w:spacing w:line="400" w:lineRule="exact"/>
        <w:ind w:firstLine="420"/>
        <w:rPr>
          <w:rFonts w:ascii="宋体" w:hAnsi="宋体"/>
          <w:color w:val="auto"/>
          <w:szCs w:val="21"/>
          <w:highlight w:val="none"/>
        </w:rPr>
      </w:pPr>
      <w:r>
        <w:rPr>
          <w:rFonts w:hint="eastAsia" w:ascii="宋体" w:hAnsi="宋体"/>
          <w:color w:val="auto"/>
          <w:szCs w:val="21"/>
          <w:highlight w:val="none"/>
        </w:rPr>
        <w:t xml:space="preserve">开 户 行： </w:t>
      </w:r>
    </w:p>
    <w:p>
      <w:pPr>
        <w:spacing w:line="400" w:lineRule="exact"/>
        <w:ind w:firstLine="420"/>
        <w:rPr>
          <w:rFonts w:ascii="宋体" w:hAnsi="宋体"/>
          <w:color w:val="auto"/>
          <w:szCs w:val="21"/>
          <w:highlight w:val="none"/>
        </w:rPr>
      </w:pPr>
      <w:r>
        <w:rPr>
          <w:rFonts w:hint="eastAsia" w:ascii="宋体" w:hAnsi="宋体"/>
          <w:color w:val="auto"/>
          <w:szCs w:val="21"/>
          <w:highlight w:val="none"/>
        </w:rPr>
        <w:t xml:space="preserve">账    号： </w:t>
      </w:r>
    </w:p>
    <w:p>
      <w:pPr>
        <w:pStyle w:val="46"/>
        <w:rPr>
          <w:rFonts w:hAnsi="宋体"/>
          <w:color w:val="auto"/>
          <w:highlight w:val="none"/>
        </w:rPr>
        <w:sectPr>
          <w:headerReference r:id="rId6" w:type="default"/>
          <w:footerReference r:id="rId7" w:type="default"/>
          <w:pgSz w:w="12240" w:h="15840"/>
          <w:pgMar w:top="1417" w:right="1417" w:bottom="1417" w:left="1418" w:header="720" w:footer="720" w:gutter="0"/>
          <w:pgNumType w:fmt="numberInDash"/>
          <w:cols w:space="720" w:num="1"/>
          <w:docGrid w:linePitch="286" w:charSpace="0"/>
        </w:sectPr>
      </w:pPr>
    </w:p>
    <w:bookmarkEnd w:id="1093"/>
    <w:p>
      <w:pPr>
        <w:pStyle w:val="7"/>
        <w:pageBreakBefore w:val="0"/>
        <w:numPr>
          <w:ilvl w:val="0"/>
          <w:numId w:val="5"/>
        </w:numPr>
        <w:kinsoku/>
        <w:overflowPunct/>
        <w:bidi w:val="0"/>
        <w:spacing w:line="400" w:lineRule="exact"/>
        <w:ind w:firstLine="0" w:firstLineChars="0"/>
        <w:rPr>
          <w:rFonts w:ascii="宋体" w:hAnsi="宋体" w:eastAsia="宋体" w:cs="宋体"/>
          <w:color w:val="auto"/>
          <w:szCs w:val="21"/>
          <w:highlight w:val="none"/>
        </w:rPr>
      </w:pPr>
      <w:bookmarkStart w:id="1097" w:name="_Toc4703"/>
      <w:r>
        <w:rPr>
          <w:rFonts w:hint="eastAsia" w:ascii="宋体" w:hAnsi="宋体" w:cs="宋体"/>
          <w:color w:val="auto"/>
          <w:sz w:val="28"/>
          <w:szCs w:val="28"/>
          <w:highlight w:val="none"/>
        </w:rPr>
        <w:t>采购项目要求</w:t>
      </w:r>
      <w:bookmarkEnd w:id="1097"/>
    </w:p>
    <w:p>
      <w:pPr>
        <w:keepNext w:val="0"/>
        <w:keepLines w:val="0"/>
        <w:pageBreakBefore w:val="0"/>
        <w:widowControl/>
        <w:suppressLineNumbers w:val="0"/>
        <w:kinsoku/>
        <w:overflowPunct/>
        <w:bidi w:val="0"/>
        <w:ind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（一）工作内容：信阳市浉河区自然资源局关于编制浉河区2022年第一批土地征收成片开发方案项目，</w:t>
      </w:r>
      <w:r>
        <w:rPr>
          <w:rFonts w:hint="eastAsia" w:ascii="宋体" w:hAnsi="宋体" w:cs="宋体"/>
          <w:color w:val="auto"/>
          <w:szCs w:val="21"/>
          <w:highlight w:val="none"/>
          <w:lang w:val="en-US" w:eastAsia="zh-CN"/>
        </w:rPr>
        <w:t>涉及浉河区2022年、2023年两个年度土地征收成片开发方案。</w:t>
      </w:r>
      <w:r>
        <w:rPr>
          <w:rFonts w:hint="eastAsia" w:ascii="宋体" w:hAnsi="宋体" w:eastAsia="宋体" w:cs="宋体"/>
          <w:color w:val="auto"/>
          <w:szCs w:val="21"/>
          <w:highlight w:val="none"/>
        </w:rPr>
        <w:t>主要包括1、拟征收部分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确定范围线、片区功能及用途确定、拟建项目、开发时序和年度实施计划</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拟征收之外其他部分</w:t>
      </w:r>
      <w:r>
        <w:rPr>
          <w:rFonts w:hint="eastAsia" w:ascii="宋体" w:hAnsi="宋体" w:eastAsia="宋体" w:cs="宋体"/>
          <w:color w:val="auto"/>
          <w:szCs w:val="21"/>
          <w:highlight w:val="none"/>
          <w:lang w:eastAsia="zh-CN"/>
        </w:rPr>
        <w:t>：方案规划文本、图集、数据库编制；</w:t>
      </w:r>
      <w:r>
        <w:rPr>
          <w:rFonts w:hint="eastAsia" w:ascii="宋体" w:hAnsi="宋体" w:eastAsia="宋体" w:cs="宋体"/>
          <w:color w:val="auto"/>
          <w:szCs w:val="21"/>
          <w:highlight w:val="none"/>
        </w:rPr>
        <w:t>3、勘测定界资料编制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4、方案上报审批等</w:t>
      </w:r>
      <w:r>
        <w:rPr>
          <w:rFonts w:hint="eastAsia" w:ascii="宋体" w:hAnsi="宋体" w:eastAsia="宋体" w:cs="宋体"/>
          <w:color w:val="auto"/>
          <w:szCs w:val="21"/>
          <w:highlight w:val="none"/>
          <w:lang w:eastAsia="zh-CN"/>
        </w:rPr>
        <w:t>；</w:t>
      </w:r>
    </w:p>
    <w:p>
      <w:pPr>
        <w:keepNext w:val="0"/>
        <w:keepLines w:val="0"/>
        <w:pageBreakBefore w:val="0"/>
        <w:widowControl/>
        <w:suppressLineNumbers w:val="0"/>
        <w:kinsoku/>
        <w:overflowPunct/>
        <w:bidi w:val="0"/>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 xml:space="preserve">（二）服务期限：自合同签订之日起，按照河南省自然资源厅要求时限完成 </w:t>
      </w:r>
    </w:p>
    <w:p>
      <w:pPr>
        <w:keepNext w:val="0"/>
        <w:keepLines w:val="0"/>
        <w:pageBreakBefore w:val="0"/>
        <w:widowControl/>
        <w:suppressLineNumbers w:val="0"/>
        <w:kinsoku/>
        <w:overflowPunct/>
        <w:bidi w:val="0"/>
        <w:ind w:firstLine="0" w:firstLineChars="0"/>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 xml:space="preserve">（三）质量要求：满足国家、省、市相关技术要求 </w:t>
      </w:r>
    </w:p>
    <w:p>
      <w:pPr>
        <w:pStyle w:val="3"/>
        <w:rPr>
          <w:rFonts w:hint="eastAsia" w:ascii="宋体" w:hAnsi="宋体" w:eastAsia="宋体" w:cs="宋体"/>
          <w:b w:val="0"/>
          <w:bCs w:val="0"/>
          <w:color w:val="auto"/>
          <w:kern w:val="0"/>
          <w:sz w:val="20"/>
          <w:szCs w:val="20"/>
          <w:highlight w:val="none"/>
          <w:lang w:val="en-US" w:eastAsia="zh-CN" w:bidi="ar"/>
        </w:rPr>
      </w:pPr>
    </w:p>
    <w:p>
      <w:pPr>
        <w:pStyle w:val="46"/>
        <w:rPr>
          <w:rFonts w:hint="eastAsia" w:ascii="宋体" w:hAnsi="宋体" w:eastAsia="宋体" w:cs="宋体"/>
          <w:b w:val="0"/>
          <w:bCs w:val="0"/>
          <w:color w:val="auto"/>
          <w:kern w:val="0"/>
          <w:sz w:val="20"/>
          <w:szCs w:val="20"/>
          <w:highlight w:val="none"/>
          <w:lang w:val="en-US" w:eastAsia="zh-CN" w:bidi="ar"/>
        </w:rPr>
      </w:pPr>
    </w:p>
    <w:p>
      <w:pPr>
        <w:rPr>
          <w:rFonts w:hint="eastAsia" w:ascii="宋体" w:hAnsi="宋体" w:eastAsia="宋体" w:cs="宋体"/>
          <w:b w:val="0"/>
          <w:bCs w:val="0"/>
          <w:color w:val="auto"/>
          <w:kern w:val="0"/>
          <w:sz w:val="20"/>
          <w:szCs w:val="20"/>
          <w:highlight w:val="none"/>
          <w:lang w:val="en-US" w:eastAsia="zh-CN" w:bidi="ar"/>
        </w:rPr>
      </w:pPr>
    </w:p>
    <w:p>
      <w:pPr>
        <w:pStyle w:val="3"/>
        <w:rPr>
          <w:rFonts w:hint="eastAsia" w:ascii="宋体" w:hAnsi="宋体" w:eastAsia="宋体" w:cs="宋体"/>
          <w:b w:val="0"/>
          <w:bCs w:val="0"/>
          <w:color w:val="auto"/>
          <w:kern w:val="0"/>
          <w:sz w:val="20"/>
          <w:szCs w:val="20"/>
          <w:highlight w:val="none"/>
          <w:lang w:val="en-US" w:eastAsia="zh-CN" w:bidi="ar"/>
        </w:rPr>
      </w:pPr>
    </w:p>
    <w:p>
      <w:pPr>
        <w:pStyle w:val="46"/>
        <w:rPr>
          <w:rFonts w:hint="eastAsia" w:ascii="宋体" w:hAnsi="宋体" w:eastAsia="宋体" w:cs="宋体"/>
          <w:b w:val="0"/>
          <w:bCs w:val="0"/>
          <w:color w:val="auto"/>
          <w:kern w:val="0"/>
          <w:sz w:val="20"/>
          <w:szCs w:val="20"/>
          <w:highlight w:val="none"/>
          <w:lang w:val="en-US" w:eastAsia="zh-CN" w:bidi="ar"/>
        </w:rPr>
      </w:pPr>
    </w:p>
    <w:p>
      <w:pPr>
        <w:rPr>
          <w:rFonts w:hint="eastAsia" w:ascii="宋体" w:hAnsi="宋体" w:eastAsia="宋体" w:cs="宋体"/>
          <w:b w:val="0"/>
          <w:bCs w:val="0"/>
          <w:color w:val="auto"/>
          <w:kern w:val="0"/>
          <w:sz w:val="20"/>
          <w:szCs w:val="20"/>
          <w:highlight w:val="none"/>
          <w:lang w:val="en-US" w:eastAsia="zh-CN" w:bidi="ar"/>
        </w:rPr>
      </w:pPr>
    </w:p>
    <w:p>
      <w:pPr>
        <w:pStyle w:val="3"/>
        <w:rPr>
          <w:rFonts w:hint="eastAsia" w:ascii="宋体" w:hAnsi="宋体" w:eastAsia="宋体" w:cs="宋体"/>
          <w:b w:val="0"/>
          <w:bCs w:val="0"/>
          <w:color w:val="auto"/>
          <w:kern w:val="0"/>
          <w:sz w:val="20"/>
          <w:szCs w:val="20"/>
          <w:highlight w:val="none"/>
          <w:lang w:val="en-US" w:eastAsia="zh-CN" w:bidi="ar"/>
        </w:rPr>
      </w:pPr>
    </w:p>
    <w:p>
      <w:pPr>
        <w:pStyle w:val="46"/>
        <w:rPr>
          <w:rFonts w:hint="eastAsia" w:ascii="宋体" w:hAnsi="宋体" w:eastAsia="宋体" w:cs="宋体"/>
          <w:b w:val="0"/>
          <w:bCs w:val="0"/>
          <w:color w:val="auto"/>
          <w:kern w:val="0"/>
          <w:sz w:val="20"/>
          <w:szCs w:val="20"/>
          <w:highlight w:val="none"/>
          <w:lang w:val="en-US" w:eastAsia="zh-CN" w:bidi="ar"/>
        </w:rPr>
      </w:pPr>
    </w:p>
    <w:p>
      <w:pPr>
        <w:rPr>
          <w:rFonts w:hint="eastAsia" w:ascii="宋体" w:hAnsi="宋体" w:eastAsia="宋体" w:cs="宋体"/>
          <w:b w:val="0"/>
          <w:bCs w:val="0"/>
          <w:color w:val="auto"/>
          <w:kern w:val="0"/>
          <w:sz w:val="20"/>
          <w:szCs w:val="20"/>
          <w:highlight w:val="none"/>
          <w:lang w:val="en-US" w:eastAsia="zh-CN" w:bidi="ar"/>
        </w:rPr>
      </w:pPr>
    </w:p>
    <w:p>
      <w:pPr>
        <w:pStyle w:val="3"/>
        <w:rPr>
          <w:rFonts w:hint="eastAsia" w:ascii="宋体" w:hAnsi="宋体" w:eastAsia="宋体" w:cs="宋体"/>
          <w:b w:val="0"/>
          <w:bCs w:val="0"/>
          <w:color w:val="auto"/>
          <w:kern w:val="0"/>
          <w:sz w:val="20"/>
          <w:szCs w:val="20"/>
          <w:highlight w:val="none"/>
          <w:lang w:val="en-US" w:eastAsia="zh-CN" w:bidi="ar"/>
        </w:rPr>
      </w:pPr>
    </w:p>
    <w:p>
      <w:pPr>
        <w:pStyle w:val="46"/>
        <w:rPr>
          <w:rFonts w:hint="eastAsia" w:ascii="宋体" w:hAnsi="宋体" w:eastAsia="宋体" w:cs="宋体"/>
          <w:b w:val="0"/>
          <w:bCs w:val="0"/>
          <w:color w:val="auto"/>
          <w:kern w:val="0"/>
          <w:sz w:val="20"/>
          <w:szCs w:val="20"/>
          <w:highlight w:val="none"/>
          <w:lang w:val="en-US" w:eastAsia="zh-CN" w:bidi="ar"/>
        </w:rPr>
      </w:pPr>
    </w:p>
    <w:p>
      <w:pPr>
        <w:rPr>
          <w:rFonts w:hint="eastAsia" w:ascii="宋体" w:hAnsi="宋体" w:eastAsia="宋体" w:cs="宋体"/>
          <w:b w:val="0"/>
          <w:bCs w:val="0"/>
          <w:color w:val="auto"/>
          <w:kern w:val="0"/>
          <w:sz w:val="20"/>
          <w:szCs w:val="20"/>
          <w:highlight w:val="none"/>
          <w:lang w:val="en-US" w:eastAsia="zh-CN" w:bidi="ar"/>
        </w:rPr>
      </w:pPr>
    </w:p>
    <w:p>
      <w:pPr>
        <w:pStyle w:val="3"/>
        <w:rPr>
          <w:rFonts w:hint="eastAsia" w:ascii="宋体" w:hAnsi="宋体" w:eastAsia="宋体" w:cs="宋体"/>
          <w:b w:val="0"/>
          <w:bCs w:val="0"/>
          <w:color w:val="auto"/>
          <w:kern w:val="0"/>
          <w:sz w:val="20"/>
          <w:szCs w:val="20"/>
          <w:highlight w:val="none"/>
          <w:lang w:val="en-US" w:eastAsia="zh-CN" w:bidi="ar"/>
        </w:rPr>
      </w:pPr>
    </w:p>
    <w:p>
      <w:pPr>
        <w:pStyle w:val="46"/>
        <w:rPr>
          <w:rFonts w:hint="eastAsia" w:ascii="宋体" w:hAnsi="宋体" w:eastAsia="宋体" w:cs="宋体"/>
          <w:b w:val="0"/>
          <w:bCs w:val="0"/>
          <w:color w:val="auto"/>
          <w:kern w:val="0"/>
          <w:sz w:val="20"/>
          <w:szCs w:val="20"/>
          <w:highlight w:val="none"/>
          <w:lang w:val="en-US" w:eastAsia="zh-CN" w:bidi="ar"/>
        </w:rPr>
      </w:pPr>
    </w:p>
    <w:p>
      <w:pPr>
        <w:rPr>
          <w:rFonts w:hint="eastAsia" w:ascii="宋体" w:hAnsi="宋体" w:eastAsia="宋体" w:cs="宋体"/>
          <w:b w:val="0"/>
          <w:bCs w:val="0"/>
          <w:color w:val="auto"/>
          <w:kern w:val="0"/>
          <w:sz w:val="20"/>
          <w:szCs w:val="20"/>
          <w:highlight w:val="none"/>
          <w:lang w:val="en-US" w:eastAsia="zh-CN" w:bidi="ar"/>
        </w:rPr>
      </w:pPr>
    </w:p>
    <w:bookmarkEnd w:id="1094"/>
    <w:bookmarkEnd w:id="1095"/>
    <w:bookmarkEnd w:id="1096"/>
    <w:p>
      <w:pPr>
        <w:pStyle w:val="7"/>
        <w:pageBreakBefore w:val="0"/>
        <w:kinsoku/>
        <w:overflowPunct/>
        <w:bidi w:val="0"/>
        <w:spacing w:line="400" w:lineRule="exact"/>
        <w:ind w:firstLine="0" w:firstLineChars="0"/>
        <w:rPr>
          <w:rFonts w:ascii="宋体" w:hAnsi="宋体" w:eastAsia="宋体" w:cs="宋体"/>
          <w:bCs w:val="0"/>
          <w:color w:val="auto"/>
          <w:sz w:val="28"/>
          <w:szCs w:val="28"/>
          <w:highlight w:val="none"/>
        </w:rPr>
      </w:pPr>
      <w:bookmarkStart w:id="1098" w:name="_Toc12248"/>
      <w:r>
        <w:rPr>
          <w:rFonts w:hint="eastAsia" w:ascii="宋体" w:hAnsi="宋体" w:cs="宋体"/>
          <w:bCs w:val="0"/>
          <w:color w:val="auto"/>
          <w:sz w:val="28"/>
          <w:szCs w:val="28"/>
          <w:highlight w:val="none"/>
        </w:rPr>
        <w:t>第六章  竞争性磋商响应文件格式</w:t>
      </w:r>
      <w:bookmarkEnd w:id="1098"/>
    </w:p>
    <w:p>
      <w:pPr>
        <w:pageBreakBefore w:val="0"/>
        <w:kinsoku/>
        <w:overflowPunct/>
        <w:bidi w:val="0"/>
        <w:spacing w:line="400" w:lineRule="exact"/>
        <w:ind w:firstLine="0" w:firstLineChars="0"/>
        <w:rPr>
          <w:rFonts w:ascii="宋体" w:hAnsi="宋体" w:cs="宋体"/>
          <w:color w:val="auto"/>
          <w:highlight w:val="none"/>
        </w:rPr>
      </w:pPr>
    </w:p>
    <w:p>
      <w:pPr>
        <w:pageBreakBefore w:val="0"/>
        <w:kinsoku/>
        <w:overflowPunct/>
        <w:bidi w:val="0"/>
        <w:spacing w:line="440" w:lineRule="exact"/>
        <w:ind w:firstLine="0" w:firstLineChars="0"/>
        <w:jc w:val="right"/>
        <w:rPr>
          <w:rFonts w:ascii="宋体" w:hAnsi="宋体" w:cs="宋体"/>
          <w:color w:val="auto"/>
          <w:sz w:val="24"/>
          <w:highlight w:val="none"/>
          <w:bdr w:val="single" w:color="auto" w:sz="4" w:space="0"/>
        </w:rPr>
      </w:pPr>
    </w:p>
    <w:p>
      <w:pPr>
        <w:pageBreakBefore w:val="0"/>
        <w:kinsoku/>
        <w:overflowPunct/>
        <w:bidi w:val="0"/>
        <w:spacing w:line="440" w:lineRule="exact"/>
        <w:ind w:firstLine="0" w:firstLineChars="0"/>
        <w:rPr>
          <w:rFonts w:ascii="宋体" w:hAnsi="宋体" w:cs="宋体"/>
          <w:color w:val="auto"/>
          <w:sz w:val="24"/>
          <w:highlight w:val="none"/>
        </w:rPr>
      </w:pPr>
    </w:p>
    <w:p>
      <w:pPr>
        <w:pageBreakBefore w:val="0"/>
        <w:kinsoku/>
        <w:overflowPunct/>
        <w:bidi w:val="0"/>
        <w:ind w:firstLine="0" w:firstLineChars="0"/>
        <w:jc w:val="center"/>
        <w:rPr>
          <w:rFonts w:ascii="宋体" w:hAnsi="宋体" w:eastAsia="宋体" w:cs="宋体"/>
          <w:b/>
          <w:bCs/>
          <w:color w:val="auto"/>
          <w:sz w:val="30"/>
          <w:szCs w:val="30"/>
          <w:highlight w:val="none"/>
        </w:rPr>
      </w:pPr>
      <w:r>
        <w:rPr>
          <w:rFonts w:hint="eastAsia" w:ascii="宋体" w:hAnsi="宋体" w:cs="宋体"/>
          <w:b/>
          <w:bCs/>
          <w:color w:val="auto"/>
          <w:sz w:val="30"/>
          <w:szCs w:val="30"/>
          <w:highlight w:val="none"/>
          <w:u w:val="single"/>
        </w:rPr>
        <w:t>（项目名称）</w:t>
      </w:r>
      <w:r>
        <w:rPr>
          <w:rFonts w:hint="eastAsia" w:ascii="宋体" w:hAnsi="宋体" w:cs="宋体"/>
          <w:b/>
          <w:bCs/>
          <w:color w:val="auto"/>
          <w:sz w:val="30"/>
          <w:szCs w:val="30"/>
          <w:highlight w:val="none"/>
        </w:rPr>
        <w:t>竞争性磋商</w:t>
      </w:r>
    </w:p>
    <w:p>
      <w:pPr>
        <w:pageBreakBefore w:val="0"/>
        <w:kinsoku/>
        <w:overflowPunct/>
        <w:bidi w:val="0"/>
        <w:ind w:firstLine="0" w:firstLineChars="0"/>
        <w:jc w:val="center"/>
        <w:rPr>
          <w:rFonts w:ascii="宋体" w:hAnsi="宋体" w:cs="宋体"/>
          <w:color w:val="auto"/>
          <w:sz w:val="28"/>
          <w:szCs w:val="28"/>
          <w:highlight w:val="none"/>
        </w:rPr>
      </w:pPr>
    </w:p>
    <w:p>
      <w:pPr>
        <w:pageBreakBefore w:val="0"/>
        <w:kinsoku/>
        <w:overflowPunct/>
        <w:bidi w:val="0"/>
        <w:spacing w:line="1000" w:lineRule="exact"/>
        <w:ind w:firstLine="0" w:firstLineChars="0"/>
        <w:jc w:val="center"/>
        <w:rPr>
          <w:rFonts w:ascii="宋体" w:hAnsi="宋体" w:cs="宋体"/>
          <w:color w:val="auto"/>
          <w:sz w:val="28"/>
          <w:szCs w:val="28"/>
          <w:highlight w:val="none"/>
        </w:rPr>
      </w:pPr>
    </w:p>
    <w:p>
      <w:pPr>
        <w:pageBreakBefore w:val="0"/>
        <w:kinsoku/>
        <w:overflowPunct/>
        <w:bidi w:val="0"/>
        <w:spacing w:line="1000" w:lineRule="exact"/>
        <w:ind w:firstLine="0" w:firstLineChars="0"/>
        <w:jc w:val="center"/>
        <w:rPr>
          <w:rFonts w:ascii="宋体" w:hAnsi="宋体" w:cs="宋体"/>
          <w:color w:val="auto"/>
          <w:sz w:val="72"/>
          <w:szCs w:val="84"/>
          <w:highlight w:val="none"/>
        </w:rPr>
      </w:pPr>
      <w:r>
        <w:rPr>
          <w:rFonts w:hint="eastAsia" w:ascii="宋体" w:hAnsi="宋体" w:cs="宋体"/>
          <w:b/>
          <w:bCs/>
          <w:color w:val="auto"/>
          <w:sz w:val="72"/>
          <w:szCs w:val="84"/>
          <w:highlight w:val="none"/>
        </w:rPr>
        <w:t>响 应 文 件</w:t>
      </w:r>
    </w:p>
    <w:p>
      <w:pPr>
        <w:pageBreakBefore w:val="0"/>
        <w:kinsoku/>
        <w:overflowPunct/>
        <w:bidi w:val="0"/>
        <w:spacing w:line="1000" w:lineRule="exact"/>
        <w:ind w:firstLine="0" w:firstLineChars="0"/>
        <w:rPr>
          <w:rFonts w:ascii="宋体" w:hAnsi="宋体" w:cs="宋体"/>
          <w:color w:val="auto"/>
          <w:sz w:val="28"/>
          <w:szCs w:val="28"/>
          <w:highlight w:val="none"/>
        </w:rPr>
      </w:pPr>
    </w:p>
    <w:p>
      <w:pPr>
        <w:pageBreakBefore w:val="0"/>
        <w:kinsoku/>
        <w:overflowPunct/>
        <w:bidi w:val="0"/>
        <w:spacing w:line="400" w:lineRule="exact"/>
        <w:ind w:firstLine="0" w:firstLineChars="0"/>
        <w:rPr>
          <w:rFonts w:ascii="宋体" w:hAnsi="宋体" w:cs="宋体"/>
          <w:color w:val="auto"/>
          <w:sz w:val="28"/>
          <w:szCs w:val="28"/>
          <w:highlight w:val="none"/>
        </w:rPr>
      </w:pPr>
    </w:p>
    <w:p>
      <w:pPr>
        <w:pageBreakBefore w:val="0"/>
        <w:kinsoku/>
        <w:overflowPunct/>
        <w:bidi w:val="0"/>
        <w:spacing w:line="400" w:lineRule="exact"/>
        <w:ind w:firstLine="0" w:firstLineChars="0"/>
        <w:rPr>
          <w:rFonts w:ascii="宋体" w:hAnsi="宋体" w:cs="宋体"/>
          <w:color w:val="auto"/>
          <w:sz w:val="28"/>
          <w:szCs w:val="28"/>
          <w:highlight w:val="none"/>
        </w:rPr>
      </w:pPr>
    </w:p>
    <w:p>
      <w:pPr>
        <w:pageBreakBefore w:val="0"/>
        <w:kinsoku/>
        <w:overflowPunct/>
        <w:bidi w:val="0"/>
        <w:spacing w:line="400" w:lineRule="exact"/>
        <w:ind w:firstLine="0" w:firstLineChars="0"/>
        <w:rPr>
          <w:rFonts w:ascii="宋体" w:hAnsi="宋体" w:cs="宋体"/>
          <w:color w:val="auto"/>
          <w:sz w:val="28"/>
          <w:szCs w:val="28"/>
          <w:highlight w:val="none"/>
        </w:rPr>
      </w:pPr>
    </w:p>
    <w:p>
      <w:pPr>
        <w:pageBreakBefore w:val="0"/>
        <w:kinsoku/>
        <w:overflowPunct/>
        <w:bidi w:val="0"/>
        <w:spacing w:line="400" w:lineRule="exact"/>
        <w:ind w:firstLine="0" w:firstLineChars="0"/>
        <w:rPr>
          <w:rFonts w:ascii="宋体" w:hAnsi="宋体" w:cs="宋体"/>
          <w:color w:val="auto"/>
          <w:sz w:val="28"/>
          <w:szCs w:val="28"/>
          <w:highlight w:val="none"/>
        </w:rPr>
      </w:pPr>
    </w:p>
    <w:p>
      <w:pPr>
        <w:pageBreakBefore w:val="0"/>
        <w:kinsoku/>
        <w:overflowPunct/>
        <w:bidi w:val="0"/>
        <w:spacing w:line="400" w:lineRule="exact"/>
        <w:ind w:firstLine="0" w:firstLineChars="0"/>
        <w:rPr>
          <w:rFonts w:ascii="宋体" w:hAnsi="宋体" w:cs="宋体"/>
          <w:color w:val="auto"/>
          <w:sz w:val="28"/>
          <w:szCs w:val="28"/>
          <w:highlight w:val="none"/>
        </w:rPr>
      </w:pPr>
    </w:p>
    <w:p>
      <w:pPr>
        <w:pageBreakBefore w:val="0"/>
        <w:kinsoku/>
        <w:overflowPunct/>
        <w:bidi w:val="0"/>
        <w:spacing w:line="400" w:lineRule="exact"/>
        <w:ind w:firstLine="0" w:firstLineChars="0"/>
        <w:rPr>
          <w:rFonts w:ascii="宋体" w:hAnsi="宋体" w:cs="宋体"/>
          <w:color w:val="auto"/>
          <w:sz w:val="28"/>
          <w:szCs w:val="28"/>
          <w:highlight w:val="none"/>
        </w:rPr>
      </w:pPr>
    </w:p>
    <w:p>
      <w:pPr>
        <w:pageBreakBefore w:val="0"/>
        <w:kinsoku/>
        <w:overflowPunct/>
        <w:bidi w:val="0"/>
        <w:spacing w:line="400" w:lineRule="exact"/>
        <w:ind w:firstLine="0" w:firstLineChars="0"/>
        <w:rPr>
          <w:rFonts w:ascii="宋体" w:hAnsi="宋体" w:cs="宋体"/>
          <w:color w:val="auto"/>
          <w:sz w:val="28"/>
          <w:szCs w:val="28"/>
          <w:highlight w:val="none"/>
        </w:rPr>
      </w:pPr>
    </w:p>
    <w:p>
      <w:pPr>
        <w:pStyle w:val="3"/>
        <w:pageBreakBefore w:val="0"/>
        <w:kinsoku/>
        <w:overflowPunct/>
        <w:bidi w:val="0"/>
        <w:ind w:firstLine="0" w:firstLineChars="0"/>
        <w:rPr>
          <w:rFonts w:ascii="宋体" w:hAnsi="宋体" w:cs="宋体"/>
          <w:color w:val="auto"/>
          <w:sz w:val="28"/>
          <w:szCs w:val="28"/>
          <w:highlight w:val="none"/>
        </w:rPr>
      </w:pPr>
    </w:p>
    <w:p>
      <w:pPr>
        <w:pageBreakBefore w:val="0"/>
        <w:kinsoku/>
        <w:overflowPunct/>
        <w:bidi w:val="0"/>
        <w:spacing w:line="400" w:lineRule="exact"/>
        <w:ind w:firstLine="0" w:firstLineChars="0"/>
        <w:rPr>
          <w:rFonts w:ascii="宋体" w:hAnsi="宋体" w:cs="宋体"/>
          <w:color w:val="auto"/>
          <w:sz w:val="28"/>
          <w:szCs w:val="28"/>
          <w:highlight w:val="none"/>
        </w:rPr>
      </w:pPr>
    </w:p>
    <w:p>
      <w:pPr>
        <w:pageBreakBefore w:val="0"/>
        <w:kinsoku/>
        <w:overflowPunct/>
        <w:bidi w:val="0"/>
        <w:spacing w:line="400" w:lineRule="exact"/>
        <w:ind w:firstLine="0" w:firstLineChars="0"/>
        <w:rPr>
          <w:rFonts w:ascii="宋体" w:hAnsi="宋体" w:cs="宋体"/>
          <w:color w:val="auto"/>
          <w:sz w:val="28"/>
          <w:szCs w:val="28"/>
          <w:highlight w:val="none"/>
        </w:rPr>
      </w:pPr>
    </w:p>
    <w:p>
      <w:pPr>
        <w:pageBreakBefore w:val="0"/>
        <w:kinsoku/>
        <w:overflowPunct/>
        <w:bidi w:val="0"/>
        <w:spacing w:line="48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供应商： （单位电子签章）</w:t>
      </w:r>
    </w:p>
    <w:p>
      <w:pPr>
        <w:pageBreakBefore w:val="0"/>
        <w:kinsoku/>
        <w:overflowPunct/>
        <w:bidi w:val="0"/>
        <w:spacing w:line="48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法定代表人或其委托代理人：（电子签名或盖章）</w:t>
      </w:r>
    </w:p>
    <w:p>
      <w:pPr>
        <w:pageBreakBefore w:val="0"/>
        <w:kinsoku/>
        <w:overflowPunct/>
        <w:bidi w:val="0"/>
        <w:spacing w:line="48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bookmarkStart w:id="1099" w:name="_Toc144974856"/>
      <w:bookmarkStart w:id="1100" w:name="_Toc466298157"/>
      <w:bookmarkStart w:id="1101" w:name="_Toc152045787"/>
      <w:bookmarkStart w:id="1102" w:name="_Toc20198"/>
      <w:bookmarkStart w:id="1103" w:name="_Toc8978"/>
      <w:bookmarkStart w:id="1104" w:name="_Toc152042576"/>
      <w:bookmarkStart w:id="1105" w:name="_Toc13651"/>
    </w:p>
    <w:p>
      <w:pPr>
        <w:pStyle w:val="2"/>
        <w:pageBreakBefore w:val="0"/>
        <w:kinsoku/>
        <w:overflowPunct/>
        <w:bidi w:val="0"/>
        <w:ind w:firstLine="0" w:firstLineChars="0"/>
        <w:rPr>
          <w:color w:val="auto"/>
          <w:highlight w:val="none"/>
        </w:rPr>
      </w:pPr>
    </w:p>
    <w:p>
      <w:pPr>
        <w:pStyle w:val="67"/>
        <w:pageBreakBefore w:val="0"/>
        <w:kinsoku/>
        <w:overflowPunct/>
        <w:bidi w:val="0"/>
        <w:ind w:firstLine="0" w:firstLineChars="0"/>
        <w:jc w:val="center"/>
        <w:rPr>
          <w:rFonts w:ascii="宋体" w:hAnsi="宋体" w:eastAsia="宋体"/>
          <w:color w:val="auto"/>
          <w:sz w:val="32"/>
          <w:szCs w:val="32"/>
          <w:highlight w:val="none"/>
        </w:rPr>
      </w:pPr>
      <w:bookmarkStart w:id="1106" w:name="_Toc17506"/>
      <w:bookmarkStart w:id="1107" w:name="_Toc5177"/>
      <w:r>
        <w:rPr>
          <w:rFonts w:hint="eastAsia" w:ascii="宋体" w:hAnsi="宋体" w:eastAsia="宋体"/>
          <w:color w:val="auto"/>
          <w:sz w:val="32"/>
          <w:szCs w:val="32"/>
          <w:highlight w:val="none"/>
        </w:rPr>
        <w:t>目    录</w:t>
      </w:r>
      <w:bookmarkEnd w:id="1099"/>
      <w:bookmarkEnd w:id="1100"/>
      <w:bookmarkEnd w:id="1101"/>
      <w:bookmarkEnd w:id="1102"/>
      <w:bookmarkEnd w:id="1103"/>
      <w:bookmarkEnd w:id="1104"/>
      <w:bookmarkEnd w:id="1105"/>
      <w:bookmarkEnd w:id="1106"/>
      <w:bookmarkEnd w:id="1107"/>
    </w:p>
    <w:p>
      <w:pPr>
        <w:pageBreakBefore w:val="0"/>
        <w:kinsoku/>
        <w:overflowPunct/>
        <w:bidi w:val="0"/>
        <w:spacing w:line="540" w:lineRule="exact"/>
        <w:ind w:firstLine="0" w:firstLineChars="0"/>
        <w:rPr>
          <w:rFonts w:ascii="宋体" w:hAnsi="宋体" w:cs="宋体"/>
          <w:color w:val="auto"/>
          <w:sz w:val="24"/>
          <w:szCs w:val="32"/>
          <w:highlight w:val="none"/>
        </w:rPr>
      </w:pPr>
    </w:p>
    <w:p>
      <w:pPr>
        <w:pStyle w:val="13"/>
        <w:numPr>
          <w:ilvl w:val="0"/>
          <w:numId w:val="6"/>
        </w:numPr>
        <w:spacing w:before="156" w:after="156" w:line="360" w:lineRule="exact"/>
        <w:ind w:firstLine="560"/>
        <w:rPr>
          <w:rFonts w:hint="eastAsia" w:ascii="宋体" w:hAnsi="宋体" w:cs="宋体"/>
          <w:color w:val="auto"/>
          <w:highlight w:val="none"/>
        </w:rPr>
      </w:pPr>
      <w:bookmarkStart w:id="1108" w:name="_Toc4900"/>
      <w:bookmarkStart w:id="1109" w:name="_Toc23260"/>
      <w:bookmarkStart w:id="1110" w:name="_Toc1039"/>
      <w:bookmarkStart w:id="1111" w:name="_Toc15926"/>
      <w:bookmarkStart w:id="1112" w:name="_Toc230598436"/>
      <w:bookmarkStart w:id="1113" w:name="_Toc21443"/>
      <w:r>
        <w:rPr>
          <w:rFonts w:hint="eastAsia" w:ascii="宋体" w:hAnsi="宋体" w:cs="宋体"/>
          <w:color w:val="auto"/>
          <w:highlight w:val="none"/>
        </w:rPr>
        <w:t>磋商函及磋商函附录</w:t>
      </w:r>
      <w:bookmarkEnd w:id="1108"/>
      <w:bookmarkEnd w:id="1109"/>
      <w:bookmarkEnd w:id="1110"/>
      <w:bookmarkEnd w:id="1111"/>
    </w:p>
    <w:p>
      <w:pPr>
        <w:pStyle w:val="13"/>
        <w:numPr>
          <w:ilvl w:val="0"/>
          <w:numId w:val="6"/>
        </w:numPr>
        <w:spacing w:before="156" w:after="156" w:line="360" w:lineRule="exact"/>
        <w:ind w:firstLine="560"/>
        <w:rPr>
          <w:rFonts w:hint="eastAsia" w:ascii="宋体" w:hAnsi="宋体" w:cs="宋体"/>
          <w:color w:val="auto"/>
          <w:highlight w:val="none"/>
        </w:rPr>
      </w:pPr>
      <w:bookmarkStart w:id="1114" w:name="_Toc2562"/>
      <w:bookmarkStart w:id="1115" w:name="_Toc8475"/>
      <w:bookmarkStart w:id="1116" w:name="_Toc2990"/>
      <w:bookmarkStart w:id="1117" w:name="_Toc5360"/>
      <w:r>
        <w:rPr>
          <w:rFonts w:hint="eastAsia" w:ascii="宋体" w:hAnsi="宋体" w:cs="宋体"/>
          <w:color w:val="auto"/>
          <w:highlight w:val="none"/>
        </w:rPr>
        <w:t>法定代表身份证明</w:t>
      </w:r>
      <w:bookmarkEnd w:id="1114"/>
      <w:bookmarkEnd w:id="1115"/>
      <w:bookmarkEnd w:id="1116"/>
      <w:bookmarkEnd w:id="1117"/>
    </w:p>
    <w:p>
      <w:pPr>
        <w:pStyle w:val="13"/>
        <w:numPr>
          <w:ilvl w:val="0"/>
          <w:numId w:val="6"/>
        </w:numPr>
        <w:spacing w:before="156" w:after="156" w:line="360" w:lineRule="exact"/>
        <w:ind w:firstLine="560"/>
        <w:rPr>
          <w:rFonts w:hint="eastAsia" w:ascii="宋体" w:hAnsi="宋体" w:cs="宋体"/>
          <w:color w:val="auto"/>
          <w:highlight w:val="none"/>
        </w:rPr>
      </w:pPr>
      <w:bookmarkStart w:id="1118" w:name="_Toc25391"/>
      <w:bookmarkStart w:id="1119" w:name="_Toc13448"/>
      <w:bookmarkStart w:id="1120" w:name="_Toc20914"/>
      <w:r>
        <w:rPr>
          <w:rFonts w:hint="eastAsia" w:ascii="宋体" w:hAnsi="宋体" w:cs="宋体"/>
          <w:color w:val="auto"/>
          <w:highlight w:val="none"/>
        </w:rPr>
        <w:t>授权委托书</w:t>
      </w:r>
      <w:bookmarkEnd w:id="1118"/>
      <w:bookmarkEnd w:id="1119"/>
      <w:bookmarkEnd w:id="1120"/>
    </w:p>
    <w:p>
      <w:pPr>
        <w:pStyle w:val="13"/>
        <w:numPr>
          <w:ilvl w:val="0"/>
          <w:numId w:val="6"/>
        </w:numPr>
        <w:spacing w:before="156" w:after="156" w:line="360" w:lineRule="exact"/>
        <w:ind w:firstLine="560"/>
        <w:rPr>
          <w:rFonts w:hint="eastAsia" w:ascii="宋体" w:hAnsi="宋体" w:cs="宋体"/>
          <w:color w:val="auto"/>
          <w:highlight w:val="none"/>
        </w:rPr>
      </w:pPr>
      <w:bookmarkStart w:id="1121" w:name="_Toc11544"/>
      <w:bookmarkStart w:id="1122" w:name="_Toc16999"/>
      <w:bookmarkStart w:id="1123" w:name="_Toc15935"/>
      <w:bookmarkStart w:id="1124" w:name="_Toc26275"/>
      <w:r>
        <w:rPr>
          <w:rFonts w:hint="eastAsia" w:ascii="宋体" w:hAnsi="宋体" w:cs="宋体"/>
          <w:color w:val="auto"/>
          <w:highlight w:val="none"/>
        </w:rPr>
        <w:t>资格证明文件</w:t>
      </w:r>
      <w:bookmarkEnd w:id="1121"/>
      <w:bookmarkEnd w:id="1122"/>
      <w:bookmarkEnd w:id="1123"/>
      <w:bookmarkEnd w:id="1124"/>
    </w:p>
    <w:p>
      <w:pPr>
        <w:pStyle w:val="13"/>
        <w:numPr>
          <w:ilvl w:val="0"/>
          <w:numId w:val="6"/>
        </w:numPr>
        <w:spacing w:before="156" w:after="156" w:line="360" w:lineRule="exact"/>
        <w:ind w:firstLine="560"/>
        <w:rPr>
          <w:rFonts w:hint="eastAsia" w:ascii="宋体" w:hAnsi="宋体" w:cs="宋体"/>
          <w:color w:val="auto"/>
          <w:highlight w:val="none"/>
        </w:rPr>
      </w:pPr>
      <w:bookmarkStart w:id="1125" w:name="_Toc3843"/>
      <w:bookmarkStart w:id="1126" w:name="_Toc30841"/>
      <w:bookmarkStart w:id="1127" w:name="_Toc16984"/>
      <w:bookmarkStart w:id="1128" w:name="_Toc29156"/>
      <w:r>
        <w:rPr>
          <w:rFonts w:hint="eastAsia" w:ascii="宋体" w:hAnsi="宋体" w:cs="宋体"/>
          <w:color w:val="auto"/>
          <w:highlight w:val="none"/>
        </w:rPr>
        <w:t>拟投入本项目人员</w:t>
      </w:r>
      <w:bookmarkEnd w:id="1125"/>
      <w:bookmarkEnd w:id="1126"/>
      <w:bookmarkEnd w:id="1127"/>
      <w:bookmarkEnd w:id="1128"/>
    </w:p>
    <w:p>
      <w:pPr>
        <w:pStyle w:val="13"/>
        <w:numPr>
          <w:ilvl w:val="0"/>
          <w:numId w:val="6"/>
        </w:numPr>
        <w:spacing w:before="156" w:after="156" w:line="360" w:lineRule="exact"/>
        <w:ind w:firstLine="560"/>
        <w:rPr>
          <w:rFonts w:hint="eastAsia" w:ascii="宋体" w:hAnsi="宋体" w:cs="宋体"/>
          <w:color w:val="auto"/>
          <w:highlight w:val="none"/>
        </w:rPr>
      </w:pPr>
      <w:r>
        <w:rPr>
          <w:rFonts w:hint="eastAsia" w:ascii="宋体" w:hAnsi="宋体" w:cs="宋体"/>
          <w:color w:val="auto"/>
          <w:highlight w:val="none"/>
        </w:rPr>
        <w:t>技术方案</w:t>
      </w:r>
    </w:p>
    <w:p>
      <w:pPr>
        <w:pStyle w:val="13"/>
        <w:numPr>
          <w:ilvl w:val="0"/>
          <w:numId w:val="6"/>
        </w:numPr>
        <w:spacing w:before="156" w:after="156" w:line="360" w:lineRule="exact"/>
        <w:ind w:firstLine="560"/>
        <w:rPr>
          <w:rFonts w:hint="eastAsia" w:ascii="宋体" w:hAnsi="宋体" w:cs="宋体"/>
          <w:color w:val="auto"/>
          <w:highlight w:val="none"/>
        </w:rPr>
      </w:pPr>
      <w:bookmarkStart w:id="1129" w:name="_Toc25126"/>
      <w:bookmarkStart w:id="1130" w:name="_Toc29046"/>
      <w:bookmarkStart w:id="1131" w:name="_Toc16154"/>
      <w:bookmarkStart w:id="1132" w:name="_Toc14020"/>
      <w:r>
        <w:rPr>
          <w:rFonts w:hint="eastAsia" w:ascii="宋体" w:hAnsi="宋体" w:cs="宋体"/>
          <w:color w:val="auto"/>
          <w:highlight w:val="none"/>
        </w:rPr>
        <w:t>类似项目业绩</w:t>
      </w:r>
      <w:bookmarkEnd w:id="1129"/>
      <w:bookmarkEnd w:id="1130"/>
      <w:bookmarkEnd w:id="1131"/>
      <w:bookmarkEnd w:id="1132"/>
    </w:p>
    <w:p>
      <w:pPr>
        <w:pStyle w:val="13"/>
        <w:numPr>
          <w:ilvl w:val="0"/>
          <w:numId w:val="6"/>
        </w:numPr>
        <w:spacing w:before="156" w:after="156" w:line="360" w:lineRule="exact"/>
        <w:ind w:firstLine="560"/>
        <w:rPr>
          <w:rFonts w:hint="eastAsia" w:ascii="宋体" w:hAnsi="宋体" w:cs="宋体"/>
          <w:color w:val="auto"/>
          <w:highlight w:val="none"/>
        </w:rPr>
      </w:pPr>
      <w:r>
        <w:rPr>
          <w:rFonts w:hint="eastAsia" w:ascii="宋体" w:hAnsi="宋体" w:cs="宋体"/>
          <w:color w:val="auto"/>
          <w:highlight w:val="none"/>
        </w:rPr>
        <w:t>中小企业声明函</w:t>
      </w:r>
    </w:p>
    <w:p>
      <w:pPr>
        <w:pStyle w:val="13"/>
        <w:numPr>
          <w:ilvl w:val="0"/>
          <w:numId w:val="6"/>
        </w:numPr>
        <w:spacing w:before="156" w:after="156" w:line="360" w:lineRule="exact"/>
        <w:ind w:firstLine="560"/>
        <w:rPr>
          <w:rFonts w:hint="eastAsia" w:ascii="宋体" w:hAnsi="宋体" w:cs="宋体"/>
          <w:color w:val="auto"/>
          <w:highlight w:val="none"/>
        </w:rPr>
      </w:pPr>
      <w:bookmarkStart w:id="1133" w:name="_Toc9497"/>
      <w:bookmarkStart w:id="1134" w:name="_Toc13633"/>
      <w:bookmarkStart w:id="1135" w:name="_Toc11809"/>
      <w:bookmarkStart w:id="1136" w:name="_Toc26109"/>
      <w:bookmarkStart w:id="1137" w:name="_Toc23454"/>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_Toc7101 </w:instrText>
      </w:r>
      <w:r>
        <w:rPr>
          <w:rFonts w:hint="eastAsia" w:ascii="宋体" w:hAnsi="宋体" w:cs="宋体"/>
          <w:color w:val="auto"/>
          <w:highlight w:val="none"/>
        </w:rPr>
        <w:fldChar w:fldCharType="separate"/>
      </w:r>
      <w:r>
        <w:rPr>
          <w:rFonts w:hint="eastAsia" w:ascii="宋体" w:hAnsi="宋体" w:cs="宋体"/>
          <w:color w:val="auto"/>
          <w:highlight w:val="none"/>
        </w:rPr>
        <w:t>残疾人福利性单位声明</w:t>
      </w:r>
      <w:r>
        <w:rPr>
          <w:rFonts w:hint="eastAsia" w:ascii="宋体" w:hAnsi="宋体" w:cs="宋体"/>
          <w:color w:val="auto"/>
          <w:highlight w:val="none"/>
        </w:rPr>
        <w:fldChar w:fldCharType="end"/>
      </w:r>
      <w:bookmarkEnd w:id="1133"/>
      <w:bookmarkEnd w:id="1134"/>
      <w:bookmarkEnd w:id="1135"/>
      <w:bookmarkEnd w:id="1136"/>
      <w:bookmarkEnd w:id="1137"/>
    </w:p>
    <w:p>
      <w:pPr>
        <w:pStyle w:val="13"/>
        <w:numPr>
          <w:ilvl w:val="0"/>
          <w:numId w:val="6"/>
        </w:numPr>
        <w:spacing w:before="156" w:after="156" w:line="360" w:lineRule="exact"/>
        <w:ind w:firstLine="560"/>
        <w:rPr>
          <w:rFonts w:hint="eastAsia" w:ascii="宋体" w:hAnsi="宋体" w:cs="宋体"/>
          <w:color w:val="auto"/>
          <w:highlight w:val="none"/>
        </w:rPr>
      </w:pPr>
      <w:bookmarkStart w:id="1138" w:name="_Toc22258"/>
      <w:bookmarkStart w:id="1139" w:name="_Toc25731"/>
      <w:bookmarkStart w:id="1140" w:name="_Toc10469"/>
      <w:bookmarkStart w:id="1141" w:name="_Toc7503"/>
      <w:bookmarkStart w:id="1142" w:name="_Toc2222"/>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_Toc19926 </w:instrText>
      </w:r>
      <w:r>
        <w:rPr>
          <w:rFonts w:hint="eastAsia" w:ascii="宋体" w:hAnsi="宋体" w:cs="宋体"/>
          <w:color w:val="auto"/>
          <w:highlight w:val="none"/>
        </w:rPr>
        <w:fldChar w:fldCharType="separate"/>
      </w:r>
      <w:r>
        <w:rPr>
          <w:rFonts w:hint="eastAsia" w:ascii="宋体" w:hAnsi="宋体" w:cs="宋体"/>
          <w:color w:val="auto"/>
          <w:highlight w:val="none"/>
        </w:rPr>
        <w:t>监狱企业证明文件（如有）</w:t>
      </w:r>
      <w:r>
        <w:rPr>
          <w:rFonts w:hint="eastAsia" w:ascii="宋体" w:hAnsi="宋体" w:cs="宋体"/>
          <w:color w:val="auto"/>
          <w:highlight w:val="none"/>
        </w:rPr>
        <w:fldChar w:fldCharType="end"/>
      </w:r>
      <w:bookmarkEnd w:id="1138"/>
      <w:bookmarkEnd w:id="1139"/>
      <w:bookmarkEnd w:id="1140"/>
      <w:bookmarkEnd w:id="1141"/>
      <w:bookmarkEnd w:id="1142"/>
    </w:p>
    <w:p>
      <w:pPr>
        <w:pStyle w:val="13"/>
        <w:numPr>
          <w:ilvl w:val="0"/>
          <w:numId w:val="6"/>
        </w:numPr>
        <w:spacing w:before="156" w:after="156" w:line="360" w:lineRule="exact"/>
        <w:ind w:firstLine="560"/>
        <w:rPr>
          <w:rFonts w:hint="eastAsia" w:ascii="宋体" w:hAnsi="宋体" w:cs="宋体"/>
          <w:color w:val="auto"/>
          <w:highlight w:val="none"/>
        </w:rPr>
      </w:pPr>
      <w:bookmarkStart w:id="1143" w:name="_Toc861"/>
      <w:bookmarkStart w:id="1144" w:name="_Toc26263"/>
      <w:bookmarkStart w:id="1145" w:name="_Toc27336"/>
      <w:bookmarkStart w:id="1146" w:name="_Toc19491"/>
      <w:bookmarkStart w:id="1147" w:name="_Toc18126"/>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_Toc30624 </w:instrText>
      </w:r>
      <w:r>
        <w:rPr>
          <w:rFonts w:hint="eastAsia" w:ascii="宋体" w:hAnsi="宋体" w:cs="宋体"/>
          <w:color w:val="auto"/>
          <w:highlight w:val="none"/>
        </w:rPr>
        <w:fldChar w:fldCharType="separate"/>
      </w:r>
      <w:r>
        <w:rPr>
          <w:rFonts w:hint="eastAsia" w:ascii="宋体" w:hAnsi="宋体" w:cs="宋体"/>
          <w:color w:val="auto"/>
          <w:highlight w:val="none"/>
        </w:rPr>
        <w:t>其他材料</w:t>
      </w:r>
      <w:r>
        <w:rPr>
          <w:rFonts w:hint="eastAsia" w:ascii="宋体" w:hAnsi="宋体" w:cs="宋体"/>
          <w:color w:val="auto"/>
          <w:highlight w:val="none"/>
        </w:rPr>
        <w:fldChar w:fldCharType="end"/>
      </w:r>
      <w:bookmarkEnd w:id="1143"/>
      <w:bookmarkEnd w:id="1144"/>
      <w:bookmarkEnd w:id="1145"/>
      <w:bookmarkEnd w:id="1146"/>
      <w:bookmarkEnd w:id="1147"/>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pStyle w:val="4"/>
        <w:rPr>
          <w:rFonts w:hint="eastAsia" w:ascii="宋体" w:hAnsi="宋体" w:cs="宋体"/>
          <w:color w:val="auto"/>
          <w:highlight w:val="none"/>
        </w:rPr>
      </w:pPr>
    </w:p>
    <w:p>
      <w:pPr>
        <w:pStyle w:val="2"/>
        <w:spacing w:before="156" w:after="156"/>
        <w:rPr>
          <w:rFonts w:hint="eastAsia" w:ascii="宋体" w:hAnsi="宋体" w:cs="宋体"/>
          <w:color w:val="auto"/>
          <w:highlight w:val="none"/>
        </w:rPr>
      </w:pPr>
    </w:p>
    <w:p>
      <w:pPr>
        <w:rPr>
          <w:rFonts w:hint="eastAsia" w:ascii="宋体" w:hAnsi="宋体" w:cs="宋体"/>
          <w:color w:val="auto"/>
          <w:highlight w:val="none"/>
        </w:rPr>
      </w:pPr>
    </w:p>
    <w:p>
      <w:pPr>
        <w:pStyle w:val="4"/>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pStyle w:val="9"/>
        <w:jc w:val="center"/>
        <w:rPr>
          <w:rFonts w:hint="eastAsia" w:ascii="宋体" w:hAnsi="宋体" w:eastAsia="宋体" w:cs="宋体"/>
          <w:color w:val="auto"/>
          <w:highlight w:val="none"/>
        </w:rPr>
      </w:pPr>
      <w:bookmarkStart w:id="1148" w:name="_Toc152042577"/>
      <w:bookmarkStart w:id="1149" w:name="_Toc7434"/>
      <w:bookmarkStart w:id="1150" w:name="_Toc152045788"/>
      <w:bookmarkStart w:id="1151" w:name="_Toc5110"/>
      <w:bookmarkStart w:id="1152" w:name="_Toc30083"/>
      <w:bookmarkStart w:id="1153" w:name="_Toc466298158"/>
      <w:bookmarkStart w:id="1154" w:name="_Toc144974857"/>
      <w:bookmarkStart w:id="1155" w:name="_Toc31024"/>
      <w:r>
        <w:rPr>
          <w:rFonts w:hint="eastAsia" w:ascii="宋体" w:hAnsi="宋体" w:eastAsia="宋体" w:cs="宋体"/>
          <w:color w:val="auto"/>
          <w:highlight w:val="none"/>
        </w:rPr>
        <w:br w:type="page"/>
      </w:r>
      <w:bookmarkEnd w:id="1148"/>
      <w:bookmarkEnd w:id="1149"/>
      <w:bookmarkEnd w:id="1150"/>
      <w:bookmarkEnd w:id="1151"/>
      <w:bookmarkEnd w:id="1152"/>
      <w:bookmarkEnd w:id="1153"/>
      <w:bookmarkEnd w:id="1154"/>
      <w:bookmarkEnd w:id="1155"/>
      <w:bookmarkStart w:id="1156" w:name="_Toc784"/>
      <w:bookmarkStart w:id="1157" w:name="_Toc32161"/>
      <w:r>
        <w:rPr>
          <w:rFonts w:hint="eastAsia" w:ascii="宋体" w:hAnsi="宋体" w:eastAsia="宋体" w:cs="宋体"/>
          <w:color w:val="auto"/>
          <w:highlight w:val="none"/>
        </w:rPr>
        <w:t>一、磋商函及磋商函附录</w:t>
      </w:r>
      <w:bookmarkEnd w:id="1156"/>
      <w:bookmarkEnd w:id="1157"/>
    </w:p>
    <w:p>
      <w:pPr>
        <w:pStyle w:val="10"/>
        <w:jc w:val="center"/>
        <w:rPr>
          <w:rFonts w:hint="eastAsia" w:ascii="宋体" w:hAnsi="宋体" w:cs="宋体"/>
          <w:color w:val="auto"/>
          <w:highlight w:val="none"/>
        </w:rPr>
      </w:pPr>
      <w:bookmarkStart w:id="1158" w:name="_Toc29571"/>
      <w:bookmarkStart w:id="1159" w:name="_Toc393"/>
      <w:bookmarkStart w:id="1160" w:name="_Toc490667892"/>
      <w:bookmarkStart w:id="1161" w:name="_Toc3959"/>
      <w:bookmarkStart w:id="1162" w:name="_Toc30581"/>
      <w:bookmarkStart w:id="1163" w:name="_Toc11855"/>
      <w:bookmarkStart w:id="1164" w:name="_Toc152042578"/>
      <w:bookmarkStart w:id="1165" w:name="_Toc6005"/>
      <w:bookmarkStart w:id="1166" w:name="_Toc25364"/>
      <w:bookmarkStart w:id="1167" w:name="_Toc8915"/>
      <w:bookmarkStart w:id="1168" w:name="_Toc466298159"/>
      <w:bookmarkStart w:id="1169" w:name="_Toc152045789"/>
      <w:bookmarkStart w:id="1170" w:name="_Toc26262"/>
      <w:bookmarkStart w:id="1171" w:name="_Toc23888"/>
      <w:bookmarkStart w:id="1172" w:name="_Toc455080170"/>
      <w:bookmarkStart w:id="1173" w:name="_Toc455867830"/>
      <w:bookmarkStart w:id="1174" w:name="_Toc144974858"/>
      <w:bookmarkStart w:id="1175" w:name="_Toc18705"/>
      <w:bookmarkStart w:id="1176" w:name="_Toc318450744"/>
      <w:r>
        <w:rPr>
          <w:rFonts w:hint="eastAsia" w:ascii="宋体" w:hAnsi="宋体" w:cs="宋体"/>
          <w:color w:val="auto"/>
          <w:highlight w:val="none"/>
        </w:rPr>
        <w:t>（一）磋商函</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p>
      <w:pPr>
        <w:pStyle w:val="18"/>
        <w:spacing w:line="420" w:lineRule="exact"/>
        <w:ind w:left="98" w:leftChars="0" w:hanging="98" w:hangingChars="47"/>
        <w:rPr>
          <w:rFonts w:hint="eastAsia" w:ascii="宋体" w:hAnsi="宋体" w:cs="宋体"/>
          <w:color w:val="auto"/>
          <w:szCs w:val="21"/>
          <w:highlight w:val="none"/>
        </w:rPr>
      </w:pPr>
      <w:bookmarkStart w:id="1177" w:name="_Toc19056"/>
      <w:bookmarkStart w:id="1178" w:name="_Toc466298160"/>
      <w:bookmarkStart w:id="1179" w:name="_Toc490667893"/>
      <w:bookmarkStart w:id="1180" w:name="_Toc447888814"/>
      <w:r>
        <w:rPr>
          <w:rFonts w:hint="eastAsia" w:ascii="宋体" w:hAnsi="宋体" w:cs="宋体"/>
          <w:color w:val="auto"/>
          <w:szCs w:val="21"/>
          <w:highlight w:val="none"/>
        </w:rPr>
        <w:t>致 ：</w:t>
      </w:r>
      <w:r>
        <w:rPr>
          <w:rFonts w:hint="eastAsia" w:ascii="宋体" w:hAnsi="宋体" w:cs="宋体"/>
          <w:color w:val="auto"/>
          <w:szCs w:val="21"/>
          <w:highlight w:val="none"/>
          <w:u w:val="single"/>
        </w:rPr>
        <w:t>（采购人）</w:t>
      </w:r>
    </w:p>
    <w:p>
      <w:pPr>
        <w:pStyle w:val="18"/>
        <w:spacing w:line="420" w:lineRule="exact"/>
        <w:ind w:left="1"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1．根据已收到的</w:t>
      </w:r>
      <w:r>
        <w:rPr>
          <w:rFonts w:hint="eastAsia" w:ascii="宋体" w:hAnsi="宋体" w:cs="宋体"/>
          <w:color w:val="auto"/>
          <w:szCs w:val="21"/>
          <w:highlight w:val="none"/>
          <w:u w:val="single"/>
        </w:rPr>
        <w:t xml:space="preserve">          （项目名称）</w:t>
      </w:r>
      <w:r>
        <w:rPr>
          <w:rFonts w:hint="eastAsia" w:ascii="宋体" w:hAnsi="宋体" w:cs="宋体"/>
          <w:color w:val="auto"/>
          <w:szCs w:val="21"/>
          <w:highlight w:val="none"/>
        </w:rPr>
        <w:t>的竞争性磋商文件，遵照《中华人民共和国政府采购法》等有关规定，经考察和认真研究本项目竞争性磋商文件及其它有关文件后，愿以人民币（大写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）的磋商总报价作为第一次磋商报价，按合同约定实施和完成本项目，并承担其任何质量缺陷等问题所造成的任何损失。</w:t>
      </w:r>
    </w:p>
    <w:p>
      <w:pPr>
        <w:pStyle w:val="18"/>
        <w:spacing w:line="420" w:lineRule="exact"/>
        <w:ind w:left="1"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已详细检查全部竞争性磋商文件包括澄清文件、补充通知（如有的话）及有关附件，并完全理解我方必须放弃提出含糊不清或误解的权力，愿按照竞争性磋商文件中的条款和要求按最后一次的报价做为最后报价。</w:t>
      </w:r>
    </w:p>
    <w:p>
      <w:pPr>
        <w:pStyle w:val="18"/>
        <w:spacing w:line="420" w:lineRule="exact"/>
        <w:ind w:left="1"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3．我方在此承诺，我方若能成交，保证在服务期限内，全面履行竞争性磋商文件中规定的职责和义务。</w:t>
      </w:r>
    </w:p>
    <w:p>
      <w:pPr>
        <w:pStyle w:val="18"/>
        <w:spacing w:line="420" w:lineRule="exact"/>
        <w:ind w:left="1"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4．如果我方成交，我方保证按合同条款中规定的内容执行；我方保证质量达到国家及行业现行标准规范规定的合格要求，并按竞争性磋商文件和有关规定提交一切资料。</w:t>
      </w:r>
    </w:p>
    <w:p>
      <w:pPr>
        <w:pStyle w:val="18"/>
        <w:spacing w:line="420" w:lineRule="exact"/>
        <w:ind w:left="1"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5．如果我方成交，我方将按照采购人规定提交履约保证金。</w:t>
      </w:r>
    </w:p>
    <w:p>
      <w:pPr>
        <w:pStyle w:val="18"/>
        <w:spacing w:line="420" w:lineRule="exact"/>
        <w:ind w:left="1"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6．我方同意从响应文件递交截止日期起</w:t>
      </w:r>
      <w:r>
        <w:rPr>
          <w:rFonts w:hint="eastAsia" w:ascii="宋体" w:hAnsi="宋体" w:cs="宋体"/>
          <w:color w:val="auto"/>
          <w:szCs w:val="21"/>
          <w:highlight w:val="none"/>
          <w:u w:val="single"/>
        </w:rPr>
        <w:t xml:space="preserve"> 60</w:t>
      </w:r>
      <w:r>
        <w:rPr>
          <w:rFonts w:hint="eastAsia" w:ascii="宋体" w:hAnsi="宋体" w:cs="宋体"/>
          <w:color w:val="auto"/>
          <w:szCs w:val="21"/>
          <w:highlight w:val="none"/>
        </w:rPr>
        <w:t>日历天内保持响应文件有效，在此有效期内，我方将严格遵守响应文件的承诺，本响应文件对我方具有约束力，并可随时被接受成交。</w:t>
      </w:r>
    </w:p>
    <w:p>
      <w:pPr>
        <w:pStyle w:val="18"/>
        <w:spacing w:line="420" w:lineRule="exact"/>
        <w:ind w:left="1"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7．除响应文件所提交的资料外，我方同意随时接受贵方的检查、询问，并根据磋商需要补充贵方要求提交的资料。</w:t>
      </w:r>
    </w:p>
    <w:p>
      <w:pPr>
        <w:pStyle w:val="18"/>
        <w:spacing w:line="420" w:lineRule="exact"/>
        <w:ind w:left="1"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8．如果我方成交后，我方没有任何正当理由而拒签合同，同时我方愿意补偿该项工作因我方延误所造成的经济损失。</w:t>
      </w:r>
    </w:p>
    <w:p>
      <w:pPr>
        <w:pStyle w:val="18"/>
        <w:spacing w:line="420" w:lineRule="exact"/>
        <w:ind w:left="1"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9．我方愿接受合同条款中规定的合同价款计算和调整方式。</w:t>
      </w:r>
    </w:p>
    <w:p>
      <w:pPr>
        <w:pStyle w:val="18"/>
        <w:spacing w:line="420" w:lineRule="exact"/>
        <w:ind w:left="1"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10．除非另外达成协议并生效，贵方的成交通知书和本响应文件将成为约束我方的合同文件组成部分。</w:t>
      </w:r>
    </w:p>
    <w:p>
      <w:pPr>
        <w:pStyle w:val="18"/>
        <w:spacing w:line="420" w:lineRule="exact"/>
        <w:ind w:left="1" w:leftChars="0" w:firstLine="420" w:firstLineChars="200"/>
        <w:rPr>
          <w:rFonts w:hint="eastAsia" w:ascii="宋体" w:hAnsi="宋体" w:cs="宋体"/>
          <w:color w:val="auto"/>
          <w:szCs w:val="21"/>
          <w:highlight w:val="none"/>
        </w:rPr>
      </w:pPr>
    </w:p>
    <w:p>
      <w:pPr>
        <w:pStyle w:val="18"/>
        <w:spacing w:line="420" w:lineRule="exact"/>
        <w:ind w:left="0" w:leftChars="0" w:firstLine="0" w:firstLineChars="0"/>
        <w:rPr>
          <w:rFonts w:hint="eastAsia" w:ascii="宋体" w:hAnsi="宋体" w:cs="宋体"/>
          <w:color w:val="auto"/>
          <w:szCs w:val="21"/>
          <w:highlight w:val="none"/>
        </w:rPr>
      </w:pPr>
    </w:p>
    <w:p>
      <w:pPr>
        <w:pStyle w:val="18"/>
        <w:spacing w:line="420" w:lineRule="exact"/>
        <w:ind w:left="1"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（单位电子签章）</w:t>
      </w:r>
    </w:p>
    <w:p>
      <w:pPr>
        <w:pStyle w:val="18"/>
        <w:spacing w:line="420" w:lineRule="exact"/>
        <w:ind w:left="1"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pPr>
        <w:pStyle w:val="18"/>
        <w:spacing w:line="420" w:lineRule="exact"/>
        <w:ind w:left="1"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pPr>
        <w:pStyle w:val="18"/>
        <w:spacing w:line="420" w:lineRule="exact"/>
        <w:ind w:left="1"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日期：     年    月    日</w:t>
      </w:r>
    </w:p>
    <w:bookmarkEnd w:id="1177"/>
    <w:bookmarkEnd w:id="1178"/>
    <w:bookmarkEnd w:id="1179"/>
    <w:bookmarkEnd w:id="1180"/>
    <w:p>
      <w:pPr>
        <w:pStyle w:val="10"/>
        <w:jc w:val="center"/>
        <w:rPr>
          <w:rFonts w:hint="eastAsia" w:ascii="宋体" w:hAnsi="宋体" w:cs="宋体"/>
          <w:color w:val="auto"/>
          <w:highlight w:val="none"/>
        </w:rPr>
      </w:pPr>
      <w:bookmarkStart w:id="1181" w:name="_Toc3933"/>
      <w:bookmarkStart w:id="1182" w:name="_Toc32389"/>
      <w:bookmarkStart w:id="1183" w:name="_Toc912"/>
      <w:bookmarkStart w:id="1184" w:name="_Toc2165"/>
      <w:bookmarkStart w:id="1185" w:name="_Toc32257"/>
      <w:bookmarkStart w:id="1186" w:name="_Toc11398"/>
      <w:bookmarkStart w:id="1187" w:name="_Toc287367268"/>
      <w:bookmarkStart w:id="1188" w:name="_Toc144974860"/>
      <w:bookmarkStart w:id="1189" w:name="_Toc152045791"/>
      <w:bookmarkStart w:id="1190" w:name="_Toc152042580"/>
      <w:r>
        <w:rPr>
          <w:rFonts w:hint="eastAsia" w:ascii="宋体" w:hAnsi="宋体" w:cs="宋体"/>
          <w:color w:val="auto"/>
          <w:highlight w:val="none"/>
        </w:rPr>
        <w:t>（二）响应函附录</w:t>
      </w:r>
      <w:bookmarkEnd w:id="1181"/>
      <w:bookmarkEnd w:id="1182"/>
      <w:bookmarkEnd w:id="1183"/>
      <w:bookmarkEnd w:id="1184"/>
      <w:bookmarkEnd w:id="1185"/>
      <w:bookmarkEnd w:id="1186"/>
    </w:p>
    <w:p>
      <w:pPr>
        <w:rPr>
          <w:rFonts w:hint="eastAsia" w:ascii="宋体" w:hAnsi="宋体" w:cs="宋体"/>
          <w:color w:val="auto"/>
          <w:highlight w:val="none"/>
        </w:rPr>
      </w:pPr>
    </w:p>
    <w:tbl>
      <w:tblPr>
        <w:tblStyle w:val="31"/>
        <w:tblW w:w="907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3196"/>
        <w:gridCol w:w="2769"/>
        <w:gridCol w:w="310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90" w:hRule="atLeast"/>
          <w:jc w:val="center"/>
        </w:trPr>
        <w:tc>
          <w:tcPr>
            <w:tcW w:w="3196" w:type="dxa"/>
            <w:noWrap w:val="0"/>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项目名称</w:t>
            </w:r>
          </w:p>
        </w:tc>
        <w:tc>
          <w:tcPr>
            <w:tcW w:w="5875" w:type="dxa"/>
            <w:gridSpan w:val="2"/>
            <w:noWrap w:val="0"/>
            <w:vAlign w:val="center"/>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95" w:hRule="atLeast"/>
          <w:jc w:val="center"/>
        </w:trPr>
        <w:tc>
          <w:tcPr>
            <w:tcW w:w="3196" w:type="dxa"/>
            <w:noWrap w:val="0"/>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供应商</w:t>
            </w:r>
          </w:p>
        </w:tc>
        <w:tc>
          <w:tcPr>
            <w:tcW w:w="5875" w:type="dxa"/>
            <w:gridSpan w:val="2"/>
            <w:noWrap w:val="0"/>
            <w:vAlign w:val="center"/>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95" w:hRule="atLeast"/>
          <w:jc w:val="center"/>
        </w:trPr>
        <w:tc>
          <w:tcPr>
            <w:tcW w:w="3196" w:type="dxa"/>
            <w:noWrap w:val="0"/>
            <w:vAlign w:val="center"/>
          </w:tcPr>
          <w:p>
            <w:pPr>
              <w:jc w:val="center"/>
              <w:rPr>
                <w:rFonts w:hint="eastAsia" w:ascii="宋体" w:hAnsi="宋体" w:cs="宋体" w:eastAsiaTheme="minorEastAsia"/>
                <w:b/>
                <w:bCs/>
                <w:color w:val="auto"/>
                <w:szCs w:val="21"/>
                <w:highlight w:val="none"/>
                <w:lang w:eastAsia="zh-CN"/>
              </w:rPr>
            </w:pPr>
            <w:r>
              <w:rPr>
                <w:rFonts w:hint="eastAsia" w:ascii="宋体" w:hAnsi="宋体" w:cs="宋体"/>
                <w:b/>
                <w:bCs/>
                <w:color w:val="auto"/>
                <w:szCs w:val="21"/>
                <w:highlight w:val="none"/>
                <w:lang w:eastAsia="zh-CN"/>
              </w:rPr>
              <w:t>响应内容</w:t>
            </w:r>
          </w:p>
        </w:tc>
        <w:tc>
          <w:tcPr>
            <w:tcW w:w="5875" w:type="dxa"/>
            <w:gridSpan w:val="2"/>
            <w:noWrap w:val="0"/>
            <w:vAlign w:val="center"/>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jc w:val="center"/>
        </w:trPr>
        <w:tc>
          <w:tcPr>
            <w:tcW w:w="3196" w:type="dxa"/>
            <w:vMerge w:val="restart"/>
            <w:noWrap w:val="0"/>
            <w:vAlign w:val="center"/>
          </w:tcPr>
          <w:p>
            <w:pPr>
              <w:spacing w:line="3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投标报价（元）</w:t>
            </w:r>
          </w:p>
        </w:tc>
        <w:tc>
          <w:tcPr>
            <w:tcW w:w="2769" w:type="dxa"/>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（大写）</w:t>
            </w:r>
          </w:p>
        </w:tc>
        <w:tc>
          <w:tcPr>
            <w:tcW w:w="3106" w:type="dxa"/>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（小写）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0" w:hRule="atLeast"/>
          <w:jc w:val="center"/>
        </w:trPr>
        <w:tc>
          <w:tcPr>
            <w:tcW w:w="3196" w:type="dxa"/>
            <w:vMerge w:val="continue"/>
            <w:noWrap w:val="0"/>
            <w:vAlign w:val="center"/>
          </w:tcPr>
          <w:p>
            <w:pPr>
              <w:spacing w:line="360" w:lineRule="exact"/>
              <w:jc w:val="center"/>
              <w:rPr>
                <w:rFonts w:hint="eastAsia" w:ascii="宋体" w:hAnsi="宋体" w:cs="宋体"/>
                <w:b/>
                <w:bCs/>
                <w:color w:val="auto"/>
                <w:szCs w:val="21"/>
                <w:highlight w:val="none"/>
              </w:rPr>
            </w:pPr>
          </w:p>
        </w:tc>
        <w:tc>
          <w:tcPr>
            <w:tcW w:w="5875" w:type="dxa"/>
            <w:gridSpan w:val="2"/>
            <w:noWrap w:val="0"/>
            <w:vAlign w:val="center"/>
          </w:tcPr>
          <w:p>
            <w:pPr>
              <w:rPr>
                <w:rFonts w:hint="eastAsia" w:ascii="宋体" w:hAnsi="宋体" w:cs="宋体"/>
                <w:color w:val="auto"/>
                <w:szCs w:val="21"/>
                <w:highlight w:val="none"/>
              </w:rPr>
            </w:pPr>
            <w:r>
              <w:rPr>
                <w:rFonts w:hint="eastAsia" w:ascii="宋体" w:hAnsi="宋体" w:cs="宋体"/>
                <w:b/>
                <w:bCs/>
                <w:color w:val="auto"/>
                <w:szCs w:val="21"/>
                <w:highlight w:val="none"/>
              </w:rPr>
              <w:t>（供应商应在此填列第一次报价，但以供应商最后一次的磋商报价为成交价）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5" w:hRule="atLeast"/>
          <w:jc w:val="center"/>
        </w:trPr>
        <w:tc>
          <w:tcPr>
            <w:tcW w:w="3196" w:type="dxa"/>
            <w:noWrap w:val="0"/>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质量要求</w:t>
            </w:r>
          </w:p>
        </w:tc>
        <w:tc>
          <w:tcPr>
            <w:tcW w:w="5875" w:type="dxa"/>
            <w:gridSpan w:val="2"/>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5" w:hRule="atLeast"/>
          <w:jc w:val="center"/>
        </w:trPr>
        <w:tc>
          <w:tcPr>
            <w:tcW w:w="3196" w:type="dxa"/>
            <w:noWrap w:val="0"/>
            <w:vAlign w:val="center"/>
          </w:tcPr>
          <w:p>
            <w:pPr>
              <w:jc w:val="center"/>
              <w:rPr>
                <w:rFonts w:hint="eastAsia" w:ascii="宋体" w:hAnsi="宋体" w:cs="宋体" w:eastAsiaTheme="minorEastAsia"/>
                <w:b/>
                <w:bCs/>
                <w:color w:val="auto"/>
                <w:szCs w:val="21"/>
                <w:highlight w:val="none"/>
                <w:lang w:eastAsia="zh-CN"/>
              </w:rPr>
            </w:pPr>
            <w:r>
              <w:rPr>
                <w:rFonts w:hint="eastAsia" w:ascii="宋体" w:hAnsi="宋体" w:cs="宋体"/>
                <w:b/>
                <w:bCs/>
                <w:color w:val="auto"/>
                <w:szCs w:val="21"/>
                <w:highlight w:val="none"/>
                <w:lang w:eastAsia="zh-CN"/>
              </w:rPr>
              <w:t>服务期限</w:t>
            </w:r>
          </w:p>
        </w:tc>
        <w:tc>
          <w:tcPr>
            <w:tcW w:w="5875" w:type="dxa"/>
            <w:gridSpan w:val="2"/>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65" w:hRule="atLeast"/>
          <w:jc w:val="center"/>
        </w:trPr>
        <w:tc>
          <w:tcPr>
            <w:tcW w:w="3196" w:type="dxa"/>
            <w:noWrap w:val="0"/>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项目负责人</w:t>
            </w:r>
          </w:p>
        </w:tc>
        <w:tc>
          <w:tcPr>
            <w:tcW w:w="5875" w:type="dxa"/>
            <w:gridSpan w:val="2"/>
            <w:noWrap w:val="0"/>
            <w:vAlign w:val="center"/>
          </w:tcPr>
          <w:p>
            <w:pPr>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39" w:hRule="atLeast"/>
          <w:jc w:val="center"/>
        </w:trPr>
        <w:tc>
          <w:tcPr>
            <w:tcW w:w="3196" w:type="dxa"/>
            <w:noWrap w:val="0"/>
            <w:vAlign w:val="center"/>
          </w:tcPr>
          <w:p>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磋商有效期</w:t>
            </w:r>
          </w:p>
        </w:tc>
        <w:tc>
          <w:tcPr>
            <w:tcW w:w="5875" w:type="dxa"/>
            <w:gridSpan w:val="2"/>
            <w:noWrap w:val="0"/>
            <w:vAlign w:val="center"/>
          </w:tcPr>
          <w:p>
            <w:pPr>
              <w:jc w:val="center"/>
              <w:rPr>
                <w:rFonts w:hint="eastAsia" w:ascii="宋体" w:hAnsi="宋体" w:cs="宋体"/>
                <w:color w:val="auto"/>
                <w:szCs w:val="21"/>
                <w:highlight w:val="none"/>
              </w:rPr>
            </w:pPr>
          </w:p>
        </w:tc>
      </w:tr>
    </w:tbl>
    <w:p>
      <w:pPr>
        <w:ind w:left="0" w:leftChars="0" w:firstLine="0" w:firstLineChars="0"/>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供应商法定代表人或其授权委托人(签字或盖章)</w:t>
      </w:r>
      <w:r>
        <w:rPr>
          <w:rFonts w:hint="eastAsia" w:ascii="宋体" w:hAnsi="宋体" w:cs="宋体"/>
          <w:color w:val="auto"/>
          <w:szCs w:val="21"/>
          <w:highlight w:val="none"/>
          <w:u w:val="single"/>
        </w:rPr>
        <w:t>___________________</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供应商(单位电子签章):</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rPr>
        <w:tab/>
      </w:r>
    </w:p>
    <w:p>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szCs w:val="21"/>
          <w:highlight w:val="none"/>
        </w:rPr>
        <w:t>年   月   日</w:t>
      </w:r>
      <w:bookmarkStart w:id="1191" w:name="_Toc23978"/>
      <w:bookmarkStart w:id="1192" w:name="_Toc466298161"/>
      <w:bookmarkStart w:id="1193" w:name="_Toc555"/>
      <w:bookmarkStart w:id="1194" w:name="_Toc18287"/>
      <w:bookmarkStart w:id="1195" w:name="_Toc24653"/>
    </w:p>
    <w:p>
      <w:pPr>
        <w:pStyle w:val="9"/>
        <w:jc w:val="center"/>
        <w:rPr>
          <w:rFonts w:hint="eastAsia" w:ascii="宋体" w:hAnsi="宋体" w:eastAsia="宋体" w:cs="宋体"/>
          <w:color w:val="auto"/>
          <w:highlight w:val="none"/>
        </w:rPr>
      </w:pPr>
      <w:bookmarkStart w:id="1196" w:name="_Toc25403"/>
      <w:bookmarkStart w:id="1197" w:name="_Toc18581"/>
    </w:p>
    <w:p>
      <w:pPr>
        <w:pStyle w:val="9"/>
        <w:jc w:val="center"/>
        <w:rPr>
          <w:rFonts w:hint="eastAsia" w:ascii="宋体" w:hAnsi="宋体" w:eastAsia="宋体" w:cs="宋体"/>
          <w:color w:val="auto"/>
          <w:highlight w:val="none"/>
        </w:rPr>
      </w:pPr>
      <w:r>
        <w:rPr>
          <w:rFonts w:hint="eastAsia" w:ascii="宋体" w:hAnsi="宋体" w:eastAsia="宋体" w:cs="宋体"/>
          <w:color w:val="auto"/>
          <w:highlight w:val="none"/>
        </w:rPr>
        <w:t>二、</w:t>
      </w:r>
      <w:bookmarkEnd w:id="1187"/>
      <w:bookmarkEnd w:id="1188"/>
      <w:bookmarkEnd w:id="1189"/>
      <w:bookmarkEnd w:id="1190"/>
      <w:r>
        <w:rPr>
          <w:rFonts w:hint="eastAsia" w:ascii="宋体" w:hAnsi="宋体" w:eastAsia="宋体" w:cs="宋体"/>
          <w:color w:val="auto"/>
          <w:highlight w:val="none"/>
        </w:rPr>
        <w:t>法定代表身份证明</w:t>
      </w:r>
      <w:bookmarkEnd w:id="1191"/>
      <w:bookmarkEnd w:id="1192"/>
      <w:bookmarkEnd w:id="1193"/>
      <w:bookmarkEnd w:id="1194"/>
      <w:bookmarkEnd w:id="1195"/>
      <w:bookmarkEnd w:id="1196"/>
      <w:bookmarkEnd w:id="1197"/>
    </w:p>
    <w:p>
      <w:pPr>
        <w:spacing w:line="440" w:lineRule="exact"/>
        <w:jc w:val="center"/>
        <w:rPr>
          <w:rFonts w:hint="eastAsia" w:ascii="宋体" w:hAnsi="宋体" w:cs="宋体"/>
          <w:color w:val="auto"/>
          <w:sz w:val="20"/>
          <w:szCs w:val="20"/>
          <w:highlight w:val="none"/>
        </w:rPr>
      </w:pPr>
    </w:p>
    <w:p>
      <w:pPr>
        <w:spacing w:line="440" w:lineRule="exact"/>
        <w:rPr>
          <w:rFonts w:hint="eastAsia" w:ascii="宋体" w:hAnsi="宋体" w:cs="宋体"/>
          <w:color w:val="auto"/>
          <w:sz w:val="22"/>
          <w:szCs w:val="20"/>
          <w:highlight w:val="none"/>
        </w:rPr>
      </w:pPr>
      <w:r>
        <w:rPr>
          <w:rFonts w:hint="eastAsia" w:ascii="宋体" w:hAnsi="宋体" w:cs="宋体"/>
          <w:color w:val="auto"/>
          <w:sz w:val="22"/>
          <w:szCs w:val="20"/>
          <w:highlight w:val="none"/>
        </w:rPr>
        <w:t>供应商名称：</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 xml:space="preserve"> </w:t>
      </w:r>
    </w:p>
    <w:p>
      <w:pPr>
        <w:spacing w:line="440" w:lineRule="exact"/>
        <w:rPr>
          <w:rFonts w:hint="eastAsia" w:ascii="宋体" w:hAnsi="宋体" w:cs="宋体"/>
          <w:color w:val="auto"/>
          <w:sz w:val="22"/>
          <w:szCs w:val="20"/>
          <w:highlight w:val="none"/>
        </w:rPr>
      </w:pPr>
      <w:r>
        <w:rPr>
          <w:rFonts w:hint="eastAsia" w:ascii="宋体" w:hAnsi="宋体" w:cs="宋体"/>
          <w:color w:val="auto"/>
          <w:sz w:val="22"/>
          <w:szCs w:val="20"/>
          <w:highlight w:val="none"/>
        </w:rPr>
        <w:t>单位性质：</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 xml:space="preserve"> </w:t>
      </w:r>
    </w:p>
    <w:p>
      <w:pPr>
        <w:spacing w:line="440" w:lineRule="exact"/>
        <w:rPr>
          <w:rFonts w:hint="eastAsia" w:ascii="宋体" w:hAnsi="宋体" w:cs="宋体"/>
          <w:color w:val="auto"/>
          <w:sz w:val="22"/>
          <w:szCs w:val="20"/>
          <w:highlight w:val="none"/>
        </w:rPr>
      </w:pPr>
      <w:r>
        <w:rPr>
          <w:rFonts w:hint="eastAsia" w:ascii="宋体" w:hAnsi="宋体" w:cs="宋体"/>
          <w:color w:val="auto"/>
          <w:sz w:val="22"/>
          <w:szCs w:val="20"/>
          <w:highlight w:val="none"/>
        </w:rPr>
        <w:t>地址：</w:t>
      </w:r>
      <w:r>
        <w:rPr>
          <w:rFonts w:hint="eastAsia" w:ascii="宋体" w:hAnsi="宋体" w:cs="宋体"/>
          <w:color w:val="auto"/>
          <w:sz w:val="22"/>
          <w:szCs w:val="20"/>
          <w:highlight w:val="none"/>
          <w:u w:val="single"/>
        </w:rPr>
        <w:t xml:space="preserve">                                   </w:t>
      </w:r>
    </w:p>
    <w:p>
      <w:pPr>
        <w:spacing w:line="440" w:lineRule="exact"/>
        <w:rPr>
          <w:rFonts w:hint="eastAsia" w:ascii="宋体" w:hAnsi="宋体" w:cs="宋体"/>
          <w:color w:val="auto"/>
          <w:sz w:val="22"/>
          <w:szCs w:val="20"/>
          <w:highlight w:val="none"/>
        </w:rPr>
      </w:pPr>
      <w:r>
        <w:rPr>
          <w:rFonts w:hint="eastAsia" w:ascii="宋体" w:hAnsi="宋体" w:cs="宋体"/>
          <w:color w:val="auto"/>
          <w:sz w:val="22"/>
          <w:szCs w:val="20"/>
          <w:highlight w:val="none"/>
        </w:rPr>
        <w:t>成立时间：</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 xml:space="preserve"> 年</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 xml:space="preserve"> 月</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 xml:space="preserve"> 日</w:t>
      </w:r>
    </w:p>
    <w:p>
      <w:pPr>
        <w:spacing w:line="440" w:lineRule="exact"/>
        <w:rPr>
          <w:rFonts w:hint="eastAsia" w:ascii="宋体" w:hAnsi="宋体" w:cs="宋体"/>
          <w:color w:val="auto"/>
          <w:sz w:val="22"/>
          <w:szCs w:val="20"/>
          <w:highlight w:val="none"/>
        </w:rPr>
      </w:pPr>
      <w:r>
        <w:rPr>
          <w:rFonts w:hint="eastAsia" w:ascii="宋体" w:hAnsi="宋体" w:cs="宋体"/>
          <w:color w:val="auto"/>
          <w:sz w:val="22"/>
          <w:szCs w:val="20"/>
          <w:highlight w:val="none"/>
        </w:rPr>
        <w:t>经营期限：</w:t>
      </w:r>
      <w:r>
        <w:rPr>
          <w:rFonts w:hint="eastAsia" w:ascii="宋体" w:hAnsi="宋体" w:cs="宋体"/>
          <w:color w:val="auto"/>
          <w:sz w:val="22"/>
          <w:szCs w:val="20"/>
          <w:highlight w:val="none"/>
          <w:u w:val="single"/>
        </w:rPr>
        <w:t xml:space="preserve">                               </w:t>
      </w:r>
    </w:p>
    <w:p>
      <w:pPr>
        <w:spacing w:line="440" w:lineRule="exact"/>
        <w:rPr>
          <w:rFonts w:hint="eastAsia" w:ascii="宋体" w:hAnsi="宋体" w:cs="宋体"/>
          <w:color w:val="auto"/>
          <w:sz w:val="22"/>
          <w:szCs w:val="20"/>
          <w:highlight w:val="none"/>
        </w:rPr>
      </w:pPr>
      <w:r>
        <w:rPr>
          <w:rFonts w:hint="eastAsia" w:ascii="宋体" w:hAnsi="宋体" w:cs="宋体"/>
          <w:color w:val="auto"/>
          <w:sz w:val="22"/>
          <w:szCs w:val="20"/>
          <w:highlight w:val="none"/>
        </w:rPr>
        <w:t>姓名：</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 xml:space="preserve"> 性别：</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 xml:space="preserve"> 年龄：</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职务：</w:t>
      </w:r>
      <w:r>
        <w:rPr>
          <w:rFonts w:hint="eastAsia" w:ascii="宋体" w:hAnsi="宋体" w:cs="宋体"/>
          <w:color w:val="auto"/>
          <w:sz w:val="22"/>
          <w:szCs w:val="20"/>
          <w:highlight w:val="none"/>
          <w:u w:val="single"/>
        </w:rPr>
        <w:t xml:space="preserve">        </w:t>
      </w:r>
    </w:p>
    <w:p>
      <w:pPr>
        <w:spacing w:line="440" w:lineRule="exact"/>
        <w:rPr>
          <w:rFonts w:hint="eastAsia" w:ascii="宋体" w:hAnsi="宋体" w:cs="宋体"/>
          <w:color w:val="auto"/>
          <w:sz w:val="22"/>
          <w:szCs w:val="20"/>
          <w:highlight w:val="none"/>
        </w:rPr>
      </w:pPr>
      <w:r>
        <w:rPr>
          <w:rFonts w:hint="eastAsia" w:ascii="宋体" w:hAnsi="宋体" w:cs="宋体"/>
          <w:color w:val="auto"/>
          <w:sz w:val="22"/>
          <w:szCs w:val="20"/>
          <w:highlight w:val="none"/>
        </w:rPr>
        <w:t>系</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 xml:space="preserve"> （供应商名称）的法定代表人。</w:t>
      </w:r>
    </w:p>
    <w:p>
      <w:pPr>
        <w:spacing w:line="440" w:lineRule="exact"/>
        <w:ind w:firstLine="440" w:firstLineChars="200"/>
        <w:rPr>
          <w:rFonts w:hint="eastAsia" w:ascii="宋体" w:hAnsi="宋体" w:cs="宋体"/>
          <w:color w:val="auto"/>
          <w:sz w:val="22"/>
          <w:szCs w:val="20"/>
          <w:highlight w:val="none"/>
        </w:rPr>
      </w:pPr>
      <w:r>
        <w:rPr>
          <w:rFonts w:hint="eastAsia" w:ascii="宋体" w:hAnsi="宋体" w:cs="宋体"/>
          <w:color w:val="auto"/>
          <w:sz w:val="22"/>
          <w:szCs w:val="20"/>
          <w:highlight w:val="none"/>
        </w:rPr>
        <w:t>特此证明。</w:t>
      </w:r>
    </w:p>
    <w:p>
      <w:pPr>
        <w:spacing w:line="440" w:lineRule="exact"/>
        <w:rPr>
          <w:rFonts w:hint="eastAsia" w:ascii="宋体" w:hAnsi="宋体" w:cs="宋体"/>
          <w:color w:val="auto"/>
          <w:sz w:val="22"/>
          <w:szCs w:val="20"/>
          <w:highlight w:val="none"/>
        </w:rPr>
      </w:pPr>
    </w:p>
    <w:p>
      <w:pPr>
        <w:spacing w:line="440" w:lineRule="exact"/>
        <w:rPr>
          <w:rFonts w:hint="eastAsia" w:ascii="宋体" w:hAnsi="宋体" w:cs="宋体"/>
          <w:color w:val="auto"/>
          <w:sz w:val="22"/>
          <w:szCs w:val="20"/>
          <w:highlight w:val="none"/>
        </w:rPr>
      </w:pPr>
    </w:p>
    <w:p>
      <w:pPr>
        <w:spacing w:line="440" w:lineRule="exact"/>
        <w:jc w:val="right"/>
        <w:rPr>
          <w:rFonts w:hint="eastAsia" w:ascii="宋体" w:hAnsi="宋体" w:cs="宋体"/>
          <w:color w:val="auto"/>
          <w:sz w:val="22"/>
          <w:szCs w:val="20"/>
          <w:highlight w:val="none"/>
        </w:rPr>
      </w:pPr>
      <w:r>
        <w:rPr>
          <w:rFonts w:hint="eastAsia" w:ascii="宋体" w:hAnsi="宋体" w:cs="宋体"/>
          <w:color w:val="auto"/>
          <w:sz w:val="22"/>
          <w:szCs w:val="20"/>
          <w:highlight w:val="none"/>
        </w:rPr>
        <w:t xml:space="preserve">                          供应商：</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（盖单位公章）</w:t>
      </w:r>
    </w:p>
    <w:p>
      <w:pPr>
        <w:spacing w:line="440" w:lineRule="exact"/>
        <w:jc w:val="right"/>
        <w:rPr>
          <w:rFonts w:hint="eastAsia" w:ascii="宋体" w:hAnsi="宋体" w:cs="宋体"/>
          <w:color w:val="auto"/>
          <w:sz w:val="22"/>
          <w:szCs w:val="20"/>
          <w:highlight w:val="none"/>
        </w:rPr>
      </w:pPr>
      <w:r>
        <w:rPr>
          <w:rFonts w:hint="eastAsia" w:ascii="宋体" w:hAnsi="宋体" w:cs="宋体"/>
          <w:color w:val="auto"/>
          <w:sz w:val="22"/>
          <w:szCs w:val="20"/>
          <w:highlight w:val="none"/>
        </w:rPr>
        <w:t xml:space="preserve">                                   </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年</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月</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 xml:space="preserve">日 </w:t>
      </w:r>
    </w:p>
    <w:p>
      <w:pPr>
        <w:spacing w:line="440" w:lineRule="exact"/>
        <w:rPr>
          <w:rFonts w:hint="eastAsia" w:ascii="宋体" w:hAnsi="宋体" w:cs="宋体"/>
          <w:color w:val="auto"/>
          <w:sz w:val="20"/>
          <w:szCs w:val="20"/>
          <w:highlight w:val="none"/>
        </w:rPr>
      </w:pPr>
    </w:p>
    <w:p>
      <w:pPr>
        <w:spacing w:line="440" w:lineRule="exact"/>
        <w:rPr>
          <w:rFonts w:hint="eastAsia" w:ascii="宋体" w:hAnsi="宋体" w:cs="宋体"/>
          <w:color w:val="auto"/>
          <w:sz w:val="20"/>
          <w:szCs w:val="20"/>
          <w:highlight w:val="none"/>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trPr>
        <w:tc>
          <w:tcPr>
            <w:tcW w:w="8528" w:type="dxa"/>
            <w:noWrap w:val="0"/>
            <w:vAlign w:val="center"/>
          </w:tcPr>
          <w:p>
            <w:pPr>
              <w:spacing w:line="4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法定代表人身份证扫描件</w:t>
            </w:r>
          </w:p>
          <w:p>
            <w:pPr>
              <w:spacing w:line="440" w:lineRule="exact"/>
              <w:jc w:val="center"/>
              <w:rPr>
                <w:rFonts w:hint="eastAsia" w:ascii="宋体" w:hAnsi="宋体" w:cs="宋体"/>
                <w:color w:val="auto"/>
                <w:sz w:val="20"/>
                <w:szCs w:val="20"/>
                <w:highlight w:val="none"/>
              </w:rPr>
            </w:pPr>
          </w:p>
        </w:tc>
      </w:tr>
    </w:tbl>
    <w:p>
      <w:pPr>
        <w:spacing w:line="440" w:lineRule="exact"/>
        <w:rPr>
          <w:rFonts w:hint="eastAsia" w:ascii="宋体" w:hAnsi="宋体" w:cs="宋体"/>
          <w:color w:val="auto"/>
          <w:sz w:val="20"/>
          <w:szCs w:val="20"/>
          <w:highlight w:val="none"/>
        </w:rPr>
      </w:pPr>
    </w:p>
    <w:p>
      <w:pPr>
        <w:spacing w:line="440" w:lineRule="exact"/>
        <w:rPr>
          <w:rFonts w:hint="eastAsia" w:ascii="宋体" w:hAnsi="宋体" w:cs="宋体"/>
          <w:color w:val="auto"/>
          <w:sz w:val="20"/>
          <w:szCs w:val="20"/>
          <w:highlight w:val="none"/>
        </w:rPr>
      </w:pPr>
    </w:p>
    <w:p>
      <w:pPr>
        <w:spacing w:line="440" w:lineRule="exact"/>
        <w:rPr>
          <w:rFonts w:hint="eastAsia" w:ascii="宋体" w:hAnsi="宋体" w:cs="宋体"/>
          <w:color w:val="auto"/>
          <w:sz w:val="18"/>
          <w:szCs w:val="18"/>
          <w:highlight w:val="none"/>
        </w:rPr>
      </w:pPr>
    </w:p>
    <w:p>
      <w:pPr>
        <w:spacing w:line="440" w:lineRule="exact"/>
        <w:rPr>
          <w:rFonts w:hint="eastAsia" w:ascii="宋体" w:hAnsi="宋体" w:cs="宋体"/>
          <w:color w:val="auto"/>
          <w:sz w:val="18"/>
          <w:szCs w:val="18"/>
          <w:highlight w:val="none"/>
        </w:rPr>
      </w:pPr>
    </w:p>
    <w:p>
      <w:pPr>
        <w:pStyle w:val="9"/>
        <w:jc w:val="center"/>
        <w:rPr>
          <w:rFonts w:hint="eastAsia" w:ascii="宋体" w:hAnsi="宋体" w:eastAsia="宋体" w:cs="宋体"/>
          <w:color w:val="auto"/>
          <w:highlight w:val="none"/>
        </w:rPr>
      </w:pPr>
      <w:bookmarkStart w:id="1198" w:name="_Toc21874"/>
      <w:bookmarkStart w:id="1199" w:name="_Toc318989765"/>
      <w:bookmarkStart w:id="1200" w:name="_Toc202941490"/>
      <w:bookmarkStart w:id="1201" w:name="_Toc4444"/>
      <w:bookmarkStart w:id="1202" w:name="_Toc23371"/>
      <w:bookmarkStart w:id="1203" w:name="_Toc21616"/>
      <w:bookmarkStart w:id="1204" w:name="_Toc441791190"/>
      <w:bookmarkStart w:id="1205" w:name="_Toc20490"/>
      <w:bookmarkStart w:id="1206" w:name="_Toc18014"/>
      <w:bookmarkStart w:id="1207" w:name="_Toc466298162"/>
      <w:r>
        <w:rPr>
          <w:rFonts w:hint="eastAsia" w:ascii="宋体" w:hAnsi="宋体" w:eastAsia="宋体" w:cs="宋体"/>
          <w:color w:val="auto"/>
          <w:highlight w:val="none"/>
        </w:rPr>
        <w:t>三、授权委托书</w:t>
      </w:r>
      <w:bookmarkEnd w:id="1198"/>
      <w:bookmarkEnd w:id="1199"/>
      <w:bookmarkEnd w:id="1200"/>
      <w:bookmarkEnd w:id="1201"/>
      <w:bookmarkEnd w:id="1202"/>
      <w:bookmarkEnd w:id="1203"/>
      <w:bookmarkEnd w:id="1204"/>
      <w:bookmarkEnd w:id="1205"/>
      <w:bookmarkEnd w:id="1206"/>
      <w:bookmarkEnd w:id="1207"/>
    </w:p>
    <w:p>
      <w:pPr>
        <w:topLinePunct/>
        <w:spacing w:line="440" w:lineRule="exact"/>
        <w:ind w:firstLine="440" w:firstLineChars="200"/>
        <w:rPr>
          <w:rFonts w:hint="eastAsia" w:ascii="宋体" w:hAnsi="宋体" w:cs="宋体"/>
          <w:color w:val="auto"/>
          <w:sz w:val="22"/>
          <w:szCs w:val="20"/>
          <w:highlight w:val="none"/>
        </w:rPr>
      </w:pPr>
      <w:r>
        <w:rPr>
          <w:rFonts w:hint="eastAsia" w:ascii="宋体" w:hAnsi="宋体" w:cs="宋体"/>
          <w:color w:val="auto"/>
          <w:sz w:val="22"/>
          <w:szCs w:val="20"/>
          <w:highlight w:val="none"/>
        </w:rPr>
        <w:t>本人</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（姓名）系</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（供应商名称）的法定代表人，现委托</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（姓名）为我方代理人。代理人根据授权，以我方名义签署、澄清、说明、补正、递交、撤回、修改</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（项目名称）响应文件、签订合同和处理有关事宜，其法律后果由我方承担。</w:t>
      </w:r>
    </w:p>
    <w:p>
      <w:pPr>
        <w:spacing w:line="440" w:lineRule="exact"/>
        <w:rPr>
          <w:rFonts w:hint="eastAsia" w:ascii="宋体" w:hAnsi="宋体" w:cs="宋体"/>
          <w:color w:val="auto"/>
          <w:sz w:val="22"/>
          <w:szCs w:val="20"/>
          <w:highlight w:val="none"/>
        </w:rPr>
      </w:pPr>
      <w:r>
        <w:rPr>
          <w:rFonts w:hint="eastAsia" w:ascii="宋体" w:hAnsi="宋体" w:cs="宋体"/>
          <w:color w:val="auto"/>
          <w:sz w:val="22"/>
          <w:szCs w:val="20"/>
          <w:highlight w:val="none"/>
        </w:rPr>
        <w:t xml:space="preserve">    委托期限：</w:t>
      </w:r>
      <w:r>
        <w:rPr>
          <w:rFonts w:hint="eastAsia" w:ascii="宋体" w:hAnsi="宋体" w:cs="宋体"/>
          <w:color w:val="auto"/>
          <w:sz w:val="22"/>
          <w:szCs w:val="20"/>
          <w:highlight w:val="none"/>
          <w:u w:val="single"/>
        </w:rPr>
        <w:t xml:space="preserve">长期 </w:t>
      </w:r>
      <w:r>
        <w:rPr>
          <w:rFonts w:hint="eastAsia" w:ascii="宋体" w:hAnsi="宋体" w:cs="宋体"/>
          <w:color w:val="auto"/>
          <w:sz w:val="22"/>
          <w:szCs w:val="20"/>
          <w:highlight w:val="none"/>
        </w:rPr>
        <w:t>。</w:t>
      </w:r>
    </w:p>
    <w:p>
      <w:pPr>
        <w:spacing w:line="440" w:lineRule="exact"/>
        <w:ind w:firstLine="440" w:firstLineChars="200"/>
        <w:rPr>
          <w:rFonts w:hint="eastAsia" w:ascii="宋体" w:hAnsi="宋体" w:cs="宋体"/>
          <w:color w:val="auto"/>
          <w:sz w:val="22"/>
          <w:szCs w:val="20"/>
          <w:highlight w:val="none"/>
        </w:rPr>
      </w:pPr>
      <w:r>
        <w:rPr>
          <w:rFonts w:hint="eastAsia" w:ascii="宋体" w:hAnsi="宋体" w:cs="宋体"/>
          <w:color w:val="auto"/>
          <w:sz w:val="22"/>
          <w:szCs w:val="20"/>
          <w:highlight w:val="none"/>
        </w:rPr>
        <w:t>代理人无转委托权。</w:t>
      </w:r>
    </w:p>
    <w:p>
      <w:pPr>
        <w:spacing w:line="440" w:lineRule="exact"/>
        <w:rPr>
          <w:rFonts w:hint="eastAsia" w:ascii="宋体" w:hAnsi="宋体" w:cs="宋体"/>
          <w:color w:val="auto"/>
          <w:sz w:val="22"/>
          <w:szCs w:val="20"/>
          <w:highlight w:val="none"/>
        </w:rPr>
      </w:pPr>
    </w:p>
    <w:p>
      <w:pPr>
        <w:spacing w:line="440" w:lineRule="exact"/>
        <w:rPr>
          <w:rFonts w:hint="eastAsia" w:ascii="宋体" w:hAnsi="宋体" w:cs="宋体"/>
          <w:color w:val="auto"/>
          <w:sz w:val="22"/>
          <w:szCs w:val="20"/>
          <w:highlight w:val="none"/>
        </w:rPr>
      </w:pPr>
    </w:p>
    <w:p>
      <w:pPr>
        <w:spacing w:line="440" w:lineRule="exact"/>
        <w:rPr>
          <w:rFonts w:hint="eastAsia" w:ascii="宋体" w:hAnsi="宋体" w:cs="宋体"/>
          <w:color w:val="auto"/>
          <w:sz w:val="22"/>
          <w:szCs w:val="20"/>
          <w:highlight w:val="none"/>
        </w:rPr>
      </w:pPr>
    </w:p>
    <w:p>
      <w:pPr>
        <w:spacing w:line="440" w:lineRule="exact"/>
        <w:ind w:left="2730" w:leftChars="1300"/>
        <w:rPr>
          <w:rFonts w:hint="eastAsia" w:ascii="宋体" w:hAnsi="宋体" w:cs="宋体"/>
          <w:color w:val="auto"/>
          <w:sz w:val="22"/>
          <w:szCs w:val="20"/>
          <w:highlight w:val="none"/>
        </w:rPr>
      </w:pPr>
      <w:r>
        <w:rPr>
          <w:rFonts w:hint="eastAsia" w:ascii="宋体" w:hAnsi="宋体" w:cs="宋体"/>
          <w:color w:val="auto"/>
          <w:sz w:val="22"/>
          <w:szCs w:val="20"/>
          <w:highlight w:val="none"/>
        </w:rPr>
        <w:t>供应商：</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（盖单位公章）</w:t>
      </w:r>
    </w:p>
    <w:p>
      <w:pPr>
        <w:spacing w:line="440" w:lineRule="exact"/>
        <w:ind w:left="2730" w:leftChars="1300"/>
        <w:rPr>
          <w:rFonts w:hint="eastAsia" w:ascii="宋体" w:hAnsi="宋体" w:cs="宋体"/>
          <w:color w:val="auto"/>
          <w:sz w:val="22"/>
          <w:szCs w:val="20"/>
          <w:highlight w:val="none"/>
        </w:rPr>
      </w:pPr>
      <w:r>
        <w:rPr>
          <w:rFonts w:hint="eastAsia" w:ascii="宋体" w:hAnsi="宋体" w:cs="宋体"/>
          <w:color w:val="auto"/>
          <w:sz w:val="22"/>
          <w:szCs w:val="20"/>
          <w:highlight w:val="none"/>
        </w:rPr>
        <w:t>法定代表人：</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（签字或盖章）</w:t>
      </w:r>
    </w:p>
    <w:p>
      <w:pPr>
        <w:spacing w:line="440" w:lineRule="exact"/>
        <w:ind w:left="2730" w:leftChars="1300"/>
        <w:rPr>
          <w:rFonts w:hint="eastAsia" w:ascii="宋体" w:hAnsi="宋体" w:cs="宋体"/>
          <w:color w:val="auto"/>
          <w:sz w:val="22"/>
          <w:szCs w:val="20"/>
          <w:highlight w:val="none"/>
        </w:rPr>
      </w:pPr>
      <w:r>
        <w:rPr>
          <w:rFonts w:hint="eastAsia" w:ascii="宋体" w:hAnsi="宋体" w:cs="宋体"/>
          <w:color w:val="auto"/>
          <w:sz w:val="22"/>
          <w:szCs w:val="20"/>
          <w:highlight w:val="none"/>
        </w:rPr>
        <w:t>身份证号码：</w:t>
      </w:r>
      <w:r>
        <w:rPr>
          <w:rFonts w:hint="eastAsia" w:ascii="宋体" w:hAnsi="宋体" w:cs="宋体"/>
          <w:color w:val="auto"/>
          <w:sz w:val="22"/>
          <w:szCs w:val="20"/>
          <w:highlight w:val="none"/>
          <w:u w:val="single"/>
        </w:rPr>
        <w:t xml:space="preserve">                                        </w:t>
      </w:r>
    </w:p>
    <w:p>
      <w:pPr>
        <w:spacing w:line="440" w:lineRule="exact"/>
        <w:ind w:left="2730" w:leftChars="1300"/>
        <w:rPr>
          <w:rFonts w:hint="eastAsia" w:ascii="宋体" w:hAnsi="宋体" w:cs="宋体"/>
          <w:color w:val="auto"/>
          <w:sz w:val="22"/>
          <w:szCs w:val="20"/>
          <w:highlight w:val="none"/>
        </w:rPr>
      </w:pPr>
      <w:r>
        <w:rPr>
          <w:rFonts w:hint="eastAsia" w:ascii="宋体" w:hAnsi="宋体" w:cs="宋体"/>
          <w:color w:val="auto"/>
          <w:sz w:val="22"/>
          <w:szCs w:val="20"/>
          <w:highlight w:val="none"/>
        </w:rPr>
        <w:t>委托代理人：</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（签字或盖章）</w:t>
      </w:r>
    </w:p>
    <w:p>
      <w:pPr>
        <w:spacing w:line="440" w:lineRule="exact"/>
        <w:ind w:left="2730" w:leftChars="1300"/>
        <w:rPr>
          <w:rFonts w:hint="eastAsia" w:ascii="宋体" w:hAnsi="宋体" w:cs="宋体"/>
          <w:color w:val="auto"/>
          <w:sz w:val="22"/>
          <w:szCs w:val="20"/>
          <w:highlight w:val="none"/>
        </w:rPr>
      </w:pPr>
      <w:r>
        <w:rPr>
          <w:rFonts w:hint="eastAsia" w:ascii="宋体" w:hAnsi="宋体" w:cs="宋体"/>
          <w:color w:val="auto"/>
          <w:sz w:val="22"/>
          <w:szCs w:val="20"/>
          <w:highlight w:val="none"/>
        </w:rPr>
        <w:t>身份证号码：</w:t>
      </w:r>
      <w:r>
        <w:rPr>
          <w:rFonts w:hint="eastAsia" w:ascii="宋体" w:hAnsi="宋体" w:cs="宋体"/>
          <w:color w:val="auto"/>
          <w:sz w:val="22"/>
          <w:szCs w:val="20"/>
          <w:highlight w:val="none"/>
          <w:u w:val="single"/>
        </w:rPr>
        <w:t xml:space="preserve">                                        </w:t>
      </w:r>
    </w:p>
    <w:p>
      <w:pPr>
        <w:spacing w:line="440" w:lineRule="exact"/>
        <w:jc w:val="right"/>
        <w:rPr>
          <w:rFonts w:hint="eastAsia" w:ascii="宋体" w:hAnsi="宋体" w:cs="宋体"/>
          <w:color w:val="auto"/>
          <w:sz w:val="22"/>
          <w:szCs w:val="20"/>
          <w:highlight w:val="none"/>
        </w:rPr>
      </w:pP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年</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月</w:t>
      </w: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日</w:t>
      </w:r>
    </w:p>
    <w:p>
      <w:pPr>
        <w:spacing w:line="440" w:lineRule="exact"/>
        <w:rPr>
          <w:rFonts w:hint="eastAsia" w:ascii="宋体" w:hAnsi="宋体" w:cs="宋体"/>
          <w:color w:val="auto"/>
          <w:sz w:val="20"/>
          <w:szCs w:val="20"/>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528" w:type="dxa"/>
            <w:noWrap w:val="0"/>
            <w:vAlign w:val="center"/>
          </w:tcPr>
          <w:p>
            <w:pPr>
              <w:spacing w:line="4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委托代理人身份证扫描件</w:t>
            </w:r>
          </w:p>
          <w:p>
            <w:pPr>
              <w:spacing w:line="440" w:lineRule="exact"/>
              <w:jc w:val="center"/>
              <w:rPr>
                <w:rFonts w:hint="eastAsia" w:ascii="宋体" w:hAnsi="宋体" w:cs="宋体"/>
                <w:color w:val="auto"/>
                <w:sz w:val="20"/>
                <w:szCs w:val="20"/>
                <w:highlight w:val="none"/>
              </w:rPr>
            </w:pPr>
          </w:p>
        </w:tc>
      </w:tr>
    </w:tbl>
    <w:p>
      <w:pPr>
        <w:spacing w:line="440" w:lineRule="exact"/>
        <w:rPr>
          <w:rFonts w:hint="eastAsia" w:ascii="宋体" w:hAnsi="宋体" w:cs="宋体"/>
          <w:color w:val="auto"/>
          <w:sz w:val="20"/>
          <w:szCs w:val="20"/>
          <w:highlight w:val="none"/>
        </w:rPr>
      </w:pPr>
    </w:p>
    <w:p>
      <w:pPr>
        <w:pStyle w:val="9"/>
        <w:rPr>
          <w:rFonts w:hint="eastAsia" w:ascii="宋体" w:hAnsi="宋体" w:eastAsia="宋体" w:cs="宋体"/>
          <w:color w:val="auto"/>
          <w:highlight w:val="none"/>
        </w:rPr>
      </w:pPr>
      <w:bookmarkStart w:id="1208" w:name="_Toc17791"/>
      <w:bookmarkStart w:id="1209" w:name="_Toc8208"/>
      <w:bookmarkStart w:id="1210" w:name="_Toc14223"/>
      <w:bookmarkStart w:id="1211" w:name="_Toc15039"/>
    </w:p>
    <w:p>
      <w:pPr>
        <w:rPr>
          <w:rFonts w:hint="eastAsia" w:ascii="宋体" w:hAnsi="宋体" w:cs="宋体"/>
          <w:b/>
          <w:bCs/>
          <w:color w:val="auto"/>
          <w:highlight w:val="none"/>
        </w:rPr>
      </w:pPr>
    </w:p>
    <w:p>
      <w:pPr>
        <w:pStyle w:val="2"/>
        <w:spacing w:before="156" w:after="156"/>
        <w:rPr>
          <w:rFonts w:hint="eastAsia"/>
          <w:color w:val="auto"/>
          <w:highlight w:val="none"/>
        </w:rPr>
      </w:pPr>
    </w:p>
    <w:p>
      <w:pPr>
        <w:pStyle w:val="9"/>
        <w:jc w:val="center"/>
        <w:rPr>
          <w:rFonts w:hint="eastAsia" w:ascii="宋体" w:hAnsi="宋体" w:eastAsia="宋体" w:cs="宋体"/>
          <w:color w:val="auto"/>
          <w:highlight w:val="none"/>
        </w:rPr>
      </w:pPr>
      <w:bookmarkStart w:id="1212" w:name="_Toc23445"/>
      <w:bookmarkStart w:id="1213" w:name="_Toc14712"/>
      <w:r>
        <w:rPr>
          <w:rFonts w:hint="eastAsia" w:ascii="宋体" w:hAnsi="宋体" w:eastAsia="宋体" w:cs="宋体"/>
          <w:color w:val="auto"/>
          <w:highlight w:val="none"/>
        </w:rPr>
        <w:t>四、资格证明文件</w:t>
      </w:r>
      <w:bookmarkEnd w:id="1208"/>
      <w:bookmarkEnd w:id="1209"/>
      <w:bookmarkEnd w:id="1210"/>
      <w:bookmarkEnd w:id="1211"/>
      <w:bookmarkEnd w:id="1212"/>
      <w:bookmarkEnd w:id="1213"/>
    </w:p>
    <w:p>
      <w:pPr>
        <w:pStyle w:val="10"/>
        <w:jc w:val="center"/>
        <w:rPr>
          <w:rFonts w:hint="eastAsia" w:ascii="宋体" w:hAnsi="宋体" w:cs="宋体"/>
          <w:color w:val="auto"/>
          <w:highlight w:val="none"/>
        </w:rPr>
      </w:pPr>
      <w:bookmarkStart w:id="1214" w:name="_Toc8976"/>
      <w:bookmarkStart w:id="1215" w:name="_Toc1102"/>
      <w:bookmarkStart w:id="1216" w:name="_Toc8642"/>
      <w:bookmarkStart w:id="1217" w:name="_Toc16788"/>
      <w:r>
        <w:rPr>
          <w:rFonts w:hint="eastAsia" w:ascii="宋体" w:hAnsi="宋体" w:cs="宋体"/>
          <w:color w:val="auto"/>
          <w:highlight w:val="none"/>
        </w:rPr>
        <w:t>（一）供应商基本情况表</w:t>
      </w:r>
      <w:bookmarkEnd w:id="1214"/>
      <w:bookmarkEnd w:id="1215"/>
      <w:bookmarkEnd w:id="1216"/>
      <w:bookmarkEnd w:id="1217"/>
    </w:p>
    <w:p>
      <w:pPr>
        <w:spacing w:line="480" w:lineRule="exact"/>
        <w:rPr>
          <w:rFonts w:hint="eastAsia" w:ascii="宋体" w:hAnsi="宋体" w:cs="宋体"/>
          <w:b/>
          <w:color w:val="auto"/>
          <w:sz w:val="32"/>
          <w:szCs w:val="32"/>
          <w:highlight w:val="none"/>
        </w:rPr>
      </w:pPr>
    </w:p>
    <w:tbl>
      <w:tblPr>
        <w:tblStyle w:val="31"/>
        <w:tblW w:w="8787"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0" w:type="dxa"/>
          <w:bottom w:w="0" w:type="dxa"/>
          <w:right w:w="0" w:type="dxa"/>
        </w:tblCellMar>
      </w:tblPr>
      <w:tblGrid>
        <w:gridCol w:w="1818"/>
        <w:gridCol w:w="983"/>
        <w:gridCol w:w="1463"/>
        <w:gridCol w:w="1454"/>
        <w:gridCol w:w="927"/>
        <w:gridCol w:w="978"/>
        <w:gridCol w:w="11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供应商名称</w:t>
            </w:r>
          </w:p>
        </w:tc>
        <w:tc>
          <w:tcPr>
            <w:tcW w:w="6969" w:type="dxa"/>
            <w:gridSpan w:val="6"/>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注册地址</w:t>
            </w:r>
          </w:p>
        </w:tc>
        <w:tc>
          <w:tcPr>
            <w:tcW w:w="3900" w:type="dxa"/>
            <w:gridSpan w:val="3"/>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c>
          <w:tcPr>
            <w:tcW w:w="927"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邮政编码</w:t>
            </w:r>
          </w:p>
        </w:tc>
        <w:tc>
          <w:tcPr>
            <w:tcW w:w="2142" w:type="dxa"/>
            <w:gridSpan w:val="2"/>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Merge w:val="restart"/>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联系方式</w:t>
            </w:r>
          </w:p>
        </w:tc>
        <w:tc>
          <w:tcPr>
            <w:tcW w:w="983"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联系人</w:t>
            </w:r>
          </w:p>
        </w:tc>
        <w:tc>
          <w:tcPr>
            <w:tcW w:w="2917" w:type="dxa"/>
            <w:gridSpan w:val="2"/>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c>
          <w:tcPr>
            <w:tcW w:w="927"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电  话</w:t>
            </w:r>
          </w:p>
        </w:tc>
        <w:tc>
          <w:tcPr>
            <w:tcW w:w="2142" w:type="dxa"/>
            <w:gridSpan w:val="2"/>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vMerge w:val="continue"/>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p>
        </w:tc>
        <w:tc>
          <w:tcPr>
            <w:tcW w:w="983"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传  真</w:t>
            </w:r>
          </w:p>
        </w:tc>
        <w:tc>
          <w:tcPr>
            <w:tcW w:w="2917" w:type="dxa"/>
            <w:gridSpan w:val="2"/>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c>
          <w:tcPr>
            <w:tcW w:w="927"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网  址</w:t>
            </w:r>
          </w:p>
        </w:tc>
        <w:tc>
          <w:tcPr>
            <w:tcW w:w="2142" w:type="dxa"/>
            <w:gridSpan w:val="2"/>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法定代表人</w:t>
            </w:r>
          </w:p>
        </w:tc>
        <w:tc>
          <w:tcPr>
            <w:tcW w:w="983"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姓  名</w:t>
            </w:r>
          </w:p>
        </w:tc>
        <w:tc>
          <w:tcPr>
            <w:tcW w:w="1463"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c>
          <w:tcPr>
            <w:tcW w:w="1454"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技术职称</w:t>
            </w:r>
          </w:p>
        </w:tc>
        <w:tc>
          <w:tcPr>
            <w:tcW w:w="927"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c>
          <w:tcPr>
            <w:tcW w:w="978"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电  话</w:t>
            </w:r>
          </w:p>
        </w:tc>
        <w:tc>
          <w:tcPr>
            <w:tcW w:w="1164"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技术负责人</w:t>
            </w:r>
          </w:p>
        </w:tc>
        <w:tc>
          <w:tcPr>
            <w:tcW w:w="983"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姓  名</w:t>
            </w:r>
          </w:p>
        </w:tc>
        <w:tc>
          <w:tcPr>
            <w:tcW w:w="1463"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c>
          <w:tcPr>
            <w:tcW w:w="1454"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技术职称</w:t>
            </w:r>
          </w:p>
        </w:tc>
        <w:tc>
          <w:tcPr>
            <w:tcW w:w="927"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c>
          <w:tcPr>
            <w:tcW w:w="978"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电  话</w:t>
            </w:r>
          </w:p>
        </w:tc>
        <w:tc>
          <w:tcPr>
            <w:tcW w:w="1164"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成立时间</w:t>
            </w:r>
          </w:p>
        </w:tc>
        <w:tc>
          <w:tcPr>
            <w:tcW w:w="2446" w:type="dxa"/>
            <w:gridSpan w:val="2"/>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c>
          <w:tcPr>
            <w:tcW w:w="1454"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员工总人数</w:t>
            </w:r>
          </w:p>
        </w:tc>
        <w:tc>
          <w:tcPr>
            <w:tcW w:w="3069" w:type="dxa"/>
            <w:gridSpan w:val="3"/>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营业执照号</w:t>
            </w:r>
          </w:p>
        </w:tc>
        <w:tc>
          <w:tcPr>
            <w:tcW w:w="6969" w:type="dxa"/>
            <w:gridSpan w:val="6"/>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p>
            <w:pPr>
              <w:pStyle w:val="46"/>
              <w:keepNext w:val="0"/>
              <w:keepLines w:val="0"/>
              <w:pageBreakBefore w:val="0"/>
              <w:widowControl w:val="0"/>
              <w:kinsoku/>
              <w:wordWrap/>
              <w:overflowPunct/>
              <w:topLinePunct w:val="0"/>
              <w:bidi w:val="0"/>
              <w:snapToGrid/>
              <w:ind w:firstLine="0" w:firstLineChars="0"/>
              <w:textAlignment w:val="auto"/>
              <w:rPr>
                <w:rFonts w:hint="eastAsia" w:ascii="宋体" w:hAnsi="宋体" w:cs="宋体"/>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注册资金</w:t>
            </w:r>
          </w:p>
        </w:tc>
        <w:tc>
          <w:tcPr>
            <w:tcW w:w="6969" w:type="dxa"/>
            <w:gridSpan w:val="6"/>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开户银行</w:t>
            </w:r>
          </w:p>
        </w:tc>
        <w:tc>
          <w:tcPr>
            <w:tcW w:w="6969" w:type="dxa"/>
            <w:gridSpan w:val="6"/>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账号</w:t>
            </w:r>
          </w:p>
        </w:tc>
        <w:tc>
          <w:tcPr>
            <w:tcW w:w="6969" w:type="dxa"/>
            <w:gridSpan w:val="6"/>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经营范围</w:t>
            </w:r>
          </w:p>
        </w:tc>
        <w:tc>
          <w:tcPr>
            <w:tcW w:w="6969" w:type="dxa"/>
            <w:gridSpan w:val="6"/>
            <w:noWrap w:val="0"/>
            <w:vAlign w:val="center"/>
          </w:tcPr>
          <w:p>
            <w:pPr>
              <w:keepNext w:val="0"/>
              <w:keepLines w:val="0"/>
              <w:pageBreakBefore w:val="0"/>
              <w:widowControl w:val="0"/>
              <w:kinsoku/>
              <w:wordWrap/>
              <w:overflowPunct/>
              <w:topLinePunct w:val="0"/>
              <w:bidi w:val="0"/>
              <w:snapToGrid/>
              <w:ind w:firstLine="0" w:firstLineChars="0"/>
              <w:textAlignment w:val="auto"/>
              <w:rPr>
                <w:rFonts w:hint="eastAsia" w:ascii="宋体" w:hAnsi="宋体" w:cs="宋体"/>
                <w:color w:val="auto"/>
                <w:highlight w:val="none"/>
              </w:rPr>
            </w:pPr>
          </w:p>
          <w:p>
            <w:pPr>
              <w:pStyle w:val="46"/>
              <w:keepNext w:val="0"/>
              <w:keepLines w:val="0"/>
              <w:pageBreakBefore w:val="0"/>
              <w:widowControl w:val="0"/>
              <w:kinsoku/>
              <w:wordWrap/>
              <w:overflowPunct/>
              <w:topLinePunct w:val="0"/>
              <w:bidi w:val="0"/>
              <w:snapToGrid/>
              <w:ind w:firstLine="0" w:firstLineChars="0"/>
              <w:textAlignment w:val="auto"/>
              <w:rPr>
                <w:rFonts w:hint="eastAsia" w:ascii="宋体" w:hAnsi="宋体" w:cs="宋体"/>
                <w:color w:val="auto"/>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1818" w:type="dxa"/>
            <w:noWrap w:val="0"/>
            <w:vAlign w:val="center"/>
          </w:tcPr>
          <w:p>
            <w:pPr>
              <w:keepNext w:val="0"/>
              <w:keepLines w:val="0"/>
              <w:pageBreakBefore w:val="0"/>
              <w:widowControl w:val="0"/>
              <w:kinsoku/>
              <w:wordWrap/>
              <w:overflowPunct/>
              <w:topLinePunct w:val="0"/>
              <w:bidi w:val="0"/>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szCs w:val="21"/>
                <w:highlight w:val="none"/>
              </w:rPr>
              <w:t>备注</w:t>
            </w:r>
          </w:p>
        </w:tc>
        <w:tc>
          <w:tcPr>
            <w:tcW w:w="6969" w:type="dxa"/>
            <w:gridSpan w:val="6"/>
            <w:noWrap w:val="0"/>
            <w:vAlign w:val="center"/>
          </w:tcPr>
          <w:p>
            <w:pPr>
              <w:pStyle w:val="46"/>
              <w:keepNext w:val="0"/>
              <w:keepLines w:val="0"/>
              <w:pageBreakBefore w:val="0"/>
              <w:widowControl w:val="0"/>
              <w:kinsoku/>
              <w:wordWrap/>
              <w:overflowPunct/>
              <w:topLinePunct w:val="0"/>
              <w:bidi w:val="0"/>
              <w:snapToGrid/>
              <w:ind w:firstLine="0" w:firstLineChars="0"/>
              <w:textAlignment w:val="auto"/>
              <w:rPr>
                <w:rFonts w:hint="eastAsia" w:ascii="宋体" w:hAnsi="宋体" w:cs="宋体"/>
                <w:color w:val="auto"/>
                <w:highlight w:val="none"/>
              </w:rPr>
            </w:pPr>
          </w:p>
        </w:tc>
      </w:tr>
    </w:tbl>
    <w:p>
      <w:pPr>
        <w:spacing w:line="480" w:lineRule="exact"/>
        <w:rPr>
          <w:rFonts w:hint="eastAsia" w:ascii="宋体" w:hAnsi="宋体" w:cs="宋体"/>
          <w:color w:val="auto"/>
          <w:highlight w:val="none"/>
        </w:rPr>
      </w:pPr>
    </w:p>
    <w:p>
      <w:pPr>
        <w:rPr>
          <w:rFonts w:hint="eastAsia" w:ascii="宋体" w:hAnsi="宋体" w:cs="宋体"/>
          <w:color w:val="auto"/>
          <w:sz w:val="20"/>
          <w:szCs w:val="22"/>
          <w:highlight w:val="none"/>
        </w:rPr>
      </w:pPr>
      <w:r>
        <w:rPr>
          <w:rFonts w:hint="eastAsia" w:ascii="宋体" w:hAnsi="宋体" w:cs="宋体"/>
          <w:color w:val="auto"/>
          <w:sz w:val="20"/>
          <w:szCs w:val="22"/>
          <w:highlight w:val="none"/>
        </w:rPr>
        <w:t>注：1.根据供应商须知第3.5项的要求在本表后附供应商信用承诺函。</w:t>
      </w:r>
    </w:p>
    <w:p>
      <w:pPr>
        <w:numPr>
          <w:ilvl w:val="0"/>
          <w:numId w:val="7"/>
        </w:numPr>
        <w:rPr>
          <w:rFonts w:hint="eastAsia" w:ascii="宋体" w:hAnsi="宋体" w:cs="宋体"/>
          <w:color w:val="auto"/>
          <w:sz w:val="20"/>
          <w:szCs w:val="22"/>
          <w:highlight w:val="none"/>
        </w:rPr>
      </w:pPr>
      <w:r>
        <w:rPr>
          <w:rFonts w:hint="eastAsia" w:ascii="宋体" w:hAnsi="宋体" w:cs="宋体"/>
          <w:color w:val="auto"/>
          <w:sz w:val="20"/>
          <w:szCs w:val="22"/>
          <w:highlight w:val="none"/>
        </w:rPr>
        <w:t>本项目的特定资格要求（如有）：需提供相应的证明材料。</w:t>
      </w:r>
    </w:p>
    <w:p>
      <w:pPr>
        <w:pStyle w:val="11"/>
        <w:rPr>
          <w:rFonts w:hint="eastAsia" w:ascii="宋体" w:hAnsi="宋体" w:eastAsia="宋体" w:cs="宋体"/>
          <w:color w:val="auto"/>
          <w:highlight w:val="none"/>
        </w:rPr>
      </w:pPr>
      <w:r>
        <w:rPr>
          <w:rFonts w:hint="eastAsia" w:ascii="宋体" w:hAnsi="宋体" w:eastAsia="宋体" w:cs="宋体"/>
          <w:color w:val="auto"/>
          <w:highlight w:val="none"/>
        </w:rPr>
        <w:t>附件：</w:t>
      </w:r>
    </w:p>
    <w:p>
      <w:pPr>
        <w:pStyle w:val="12"/>
        <w:spacing w:line="48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信阳市政府采购供应商信用承诺</w:t>
      </w:r>
    </w:p>
    <w:p>
      <w:pPr>
        <w:pStyle w:val="15"/>
        <w:ind w:firstLine="0" w:firstLineChars="0"/>
        <w:rPr>
          <w:rFonts w:hint="eastAsia" w:ascii="宋体" w:hAnsi="宋体" w:cs="宋体"/>
          <w:color w:val="auto"/>
          <w:highlight w:val="none"/>
          <w:u w:val="single"/>
        </w:rPr>
      </w:pPr>
      <w:r>
        <w:rPr>
          <w:rFonts w:hint="eastAsia" w:ascii="宋体" w:hAnsi="宋体" w:cs="宋体"/>
          <w:color w:val="auto"/>
          <w:highlight w:val="none"/>
          <w:u w:val="single"/>
        </w:rPr>
        <w:t xml:space="preserve">致（采购人或采购代理机构）：               </w:t>
      </w:r>
    </w:p>
    <w:p>
      <w:pPr>
        <w:pStyle w:val="15"/>
        <w:ind w:firstLine="0" w:firstLineChars="0"/>
        <w:rPr>
          <w:rFonts w:hint="eastAsia" w:ascii="宋体" w:hAnsi="宋体" w:cs="宋体"/>
          <w:color w:val="auto"/>
          <w:highlight w:val="none"/>
          <w:u w:val="single"/>
        </w:rPr>
      </w:pPr>
      <w:r>
        <w:rPr>
          <w:rFonts w:hint="eastAsia" w:ascii="宋体" w:hAnsi="宋体" w:cs="宋体"/>
          <w:color w:val="auto"/>
          <w:highlight w:val="none"/>
          <w:u w:val="single"/>
        </w:rPr>
        <w:t xml:space="preserve">单位名称（自然人姓名）：   </w:t>
      </w:r>
    </w:p>
    <w:p>
      <w:pPr>
        <w:pStyle w:val="15"/>
        <w:ind w:firstLine="0" w:firstLineChars="0"/>
        <w:rPr>
          <w:rFonts w:hint="eastAsia" w:ascii="宋体" w:hAnsi="宋体" w:cs="宋体"/>
          <w:color w:val="auto"/>
          <w:highlight w:val="none"/>
          <w:u w:val="single"/>
        </w:rPr>
      </w:pPr>
      <w:r>
        <w:rPr>
          <w:rFonts w:hint="eastAsia" w:ascii="宋体" w:hAnsi="宋体" w:cs="宋体"/>
          <w:color w:val="auto"/>
          <w:highlight w:val="none"/>
          <w:u w:val="single"/>
        </w:rPr>
        <w:t xml:space="preserve">统一社会信用代码（身份证号码）： </w:t>
      </w:r>
    </w:p>
    <w:p>
      <w:pPr>
        <w:pStyle w:val="15"/>
        <w:ind w:firstLine="0" w:firstLineChars="0"/>
        <w:rPr>
          <w:rFonts w:hint="eastAsia" w:ascii="宋体" w:hAnsi="宋体" w:cs="宋体"/>
          <w:color w:val="auto"/>
          <w:highlight w:val="none"/>
          <w:u w:val="single"/>
        </w:rPr>
      </w:pPr>
      <w:r>
        <w:rPr>
          <w:rFonts w:hint="eastAsia" w:ascii="宋体" w:hAnsi="宋体" w:cs="宋体"/>
          <w:color w:val="auto"/>
          <w:highlight w:val="none"/>
          <w:u w:val="single"/>
        </w:rPr>
        <w:t xml:space="preserve">法定代表人（负责人）：   </w:t>
      </w:r>
    </w:p>
    <w:p>
      <w:pPr>
        <w:pStyle w:val="15"/>
        <w:ind w:firstLine="0" w:firstLineChars="0"/>
        <w:rPr>
          <w:rFonts w:hint="eastAsia" w:ascii="宋体" w:hAnsi="宋体" w:cs="宋体"/>
          <w:color w:val="auto"/>
          <w:highlight w:val="none"/>
          <w:u w:val="single"/>
        </w:rPr>
      </w:pPr>
      <w:r>
        <w:rPr>
          <w:rFonts w:hint="eastAsia" w:ascii="宋体" w:hAnsi="宋体" w:cs="宋体"/>
          <w:color w:val="auto"/>
          <w:highlight w:val="none"/>
          <w:u w:val="single"/>
        </w:rPr>
        <w:t xml:space="preserve">联系地址和电话：              </w:t>
      </w:r>
    </w:p>
    <w:p>
      <w:pPr>
        <w:pStyle w:val="15"/>
        <w:rPr>
          <w:rFonts w:hint="eastAsia" w:ascii="宋体" w:hAnsi="宋体" w:cs="宋体"/>
          <w:color w:val="auto"/>
          <w:highlight w:val="none"/>
        </w:rPr>
      </w:pPr>
      <w:r>
        <w:rPr>
          <w:rFonts w:hint="eastAsia" w:ascii="宋体" w:hAnsi="宋体" w:cs="宋体"/>
          <w:color w:val="auto"/>
          <w:highlight w:val="none"/>
        </w:rPr>
        <w:t>为维护公平、公正、公开的政府采购市场秩序，树立诚实守信的政府采购供应商形象，我单位（本人）自愿作出以下承诺：</w:t>
      </w:r>
    </w:p>
    <w:p>
      <w:pPr>
        <w:pStyle w:val="15"/>
        <w:rPr>
          <w:rFonts w:hint="eastAsia" w:ascii="宋体" w:hAnsi="宋体" w:cs="宋体"/>
          <w:color w:val="auto"/>
          <w:highlight w:val="none"/>
        </w:rPr>
      </w:pPr>
      <w:r>
        <w:rPr>
          <w:rFonts w:hint="eastAsia" w:ascii="宋体" w:hAnsi="宋体" w:cs="宋体"/>
          <w:color w:val="auto"/>
          <w:highlight w:val="none"/>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pStyle w:val="15"/>
        <w:numPr>
          <w:ilvl w:val="0"/>
          <w:numId w:val="8"/>
        </w:numPr>
        <w:ind w:firstLineChars="0"/>
        <w:rPr>
          <w:rFonts w:hint="eastAsia" w:ascii="宋体" w:hAnsi="宋体" w:cs="宋体"/>
          <w:color w:val="auto"/>
          <w:highlight w:val="none"/>
        </w:rPr>
      </w:pPr>
      <w:r>
        <w:rPr>
          <w:rFonts w:hint="eastAsia" w:ascii="宋体" w:hAnsi="宋体" w:cs="宋体"/>
          <w:color w:val="auto"/>
          <w:highlight w:val="none"/>
        </w:rPr>
        <w:t>具有独立承担民事责任的能力；</w:t>
      </w:r>
    </w:p>
    <w:p>
      <w:pPr>
        <w:pStyle w:val="15"/>
        <w:numPr>
          <w:ilvl w:val="0"/>
          <w:numId w:val="8"/>
        </w:numPr>
        <w:ind w:firstLineChars="0"/>
        <w:rPr>
          <w:rFonts w:hint="eastAsia" w:ascii="宋体" w:hAnsi="宋体" w:cs="宋体"/>
          <w:color w:val="auto"/>
          <w:highlight w:val="none"/>
        </w:rPr>
      </w:pPr>
      <w:r>
        <w:rPr>
          <w:rFonts w:hint="eastAsia" w:ascii="宋体" w:hAnsi="宋体" w:cs="宋体"/>
          <w:color w:val="auto"/>
          <w:highlight w:val="none"/>
        </w:rPr>
        <w:t xml:space="preserve">具有良好的商业信誉和健全的财务会计制度； </w:t>
      </w:r>
    </w:p>
    <w:p>
      <w:pPr>
        <w:pStyle w:val="15"/>
        <w:numPr>
          <w:ilvl w:val="0"/>
          <w:numId w:val="8"/>
        </w:numPr>
        <w:ind w:firstLineChars="0"/>
        <w:rPr>
          <w:rFonts w:hint="eastAsia" w:ascii="宋体" w:hAnsi="宋体" w:cs="宋体"/>
          <w:color w:val="auto"/>
          <w:highlight w:val="none"/>
        </w:rPr>
      </w:pPr>
      <w:r>
        <w:rPr>
          <w:rFonts w:hint="eastAsia" w:ascii="宋体" w:hAnsi="宋体" w:cs="宋体"/>
          <w:color w:val="auto"/>
          <w:highlight w:val="none"/>
        </w:rPr>
        <w:t>具有履行合同所必需的设备和专业技术能力；</w:t>
      </w:r>
    </w:p>
    <w:p>
      <w:pPr>
        <w:pStyle w:val="15"/>
        <w:numPr>
          <w:ilvl w:val="0"/>
          <w:numId w:val="8"/>
        </w:numPr>
        <w:ind w:firstLineChars="0"/>
        <w:rPr>
          <w:rFonts w:hint="eastAsia" w:ascii="宋体" w:hAnsi="宋体" w:cs="宋体"/>
          <w:color w:val="auto"/>
          <w:highlight w:val="none"/>
        </w:rPr>
      </w:pPr>
      <w:r>
        <w:rPr>
          <w:rFonts w:hint="eastAsia" w:ascii="宋体" w:hAnsi="宋体" w:cs="宋体"/>
          <w:color w:val="auto"/>
          <w:highlight w:val="none"/>
        </w:rPr>
        <w:t xml:space="preserve">有依法缴纳税收和社会保障资金的良好记录； </w:t>
      </w:r>
    </w:p>
    <w:p>
      <w:pPr>
        <w:pStyle w:val="15"/>
        <w:numPr>
          <w:ilvl w:val="0"/>
          <w:numId w:val="8"/>
        </w:numPr>
        <w:ind w:firstLineChars="0"/>
        <w:rPr>
          <w:rFonts w:hint="eastAsia" w:ascii="宋体" w:hAnsi="宋体" w:cs="宋体"/>
          <w:color w:val="auto"/>
          <w:highlight w:val="none"/>
        </w:rPr>
      </w:pPr>
      <w:r>
        <w:rPr>
          <w:rFonts w:hint="eastAsia" w:ascii="宋体" w:hAnsi="宋体" w:cs="宋体"/>
          <w:color w:val="auto"/>
          <w:highlight w:val="none"/>
        </w:rPr>
        <w:t xml:space="preserve">参加政府采购活动前三年内，在经营活动中没有重大违法记录； </w:t>
      </w:r>
    </w:p>
    <w:p>
      <w:pPr>
        <w:pStyle w:val="15"/>
        <w:numPr>
          <w:ilvl w:val="0"/>
          <w:numId w:val="8"/>
        </w:numPr>
        <w:ind w:firstLineChars="0"/>
        <w:rPr>
          <w:rFonts w:hint="eastAsia" w:ascii="宋体" w:hAnsi="宋体" w:cs="宋体"/>
          <w:color w:val="auto"/>
          <w:highlight w:val="none"/>
        </w:rPr>
      </w:pPr>
      <w:r>
        <w:rPr>
          <w:rFonts w:hint="eastAsia" w:ascii="宋体" w:hAnsi="宋体" w:cs="宋体"/>
          <w:color w:val="auto"/>
          <w:highlight w:val="none"/>
        </w:rPr>
        <w:t>未被列入经营异常名录或者严重违法失信名单、失信被执行人、重大税收违法案件当事人名单、政府采购严重违法失信行为记录名单；</w:t>
      </w:r>
    </w:p>
    <w:p>
      <w:pPr>
        <w:pStyle w:val="15"/>
        <w:numPr>
          <w:ilvl w:val="0"/>
          <w:numId w:val="8"/>
        </w:numPr>
        <w:ind w:firstLineChars="0"/>
        <w:rPr>
          <w:rFonts w:hint="eastAsia" w:ascii="宋体" w:hAnsi="宋体" w:cs="宋体"/>
          <w:color w:val="auto"/>
          <w:highlight w:val="none"/>
        </w:rPr>
      </w:pPr>
      <w:r>
        <w:rPr>
          <w:rFonts w:hint="eastAsia" w:ascii="宋体" w:hAnsi="宋体" w:cs="宋体"/>
          <w:color w:val="auto"/>
          <w:highlight w:val="none"/>
        </w:rPr>
        <w:t xml:space="preserve">未被相关监管部门作出行政处罚且尚在处罚有效期内； </w:t>
      </w:r>
    </w:p>
    <w:p>
      <w:pPr>
        <w:pStyle w:val="15"/>
        <w:numPr>
          <w:ilvl w:val="0"/>
          <w:numId w:val="8"/>
        </w:numPr>
        <w:ind w:firstLineChars="0"/>
        <w:rPr>
          <w:rFonts w:hint="eastAsia" w:ascii="宋体" w:hAnsi="宋体" w:cs="宋体"/>
          <w:color w:val="auto"/>
          <w:highlight w:val="none"/>
        </w:rPr>
      </w:pPr>
      <w:r>
        <w:rPr>
          <w:rFonts w:hint="eastAsia" w:ascii="宋体" w:hAnsi="宋体" w:cs="宋体"/>
          <w:color w:val="auto"/>
          <w:highlight w:val="none"/>
        </w:rPr>
        <w:t xml:space="preserve">未曾做出虚假采购承诺； </w:t>
      </w:r>
    </w:p>
    <w:p>
      <w:pPr>
        <w:pStyle w:val="15"/>
        <w:numPr>
          <w:ilvl w:val="0"/>
          <w:numId w:val="8"/>
        </w:numPr>
        <w:ind w:firstLineChars="0"/>
        <w:rPr>
          <w:rFonts w:hint="eastAsia" w:ascii="宋体" w:hAnsi="宋体" w:cs="宋体"/>
          <w:color w:val="auto"/>
          <w:highlight w:val="none"/>
        </w:rPr>
      </w:pPr>
      <w:r>
        <w:rPr>
          <w:rFonts w:hint="eastAsia" w:ascii="宋体" w:hAnsi="宋体" w:cs="宋体"/>
          <w:color w:val="auto"/>
          <w:highlight w:val="none"/>
        </w:rPr>
        <w:t>符合法律、行政法规规定的其他条件。</w:t>
      </w:r>
    </w:p>
    <w:p>
      <w:pPr>
        <w:pStyle w:val="15"/>
        <w:rPr>
          <w:rFonts w:hint="eastAsia" w:ascii="宋体" w:hAnsi="宋体" w:cs="宋体"/>
          <w:color w:val="auto"/>
          <w:highlight w:val="none"/>
        </w:rPr>
      </w:pPr>
      <w:r>
        <w:rPr>
          <w:rFonts w:hint="eastAsia" w:ascii="宋体" w:hAnsi="宋体" w:cs="宋体"/>
          <w:color w:val="auto"/>
          <w:highlight w:val="none"/>
        </w:rPr>
        <w:t xml:space="preserve">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pPr>
        <w:pStyle w:val="15"/>
        <w:rPr>
          <w:rFonts w:hint="eastAsia" w:ascii="宋体" w:hAnsi="宋体" w:cs="宋体"/>
          <w:color w:val="auto"/>
          <w:highlight w:val="none"/>
        </w:rPr>
      </w:pPr>
    </w:p>
    <w:p>
      <w:pPr>
        <w:pStyle w:val="15"/>
        <w:ind w:left="420" w:leftChars="200" w:firstLine="0" w:firstLineChars="0"/>
        <w:rPr>
          <w:rFonts w:hint="eastAsia" w:ascii="宋体" w:hAnsi="宋体" w:cs="宋体"/>
          <w:color w:val="auto"/>
          <w:highlight w:val="none"/>
        </w:rPr>
      </w:pPr>
      <w:r>
        <w:rPr>
          <w:rFonts w:hint="eastAsia" w:ascii="宋体" w:hAnsi="宋体" w:cs="宋体"/>
          <w:color w:val="auto"/>
          <w:highlight w:val="none"/>
        </w:rPr>
        <w:t>供应商（公章）：</w:t>
      </w:r>
    </w:p>
    <w:p>
      <w:pPr>
        <w:pStyle w:val="15"/>
        <w:ind w:left="420" w:leftChars="200" w:firstLine="0" w:firstLineChars="0"/>
        <w:rPr>
          <w:rFonts w:hint="eastAsia" w:ascii="宋体" w:hAnsi="宋体" w:cs="宋体"/>
          <w:color w:val="auto"/>
          <w:highlight w:val="none"/>
        </w:rPr>
      </w:pPr>
      <w:r>
        <w:rPr>
          <w:rFonts w:hint="eastAsia" w:ascii="宋体" w:hAnsi="宋体" w:cs="宋体"/>
          <w:color w:val="auto"/>
          <w:highlight w:val="none"/>
        </w:rPr>
        <w:t>法定代表人或授权代表人（签字或盖章）：</w:t>
      </w:r>
    </w:p>
    <w:p>
      <w:pPr>
        <w:pStyle w:val="15"/>
        <w:ind w:left="420" w:leftChars="200" w:firstLine="0" w:firstLineChars="0"/>
        <w:rPr>
          <w:rFonts w:hint="eastAsia" w:ascii="宋体" w:hAnsi="宋体" w:cs="宋体"/>
          <w:color w:val="auto"/>
          <w:highlight w:val="none"/>
        </w:rPr>
      </w:pPr>
      <w:r>
        <w:rPr>
          <w:rFonts w:hint="eastAsia" w:ascii="宋体" w:hAnsi="宋体" w:cs="宋体"/>
          <w:color w:val="auto"/>
          <w:highlight w:val="none"/>
        </w:rPr>
        <w:t>日期：   年    月    日</w:t>
      </w:r>
    </w:p>
    <w:p>
      <w:pPr>
        <w:pStyle w:val="15"/>
        <w:ind w:left="420" w:leftChars="200" w:firstLine="0" w:firstLineChars="0"/>
        <w:rPr>
          <w:rFonts w:hint="eastAsia" w:ascii="宋体" w:hAnsi="宋体" w:cs="宋体"/>
          <w:color w:val="auto"/>
          <w:highlight w:val="none"/>
        </w:rPr>
      </w:pPr>
    </w:p>
    <w:p>
      <w:pPr>
        <w:pStyle w:val="15"/>
        <w:rPr>
          <w:rFonts w:hint="eastAsia" w:ascii="宋体" w:hAnsi="宋体" w:cs="宋体"/>
          <w:color w:val="auto"/>
          <w:highlight w:val="none"/>
        </w:rPr>
      </w:pPr>
      <w:r>
        <w:rPr>
          <w:rFonts w:hint="eastAsia" w:ascii="宋体" w:hAnsi="宋体" w:cs="宋体"/>
          <w:color w:val="auto"/>
          <w:highlight w:val="none"/>
        </w:rPr>
        <w:t>注：1、供应商须在响应文件中按此模板提供承诺函，未提供视为未实质性响应招标文件要求，按无效投标处理。</w:t>
      </w:r>
    </w:p>
    <w:p>
      <w:pPr>
        <w:pStyle w:val="15"/>
        <w:ind w:firstLine="840" w:firstLineChars="400"/>
        <w:rPr>
          <w:rFonts w:hint="eastAsia" w:ascii="宋体" w:hAnsi="宋体" w:cs="宋体"/>
          <w:color w:val="auto"/>
          <w:highlight w:val="none"/>
        </w:rPr>
      </w:pPr>
      <w:r>
        <w:rPr>
          <w:rFonts w:hint="eastAsia" w:ascii="宋体" w:hAnsi="宋体" w:cs="宋体"/>
          <w:color w:val="auto"/>
          <w:highlight w:val="none"/>
        </w:rPr>
        <w:t>2、供应商的法定代表人或者授权代表的签字或盖章应真实、有效，如由授权代表签字或盖章的，应提供“法定代表人授权书”。</w:t>
      </w:r>
    </w:p>
    <w:p>
      <w:pPr>
        <w:rPr>
          <w:rFonts w:hint="eastAsia" w:ascii="宋体" w:hAnsi="宋体" w:cs="宋体"/>
          <w:color w:val="auto"/>
          <w:highlight w:val="none"/>
        </w:rPr>
      </w:pPr>
    </w:p>
    <w:p>
      <w:pPr>
        <w:pStyle w:val="54"/>
        <w:rPr>
          <w:rFonts w:hint="eastAsia" w:ascii="宋体" w:hAnsi="宋体" w:cs="宋体"/>
          <w:color w:val="auto"/>
          <w:highlight w:val="none"/>
        </w:rPr>
      </w:pPr>
    </w:p>
    <w:p>
      <w:pPr>
        <w:rPr>
          <w:rFonts w:hint="eastAsia" w:ascii="宋体" w:hAnsi="宋体" w:cs="宋体"/>
          <w:color w:val="auto"/>
          <w:highlight w:val="none"/>
        </w:rPr>
      </w:pPr>
    </w:p>
    <w:p>
      <w:pPr>
        <w:pStyle w:val="2"/>
        <w:spacing w:before="156" w:after="156"/>
        <w:rPr>
          <w:rFonts w:hint="eastAsia" w:ascii="宋体" w:hAnsi="宋体" w:cs="宋体"/>
          <w:color w:val="auto"/>
          <w:highlight w:val="none"/>
        </w:rPr>
      </w:pPr>
    </w:p>
    <w:p>
      <w:pPr>
        <w:pStyle w:val="2"/>
        <w:spacing w:before="156" w:after="156"/>
        <w:rPr>
          <w:rFonts w:hint="eastAsia" w:ascii="宋体" w:hAnsi="宋体" w:cs="宋体"/>
          <w:color w:val="auto"/>
          <w:highlight w:val="none"/>
        </w:rPr>
      </w:pPr>
    </w:p>
    <w:p>
      <w:pPr>
        <w:pStyle w:val="10"/>
        <w:jc w:val="center"/>
        <w:rPr>
          <w:rFonts w:hint="eastAsia" w:ascii="宋体" w:hAnsi="宋体" w:cs="宋体"/>
          <w:color w:val="auto"/>
          <w:highlight w:val="none"/>
        </w:rPr>
      </w:pPr>
      <w:bookmarkStart w:id="1218" w:name="_Toc262746026"/>
      <w:bookmarkStart w:id="1219" w:name="_Toc12055"/>
      <w:bookmarkStart w:id="1220" w:name="_Toc19310"/>
      <w:bookmarkStart w:id="1221" w:name="_Toc14872"/>
      <w:bookmarkStart w:id="1222" w:name="_Toc262483524"/>
      <w:bookmarkStart w:id="1223" w:name="_Toc24479"/>
      <w:bookmarkStart w:id="1224" w:name="_Toc31216"/>
      <w:bookmarkStart w:id="1225" w:name="_Toc332961933"/>
      <w:bookmarkStart w:id="1226" w:name="_Toc20925"/>
      <w:bookmarkStart w:id="1227" w:name="_Toc17242"/>
      <w:r>
        <w:rPr>
          <w:rFonts w:hint="eastAsia" w:ascii="宋体" w:hAnsi="宋体" w:cs="宋体"/>
          <w:color w:val="auto"/>
          <w:highlight w:val="none"/>
        </w:rPr>
        <w:t>（二）供应商资格证明文件</w:t>
      </w:r>
      <w:bookmarkEnd w:id="1218"/>
      <w:bookmarkEnd w:id="1219"/>
      <w:bookmarkEnd w:id="1220"/>
      <w:bookmarkEnd w:id="1221"/>
      <w:bookmarkEnd w:id="1222"/>
      <w:bookmarkEnd w:id="1223"/>
      <w:bookmarkEnd w:id="1224"/>
      <w:bookmarkEnd w:id="1225"/>
      <w:bookmarkEnd w:id="1226"/>
      <w:bookmarkEnd w:id="1227"/>
    </w:p>
    <w:p>
      <w:pPr>
        <w:spacing w:line="360" w:lineRule="auto"/>
        <w:rPr>
          <w:rFonts w:hint="eastAsia" w:ascii="宋体" w:hAnsi="宋体" w:cs="宋体"/>
          <w:color w:val="auto"/>
          <w:highlight w:val="none"/>
        </w:rPr>
      </w:pPr>
      <w:bookmarkStart w:id="1228" w:name="_Toc30842"/>
      <w:bookmarkStart w:id="1229" w:name="_Toc14362"/>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pStyle w:val="10"/>
        <w:jc w:val="both"/>
        <w:rPr>
          <w:rFonts w:hint="eastAsia" w:ascii="宋体" w:hAnsi="宋体" w:cs="宋体"/>
          <w:color w:val="auto"/>
          <w:highlight w:val="none"/>
        </w:rPr>
      </w:pPr>
      <w:bookmarkStart w:id="1230" w:name="_Toc16051"/>
      <w:bookmarkStart w:id="1231" w:name="_Toc19988"/>
      <w:bookmarkStart w:id="1232" w:name="_Toc21900"/>
      <w:bookmarkStart w:id="1233" w:name="_Toc16255"/>
    </w:p>
    <w:p>
      <w:pPr>
        <w:pStyle w:val="10"/>
        <w:jc w:val="center"/>
        <w:rPr>
          <w:rFonts w:hint="eastAsia" w:ascii="宋体" w:hAnsi="宋体" w:cs="宋体"/>
          <w:color w:val="auto"/>
          <w:highlight w:val="none"/>
        </w:rPr>
      </w:pPr>
    </w:p>
    <w:p>
      <w:pPr>
        <w:rPr>
          <w:rFonts w:hint="eastAsia"/>
          <w:color w:val="auto"/>
          <w:highlight w:val="none"/>
        </w:rPr>
      </w:pPr>
    </w:p>
    <w:p>
      <w:pPr>
        <w:pStyle w:val="10"/>
        <w:jc w:val="center"/>
        <w:rPr>
          <w:rFonts w:hint="eastAsia" w:ascii="宋体" w:hAnsi="宋体" w:cs="宋体"/>
          <w:color w:val="auto"/>
          <w:highlight w:val="none"/>
        </w:rPr>
      </w:pPr>
      <w:r>
        <w:rPr>
          <w:rFonts w:hint="eastAsia" w:ascii="宋体" w:hAnsi="宋体" w:cs="宋体"/>
          <w:color w:val="auto"/>
          <w:highlight w:val="none"/>
        </w:rPr>
        <w:t>（三）反商业贿赂承诺书</w:t>
      </w:r>
      <w:bookmarkEnd w:id="1228"/>
      <w:bookmarkEnd w:id="1229"/>
      <w:bookmarkEnd w:id="1230"/>
      <w:bookmarkEnd w:id="1231"/>
      <w:bookmarkEnd w:id="1232"/>
      <w:bookmarkEnd w:id="1233"/>
    </w:p>
    <w:p>
      <w:pPr>
        <w:spacing w:line="360" w:lineRule="auto"/>
        <w:rPr>
          <w:rFonts w:hint="eastAsia" w:ascii="宋体" w:hAnsi="宋体" w:cs="宋体"/>
          <w:color w:val="auto"/>
          <w:szCs w:val="21"/>
          <w:highlight w:val="none"/>
        </w:rPr>
      </w:pPr>
    </w:p>
    <w:p>
      <w:pPr>
        <w:pStyle w:val="15"/>
        <w:ind w:firstLine="0" w:firstLineChars="0"/>
        <w:rPr>
          <w:rFonts w:hint="eastAsia" w:ascii="宋体" w:hAnsi="宋体" w:cs="宋体"/>
          <w:color w:val="auto"/>
          <w:highlight w:val="none"/>
        </w:rPr>
      </w:pPr>
      <w:bookmarkStart w:id="1234" w:name="_Toc6636"/>
      <w:bookmarkStart w:id="1235" w:name="_Toc1184"/>
      <w:bookmarkStart w:id="1236" w:name="_Toc19379"/>
      <w:bookmarkStart w:id="1237" w:name="_Toc22153"/>
      <w:bookmarkStart w:id="1238" w:name="_Toc20346"/>
      <w:bookmarkStart w:id="1239" w:name="_Toc26336"/>
      <w:bookmarkStart w:id="1240" w:name="_Toc24989"/>
      <w:r>
        <w:rPr>
          <w:rFonts w:hint="eastAsia" w:ascii="宋体" w:hAnsi="宋体" w:cs="宋体"/>
          <w:color w:val="auto"/>
          <w:highlight w:val="none"/>
        </w:rPr>
        <w:t>我公司承诺：</w:t>
      </w:r>
      <w:bookmarkEnd w:id="1234"/>
      <w:bookmarkEnd w:id="1235"/>
      <w:bookmarkEnd w:id="1236"/>
      <w:bookmarkEnd w:id="1237"/>
      <w:bookmarkEnd w:id="1238"/>
      <w:bookmarkEnd w:id="1239"/>
      <w:bookmarkEnd w:id="1240"/>
    </w:p>
    <w:p>
      <w:pPr>
        <w:pStyle w:val="15"/>
        <w:rPr>
          <w:rFonts w:hint="eastAsia" w:ascii="宋体" w:hAnsi="宋体" w:cs="宋体"/>
          <w:color w:val="auto"/>
          <w:highlight w:val="none"/>
        </w:rPr>
      </w:pPr>
      <w:bookmarkStart w:id="1241" w:name="_Toc3905"/>
      <w:bookmarkStart w:id="1242" w:name="_Toc22187"/>
      <w:bookmarkStart w:id="1243" w:name="_Toc2826"/>
      <w:bookmarkStart w:id="1244" w:name="_Toc16567"/>
      <w:bookmarkStart w:id="1245" w:name="_Toc10849"/>
      <w:bookmarkStart w:id="1246" w:name="_Toc2973"/>
      <w:bookmarkStart w:id="1247" w:name="_Toc24819"/>
      <w:r>
        <w:rPr>
          <w:rFonts w:hint="eastAsia" w:ascii="宋体" w:hAnsi="宋体" w:cs="宋体"/>
          <w:color w:val="auto"/>
          <w:highlight w:val="none"/>
        </w:rPr>
        <w:t>在 （采购项目名称）投标活动中，我公司保证做到：</w:t>
      </w:r>
      <w:bookmarkEnd w:id="1241"/>
      <w:bookmarkEnd w:id="1242"/>
      <w:bookmarkEnd w:id="1243"/>
      <w:bookmarkEnd w:id="1244"/>
      <w:bookmarkEnd w:id="1245"/>
      <w:bookmarkEnd w:id="1246"/>
      <w:bookmarkEnd w:id="1247"/>
    </w:p>
    <w:p>
      <w:pPr>
        <w:pStyle w:val="15"/>
        <w:rPr>
          <w:rFonts w:hint="eastAsia" w:ascii="宋体" w:hAnsi="宋体" w:cs="宋体"/>
          <w:color w:val="auto"/>
          <w:highlight w:val="none"/>
        </w:rPr>
      </w:pPr>
      <w:bookmarkStart w:id="1248" w:name="_Toc1786"/>
      <w:bookmarkStart w:id="1249" w:name="_Toc23826"/>
      <w:bookmarkStart w:id="1250" w:name="_Toc7856"/>
      <w:bookmarkStart w:id="1251" w:name="_Toc28790"/>
      <w:bookmarkStart w:id="1252" w:name="_Toc19562"/>
      <w:bookmarkStart w:id="1253" w:name="_Toc31445"/>
      <w:bookmarkStart w:id="1254" w:name="_Toc28791"/>
      <w:r>
        <w:rPr>
          <w:rFonts w:hint="eastAsia" w:ascii="宋体" w:hAnsi="宋体" w:cs="宋体"/>
          <w:color w:val="auto"/>
          <w:highlight w:val="none"/>
        </w:rPr>
        <w:t>一、公平竞争参加本次采购活动。</w:t>
      </w:r>
      <w:bookmarkEnd w:id="1248"/>
      <w:bookmarkEnd w:id="1249"/>
      <w:bookmarkEnd w:id="1250"/>
      <w:bookmarkEnd w:id="1251"/>
      <w:bookmarkEnd w:id="1252"/>
      <w:bookmarkEnd w:id="1253"/>
      <w:bookmarkEnd w:id="1254"/>
    </w:p>
    <w:p>
      <w:pPr>
        <w:pStyle w:val="15"/>
        <w:rPr>
          <w:rFonts w:hint="eastAsia" w:ascii="宋体" w:hAnsi="宋体" w:cs="宋体"/>
          <w:color w:val="auto"/>
          <w:highlight w:val="none"/>
        </w:rPr>
      </w:pPr>
      <w:bookmarkStart w:id="1255" w:name="_Toc3473"/>
      <w:bookmarkStart w:id="1256" w:name="_Toc15277"/>
      <w:bookmarkStart w:id="1257" w:name="_Toc13021"/>
      <w:bookmarkStart w:id="1258" w:name="_Toc4051"/>
      <w:bookmarkStart w:id="1259" w:name="_Toc6152"/>
      <w:bookmarkStart w:id="1260" w:name="_Toc4016"/>
      <w:bookmarkStart w:id="1261" w:name="_Toc4479"/>
      <w:r>
        <w:rPr>
          <w:rFonts w:hint="eastAsia" w:ascii="宋体" w:hAnsi="宋体" w:cs="宋体"/>
          <w:color w:val="auto"/>
          <w:highlight w:val="none"/>
        </w:rPr>
        <w:t>二、杜绝任何形式的商业贿赂行为。不向国家工作人员、政府招标代理机构工作人员、评审专家及其亲属提供礼品礼金、有价证券、购物券、回扣、佣金、咨询费、劳务费、赞助费、宣传费、宴请；不为其报销各种消费凭证，不支付其旅游、娱乐等费用。</w:t>
      </w:r>
      <w:bookmarkEnd w:id="1255"/>
      <w:bookmarkEnd w:id="1256"/>
      <w:bookmarkEnd w:id="1257"/>
      <w:bookmarkEnd w:id="1258"/>
      <w:bookmarkEnd w:id="1259"/>
      <w:bookmarkEnd w:id="1260"/>
      <w:bookmarkEnd w:id="1261"/>
    </w:p>
    <w:p>
      <w:pPr>
        <w:pStyle w:val="15"/>
        <w:rPr>
          <w:rFonts w:hint="eastAsia" w:ascii="宋体" w:hAnsi="宋体" w:cs="宋体"/>
          <w:color w:val="auto"/>
          <w:highlight w:val="none"/>
        </w:rPr>
      </w:pPr>
      <w:bookmarkStart w:id="1262" w:name="_Toc31052"/>
      <w:bookmarkStart w:id="1263" w:name="_Toc16301"/>
      <w:bookmarkStart w:id="1264" w:name="_Toc19340"/>
      <w:bookmarkStart w:id="1265" w:name="_Toc27402"/>
      <w:bookmarkStart w:id="1266" w:name="_Toc30520"/>
      <w:bookmarkStart w:id="1267" w:name="_Toc25771"/>
      <w:bookmarkStart w:id="1268" w:name="_Toc9023"/>
      <w:r>
        <w:rPr>
          <w:rFonts w:hint="eastAsia" w:ascii="宋体" w:hAnsi="宋体" w:cs="宋体"/>
          <w:color w:val="auto"/>
          <w:highlight w:val="none"/>
        </w:rPr>
        <w:t>三、若出现上述行为，我公司及参与采购的工作人员愿意接受按照国家法律法规等有关规定给予的处罚。</w:t>
      </w:r>
      <w:bookmarkEnd w:id="1262"/>
      <w:bookmarkEnd w:id="1263"/>
      <w:bookmarkEnd w:id="1264"/>
      <w:bookmarkEnd w:id="1265"/>
      <w:bookmarkEnd w:id="1266"/>
      <w:bookmarkEnd w:id="1267"/>
      <w:bookmarkEnd w:id="1268"/>
    </w:p>
    <w:p>
      <w:pPr>
        <w:spacing w:line="360" w:lineRule="auto"/>
        <w:ind w:firstLine="555"/>
        <w:rPr>
          <w:rFonts w:hint="eastAsia" w:ascii="宋体" w:hAnsi="宋体" w:cs="宋体"/>
          <w:color w:val="auto"/>
          <w:highlight w:val="none"/>
        </w:rPr>
      </w:pPr>
    </w:p>
    <w:p>
      <w:pPr>
        <w:spacing w:line="360" w:lineRule="auto"/>
        <w:ind w:left="1050" w:leftChars="500" w:firstLine="555"/>
        <w:rPr>
          <w:rFonts w:hint="eastAsia" w:ascii="宋体" w:hAnsi="宋体" w:cs="宋体"/>
          <w:color w:val="auto"/>
          <w:highlight w:val="none"/>
        </w:rPr>
      </w:pPr>
    </w:p>
    <w:p>
      <w:pPr>
        <w:spacing w:line="360" w:lineRule="auto"/>
        <w:ind w:left="1050" w:leftChars="500" w:firstLine="2520" w:firstLineChars="1200"/>
        <w:rPr>
          <w:rFonts w:hint="eastAsia" w:ascii="宋体" w:hAnsi="宋体" w:cs="宋体"/>
          <w:color w:val="auto"/>
          <w:highlight w:val="none"/>
        </w:rPr>
      </w:pPr>
      <w:r>
        <w:rPr>
          <w:rFonts w:hint="eastAsia" w:ascii="宋体" w:hAnsi="宋体" w:cs="宋体"/>
          <w:color w:val="auto"/>
          <w:highlight w:val="none"/>
        </w:rPr>
        <w:t>供应商：</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pPr>
        <w:spacing w:line="360" w:lineRule="auto"/>
        <w:ind w:left="1050" w:leftChars="500" w:firstLine="2520" w:firstLineChars="1200"/>
        <w:rPr>
          <w:rFonts w:hint="eastAsia" w:ascii="宋体" w:hAnsi="宋体" w:cs="宋体"/>
          <w:color w:val="auto"/>
          <w:highlight w:val="none"/>
        </w:rPr>
      </w:pPr>
      <w:r>
        <w:rPr>
          <w:rFonts w:hint="eastAsia" w:ascii="宋体" w:hAnsi="宋体" w:cs="宋体"/>
          <w:color w:val="auto"/>
          <w:highlight w:val="none"/>
        </w:rPr>
        <w:t>法定代表人或其委托代理人：______（签字或盖章）</w:t>
      </w:r>
    </w:p>
    <w:p>
      <w:pPr>
        <w:spacing w:line="360" w:lineRule="auto"/>
        <w:ind w:left="1050" w:leftChars="500" w:firstLine="2520" w:firstLineChars="1200"/>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rPr>
        <w:t>日</w:t>
      </w:r>
    </w:p>
    <w:p>
      <w:pPr>
        <w:pStyle w:val="46"/>
        <w:rPr>
          <w:rFonts w:hint="eastAsia" w:ascii="宋体" w:hAnsi="宋体" w:cs="宋体"/>
          <w:color w:val="auto"/>
          <w:highlight w:val="none"/>
        </w:rPr>
      </w:pPr>
    </w:p>
    <w:p>
      <w:pPr>
        <w:rPr>
          <w:rFonts w:hint="eastAsia" w:ascii="宋体" w:hAnsi="宋体" w:cs="宋体"/>
          <w:color w:val="auto"/>
          <w:highlight w:val="none"/>
        </w:rPr>
      </w:pPr>
    </w:p>
    <w:p>
      <w:pPr>
        <w:pStyle w:val="46"/>
        <w:rPr>
          <w:rFonts w:hint="eastAsia" w:ascii="宋体" w:hAnsi="宋体" w:cs="宋体"/>
          <w:color w:val="auto"/>
          <w:highlight w:val="none"/>
        </w:rPr>
      </w:pPr>
    </w:p>
    <w:p>
      <w:pPr>
        <w:rPr>
          <w:rFonts w:hint="eastAsia" w:ascii="宋体" w:hAnsi="宋体" w:cs="宋体"/>
          <w:color w:val="auto"/>
          <w:highlight w:val="none"/>
        </w:rPr>
      </w:pPr>
    </w:p>
    <w:p>
      <w:pPr>
        <w:pStyle w:val="46"/>
        <w:rPr>
          <w:rFonts w:hint="eastAsia" w:ascii="宋体" w:hAnsi="宋体" w:cs="宋体"/>
          <w:color w:val="auto"/>
          <w:highlight w:val="none"/>
        </w:rPr>
      </w:pPr>
    </w:p>
    <w:p>
      <w:pPr>
        <w:rPr>
          <w:rFonts w:hint="eastAsia" w:ascii="宋体" w:hAnsi="宋体" w:cs="宋体"/>
          <w:color w:val="auto"/>
          <w:highlight w:val="none"/>
        </w:rPr>
      </w:pPr>
    </w:p>
    <w:p>
      <w:pPr>
        <w:pStyle w:val="46"/>
        <w:rPr>
          <w:rFonts w:hint="eastAsia" w:ascii="宋体" w:hAnsi="宋体" w:cs="宋体"/>
          <w:color w:val="auto"/>
          <w:highlight w:val="none"/>
        </w:rPr>
      </w:pPr>
    </w:p>
    <w:p>
      <w:pPr>
        <w:rPr>
          <w:rFonts w:hint="eastAsia" w:ascii="宋体" w:hAnsi="宋体" w:cs="宋体"/>
          <w:color w:val="auto"/>
          <w:highlight w:val="none"/>
        </w:rPr>
      </w:pPr>
    </w:p>
    <w:p>
      <w:pPr>
        <w:pStyle w:val="9"/>
        <w:jc w:val="center"/>
        <w:rPr>
          <w:rFonts w:hint="eastAsia" w:ascii="宋体" w:hAnsi="宋体" w:eastAsia="宋体" w:cs="宋体"/>
          <w:color w:val="auto"/>
          <w:highlight w:val="none"/>
        </w:rPr>
      </w:pPr>
      <w:bookmarkStart w:id="1269" w:name="_Toc13838"/>
      <w:bookmarkStart w:id="1270" w:name="_Toc5474"/>
      <w:bookmarkStart w:id="1271" w:name="_Toc15515"/>
      <w:bookmarkStart w:id="1272" w:name="_Toc6287"/>
      <w:bookmarkStart w:id="1273" w:name="_Toc23585"/>
      <w:bookmarkStart w:id="1274" w:name="_Toc18695"/>
      <w:r>
        <w:rPr>
          <w:rFonts w:hint="eastAsia" w:ascii="宋体" w:hAnsi="宋体" w:eastAsia="宋体" w:cs="宋体"/>
          <w:color w:val="auto"/>
          <w:highlight w:val="none"/>
        </w:rPr>
        <w:t>五、拟投入本项目人员</w:t>
      </w:r>
      <w:bookmarkEnd w:id="1269"/>
      <w:bookmarkEnd w:id="1270"/>
      <w:bookmarkEnd w:id="1271"/>
      <w:bookmarkEnd w:id="1272"/>
      <w:bookmarkEnd w:id="1273"/>
      <w:bookmarkEnd w:id="1274"/>
      <w:bookmarkStart w:id="1275" w:name="_Toc475624457"/>
    </w:p>
    <w:p>
      <w:pPr>
        <w:pStyle w:val="10"/>
        <w:jc w:val="center"/>
        <w:rPr>
          <w:rFonts w:hint="eastAsia" w:ascii="宋体" w:hAnsi="宋体" w:cs="宋体"/>
          <w:color w:val="auto"/>
          <w:highlight w:val="none"/>
        </w:rPr>
      </w:pPr>
      <w:bookmarkStart w:id="1276" w:name="_Toc23611"/>
      <w:bookmarkStart w:id="1277" w:name="_Toc6951"/>
      <w:bookmarkStart w:id="1278" w:name="_Toc28655"/>
      <w:bookmarkStart w:id="1279" w:name="_Toc12502"/>
      <w:r>
        <w:rPr>
          <w:rFonts w:hint="eastAsia" w:ascii="宋体" w:hAnsi="宋体" w:cs="宋体"/>
          <w:color w:val="auto"/>
          <w:highlight w:val="none"/>
        </w:rPr>
        <w:t>（一）项目负责人简历表</w:t>
      </w:r>
      <w:bookmarkEnd w:id="1276"/>
      <w:bookmarkEnd w:id="1277"/>
      <w:bookmarkEnd w:id="1278"/>
      <w:bookmarkEnd w:id="1279"/>
    </w:p>
    <w:p>
      <w:pPr>
        <w:rPr>
          <w:rFonts w:hint="eastAsia" w:ascii="宋体" w:hAnsi="宋体" w:cs="宋体"/>
          <w:color w:val="auto"/>
          <w:highlight w:val="none"/>
        </w:rPr>
      </w:pPr>
    </w:p>
    <w:tbl>
      <w:tblPr>
        <w:tblStyle w:val="31"/>
        <w:tblW w:w="878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130"/>
        <w:gridCol w:w="1072"/>
        <w:gridCol w:w="1174"/>
        <w:gridCol w:w="1318"/>
        <w:gridCol w:w="1901"/>
        <w:gridCol w:w="219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color w:val="auto"/>
                <w:highlight w:val="none"/>
              </w:rPr>
            </w:pPr>
            <w:r>
              <w:rPr>
                <w:rFonts w:hint="eastAsia" w:ascii="宋体" w:hAnsi="宋体" w:cs="宋体"/>
                <w:b/>
                <w:bCs/>
                <w:color w:val="auto"/>
                <w:highlight w:val="none"/>
              </w:rPr>
              <w:t>姓  名</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宋体" w:hAnsi="宋体" w:cs="宋体"/>
                <w:b/>
                <w:bCs/>
                <w:color w:val="auto"/>
                <w:highlight w:val="none"/>
              </w:rPr>
            </w:pPr>
          </w:p>
        </w:tc>
        <w:tc>
          <w:tcPr>
            <w:tcW w:w="12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color w:val="auto"/>
                <w:highlight w:val="none"/>
              </w:rPr>
            </w:pPr>
            <w:r>
              <w:rPr>
                <w:rFonts w:hint="eastAsia" w:ascii="宋体" w:hAnsi="宋体" w:cs="宋体"/>
                <w:b/>
                <w:bCs/>
                <w:color w:val="auto"/>
                <w:highlight w:val="none"/>
              </w:rPr>
              <w:t>年  龄</w:t>
            </w: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宋体" w:hAnsi="宋体" w:cs="宋体"/>
                <w:b/>
                <w:bCs/>
                <w:color w:val="auto"/>
                <w:highlight w:val="none"/>
              </w:rPr>
            </w:pP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color w:val="auto"/>
                <w:highlight w:val="none"/>
              </w:rPr>
            </w:pPr>
            <w:r>
              <w:rPr>
                <w:rFonts w:hint="eastAsia" w:ascii="宋体" w:hAnsi="宋体" w:cs="宋体"/>
                <w:b/>
                <w:bCs/>
                <w:color w:val="auto"/>
                <w:highlight w:val="none"/>
              </w:rPr>
              <w:t>学历</w:t>
            </w: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宋体" w:hAnsi="宋体" w:cs="宋体"/>
                <w:b/>
                <w:bCs/>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color w:val="auto"/>
                <w:highlight w:val="none"/>
              </w:rPr>
            </w:pPr>
            <w:r>
              <w:rPr>
                <w:rFonts w:hint="eastAsia" w:ascii="宋体" w:hAnsi="宋体" w:cs="宋体"/>
                <w:b/>
                <w:bCs/>
                <w:color w:val="auto"/>
                <w:highlight w:val="none"/>
              </w:rPr>
              <w:t>职  称</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color w:val="auto"/>
                <w:highlight w:val="none"/>
              </w:rPr>
            </w:pPr>
          </w:p>
        </w:tc>
        <w:tc>
          <w:tcPr>
            <w:tcW w:w="12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color w:val="auto"/>
                <w:highlight w:val="none"/>
              </w:rPr>
            </w:pPr>
            <w:r>
              <w:rPr>
                <w:rFonts w:hint="eastAsia" w:ascii="宋体" w:hAnsi="宋体" w:cs="宋体"/>
                <w:b/>
                <w:bCs/>
                <w:color w:val="auto"/>
                <w:highlight w:val="none"/>
              </w:rPr>
              <w:t>职  务</w:t>
            </w: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color w:val="auto"/>
                <w:highlight w:val="none"/>
              </w:rPr>
            </w:pP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color w:val="auto"/>
                <w:highlight w:val="none"/>
              </w:rPr>
            </w:pPr>
            <w:r>
              <w:rPr>
                <w:rFonts w:hint="eastAsia" w:ascii="宋体" w:hAnsi="宋体" w:cs="宋体"/>
                <w:b/>
                <w:bCs/>
                <w:color w:val="auto"/>
                <w:highlight w:val="none"/>
              </w:rPr>
              <w:t>拟在本合同任职</w:t>
            </w: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color w:val="auto"/>
                <w:highlight w:val="none"/>
              </w:rPr>
            </w:pPr>
            <w:r>
              <w:rPr>
                <w:rFonts w:hint="eastAsia" w:ascii="宋体" w:hAnsi="宋体" w:cs="宋体"/>
                <w:b/>
                <w:bCs/>
                <w:color w:val="auto"/>
                <w:highlight w:val="none"/>
              </w:rPr>
              <w:t>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color w:val="auto"/>
                <w:highlight w:val="none"/>
              </w:rPr>
            </w:pPr>
            <w:r>
              <w:rPr>
                <w:rFonts w:hint="eastAsia" w:ascii="宋体" w:hAnsi="宋体" w:cs="宋体"/>
                <w:b/>
                <w:bCs/>
                <w:color w:val="auto"/>
                <w:highlight w:val="none"/>
              </w:rPr>
              <w:t>毕业    学校</w:t>
            </w:r>
          </w:p>
        </w:tc>
        <w:tc>
          <w:tcPr>
            <w:tcW w:w="794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宋体" w:hAnsi="宋体" w:cs="宋体"/>
                <w:b/>
                <w:bCs/>
                <w:color w:val="auto"/>
                <w:highlight w:val="none"/>
              </w:rPr>
            </w:pPr>
            <w:r>
              <w:rPr>
                <w:rFonts w:hint="eastAsia" w:ascii="宋体" w:hAnsi="宋体" w:cs="宋体"/>
                <w:b/>
                <w:bCs/>
                <w:color w:val="auto"/>
                <w:highlight w:val="none"/>
              </w:rPr>
              <w:t>年毕业于                  学校            专业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91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color w:val="auto"/>
                <w:highlight w:val="none"/>
              </w:rPr>
            </w:pPr>
            <w:r>
              <w:rPr>
                <w:rFonts w:hint="eastAsia" w:ascii="宋体" w:hAnsi="宋体" w:cs="宋体"/>
                <w:b/>
                <w:bCs/>
                <w:color w:val="auto"/>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color w:val="auto"/>
                <w:highlight w:val="none"/>
              </w:rPr>
            </w:pPr>
            <w:r>
              <w:rPr>
                <w:rFonts w:hint="eastAsia" w:ascii="宋体" w:hAnsi="宋体" w:cs="宋体"/>
                <w:b/>
                <w:bCs/>
                <w:color w:val="auto"/>
                <w:highlight w:val="none"/>
              </w:rPr>
              <w:t>时  间</w:t>
            </w:r>
          </w:p>
        </w:tc>
        <w:tc>
          <w:tcPr>
            <w:tcW w:w="36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color w:val="auto"/>
                <w:highlight w:val="none"/>
              </w:rPr>
            </w:pPr>
            <w:r>
              <w:rPr>
                <w:rFonts w:hint="eastAsia" w:ascii="宋体" w:hAnsi="宋体" w:cs="宋体"/>
                <w:b/>
                <w:bCs/>
                <w:color w:val="auto"/>
                <w:highlight w:val="none"/>
              </w:rPr>
              <w:t xml:space="preserve">参加过的类似项目 </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color w:val="auto"/>
                <w:highlight w:val="none"/>
              </w:rPr>
            </w:pPr>
            <w:r>
              <w:rPr>
                <w:rFonts w:hint="eastAsia" w:ascii="宋体" w:hAnsi="宋体" w:cs="宋体"/>
                <w:b/>
                <w:bCs/>
                <w:color w:val="auto"/>
                <w:highlight w:val="none"/>
              </w:rPr>
              <w:t>担任职务</w:t>
            </w: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bCs/>
                <w:color w:val="auto"/>
                <w:highlight w:val="none"/>
              </w:rPr>
            </w:pPr>
            <w:r>
              <w:rPr>
                <w:rFonts w:hint="eastAsia" w:ascii="宋体" w:hAnsi="宋体" w:cs="宋体"/>
                <w:b/>
                <w:bCs/>
                <w:color w:val="auto"/>
                <w:highlight w:val="none"/>
              </w:rPr>
              <w:t>委托人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color w:val="auto"/>
                <w:highlight w:val="none"/>
              </w:rPr>
            </w:pPr>
          </w:p>
        </w:tc>
        <w:tc>
          <w:tcPr>
            <w:tcW w:w="36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color w:val="auto"/>
                <w:highlight w:val="none"/>
              </w:rPr>
            </w:pP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color w:val="auto"/>
                <w:highlight w:val="none"/>
              </w:rPr>
            </w:pP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color w:val="auto"/>
                <w:highlight w:val="none"/>
              </w:rPr>
            </w:pPr>
          </w:p>
        </w:tc>
        <w:tc>
          <w:tcPr>
            <w:tcW w:w="36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color w:val="auto"/>
                <w:highlight w:val="none"/>
              </w:rPr>
            </w:pP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color w:val="auto"/>
                <w:highlight w:val="none"/>
              </w:rPr>
            </w:pP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color w:val="auto"/>
                <w:highlight w:val="none"/>
              </w:rPr>
            </w:pPr>
          </w:p>
        </w:tc>
        <w:tc>
          <w:tcPr>
            <w:tcW w:w="36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color w:val="auto"/>
                <w:highlight w:val="none"/>
              </w:rPr>
            </w:pP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color w:val="auto"/>
                <w:highlight w:val="none"/>
              </w:rPr>
            </w:pP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color w:val="auto"/>
                <w:highlight w:val="none"/>
              </w:rPr>
            </w:pPr>
          </w:p>
        </w:tc>
        <w:tc>
          <w:tcPr>
            <w:tcW w:w="36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color w:val="auto"/>
                <w:highlight w:val="none"/>
              </w:rPr>
            </w:pP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color w:val="auto"/>
                <w:highlight w:val="none"/>
              </w:rPr>
            </w:pP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color w:val="auto"/>
                <w:highlight w:val="none"/>
              </w:rPr>
            </w:pPr>
          </w:p>
        </w:tc>
        <w:tc>
          <w:tcPr>
            <w:tcW w:w="36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color w:val="auto"/>
                <w:highlight w:val="none"/>
              </w:rPr>
            </w:pP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color w:val="auto"/>
                <w:highlight w:val="none"/>
              </w:rPr>
            </w:pP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color w:val="auto"/>
                <w:highlight w:val="none"/>
              </w:rPr>
            </w:pPr>
          </w:p>
        </w:tc>
        <w:tc>
          <w:tcPr>
            <w:tcW w:w="36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color w:val="auto"/>
                <w:highlight w:val="none"/>
              </w:rPr>
            </w:pP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color w:val="auto"/>
                <w:highlight w:val="none"/>
              </w:rPr>
            </w:pP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17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color w:val="auto"/>
                <w:highlight w:val="none"/>
              </w:rPr>
            </w:pPr>
          </w:p>
        </w:tc>
        <w:tc>
          <w:tcPr>
            <w:tcW w:w="369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color w:val="auto"/>
                <w:highlight w:val="none"/>
              </w:rPr>
            </w:pP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color w:val="auto"/>
                <w:highlight w:val="none"/>
              </w:rPr>
            </w:pPr>
          </w:p>
        </w:tc>
        <w:tc>
          <w:tcPr>
            <w:tcW w:w="22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color w:val="auto"/>
                <w:highlight w:val="none"/>
              </w:rPr>
            </w:pPr>
          </w:p>
        </w:tc>
      </w:tr>
    </w:tbl>
    <w:p>
      <w:pPr>
        <w:spacing w:line="316" w:lineRule="auto"/>
        <w:ind w:right="160" w:firstLine="480"/>
        <w:rPr>
          <w:rFonts w:hint="eastAsia" w:ascii="宋体" w:hAnsi="宋体" w:cs="宋体"/>
          <w:color w:val="auto"/>
          <w:highlight w:val="none"/>
        </w:rPr>
      </w:pPr>
    </w:p>
    <w:p>
      <w:pPr>
        <w:spacing w:line="316" w:lineRule="auto"/>
        <w:ind w:right="160" w:firstLine="480"/>
        <w:rPr>
          <w:rFonts w:hint="eastAsia" w:ascii="宋体" w:hAnsi="宋体" w:cs="宋体"/>
          <w:color w:val="auto"/>
          <w:highlight w:val="none"/>
        </w:rPr>
      </w:pPr>
      <w:r>
        <w:rPr>
          <w:rFonts w:hint="eastAsia" w:ascii="宋体" w:hAnsi="宋体" w:cs="宋体"/>
          <w:color w:val="auto"/>
          <w:highlight w:val="none"/>
        </w:rPr>
        <w:t>注：应附身份证、注册证、职称证、社保证明等材料的扫描件。</w:t>
      </w:r>
    </w:p>
    <w:p>
      <w:pPr>
        <w:spacing w:line="200" w:lineRule="exact"/>
        <w:rPr>
          <w:rFonts w:hint="eastAsia" w:ascii="宋体" w:hAnsi="宋体" w:cs="宋体"/>
          <w:color w:val="auto"/>
          <w:highlight w:val="none"/>
        </w:rPr>
      </w:pPr>
    </w:p>
    <w:p>
      <w:pPr>
        <w:widowControl/>
        <w:wordWrap w:val="0"/>
        <w:spacing w:line="480" w:lineRule="auto"/>
        <w:ind w:firstLine="420" w:firstLineChars="200"/>
        <w:jc w:val="center"/>
        <w:rPr>
          <w:rFonts w:hint="eastAsia" w:ascii="宋体" w:hAnsi="宋体" w:cs="宋体"/>
          <w:color w:val="auto"/>
          <w:kern w:val="0"/>
          <w:highlight w:val="none"/>
        </w:rPr>
      </w:pPr>
      <w:r>
        <w:rPr>
          <w:rFonts w:hint="eastAsia" w:ascii="宋体" w:hAnsi="宋体" w:cs="宋体"/>
          <w:color w:val="auto"/>
          <w:kern w:val="0"/>
          <w:highlight w:val="none"/>
        </w:rPr>
        <w:t xml:space="preserve">         </w:t>
      </w:r>
    </w:p>
    <w:p>
      <w:pPr>
        <w:widowControl/>
        <w:wordWrap w:val="0"/>
        <w:spacing w:line="480" w:lineRule="auto"/>
        <w:ind w:firstLine="420" w:firstLineChars="200"/>
        <w:jc w:val="center"/>
        <w:rPr>
          <w:rFonts w:hint="eastAsia" w:ascii="宋体" w:hAnsi="宋体" w:cs="宋体"/>
          <w:color w:val="auto"/>
          <w:kern w:val="0"/>
          <w:highlight w:val="none"/>
        </w:rPr>
      </w:pPr>
    </w:p>
    <w:p>
      <w:pPr>
        <w:pStyle w:val="10"/>
        <w:rPr>
          <w:rFonts w:hint="eastAsia" w:ascii="宋体" w:hAnsi="宋体" w:cs="宋体"/>
          <w:color w:val="auto"/>
          <w:highlight w:val="none"/>
        </w:rPr>
      </w:pPr>
      <w:bookmarkStart w:id="1280" w:name="_Toc833"/>
      <w:bookmarkStart w:id="1281" w:name="_Toc12469"/>
      <w:bookmarkStart w:id="1282" w:name="_Toc14941"/>
      <w:bookmarkStart w:id="1283" w:name="_Toc16752"/>
    </w:p>
    <w:p>
      <w:pPr>
        <w:pStyle w:val="10"/>
        <w:jc w:val="center"/>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（二）</w:t>
      </w:r>
      <w:bookmarkEnd w:id="1280"/>
      <w:bookmarkEnd w:id="1281"/>
      <w:bookmarkEnd w:id="1282"/>
      <w:bookmarkEnd w:id="1283"/>
      <w:r>
        <w:rPr>
          <w:rFonts w:hint="eastAsia" w:ascii="宋体" w:hAnsi="宋体" w:cs="宋体"/>
          <w:color w:val="auto"/>
          <w:highlight w:val="none"/>
        </w:rPr>
        <w:t>项目组成员构成表</w:t>
      </w:r>
    </w:p>
    <w:p>
      <w:pPr>
        <w:rPr>
          <w:rFonts w:hint="eastAsia" w:ascii="宋体" w:hAnsi="宋体" w:cs="宋体"/>
          <w:color w:val="auto"/>
          <w:highlight w:val="none"/>
        </w:rPr>
      </w:pPr>
    </w:p>
    <w:tbl>
      <w:tblPr>
        <w:tblStyle w:val="31"/>
        <w:tblW w:w="878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387"/>
        <w:gridCol w:w="1005"/>
        <w:gridCol w:w="886"/>
        <w:gridCol w:w="1267"/>
        <w:gridCol w:w="965"/>
        <w:gridCol w:w="1040"/>
        <w:gridCol w:w="1107"/>
        <w:gridCol w:w="113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vMerge w:val="restar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职务</w:t>
            </w:r>
          </w:p>
        </w:tc>
        <w:tc>
          <w:tcPr>
            <w:tcW w:w="1005" w:type="dxa"/>
            <w:vMerge w:val="restar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姓名</w:t>
            </w:r>
          </w:p>
        </w:tc>
        <w:tc>
          <w:tcPr>
            <w:tcW w:w="886" w:type="dxa"/>
            <w:vMerge w:val="restar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职称</w:t>
            </w:r>
          </w:p>
        </w:tc>
        <w:tc>
          <w:tcPr>
            <w:tcW w:w="4379" w:type="dxa"/>
            <w:gridSpan w:val="4"/>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执业或职业资格证明</w:t>
            </w:r>
          </w:p>
        </w:tc>
        <w:tc>
          <w:tcPr>
            <w:tcW w:w="1130" w:type="dxa"/>
            <w:vMerge w:val="restar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color w:val="auto"/>
                <w:highlight w:val="none"/>
              </w:rPr>
            </w:pPr>
          </w:p>
        </w:tc>
        <w:tc>
          <w:tcPr>
            <w:tcW w:w="1005"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color w:val="auto"/>
                <w:highlight w:val="none"/>
              </w:rPr>
            </w:pPr>
          </w:p>
        </w:tc>
        <w:tc>
          <w:tcPr>
            <w:tcW w:w="886"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color w:val="auto"/>
                <w:highlight w:val="none"/>
              </w:rPr>
            </w:pP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证书名称</w:t>
            </w: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级别</w:t>
            </w: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证号</w:t>
            </w: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b/>
                <w:bCs/>
                <w:color w:val="auto"/>
                <w:highlight w:val="none"/>
              </w:rPr>
            </w:pPr>
            <w:r>
              <w:rPr>
                <w:rFonts w:hint="eastAsia" w:ascii="宋体" w:hAnsi="宋体" w:cs="宋体"/>
                <w:b/>
                <w:bCs/>
                <w:color w:val="auto"/>
                <w:highlight w:val="none"/>
              </w:rPr>
              <w:t>专业</w:t>
            </w:r>
          </w:p>
        </w:tc>
        <w:tc>
          <w:tcPr>
            <w:tcW w:w="1130"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38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965"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cs="宋体"/>
                <w:color w:val="auto"/>
                <w:highlight w:val="none"/>
              </w:rPr>
            </w:pPr>
          </w:p>
        </w:tc>
      </w:tr>
    </w:tbl>
    <w:p>
      <w:pPr>
        <w:spacing w:after="120"/>
        <w:rPr>
          <w:rFonts w:hint="eastAsia" w:ascii="宋体" w:hAnsi="宋体" w:cs="宋体"/>
          <w:color w:val="auto"/>
          <w:kern w:val="0"/>
          <w:highlight w:val="none"/>
        </w:rPr>
      </w:pPr>
    </w:p>
    <w:p>
      <w:pPr>
        <w:spacing w:before="156" w:beforeLines="50" w:after="156" w:afterLines="50" w:line="440" w:lineRule="exact"/>
        <w:rPr>
          <w:rFonts w:hint="eastAsia" w:ascii="宋体" w:hAnsi="宋体" w:cs="宋体"/>
          <w:color w:val="auto"/>
          <w:highlight w:val="none"/>
        </w:rPr>
      </w:pPr>
      <w:r>
        <w:rPr>
          <w:rFonts w:hint="eastAsia" w:ascii="宋体" w:hAnsi="宋体" w:cs="宋体"/>
          <w:color w:val="auto"/>
          <w:highlight w:val="none"/>
        </w:rPr>
        <w:t xml:space="preserve">   附：附相关人员的身份证、执业或职业资格证明、社保等材料的复印件或扫描件。</w:t>
      </w:r>
    </w:p>
    <w:p>
      <w:pPr>
        <w:pStyle w:val="54"/>
        <w:ind w:left="0" w:leftChars="0" w:firstLine="0" w:firstLineChars="0"/>
        <w:rPr>
          <w:rFonts w:hint="eastAsia" w:ascii="宋体" w:hAnsi="宋体" w:cs="宋体"/>
          <w:color w:val="auto"/>
          <w:highlight w:val="none"/>
        </w:rPr>
      </w:pPr>
    </w:p>
    <w:p>
      <w:pPr>
        <w:pStyle w:val="9"/>
        <w:jc w:val="center"/>
        <w:rPr>
          <w:rFonts w:hint="eastAsia" w:ascii="宋体" w:hAnsi="宋体" w:eastAsia="宋体" w:cs="宋体"/>
          <w:color w:val="auto"/>
          <w:highlight w:val="none"/>
        </w:rPr>
      </w:pPr>
      <w:bookmarkStart w:id="1284" w:name="_Toc8371"/>
      <w:bookmarkStart w:id="1285" w:name="_Toc13339"/>
      <w:bookmarkStart w:id="1286" w:name="_Toc24963"/>
      <w:bookmarkStart w:id="1287" w:name="_Toc31389"/>
      <w:bookmarkStart w:id="1288" w:name="_Toc25732"/>
      <w:bookmarkStart w:id="1289" w:name="_Toc19486"/>
      <w:r>
        <w:rPr>
          <w:rFonts w:hint="eastAsia" w:ascii="宋体" w:hAnsi="宋体" w:eastAsia="宋体" w:cs="宋体"/>
          <w:color w:val="auto"/>
          <w:highlight w:val="none"/>
        </w:rPr>
        <w:t>六、</w:t>
      </w:r>
      <w:bookmarkEnd w:id="1275"/>
      <w:bookmarkEnd w:id="1284"/>
      <w:bookmarkEnd w:id="1285"/>
      <w:bookmarkEnd w:id="1286"/>
      <w:bookmarkEnd w:id="1287"/>
      <w:bookmarkStart w:id="1290" w:name="_Toc28090"/>
      <w:bookmarkStart w:id="1291" w:name="_Toc27330"/>
      <w:bookmarkStart w:id="1292" w:name="_Toc21363"/>
      <w:bookmarkStart w:id="1293" w:name="_Toc6620"/>
      <w:r>
        <w:rPr>
          <w:rFonts w:hint="eastAsia" w:ascii="宋体" w:hAnsi="宋体" w:eastAsia="宋体" w:cs="宋体"/>
          <w:color w:val="auto"/>
          <w:highlight w:val="none"/>
        </w:rPr>
        <w:t>技术方案</w:t>
      </w:r>
      <w:bookmarkEnd w:id="1288"/>
      <w:bookmarkEnd w:id="1289"/>
    </w:p>
    <w:p>
      <w:pPr>
        <w:pStyle w:val="9"/>
        <w:jc w:val="center"/>
        <w:rPr>
          <w:rFonts w:hint="eastAsia" w:ascii="宋体" w:hAnsi="宋体" w:eastAsia="宋体" w:cs="宋体"/>
          <w:color w:val="auto"/>
          <w:highlight w:val="none"/>
        </w:rPr>
      </w:pPr>
    </w:p>
    <w:p>
      <w:pPr>
        <w:pStyle w:val="9"/>
        <w:jc w:val="center"/>
        <w:rPr>
          <w:rFonts w:hint="eastAsia" w:ascii="宋体" w:hAnsi="宋体" w:eastAsia="宋体" w:cs="宋体"/>
          <w:color w:val="auto"/>
          <w:highlight w:val="none"/>
        </w:rPr>
      </w:pPr>
    </w:p>
    <w:p>
      <w:pPr>
        <w:pStyle w:val="9"/>
        <w:jc w:val="center"/>
        <w:rPr>
          <w:rFonts w:hint="eastAsia" w:ascii="宋体" w:hAnsi="宋体" w:eastAsia="宋体" w:cs="宋体"/>
          <w:color w:val="auto"/>
          <w:highlight w:val="none"/>
        </w:rPr>
      </w:pPr>
    </w:p>
    <w:p>
      <w:pPr>
        <w:pStyle w:val="9"/>
        <w:jc w:val="center"/>
        <w:rPr>
          <w:rFonts w:hint="eastAsia" w:ascii="宋体" w:hAnsi="宋体" w:eastAsia="宋体" w:cs="宋体"/>
          <w:color w:val="auto"/>
          <w:highlight w:val="none"/>
        </w:rPr>
      </w:pPr>
    </w:p>
    <w:p>
      <w:pPr>
        <w:pStyle w:val="9"/>
        <w:jc w:val="center"/>
        <w:rPr>
          <w:rFonts w:hint="eastAsia" w:ascii="宋体" w:hAnsi="宋体" w:eastAsia="宋体" w:cs="宋体"/>
          <w:color w:val="auto"/>
          <w:highlight w:val="none"/>
        </w:rPr>
      </w:pPr>
    </w:p>
    <w:p>
      <w:pPr>
        <w:pStyle w:val="9"/>
        <w:jc w:val="center"/>
        <w:rPr>
          <w:rFonts w:hint="eastAsia" w:ascii="宋体" w:hAnsi="宋体" w:eastAsia="宋体" w:cs="宋体"/>
          <w:color w:val="auto"/>
          <w:highlight w:val="none"/>
        </w:rPr>
      </w:pPr>
    </w:p>
    <w:p>
      <w:pPr>
        <w:pStyle w:val="9"/>
        <w:jc w:val="center"/>
        <w:rPr>
          <w:rFonts w:hint="eastAsia" w:ascii="宋体" w:hAnsi="宋体" w:eastAsia="宋体" w:cs="宋体"/>
          <w:color w:val="auto"/>
          <w:highlight w:val="none"/>
        </w:rPr>
      </w:pPr>
    </w:p>
    <w:p>
      <w:pPr>
        <w:pStyle w:val="9"/>
        <w:jc w:val="center"/>
        <w:rPr>
          <w:rFonts w:hint="eastAsia" w:ascii="宋体" w:hAnsi="宋体" w:eastAsia="宋体" w:cs="宋体"/>
          <w:color w:val="auto"/>
          <w:highlight w:val="none"/>
        </w:rPr>
      </w:pPr>
    </w:p>
    <w:p>
      <w:pPr>
        <w:pStyle w:val="9"/>
        <w:jc w:val="center"/>
        <w:rPr>
          <w:rFonts w:hint="eastAsia" w:ascii="宋体" w:hAnsi="宋体" w:eastAsia="宋体" w:cs="宋体"/>
          <w:color w:val="auto"/>
          <w:highlight w:val="none"/>
        </w:rPr>
      </w:pPr>
    </w:p>
    <w:p>
      <w:pPr>
        <w:pStyle w:val="9"/>
        <w:jc w:val="center"/>
        <w:rPr>
          <w:rFonts w:hint="eastAsia" w:ascii="宋体" w:hAnsi="宋体" w:eastAsia="宋体" w:cs="宋体"/>
          <w:color w:val="auto"/>
          <w:highlight w:val="none"/>
        </w:rPr>
      </w:pPr>
    </w:p>
    <w:p>
      <w:pPr>
        <w:pStyle w:val="9"/>
        <w:jc w:val="center"/>
        <w:rPr>
          <w:rFonts w:hint="eastAsia" w:ascii="宋体" w:hAnsi="宋体" w:eastAsia="宋体" w:cs="宋体"/>
          <w:color w:val="auto"/>
          <w:highlight w:val="none"/>
        </w:rPr>
      </w:pPr>
    </w:p>
    <w:p>
      <w:pPr>
        <w:pStyle w:val="9"/>
        <w:jc w:val="center"/>
        <w:rPr>
          <w:rFonts w:hint="eastAsia" w:ascii="宋体" w:hAnsi="宋体" w:eastAsia="宋体" w:cs="宋体"/>
          <w:color w:val="auto"/>
          <w:highlight w:val="none"/>
        </w:rPr>
      </w:pPr>
    </w:p>
    <w:p>
      <w:pPr>
        <w:pStyle w:val="9"/>
        <w:jc w:val="center"/>
        <w:rPr>
          <w:rFonts w:hint="eastAsia" w:ascii="宋体" w:hAnsi="宋体" w:eastAsia="宋体" w:cs="宋体"/>
          <w:color w:val="auto"/>
          <w:highlight w:val="none"/>
        </w:rPr>
      </w:pPr>
    </w:p>
    <w:p>
      <w:pPr>
        <w:pStyle w:val="9"/>
        <w:jc w:val="center"/>
        <w:rPr>
          <w:rFonts w:hint="eastAsia" w:ascii="宋体" w:hAnsi="宋体" w:eastAsia="宋体" w:cs="宋体"/>
          <w:color w:val="auto"/>
          <w:highlight w:val="none"/>
        </w:rPr>
      </w:pPr>
    </w:p>
    <w:p>
      <w:pPr>
        <w:pStyle w:val="9"/>
        <w:jc w:val="center"/>
        <w:rPr>
          <w:rFonts w:hint="eastAsia" w:ascii="宋体" w:hAnsi="宋体" w:eastAsia="宋体" w:cs="宋体"/>
          <w:color w:val="auto"/>
          <w:highlight w:val="none"/>
        </w:rPr>
      </w:pPr>
    </w:p>
    <w:p>
      <w:pPr>
        <w:pStyle w:val="9"/>
        <w:jc w:val="center"/>
        <w:rPr>
          <w:rFonts w:hint="eastAsia" w:ascii="宋体" w:hAnsi="宋体" w:eastAsia="宋体" w:cs="宋体"/>
          <w:color w:val="auto"/>
          <w:highlight w:val="none"/>
        </w:rPr>
      </w:pPr>
    </w:p>
    <w:p>
      <w:pPr>
        <w:pStyle w:val="9"/>
        <w:jc w:val="center"/>
        <w:rPr>
          <w:rFonts w:hint="eastAsia" w:ascii="宋体" w:hAnsi="宋体" w:eastAsia="宋体" w:cs="宋体"/>
          <w:color w:val="auto"/>
          <w:highlight w:val="none"/>
        </w:rPr>
      </w:pPr>
    </w:p>
    <w:p>
      <w:pPr>
        <w:pStyle w:val="9"/>
        <w:jc w:val="center"/>
        <w:rPr>
          <w:rFonts w:hint="eastAsia" w:ascii="宋体" w:hAnsi="宋体" w:eastAsia="宋体" w:cs="宋体"/>
          <w:color w:val="auto"/>
          <w:highlight w:val="none"/>
        </w:rPr>
      </w:pPr>
    </w:p>
    <w:p>
      <w:pPr>
        <w:pStyle w:val="9"/>
        <w:jc w:val="center"/>
        <w:rPr>
          <w:rFonts w:hint="eastAsia" w:ascii="宋体" w:hAnsi="宋体" w:eastAsia="宋体" w:cs="宋体"/>
          <w:color w:val="auto"/>
          <w:highlight w:val="none"/>
        </w:rPr>
      </w:pPr>
    </w:p>
    <w:p>
      <w:pPr>
        <w:pStyle w:val="9"/>
        <w:jc w:val="center"/>
        <w:rPr>
          <w:rFonts w:hint="eastAsia" w:ascii="宋体" w:hAnsi="宋体" w:eastAsia="宋体" w:cs="宋体"/>
          <w:color w:val="auto"/>
          <w:highlight w:val="none"/>
        </w:rPr>
      </w:pPr>
    </w:p>
    <w:p>
      <w:pPr>
        <w:pStyle w:val="9"/>
        <w:jc w:val="center"/>
        <w:rPr>
          <w:rFonts w:hint="eastAsia" w:ascii="宋体" w:hAnsi="宋体" w:eastAsia="宋体" w:cs="宋体"/>
          <w:color w:val="auto"/>
          <w:highlight w:val="none"/>
        </w:rPr>
      </w:pPr>
      <w:bookmarkStart w:id="1294" w:name="_Toc6718"/>
    </w:p>
    <w:p>
      <w:pPr>
        <w:pStyle w:val="9"/>
        <w:jc w:val="center"/>
        <w:rPr>
          <w:rFonts w:hint="eastAsia" w:ascii="宋体" w:hAnsi="宋体" w:eastAsia="宋体" w:cs="宋体"/>
          <w:color w:val="auto"/>
          <w:highlight w:val="none"/>
        </w:rPr>
      </w:pPr>
    </w:p>
    <w:p>
      <w:pPr>
        <w:pStyle w:val="9"/>
        <w:jc w:val="center"/>
        <w:rPr>
          <w:rFonts w:hint="eastAsia" w:ascii="宋体" w:hAnsi="宋体" w:eastAsia="宋体" w:cs="宋体"/>
          <w:color w:val="auto"/>
          <w:highlight w:val="none"/>
        </w:rPr>
      </w:pPr>
    </w:p>
    <w:p>
      <w:pPr>
        <w:pStyle w:val="9"/>
        <w:jc w:val="center"/>
        <w:rPr>
          <w:rFonts w:hint="eastAsia" w:ascii="宋体" w:hAnsi="宋体" w:eastAsia="宋体" w:cs="宋体"/>
          <w:color w:val="auto"/>
          <w:highlight w:val="none"/>
        </w:rPr>
      </w:pPr>
    </w:p>
    <w:p>
      <w:pPr>
        <w:pStyle w:val="9"/>
        <w:jc w:val="center"/>
        <w:rPr>
          <w:rFonts w:hint="eastAsia" w:ascii="宋体" w:hAnsi="宋体" w:eastAsia="宋体" w:cs="宋体"/>
          <w:color w:val="auto"/>
          <w:highlight w:val="none"/>
        </w:rPr>
      </w:pPr>
    </w:p>
    <w:p>
      <w:pPr>
        <w:pStyle w:val="9"/>
        <w:jc w:val="center"/>
        <w:rPr>
          <w:rFonts w:hint="eastAsia" w:ascii="宋体" w:hAnsi="宋体" w:eastAsia="宋体" w:cs="宋体"/>
          <w:color w:val="auto"/>
          <w:highlight w:val="none"/>
        </w:rPr>
      </w:pPr>
    </w:p>
    <w:p>
      <w:pPr>
        <w:pStyle w:val="9"/>
        <w:jc w:val="center"/>
        <w:rPr>
          <w:rFonts w:hint="eastAsia" w:ascii="宋体" w:hAnsi="宋体" w:eastAsia="宋体" w:cs="宋体"/>
          <w:color w:val="auto"/>
          <w:highlight w:val="none"/>
        </w:rPr>
      </w:pPr>
    </w:p>
    <w:p>
      <w:pPr>
        <w:pStyle w:val="9"/>
        <w:jc w:val="center"/>
        <w:rPr>
          <w:rFonts w:hint="eastAsia" w:ascii="宋体" w:hAnsi="宋体" w:eastAsia="宋体" w:cs="宋体"/>
          <w:color w:val="auto"/>
          <w:highlight w:val="none"/>
        </w:rPr>
      </w:pPr>
    </w:p>
    <w:p>
      <w:pPr>
        <w:pStyle w:val="9"/>
        <w:jc w:val="center"/>
        <w:rPr>
          <w:rFonts w:hint="eastAsia" w:ascii="宋体" w:hAnsi="宋体" w:eastAsia="宋体" w:cs="宋体"/>
          <w:color w:val="auto"/>
          <w:highlight w:val="none"/>
        </w:rPr>
      </w:pPr>
      <w:bookmarkStart w:id="1295" w:name="_Toc20278"/>
      <w:r>
        <w:rPr>
          <w:rFonts w:hint="eastAsia" w:ascii="宋体" w:hAnsi="宋体" w:eastAsia="宋体" w:cs="宋体"/>
          <w:color w:val="auto"/>
          <w:highlight w:val="none"/>
        </w:rPr>
        <w:t>七、类似项目业绩</w:t>
      </w:r>
      <w:bookmarkEnd w:id="1290"/>
      <w:bookmarkEnd w:id="1291"/>
      <w:bookmarkEnd w:id="1292"/>
      <w:bookmarkEnd w:id="1293"/>
      <w:bookmarkEnd w:id="1294"/>
      <w:bookmarkEnd w:id="1295"/>
    </w:p>
    <w:p>
      <w:pPr>
        <w:rPr>
          <w:rFonts w:hint="eastAsia" w:ascii="宋体" w:hAnsi="宋体" w:cs="宋体"/>
          <w:color w:val="auto"/>
          <w:highlight w:val="none"/>
        </w:rPr>
      </w:pPr>
    </w:p>
    <w:tbl>
      <w:tblPr>
        <w:tblStyle w:val="31"/>
        <w:tblW w:w="878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288"/>
        <w:gridCol w:w="4698"/>
        <w:gridCol w:w="1315"/>
        <w:gridCol w:w="148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noWrap w:val="0"/>
            <w:vAlign w:val="center"/>
          </w:tcPr>
          <w:p>
            <w:pPr>
              <w:widowControl/>
              <w:spacing w:line="360" w:lineRule="auto"/>
              <w:jc w:val="center"/>
              <w:rPr>
                <w:rFonts w:hint="eastAsia" w:ascii="宋体" w:hAnsi="宋体" w:cs="宋体"/>
                <w:b/>
                <w:bCs/>
                <w:color w:val="auto"/>
                <w:kern w:val="0"/>
                <w:highlight w:val="none"/>
              </w:rPr>
            </w:pPr>
            <w:r>
              <w:rPr>
                <w:rFonts w:hint="eastAsia" w:ascii="宋体" w:hAnsi="宋体" w:cs="宋体"/>
                <w:b/>
                <w:bCs/>
                <w:color w:val="auto"/>
                <w:kern w:val="0"/>
                <w:highlight w:val="none"/>
              </w:rPr>
              <w:t>序号</w:t>
            </w:r>
          </w:p>
        </w:tc>
        <w:tc>
          <w:tcPr>
            <w:tcW w:w="4842" w:type="dxa"/>
            <w:noWrap w:val="0"/>
            <w:vAlign w:val="center"/>
          </w:tcPr>
          <w:p>
            <w:pPr>
              <w:widowControl/>
              <w:spacing w:line="360" w:lineRule="auto"/>
              <w:jc w:val="center"/>
              <w:rPr>
                <w:rFonts w:hint="eastAsia" w:ascii="宋体" w:hAnsi="宋体" w:cs="宋体"/>
                <w:b/>
                <w:bCs/>
                <w:color w:val="auto"/>
                <w:kern w:val="0"/>
                <w:highlight w:val="none"/>
              </w:rPr>
            </w:pPr>
            <w:r>
              <w:rPr>
                <w:rFonts w:hint="eastAsia" w:ascii="宋体" w:hAnsi="宋体" w:cs="宋体"/>
                <w:b/>
                <w:bCs/>
                <w:color w:val="auto"/>
                <w:kern w:val="0"/>
                <w:highlight w:val="none"/>
              </w:rPr>
              <w:t>项目名称</w:t>
            </w:r>
          </w:p>
        </w:tc>
        <w:tc>
          <w:tcPr>
            <w:tcW w:w="1350" w:type="dxa"/>
            <w:noWrap w:val="0"/>
            <w:vAlign w:val="center"/>
          </w:tcPr>
          <w:p>
            <w:pPr>
              <w:widowControl/>
              <w:spacing w:line="360" w:lineRule="auto"/>
              <w:jc w:val="center"/>
              <w:rPr>
                <w:rFonts w:hint="eastAsia" w:ascii="宋体" w:hAnsi="宋体" w:cs="宋体"/>
                <w:b/>
                <w:bCs/>
                <w:color w:val="auto"/>
                <w:kern w:val="0"/>
                <w:highlight w:val="none"/>
              </w:rPr>
            </w:pPr>
            <w:r>
              <w:rPr>
                <w:rFonts w:hint="eastAsia" w:ascii="宋体" w:hAnsi="宋体" w:cs="宋体"/>
                <w:b/>
                <w:bCs/>
                <w:color w:val="auto"/>
                <w:kern w:val="0"/>
                <w:highlight w:val="none"/>
              </w:rPr>
              <w:t>业主</w:t>
            </w:r>
          </w:p>
        </w:tc>
        <w:tc>
          <w:tcPr>
            <w:tcW w:w="1526" w:type="dxa"/>
            <w:noWrap w:val="0"/>
            <w:vAlign w:val="center"/>
          </w:tcPr>
          <w:p>
            <w:pPr>
              <w:widowControl/>
              <w:spacing w:line="360" w:lineRule="auto"/>
              <w:jc w:val="center"/>
              <w:rPr>
                <w:rFonts w:hint="eastAsia" w:ascii="宋体" w:hAnsi="宋体" w:cs="宋体"/>
                <w:b/>
                <w:bCs/>
                <w:color w:val="auto"/>
                <w:kern w:val="0"/>
                <w:highlight w:val="none"/>
              </w:rPr>
            </w:pPr>
            <w:r>
              <w:rPr>
                <w:rFonts w:hint="eastAsia" w:ascii="宋体" w:hAnsi="宋体" w:cs="宋体"/>
                <w:b/>
                <w:bCs/>
                <w:color w:val="auto"/>
                <w:kern w:val="0"/>
                <w:highlight w:val="none"/>
              </w:rPr>
              <w:t>签订日期</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noWrap w:val="0"/>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1</w:t>
            </w:r>
          </w:p>
        </w:tc>
        <w:tc>
          <w:tcPr>
            <w:tcW w:w="4842" w:type="dxa"/>
            <w:noWrap w:val="0"/>
            <w:vAlign w:val="center"/>
          </w:tcPr>
          <w:p>
            <w:pPr>
              <w:widowControl/>
              <w:spacing w:line="360" w:lineRule="auto"/>
              <w:rPr>
                <w:rFonts w:hint="eastAsia" w:ascii="宋体" w:hAnsi="宋体" w:cs="宋体"/>
                <w:color w:val="auto"/>
                <w:kern w:val="0"/>
                <w:highlight w:val="none"/>
              </w:rPr>
            </w:pPr>
          </w:p>
        </w:tc>
        <w:tc>
          <w:tcPr>
            <w:tcW w:w="1350" w:type="dxa"/>
            <w:noWrap w:val="0"/>
            <w:vAlign w:val="center"/>
          </w:tcPr>
          <w:p>
            <w:pPr>
              <w:widowControl/>
              <w:spacing w:line="360" w:lineRule="auto"/>
              <w:rPr>
                <w:rFonts w:hint="eastAsia" w:ascii="宋体" w:hAnsi="宋体" w:cs="宋体"/>
                <w:color w:val="auto"/>
                <w:kern w:val="0"/>
                <w:highlight w:val="none"/>
              </w:rPr>
            </w:pPr>
          </w:p>
        </w:tc>
        <w:tc>
          <w:tcPr>
            <w:tcW w:w="1526" w:type="dxa"/>
            <w:noWrap w:val="0"/>
            <w:vAlign w:val="center"/>
          </w:tcPr>
          <w:p>
            <w:pPr>
              <w:widowControl/>
              <w:spacing w:line="360" w:lineRule="auto"/>
              <w:rPr>
                <w:rFonts w:hint="eastAsia" w:ascii="宋体" w:hAnsi="宋体" w:cs="宋体"/>
                <w:color w:val="auto"/>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noWrap w:val="0"/>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2</w:t>
            </w:r>
          </w:p>
        </w:tc>
        <w:tc>
          <w:tcPr>
            <w:tcW w:w="4842" w:type="dxa"/>
            <w:noWrap w:val="0"/>
            <w:vAlign w:val="center"/>
          </w:tcPr>
          <w:p>
            <w:pPr>
              <w:widowControl/>
              <w:spacing w:line="360" w:lineRule="auto"/>
              <w:rPr>
                <w:rFonts w:hint="eastAsia" w:ascii="宋体" w:hAnsi="宋体" w:cs="宋体"/>
                <w:color w:val="auto"/>
                <w:kern w:val="0"/>
                <w:highlight w:val="none"/>
              </w:rPr>
            </w:pPr>
          </w:p>
        </w:tc>
        <w:tc>
          <w:tcPr>
            <w:tcW w:w="1350" w:type="dxa"/>
            <w:noWrap w:val="0"/>
            <w:vAlign w:val="center"/>
          </w:tcPr>
          <w:p>
            <w:pPr>
              <w:widowControl/>
              <w:spacing w:line="360" w:lineRule="auto"/>
              <w:rPr>
                <w:rFonts w:hint="eastAsia" w:ascii="宋体" w:hAnsi="宋体" w:cs="宋体"/>
                <w:color w:val="auto"/>
                <w:kern w:val="0"/>
                <w:highlight w:val="none"/>
              </w:rPr>
            </w:pPr>
          </w:p>
        </w:tc>
        <w:tc>
          <w:tcPr>
            <w:tcW w:w="1526" w:type="dxa"/>
            <w:noWrap w:val="0"/>
            <w:vAlign w:val="center"/>
          </w:tcPr>
          <w:p>
            <w:pPr>
              <w:widowControl/>
              <w:spacing w:line="360" w:lineRule="auto"/>
              <w:rPr>
                <w:rFonts w:hint="eastAsia" w:ascii="宋体" w:hAnsi="宋体" w:cs="宋体"/>
                <w:color w:val="auto"/>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noWrap w:val="0"/>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3</w:t>
            </w:r>
          </w:p>
        </w:tc>
        <w:tc>
          <w:tcPr>
            <w:tcW w:w="4842" w:type="dxa"/>
            <w:noWrap w:val="0"/>
            <w:vAlign w:val="center"/>
          </w:tcPr>
          <w:p>
            <w:pPr>
              <w:widowControl/>
              <w:spacing w:line="360" w:lineRule="auto"/>
              <w:rPr>
                <w:rFonts w:hint="eastAsia" w:ascii="宋体" w:hAnsi="宋体" w:cs="宋体"/>
                <w:color w:val="auto"/>
                <w:kern w:val="0"/>
                <w:highlight w:val="none"/>
              </w:rPr>
            </w:pPr>
          </w:p>
        </w:tc>
        <w:tc>
          <w:tcPr>
            <w:tcW w:w="1350" w:type="dxa"/>
            <w:noWrap w:val="0"/>
            <w:vAlign w:val="center"/>
          </w:tcPr>
          <w:p>
            <w:pPr>
              <w:widowControl/>
              <w:spacing w:line="360" w:lineRule="auto"/>
              <w:rPr>
                <w:rFonts w:hint="eastAsia" w:ascii="宋体" w:hAnsi="宋体" w:cs="宋体"/>
                <w:color w:val="auto"/>
                <w:kern w:val="0"/>
                <w:highlight w:val="none"/>
              </w:rPr>
            </w:pPr>
          </w:p>
        </w:tc>
        <w:tc>
          <w:tcPr>
            <w:tcW w:w="1526" w:type="dxa"/>
            <w:noWrap w:val="0"/>
            <w:vAlign w:val="center"/>
          </w:tcPr>
          <w:p>
            <w:pPr>
              <w:widowControl/>
              <w:spacing w:line="360" w:lineRule="auto"/>
              <w:rPr>
                <w:rFonts w:hint="eastAsia" w:ascii="宋体" w:hAnsi="宋体" w:cs="宋体"/>
                <w:color w:val="auto"/>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noWrap w:val="0"/>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4</w:t>
            </w:r>
          </w:p>
        </w:tc>
        <w:tc>
          <w:tcPr>
            <w:tcW w:w="4842" w:type="dxa"/>
            <w:noWrap w:val="0"/>
            <w:vAlign w:val="center"/>
          </w:tcPr>
          <w:p>
            <w:pPr>
              <w:widowControl/>
              <w:spacing w:line="360" w:lineRule="auto"/>
              <w:rPr>
                <w:rFonts w:hint="eastAsia" w:ascii="宋体" w:hAnsi="宋体" w:cs="宋体"/>
                <w:color w:val="auto"/>
                <w:kern w:val="0"/>
                <w:highlight w:val="none"/>
              </w:rPr>
            </w:pPr>
          </w:p>
        </w:tc>
        <w:tc>
          <w:tcPr>
            <w:tcW w:w="1350" w:type="dxa"/>
            <w:noWrap w:val="0"/>
            <w:vAlign w:val="center"/>
          </w:tcPr>
          <w:p>
            <w:pPr>
              <w:widowControl/>
              <w:spacing w:line="360" w:lineRule="auto"/>
              <w:rPr>
                <w:rFonts w:hint="eastAsia" w:ascii="宋体" w:hAnsi="宋体" w:cs="宋体"/>
                <w:color w:val="auto"/>
                <w:kern w:val="0"/>
                <w:highlight w:val="none"/>
              </w:rPr>
            </w:pPr>
          </w:p>
        </w:tc>
        <w:tc>
          <w:tcPr>
            <w:tcW w:w="1526" w:type="dxa"/>
            <w:noWrap w:val="0"/>
            <w:vAlign w:val="center"/>
          </w:tcPr>
          <w:p>
            <w:pPr>
              <w:widowControl/>
              <w:spacing w:line="360" w:lineRule="auto"/>
              <w:rPr>
                <w:rFonts w:hint="eastAsia" w:ascii="宋体" w:hAnsi="宋体" w:cs="宋体"/>
                <w:color w:val="auto"/>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noWrap w:val="0"/>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5</w:t>
            </w:r>
          </w:p>
        </w:tc>
        <w:tc>
          <w:tcPr>
            <w:tcW w:w="4842" w:type="dxa"/>
            <w:noWrap w:val="0"/>
            <w:vAlign w:val="center"/>
          </w:tcPr>
          <w:p>
            <w:pPr>
              <w:widowControl/>
              <w:spacing w:line="360" w:lineRule="auto"/>
              <w:rPr>
                <w:rFonts w:hint="eastAsia" w:ascii="宋体" w:hAnsi="宋体" w:cs="宋体"/>
                <w:color w:val="auto"/>
                <w:kern w:val="0"/>
                <w:highlight w:val="none"/>
              </w:rPr>
            </w:pPr>
          </w:p>
        </w:tc>
        <w:tc>
          <w:tcPr>
            <w:tcW w:w="1350" w:type="dxa"/>
            <w:noWrap w:val="0"/>
            <w:vAlign w:val="center"/>
          </w:tcPr>
          <w:p>
            <w:pPr>
              <w:widowControl/>
              <w:spacing w:line="360" w:lineRule="auto"/>
              <w:rPr>
                <w:rFonts w:hint="eastAsia" w:ascii="宋体" w:hAnsi="宋体" w:cs="宋体"/>
                <w:color w:val="auto"/>
                <w:kern w:val="0"/>
                <w:highlight w:val="none"/>
              </w:rPr>
            </w:pPr>
          </w:p>
        </w:tc>
        <w:tc>
          <w:tcPr>
            <w:tcW w:w="1526" w:type="dxa"/>
            <w:noWrap w:val="0"/>
            <w:vAlign w:val="center"/>
          </w:tcPr>
          <w:p>
            <w:pPr>
              <w:widowControl/>
              <w:spacing w:line="360" w:lineRule="auto"/>
              <w:rPr>
                <w:rFonts w:hint="eastAsia" w:ascii="宋体" w:hAnsi="宋体" w:cs="宋体"/>
                <w:color w:val="auto"/>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noWrap w:val="0"/>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6</w:t>
            </w:r>
          </w:p>
        </w:tc>
        <w:tc>
          <w:tcPr>
            <w:tcW w:w="4842" w:type="dxa"/>
            <w:noWrap w:val="0"/>
            <w:vAlign w:val="center"/>
          </w:tcPr>
          <w:p>
            <w:pPr>
              <w:widowControl/>
              <w:spacing w:line="360" w:lineRule="auto"/>
              <w:rPr>
                <w:rFonts w:hint="eastAsia" w:ascii="宋体" w:hAnsi="宋体" w:cs="宋体"/>
                <w:color w:val="auto"/>
                <w:kern w:val="0"/>
                <w:highlight w:val="none"/>
              </w:rPr>
            </w:pPr>
          </w:p>
        </w:tc>
        <w:tc>
          <w:tcPr>
            <w:tcW w:w="1350" w:type="dxa"/>
            <w:noWrap w:val="0"/>
            <w:vAlign w:val="center"/>
          </w:tcPr>
          <w:p>
            <w:pPr>
              <w:widowControl/>
              <w:spacing w:line="360" w:lineRule="auto"/>
              <w:rPr>
                <w:rFonts w:hint="eastAsia" w:ascii="宋体" w:hAnsi="宋体" w:cs="宋体"/>
                <w:color w:val="auto"/>
                <w:kern w:val="0"/>
                <w:highlight w:val="none"/>
              </w:rPr>
            </w:pPr>
          </w:p>
        </w:tc>
        <w:tc>
          <w:tcPr>
            <w:tcW w:w="1526" w:type="dxa"/>
            <w:noWrap w:val="0"/>
            <w:vAlign w:val="center"/>
          </w:tcPr>
          <w:p>
            <w:pPr>
              <w:widowControl/>
              <w:spacing w:line="360" w:lineRule="auto"/>
              <w:rPr>
                <w:rFonts w:hint="eastAsia" w:ascii="宋体" w:hAnsi="宋体" w:cs="宋体"/>
                <w:color w:val="auto"/>
                <w:kern w:val="0"/>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322" w:type="dxa"/>
            <w:noWrap w:val="0"/>
            <w:vAlign w:val="center"/>
          </w:tcPr>
          <w:p>
            <w:pPr>
              <w:widowControl/>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w:t>
            </w:r>
          </w:p>
        </w:tc>
        <w:tc>
          <w:tcPr>
            <w:tcW w:w="4842" w:type="dxa"/>
            <w:noWrap w:val="0"/>
            <w:vAlign w:val="center"/>
          </w:tcPr>
          <w:p>
            <w:pPr>
              <w:widowControl/>
              <w:spacing w:line="360" w:lineRule="auto"/>
              <w:rPr>
                <w:rFonts w:hint="eastAsia" w:ascii="宋体" w:hAnsi="宋体" w:cs="宋体"/>
                <w:color w:val="auto"/>
                <w:kern w:val="0"/>
                <w:highlight w:val="none"/>
              </w:rPr>
            </w:pPr>
          </w:p>
        </w:tc>
        <w:tc>
          <w:tcPr>
            <w:tcW w:w="1350" w:type="dxa"/>
            <w:noWrap w:val="0"/>
            <w:vAlign w:val="center"/>
          </w:tcPr>
          <w:p>
            <w:pPr>
              <w:widowControl/>
              <w:spacing w:line="360" w:lineRule="auto"/>
              <w:rPr>
                <w:rFonts w:hint="eastAsia" w:ascii="宋体" w:hAnsi="宋体" w:cs="宋体"/>
                <w:color w:val="auto"/>
                <w:kern w:val="0"/>
                <w:highlight w:val="none"/>
              </w:rPr>
            </w:pPr>
          </w:p>
        </w:tc>
        <w:tc>
          <w:tcPr>
            <w:tcW w:w="1526" w:type="dxa"/>
            <w:noWrap w:val="0"/>
            <w:vAlign w:val="center"/>
          </w:tcPr>
          <w:p>
            <w:pPr>
              <w:widowControl/>
              <w:spacing w:line="360" w:lineRule="auto"/>
              <w:rPr>
                <w:rFonts w:hint="eastAsia" w:ascii="宋体" w:hAnsi="宋体" w:cs="宋体"/>
                <w:color w:val="auto"/>
                <w:kern w:val="0"/>
                <w:highlight w:val="none"/>
              </w:rPr>
            </w:pPr>
          </w:p>
        </w:tc>
      </w:tr>
    </w:tbl>
    <w:p>
      <w:pPr>
        <w:widowControl/>
        <w:spacing w:line="360" w:lineRule="auto"/>
        <w:ind w:firstLine="420" w:firstLineChars="200"/>
        <w:rPr>
          <w:rFonts w:hint="eastAsia" w:ascii="宋体" w:hAnsi="宋体" w:cs="宋体"/>
          <w:color w:val="auto"/>
          <w:kern w:val="0"/>
          <w:highlight w:val="none"/>
        </w:rPr>
      </w:pPr>
    </w:p>
    <w:p>
      <w:pPr>
        <w:widowControl/>
        <w:spacing w:line="360"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注：后附</w:t>
      </w:r>
      <w:r>
        <w:rPr>
          <w:rFonts w:hint="eastAsia" w:ascii="宋体" w:hAnsi="宋体" w:cs="宋体"/>
          <w:color w:val="auto"/>
          <w:highlight w:val="none"/>
        </w:rPr>
        <w:t>类似项目业绩合同的原件扫描件</w:t>
      </w:r>
      <w:r>
        <w:rPr>
          <w:rFonts w:hint="eastAsia" w:ascii="宋体" w:hAnsi="宋体" w:cs="宋体"/>
          <w:color w:val="auto"/>
          <w:kern w:val="0"/>
          <w:highlight w:val="none"/>
        </w:rPr>
        <w:t>（合同至少包括首页、签字盖章页、服务内容页）</w:t>
      </w:r>
    </w:p>
    <w:p>
      <w:pPr>
        <w:spacing w:line="600" w:lineRule="exact"/>
        <w:rPr>
          <w:rFonts w:hint="eastAsia" w:ascii="宋体" w:hAnsi="宋体" w:cs="宋体"/>
          <w:color w:val="auto"/>
          <w:sz w:val="28"/>
          <w:szCs w:val="28"/>
          <w:highlight w:val="none"/>
        </w:rPr>
      </w:pPr>
    </w:p>
    <w:p>
      <w:pPr>
        <w:pStyle w:val="4"/>
        <w:rPr>
          <w:rFonts w:hint="eastAsia" w:ascii="宋体" w:hAnsi="宋体" w:cs="宋体"/>
          <w:color w:val="auto"/>
          <w:highlight w:val="none"/>
        </w:rPr>
      </w:pPr>
    </w:p>
    <w:p>
      <w:pPr>
        <w:spacing w:line="600" w:lineRule="exact"/>
        <w:rPr>
          <w:rFonts w:hint="eastAsia" w:ascii="宋体" w:hAnsi="宋体" w:cs="宋体"/>
          <w:color w:val="auto"/>
          <w:highlight w:val="none"/>
        </w:rPr>
      </w:pPr>
    </w:p>
    <w:p>
      <w:pPr>
        <w:spacing w:line="600" w:lineRule="exact"/>
        <w:rPr>
          <w:rFonts w:hint="eastAsia" w:ascii="宋体" w:hAnsi="宋体" w:cs="宋体"/>
          <w:color w:val="auto"/>
          <w:highlight w:val="none"/>
        </w:rPr>
      </w:pPr>
    </w:p>
    <w:p>
      <w:pPr>
        <w:pStyle w:val="4"/>
        <w:rPr>
          <w:rFonts w:hint="eastAsia" w:ascii="宋体" w:hAnsi="宋体" w:cs="宋体"/>
          <w:color w:val="auto"/>
          <w:highlight w:val="none"/>
        </w:rPr>
      </w:pPr>
    </w:p>
    <w:p>
      <w:pPr>
        <w:pStyle w:val="9"/>
        <w:jc w:val="center"/>
        <w:rPr>
          <w:rFonts w:hint="eastAsia" w:ascii="宋体" w:hAnsi="宋体" w:eastAsia="宋体" w:cs="宋体"/>
          <w:color w:val="auto"/>
          <w:highlight w:val="none"/>
        </w:rPr>
      </w:pPr>
      <w:bookmarkStart w:id="1296" w:name="_Toc15445"/>
      <w:bookmarkStart w:id="1297" w:name="_Toc7574"/>
      <w:bookmarkStart w:id="1298" w:name="_Toc32701"/>
      <w:bookmarkStart w:id="1299" w:name="_Toc13548"/>
    </w:p>
    <w:p>
      <w:pPr>
        <w:rPr>
          <w:rFonts w:hint="eastAsia" w:ascii="宋体" w:hAnsi="宋体" w:cs="宋体"/>
          <w:color w:val="auto"/>
          <w:highlight w:val="none"/>
        </w:rPr>
      </w:pPr>
    </w:p>
    <w:p>
      <w:pPr>
        <w:pStyle w:val="9"/>
        <w:jc w:val="center"/>
        <w:rPr>
          <w:rFonts w:hint="eastAsia" w:ascii="宋体" w:hAnsi="宋体" w:eastAsia="宋体" w:cs="宋体"/>
          <w:color w:val="auto"/>
          <w:highlight w:val="none"/>
        </w:rPr>
      </w:pPr>
    </w:p>
    <w:p>
      <w:pPr>
        <w:rPr>
          <w:rFonts w:hint="eastAsia"/>
          <w:color w:val="auto"/>
          <w:highlight w:val="none"/>
        </w:rPr>
      </w:pPr>
    </w:p>
    <w:p>
      <w:pPr>
        <w:rPr>
          <w:rFonts w:hint="eastAsia"/>
          <w:color w:val="auto"/>
          <w:highlight w:val="none"/>
        </w:rPr>
      </w:pPr>
    </w:p>
    <w:p>
      <w:pPr>
        <w:pStyle w:val="9"/>
        <w:jc w:val="center"/>
        <w:rPr>
          <w:rFonts w:hint="eastAsia" w:ascii="宋体" w:hAnsi="宋体" w:eastAsia="宋体" w:cs="宋体"/>
          <w:color w:val="auto"/>
          <w:highlight w:val="none"/>
        </w:rPr>
      </w:pPr>
      <w:bookmarkStart w:id="1300" w:name="_Toc27755"/>
      <w:bookmarkStart w:id="1301" w:name="_Toc5368"/>
      <w:r>
        <w:rPr>
          <w:rFonts w:hint="eastAsia" w:ascii="宋体" w:hAnsi="宋体" w:eastAsia="宋体" w:cs="宋体"/>
          <w:color w:val="auto"/>
          <w:highlight w:val="none"/>
        </w:rPr>
        <w:t>八、</w:t>
      </w:r>
      <w:bookmarkStart w:id="1302" w:name="_Toc523494085"/>
      <w:bookmarkStart w:id="1303" w:name="_Toc525210051"/>
      <w:r>
        <w:rPr>
          <w:rFonts w:hint="eastAsia" w:ascii="宋体" w:hAnsi="宋体" w:eastAsia="宋体" w:cs="宋体"/>
          <w:color w:val="auto"/>
          <w:highlight w:val="none"/>
        </w:rPr>
        <w:t>中小企业声明函</w:t>
      </w:r>
      <w:bookmarkEnd w:id="1296"/>
      <w:bookmarkEnd w:id="1297"/>
      <w:bookmarkEnd w:id="1298"/>
      <w:bookmarkEnd w:id="1299"/>
      <w:bookmarkEnd w:id="1300"/>
      <w:bookmarkEnd w:id="1301"/>
      <w:bookmarkEnd w:id="1302"/>
      <w:bookmarkEnd w:id="1303"/>
    </w:p>
    <w:p>
      <w:pPr>
        <w:rPr>
          <w:rFonts w:hint="eastAsia" w:ascii="宋体" w:hAnsi="宋体" w:cs="宋体"/>
          <w:color w:val="auto"/>
          <w:highlight w:val="none"/>
        </w:rPr>
      </w:pPr>
    </w:p>
    <w:p>
      <w:pPr>
        <w:pStyle w:val="15"/>
        <w:rPr>
          <w:rFonts w:hint="eastAsia"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 号）的规定，本公司（联合体）参加</w:t>
      </w:r>
      <w:r>
        <w:rPr>
          <w:rFonts w:hint="eastAsia" w:ascii="宋体" w:hAnsi="宋体" w:cs="宋体"/>
          <w:color w:val="auto"/>
          <w:highlight w:val="none"/>
          <w:u w:val="single"/>
        </w:rPr>
        <w:t xml:space="preserve">  （单位名称）  </w:t>
      </w:r>
      <w:r>
        <w:rPr>
          <w:rFonts w:hint="eastAsia" w:ascii="宋体" w:hAnsi="宋体" w:cs="宋体"/>
          <w:color w:val="auto"/>
          <w:highlight w:val="none"/>
        </w:rPr>
        <w:t>的</w:t>
      </w:r>
      <w:r>
        <w:rPr>
          <w:rFonts w:hint="eastAsia" w:ascii="宋体" w:hAnsi="宋体" w:cs="宋体"/>
          <w:color w:val="auto"/>
          <w:highlight w:val="none"/>
          <w:u w:val="single"/>
        </w:rPr>
        <w:t xml:space="preserve">  （项目名称）  </w:t>
      </w:r>
      <w:r>
        <w:rPr>
          <w:rFonts w:hint="eastAsia" w:ascii="宋体" w:hAnsi="宋体" w:cs="宋体"/>
          <w:color w:val="auto"/>
          <w:highlight w:val="none"/>
        </w:rPr>
        <w:t xml:space="preserve">采购活动，服务全部由符合政策要求的中小企业承接。相关企业（含联合）体中的中小企业、签订分包意向协议的中小企业）的具体情 况如下： </w:t>
      </w:r>
    </w:p>
    <w:p>
      <w:pPr>
        <w:pStyle w:val="15"/>
        <w:rPr>
          <w:rFonts w:hint="eastAsia" w:ascii="宋体" w:hAnsi="宋体" w:cs="宋体"/>
          <w:color w:val="auto"/>
          <w:highlight w:val="none"/>
        </w:rPr>
      </w:pPr>
      <w:r>
        <w:rPr>
          <w:rFonts w:hint="eastAsia" w:ascii="宋体" w:hAnsi="宋体" w:cs="宋体"/>
          <w:color w:val="auto"/>
          <w:highlight w:val="none"/>
        </w:rPr>
        <w:t xml:space="preserve">1. </w:t>
      </w:r>
      <w:r>
        <w:rPr>
          <w:rFonts w:hint="eastAsia" w:ascii="宋体" w:hAnsi="宋体" w:cs="宋体"/>
          <w:color w:val="auto"/>
          <w:highlight w:val="none"/>
          <w:u w:val="single"/>
        </w:rPr>
        <w:t xml:space="preserve">（标的名称） </w:t>
      </w:r>
      <w:r>
        <w:rPr>
          <w:rFonts w:hint="eastAsia" w:ascii="宋体" w:hAnsi="宋体" w:cs="宋体"/>
          <w:color w:val="auto"/>
          <w:highlight w:val="none"/>
        </w:rPr>
        <w:t>，属于（采购文件中明确的所属行业）；承建（承接）企业为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hint="eastAsia" w:ascii="宋体" w:hAnsi="宋体" w:cs="宋体"/>
          <w:color w:val="auto"/>
          <w:highlight w:val="none"/>
          <w:u w:val="single"/>
        </w:rPr>
        <w:t xml:space="preserve">       </w:t>
      </w:r>
      <w:r>
        <w:rPr>
          <w:rFonts w:hint="eastAsia" w:ascii="宋体" w:hAnsi="宋体" w:cs="宋体"/>
          <w:color w:val="auto"/>
          <w:highlight w:val="none"/>
        </w:rPr>
        <w:t>人，营业收入为</w:t>
      </w:r>
      <w:r>
        <w:rPr>
          <w:rFonts w:hint="eastAsia" w:ascii="宋体" w:hAnsi="宋体" w:cs="宋体"/>
          <w:color w:val="auto"/>
          <w:highlight w:val="none"/>
          <w:u w:val="single"/>
        </w:rPr>
        <w:t xml:space="preserve">       </w:t>
      </w:r>
      <w:r>
        <w:rPr>
          <w:rFonts w:hint="eastAsia" w:ascii="宋体" w:hAnsi="宋体" w:cs="宋体"/>
          <w:color w:val="auto"/>
          <w:highlight w:val="none"/>
        </w:rPr>
        <w:t>万元，资产总额为</w:t>
      </w:r>
      <w:r>
        <w:rPr>
          <w:rFonts w:hint="eastAsia" w:ascii="宋体" w:hAnsi="宋体" w:cs="宋体"/>
          <w:color w:val="auto"/>
          <w:highlight w:val="none"/>
          <w:u w:val="single"/>
        </w:rPr>
        <w:t xml:space="preserve">       </w:t>
      </w:r>
      <w:r>
        <w:rPr>
          <w:rFonts w:hint="eastAsia" w:ascii="宋体" w:hAnsi="宋体" w:cs="宋体"/>
          <w:color w:val="auto"/>
          <w:highlight w:val="none"/>
        </w:rPr>
        <w:t>万元，属于</w:t>
      </w:r>
      <w:r>
        <w:rPr>
          <w:rFonts w:hint="eastAsia" w:ascii="宋体" w:hAnsi="宋体" w:cs="宋体"/>
          <w:color w:val="auto"/>
          <w:highlight w:val="none"/>
          <w:u w:val="single"/>
        </w:rPr>
        <w:t>（中型企业、小型企业、微型企业）</w:t>
      </w:r>
      <w:r>
        <w:rPr>
          <w:rFonts w:hint="eastAsia" w:ascii="宋体" w:hAnsi="宋体" w:cs="宋体"/>
          <w:color w:val="auto"/>
          <w:highlight w:val="none"/>
        </w:rPr>
        <w:t xml:space="preserve">； </w:t>
      </w:r>
    </w:p>
    <w:p>
      <w:pPr>
        <w:pStyle w:val="15"/>
        <w:rPr>
          <w:rFonts w:hint="eastAsia" w:ascii="宋体" w:hAnsi="宋体" w:cs="宋体"/>
          <w:color w:val="auto"/>
          <w:highlight w:val="none"/>
        </w:rPr>
      </w:pPr>
      <w:r>
        <w:rPr>
          <w:rFonts w:hint="eastAsia" w:ascii="宋体" w:hAnsi="宋体" w:cs="宋体"/>
          <w:color w:val="auto"/>
          <w:highlight w:val="none"/>
        </w:rPr>
        <w:t xml:space="preserve">2. </w:t>
      </w:r>
      <w:r>
        <w:rPr>
          <w:rFonts w:hint="eastAsia" w:ascii="宋体" w:hAnsi="宋体" w:cs="宋体"/>
          <w:color w:val="auto"/>
          <w:highlight w:val="none"/>
          <w:u w:val="single"/>
        </w:rPr>
        <w:t>（标的名称）</w:t>
      </w:r>
      <w:r>
        <w:rPr>
          <w:rFonts w:hint="eastAsia" w:ascii="宋体" w:hAnsi="宋体" w:cs="宋体"/>
          <w:color w:val="auto"/>
          <w:highlight w:val="none"/>
        </w:rPr>
        <w:t xml:space="preserve"> ，属于（采购文件中明确的所属行业）；承建（承接）企业为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hint="eastAsia" w:ascii="宋体" w:hAnsi="宋体" w:cs="宋体"/>
          <w:color w:val="auto"/>
          <w:highlight w:val="none"/>
          <w:u w:val="single"/>
        </w:rPr>
        <w:t xml:space="preserve">       </w:t>
      </w:r>
      <w:r>
        <w:rPr>
          <w:rFonts w:hint="eastAsia" w:ascii="宋体" w:hAnsi="宋体" w:cs="宋体"/>
          <w:color w:val="auto"/>
          <w:highlight w:val="none"/>
        </w:rPr>
        <w:t>人，营业收入为</w:t>
      </w:r>
      <w:r>
        <w:rPr>
          <w:rFonts w:hint="eastAsia" w:ascii="宋体" w:hAnsi="宋体" w:cs="宋体"/>
          <w:color w:val="auto"/>
          <w:highlight w:val="none"/>
          <w:u w:val="single"/>
        </w:rPr>
        <w:t xml:space="preserve">       </w:t>
      </w:r>
      <w:r>
        <w:rPr>
          <w:rFonts w:hint="eastAsia" w:ascii="宋体" w:hAnsi="宋体" w:cs="宋体"/>
          <w:color w:val="auto"/>
          <w:highlight w:val="none"/>
        </w:rPr>
        <w:t>万元，资产总额为</w:t>
      </w:r>
      <w:r>
        <w:rPr>
          <w:rFonts w:hint="eastAsia" w:ascii="宋体" w:hAnsi="宋体" w:cs="宋体"/>
          <w:color w:val="auto"/>
          <w:highlight w:val="none"/>
          <w:u w:val="single"/>
        </w:rPr>
        <w:t xml:space="preserve">       </w:t>
      </w:r>
      <w:r>
        <w:rPr>
          <w:rFonts w:hint="eastAsia" w:ascii="宋体" w:hAnsi="宋体" w:cs="宋体"/>
          <w:color w:val="auto"/>
          <w:highlight w:val="none"/>
        </w:rPr>
        <w:t>万元，属于</w:t>
      </w:r>
      <w:r>
        <w:rPr>
          <w:rFonts w:hint="eastAsia" w:ascii="宋体" w:hAnsi="宋体" w:cs="宋体"/>
          <w:color w:val="auto"/>
          <w:highlight w:val="none"/>
          <w:u w:val="single"/>
        </w:rPr>
        <w:t>（中型企业、小型企业、微型企业）</w:t>
      </w:r>
      <w:r>
        <w:rPr>
          <w:rFonts w:hint="eastAsia" w:ascii="宋体" w:hAnsi="宋体" w:cs="宋体"/>
          <w:color w:val="auto"/>
          <w:highlight w:val="none"/>
        </w:rPr>
        <w:t xml:space="preserve">； </w:t>
      </w:r>
    </w:p>
    <w:p>
      <w:pPr>
        <w:pStyle w:val="15"/>
        <w:rPr>
          <w:rFonts w:hint="eastAsia" w:ascii="宋体" w:hAnsi="宋体" w:cs="宋体"/>
          <w:color w:val="auto"/>
          <w:highlight w:val="none"/>
        </w:rPr>
      </w:pPr>
      <w:r>
        <w:rPr>
          <w:rFonts w:hint="eastAsia" w:ascii="宋体" w:hAnsi="宋体" w:cs="宋体"/>
          <w:color w:val="auto"/>
          <w:highlight w:val="none"/>
        </w:rPr>
        <w:t xml:space="preserve">…… </w:t>
      </w:r>
    </w:p>
    <w:p>
      <w:pPr>
        <w:pStyle w:val="15"/>
        <w:rPr>
          <w:rFonts w:hint="eastAsia" w:ascii="宋体" w:hAnsi="宋体" w:cs="宋体"/>
          <w:color w:val="auto"/>
          <w:highlight w:val="none"/>
        </w:rPr>
      </w:pPr>
      <w:r>
        <w:rPr>
          <w:rFonts w:hint="eastAsia" w:ascii="宋体" w:hAnsi="宋体" w:cs="宋体"/>
          <w:color w:val="auto"/>
          <w:highlight w:val="none"/>
        </w:rPr>
        <w:t xml:space="preserve">以上企业，不属于大企业的分支机构，不存在控股股东为大企业的情形，也不存在与大企业的负责人为同一人的情形。 </w:t>
      </w:r>
    </w:p>
    <w:p>
      <w:pPr>
        <w:pStyle w:val="15"/>
        <w:rPr>
          <w:rFonts w:hint="eastAsia" w:ascii="宋体" w:hAnsi="宋体" w:cs="宋体"/>
          <w:color w:val="auto"/>
          <w:highlight w:val="none"/>
        </w:rPr>
      </w:pPr>
      <w:r>
        <w:rPr>
          <w:rFonts w:hint="eastAsia" w:ascii="宋体" w:hAnsi="宋体" w:cs="宋体"/>
          <w:color w:val="auto"/>
          <w:highlight w:val="none"/>
        </w:rPr>
        <w:t xml:space="preserve">本企业对上述声明内容的真实性负责。如有虚假，将依 法承担相应责任。 </w:t>
      </w:r>
    </w:p>
    <w:p>
      <w:pPr>
        <w:pStyle w:val="15"/>
        <w:ind w:left="0" w:leftChars="0" w:firstLine="0" w:firstLineChars="0"/>
        <w:rPr>
          <w:rFonts w:hint="eastAsia" w:ascii="宋体" w:hAnsi="宋体" w:cs="宋体"/>
          <w:color w:val="auto"/>
          <w:highlight w:val="none"/>
        </w:rPr>
      </w:pPr>
    </w:p>
    <w:p>
      <w:pPr>
        <w:pStyle w:val="15"/>
        <w:ind w:left="3360" w:leftChars="1600"/>
        <w:rPr>
          <w:rFonts w:hint="eastAsia" w:ascii="宋体" w:hAnsi="宋体" w:cs="宋体"/>
          <w:color w:val="auto"/>
          <w:highlight w:val="none"/>
          <w:u w:val="single"/>
        </w:rPr>
      </w:pPr>
      <w:r>
        <w:rPr>
          <w:rFonts w:hint="eastAsia" w:ascii="宋体" w:hAnsi="宋体" w:cs="宋体"/>
          <w:color w:val="auto"/>
          <w:highlight w:val="none"/>
        </w:rPr>
        <w:t>企业名称（盖章）：</w:t>
      </w:r>
      <w:r>
        <w:rPr>
          <w:rFonts w:hint="eastAsia" w:ascii="宋体" w:hAnsi="宋体" w:cs="宋体"/>
          <w:color w:val="auto"/>
          <w:highlight w:val="none"/>
          <w:u w:val="single"/>
        </w:rPr>
        <w:t xml:space="preserve">                     </w:t>
      </w:r>
    </w:p>
    <w:p>
      <w:pPr>
        <w:pStyle w:val="15"/>
        <w:ind w:left="3360" w:leftChars="1600"/>
        <w:rPr>
          <w:rFonts w:hint="eastAsia" w:ascii="宋体" w:hAnsi="宋体" w:cs="宋体"/>
          <w:color w:val="auto"/>
          <w:highlight w:val="none"/>
          <w:u w:val="singl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pPr>
        <w:pStyle w:val="15"/>
        <w:ind w:left="3360" w:leftChars="1600"/>
        <w:rPr>
          <w:rFonts w:hint="eastAsia" w:ascii="宋体" w:hAnsi="宋体" w:cs="宋体"/>
          <w:color w:val="auto"/>
          <w:highlight w:val="none"/>
          <w:u w:val="single"/>
        </w:rPr>
      </w:pPr>
    </w:p>
    <w:p>
      <w:pPr>
        <w:ind w:firstLine="420" w:firstLineChars="200"/>
        <w:rPr>
          <w:rFonts w:hint="eastAsia" w:ascii="宋体" w:hAnsi="宋体" w:cs="宋体"/>
          <w:color w:val="auto"/>
          <w:highlight w:val="none"/>
        </w:rPr>
      </w:pPr>
      <w:r>
        <w:rPr>
          <w:rFonts w:hint="eastAsia" w:ascii="宋体" w:hAnsi="宋体" w:cs="宋体"/>
          <w:color w:val="auto"/>
          <w:highlight w:val="none"/>
        </w:rPr>
        <w:t>1、从业人员、营业收入、资产总额填报上一年度数据，无上一年度数据的新成立企业可不填报。</w:t>
      </w:r>
    </w:p>
    <w:p>
      <w:pPr>
        <w:ind w:firstLine="420" w:firstLineChars="200"/>
        <w:rPr>
          <w:rFonts w:hint="eastAsia" w:ascii="宋体" w:hAnsi="宋体" w:eastAsia="宋体" w:cs="宋体"/>
          <w:color w:val="auto"/>
          <w:highlight w:val="none"/>
        </w:rPr>
      </w:pPr>
      <w:r>
        <w:rPr>
          <w:rFonts w:hint="eastAsia" w:ascii="宋体" w:hAnsi="宋体" w:cs="宋体"/>
          <w:color w:val="auto"/>
          <w:highlight w:val="none"/>
        </w:rPr>
        <w:t>2、所投项目供应商属于中小微企业的填写，不属于的无需填写此项内容。</w:t>
      </w:r>
      <w:bookmarkStart w:id="1304" w:name="_Toc7101"/>
      <w:bookmarkStart w:id="1305" w:name="_Toc13679"/>
      <w:bookmarkStart w:id="1306" w:name="_Toc24002"/>
      <w:bookmarkStart w:id="1307" w:name="_Toc8309"/>
      <w:bookmarkStart w:id="1308" w:name="_Toc4766"/>
    </w:p>
    <w:p>
      <w:pPr>
        <w:pStyle w:val="9"/>
        <w:jc w:val="center"/>
        <w:rPr>
          <w:rFonts w:hint="eastAsia" w:ascii="宋体" w:hAnsi="宋体" w:eastAsia="宋体" w:cs="宋体"/>
          <w:color w:val="auto"/>
          <w:highlight w:val="none"/>
        </w:rPr>
      </w:pPr>
      <w:bookmarkStart w:id="1309" w:name="_Toc18371"/>
      <w:bookmarkStart w:id="1310" w:name="_Toc14345"/>
      <w:r>
        <w:rPr>
          <w:rFonts w:hint="eastAsia" w:ascii="宋体" w:hAnsi="宋体" w:eastAsia="宋体" w:cs="宋体"/>
          <w:color w:val="auto"/>
          <w:highlight w:val="none"/>
        </w:rPr>
        <w:t>九、残疾人福利性单位声明函</w:t>
      </w:r>
      <w:bookmarkEnd w:id="1304"/>
      <w:bookmarkEnd w:id="1305"/>
      <w:bookmarkEnd w:id="1306"/>
      <w:bookmarkEnd w:id="1307"/>
      <w:bookmarkEnd w:id="1308"/>
      <w:bookmarkEnd w:id="1309"/>
      <w:bookmarkEnd w:id="1310"/>
    </w:p>
    <w:p>
      <w:pPr>
        <w:jc w:val="center"/>
        <w:rPr>
          <w:rFonts w:hint="eastAsia" w:ascii="宋体" w:hAnsi="宋体" w:cs="宋体"/>
          <w:color w:val="auto"/>
          <w:highlight w:val="none"/>
        </w:rPr>
      </w:pPr>
    </w:p>
    <w:p>
      <w:pPr>
        <w:jc w:val="center"/>
        <w:rPr>
          <w:rFonts w:hint="eastAsia" w:ascii="宋体" w:hAnsi="宋体" w:cs="宋体"/>
          <w:color w:val="auto"/>
          <w:highlight w:val="none"/>
        </w:rPr>
      </w:pPr>
      <w:r>
        <w:rPr>
          <w:rFonts w:hint="eastAsia" w:ascii="宋体" w:hAnsi="宋体" w:cs="宋体"/>
          <w:color w:val="auto"/>
          <w:highlight w:val="none"/>
        </w:rPr>
        <w:t>（属于残疾人福利企业的填写，不属于的无需填写此项内容）</w:t>
      </w:r>
    </w:p>
    <w:p>
      <w:pPr>
        <w:rPr>
          <w:rFonts w:hint="eastAsia" w:ascii="宋体" w:hAnsi="宋体" w:cs="宋体"/>
          <w:color w:val="auto"/>
          <w:highlight w:val="none"/>
        </w:rPr>
      </w:pPr>
    </w:p>
    <w:p>
      <w:pPr>
        <w:ind w:firstLine="420" w:firstLineChars="200"/>
        <w:rPr>
          <w:rFonts w:hint="eastAsia" w:ascii="宋体" w:hAnsi="宋体" w:cs="宋体"/>
          <w:color w:val="auto"/>
          <w:highlight w:val="none"/>
        </w:rPr>
      </w:pPr>
      <w:r>
        <w:rPr>
          <w:rFonts w:hint="eastAsia" w:ascii="宋体" w:hAnsi="宋体" w:cs="宋体"/>
          <w:color w:val="auto"/>
          <w:highlight w:val="none"/>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由本单位承担工程/提供服务），或者提供（其他残疾人福利性单位名称）制造的货物（不包括使用非残疾人福利性单位注册商标的货物）。货物的名称品牌型号是</w:t>
      </w:r>
      <w:r>
        <w:rPr>
          <w:rFonts w:hint="eastAsia" w:ascii="宋体" w:hAnsi="宋体" w:cs="宋体"/>
          <w:color w:val="auto"/>
          <w:highlight w:val="none"/>
          <w:u w:val="single"/>
        </w:rPr>
        <w:t xml:space="preserve">      /      </w:t>
      </w:r>
      <w:r>
        <w:rPr>
          <w:rFonts w:hint="eastAsia" w:ascii="宋体" w:hAnsi="宋体" w:cs="宋体"/>
          <w:color w:val="auto"/>
          <w:highlight w:val="none"/>
        </w:rPr>
        <w:t>。</w:t>
      </w:r>
    </w:p>
    <w:p>
      <w:pPr>
        <w:ind w:firstLine="420" w:firstLineChars="200"/>
        <w:rPr>
          <w:rFonts w:hint="eastAsia" w:ascii="宋体" w:hAnsi="宋体" w:cs="宋体"/>
          <w:color w:val="auto"/>
          <w:highlight w:val="none"/>
        </w:rPr>
      </w:pPr>
      <w:r>
        <w:rPr>
          <w:rFonts w:hint="eastAsia" w:ascii="宋体" w:hAnsi="宋体" w:cs="宋体"/>
          <w:color w:val="auto"/>
          <w:highlight w:val="none"/>
        </w:rPr>
        <w:t>本单位对上述声明的真实性负责。如有虚假，将承担相应的法律责任。</w:t>
      </w:r>
    </w:p>
    <w:p>
      <w:pPr>
        <w:rPr>
          <w:rFonts w:hint="eastAsia" w:ascii="宋体" w:hAnsi="宋体" w:cs="宋体"/>
          <w:color w:val="auto"/>
          <w:highlight w:val="none"/>
        </w:rPr>
      </w:pPr>
    </w:p>
    <w:p>
      <w:pPr>
        <w:rPr>
          <w:rFonts w:hint="eastAsia" w:ascii="宋体" w:hAnsi="宋体" w:cs="宋体"/>
          <w:color w:val="auto"/>
          <w:highlight w:val="none"/>
        </w:rPr>
      </w:pPr>
    </w:p>
    <w:p>
      <w:pPr>
        <w:ind w:left="3360" w:leftChars="1600"/>
        <w:rPr>
          <w:rFonts w:hint="eastAsia" w:ascii="宋体" w:hAnsi="宋体" w:cs="宋体"/>
          <w:color w:val="auto"/>
          <w:highlight w:val="none"/>
        </w:rPr>
      </w:pPr>
      <w:r>
        <w:rPr>
          <w:rFonts w:hint="eastAsia" w:ascii="宋体" w:hAnsi="宋体" w:cs="宋体"/>
          <w:color w:val="auto"/>
          <w:highlight w:val="none"/>
        </w:rPr>
        <w:t>供应商名称（单位电子签章）：</w:t>
      </w:r>
      <w:r>
        <w:rPr>
          <w:rFonts w:hint="eastAsia" w:ascii="宋体" w:hAnsi="宋体" w:cs="宋体"/>
          <w:color w:val="auto"/>
          <w:highlight w:val="none"/>
          <w:u w:val="single"/>
        </w:rPr>
        <w:t xml:space="preserve">         </w:t>
      </w:r>
    </w:p>
    <w:p>
      <w:pPr>
        <w:ind w:left="3360" w:leftChars="1600"/>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pPr>
        <w:rPr>
          <w:rFonts w:hint="eastAsia" w:ascii="宋体" w:hAnsi="宋体" w:cs="宋体"/>
          <w:b/>
          <w:color w:val="auto"/>
          <w:szCs w:val="21"/>
          <w:highlight w:val="none"/>
        </w:rPr>
      </w:pPr>
    </w:p>
    <w:p>
      <w:pPr>
        <w:pStyle w:val="26"/>
        <w:rPr>
          <w:rFonts w:hint="eastAsia" w:ascii="宋体" w:hAnsi="宋体" w:cs="宋体"/>
          <w:b/>
          <w:color w:val="auto"/>
          <w:sz w:val="21"/>
          <w:szCs w:val="21"/>
          <w:highlight w:val="none"/>
        </w:rPr>
      </w:pPr>
    </w:p>
    <w:p>
      <w:pPr>
        <w:pStyle w:val="26"/>
        <w:rPr>
          <w:rFonts w:hint="eastAsia" w:ascii="宋体" w:hAnsi="宋体" w:cs="宋体"/>
          <w:b/>
          <w:color w:val="auto"/>
          <w:sz w:val="21"/>
          <w:szCs w:val="21"/>
          <w:highlight w:val="none"/>
        </w:rPr>
      </w:pPr>
    </w:p>
    <w:p>
      <w:pPr>
        <w:pStyle w:val="26"/>
        <w:rPr>
          <w:rFonts w:hint="eastAsia" w:ascii="宋体" w:hAnsi="宋体" w:cs="宋体"/>
          <w:b/>
          <w:color w:val="auto"/>
          <w:sz w:val="21"/>
          <w:szCs w:val="21"/>
          <w:highlight w:val="none"/>
        </w:rPr>
      </w:pPr>
    </w:p>
    <w:p>
      <w:pPr>
        <w:pStyle w:val="26"/>
        <w:rPr>
          <w:rFonts w:hint="eastAsia" w:ascii="宋体" w:hAnsi="宋体" w:cs="宋体"/>
          <w:b/>
          <w:color w:val="auto"/>
          <w:sz w:val="21"/>
          <w:szCs w:val="21"/>
          <w:highlight w:val="none"/>
        </w:rPr>
      </w:pPr>
    </w:p>
    <w:p>
      <w:pPr>
        <w:pStyle w:val="26"/>
        <w:rPr>
          <w:rFonts w:hint="eastAsia" w:ascii="宋体" w:hAnsi="宋体" w:cs="宋体"/>
          <w:b/>
          <w:color w:val="auto"/>
          <w:sz w:val="21"/>
          <w:szCs w:val="21"/>
          <w:highlight w:val="none"/>
        </w:rPr>
      </w:pPr>
    </w:p>
    <w:p>
      <w:pPr>
        <w:pStyle w:val="26"/>
        <w:rPr>
          <w:rFonts w:hint="eastAsia" w:ascii="宋体" w:hAnsi="宋体" w:cs="宋体"/>
          <w:b/>
          <w:color w:val="auto"/>
          <w:sz w:val="21"/>
          <w:szCs w:val="21"/>
          <w:highlight w:val="none"/>
        </w:rPr>
      </w:pPr>
    </w:p>
    <w:p>
      <w:pPr>
        <w:pStyle w:val="9"/>
        <w:jc w:val="center"/>
        <w:rPr>
          <w:rFonts w:hint="eastAsia" w:ascii="宋体" w:hAnsi="宋体" w:eastAsia="宋体" w:cs="宋体"/>
          <w:color w:val="auto"/>
          <w:highlight w:val="none"/>
        </w:rPr>
      </w:pPr>
      <w:bookmarkStart w:id="1311" w:name="_Toc22779"/>
      <w:bookmarkStart w:id="1312" w:name="_Toc13466"/>
      <w:bookmarkStart w:id="1313" w:name="_Toc4000"/>
      <w:bookmarkStart w:id="1314" w:name="_Toc28460"/>
      <w:bookmarkStart w:id="1315" w:name="_Toc31282"/>
      <w:bookmarkStart w:id="1316" w:name="_Toc19926"/>
      <w:bookmarkStart w:id="1317" w:name="_Toc19344"/>
      <w:bookmarkStart w:id="1318" w:name="_Toc28285"/>
      <w:r>
        <w:rPr>
          <w:rFonts w:hint="eastAsia" w:ascii="宋体" w:hAnsi="宋体" w:eastAsia="宋体" w:cs="宋体"/>
          <w:color w:val="auto"/>
          <w:highlight w:val="none"/>
        </w:rPr>
        <w:t>十、监狱企业证明文件（如有）</w:t>
      </w:r>
      <w:bookmarkEnd w:id="1311"/>
      <w:bookmarkEnd w:id="1312"/>
      <w:bookmarkEnd w:id="1313"/>
      <w:bookmarkEnd w:id="1314"/>
      <w:bookmarkEnd w:id="1315"/>
      <w:bookmarkEnd w:id="1316"/>
      <w:bookmarkEnd w:id="1317"/>
      <w:bookmarkEnd w:id="1318"/>
    </w:p>
    <w:p>
      <w:pPr>
        <w:ind w:firstLine="420" w:firstLineChars="200"/>
        <w:rPr>
          <w:rFonts w:hint="eastAsia" w:ascii="宋体" w:hAnsi="宋体" w:cs="宋体"/>
          <w:color w:val="auto"/>
          <w:highlight w:val="none"/>
        </w:rPr>
      </w:pPr>
    </w:p>
    <w:p>
      <w:pPr>
        <w:pStyle w:val="15"/>
        <w:rPr>
          <w:rFonts w:hint="eastAsia" w:ascii="宋体" w:hAnsi="宋体" w:cs="宋体"/>
          <w:color w:val="auto"/>
          <w:highlight w:val="none"/>
        </w:rPr>
      </w:pPr>
      <w:r>
        <w:rPr>
          <w:rFonts w:hint="eastAsia" w:ascii="宋体" w:hAnsi="宋体" w:cs="宋体"/>
          <w:color w:val="auto"/>
          <w:highlight w:val="none"/>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w:t>
      </w:r>
    </w:p>
    <w:p>
      <w:pPr>
        <w:pStyle w:val="15"/>
        <w:rPr>
          <w:rFonts w:hint="eastAsia" w:ascii="宋体" w:hAnsi="宋体" w:cs="宋体"/>
          <w:color w:val="auto"/>
          <w:highlight w:val="none"/>
        </w:rPr>
      </w:pPr>
    </w:p>
    <w:p>
      <w:pPr>
        <w:pStyle w:val="15"/>
        <w:rPr>
          <w:rFonts w:hint="eastAsia" w:ascii="宋体" w:hAnsi="宋体" w:cs="宋体"/>
          <w:color w:val="auto"/>
          <w:highlight w:val="none"/>
        </w:rPr>
      </w:pPr>
    </w:p>
    <w:p>
      <w:pPr>
        <w:pStyle w:val="15"/>
        <w:rPr>
          <w:rFonts w:hint="eastAsia" w:ascii="宋体" w:hAnsi="宋体" w:cs="宋体"/>
          <w:color w:val="auto"/>
          <w:highlight w:val="none"/>
        </w:rPr>
      </w:pPr>
      <w:r>
        <w:rPr>
          <w:rFonts w:hint="eastAsia" w:ascii="宋体" w:hAnsi="宋体" w:cs="宋体"/>
          <w:color w:val="auto"/>
          <w:highlight w:val="none"/>
        </w:rPr>
        <w:t>注：在投标文件中附扫描件。</w:t>
      </w: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pStyle w:val="3"/>
        <w:spacing w:before="156" w:after="156"/>
        <w:rPr>
          <w:rFonts w:hint="eastAsia" w:ascii="宋体" w:hAnsi="宋体" w:cs="宋体"/>
          <w:color w:val="auto"/>
          <w:highlight w:val="none"/>
        </w:rPr>
      </w:pPr>
    </w:p>
    <w:p>
      <w:pPr>
        <w:rPr>
          <w:rFonts w:hint="eastAsia" w:ascii="宋体" w:hAnsi="宋体" w:cs="宋体"/>
          <w:color w:val="auto"/>
          <w:highlight w:val="none"/>
        </w:rPr>
      </w:pPr>
    </w:p>
    <w:p>
      <w:pPr>
        <w:pStyle w:val="3"/>
        <w:spacing w:before="156" w:after="156"/>
        <w:rPr>
          <w:rFonts w:hint="eastAsia" w:ascii="宋体" w:hAnsi="宋体" w:cs="宋体"/>
          <w:color w:val="auto"/>
          <w:highlight w:val="none"/>
        </w:rPr>
      </w:pPr>
    </w:p>
    <w:p>
      <w:pPr>
        <w:ind w:left="0" w:leftChars="0" w:firstLine="0" w:firstLineChars="0"/>
        <w:rPr>
          <w:rFonts w:hint="eastAsia" w:ascii="宋体" w:hAnsi="宋体" w:cs="宋体"/>
          <w:color w:val="auto"/>
          <w:highlight w:val="none"/>
        </w:rPr>
      </w:pPr>
      <w:bookmarkStart w:id="1319" w:name="_Toc30624"/>
      <w:bookmarkStart w:id="1320" w:name="_Toc24731"/>
    </w:p>
    <w:p>
      <w:pPr>
        <w:pStyle w:val="9"/>
        <w:jc w:val="center"/>
        <w:rPr>
          <w:rFonts w:hint="eastAsia" w:ascii="宋体" w:hAnsi="宋体" w:eastAsia="宋体" w:cs="宋体"/>
          <w:color w:val="auto"/>
          <w:highlight w:val="none"/>
        </w:rPr>
      </w:pPr>
      <w:bookmarkStart w:id="1321" w:name="_Toc28665"/>
      <w:bookmarkStart w:id="1322" w:name="_Toc20441"/>
      <w:bookmarkStart w:id="1323" w:name="_Toc19521"/>
      <w:bookmarkStart w:id="1324" w:name="_Toc29950"/>
      <w:bookmarkStart w:id="1325" w:name="_Toc4604"/>
      <w:bookmarkStart w:id="1326" w:name="_Toc16988"/>
      <w:r>
        <w:rPr>
          <w:rFonts w:hint="eastAsia" w:ascii="宋体" w:hAnsi="宋体" w:eastAsia="宋体" w:cs="宋体"/>
          <w:color w:val="auto"/>
          <w:highlight w:val="none"/>
        </w:rPr>
        <w:t>十一、其他材料</w:t>
      </w:r>
      <w:bookmarkEnd w:id="1319"/>
      <w:bookmarkEnd w:id="1320"/>
      <w:bookmarkEnd w:id="1321"/>
      <w:bookmarkEnd w:id="1322"/>
      <w:bookmarkEnd w:id="1323"/>
      <w:bookmarkEnd w:id="1324"/>
      <w:bookmarkEnd w:id="1325"/>
      <w:bookmarkEnd w:id="1326"/>
    </w:p>
    <w:p>
      <w:pPr>
        <w:pStyle w:val="10"/>
        <w:jc w:val="center"/>
        <w:rPr>
          <w:rFonts w:hint="eastAsia" w:ascii="宋体" w:hAnsi="宋体" w:cs="宋体"/>
          <w:color w:val="auto"/>
          <w:highlight w:val="none"/>
        </w:rPr>
      </w:pPr>
      <w:bookmarkStart w:id="1327" w:name="_Toc9444"/>
      <w:bookmarkStart w:id="1328" w:name="_Toc11806"/>
      <w:bookmarkStart w:id="1329" w:name="_Toc29325"/>
      <w:bookmarkStart w:id="1330" w:name="_Toc26902"/>
      <w:bookmarkStart w:id="1331" w:name="_Toc22434"/>
      <w:r>
        <w:rPr>
          <w:rFonts w:hint="eastAsia" w:ascii="宋体" w:hAnsi="宋体" w:cs="宋体"/>
          <w:color w:val="auto"/>
          <w:highlight w:val="none"/>
        </w:rPr>
        <w:t>1、磋商承诺函</w:t>
      </w:r>
      <w:bookmarkEnd w:id="1327"/>
      <w:bookmarkEnd w:id="1328"/>
      <w:bookmarkEnd w:id="1329"/>
      <w:bookmarkEnd w:id="1330"/>
      <w:bookmarkEnd w:id="1331"/>
    </w:p>
    <w:p>
      <w:pPr>
        <w:spacing w:line="400" w:lineRule="atLeast"/>
        <w:rPr>
          <w:rFonts w:hint="eastAsia" w:ascii="宋体" w:hAnsi="宋体" w:cs="宋体"/>
          <w:color w:val="auto"/>
          <w:highlight w:val="none"/>
          <w:u w:val="single"/>
        </w:rPr>
      </w:pPr>
      <w:r>
        <w:rPr>
          <w:rFonts w:hint="eastAsia" w:ascii="宋体" w:hAnsi="宋体" w:cs="宋体"/>
          <w:color w:val="auto"/>
          <w:highlight w:val="none"/>
        </w:rPr>
        <w:t>致</w:t>
      </w:r>
      <w:r>
        <w:rPr>
          <w:rFonts w:hint="eastAsia" w:ascii="宋体" w:hAnsi="宋体" w:cs="宋体"/>
          <w:color w:val="auto"/>
          <w:highlight w:val="none"/>
          <w:u w:val="single"/>
        </w:rPr>
        <w:t>（采购人及采购代理机构）：</w:t>
      </w:r>
    </w:p>
    <w:p>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我公司作为本次采购项目的供应商，根据招标文件要求，现郑重承诺如下：</w:t>
      </w:r>
    </w:p>
    <w:p>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一、具备《中华人民共和国政府采购法》第二十二条第一款和本项目规定的条件：</w:t>
      </w:r>
    </w:p>
    <w:p>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（一）具有独立承担民事责任的能力； 　　</w:t>
      </w:r>
    </w:p>
    <w:p>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（二）具有良好的商业信誉和健全的财务会计制度； 　</w:t>
      </w:r>
    </w:p>
    <w:p>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（三）具有履行合同所必需的设备和专业技术能力； 　　</w:t>
      </w:r>
    </w:p>
    <w:p>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（四）有依法缴纳税收和社会保障资金的良好记录； 　　</w:t>
      </w:r>
    </w:p>
    <w:p>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（五）参加政府采购活动前三年内，在经营活动中没有重大违法记录；</w:t>
      </w:r>
    </w:p>
    <w:p>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（六）法律、行政法规规定的其他条件；</w:t>
      </w:r>
    </w:p>
    <w:p>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（七）根据采购项目提出的特殊条件。</w:t>
      </w:r>
    </w:p>
    <w:p>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三、参加本次招标采购活动，不存在与单位负责人为同一人或者存在直接控股、管理关系的其他供应商参与同一合同项下的政府采购活动的行为。    </w:t>
      </w:r>
    </w:p>
    <w:p>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四、参加本次招标采购活动，不存在为采购项目提供整体设计、规范编制或者项目管理、监理、检测等服务的行为。</w:t>
      </w:r>
    </w:p>
    <w:p>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五、参加本次招标采购活动，不存在和其他供应商在同一合同项下的采购项目中，同时委托同一个自然人、同一家庭的人员、同一单位的人员作为代理人的行为。</w:t>
      </w:r>
    </w:p>
    <w:p>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六、供应商参加本次政府采购活动要求在近三年内供应商和其法定代表人没有行贿犯罪行为。</w:t>
      </w:r>
    </w:p>
    <w:p>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七、投标文件中提供的能够给予我公司带来优惠、好处的任何材料资料和技术、服务、商务等相应承诺情况都是真实的、有效的、合法的。</w:t>
      </w:r>
    </w:p>
    <w:p>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九、存在以下行为之一的愿意接受相关部门的处理：</w:t>
      </w:r>
    </w:p>
    <w:p>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（一）投标有效期内撤销投标文件的；</w:t>
      </w:r>
    </w:p>
    <w:p>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（二）在采购人确定成交人以前放弃中标候选资格的；</w:t>
      </w:r>
    </w:p>
    <w:p>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（三）由于成交人的原因未能按照招标文件的规定与采购人签订合同；</w:t>
      </w:r>
    </w:p>
    <w:p>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（四）在投标文件中提供虚假材料谋取中标；</w:t>
      </w:r>
    </w:p>
    <w:p>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（五）与采购人、其他供应商或者采购代理机构恶意串通的；</w:t>
      </w:r>
    </w:p>
    <w:p>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（六）投标有效期内，供应商在政府采购活动中有违法、违规、违纪行为。</w:t>
      </w:r>
    </w:p>
    <w:p>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 由此产生的一切法律后果和责任由我公司承担。我公司声明放弃对此提出任何异议和追索的权利。</w:t>
      </w:r>
    </w:p>
    <w:p>
      <w:pPr>
        <w:spacing w:line="400" w:lineRule="atLeast"/>
        <w:ind w:firstLine="420" w:firstLineChars="200"/>
        <w:rPr>
          <w:rFonts w:hint="eastAsia" w:ascii="宋体" w:hAnsi="宋体" w:cs="宋体"/>
          <w:color w:val="auto"/>
          <w:highlight w:val="none"/>
        </w:rPr>
      </w:pPr>
      <w:r>
        <w:rPr>
          <w:rFonts w:hint="eastAsia" w:ascii="宋体" w:hAnsi="宋体" w:cs="宋体"/>
          <w:color w:val="auto"/>
          <w:highlight w:val="none"/>
        </w:rPr>
        <w:t>本公司对上述承诺的内容事项真实性负责。如经查实上述承诺的内容事项存在虚假，我公司愿意接受以提供虚假材料谋取中标追究法律责任。</w:t>
      </w:r>
    </w:p>
    <w:p>
      <w:pPr>
        <w:spacing w:line="400" w:lineRule="atLeast"/>
        <w:ind w:left="840" w:leftChars="400" w:firstLine="420" w:firstLineChars="200"/>
        <w:rPr>
          <w:rFonts w:hint="eastAsia" w:ascii="宋体" w:hAnsi="宋体" w:cs="宋体"/>
          <w:color w:val="auto"/>
          <w:highlight w:val="none"/>
        </w:rPr>
      </w:pPr>
      <w:r>
        <w:rPr>
          <w:rFonts w:hint="eastAsia" w:ascii="宋体" w:hAnsi="宋体" w:cs="宋体"/>
          <w:color w:val="auto"/>
          <w:highlight w:val="none"/>
        </w:rPr>
        <w:t>       </w:t>
      </w:r>
    </w:p>
    <w:p>
      <w:pPr>
        <w:pStyle w:val="46"/>
        <w:rPr>
          <w:rFonts w:hint="eastAsia" w:ascii="宋体" w:hAnsi="宋体" w:cs="宋体"/>
          <w:color w:val="auto"/>
          <w:highlight w:val="none"/>
        </w:rPr>
      </w:pPr>
    </w:p>
    <w:p>
      <w:pPr>
        <w:rPr>
          <w:rFonts w:hint="eastAsia" w:ascii="宋体" w:hAnsi="宋体" w:cs="宋体"/>
          <w:color w:val="auto"/>
          <w:highlight w:val="none"/>
        </w:rPr>
      </w:pPr>
    </w:p>
    <w:p>
      <w:pPr>
        <w:spacing w:line="360" w:lineRule="auto"/>
        <w:ind w:left="2730" w:leftChars="1300" w:firstLine="420" w:firstLineChars="200"/>
        <w:rPr>
          <w:rFonts w:hint="eastAsia" w:ascii="宋体" w:hAnsi="宋体" w:cs="宋体"/>
          <w:color w:val="auto"/>
          <w:highlight w:val="none"/>
        </w:rPr>
      </w:pPr>
      <w:r>
        <w:rPr>
          <w:rFonts w:hint="eastAsia" w:ascii="宋体" w:hAnsi="宋体" w:cs="宋体"/>
          <w:color w:val="auto"/>
          <w:highlight w:val="none"/>
        </w:rPr>
        <w:t>供应商名称：</w:t>
      </w:r>
      <w:r>
        <w:rPr>
          <w:rFonts w:hint="eastAsia" w:ascii="宋体" w:hAnsi="宋体" w:cs="宋体"/>
          <w:color w:val="auto"/>
          <w:highlight w:val="none"/>
          <w:u w:val="single"/>
        </w:rPr>
        <w:t>              </w:t>
      </w:r>
      <w:r>
        <w:rPr>
          <w:rFonts w:hint="eastAsia" w:ascii="宋体" w:hAnsi="宋体" w:cs="宋体"/>
          <w:color w:val="auto"/>
          <w:highlight w:val="none"/>
        </w:rPr>
        <w:t>（单位电子签章）</w:t>
      </w:r>
    </w:p>
    <w:p>
      <w:pPr>
        <w:spacing w:line="360" w:lineRule="auto"/>
        <w:ind w:left="2730" w:leftChars="1300" w:firstLine="420" w:firstLineChars="200"/>
        <w:rPr>
          <w:rFonts w:hint="eastAsia" w:ascii="宋体" w:hAnsi="宋体" w:cs="宋体"/>
          <w:color w:val="auto"/>
          <w:highlight w:val="none"/>
        </w:rPr>
      </w:pPr>
      <w:r>
        <w:rPr>
          <w:rFonts w:hint="eastAsia" w:ascii="宋体" w:hAnsi="宋体" w:cs="宋体"/>
          <w:color w:val="auto"/>
          <w:highlight w:val="none"/>
        </w:rPr>
        <w:t>法定代表人或授权代表：</w:t>
      </w:r>
      <w:r>
        <w:rPr>
          <w:rFonts w:hint="eastAsia" w:ascii="宋体" w:hAnsi="宋体" w:cs="宋体"/>
          <w:color w:val="auto"/>
          <w:highlight w:val="none"/>
          <w:u w:val="single"/>
        </w:rPr>
        <w:t>      </w:t>
      </w:r>
      <w:r>
        <w:rPr>
          <w:rFonts w:hint="eastAsia" w:ascii="宋体" w:hAnsi="宋体" w:cs="宋体"/>
          <w:color w:val="auto"/>
          <w:highlight w:val="none"/>
        </w:rPr>
        <w:t>（签字或盖章）</w:t>
      </w:r>
    </w:p>
    <w:p>
      <w:pPr>
        <w:spacing w:line="360" w:lineRule="auto"/>
        <w:ind w:left="2730" w:leftChars="1300" w:firstLine="420" w:firstLineChars="200"/>
        <w:rPr>
          <w:rFonts w:hint="eastAsia" w:ascii="宋体" w:hAnsi="宋体" w:cs="宋体"/>
          <w:color w:val="auto"/>
          <w:highlight w:val="none"/>
          <w:u w:val="single"/>
        </w:rPr>
      </w:pPr>
      <w:r>
        <w:rPr>
          <w:rFonts w:hint="eastAsia" w:ascii="宋体" w:hAnsi="宋体" w:cs="宋体"/>
          <w:color w:val="auto"/>
          <w:highlight w:val="none"/>
        </w:rPr>
        <w:t>日      期：</w:t>
      </w:r>
      <w:r>
        <w:rPr>
          <w:rFonts w:hint="eastAsia" w:ascii="宋体" w:hAnsi="宋体" w:cs="宋体"/>
          <w:color w:val="auto"/>
          <w:highlight w:val="none"/>
          <w:u w:val="single"/>
        </w:rPr>
        <w:t>               </w:t>
      </w:r>
    </w:p>
    <w:p>
      <w:pPr>
        <w:pStyle w:val="29"/>
        <w:shd w:val="clear" w:color="auto" w:fill="FFFFFF"/>
        <w:spacing w:before="0" w:beforeAutospacing="0" w:after="0" w:afterAutospacing="0" w:line="405" w:lineRule="atLeast"/>
        <w:ind w:firstLine="495"/>
        <w:jc w:val="center"/>
        <w:rPr>
          <w:rFonts w:hint="eastAsia" w:ascii="宋体" w:hAnsi="宋体" w:eastAsia="宋体" w:cs="宋体"/>
          <w:b/>
          <w:color w:val="auto"/>
          <w:sz w:val="21"/>
          <w:szCs w:val="21"/>
          <w:highlight w:val="none"/>
        </w:rPr>
      </w:pPr>
    </w:p>
    <w:p>
      <w:pPr>
        <w:pStyle w:val="29"/>
        <w:shd w:val="clear" w:color="auto" w:fill="FFFFFF"/>
        <w:spacing w:before="0" w:beforeAutospacing="0" w:after="0" w:afterAutospacing="0" w:line="405" w:lineRule="atLeast"/>
        <w:jc w:val="both"/>
        <w:rPr>
          <w:rFonts w:hint="eastAsia" w:ascii="宋体" w:hAnsi="宋体" w:eastAsia="宋体" w:cs="宋体"/>
          <w:b/>
          <w:color w:val="auto"/>
          <w:sz w:val="21"/>
          <w:szCs w:val="21"/>
          <w:highlight w:val="none"/>
        </w:rPr>
      </w:pPr>
    </w:p>
    <w:p>
      <w:pPr>
        <w:pStyle w:val="29"/>
        <w:shd w:val="clear" w:color="auto" w:fill="FFFFFF"/>
        <w:spacing w:before="0" w:beforeAutospacing="0" w:after="0" w:afterAutospacing="0" w:line="405" w:lineRule="atLeast"/>
        <w:jc w:val="both"/>
        <w:rPr>
          <w:rFonts w:hint="eastAsia" w:ascii="宋体" w:hAnsi="宋体" w:eastAsia="宋体" w:cs="宋体"/>
          <w:b/>
          <w:color w:val="auto"/>
          <w:sz w:val="21"/>
          <w:szCs w:val="21"/>
          <w:highlight w:val="none"/>
        </w:rPr>
      </w:pPr>
    </w:p>
    <w:p>
      <w:pPr>
        <w:pStyle w:val="29"/>
        <w:shd w:val="clear" w:color="auto" w:fill="FFFFFF"/>
        <w:spacing w:before="0" w:beforeAutospacing="0" w:after="0" w:afterAutospacing="0" w:line="405" w:lineRule="atLeast"/>
        <w:jc w:val="both"/>
        <w:rPr>
          <w:rFonts w:hint="eastAsia" w:ascii="宋体" w:hAnsi="宋体" w:eastAsia="宋体" w:cs="宋体"/>
          <w:b/>
          <w:color w:val="auto"/>
          <w:sz w:val="21"/>
          <w:szCs w:val="21"/>
          <w:highlight w:val="none"/>
        </w:rPr>
      </w:pPr>
    </w:p>
    <w:p>
      <w:pPr>
        <w:pStyle w:val="29"/>
        <w:shd w:val="clear" w:color="auto" w:fill="FFFFFF"/>
        <w:spacing w:before="0" w:beforeAutospacing="0" w:after="0" w:afterAutospacing="0" w:line="405" w:lineRule="atLeast"/>
        <w:jc w:val="both"/>
        <w:rPr>
          <w:rFonts w:hint="eastAsia" w:ascii="宋体" w:hAnsi="宋体" w:eastAsia="宋体" w:cs="宋体"/>
          <w:b/>
          <w:color w:val="auto"/>
          <w:sz w:val="21"/>
          <w:szCs w:val="21"/>
          <w:highlight w:val="none"/>
        </w:rPr>
      </w:pPr>
    </w:p>
    <w:p>
      <w:pPr>
        <w:pStyle w:val="29"/>
        <w:shd w:val="clear" w:color="auto" w:fill="FFFFFF"/>
        <w:spacing w:before="0" w:beforeAutospacing="0" w:after="0" w:afterAutospacing="0" w:line="405" w:lineRule="atLeast"/>
        <w:jc w:val="both"/>
        <w:rPr>
          <w:rFonts w:hint="eastAsia" w:ascii="宋体" w:hAnsi="宋体" w:eastAsia="宋体" w:cs="宋体"/>
          <w:b/>
          <w:color w:val="auto"/>
          <w:sz w:val="21"/>
          <w:szCs w:val="21"/>
          <w:highlight w:val="none"/>
        </w:rPr>
      </w:pPr>
    </w:p>
    <w:p>
      <w:pPr>
        <w:pStyle w:val="29"/>
        <w:shd w:val="clear" w:color="auto" w:fill="FFFFFF"/>
        <w:spacing w:before="0" w:beforeAutospacing="0" w:after="0" w:afterAutospacing="0" w:line="405" w:lineRule="atLeast"/>
        <w:jc w:val="both"/>
        <w:rPr>
          <w:rFonts w:hint="eastAsia" w:ascii="宋体" w:hAnsi="宋体" w:eastAsia="宋体" w:cs="宋体"/>
          <w:b/>
          <w:color w:val="auto"/>
          <w:sz w:val="21"/>
          <w:szCs w:val="21"/>
          <w:highlight w:val="none"/>
        </w:rPr>
      </w:pPr>
    </w:p>
    <w:p>
      <w:pPr>
        <w:pStyle w:val="29"/>
        <w:shd w:val="clear" w:color="auto" w:fill="FFFFFF"/>
        <w:spacing w:before="0" w:beforeAutospacing="0" w:after="0" w:afterAutospacing="0" w:line="405" w:lineRule="atLeast"/>
        <w:jc w:val="both"/>
        <w:rPr>
          <w:rFonts w:hint="eastAsia" w:ascii="宋体" w:hAnsi="宋体" w:eastAsia="宋体" w:cs="宋体"/>
          <w:b/>
          <w:color w:val="auto"/>
          <w:sz w:val="21"/>
          <w:szCs w:val="21"/>
          <w:highlight w:val="none"/>
        </w:rPr>
      </w:pPr>
    </w:p>
    <w:p>
      <w:pPr>
        <w:pStyle w:val="29"/>
        <w:shd w:val="clear" w:color="auto" w:fill="FFFFFF"/>
        <w:spacing w:before="0" w:beforeAutospacing="0" w:after="0" w:afterAutospacing="0" w:line="405" w:lineRule="atLeast"/>
        <w:jc w:val="both"/>
        <w:rPr>
          <w:rFonts w:hint="eastAsia" w:ascii="宋体" w:hAnsi="宋体" w:eastAsia="宋体" w:cs="宋体"/>
          <w:b/>
          <w:color w:val="auto"/>
          <w:sz w:val="21"/>
          <w:szCs w:val="21"/>
          <w:highlight w:val="none"/>
        </w:rPr>
      </w:pPr>
    </w:p>
    <w:p>
      <w:pPr>
        <w:pStyle w:val="29"/>
        <w:shd w:val="clear" w:color="auto" w:fill="FFFFFF"/>
        <w:spacing w:before="0" w:beforeAutospacing="0" w:after="0" w:afterAutospacing="0" w:line="405" w:lineRule="atLeast"/>
        <w:jc w:val="both"/>
        <w:rPr>
          <w:rFonts w:hint="eastAsia" w:ascii="宋体" w:hAnsi="宋体" w:eastAsia="宋体" w:cs="宋体"/>
          <w:b/>
          <w:color w:val="auto"/>
          <w:sz w:val="21"/>
          <w:szCs w:val="21"/>
          <w:highlight w:val="none"/>
        </w:rPr>
      </w:pPr>
    </w:p>
    <w:p>
      <w:pPr>
        <w:pStyle w:val="29"/>
        <w:shd w:val="clear" w:color="auto" w:fill="FFFFFF"/>
        <w:spacing w:before="0" w:beforeAutospacing="0" w:after="0" w:afterAutospacing="0" w:line="405" w:lineRule="atLeast"/>
        <w:jc w:val="both"/>
        <w:rPr>
          <w:rFonts w:hint="eastAsia" w:ascii="宋体" w:hAnsi="宋体" w:eastAsia="宋体" w:cs="宋体"/>
          <w:b/>
          <w:color w:val="auto"/>
          <w:sz w:val="21"/>
          <w:szCs w:val="21"/>
          <w:highlight w:val="none"/>
        </w:rPr>
      </w:pPr>
    </w:p>
    <w:p>
      <w:pPr>
        <w:pStyle w:val="29"/>
        <w:shd w:val="clear" w:color="auto" w:fill="FFFFFF"/>
        <w:spacing w:before="0" w:beforeAutospacing="0" w:after="0" w:afterAutospacing="0" w:line="405" w:lineRule="atLeast"/>
        <w:jc w:val="both"/>
        <w:rPr>
          <w:rFonts w:hint="eastAsia" w:ascii="宋体" w:hAnsi="宋体" w:eastAsia="宋体" w:cs="宋体"/>
          <w:b/>
          <w:color w:val="auto"/>
          <w:sz w:val="21"/>
          <w:szCs w:val="21"/>
          <w:highlight w:val="none"/>
        </w:rPr>
      </w:pPr>
    </w:p>
    <w:p>
      <w:pPr>
        <w:pStyle w:val="29"/>
        <w:shd w:val="clear" w:color="auto" w:fill="FFFFFF"/>
        <w:spacing w:before="0" w:beforeAutospacing="0" w:after="0" w:afterAutospacing="0" w:line="405" w:lineRule="atLeast"/>
        <w:jc w:val="both"/>
        <w:rPr>
          <w:rFonts w:hint="eastAsia" w:ascii="宋体" w:hAnsi="宋体" w:eastAsia="宋体" w:cs="宋体"/>
          <w:b/>
          <w:color w:val="auto"/>
          <w:sz w:val="21"/>
          <w:szCs w:val="21"/>
          <w:highlight w:val="none"/>
        </w:rPr>
      </w:pPr>
    </w:p>
    <w:p>
      <w:pPr>
        <w:pStyle w:val="29"/>
        <w:shd w:val="clear" w:color="auto" w:fill="FFFFFF"/>
        <w:spacing w:before="0" w:beforeAutospacing="0" w:after="0" w:afterAutospacing="0" w:line="405" w:lineRule="atLeast"/>
        <w:jc w:val="both"/>
        <w:rPr>
          <w:rFonts w:hint="eastAsia" w:ascii="宋体" w:hAnsi="宋体" w:eastAsia="宋体" w:cs="宋体"/>
          <w:b/>
          <w:color w:val="auto"/>
          <w:sz w:val="21"/>
          <w:szCs w:val="21"/>
          <w:highlight w:val="none"/>
        </w:rPr>
      </w:pPr>
    </w:p>
    <w:p>
      <w:pPr>
        <w:pStyle w:val="29"/>
        <w:shd w:val="clear" w:color="auto" w:fill="FFFFFF"/>
        <w:spacing w:before="0" w:beforeAutospacing="0" w:after="0" w:afterAutospacing="0" w:line="405" w:lineRule="atLeast"/>
        <w:jc w:val="both"/>
        <w:rPr>
          <w:rFonts w:hint="eastAsia" w:ascii="宋体" w:hAnsi="宋体" w:eastAsia="宋体" w:cs="宋体"/>
          <w:b/>
          <w:color w:val="auto"/>
          <w:sz w:val="21"/>
          <w:szCs w:val="21"/>
          <w:highlight w:val="none"/>
        </w:rPr>
      </w:pPr>
    </w:p>
    <w:p>
      <w:pPr>
        <w:pStyle w:val="29"/>
        <w:shd w:val="clear" w:color="auto" w:fill="FFFFFF"/>
        <w:spacing w:before="0" w:beforeAutospacing="0" w:after="0" w:afterAutospacing="0" w:line="405" w:lineRule="atLeast"/>
        <w:jc w:val="both"/>
        <w:rPr>
          <w:rFonts w:hint="eastAsia" w:ascii="宋体" w:hAnsi="宋体" w:eastAsia="宋体" w:cs="宋体"/>
          <w:b/>
          <w:color w:val="auto"/>
          <w:sz w:val="21"/>
          <w:szCs w:val="21"/>
          <w:highlight w:val="none"/>
        </w:rPr>
      </w:pPr>
    </w:p>
    <w:p>
      <w:pPr>
        <w:pStyle w:val="10"/>
        <w:rPr>
          <w:rFonts w:hint="eastAsia" w:ascii="宋体" w:hAnsi="宋体" w:cs="宋体"/>
          <w:color w:val="auto"/>
          <w:highlight w:val="none"/>
        </w:rPr>
      </w:pPr>
      <w:bookmarkStart w:id="1332" w:name="_Toc19284"/>
      <w:bookmarkStart w:id="1333" w:name="_Toc20300"/>
      <w:bookmarkStart w:id="1334" w:name="_Toc5434"/>
      <w:bookmarkStart w:id="1335" w:name="_Toc27882"/>
      <w:bookmarkStart w:id="1336" w:name="_Toc20232"/>
      <w:bookmarkStart w:id="1337" w:name="_Toc27552"/>
    </w:p>
    <w:p>
      <w:pPr>
        <w:rPr>
          <w:rFonts w:hint="eastAsia" w:ascii="宋体" w:hAnsi="宋体" w:cs="宋体"/>
          <w:color w:val="auto"/>
          <w:highlight w:val="none"/>
        </w:rPr>
      </w:pPr>
    </w:p>
    <w:p>
      <w:pPr>
        <w:pStyle w:val="10"/>
        <w:jc w:val="center"/>
        <w:rPr>
          <w:rFonts w:hint="eastAsia" w:ascii="宋体" w:hAnsi="宋体" w:cs="宋体"/>
          <w:color w:val="auto"/>
          <w:highlight w:val="none"/>
        </w:rPr>
      </w:pPr>
      <w:r>
        <w:rPr>
          <w:rFonts w:hint="eastAsia" w:ascii="宋体" w:hAnsi="宋体" w:cs="宋体"/>
          <w:color w:val="auto"/>
          <w:highlight w:val="none"/>
        </w:rPr>
        <w:t>2、采购代理服务费承诺函</w:t>
      </w:r>
      <w:bookmarkEnd w:id="1332"/>
      <w:bookmarkEnd w:id="1333"/>
      <w:bookmarkEnd w:id="1334"/>
      <w:bookmarkEnd w:id="1335"/>
      <w:bookmarkEnd w:id="1336"/>
      <w:bookmarkEnd w:id="1337"/>
    </w:p>
    <w:p>
      <w:pPr>
        <w:spacing w:line="480" w:lineRule="atLeast"/>
        <w:rPr>
          <w:rFonts w:hint="eastAsia" w:ascii="宋体" w:hAnsi="宋体" w:cs="宋体"/>
          <w:color w:val="auto"/>
          <w:highlight w:val="none"/>
          <w:u w:val="single"/>
        </w:rPr>
      </w:pPr>
      <w:r>
        <w:rPr>
          <w:rFonts w:hint="eastAsia" w:ascii="宋体" w:hAnsi="宋体" w:cs="宋体"/>
          <w:color w:val="auto"/>
          <w:highlight w:val="none"/>
        </w:rPr>
        <w:t>致</w:t>
      </w:r>
      <w:r>
        <w:rPr>
          <w:rFonts w:hint="eastAsia" w:ascii="宋体" w:hAnsi="宋体" w:cs="宋体"/>
          <w:color w:val="auto"/>
          <w:highlight w:val="none"/>
          <w:u w:val="single"/>
        </w:rPr>
        <w:t>（采购人及采购代理机构） ：</w:t>
      </w:r>
    </w:p>
    <w:p>
      <w:pPr>
        <w:spacing w:line="480" w:lineRule="atLeast"/>
        <w:ind w:firstLine="420" w:firstLineChars="200"/>
        <w:rPr>
          <w:rFonts w:hint="eastAsia" w:ascii="宋体" w:hAnsi="宋体" w:cs="宋体"/>
          <w:color w:val="auto"/>
          <w:highlight w:val="none"/>
        </w:rPr>
      </w:pPr>
      <w:r>
        <w:rPr>
          <w:rFonts w:hint="eastAsia" w:ascii="宋体" w:hAnsi="宋体" w:cs="宋体"/>
          <w:color w:val="auto"/>
          <w:highlight w:val="none"/>
        </w:rPr>
        <w:t>我们在贵公司组织的（项目名称：</w:t>
      </w:r>
      <w:r>
        <w:rPr>
          <w:rFonts w:hint="eastAsia" w:ascii="宋体" w:hAnsi="宋体" w:cs="宋体"/>
          <w:color w:val="auto"/>
          <w:highlight w:val="none"/>
          <w:u w:val="single"/>
        </w:rPr>
        <w:t xml:space="preserve">            </w:t>
      </w:r>
      <w:r>
        <w:rPr>
          <w:rFonts w:hint="eastAsia" w:ascii="宋体" w:hAnsi="宋体" w:cs="宋体"/>
          <w:color w:val="auto"/>
          <w:highlight w:val="none"/>
        </w:rPr>
        <w:t>，采购编号：</w:t>
      </w:r>
      <w:r>
        <w:rPr>
          <w:rFonts w:hint="eastAsia" w:ascii="宋体" w:hAnsi="宋体" w:cs="宋体"/>
          <w:color w:val="auto"/>
          <w:highlight w:val="none"/>
          <w:u w:val="single"/>
        </w:rPr>
        <w:t xml:space="preserve">     </w:t>
      </w:r>
      <w:r>
        <w:rPr>
          <w:rFonts w:hint="eastAsia" w:ascii="宋体" w:hAnsi="宋体" w:cs="宋体"/>
          <w:color w:val="auto"/>
          <w:highlight w:val="none"/>
        </w:rPr>
        <w:t>）招标采购中若获中标（成交），我们保证在中标（成交）结果公告发布后5个工作日内，按招标文件的规定，以支票、银行转账、汇票或现金，向贵公司一次性支付采购代理服务费用。否则，由此产生的一切法律后果和责任由我公司承担。我公司声明放弃对此提出任何异议和追索的权利。</w:t>
      </w:r>
    </w:p>
    <w:p>
      <w:pPr>
        <w:spacing w:line="480" w:lineRule="atLeast"/>
        <w:ind w:firstLine="420" w:firstLineChars="200"/>
        <w:rPr>
          <w:rFonts w:hint="eastAsia" w:ascii="宋体" w:hAnsi="宋体" w:cs="宋体"/>
          <w:color w:val="auto"/>
          <w:highlight w:val="none"/>
        </w:rPr>
      </w:pPr>
      <w:r>
        <w:rPr>
          <w:rFonts w:hint="eastAsia" w:ascii="宋体" w:hAnsi="宋体" w:cs="宋体"/>
          <w:color w:val="auto"/>
          <w:highlight w:val="none"/>
        </w:rPr>
        <w:t>特此承诺。</w:t>
      </w:r>
    </w:p>
    <w:p>
      <w:pPr>
        <w:pStyle w:val="29"/>
        <w:shd w:val="clear" w:color="auto" w:fill="FFFFFF"/>
        <w:spacing w:before="0" w:beforeAutospacing="0" w:after="0" w:afterAutospacing="0" w:line="360" w:lineRule="auto"/>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 </w:t>
      </w:r>
    </w:p>
    <w:p>
      <w:pPr>
        <w:pStyle w:val="29"/>
        <w:shd w:val="clear" w:color="auto" w:fill="FFFFFF"/>
        <w:spacing w:before="0" w:beforeAutospacing="0" w:after="0" w:afterAutospacing="0" w:line="360" w:lineRule="auto"/>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 </w:t>
      </w:r>
    </w:p>
    <w:p>
      <w:pPr>
        <w:spacing w:line="360" w:lineRule="auto"/>
        <w:ind w:left="2520" w:leftChars="1200" w:firstLine="420" w:firstLineChars="200"/>
        <w:rPr>
          <w:rFonts w:hint="eastAsia" w:ascii="宋体" w:hAnsi="宋体" w:cs="宋体"/>
          <w:color w:val="auto"/>
          <w:highlight w:val="none"/>
        </w:rPr>
      </w:pPr>
      <w:r>
        <w:rPr>
          <w:rFonts w:hint="eastAsia" w:ascii="宋体" w:hAnsi="宋体" w:cs="宋体"/>
          <w:color w:val="auto"/>
          <w:highlight w:val="none"/>
        </w:rPr>
        <w:t>供应商名称：</w:t>
      </w:r>
      <w:r>
        <w:rPr>
          <w:rFonts w:hint="eastAsia" w:ascii="宋体" w:hAnsi="宋体" w:cs="宋体"/>
          <w:color w:val="auto"/>
          <w:highlight w:val="none"/>
          <w:u w:val="single"/>
        </w:rPr>
        <w:t>         </w:t>
      </w:r>
      <w:r>
        <w:rPr>
          <w:rFonts w:hint="eastAsia" w:ascii="宋体" w:hAnsi="宋体" w:cs="宋体"/>
          <w:color w:val="auto"/>
          <w:highlight w:val="none"/>
        </w:rPr>
        <w:t>（单位电子签章）</w:t>
      </w:r>
    </w:p>
    <w:p>
      <w:pPr>
        <w:spacing w:line="360" w:lineRule="auto"/>
        <w:ind w:left="2520" w:leftChars="1200" w:firstLine="420" w:firstLineChars="200"/>
        <w:rPr>
          <w:rFonts w:hint="eastAsia" w:ascii="宋体" w:hAnsi="宋体" w:cs="宋体"/>
          <w:color w:val="auto"/>
          <w:highlight w:val="none"/>
        </w:rPr>
      </w:pPr>
      <w:r>
        <w:rPr>
          <w:rFonts w:hint="eastAsia" w:ascii="宋体" w:hAnsi="宋体" w:cs="宋体"/>
          <w:color w:val="auto"/>
          <w:highlight w:val="none"/>
        </w:rPr>
        <w:t>法定代表人或授权代表：</w:t>
      </w:r>
      <w:r>
        <w:rPr>
          <w:rFonts w:hint="eastAsia" w:ascii="宋体" w:hAnsi="宋体" w:cs="宋体"/>
          <w:color w:val="auto"/>
          <w:highlight w:val="none"/>
          <w:u w:val="single"/>
        </w:rPr>
        <w:t>        </w:t>
      </w:r>
      <w:r>
        <w:rPr>
          <w:rFonts w:hint="eastAsia" w:ascii="宋体" w:hAnsi="宋体" w:cs="宋体"/>
          <w:color w:val="auto"/>
          <w:highlight w:val="none"/>
        </w:rPr>
        <w:t>（签字或盖章）</w:t>
      </w:r>
    </w:p>
    <w:p>
      <w:pPr>
        <w:spacing w:line="360" w:lineRule="auto"/>
        <w:ind w:left="2520" w:leftChars="1200" w:firstLine="420" w:firstLineChars="200"/>
        <w:rPr>
          <w:rFonts w:hint="eastAsia" w:ascii="宋体" w:hAnsi="宋体" w:cs="宋体"/>
          <w:color w:val="auto"/>
          <w:highlight w:val="none"/>
          <w:u w:val="single"/>
        </w:rPr>
      </w:pPr>
      <w:r>
        <w:rPr>
          <w:rFonts w:hint="eastAsia" w:ascii="宋体" w:hAnsi="宋体" w:cs="宋体"/>
          <w:color w:val="auto"/>
          <w:highlight w:val="none"/>
        </w:rPr>
        <w:t>日      期：</w:t>
      </w:r>
      <w:r>
        <w:rPr>
          <w:rFonts w:hint="eastAsia" w:ascii="宋体" w:hAnsi="宋体" w:cs="宋体"/>
          <w:color w:val="auto"/>
          <w:highlight w:val="none"/>
          <w:u w:val="single"/>
        </w:rPr>
        <w:t>                  </w:t>
      </w:r>
    </w:p>
    <w:p>
      <w:pPr>
        <w:pStyle w:val="29"/>
        <w:shd w:val="clear" w:color="auto" w:fill="FFFFFF"/>
        <w:spacing w:before="0" w:beforeAutospacing="0" w:after="0" w:afterAutospacing="0" w:line="360" w:lineRule="auto"/>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 </w:t>
      </w:r>
    </w:p>
    <w:p>
      <w:pPr>
        <w:rPr>
          <w:rFonts w:hint="eastAsia" w:ascii="宋体" w:hAnsi="宋体" w:cs="宋体"/>
          <w:color w:val="auto"/>
          <w:highlight w:val="none"/>
        </w:rPr>
      </w:pPr>
    </w:p>
    <w:p>
      <w:pPr>
        <w:rPr>
          <w:rFonts w:hint="eastAsia" w:ascii="宋体" w:hAnsi="宋体" w:cs="宋体"/>
          <w:color w:val="auto"/>
          <w:highlight w:val="none"/>
        </w:rPr>
      </w:pPr>
    </w:p>
    <w:p>
      <w:pPr>
        <w:pStyle w:val="3"/>
        <w:spacing w:before="156" w:after="156"/>
        <w:rPr>
          <w:rFonts w:hint="eastAsia" w:ascii="宋体" w:hAnsi="宋体" w:cs="宋体"/>
          <w:color w:val="auto"/>
          <w:highlight w:val="none"/>
        </w:rPr>
      </w:pPr>
    </w:p>
    <w:p>
      <w:pPr>
        <w:pStyle w:val="46"/>
        <w:rPr>
          <w:rFonts w:hint="eastAsia" w:ascii="宋体" w:hAnsi="宋体" w:cs="宋体"/>
          <w:color w:val="auto"/>
          <w:highlight w:val="none"/>
        </w:rPr>
      </w:pPr>
    </w:p>
    <w:p>
      <w:pPr>
        <w:rPr>
          <w:rFonts w:hint="eastAsia" w:ascii="宋体" w:hAnsi="宋体" w:cs="宋体"/>
          <w:color w:val="auto"/>
          <w:highlight w:val="none"/>
        </w:rPr>
      </w:pPr>
    </w:p>
    <w:p>
      <w:pPr>
        <w:pStyle w:val="3"/>
        <w:spacing w:before="156" w:after="156"/>
        <w:rPr>
          <w:rFonts w:hint="eastAsia" w:ascii="宋体" w:hAnsi="宋体" w:cs="宋体"/>
          <w:color w:val="auto"/>
          <w:highlight w:val="none"/>
        </w:rPr>
      </w:pPr>
    </w:p>
    <w:p>
      <w:pPr>
        <w:pStyle w:val="46"/>
        <w:rPr>
          <w:rFonts w:hint="eastAsia" w:ascii="宋体" w:hAnsi="宋体" w:cs="宋体"/>
          <w:color w:val="auto"/>
          <w:highlight w:val="none"/>
        </w:rPr>
      </w:pPr>
    </w:p>
    <w:p>
      <w:pPr>
        <w:rPr>
          <w:rFonts w:hint="eastAsia" w:ascii="宋体" w:hAnsi="宋体" w:cs="宋体"/>
          <w:color w:val="auto"/>
          <w:highlight w:val="none"/>
        </w:rPr>
      </w:pPr>
    </w:p>
    <w:p>
      <w:pPr>
        <w:pStyle w:val="3"/>
        <w:spacing w:before="156" w:after="156"/>
        <w:rPr>
          <w:rFonts w:hint="eastAsia" w:ascii="宋体" w:hAnsi="宋体" w:cs="宋体"/>
          <w:color w:val="auto"/>
          <w:highlight w:val="none"/>
        </w:rPr>
      </w:pPr>
    </w:p>
    <w:p>
      <w:pPr>
        <w:rPr>
          <w:rFonts w:hint="eastAsia" w:ascii="宋体" w:hAnsi="宋体" w:cs="宋体"/>
          <w:color w:val="auto"/>
          <w:highlight w:val="none"/>
        </w:rPr>
      </w:pPr>
    </w:p>
    <w:p>
      <w:pPr>
        <w:pStyle w:val="10"/>
        <w:jc w:val="center"/>
        <w:rPr>
          <w:rFonts w:hint="eastAsia" w:ascii="宋体" w:hAnsi="宋体" w:cs="宋体"/>
          <w:color w:val="auto"/>
          <w:highlight w:val="none"/>
        </w:rPr>
      </w:pPr>
      <w:bookmarkStart w:id="1338" w:name="_Toc173"/>
      <w:bookmarkStart w:id="1339" w:name="_Toc13180"/>
      <w:bookmarkStart w:id="1340" w:name="_Toc32575"/>
      <w:bookmarkStart w:id="1341" w:name="_Toc7652"/>
      <w:bookmarkStart w:id="1342" w:name="_Toc17802"/>
      <w:bookmarkStart w:id="1343" w:name="_Toc19686"/>
      <w:r>
        <w:rPr>
          <w:rFonts w:hint="eastAsia" w:ascii="宋体" w:hAnsi="宋体" w:cs="宋体"/>
          <w:color w:val="auto"/>
          <w:highlight w:val="none"/>
        </w:rPr>
        <w:t>3、供应商认为需要的其他资料</w:t>
      </w:r>
      <w:bookmarkEnd w:id="1338"/>
      <w:bookmarkEnd w:id="1339"/>
      <w:bookmarkEnd w:id="1340"/>
      <w:bookmarkEnd w:id="1341"/>
      <w:bookmarkEnd w:id="1342"/>
      <w:bookmarkEnd w:id="1343"/>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bookmarkEnd w:id="1112"/>
    <w:bookmarkEnd w:id="1113"/>
    <w:p>
      <w:pPr>
        <w:rPr>
          <w:rFonts w:hint="eastAsia" w:ascii="宋体" w:hAnsi="宋体" w:cs="宋体"/>
          <w:color w:val="auto"/>
          <w:highlight w:val="none"/>
        </w:rPr>
      </w:pPr>
    </w:p>
    <w:sectPr>
      <w:headerReference r:id="rId10" w:type="first"/>
      <w:footerReference r:id="rId13" w:type="first"/>
      <w:headerReference r:id="rId8" w:type="default"/>
      <w:footerReference r:id="rId11" w:type="default"/>
      <w:headerReference r:id="rId9" w:type="even"/>
      <w:footerReference r:id="rId12" w:type="even"/>
      <w:pgSz w:w="11906" w:h="16838"/>
      <w:pgMar w:top="1701" w:right="1418" w:bottom="1701" w:left="141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ind w:firstLine="360"/>
                          </w:pPr>
                          <w:r>
                            <w:fldChar w:fldCharType="begin"/>
                          </w:r>
                          <w:r>
                            <w:instrText xml:space="preserve"> PAGE  \* MERGEFORMAT </w:instrText>
                          </w:r>
                          <w:r>
                            <w:fldChar w:fldCharType="separate"/>
                          </w:r>
                          <w:r>
                            <w:t>- 5 -</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37lopNIBAACiAwAADgAAAAAAAAABACAAAAAfAQAA&#10;ZHJzL2Uyb0RvYy54bWxQSwUGAAAAAAYABgBZAQAAYwUAAAAA&#10;">
              <v:fill on="f" focussize="0,0"/>
              <v:stroke on="f" weight="0.5pt"/>
              <v:imagedata o:title=""/>
              <o:lock v:ext="edit" aspectratio="f"/>
              <v:textbox inset="0mm,0mm,0mm,0mm" style="mso-fit-shape-to-text:t;">
                <w:txbxContent>
                  <w:p>
                    <w:pPr>
                      <w:pStyle w:val="22"/>
                      <w:ind w:firstLine="360"/>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ind w:firstLine="360"/>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pPr>
                      <w:pStyle w:val="22"/>
                      <w:ind w:firstLine="36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921304"/>
    </w:sdtPr>
    <w:sdtContent>
      <w:p>
        <w:pPr>
          <w:pStyle w:val="22"/>
          <w:ind w:firstLine="360"/>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14</w:t>
        </w:r>
        <w:r>
          <w:rPr>
            <w:rFonts w:asciiTheme="minorEastAsia" w:hAnsiTheme="minorEastAsia"/>
            <w:sz w:val="28"/>
            <w:szCs w:val="28"/>
          </w:rPr>
          <w:fldChar w:fldCharType="end"/>
        </w:r>
        <w:r>
          <w:rPr>
            <w:rFonts w:hint="eastAsia" w:asciiTheme="minorEastAsia" w:hAnsiTheme="minorEastAsia"/>
            <w:sz w:val="28"/>
            <w:szCs w:val="28"/>
          </w:rPr>
          <w:t>-</w:t>
        </w:r>
      </w:p>
    </w:sdtContent>
  </w:sdt>
  <w:p>
    <w:pPr>
      <w:pStyle w:val="22"/>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ind w:firstLine="0" w:firstLineChars="0"/>
      <w:jc w:val="both"/>
      <w:rPr>
        <w:rFonts w:ascii="宋体" w:hAnsi="宋体"/>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864D61"/>
    <w:multiLevelType w:val="singleLevel"/>
    <w:tmpl w:val="C7864D61"/>
    <w:lvl w:ilvl="0" w:tentative="0">
      <w:start w:val="5"/>
      <w:numFmt w:val="chineseCounting"/>
      <w:suff w:val="space"/>
      <w:lvlText w:val="第%1章"/>
      <w:lvlJc w:val="left"/>
      <w:rPr>
        <w:rFonts w:hint="eastAsia"/>
      </w:rPr>
    </w:lvl>
  </w:abstractNum>
  <w:abstractNum w:abstractNumId="1">
    <w:nsid w:val="0000000E"/>
    <w:multiLevelType w:val="multilevel"/>
    <w:tmpl w:val="0000000E"/>
    <w:lvl w:ilvl="0" w:tentative="0">
      <w:start w:val="1"/>
      <w:numFmt w:val="decimal"/>
      <w:suff w:val="nothing"/>
      <w:lvlText w:val="第%1章 "/>
      <w:lvlJc w:val="left"/>
      <w:pPr>
        <w:ind w:left="0" w:firstLine="0"/>
      </w:pPr>
      <w:rPr>
        <w:rFonts w:hint="eastAsia" w:ascii="Cambria" w:eastAsia="Cambria"/>
        <w:b w:val="0"/>
        <w:i w:val="0"/>
        <w:sz w:val="36"/>
        <w:szCs w:val="36"/>
        <w14:shadow w14:blurRad="50800" w14:dist="38100" w14:dir="2700000" w14:sx="100000" w14:sy="100000" w14:kx="0" w14:ky="0" w14:algn="tl">
          <w14:srgbClr w14:val="000000">
            <w14:alpha w14:val="60000"/>
          </w14:srgbClr>
        </w14:shadow>
      </w:rPr>
    </w:lvl>
    <w:lvl w:ilvl="1" w:tentative="0">
      <w:start w:val="1"/>
      <w:numFmt w:val="decimal"/>
      <w:suff w:val="nothing"/>
      <w:lvlText w:val="    %2、"/>
      <w:lvlJc w:val="left"/>
      <w:pPr>
        <w:ind w:left="0" w:firstLine="0"/>
      </w:pPr>
      <w:rPr>
        <w:rFonts w:hint="eastAsia" w:ascii="微软雅黑" w:eastAsia="微软雅黑"/>
        <w:b/>
        <w:i w:val="0"/>
        <w:sz w:val="30"/>
        <w:szCs w:val="30"/>
      </w:rPr>
    </w:lvl>
    <w:lvl w:ilvl="2" w:tentative="0">
      <w:start w:val="1"/>
      <w:numFmt w:val="decimal"/>
      <w:suff w:val="nothing"/>
      <w:lvlText w:val="    %2.%3 "/>
      <w:lvlJc w:val="left"/>
      <w:pPr>
        <w:ind w:left="459" w:firstLine="0"/>
      </w:pPr>
      <w:rPr>
        <w:rFonts w:cs="楷体_GB2312"/>
        <w:b w:val="0"/>
        <w:bCs w:val="0"/>
        <w:i w:val="0"/>
        <w:iCs w:val="0"/>
        <w:caps w:val="0"/>
        <w:smallCaps w:val="0"/>
        <w:strike w:val="0"/>
        <w:dstrike w:val="0"/>
        <w:outline w:val="0"/>
        <w:shadow w:val="0"/>
        <w:emboss w:val="0"/>
        <w:imprint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monospace" w:eastAsia="monospace"/>
        <w:b/>
        <w:i w:val="0"/>
        <w:sz w:val="28"/>
        <w:szCs w:val="28"/>
      </w:rPr>
    </w:lvl>
    <w:lvl w:ilvl="4" w:tentative="0">
      <w:start w:val="1"/>
      <w:numFmt w:val="none"/>
      <w:pStyle w:val="11"/>
      <w:suff w:val="nothing"/>
      <w:lvlText w:val=""/>
      <w:lvlJc w:val="left"/>
      <w:pPr>
        <w:ind w:left="0" w:firstLine="0"/>
      </w:pPr>
      <w:rPr>
        <w:rFonts w:hint="eastAsia"/>
      </w:rPr>
    </w:lvl>
    <w:lvl w:ilvl="5" w:tentative="0">
      <w:start w:val="1"/>
      <w:numFmt w:val="none"/>
      <w:pStyle w:val="12"/>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62C345E"/>
    <w:multiLevelType w:val="singleLevel"/>
    <w:tmpl w:val="062C345E"/>
    <w:lvl w:ilvl="0" w:tentative="0">
      <w:start w:val="5"/>
      <w:numFmt w:val="decimal"/>
      <w:suff w:val="nothing"/>
      <w:lvlText w:val="%1、"/>
      <w:lvlJc w:val="left"/>
    </w:lvl>
  </w:abstractNum>
  <w:abstractNum w:abstractNumId="3">
    <w:nsid w:val="20055CD9"/>
    <w:multiLevelType w:val="singleLevel"/>
    <w:tmpl w:val="20055CD9"/>
    <w:lvl w:ilvl="0" w:tentative="0">
      <w:start w:val="1"/>
      <w:numFmt w:val="chineseCounting"/>
      <w:suff w:val="nothing"/>
      <w:lvlText w:val="（%1）"/>
      <w:lvlJc w:val="left"/>
      <w:pPr>
        <w:ind w:left="0" w:firstLine="420"/>
      </w:pPr>
      <w:rPr>
        <w:rFonts w:hint="eastAsia"/>
      </w:rPr>
    </w:lvl>
  </w:abstractNum>
  <w:abstractNum w:abstractNumId="4">
    <w:nsid w:val="57207B36"/>
    <w:multiLevelType w:val="singleLevel"/>
    <w:tmpl w:val="57207B36"/>
    <w:lvl w:ilvl="0" w:tentative="0">
      <w:start w:val="3"/>
      <w:numFmt w:val="decimal"/>
      <w:suff w:val="nothing"/>
      <w:lvlText w:val="%1、"/>
      <w:lvlJc w:val="left"/>
    </w:lvl>
  </w:abstractNum>
  <w:abstractNum w:abstractNumId="5">
    <w:nsid w:val="5A4A420D"/>
    <w:multiLevelType w:val="singleLevel"/>
    <w:tmpl w:val="5A4A420D"/>
    <w:lvl w:ilvl="0" w:tentative="0">
      <w:start w:val="1"/>
      <w:numFmt w:val="chineseCounting"/>
      <w:suff w:val="nothing"/>
      <w:lvlText w:val="%1、"/>
      <w:lvlJc w:val="left"/>
      <w:rPr>
        <w:rFonts w:hint="eastAsia"/>
      </w:rPr>
    </w:lvl>
  </w:abstractNum>
  <w:abstractNum w:abstractNumId="6">
    <w:nsid w:val="64A5DBB2"/>
    <w:multiLevelType w:val="singleLevel"/>
    <w:tmpl w:val="64A5DBB2"/>
    <w:lvl w:ilvl="0" w:tentative="0">
      <w:start w:val="1"/>
      <w:numFmt w:val="decimal"/>
      <w:suff w:val="space"/>
      <w:lvlText w:val="%1."/>
      <w:lvlJc w:val="left"/>
    </w:lvl>
  </w:abstractNum>
  <w:abstractNum w:abstractNumId="7">
    <w:nsid w:val="6E9372FF"/>
    <w:multiLevelType w:val="singleLevel"/>
    <w:tmpl w:val="6E9372FF"/>
    <w:lvl w:ilvl="0" w:tentative="0">
      <w:start w:val="2"/>
      <w:numFmt w:val="decimal"/>
      <w:lvlText w:val="%1."/>
      <w:lvlJc w:val="left"/>
      <w:pPr>
        <w:tabs>
          <w:tab w:val="left" w:pos="312"/>
        </w:tabs>
        <w:ind w:left="400" w:firstLine="0"/>
      </w:pPr>
    </w:lvl>
  </w:abstractNum>
  <w:num w:numId="1">
    <w:abstractNumId w:val="1"/>
  </w:num>
  <w:num w:numId="2">
    <w:abstractNumId w:val="2"/>
  </w:num>
  <w:num w:numId="3">
    <w:abstractNumId w:val="4"/>
  </w:num>
  <w:num w:numId="4">
    <w:abstractNumId w:val="6"/>
  </w:num>
  <w:num w:numId="5">
    <w:abstractNumId w:val="0"/>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TQ2YmE0NzZiYWUwMWM5MTM2MjA2NjUxMzliNzEifQ=="/>
  </w:docVars>
  <w:rsids>
    <w:rsidRoot w:val="005F7F29"/>
    <w:rsid w:val="00037C70"/>
    <w:rsid w:val="00070034"/>
    <w:rsid w:val="000D4473"/>
    <w:rsid w:val="000E4995"/>
    <w:rsid w:val="000F4ABB"/>
    <w:rsid w:val="00115114"/>
    <w:rsid w:val="00144E11"/>
    <w:rsid w:val="00146E8C"/>
    <w:rsid w:val="00155351"/>
    <w:rsid w:val="00197FA8"/>
    <w:rsid w:val="00207852"/>
    <w:rsid w:val="0027491C"/>
    <w:rsid w:val="00294A18"/>
    <w:rsid w:val="002A7BFE"/>
    <w:rsid w:val="002C29D5"/>
    <w:rsid w:val="002F2062"/>
    <w:rsid w:val="00340787"/>
    <w:rsid w:val="00344E47"/>
    <w:rsid w:val="003962CF"/>
    <w:rsid w:val="003A567B"/>
    <w:rsid w:val="003B17DC"/>
    <w:rsid w:val="003B549C"/>
    <w:rsid w:val="003C0BFB"/>
    <w:rsid w:val="003D3D2F"/>
    <w:rsid w:val="0048631C"/>
    <w:rsid w:val="00487EBB"/>
    <w:rsid w:val="004B1EED"/>
    <w:rsid w:val="004E318D"/>
    <w:rsid w:val="00506C08"/>
    <w:rsid w:val="00557DFD"/>
    <w:rsid w:val="005873C2"/>
    <w:rsid w:val="005A2146"/>
    <w:rsid w:val="005C2551"/>
    <w:rsid w:val="005C6ADC"/>
    <w:rsid w:val="005E08D0"/>
    <w:rsid w:val="005F46D3"/>
    <w:rsid w:val="005F7F29"/>
    <w:rsid w:val="006B4F71"/>
    <w:rsid w:val="006C4BE3"/>
    <w:rsid w:val="006F735B"/>
    <w:rsid w:val="007306C8"/>
    <w:rsid w:val="00746EDC"/>
    <w:rsid w:val="007B0927"/>
    <w:rsid w:val="007F1BAB"/>
    <w:rsid w:val="008142D6"/>
    <w:rsid w:val="008E4D0E"/>
    <w:rsid w:val="008F6C18"/>
    <w:rsid w:val="00A57016"/>
    <w:rsid w:val="00A6528B"/>
    <w:rsid w:val="00B20DF2"/>
    <w:rsid w:val="00B24C30"/>
    <w:rsid w:val="00B3323C"/>
    <w:rsid w:val="00B83EE6"/>
    <w:rsid w:val="00BB2CC5"/>
    <w:rsid w:val="00BD1A50"/>
    <w:rsid w:val="00BD5AE6"/>
    <w:rsid w:val="00BF745E"/>
    <w:rsid w:val="00CB5A10"/>
    <w:rsid w:val="00CC248A"/>
    <w:rsid w:val="00CE759D"/>
    <w:rsid w:val="00CF58F9"/>
    <w:rsid w:val="00D0063A"/>
    <w:rsid w:val="00D26B29"/>
    <w:rsid w:val="00DA206C"/>
    <w:rsid w:val="00E40930"/>
    <w:rsid w:val="00E60299"/>
    <w:rsid w:val="00E645F8"/>
    <w:rsid w:val="00E64D26"/>
    <w:rsid w:val="00E90D98"/>
    <w:rsid w:val="00EB6732"/>
    <w:rsid w:val="00EE5312"/>
    <w:rsid w:val="00F77F05"/>
    <w:rsid w:val="00FB40EA"/>
    <w:rsid w:val="00FD0BE9"/>
    <w:rsid w:val="010158D6"/>
    <w:rsid w:val="013F518A"/>
    <w:rsid w:val="014324AF"/>
    <w:rsid w:val="01610122"/>
    <w:rsid w:val="01910A08"/>
    <w:rsid w:val="02750329"/>
    <w:rsid w:val="02783976"/>
    <w:rsid w:val="02BE0A08"/>
    <w:rsid w:val="03303116"/>
    <w:rsid w:val="035017A2"/>
    <w:rsid w:val="03555A65"/>
    <w:rsid w:val="03627DF1"/>
    <w:rsid w:val="0395553E"/>
    <w:rsid w:val="03B10EED"/>
    <w:rsid w:val="03D35138"/>
    <w:rsid w:val="04246422"/>
    <w:rsid w:val="045A1585"/>
    <w:rsid w:val="04E715DC"/>
    <w:rsid w:val="052C61D4"/>
    <w:rsid w:val="05340028"/>
    <w:rsid w:val="05676E89"/>
    <w:rsid w:val="05ED01D7"/>
    <w:rsid w:val="05F17CC7"/>
    <w:rsid w:val="06426774"/>
    <w:rsid w:val="065B5A88"/>
    <w:rsid w:val="06654211"/>
    <w:rsid w:val="06A72A7B"/>
    <w:rsid w:val="06DF451E"/>
    <w:rsid w:val="074E68E3"/>
    <w:rsid w:val="07547B8E"/>
    <w:rsid w:val="075524D7"/>
    <w:rsid w:val="079F5DEC"/>
    <w:rsid w:val="0842480A"/>
    <w:rsid w:val="08943F23"/>
    <w:rsid w:val="08986B20"/>
    <w:rsid w:val="08FB2C0B"/>
    <w:rsid w:val="09366A61"/>
    <w:rsid w:val="09AA6B0A"/>
    <w:rsid w:val="09B94F9F"/>
    <w:rsid w:val="09D41DD9"/>
    <w:rsid w:val="09E04896"/>
    <w:rsid w:val="0A157CFC"/>
    <w:rsid w:val="0A257920"/>
    <w:rsid w:val="0A8C6210"/>
    <w:rsid w:val="0A932B49"/>
    <w:rsid w:val="0A9B084E"/>
    <w:rsid w:val="0AE95411"/>
    <w:rsid w:val="0B043FF8"/>
    <w:rsid w:val="0B5331D2"/>
    <w:rsid w:val="0C3703FE"/>
    <w:rsid w:val="0CA27F6D"/>
    <w:rsid w:val="0D006A41"/>
    <w:rsid w:val="0D633294"/>
    <w:rsid w:val="0D6E60A1"/>
    <w:rsid w:val="0D7511DD"/>
    <w:rsid w:val="0DBE2B84"/>
    <w:rsid w:val="0E5B33B7"/>
    <w:rsid w:val="0EB6675E"/>
    <w:rsid w:val="0EE20AF5"/>
    <w:rsid w:val="0EEC54CF"/>
    <w:rsid w:val="0F2C75EB"/>
    <w:rsid w:val="0F537A2D"/>
    <w:rsid w:val="0FC63F72"/>
    <w:rsid w:val="0FE4089C"/>
    <w:rsid w:val="10150A56"/>
    <w:rsid w:val="104B4477"/>
    <w:rsid w:val="115E01DA"/>
    <w:rsid w:val="11B146B5"/>
    <w:rsid w:val="125A4E46"/>
    <w:rsid w:val="13141499"/>
    <w:rsid w:val="13953CC6"/>
    <w:rsid w:val="13C62793"/>
    <w:rsid w:val="13CA424E"/>
    <w:rsid w:val="14043900"/>
    <w:rsid w:val="148D1503"/>
    <w:rsid w:val="14A30806"/>
    <w:rsid w:val="14A70717"/>
    <w:rsid w:val="14C03BFB"/>
    <w:rsid w:val="14F56B39"/>
    <w:rsid w:val="15673B02"/>
    <w:rsid w:val="15775423"/>
    <w:rsid w:val="15A9352E"/>
    <w:rsid w:val="15CC605B"/>
    <w:rsid w:val="160B6B83"/>
    <w:rsid w:val="166B7ACC"/>
    <w:rsid w:val="174409AB"/>
    <w:rsid w:val="174D31CB"/>
    <w:rsid w:val="183A54FD"/>
    <w:rsid w:val="184049EC"/>
    <w:rsid w:val="184C5231"/>
    <w:rsid w:val="18857388"/>
    <w:rsid w:val="18892E95"/>
    <w:rsid w:val="18DE232D"/>
    <w:rsid w:val="199C7AF2"/>
    <w:rsid w:val="19A90B8D"/>
    <w:rsid w:val="19C257AA"/>
    <w:rsid w:val="19C77265"/>
    <w:rsid w:val="19ED659F"/>
    <w:rsid w:val="1A5B79AD"/>
    <w:rsid w:val="1A620D3B"/>
    <w:rsid w:val="1A703458"/>
    <w:rsid w:val="1AA2382E"/>
    <w:rsid w:val="1AA2738A"/>
    <w:rsid w:val="1B437B1C"/>
    <w:rsid w:val="1B5C009B"/>
    <w:rsid w:val="1B8D1DE8"/>
    <w:rsid w:val="1BBB0703"/>
    <w:rsid w:val="1C883C6F"/>
    <w:rsid w:val="1D7C13CA"/>
    <w:rsid w:val="1D8A7EF3"/>
    <w:rsid w:val="1E5C65D9"/>
    <w:rsid w:val="1E7D3C87"/>
    <w:rsid w:val="1F8654CC"/>
    <w:rsid w:val="1F873D3A"/>
    <w:rsid w:val="204D5FEA"/>
    <w:rsid w:val="206155F1"/>
    <w:rsid w:val="206B4350"/>
    <w:rsid w:val="20CE2C87"/>
    <w:rsid w:val="20EB5EB9"/>
    <w:rsid w:val="21076199"/>
    <w:rsid w:val="21CC0274"/>
    <w:rsid w:val="21D85218"/>
    <w:rsid w:val="21FE759C"/>
    <w:rsid w:val="221A34A8"/>
    <w:rsid w:val="221F6070"/>
    <w:rsid w:val="222363F6"/>
    <w:rsid w:val="22904457"/>
    <w:rsid w:val="23333275"/>
    <w:rsid w:val="237B0335"/>
    <w:rsid w:val="23A91789"/>
    <w:rsid w:val="241F68F2"/>
    <w:rsid w:val="24B34E27"/>
    <w:rsid w:val="24D26ABE"/>
    <w:rsid w:val="24F64D25"/>
    <w:rsid w:val="24FB7DC2"/>
    <w:rsid w:val="251175E6"/>
    <w:rsid w:val="254E083A"/>
    <w:rsid w:val="256C0CC0"/>
    <w:rsid w:val="25817846"/>
    <w:rsid w:val="261D1FBA"/>
    <w:rsid w:val="26DD1E76"/>
    <w:rsid w:val="26EF1618"/>
    <w:rsid w:val="26F23447"/>
    <w:rsid w:val="27607E24"/>
    <w:rsid w:val="277125BE"/>
    <w:rsid w:val="27EE1E60"/>
    <w:rsid w:val="27F751B9"/>
    <w:rsid w:val="28456613"/>
    <w:rsid w:val="28461C9C"/>
    <w:rsid w:val="284E0B51"/>
    <w:rsid w:val="294207DB"/>
    <w:rsid w:val="297E036A"/>
    <w:rsid w:val="29960578"/>
    <w:rsid w:val="29EC23D0"/>
    <w:rsid w:val="29FA5869"/>
    <w:rsid w:val="2A04559B"/>
    <w:rsid w:val="2A264090"/>
    <w:rsid w:val="2A4B7EDF"/>
    <w:rsid w:val="2A965577"/>
    <w:rsid w:val="2AC31382"/>
    <w:rsid w:val="2B4F0E68"/>
    <w:rsid w:val="2B8A00F2"/>
    <w:rsid w:val="2D1759B5"/>
    <w:rsid w:val="2D8E640E"/>
    <w:rsid w:val="2E9D0438"/>
    <w:rsid w:val="2F6D5D61"/>
    <w:rsid w:val="2F7470EF"/>
    <w:rsid w:val="2F776BDF"/>
    <w:rsid w:val="2F7B222C"/>
    <w:rsid w:val="2FB256BE"/>
    <w:rsid w:val="2FE222AB"/>
    <w:rsid w:val="31266FA0"/>
    <w:rsid w:val="31397A57"/>
    <w:rsid w:val="3163566D"/>
    <w:rsid w:val="317A74AA"/>
    <w:rsid w:val="31A41DB5"/>
    <w:rsid w:val="32764A7C"/>
    <w:rsid w:val="32955444"/>
    <w:rsid w:val="32A23ACC"/>
    <w:rsid w:val="331309CD"/>
    <w:rsid w:val="33422219"/>
    <w:rsid w:val="33F24A4C"/>
    <w:rsid w:val="34362BC5"/>
    <w:rsid w:val="353758FE"/>
    <w:rsid w:val="35BE7316"/>
    <w:rsid w:val="36147E72"/>
    <w:rsid w:val="364105D4"/>
    <w:rsid w:val="36453593"/>
    <w:rsid w:val="376E08C8"/>
    <w:rsid w:val="37BB320A"/>
    <w:rsid w:val="37C130EE"/>
    <w:rsid w:val="37E813AF"/>
    <w:rsid w:val="38DE1A7D"/>
    <w:rsid w:val="38EF77E6"/>
    <w:rsid w:val="393C086A"/>
    <w:rsid w:val="398E0DAD"/>
    <w:rsid w:val="39C80763"/>
    <w:rsid w:val="39CE65F6"/>
    <w:rsid w:val="39F53C22"/>
    <w:rsid w:val="39F77406"/>
    <w:rsid w:val="3A3000B7"/>
    <w:rsid w:val="3A7601BF"/>
    <w:rsid w:val="3AC54CA3"/>
    <w:rsid w:val="3ACD1DA9"/>
    <w:rsid w:val="3AFD61EB"/>
    <w:rsid w:val="3B0532F1"/>
    <w:rsid w:val="3B7A1263"/>
    <w:rsid w:val="3BB6283D"/>
    <w:rsid w:val="3C6346EB"/>
    <w:rsid w:val="3D393726"/>
    <w:rsid w:val="3D471F4B"/>
    <w:rsid w:val="3D5D7415"/>
    <w:rsid w:val="3D654FA6"/>
    <w:rsid w:val="3D78424E"/>
    <w:rsid w:val="3E157CEF"/>
    <w:rsid w:val="3E1C2297"/>
    <w:rsid w:val="3E265A58"/>
    <w:rsid w:val="3E392331"/>
    <w:rsid w:val="3E726EF0"/>
    <w:rsid w:val="3EE32283"/>
    <w:rsid w:val="3F5E1222"/>
    <w:rsid w:val="3F8C2233"/>
    <w:rsid w:val="3F9115F7"/>
    <w:rsid w:val="402C217F"/>
    <w:rsid w:val="40347488"/>
    <w:rsid w:val="408353E4"/>
    <w:rsid w:val="40FE4A6B"/>
    <w:rsid w:val="41120516"/>
    <w:rsid w:val="413C5593"/>
    <w:rsid w:val="413D380E"/>
    <w:rsid w:val="41CE369A"/>
    <w:rsid w:val="426E79CE"/>
    <w:rsid w:val="4281242F"/>
    <w:rsid w:val="42D72041"/>
    <w:rsid w:val="43AC4C52"/>
    <w:rsid w:val="43B14016"/>
    <w:rsid w:val="43B753A5"/>
    <w:rsid w:val="43D05124"/>
    <w:rsid w:val="4486676E"/>
    <w:rsid w:val="44867251"/>
    <w:rsid w:val="449000D0"/>
    <w:rsid w:val="44E2484F"/>
    <w:rsid w:val="44FA379B"/>
    <w:rsid w:val="45243044"/>
    <w:rsid w:val="460567F2"/>
    <w:rsid w:val="46511AE0"/>
    <w:rsid w:val="46DD3374"/>
    <w:rsid w:val="47013507"/>
    <w:rsid w:val="470A0C21"/>
    <w:rsid w:val="47431429"/>
    <w:rsid w:val="47F72214"/>
    <w:rsid w:val="48861F15"/>
    <w:rsid w:val="48A759E8"/>
    <w:rsid w:val="497A560D"/>
    <w:rsid w:val="4A056E6A"/>
    <w:rsid w:val="4A233794"/>
    <w:rsid w:val="4A835FE1"/>
    <w:rsid w:val="4AD54A8E"/>
    <w:rsid w:val="4B1E3247"/>
    <w:rsid w:val="4B46598C"/>
    <w:rsid w:val="4B8E2E8F"/>
    <w:rsid w:val="4BDF36EB"/>
    <w:rsid w:val="4C001FDF"/>
    <w:rsid w:val="4C6836E0"/>
    <w:rsid w:val="4C746529"/>
    <w:rsid w:val="4C92075D"/>
    <w:rsid w:val="4C9A553A"/>
    <w:rsid w:val="4CBD1C7E"/>
    <w:rsid w:val="4D294B06"/>
    <w:rsid w:val="4D92310A"/>
    <w:rsid w:val="4DD6155F"/>
    <w:rsid w:val="4DE1199C"/>
    <w:rsid w:val="4DE47862"/>
    <w:rsid w:val="4DF91468"/>
    <w:rsid w:val="4E10402F"/>
    <w:rsid w:val="4E125FF9"/>
    <w:rsid w:val="4E60700D"/>
    <w:rsid w:val="4E6879C7"/>
    <w:rsid w:val="4EE26A2D"/>
    <w:rsid w:val="4F495A4B"/>
    <w:rsid w:val="4FF77255"/>
    <w:rsid w:val="50C33A43"/>
    <w:rsid w:val="51383FC9"/>
    <w:rsid w:val="51656440"/>
    <w:rsid w:val="519D3E2C"/>
    <w:rsid w:val="51A83C84"/>
    <w:rsid w:val="51BF3DA2"/>
    <w:rsid w:val="51D140A4"/>
    <w:rsid w:val="524924C9"/>
    <w:rsid w:val="52D65847"/>
    <w:rsid w:val="53004672"/>
    <w:rsid w:val="531E2D4A"/>
    <w:rsid w:val="53E30ECE"/>
    <w:rsid w:val="54B0031A"/>
    <w:rsid w:val="54BE47E5"/>
    <w:rsid w:val="5540344C"/>
    <w:rsid w:val="558A7637"/>
    <w:rsid w:val="55AC288F"/>
    <w:rsid w:val="55BE25C3"/>
    <w:rsid w:val="55CA0F67"/>
    <w:rsid w:val="561B7A15"/>
    <w:rsid w:val="56D46542"/>
    <w:rsid w:val="575C5ED5"/>
    <w:rsid w:val="57825F9E"/>
    <w:rsid w:val="5840354A"/>
    <w:rsid w:val="586631C9"/>
    <w:rsid w:val="589E6E07"/>
    <w:rsid w:val="58B156E2"/>
    <w:rsid w:val="58C15CEE"/>
    <w:rsid w:val="58DA7713"/>
    <w:rsid w:val="59205A6E"/>
    <w:rsid w:val="59A0095D"/>
    <w:rsid w:val="5A8570CB"/>
    <w:rsid w:val="5ABF3065"/>
    <w:rsid w:val="5AC84C04"/>
    <w:rsid w:val="5B5C6B06"/>
    <w:rsid w:val="5BE014E5"/>
    <w:rsid w:val="5C643EC4"/>
    <w:rsid w:val="5CD31049"/>
    <w:rsid w:val="5CD419DE"/>
    <w:rsid w:val="5CFC5FEF"/>
    <w:rsid w:val="5D5E0913"/>
    <w:rsid w:val="5D635F29"/>
    <w:rsid w:val="5D9A56C3"/>
    <w:rsid w:val="5DD306ED"/>
    <w:rsid w:val="5E192A8C"/>
    <w:rsid w:val="5F105200"/>
    <w:rsid w:val="5F5C0E82"/>
    <w:rsid w:val="5FB52D33"/>
    <w:rsid w:val="5FCA6734"/>
    <w:rsid w:val="602C4A56"/>
    <w:rsid w:val="605B738C"/>
    <w:rsid w:val="60765F74"/>
    <w:rsid w:val="6098238E"/>
    <w:rsid w:val="60A26D69"/>
    <w:rsid w:val="61261A91"/>
    <w:rsid w:val="61C96577"/>
    <w:rsid w:val="61FE0917"/>
    <w:rsid w:val="62375AA1"/>
    <w:rsid w:val="62AD7C47"/>
    <w:rsid w:val="63A96660"/>
    <w:rsid w:val="63C5259B"/>
    <w:rsid w:val="64555BF0"/>
    <w:rsid w:val="650F6997"/>
    <w:rsid w:val="656E7B61"/>
    <w:rsid w:val="65817895"/>
    <w:rsid w:val="65FA450E"/>
    <w:rsid w:val="65FF2EBD"/>
    <w:rsid w:val="66012783"/>
    <w:rsid w:val="664310AC"/>
    <w:rsid w:val="667F4123"/>
    <w:rsid w:val="66B617C0"/>
    <w:rsid w:val="66BC3D6A"/>
    <w:rsid w:val="66D94689"/>
    <w:rsid w:val="66F45E44"/>
    <w:rsid w:val="67386679"/>
    <w:rsid w:val="677133AF"/>
    <w:rsid w:val="67746F85"/>
    <w:rsid w:val="67DA3E79"/>
    <w:rsid w:val="683326BB"/>
    <w:rsid w:val="68A37B22"/>
    <w:rsid w:val="68CD2DF1"/>
    <w:rsid w:val="68E8706E"/>
    <w:rsid w:val="690F51B7"/>
    <w:rsid w:val="6990454A"/>
    <w:rsid w:val="699456BD"/>
    <w:rsid w:val="69F83E9D"/>
    <w:rsid w:val="6AE86227"/>
    <w:rsid w:val="6B264A3A"/>
    <w:rsid w:val="6B2D401B"/>
    <w:rsid w:val="6B431148"/>
    <w:rsid w:val="6B886DE5"/>
    <w:rsid w:val="6C0E0C75"/>
    <w:rsid w:val="6C450EF0"/>
    <w:rsid w:val="6C7672FB"/>
    <w:rsid w:val="6D0D5EB2"/>
    <w:rsid w:val="6D2A25C0"/>
    <w:rsid w:val="6D4F2026"/>
    <w:rsid w:val="6D605FE2"/>
    <w:rsid w:val="6E056B89"/>
    <w:rsid w:val="6E3663FC"/>
    <w:rsid w:val="6E510020"/>
    <w:rsid w:val="6FBD7CF3"/>
    <w:rsid w:val="707F3EC5"/>
    <w:rsid w:val="708425F2"/>
    <w:rsid w:val="711772FF"/>
    <w:rsid w:val="71453E6C"/>
    <w:rsid w:val="71A843FB"/>
    <w:rsid w:val="72691DDC"/>
    <w:rsid w:val="72A526E9"/>
    <w:rsid w:val="72B25F01"/>
    <w:rsid w:val="72CB03A1"/>
    <w:rsid w:val="72DD6345"/>
    <w:rsid w:val="734343DB"/>
    <w:rsid w:val="735E5441"/>
    <w:rsid w:val="73CD1EF7"/>
    <w:rsid w:val="73F90F3E"/>
    <w:rsid w:val="74554E1A"/>
    <w:rsid w:val="749B64FC"/>
    <w:rsid w:val="75802AC1"/>
    <w:rsid w:val="765863F0"/>
    <w:rsid w:val="76BD44A5"/>
    <w:rsid w:val="76FE3487"/>
    <w:rsid w:val="7702635B"/>
    <w:rsid w:val="7731279D"/>
    <w:rsid w:val="77370B62"/>
    <w:rsid w:val="77631821"/>
    <w:rsid w:val="776C7C79"/>
    <w:rsid w:val="7773713D"/>
    <w:rsid w:val="77C903B7"/>
    <w:rsid w:val="786F5C73"/>
    <w:rsid w:val="78970D25"/>
    <w:rsid w:val="78A70F68"/>
    <w:rsid w:val="78FF6FF6"/>
    <w:rsid w:val="79857A05"/>
    <w:rsid w:val="799B65F3"/>
    <w:rsid w:val="7A044199"/>
    <w:rsid w:val="7A440A39"/>
    <w:rsid w:val="7A664E53"/>
    <w:rsid w:val="7B064216"/>
    <w:rsid w:val="7B503B39"/>
    <w:rsid w:val="7B5D0004"/>
    <w:rsid w:val="7B71585E"/>
    <w:rsid w:val="7BDA3403"/>
    <w:rsid w:val="7C7F0171"/>
    <w:rsid w:val="7CCC5441"/>
    <w:rsid w:val="7D1B0177"/>
    <w:rsid w:val="7D5E1E12"/>
    <w:rsid w:val="7DBA10EA"/>
    <w:rsid w:val="7DF34C50"/>
    <w:rsid w:val="7E0557AD"/>
    <w:rsid w:val="7E941F8F"/>
    <w:rsid w:val="7E9F0934"/>
    <w:rsid w:val="7F352E10"/>
    <w:rsid w:val="7FBB35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autoRedefine/>
    <w:qFormat/>
    <w:uiPriority w:val="0"/>
    <w:pPr>
      <w:keepNext/>
      <w:jc w:val="center"/>
      <w:outlineLvl w:val="0"/>
    </w:pPr>
    <w:rPr>
      <w:b/>
      <w:bCs/>
      <w:color w:val="000000"/>
      <w:sz w:val="32"/>
    </w:rPr>
  </w:style>
  <w:style w:type="paragraph" w:styleId="8">
    <w:name w:val="heading 2"/>
    <w:basedOn w:val="1"/>
    <w:next w:val="1"/>
    <w:autoRedefine/>
    <w:qFormat/>
    <w:uiPriority w:val="0"/>
    <w:pPr>
      <w:keepNext/>
      <w:keepLines/>
      <w:spacing w:line="460" w:lineRule="exact"/>
      <w:outlineLvl w:val="1"/>
    </w:pPr>
    <w:rPr>
      <w:rFonts w:ascii="宋体" w:hAnsi="宋体"/>
      <w:b/>
      <w:sz w:val="30"/>
      <w:szCs w:val="30"/>
    </w:rPr>
  </w:style>
  <w:style w:type="paragraph" w:styleId="9">
    <w:name w:val="heading 3"/>
    <w:basedOn w:val="1"/>
    <w:next w:val="1"/>
    <w:autoRedefine/>
    <w:qFormat/>
    <w:uiPriority w:val="0"/>
    <w:pPr>
      <w:keepNext/>
      <w:keepLines/>
      <w:spacing w:line="460" w:lineRule="exact"/>
      <w:jc w:val="left"/>
      <w:outlineLvl w:val="2"/>
    </w:pPr>
    <w:rPr>
      <w:b/>
      <w:sz w:val="24"/>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qFormat/>
    <w:uiPriority w:val="0"/>
    <w:pPr>
      <w:keepNext/>
      <w:keepLines/>
      <w:numPr>
        <w:ilvl w:val="4"/>
        <w:numId w:val="1"/>
      </w:numPr>
      <w:spacing w:before="280" w:after="290" w:line="374" w:lineRule="auto"/>
      <w:outlineLvl w:val="4"/>
    </w:pPr>
    <w:rPr>
      <w:rFonts w:ascii="楷体_GB2312" w:hAnsi="楷体_GB2312" w:eastAsia="monospace"/>
      <w:b/>
      <w:bCs/>
      <w:kern w:val="0"/>
      <w:sz w:val="28"/>
      <w:szCs w:val="28"/>
    </w:rPr>
  </w:style>
  <w:style w:type="paragraph" w:styleId="12">
    <w:name w:val="heading 6"/>
    <w:basedOn w:val="1"/>
    <w:next w:val="1"/>
    <w:autoRedefine/>
    <w:qFormat/>
    <w:uiPriority w:val="0"/>
    <w:pPr>
      <w:keepNext/>
      <w:keepLines/>
      <w:numPr>
        <w:ilvl w:val="5"/>
        <w:numId w:val="1"/>
      </w:numPr>
      <w:spacing w:before="240" w:after="64" w:line="319" w:lineRule="auto"/>
      <w:outlineLvl w:val="5"/>
    </w:pPr>
    <w:rPr>
      <w:rFonts w:ascii="Arial Unicode MS" w:hAnsi="Arial Unicode MS" w:eastAsia="微软雅黑"/>
      <w:b/>
      <w:bCs/>
      <w:kern w:val="0"/>
      <w:sz w:val="24"/>
    </w:rPr>
  </w:style>
  <w:style w:type="character" w:default="1" w:styleId="33">
    <w:name w:val="Default Paragraph Font"/>
    <w:autoRedefine/>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4"/>
    <w:autoRedefine/>
    <w:qFormat/>
    <w:uiPriority w:val="0"/>
    <w:pPr>
      <w:ind w:firstLine="420" w:firstLineChars="100"/>
    </w:pPr>
  </w:style>
  <w:style w:type="paragraph" w:styleId="3">
    <w:name w:val="Body Text"/>
    <w:basedOn w:val="1"/>
    <w:next w:val="1"/>
    <w:autoRedefine/>
    <w:qFormat/>
    <w:uiPriority w:val="0"/>
  </w:style>
  <w:style w:type="paragraph" w:styleId="4">
    <w:name w:val="Body Text First Indent 2"/>
    <w:basedOn w:val="5"/>
    <w:next w:val="1"/>
    <w:autoRedefine/>
    <w:qFormat/>
    <w:uiPriority w:val="0"/>
    <w:pPr>
      <w:spacing w:line="240" w:lineRule="auto"/>
      <w:ind w:left="420" w:leftChars="200" w:firstLine="420" w:firstLineChars="200"/>
    </w:pPr>
  </w:style>
  <w:style w:type="paragraph" w:styleId="5">
    <w:name w:val="Body Text Indent"/>
    <w:basedOn w:val="1"/>
    <w:next w:val="6"/>
    <w:autoRedefine/>
    <w:qFormat/>
    <w:uiPriority w:val="0"/>
    <w:pPr>
      <w:spacing w:line="312" w:lineRule="auto"/>
      <w:ind w:firstLine="735" w:firstLineChars="245"/>
    </w:pPr>
  </w:style>
  <w:style w:type="paragraph" w:customStyle="1" w:styleId="6">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styleId="13">
    <w:name w:val="toc 7"/>
    <w:basedOn w:val="1"/>
    <w:next w:val="1"/>
    <w:autoRedefine/>
    <w:qFormat/>
    <w:uiPriority w:val="39"/>
    <w:pPr>
      <w:spacing w:before="50" w:beforeLines="50" w:after="50" w:afterLines="50" w:line="560" w:lineRule="atLeast"/>
      <w:ind w:left="0" w:leftChars="0" w:firstLine="480" w:firstLineChars="200"/>
    </w:pPr>
    <w:rPr>
      <w:rFonts w:ascii="Tahoma" w:hAnsi="Tahoma"/>
      <w:sz w:val="28"/>
      <w:szCs w:val="22"/>
    </w:rPr>
  </w:style>
  <w:style w:type="paragraph" w:styleId="14">
    <w:name w:val="table of authorities"/>
    <w:basedOn w:val="1"/>
    <w:next w:val="1"/>
    <w:autoRedefine/>
    <w:qFormat/>
    <w:uiPriority w:val="0"/>
    <w:pPr>
      <w:spacing w:line="240" w:lineRule="auto"/>
      <w:ind w:left="420" w:firstLine="0"/>
    </w:pPr>
    <w:rPr>
      <w:rFonts w:ascii="Calibri" w:eastAsia="宋体"/>
    </w:rPr>
  </w:style>
  <w:style w:type="paragraph" w:styleId="15">
    <w:name w:val="Normal Indent"/>
    <w:basedOn w:val="1"/>
    <w:autoRedefine/>
    <w:qFormat/>
    <w:uiPriority w:val="0"/>
    <w:pPr>
      <w:ind w:firstLine="420"/>
    </w:pPr>
  </w:style>
  <w:style w:type="paragraph" w:styleId="16">
    <w:name w:val="annotation text"/>
    <w:basedOn w:val="1"/>
    <w:autoRedefine/>
    <w:qFormat/>
    <w:uiPriority w:val="99"/>
    <w:pPr>
      <w:jc w:val="left"/>
    </w:pPr>
  </w:style>
  <w:style w:type="paragraph" w:styleId="17">
    <w:name w:val="Body Text 3"/>
    <w:basedOn w:val="1"/>
    <w:autoRedefine/>
    <w:qFormat/>
    <w:uiPriority w:val="0"/>
    <w:rPr>
      <w:rFonts w:hAnsi="Times New Roman"/>
      <w:kern w:val="0"/>
      <w:sz w:val="24"/>
      <w:szCs w:val="20"/>
    </w:rPr>
  </w:style>
  <w:style w:type="paragraph" w:styleId="18">
    <w:name w:val="List 2"/>
    <w:basedOn w:val="1"/>
    <w:autoRedefine/>
    <w:qFormat/>
    <w:uiPriority w:val="0"/>
    <w:pPr>
      <w:ind w:left="100" w:leftChars="200" w:hanging="200" w:hangingChars="200"/>
    </w:pPr>
    <w:rPr>
      <w:szCs w:val="24"/>
    </w:rPr>
  </w:style>
  <w:style w:type="paragraph" w:styleId="19">
    <w:name w:val="toc 3"/>
    <w:basedOn w:val="1"/>
    <w:next w:val="1"/>
    <w:autoRedefine/>
    <w:semiHidden/>
    <w:unhideWhenUsed/>
    <w:qFormat/>
    <w:uiPriority w:val="39"/>
    <w:pPr>
      <w:ind w:left="840" w:leftChars="400"/>
    </w:pPr>
  </w:style>
  <w:style w:type="paragraph" w:styleId="20">
    <w:name w:val="Plain Text"/>
    <w:basedOn w:val="1"/>
    <w:next w:val="3"/>
    <w:autoRedefine/>
    <w:qFormat/>
    <w:uiPriority w:val="0"/>
    <w:rPr>
      <w:rFonts w:hAnsi="Courier New"/>
      <w:kern w:val="0"/>
      <w:sz w:val="20"/>
      <w:szCs w:val="21"/>
    </w:rPr>
  </w:style>
  <w:style w:type="paragraph" w:styleId="21">
    <w:name w:val="Date"/>
    <w:basedOn w:val="1"/>
    <w:next w:val="1"/>
    <w:autoRedefine/>
    <w:qFormat/>
    <w:uiPriority w:val="0"/>
    <w:rPr>
      <w:rFonts w:ascii="楷体_GB2312" w:hAnsi="楷体_GB2312"/>
      <w:kern w:val="0"/>
      <w:sz w:val="24"/>
      <w:szCs w:val="20"/>
    </w:rPr>
  </w:style>
  <w:style w:type="paragraph" w:styleId="22">
    <w:name w:val="footer"/>
    <w:basedOn w:val="1"/>
    <w:link w:val="53"/>
    <w:autoRedefine/>
    <w:unhideWhenUsed/>
    <w:qFormat/>
    <w:uiPriority w:val="99"/>
    <w:pPr>
      <w:tabs>
        <w:tab w:val="center" w:pos="4153"/>
        <w:tab w:val="right" w:pos="8306"/>
      </w:tabs>
      <w:snapToGrid w:val="0"/>
      <w:spacing w:line="240" w:lineRule="atLeast"/>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link w:val="52"/>
    <w:autoRedefine/>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5">
    <w:name w:val="toc 1"/>
    <w:basedOn w:val="1"/>
    <w:next w:val="1"/>
    <w:autoRedefine/>
    <w:qFormat/>
    <w:uiPriority w:val="39"/>
  </w:style>
  <w:style w:type="paragraph" w:styleId="26">
    <w:name w:val="footnote text"/>
    <w:basedOn w:val="1"/>
    <w:autoRedefine/>
    <w:qFormat/>
    <w:uiPriority w:val="0"/>
    <w:pPr>
      <w:snapToGrid w:val="0"/>
      <w:jc w:val="left"/>
    </w:pPr>
    <w:rPr>
      <w:sz w:val="18"/>
      <w:szCs w:val="18"/>
    </w:rPr>
  </w:style>
  <w:style w:type="paragraph" w:styleId="27">
    <w:name w:val="toc 2"/>
    <w:basedOn w:val="1"/>
    <w:next w:val="1"/>
    <w:autoRedefine/>
    <w:qFormat/>
    <w:uiPriority w:val="39"/>
    <w:pPr>
      <w:widowControl/>
      <w:spacing w:line="276" w:lineRule="auto"/>
      <w:ind w:left="220"/>
      <w:jc w:val="left"/>
    </w:pPr>
    <w:rPr>
      <w:rFonts w:ascii="Calibri" w:hAnsi="Calibri"/>
      <w:kern w:val="0"/>
      <w:sz w:val="22"/>
    </w:rPr>
  </w:style>
  <w:style w:type="paragraph" w:styleId="28">
    <w:name w:val="Body Text 2"/>
    <w:basedOn w:val="1"/>
    <w:next w:val="1"/>
    <w:autoRedefine/>
    <w:qFormat/>
    <w:uiPriority w:val="0"/>
    <w:pPr>
      <w:spacing w:line="480" w:lineRule="auto"/>
    </w:pPr>
  </w:style>
  <w:style w:type="paragraph" w:styleId="29">
    <w:name w:val="Normal (Web)"/>
    <w:basedOn w:val="1"/>
    <w:autoRedefine/>
    <w:qFormat/>
    <w:uiPriority w:val="0"/>
    <w:pPr>
      <w:widowControl/>
      <w:spacing w:beforeAutospacing="1" w:afterAutospacing="1"/>
      <w:jc w:val="left"/>
    </w:pPr>
    <w:rPr>
      <w:rFonts w:ascii="宋体" w:hAnsi="宋体" w:cs="宋体"/>
      <w:kern w:val="0"/>
      <w:sz w:val="24"/>
      <w:szCs w:val="24"/>
    </w:rPr>
  </w:style>
  <w:style w:type="paragraph" w:styleId="30">
    <w:name w:val="Title"/>
    <w:basedOn w:val="1"/>
    <w:next w:val="1"/>
    <w:autoRedefine/>
    <w:qFormat/>
    <w:uiPriority w:val="0"/>
    <w:pPr>
      <w:jc w:val="center"/>
      <w:outlineLvl w:val="0"/>
    </w:pPr>
    <w:rPr>
      <w:rFonts w:ascii="Cambria" w:hAnsi="Cambria"/>
      <w:b/>
      <w:bCs/>
      <w:sz w:val="32"/>
      <w:szCs w:val="32"/>
    </w:rPr>
  </w:style>
  <w:style w:type="table" w:styleId="32">
    <w:name w:val="Table Grid"/>
    <w:basedOn w:val="3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4">
    <w:name w:val="page number"/>
    <w:basedOn w:val="33"/>
    <w:autoRedefine/>
    <w:qFormat/>
    <w:uiPriority w:val="0"/>
  </w:style>
  <w:style w:type="character" w:styleId="35">
    <w:name w:val="FollowedHyperlink"/>
    <w:basedOn w:val="33"/>
    <w:autoRedefine/>
    <w:semiHidden/>
    <w:unhideWhenUsed/>
    <w:qFormat/>
    <w:uiPriority w:val="99"/>
    <w:rPr>
      <w:color w:val="800080"/>
      <w:u w:val="none"/>
    </w:rPr>
  </w:style>
  <w:style w:type="character" w:styleId="36">
    <w:name w:val="HTML Definition"/>
    <w:basedOn w:val="33"/>
    <w:autoRedefine/>
    <w:semiHidden/>
    <w:unhideWhenUsed/>
    <w:qFormat/>
    <w:uiPriority w:val="99"/>
  </w:style>
  <w:style w:type="character" w:styleId="37">
    <w:name w:val="HTML Typewriter"/>
    <w:basedOn w:val="33"/>
    <w:autoRedefine/>
    <w:semiHidden/>
    <w:unhideWhenUsed/>
    <w:qFormat/>
    <w:uiPriority w:val="99"/>
    <w:rPr>
      <w:rFonts w:hint="default" w:ascii="monospace" w:hAnsi="monospace" w:eastAsia="monospace" w:cs="monospace"/>
      <w:sz w:val="20"/>
    </w:rPr>
  </w:style>
  <w:style w:type="character" w:styleId="38">
    <w:name w:val="HTML Acronym"/>
    <w:basedOn w:val="33"/>
    <w:autoRedefine/>
    <w:semiHidden/>
    <w:unhideWhenUsed/>
    <w:qFormat/>
    <w:uiPriority w:val="99"/>
  </w:style>
  <w:style w:type="character" w:styleId="39">
    <w:name w:val="HTML Variable"/>
    <w:basedOn w:val="33"/>
    <w:autoRedefine/>
    <w:semiHidden/>
    <w:unhideWhenUsed/>
    <w:qFormat/>
    <w:uiPriority w:val="99"/>
  </w:style>
  <w:style w:type="character" w:styleId="40">
    <w:name w:val="Hyperlink"/>
    <w:basedOn w:val="33"/>
    <w:autoRedefine/>
    <w:semiHidden/>
    <w:unhideWhenUsed/>
    <w:qFormat/>
    <w:uiPriority w:val="99"/>
    <w:rPr>
      <w:color w:val="0000FF"/>
      <w:u w:val="none"/>
    </w:rPr>
  </w:style>
  <w:style w:type="character" w:styleId="41">
    <w:name w:val="HTML Code"/>
    <w:basedOn w:val="33"/>
    <w:autoRedefine/>
    <w:semiHidden/>
    <w:unhideWhenUsed/>
    <w:qFormat/>
    <w:uiPriority w:val="99"/>
    <w:rPr>
      <w:rFonts w:hint="default" w:ascii="monospace" w:hAnsi="monospace" w:eastAsia="monospace" w:cs="monospace"/>
      <w:sz w:val="20"/>
    </w:rPr>
  </w:style>
  <w:style w:type="character" w:styleId="42">
    <w:name w:val="HTML Cite"/>
    <w:basedOn w:val="33"/>
    <w:autoRedefine/>
    <w:semiHidden/>
    <w:unhideWhenUsed/>
    <w:qFormat/>
    <w:uiPriority w:val="99"/>
  </w:style>
  <w:style w:type="character" w:styleId="43">
    <w:name w:val="HTML Keyboard"/>
    <w:basedOn w:val="33"/>
    <w:autoRedefine/>
    <w:semiHidden/>
    <w:unhideWhenUsed/>
    <w:qFormat/>
    <w:uiPriority w:val="99"/>
    <w:rPr>
      <w:rFonts w:ascii="monospace" w:hAnsi="monospace" w:eastAsia="monospace" w:cs="monospace"/>
      <w:sz w:val="20"/>
    </w:rPr>
  </w:style>
  <w:style w:type="character" w:styleId="44">
    <w:name w:val="HTML Sample"/>
    <w:basedOn w:val="33"/>
    <w:autoRedefine/>
    <w:semiHidden/>
    <w:unhideWhenUsed/>
    <w:qFormat/>
    <w:uiPriority w:val="99"/>
    <w:rPr>
      <w:rFonts w:hint="default" w:ascii="monospace" w:hAnsi="monospace" w:eastAsia="monospace" w:cs="monospace"/>
    </w:rPr>
  </w:style>
  <w:style w:type="paragraph" w:customStyle="1" w:styleId="45">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46">
    <w:name w:val="Default"/>
    <w:basedOn w:val="20"/>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7">
    <w:name w:val="style4"/>
    <w:basedOn w:val="48"/>
    <w:next w:val="49"/>
    <w:autoRedefine/>
    <w:qFormat/>
    <w:uiPriority w:val="0"/>
    <w:pPr>
      <w:widowControl/>
      <w:spacing w:beforeAutospacing="1" w:afterAutospacing="1"/>
      <w:jc w:val="left"/>
    </w:pPr>
    <w:rPr>
      <w:rFonts w:ascii="宋体" w:hAnsi="宋体" w:cs="宋体"/>
      <w:kern w:val="0"/>
      <w:sz w:val="18"/>
      <w:szCs w:val="18"/>
    </w:rPr>
  </w:style>
  <w:style w:type="paragraph" w:customStyle="1" w:styleId="48">
    <w:name w:val="正文_0"/>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pPr>
    <w:rPr>
      <w:rFonts w:ascii="Arial" w:hAnsi="Arial"/>
      <w:kern w:val="0"/>
    </w:rPr>
  </w:style>
  <w:style w:type="table" w:customStyle="1" w:styleId="51">
    <w:name w:val="Light Shading"/>
    <w:basedOn w:val="31"/>
    <w:autoRedefine/>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52">
    <w:name w:val="页眉 Char"/>
    <w:basedOn w:val="33"/>
    <w:link w:val="24"/>
    <w:autoRedefine/>
    <w:semiHidden/>
    <w:qFormat/>
    <w:uiPriority w:val="99"/>
    <w:rPr>
      <w:kern w:val="2"/>
      <w:sz w:val="18"/>
      <w:szCs w:val="18"/>
    </w:rPr>
  </w:style>
  <w:style w:type="character" w:customStyle="1" w:styleId="53">
    <w:name w:val="页脚 Char"/>
    <w:basedOn w:val="33"/>
    <w:link w:val="22"/>
    <w:autoRedefine/>
    <w:qFormat/>
    <w:uiPriority w:val="99"/>
    <w:rPr>
      <w:kern w:val="2"/>
      <w:sz w:val="18"/>
      <w:szCs w:val="18"/>
    </w:rPr>
  </w:style>
  <w:style w:type="paragraph" w:customStyle="1" w:styleId="54">
    <w:name w:val="无间隔1"/>
    <w:basedOn w:val="1"/>
    <w:next w:val="1"/>
    <w:autoRedefine/>
    <w:qFormat/>
    <w:uiPriority w:val="1"/>
    <w:pPr>
      <w:spacing w:line="400" w:lineRule="exact"/>
    </w:pPr>
  </w:style>
  <w:style w:type="paragraph" w:customStyle="1" w:styleId="55">
    <w:name w:val="*正文"/>
    <w:basedOn w:val="1"/>
    <w:next w:val="1"/>
    <w:autoRedefine/>
    <w:qFormat/>
    <w:uiPriority w:val="0"/>
    <w:pPr>
      <w:spacing w:line="360" w:lineRule="auto"/>
    </w:pPr>
    <w:rPr>
      <w:rFonts w:hint="eastAsia" w:ascii="宋体" w:hAnsi="宋体" w:eastAsia="宋体" w:cs="Times New Roman"/>
      <w:kern w:val="0"/>
      <w:sz w:val="20"/>
      <w:szCs w:val="24"/>
    </w:rPr>
  </w:style>
  <w:style w:type="paragraph" w:customStyle="1" w:styleId="56">
    <w:name w:val="WPSOffice手动目录 1"/>
    <w:autoRedefine/>
    <w:qFormat/>
    <w:uiPriority w:val="0"/>
    <w:rPr>
      <w:rFonts w:ascii="Times New Roman" w:hAnsi="Times New Roman" w:eastAsia="宋体" w:cs="Times New Roman"/>
      <w:lang w:val="en-US" w:eastAsia="zh-CN" w:bidi="ar-SA"/>
    </w:rPr>
  </w:style>
  <w:style w:type="paragraph" w:styleId="57">
    <w:name w:val="List Paragraph"/>
    <w:basedOn w:val="1"/>
    <w:autoRedefine/>
    <w:qFormat/>
    <w:uiPriority w:val="0"/>
    <w:pPr>
      <w:ind w:firstLine="420"/>
    </w:pPr>
    <w:rPr>
      <w:szCs w:val="24"/>
    </w:rPr>
  </w:style>
  <w:style w:type="paragraph" w:customStyle="1" w:styleId="58">
    <w:name w:val="招标正文"/>
    <w:basedOn w:val="1"/>
    <w:autoRedefine/>
    <w:qFormat/>
    <w:uiPriority w:val="0"/>
    <w:pPr>
      <w:spacing w:line="360" w:lineRule="auto"/>
      <w:ind w:firstLine="480"/>
    </w:pPr>
    <w:rPr>
      <w:rFonts w:ascii="宋体" w:hAnsi="宋体"/>
      <w:sz w:val="24"/>
      <w:szCs w:val="24"/>
    </w:rPr>
  </w:style>
  <w:style w:type="paragraph" w:customStyle="1" w:styleId="59">
    <w:name w:val="Table Paragraph"/>
    <w:basedOn w:val="1"/>
    <w:autoRedefine/>
    <w:qFormat/>
    <w:uiPriority w:val="0"/>
    <w:pPr>
      <w:autoSpaceDE w:val="0"/>
      <w:autoSpaceDN w:val="0"/>
      <w:jc w:val="left"/>
    </w:pPr>
    <w:rPr>
      <w:rFonts w:hint="eastAsia" w:ascii="宋体" w:hAnsi="宋体" w:eastAsia="宋体" w:cs="Times New Roman"/>
      <w:kern w:val="0"/>
      <w:sz w:val="22"/>
    </w:rPr>
  </w:style>
  <w:style w:type="paragraph" w:customStyle="1" w:styleId="60">
    <w:name w:val="BodyText1I2"/>
    <w:basedOn w:val="61"/>
    <w:next w:val="62"/>
    <w:autoRedefine/>
    <w:qFormat/>
    <w:uiPriority w:val="0"/>
    <w:pPr>
      <w:ind w:firstLine="420"/>
    </w:pPr>
    <w:rPr>
      <w:rFonts w:ascii="Calibri" w:hAnsi="Calibri" w:eastAsia="楷体_GB2312"/>
      <w:kern w:val="44"/>
      <w:sz w:val="44"/>
    </w:rPr>
  </w:style>
  <w:style w:type="paragraph" w:customStyle="1" w:styleId="61">
    <w:name w:val="BodyTextIndent"/>
    <w:basedOn w:val="1"/>
    <w:autoRedefine/>
    <w:qFormat/>
    <w:uiPriority w:val="0"/>
    <w:pPr>
      <w:spacing w:after="120"/>
      <w:ind w:left="420" w:leftChars="200"/>
    </w:pPr>
    <w:rPr>
      <w:rFonts w:ascii="Times New Roman" w:hAnsi="Times New Roman"/>
      <w:kern w:val="0"/>
      <w:sz w:val="20"/>
    </w:rPr>
  </w:style>
  <w:style w:type="paragraph" w:customStyle="1" w:styleId="62">
    <w:name w:val="UserStyle_136"/>
    <w:basedOn w:val="1"/>
    <w:next w:val="1"/>
    <w:autoRedefine/>
    <w:qFormat/>
    <w:uiPriority w:val="0"/>
    <w:pPr>
      <w:spacing w:after="120" w:line="320" w:lineRule="atLeast"/>
    </w:pPr>
    <w:rPr>
      <w:rFonts w:ascii="Arial" w:hAnsi="Arial"/>
      <w:kern w:val="0"/>
    </w:rPr>
  </w:style>
  <w:style w:type="paragraph" w:customStyle="1" w:styleId="63">
    <w:name w:val="Normal_51"/>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4">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文档正文"/>
    <w:basedOn w:val="1"/>
    <w:autoRedefine/>
    <w:qFormat/>
    <w:uiPriority w:val="0"/>
    <w:pPr>
      <w:adjustRightInd w:val="0"/>
      <w:spacing w:line="480" w:lineRule="atLeast"/>
      <w:ind w:firstLine="567"/>
      <w:textAlignment w:val="baseline"/>
    </w:pPr>
    <w:rPr>
      <w:rFonts w:ascii="仿宋_GB2312" w:eastAsia="仿宋_GB2312"/>
      <w:kern w:val="0"/>
      <w:sz w:val="28"/>
    </w:rPr>
  </w:style>
  <w:style w:type="paragraph" w:customStyle="1" w:styleId="66">
    <w:name w:val="正文_5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7">
    <w:name w:val="样式 标题 2 + Times New Roman 四号 非加粗 段前: 5 磅 段后: 0 磅 行距: 固定值 20..."/>
    <w:basedOn w:val="8"/>
    <w:autoRedefine/>
    <w:qFormat/>
    <w:uiPriority w:val="0"/>
    <w:pPr>
      <w:spacing w:line="400" w:lineRule="exact"/>
    </w:pPr>
    <w:rPr>
      <w:rFonts w:ascii="Times New Roman" w:hAnsi="Times New Roman" w:cs="宋体"/>
      <w:b w:val="0"/>
      <w:sz w:val="28"/>
      <w:szCs w:val="20"/>
    </w:rPr>
  </w:style>
  <w:style w:type="paragraph" w:customStyle="1" w:styleId="68">
    <w:name w:val="样式 标题 3 + (中文) 黑体 小四 非加粗 段前: 7.8 磅 段后: 0 磅 行距: 固定值 20 磅"/>
    <w:basedOn w:val="9"/>
    <w:autoRedefine/>
    <w:qFormat/>
    <w:uiPriority w:val="0"/>
    <w:pPr>
      <w:spacing w:line="400" w:lineRule="exact"/>
    </w:pPr>
    <w:rPr>
      <w:rFonts w:eastAsia="黑体" w:cs="宋体"/>
      <w:b w:val="0"/>
      <w:szCs w:val="20"/>
    </w:rPr>
  </w:style>
  <w:style w:type="paragraph" w:customStyle="1" w:styleId="69">
    <w:name w:val="TOC 标题1"/>
    <w:basedOn w:val="7"/>
    <w:next w:val="1"/>
    <w:autoRedefine/>
    <w:qFormat/>
    <w:uiPriority w:val="99"/>
    <w:pPr>
      <w:outlineLvl w:val="9"/>
    </w:pPr>
    <w:rPr>
      <w:rFonts w:ascii="Calibri" w:hAnsi="Calibri"/>
    </w:rPr>
  </w:style>
  <w:style w:type="paragraph" w:customStyle="1" w:styleId="70">
    <w:name w:val="正文1"/>
    <w:next w:val="2"/>
    <w:autoRedefine/>
    <w:qFormat/>
    <w:uiPriority w:val="0"/>
    <w:pPr>
      <w:widowControl w:val="0"/>
      <w:jc w:val="both"/>
    </w:pPr>
    <w:rPr>
      <w:rFonts w:ascii="仿宋_GB2312" w:hAnsi="仿宋_GB2312" w:eastAsia="仿宋_GB2312" w:cs="??"/>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CD50D8-6173-4D0C-AEB3-16ED1309D95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49</Pages>
  <Words>21273</Words>
  <Characters>22740</Characters>
  <Lines>187</Lines>
  <Paragraphs>52</Paragraphs>
  <TotalTime>7</TotalTime>
  <ScaleCrop>false</ScaleCrop>
  <LinksUpToDate>false</LinksUpToDate>
  <CharactersWithSpaces>23594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2021-11-03T13:26:00Z</dcterms:created>
  <dc:creator>wxk</dc:creator>
  <cp:lastModifiedBy>Never Forget</cp:lastModifiedBy>
  <cp:lastPrinted>2022-03-24T08:52:00Z</cp:lastPrinted>
  <dcterms:modified xsi:type="dcterms:W3CDTF">2024-03-06T08:21:42Z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FF8F8F70F0554095922B598B07D323CC_13</vt:lpwstr>
  </property>
</Properties>
</file>