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bidi w:val="0"/>
        <w:ind w:firstLine="0" w:firstLineChars="0"/>
        <w:rPr>
          <w:b/>
          <w:color w:val="000000"/>
          <w:spacing w:val="-20"/>
          <w:sz w:val="48"/>
          <w:szCs w:val="48"/>
          <w:highlight w:val="none"/>
        </w:rPr>
      </w:pPr>
      <w:bookmarkStart w:id="0" w:name="_Toc144974478"/>
      <w:bookmarkStart w:id="1" w:name="_Toc152042286"/>
    </w:p>
    <w:p>
      <w:pPr>
        <w:pageBreakBefore w:val="0"/>
        <w:kinsoku/>
        <w:overflowPunct/>
        <w:bidi w:val="0"/>
        <w:ind w:firstLine="0" w:firstLineChars="0"/>
        <w:jc w:val="center"/>
        <w:rPr>
          <w:rFonts w:hint="eastAsia" w:eastAsiaTheme="minorEastAsia"/>
          <w:b/>
          <w:color w:val="auto"/>
          <w:spacing w:val="-20"/>
          <w:sz w:val="48"/>
          <w:szCs w:val="48"/>
          <w:highlight w:val="none"/>
          <w:lang w:eastAsia="zh-CN"/>
        </w:rPr>
      </w:pPr>
      <w:r>
        <w:rPr>
          <w:rFonts w:hint="eastAsia"/>
          <w:b/>
          <w:color w:val="auto"/>
          <w:spacing w:val="-20"/>
          <w:sz w:val="48"/>
          <w:szCs w:val="48"/>
          <w:highlight w:val="none"/>
          <w:lang w:eastAsia="zh-CN"/>
        </w:rPr>
        <w:t>信阳市浉河区自然资源局浉河区2022年度耕地资源质量分类更新与监测工作项目</w:t>
      </w:r>
    </w:p>
    <w:p>
      <w:pPr>
        <w:pStyle w:val="54"/>
        <w:pageBreakBefore w:val="0"/>
        <w:kinsoku/>
        <w:overflowPunct/>
        <w:bidi w:val="0"/>
        <w:ind w:firstLine="0" w:firstLineChars="0"/>
        <w:rPr>
          <w:b/>
          <w:color w:val="auto"/>
          <w:spacing w:val="-20"/>
          <w:sz w:val="44"/>
          <w:szCs w:val="44"/>
          <w:highlight w:val="none"/>
        </w:rPr>
      </w:pPr>
    </w:p>
    <w:p>
      <w:pPr>
        <w:pStyle w:val="54"/>
        <w:pageBreakBefore w:val="0"/>
        <w:kinsoku/>
        <w:overflowPunct/>
        <w:bidi w:val="0"/>
        <w:ind w:firstLine="0" w:firstLineChars="0"/>
        <w:rPr>
          <w:b/>
          <w:color w:val="auto"/>
          <w:spacing w:val="-20"/>
          <w:sz w:val="44"/>
          <w:szCs w:val="44"/>
          <w:highlight w:val="none"/>
        </w:rPr>
      </w:pPr>
    </w:p>
    <w:p>
      <w:pPr>
        <w:pageBreakBefore w:val="0"/>
        <w:kinsoku/>
        <w:overflowPunct/>
        <w:bidi w:val="0"/>
        <w:ind w:firstLine="0" w:firstLineChars="0"/>
        <w:jc w:val="center"/>
        <w:rPr>
          <w:rFonts w:ascii="宋体" w:hAnsi="宋体"/>
          <w:b/>
          <w:color w:val="auto"/>
          <w:sz w:val="52"/>
          <w:szCs w:val="52"/>
          <w:highlight w:val="none"/>
        </w:rPr>
      </w:pPr>
      <w:r>
        <w:rPr>
          <w:rFonts w:hint="eastAsia" w:ascii="宋体" w:hAnsi="宋体"/>
          <w:b/>
          <w:color w:val="auto"/>
          <w:sz w:val="52"/>
          <w:szCs w:val="52"/>
          <w:highlight w:val="none"/>
        </w:rPr>
        <w:t>竞争性磋商文件</w:t>
      </w:r>
    </w:p>
    <w:p>
      <w:pPr>
        <w:pStyle w:val="2"/>
        <w:pageBreakBefore w:val="0"/>
        <w:kinsoku/>
        <w:overflowPunct/>
        <w:bidi w:val="0"/>
        <w:ind w:firstLine="0" w:firstLineChars="0"/>
        <w:rPr>
          <w:color w:val="auto"/>
          <w:highlight w:val="none"/>
        </w:rPr>
      </w:pPr>
    </w:p>
    <w:p>
      <w:pPr>
        <w:pageBreakBefore w:val="0"/>
        <w:kinsoku/>
        <w:overflowPunct/>
        <w:bidi w:val="0"/>
        <w:ind w:firstLine="0" w:firstLineChars="0"/>
        <w:jc w:val="center"/>
        <w:rPr>
          <w:rFonts w:hint="default" w:ascii="宋体" w:hAnsi="宋体" w:eastAsiaTheme="minorEastAsia"/>
          <w:b/>
          <w:color w:val="auto"/>
          <w:sz w:val="32"/>
          <w:szCs w:val="32"/>
          <w:highlight w:val="none"/>
          <w:lang w:val="en-US" w:eastAsia="zh-CN"/>
        </w:rPr>
      </w:pPr>
      <w:r>
        <w:rPr>
          <w:rFonts w:hint="eastAsia" w:ascii="宋体" w:hAnsi="宋体"/>
          <w:b/>
          <w:color w:val="auto"/>
          <w:sz w:val="32"/>
          <w:szCs w:val="32"/>
          <w:highlight w:val="none"/>
        </w:rPr>
        <w:t>采购编号：</w:t>
      </w:r>
      <w:r>
        <w:rPr>
          <w:rFonts w:hint="eastAsia" w:ascii="宋体" w:hAnsi="宋体"/>
          <w:b/>
          <w:color w:val="auto"/>
          <w:sz w:val="32"/>
          <w:szCs w:val="32"/>
          <w:highlight w:val="none"/>
          <w:lang w:eastAsia="zh-CN"/>
        </w:rPr>
        <w:t>信浉财磋商采购-2024-</w:t>
      </w:r>
      <w:r>
        <w:rPr>
          <w:rFonts w:hint="eastAsia" w:ascii="宋体" w:hAnsi="宋体"/>
          <w:b/>
          <w:color w:val="auto"/>
          <w:sz w:val="32"/>
          <w:szCs w:val="32"/>
          <w:highlight w:val="none"/>
          <w:lang w:val="en-US" w:eastAsia="zh-CN"/>
        </w:rPr>
        <w:t>13</w:t>
      </w:r>
    </w:p>
    <w:p>
      <w:pPr>
        <w:pStyle w:val="2"/>
        <w:pageBreakBefore w:val="0"/>
        <w:kinsoku/>
        <w:overflowPunct/>
        <w:bidi w:val="0"/>
        <w:ind w:firstLine="0" w:firstLineChars="0"/>
        <w:rPr>
          <w:color w:val="auto"/>
          <w:highlight w:val="none"/>
        </w:rPr>
      </w:pPr>
    </w:p>
    <w:p>
      <w:pPr>
        <w:pageBreakBefore w:val="0"/>
        <w:kinsoku/>
        <w:overflowPunct/>
        <w:bidi w:val="0"/>
        <w:ind w:firstLine="0" w:firstLineChars="0"/>
        <w:rPr>
          <w:rFonts w:ascii="宋体"/>
          <w:color w:val="auto"/>
          <w:sz w:val="28"/>
          <w:highlight w:val="none"/>
        </w:rPr>
      </w:pPr>
      <w:r>
        <w:rPr>
          <w:rFonts w:hint="eastAsia" w:ascii="宋体" w:hAnsi="宋体" w:eastAsia="宋体" w:cs="宋体"/>
          <w:color w:val="auto"/>
          <w:sz w:val="24"/>
          <w:highlight w:val="none"/>
        </w:rPr>
        <w:drawing>
          <wp:anchor distT="0" distB="0" distL="114300" distR="114300" simplePos="0" relativeHeight="251659264" behindDoc="1" locked="0" layoutInCell="1" allowOverlap="1">
            <wp:simplePos x="0" y="0"/>
            <wp:positionH relativeFrom="column">
              <wp:posOffset>1411605</wp:posOffset>
            </wp:positionH>
            <wp:positionV relativeFrom="paragraph">
              <wp:posOffset>273685</wp:posOffset>
            </wp:positionV>
            <wp:extent cx="2185035" cy="2345690"/>
            <wp:effectExtent l="0" t="0" r="5715" b="16510"/>
            <wp:wrapTight wrapText="bothSides">
              <wp:wrapPolygon>
                <wp:start x="0" y="0"/>
                <wp:lineTo x="0" y="21401"/>
                <wp:lineTo x="21468" y="21401"/>
                <wp:lineTo x="21468" y="0"/>
                <wp:lineTo x="0" y="0"/>
              </wp:wrapPolygon>
            </wp:wrapTight>
            <wp:docPr id="1" name="图片 1" descr="IMG_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0999"/>
                    <pic:cNvPicPr>
                      <a:picLocks noChangeAspect="1"/>
                    </pic:cNvPicPr>
                  </pic:nvPicPr>
                  <pic:blipFill>
                    <a:blip r:embed="rId15"/>
                    <a:stretch>
                      <a:fillRect/>
                    </a:stretch>
                  </pic:blipFill>
                  <pic:spPr>
                    <a:xfrm>
                      <a:off x="0" y="0"/>
                      <a:ext cx="2185035" cy="2345690"/>
                    </a:xfrm>
                    <a:prstGeom prst="rect">
                      <a:avLst/>
                    </a:prstGeom>
                    <a:noFill/>
                    <a:ln>
                      <a:noFill/>
                    </a:ln>
                  </pic:spPr>
                </pic:pic>
              </a:graphicData>
            </a:graphic>
          </wp:anchor>
        </w:drawing>
      </w:r>
    </w:p>
    <w:p>
      <w:pPr>
        <w:pStyle w:val="54"/>
        <w:pageBreakBefore w:val="0"/>
        <w:kinsoku/>
        <w:overflowPunct/>
        <w:bidi w:val="0"/>
        <w:ind w:firstLine="0" w:firstLineChars="0"/>
        <w:rPr>
          <w:rFonts w:ascii="宋体"/>
          <w:color w:val="auto"/>
          <w:sz w:val="28"/>
          <w:highlight w:val="none"/>
        </w:rPr>
      </w:pPr>
    </w:p>
    <w:p>
      <w:pPr>
        <w:pStyle w:val="54"/>
        <w:pageBreakBefore w:val="0"/>
        <w:kinsoku/>
        <w:overflowPunct/>
        <w:bidi w:val="0"/>
        <w:ind w:firstLine="0" w:firstLineChars="0"/>
        <w:rPr>
          <w:rFonts w:ascii="宋体"/>
          <w:color w:val="auto"/>
          <w:sz w:val="28"/>
          <w:highlight w:val="none"/>
        </w:rPr>
      </w:pPr>
    </w:p>
    <w:p>
      <w:pPr>
        <w:pStyle w:val="54"/>
        <w:pageBreakBefore w:val="0"/>
        <w:kinsoku/>
        <w:overflowPunct/>
        <w:bidi w:val="0"/>
        <w:ind w:firstLine="0" w:firstLineChars="0"/>
        <w:rPr>
          <w:rFonts w:ascii="宋体"/>
          <w:color w:val="auto"/>
          <w:sz w:val="28"/>
          <w:highlight w:val="none"/>
        </w:rPr>
      </w:pPr>
    </w:p>
    <w:p>
      <w:pPr>
        <w:pStyle w:val="54"/>
        <w:pageBreakBefore w:val="0"/>
        <w:kinsoku/>
        <w:overflowPunct/>
        <w:bidi w:val="0"/>
        <w:ind w:firstLine="0" w:firstLineChars="0"/>
        <w:rPr>
          <w:rFonts w:ascii="宋体"/>
          <w:color w:val="auto"/>
          <w:sz w:val="28"/>
          <w:highlight w:val="none"/>
        </w:rPr>
      </w:pPr>
    </w:p>
    <w:p>
      <w:pPr>
        <w:pStyle w:val="54"/>
        <w:pageBreakBefore w:val="0"/>
        <w:kinsoku/>
        <w:overflowPunct/>
        <w:bidi w:val="0"/>
        <w:ind w:firstLine="0" w:firstLineChars="0"/>
        <w:rPr>
          <w:rFonts w:ascii="宋体"/>
          <w:color w:val="auto"/>
          <w:sz w:val="28"/>
          <w:highlight w:val="none"/>
        </w:rPr>
      </w:pPr>
    </w:p>
    <w:p>
      <w:pPr>
        <w:pStyle w:val="54"/>
        <w:pageBreakBefore w:val="0"/>
        <w:kinsoku/>
        <w:overflowPunct/>
        <w:bidi w:val="0"/>
        <w:ind w:firstLine="0" w:firstLineChars="0"/>
        <w:rPr>
          <w:rFonts w:ascii="宋体"/>
          <w:color w:val="auto"/>
          <w:sz w:val="28"/>
          <w:highlight w:val="none"/>
        </w:rPr>
      </w:pPr>
    </w:p>
    <w:p>
      <w:pPr>
        <w:pageBreakBefore w:val="0"/>
        <w:kinsoku/>
        <w:overflowPunct/>
        <w:bidi w:val="0"/>
        <w:ind w:firstLine="0" w:firstLineChars="0"/>
        <w:rPr>
          <w:rFonts w:ascii="宋体"/>
          <w:color w:val="auto"/>
          <w:sz w:val="28"/>
          <w:highlight w:val="none"/>
        </w:rPr>
      </w:pPr>
    </w:p>
    <w:p>
      <w:pPr>
        <w:pStyle w:val="54"/>
        <w:pageBreakBefore w:val="0"/>
        <w:kinsoku/>
        <w:overflowPunct/>
        <w:bidi w:val="0"/>
        <w:ind w:firstLine="0" w:firstLineChars="0"/>
        <w:rPr>
          <w:color w:val="auto"/>
          <w:highlight w:val="none"/>
        </w:rPr>
      </w:pPr>
    </w:p>
    <w:p>
      <w:pPr>
        <w:pStyle w:val="54"/>
        <w:pageBreakBefore w:val="0"/>
        <w:kinsoku/>
        <w:overflowPunct/>
        <w:bidi w:val="0"/>
        <w:ind w:firstLine="0" w:firstLineChars="0"/>
        <w:rPr>
          <w:color w:val="auto"/>
          <w:highlight w:val="none"/>
        </w:rPr>
      </w:pPr>
    </w:p>
    <w:p>
      <w:pPr>
        <w:pStyle w:val="54"/>
        <w:pageBreakBefore w:val="0"/>
        <w:kinsoku/>
        <w:overflowPunct/>
        <w:bidi w:val="0"/>
        <w:ind w:firstLine="0" w:firstLineChars="0"/>
        <w:rPr>
          <w:color w:val="auto"/>
          <w:highlight w:val="none"/>
        </w:rPr>
      </w:pPr>
    </w:p>
    <w:p>
      <w:pPr>
        <w:pageBreakBefore w:val="0"/>
        <w:widowControl/>
        <w:kinsoku/>
        <w:overflowPunct/>
        <w:bidi w:val="0"/>
        <w:spacing w:line="720" w:lineRule="auto"/>
        <w:ind w:firstLine="0" w:firstLineChars="0"/>
        <w:rPr>
          <w:rFonts w:ascii="宋体" w:hAnsi="宋体" w:cs="宋体"/>
          <w:b/>
          <w:bCs/>
          <w:color w:val="auto"/>
          <w:kern w:val="0"/>
          <w:sz w:val="32"/>
          <w:szCs w:val="32"/>
          <w:highlight w:val="none"/>
        </w:rPr>
      </w:pPr>
    </w:p>
    <w:p>
      <w:pPr>
        <w:pageBreakBefore w:val="0"/>
        <w:widowControl/>
        <w:kinsoku/>
        <w:overflowPunct/>
        <w:bidi w:val="0"/>
        <w:spacing w:line="720" w:lineRule="auto"/>
        <w:ind w:firstLine="1285" w:firstLineChars="400"/>
        <w:jc w:val="both"/>
        <w:rPr>
          <w:rFonts w:hint="eastAsia" w:ascii="宋体" w:hAnsi="宋体" w:cs="宋体" w:eastAsiaTheme="minorEastAsia"/>
          <w:b/>
          <w:bCs/>
          <w:color w:val="auto"/>
          <w:kern w:val="0"/>
          <w:sz w:val="32"/>
          <w:szCs w:val="32"/>
          <w:highlight w:val="none"/>
          <w:lang w:eastAsia="zh-CN"/>
        </w:rPr>
      </w:pPr>
      <w:r>
        <w:rPr>
          <w:rFonts w:hint="eastAsia" w:ascii="宋体" w:hAnsi="宋体" w:cs="宋体"/>
          <w:b/>
          <w:bCs/>
          <w:color w:val="auto"/>
          <w:kern w:val="0"/>
          <w:sz w:val="32"/>
          <w:szCs w:val="32"/>
          <w:highlight w:val="none"/>
        </w:rPr>
        <w:t xml:space="preserve">采 </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 xml:space="preserve">购 </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人：</w:t>
      </w:r>
      <w:r>
        <w:rPr>
          <w:rFonts w:hint="eastAsia" w:ascii="宋体" w:hAnsi="宋体" w:cs="宋体"/>
          <w:b/>
          <w:bCs/>
          <w:color w:val="auto"/>
          <w:kern w:val="0"/>
          <w:sz w:val="32"/>
          <w:szCs w:val="32"/>
          <w:highlight w:val="none"/>
          <w:lang w:eastAsia="zh-CN"/>
        </w:rPr>
        <w:t>信阳市浉河区自然资源局</w:t>
      </w:r>
    </w:p>
    <w:p>
      <w:pPr>
        <w:pageBreakBefore w:val="0"/>
        <w:widowControl/>
        <w:kinsoku/>
        <w:overflowPunct/>
        <w:bidi w:val="0"/>
        <w:spacing w:line="720" w:lineRule="auto"/>
        <w:ind w:firstLine="0" w:firstLineChars="0"/>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采购代理机构：中金泰富工程管理有限公司</w:t>
      </w:r>
    </w:p>
    <w:p>
      <w:pPr>
        <w:pageBreakBefore w:val="0"/>
        <w:widowControl/>
        <w:kinsoku/>
        <w:overflowPunct/>
        <w:bidi w:val="0"/>
        <w:spacing w:line="720" w:lineRule="auto"/>
        <w:ind w:firstLine="1285" w:firstLineChars="400"/>
        <w:jc w:val="both"/>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日</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期：</w:t>
      </w:r>
      <w:r>
        <w:rPr>
          <w:rFonts w:hint="eastAsia" w:ascii="宋体" w:hAnsi="宋体" w:eastAsia="宋体" w:cs="宋体"/>
          <w:b/>
          <w:color w:val="auto"/>
          <w:sz w:val="28"/>
          <w:highlight w:val="none"/>
        </w:rPr>
        <w:t>二〇二</w:t>
      </w:r>
      <w:r>
        <w:rPr>
          <w:rFonts w:hint="eastAsia" w:ascii="宋体" w:hAnsi="宋体" w:eastAsia="宋体" w:cs="宋体"/>
          <w:b/>
          <w:color w:val="auto"/>
          <w:sz w:val="28"/>
          <w:highlight w:val="none"/>
          <w:lang w:eastAsia="zh-CN"/>
        </w:rPr>
        <w:t>四</w:t>
      </w:r>
      <w:r>
        <w:rPr>
          <w:rFonts w:hint="eastAsia" w:ascii="宋体" w:hAnsi="宋体" w:eastAsia="宋体" w:cs="宋体"/>
          <w:b/>
          <w:color w:val="auto"/>
          <w:sz w:val="28"/>
          <w:highlight w:val="none"/>
        </w:rPr>
        <w:t>年三月</w:t>
      </w:r>
    </w:p>
    <w:p>
      <w:pPr>
        <w:pStyle w:val="16"/>
        <w:pageBreakBefore w:val="0"/>
        <w:kinsoku/>
        <w:overflowPunct/>
        <w:bidi w:val="0"/>
        <w:ind w:firstLine="0" w:firstLineChars="0"/>
        <w:jc w:val="center"/>
        <w:rPr>
          <w:rFonts w:ascii="宋体" w:hAnsi="宋体" w:cs="宋体"/>
          <w:b/>
          <w:color w:val="auto"/>
          <w:sz w:val="32"/>
          <w:highlight w:val="none"/>
        </w:rPr>
        <w:sectPr>
          <w:footerReference r:id="rId5" w:type="default"/>
          <w:pgSz w:w="11905" w:h="16838"/>
          <w:pgMar w:top="1440" w:right="1803" w:bottom="1440" w:left="1803" w:header="850" w:footer="850" w:gutter="0"/>
          <w:pgNumType w:fmt="decimal" w:start="1"/>
          <w:cols w:space="720" w:num="1"/>
          <w:docGrid w:type="lines" w:linePitch="349" w:charSpace="0"/>
        </w:sectPr>
      </w:pPr>
    </w:p>
    <w:p>
      <w:pPr>
        <w:pStyle w:val="16"/>
        <w:pageBreakBefore w:val="0"/>
        <w:kinsoku/>
        <w:overflowPunct/>
        <w:bidi w:val="0"/>
        <w:ind w:firstLine="0" w:firstLineChars="0"/>
        <w:jc w:val="center"/>
        <w:rPr>
          <w:rFonts w:ascii="宋体" w:hAnsi="宋体" w:cs="宋体"/>
          <w:b/>
          <w:color w:val="auto"/>
          <w:sz w:val="32"/>
          <w:highlight w:val="none"/>
        </w:rPr>
      </w:pPr>
      <w:r>
        <w:rPr>
          <w:rFonts w:hint="eastAsia" w:ascii="宋体" w:hAnsi="宋体" w:cs="宋体"/>
          <w:b/>
          <w:color w:val="auto"/>
          <w:sz w:val="32"/>
          <w:highlight w:val="none"/>
        </w:rPr>
        <w:t>目     录</w:t>
      </w:r>
      <w:bookmarkEnd w:id="0"/>
      <w:bookmarkEnd w:id="1"/>
      <w:bookmarkStart w:id="2" w:name="_Toc152045511"/>
      <w:bookmarkStart w:id="3" w:name="_Toc490667779"/>
      <w:bookmarkStart w:id="4" w:name="_Toc144974479"/>
      <w:bookmarkStart w:id="5" w:name="_Toc152042287"/>
    </w:p>
    <w:p>
      <w:pPr>
        <w:pStyle w:val="25"/>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"1-3" \h \z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_Toc32308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第一章 竞争性磋商公告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_Toc32308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5"/>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_Toc14928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第二章 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_Toc14928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_Toc22294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供应商须知前附表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_Toc22294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_Toc24740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1. 总则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_Toc24740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- 14 -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_Toc15552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2.竞争性磋商文件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_Toc15552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- 16 -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_Toc22547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响应文件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_Toc22547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- 17 -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_Toc18951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4. 磋商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_Toc18951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- 19 -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_Toc7480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5.磋商开始</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_Toc7480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- 20 -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_Toc24508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6. 磋商小组</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_Toc24508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- 21 -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_Toc3578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7. 合同授予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_Toc3578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- 21 -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_Toc18918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8.重新招标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_Toc18918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_Toc2509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9.纪律和监督</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_Toc2509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_Toc26468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10. 需要补充的其他内容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_Toc26468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5"/>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_Toc22014 </w:instrText>
      </w:r>
      <w:r>
        <w:rPr>
          <w:rFonts w:hint="eastAsia" w:ascii="宋体" w:hAnsi="宋体" w:eastAsia="宋体" w:cs="宋体"/>
          <w:sz w:val="24"/>
          <w:szCs w:val="24"/>
          <w:highlight w:val="none"/>
        </w:rPr>
        <w:fldChar w:fldCharType="separate"/>
      </w:r>
      <w:r>
        <w:rPr>
          <w:rFonts w:hint="eastAsia" w:ascii="宋体" w:hAnsi="宋体" w:eastAsia="宋体" w:cs="宋体"/>
          <w:kern w:val="44"/>
          <w:sz w:val="24"/>
          <w:szCs w:val="24"/>
          <w:highlight w:val="none"/>
        </w:rPr>
        <w:t>第三章  评审办法（综合评分法）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_Toc22014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- 23 -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5"/>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_Toc21270 </w:instrText>
      </w:r>
      <w:r>
        <w:rPr>
          <w:rFonts w:hint="eastAsia" w:ascii="宋体" w:hAnsi="宋体" w:eastAsia="宋体" w:cs="宋体"/>
          <w:sz w:val="24"/>
          <w:szCs w:val="24"/>
          <w:highlight w:val="none"/>
        </w:rPr>
        <w:fldChar w:fldCharType="separate"/>
      </w:r>
      <w:r>
        <w:rPr>
          <w:rFonts w:hint="eastAsia" w:ascii="宋体" w:hAnsi="宋体" w:eastAsia="宋体" w:cs="宋体"/>
          <w:kern w:val="44"/>
          <w:sz w:val="24"/>
          <w:szCs w:val="24"/>
          <w:highlight w:val="none"/>
        </w:rPr>
        <w:t>第四章  河南省政府采购合同（参考文本）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_Toc21270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- 29 -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5"/>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_Toc4703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第五章 采购项目要求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_Toc4703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5"/>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_Toc12248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第六章  竞争性磋商响应文件格式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_Toc12248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5"/>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_Toc784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一、磋商函及磋商函附录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_Toc784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35</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_Toc18581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二、法定代表身份证明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_Toc18581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_Toc20490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三、授权委托书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_Toc20490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_Toc23445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四、资格证明文件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_Toc23445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_Toc5474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五、拟投入本项目人员</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_Toc5474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44</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_Toc19486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六、技术方案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_Toc19486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46</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_Toc20278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七、类似项目业绩</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_Toc20278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_Toc5368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八、中小企业声明函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_Toc5368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_Toc18371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九、残疾人福利性单位声明函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_Toc18371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_Toc4000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十、监狱企业证明文件（如有）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_Toc4000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19"/>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_Toc4604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十一、其他材料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_Toc4604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ageBreakBefore w:val="0"/>
        <w:kinsoku/>
        <w:overflowPunct/>
        <w:bidi w:val="0"/>
        <w:spacing w:line="440" w:lineRule="exact"/>
        <w:ind w:firstLine="0" w:firstLineChars="0"/>
        <w:jc w:val="center"/>
        <w:rPr>
          <w:rFonts w:ascii="宋体" w:hAnsi="宋体" w:eastAsia="宋体" w:cs="宋体"/>
          <w:b/>
          <w:color w:val="auto"/>
          <w:spacing w:val="14"/>
          <w:sz w:val="44"/>
          <w:szCs w:val="44"/>
          <w:highlight w:val="none"/>
        </w:rPr>
      </w:pPr>
      <w:r>
        <w:rPr>
          <w:rFonts w:hint="eastAsia" w:ascii="宋体" w:hAnsi="宋体" w:eastAsia="宋体" w:cs="宋体"/>
          <w:color w:val="auto"/>
          <w:sz w:val="24"/>
          <w:szCs w:val="24"/>
          <w:highlight w:val="none"/>
        </w:rPr>
        <w:fldChar w:fldCharType="end"/>
      </w:r>
      <w:r>
        <w:rPr>
          <w:rFonts w:hint="eastAsia" w:ascii="宋体" w:hAnsi="宋体" w:eastAsia="宋体" w:cs="宋体"/>
          <w:b/>
          <w:color w:val="auto"/>
          <w:spacing w:val="14"/>
          <w:sz w:val="44"/>
          <w:szCs w:val="44"/>
          <w:highlight w:val="none"/>
        </w:rPr>
        <w:t>电子招投标特别提示</w:t>
      </w:r>
    </w:p>
    <w:p>
      <w:pPr>
        <w:pageBreakBefore w:val="0"/>
        <w:kinsoku/>
        <w:overflowPunct/>
        <w:bidi w:val="0"/>
        <w:spacing w:line="400" w:lineRule="exact"/>
        <w:ind w:firstLine="0" w:firstLineChars="0"/>
        <w:rPr>
          <w:rFonts w:ascii="宋体" w:hAnsi="宋体" w:cs="宋体"/>
          <w:b/>
          <w:bCs/>
          <w:color w:val="auto"/>
          <w:sz w:val="24"/>
          <w:highlight w:val="none"/>
        </w:rPr>
      </w:pPr>
    </w:p>
    <w:p>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一、投标人（供应商）注册</w:t>
      </w:r>
    </w:p>
    <w:p>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凡有意参加本项目的投标人（供应商），请</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“全国公共资源交易平台（河南省·信阳市）（</w:t>
      </w:r>
      <w:r>
        <w:rPr>
          <w:rFonts w:hint="eastAsia" w:ascii="宋体" w:hAnsi="宋体" w:eastAsia="宋体" w:cs="宋体"/>
          <w:color w:val="auto"/>
          <w:szCs w:val="21"/>
          <w:highlight w:val="none"/>
          <w:lang w:eastAsia="zh-CN"/>
        </w:rPr>
        <w:t>https://ggzyjy.xinyang.gov.cn/</w:t>
      </w:r>
      <w:r>
        <w:rPr>
          <w:rFonts w:hint="eastAsia" w:ascii="宋体" w:hAnsi="宋体" w:eastAsia="宋体" w:cs="宋体"/>
          <w:color w:val="auto"/>
          <w:szCs w:val="21"/>
          <w:highlight w:val="none"/>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二、办理CA数字证书</w:t>
      </w:r>
    </w:p>
    <w:p>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三、招标（采购）文件获取方式</w:t>
      </w:r>
    </w:p>
    <w:p>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投标人（供应商）凭CA数字证书</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全国公共资源交易平台（河南省·信阳市）（</w:t>
      </w:r>
      <w:r>
        <w:rPr>
          <w:rFonts w:hint="eastAsia" w:ascii="宋体" w:hAnsi="宋体" w:eastAsia="宋体" w:cs="宋体"/>
          <w:color w:val="auto"/>
          <w:szCs w:val="21"/>
          <w:highlight w:val="none"/>
          <w:lang w:eastAsia="zh-CN"/>
        </w:rPr>
        <w:t>https://ggzyjy.xinyang.gov.cn/</w:t>
      </w:r>
      <w:r>
        <w:rPr>
          <w:rFonts w:hint="eastAsia" w:ascii="宋体" w:hAnsi="宋体" w:eastAsia="宋体" w:cs="宋体"/>
          <w:color w:val="auto"/>
          <w:szCs w:val="21"/>
          <w:highlight w:val="none"/>
        </w:rPr>
        <w:t>）”网站下载中心栏目内下载或在招标文件领取页面下载）。</w:t>
      </w:r>
    </w:p>
    <w:p>
      <w:pPr>
        <w:pageBreakBefore w:val="0"/>
        <w:tabs>
          <w:tab w:val="left" w:pos="0"/>
        </w:tabs>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四、投标（响应）文件制作</w:t>
      </w:r>
    </w:p>
    <w:p>
      <w:pPr>
        <w:pageBreakBefore w:val="0"/>
        <w:tabs>
          <w:tab w:val="left" w:pos="0"/>
        </w:tabs>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投标（响应）文件应使用信阳市公共资源交易系统投标文件制作专用工具软件编制，投标（响应）文件格式为“*.XYTF”。</w:t>
      </w:r>
    </w:p>
    <w:p>
      <w:pPr>
        <w:pageBreakBefore w:val="0"/>
        <w:tabs>
          <w:tab w:val="left" w:pos="0"/>
        </w:tabs>
        <w:kinsoku/>
        <w:overflowPunct/>
        <w:bidi w:val="0"/>
        <w:spacing w:line="360" w:lineRule="exact"/>
        <w:ind w:firstLine="0" w:firstLineChars="0"/>
        <w:rPr>
          <w:rFonts w:ascii="宋体" w:hAnsi="宋体" w:eastAsia="宋体" w:cs="宋体"/>
          <w:color w:val="auto"/>
          <w:szCs w:val="21"/>
          <w:highlight w:val="none"/>
          <w:u w:val="single"/>
        </w:rPr>
      </w:pPr>
      <w:r>
        <w:rPr>
          <w:rFonts w:hint="eastAsia" w:ascii="宋体" w:hAnsi="宋体" w:eastAsia="宋体" w:cs="宋体"/>
          <w:color w:val="auto"/>
          <w:szCs w:val="21"/>
          <w:highlight w:val="none"/>
        </w:rPr>
        <w:t>招标文件费用网上支付，支付成功后，方可上传电子投标（响应）文件。</w:t>
      </w:r>
      <w:r>
        <w:rPr>
          <w:rFonts w:hint="eastAsia" w:ascii="宋体" w:hAnsi="宋体" w:eastAsia="宋体" w:cs="宋体"/>
          <w:color w:val="auto"/>
          <w:szCs w:val="21"/>
          <w:highlight w:val="none"/>
          <w:u w:val="single"/>
        </w:rPr>
        <w:t>（政府采购类项目不收取招标文件费用）</w:t>
      </w:r>
    </w:p>
    <w:p>
      <w:pPr>
        <w:pageBreakBefore w:val="0"/>
        <w:tabs>
          <w:tab w:val="left" w:pos="0"/>
        </w:tabs>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投标人（供应商）须在投标（响应）文件递交截止时间前制作并提交。</w:t>
      </w:r>
    </w:p>
    <w:p>
      <w:pPr>
        <w:pStyle w:val="3"/>
        <w:pageBreakBefore w:val="0"/>
        <w:kinsoku/>
        <w:overflowPunct/>
        <w:bidi w:val="0"/>
        <w:spacing w:line="360" w:lineRule="exact"/>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u w:val="double"/>
        </w:rPr>
        <w:t>五、投标（响应）文件的签字和盖章要求</w:t>
      </w:r>
    </w:p>
    <w:p>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1、投标文件（响应）格式中所有要求投标人（供应商）加盖公章的地方都须加盖投标人（供应商）的 CA 印章。</w:t>
      </w:r>
    </w:p>
    <w:p>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highlight w:val="none"/>
        </w:rPr>
      </w:pPr>
      <w:r>
        <w:rPr>
          <w:rFonts w:hint="eastAsia" w:ascii="宋体" w:hAnsi="宋体" w:eastAsia="宋体" w:cs="宋体"/>
          <w:color w:val="auto"/>
          <w:szCs w:val="21"/>
          <w:highlight w:val="none"/>
        </w:rPr>
        <w:t>2、投标文件（响应）格式中所有要求法定代表人或其委托代理人签字或盖章的地方</w:t>
      </w:r>
      <w:r>
        <w:rPr>
          <w:rFonts w:hint="eastAsia" w:ascii="宋体" w:hAnsi="宋体" w:eastAsia="宋体" w:cs="宋体"/>
          <w:b/>
          <w:bCs/>
          <w:color w:val="auto"/>
          <w:szCs w:val="21"/>
          <w:highlight w:val="none"/>
        </w:rPr>
        <w:t>（不含授权委托书委托人签字）</w:t>
      </w:r>
      <w:r>
        <w:rPr>
          <w:rFonts w:hint="eastAsia" w:ascii="宋体" w:hAnsi="宋体" w:eastAsia="宋体" w:cs="宋体"/>
          <w:color w:val="auto"/>
          <w:szCs w:val="21"/>
          <w:highlight w:val="none"/>
        </w:rPr>
        <w:t>都须加盖法定代表人</w:t>
      </w:r>
      <w:r>
        <w:rPr>
          <w:rFonts w:hint="eastAsia" w:ascii="宋体" w:hAnsi="宋体" w:eastAsia="宋体" w:cs="宋体"/>
          <w:b/>
          <w:bCs/>
          <w:color w:val="auto"/>
          <w:szCs w:val="21"/>
          <w:highlight w:val="none"/>
        </w:rPr>
        <w:t>CA 印章。</w:t>
      </w:r>
    </w:p>
    <w:p>
      <w:pPr>
        <w:pStyle w:val="3"/>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六、投标文件份数</w:t>
      </w:r>
    </w:p>
    <w:p>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加密的电子投标（响应）文件壹份（*.XYTF 格式，在会员系统指定位置上传）。</w:t>
      </w:r>
    </w:p>
    <w:p>
      <w:pPr>
        <w:pStyle w:val="3"/>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七、投标（响应）文件的递交</w:t>
      </w:r>
    </w:p>
    <w:p>
      <w:pPr>
        <w:pageBreakBefore w:val="0"/>
        <w:kinsoku/>
        <w:overflowPunct/>
        <w:bidi w:val="0"/>
        <w:adjustRightInd w:val="0"/>
        <w:snapToGrid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1、电子投标（响应）文件的递交</w:t>
      </w:r>
    </w:p>
    <w:p>
      <w:pPr>
        <w:pageBreakBefore w:val="0"/>
        <w:kinsoku/>
        <w:overflowPunct/>
        <w:bidi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pPr>
        <w:pageBreakBefore w:val="0"/>
        <w:kinsoku/>
        <w:overflowPunct/>
        <w:bidi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2、除电子投标（响应）文件外，不再接受任何纸质文件、资料原件等。</w:t>
      </w:r>
    </w:p>
    <w:p>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八、澄清与变更</w:t>
      </w:r>
    </w:p>
    <w:p>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 xml:space="preserve">九、其他注意事项 </w:t>
      </w:r>
    </w:p>
    <w:p>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 xml:space="preserve">1、供应商编制投标文件时，涉及的营业执照、资质、获奖、社保、纳税等固定内容可在交易中心主体信用信息中录入。 </w:t>
      </w:r>
    </w:p>
    <w:p>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3、采购人或代理机构在发布中标公告或候选人公示时需同时将中标人或第一中标候选人响应文件中的营业执照、资质、业绩、获奖、人员、财务、社保、纳税、各类证书、标的名称、规格型号同时公告（涉及供应商商业机密除外），强化社会监督。（中标企业认为投标文件中资料涉及商业秘密的，可以要求代理机构对相关信息模糊处理后公示（2021版添加修订）。）</w:t>
      </w:r>
    </w:p>
    <w:p>
      <w:pPr>
        <w:pageBreakBefore w:val="0"/>
        <w:widowControl/>
        <w:kinsoku/>
        <w:overflowPunct/>
        <w:bidi w:val="0"/>
        <w:spacing w:line="360" w:lineRule="exact"/>
        <w:ind w:firstLine="0" w:firstLineChars="0"/>
        <w:jc w:val="left"/>
        <w:rPr>
          <w:rFonts w:ascii="宋体" w:hAnsi="宋体" w:eastAsia="宋体" w:cs="宋体"/>
          <w:color w:val="auto"/>
          <w:szCs w:val="21"/>
          <w:highlight w:val="none"/>
          <w:u w:val="double"/>
        </w:rPr>
      </w:pPr>
      <w:r>
        <w:rPr>
          <w:rFonts w:hint="eastAsia" w:ascii="宋体" w:hAnsi="宋体" w:eastAsia="宋体" w:cs="宋体"/>
          <w:b/>
          <w:bCs/>
          <w:color w:val="auto"/>
          <w:szCs w:val="21"/>
          <w:highlight w:val="none"/>
          <w:u w:val="double"/>
        </w:rPr>
        <w:t>4、投标文件中的扫描件，在确保清晰的前提下，每张最好控制在 500kb 内,生成的加密电子投标文件最好不要超过50MB。</w:t>
      </w:r>
    </w:p>
    <w:p>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十、特别提醒</w:t>
      </w:r>
    </w:p>
    <w:p>
      <w:pPr>
        <w:pStyle w:val="56"/>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highlight w:val="none"/>
        </w:rPr>
      </w:pPr>
      <w:r>
        <w:rPr>
          <w:rFonts w:hint="eastAsia" w:ascii="宋体" w:hAnsi="宋体" w:cs="宋体"/>
          <w:color w:val="auto"/>
          <w:sz w:val="21"/>
          <w:szCs w:val="21"/>
          <w:highlight w:val="none"/>
        </w:rPr>
        <w:t>招标（响应）文件与此内容不符的，以此内容为准。</w:t>
      </w:r>
    </w:p>
    <w:p>
      <w:pPr>
        <w:pStyle w:val="3"/>
        <w:pageBreakBefore w:val="0"/>
        <w:kinsoku/>
        <w:overflowPunct/>
        <w:bidi w:val="0"/>
        <w:ind w:firstLine="0" w:firstLineChars="0"/>
        <w:rPr>
          <w:rFonts w:ascii="宋体" w:hAnsi="宋体"/>
          <w:color w:val="auto"/>
          <w:szCs w:val="21"/>
          <w:highlight w:val="none"/>
        </w:rPr>
      </w:pPr>
    </w:p>
    <w:p>
      <w:pPr>
        <w:pStyle w:val="3"/>
        <w:pageBreakBefore w:val="0"/>
        <w:kinsoku/>
        <w:overflowPunct/>
        <w:bidi w:val="0"/>
        <w:ind w:firstLine="0" w:firstLineChars="0"/>
        <w:rPr>
          <w:rFonts w:ascii="宋体" w:hAnsi="宋体"/>
          <w:color w:val="auto"/>
          <w:sz w:val="24"/>
          <w:highlight w:val="none"/>
        </w:rPr>
      </w:pPr>
    </w:p>
    <w:p>
      <w:pPr>
        <w:pStyle w:val="3"/>
        <w:pageBreakBefore w:val="0"/>
        <w:kinsoku/>
        <w:overflowPunct/>
        <w:bidi w:val="0"/>
        <w:ind w:firstLine="0" w:firstLineChars="0"/>
        <w:rPr>
          <w:rFonts w:ascii="宋体" w:hAnsi="宋体"/>
          <w:color w:val="auto"/>
          <w:sz w:val="24"/>
          <w:highlight w:val="none"/>
        </w:rPr>
      </w:pPr>
    </w:p>
    <w:p>
      <w:pPr>
        <w:pStyle w:val="3"/>
        <w:pageBreakBefore w:val="0"/>
        <w:kinsoku/>
        <w:overflowPunct/>
        <w:bidi w:val="0"/>
        <w:ind w:firstLine="0" w:firstLineChars="0"/>
        <w:rPr>
          <w:rFonts w:ascii="宋体" w:hAnsi="宋体"/>
          <w:color w:val="auto"/>
          <w:sz w:val="24"/>
          <w:highlight w:val="none"/>
        </w:rPr>
      </w:pPr>
    </w:p>
    <w:p>
      <w:pPr>
        <w:pStyle w:val="3"/>
        <w:pageBreakBefore w:val="0"/>
        <w:kinsoku/>
        <w:overflowPunct/>
        <w:bidi w:val="0"/>
        <w:ind w:firstLine="0" w:firstLineChars="0"/>
        <w:rPr>
          <w:rFonts w:ascii="宋体" w:hAnsi="宋体"/>
          <w:color w:val="auto"/>
          <w:sz w:val="24"/>
          <w:highlight w:val="none"/>
        </w:rPr>
      </w:pPr>
    </w:p>
    <w:p>
      <w:pPr>
        <w:pStyle w:val="3"/>
        <w:pageBreakBefore w:val="0"/>
        <w:kinsoku/>
        <w:overflowPunct/>
        <w:bidi w:val="0"/>
        <w:ind w:firstLine="0" w:firstLineChars="0"/>
        <w:rPr>
          <w:rFonts w:ascii="宋体" w:hAnsi="宋体"/>
          <w:color w:val="auto"/>
          <w:sz w:val="24"/>
          <w:highlight w:val="none"/>
        </w:rPr>
      </w:pPr>
    </w:p>
    <w:p>
      <w:pPr>
        <w:pStyle w:val="27"/>
        <w:keepNext w:val="0"/>
        <w:keepLines w:val="0"/>
        <w:pageBreakBefore w:val="0"/>
        <w:tabs>
          <w:tab w:val="right" w:leader="underscore" w:pos="8296"/>
        </w:tabs>
        <w:kinsoku/>
        <w:overflowPunct/>
        <w:topLinePunct w:val="0"/>
        <w:autoSpaceDE/>
        <w:autoSpaceDN/>
        <w:bidi w:val="0"/>
        <w:spacing w:line="540" w:lineRule="exact"/>
        <w:ind w:left="0" w:firstLine="0" w:firstLineChars="0"/>
        <w:jc w:val="center"/>
        <w:textAlignment w:val="auto"/>
        <w:outlineLvl w:val="0"/>
        <w:rPr>
          <w:rFonts w:hint="eastAsia" w:ascii="宋体" w:hAnsi="宋体" w:cs="宋体"/>
          <w:b/>
          <w:bCs/>
          <w:color w:val="auto"/>
          <w:sz w:val="32"/>
          <w:szCs w:val="32"/>
          <w:highlight w:val="none"/>
        </w:rPr>
      </w:pPr>
      <w:bookmarkStart w:id="6" w:name="_Toc30363"/>
      <w:bookmarkStart w:id="7" w:name="_Toc32308"/>
    </w:p>
    <w:p>
      <w:pPr>
        <w:rPr>
          <w:rFonts w:hint="eastAsia"/>
          <w:highlight w:val="none"/>
        </w:rPr>
      </w:pPr>
    </w:p>
    <w:p>
      <w:pPr>
        <w:pStyle w:val="27"/>
        <w:keepNext w:val="0"/>
        <w:keepLines w:val="0"/>
        <w:pageBreakBefore w:val="0"/>
        <w:tabs>
          <w:tab w:val="right" w:leader="underscore" w:pos="8296"/>
        </w:tabs>
        <w:kinsoku/>
        <w:overflowPunct/>
        <w:topLinePunct w:val="0"/>
        <w:autoSpaceDE/>
        <w:autoSpaceDN/>
        <w:bidi w:val="0"/>
        <w:spacing w:line="540" w:lineRule="exact"/>
        <w:ind w:left="0" w:firstLine="0" w:firstLineChars="0"/>
        <w:jc w:val="center"/>
        <w:textAlignment w:val="auto"/>
        <w:outlineLvl w:val="0"/>
        <w:rPr>
          <w:rFonts w:ascii="宋体" w:hAnsi="宋体" w:eastAsia="宋体" w:cs="宋体"/>
          <w:b/>
          <w:bCs/>
          <w:color w:val="auto"/>
          <w:sz w:val="32"/>
          <w:szCs w:val="32"/>
          <w:highlight w:val="none"/>
        </w:rPr>
      </w:pPr>
      <w:r>
        <w:rPr>
          <w:rFonts w:hint="eastAsia" w:ascii="宋体" w:hAnsi="宋体" w:cs="宋体"/>
          <w:b/>
          <w:bCs/>
          <w:color w:val="auto"/>
          <w:sz w:val="32"/>
          <w:szCs w:val="32"/>
          <w:highlight w:val="none"/>
        </w:rPr>
        <w:t xml:space="preserve">第一章 </w:t>
      </w:r>
      <w:bookmarkEnd w:id="2"/>
      <w:bookmarkEnd w:id="3"/>
      <w:bookmarkEnd w:id="4"/>
      <w:bookmarkEnd w:id="5"/>
      <w:bookmarkEnd w:id="6"/>
      <w:r>
        <w:rPr>
          <w:rFonts w:hint="eastAsia" w:ascii="宋体" w:hAnsi="宋体" w:cs="宋体"/>
          <w:b/>
          <w:bCs/>
          <w:color w:val="auto"/>
          <w:sz w:val="32"/>
          <w:szCs w:val="32"/>
          <w:highlight w:val="none"/>
        </w:rPr>
        <w:t>竞争性磋商公告</w:t>
      </w:r>
      <w:bookmarkEnd w:id="7"/>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
          <w:color w:val="auto"/>
          <w:sz w:val="21"/>
          <w:szCs w:val="21"/>
          <w:highlight w:val="none"/>
        </w:rPr>
      </w:pPr>
      <w:bookmarkStart w:id="8" w:name="OLE_LINK1"/>
      <w:bookmarkStart w:id="9" w:name="_Toc152042303"/>
      <w:bookmarkStart w:id="10" w:name="_Toc152045527"/>
      <w:bookmarkStart w:id="11" w:name="_Toc144974495"/>
      <w:r>
        <w:rPr>
          <w:rFonts w:hint="eastAsia" w:eastAsia="宋体"/>
          <w:b/>
          <w:color w:val="auto"/>
          <w:sz w:val="21"/>
          <w:szCs w:val="21"/>
          <w:highlight w:val="none"/>
        </w:rPr>
        <w:t>项目概况</w:t>
      </w:r>
    </w:p>
    <w:p>
      <w:pPr>
        <w:pStyle w:val="29"/>
        <w:keepNext w:val="0"/>
        <w:keepLines w:val="0"/>
        <w:pageBreakBefore w:val="0"/>
        <w:widowControl w:val="0"/>
        <w:kinsoku/>
        <w:overflowPunct/>
        <w:topLinePunct w:val="0"/>
        <w:autoSpaceDE/>
        <w:autoSpaceDN/>
        <w:bidi w:val="0"/>
        <w:spacing w:beforeAutospacing="0" w:afterAutospacing="0" w:line="540" w:lineRule="exact"/>
        <w:ind w:left="210" w:leftChars="100" w:firstLine="0" w:firstLineChars="0"/>
        <w:textAlignment w:val="auto"/>
        <w:rPr>
          <w:rFonts w:eastAsia="宋体"/>
          <w:bCs/>
          <w:color w:val="auto"/>
          <w:sz w:val="21"/>
          <w:szCs w:val="21"/>
          <w:highlight w:val="none"/>
        </w:rPr>
      </w:pPr>
      <w:r>
        <w:rPr>
          <w:rFonts w:hint="eastAsia" w:eastAsia="宋体"/>
          <w:bCs/>
          <w:color w:val="auto"/>
          <w:sz w:val="21"/>
          <w:szCs w:val="21"/>
          <w:highlight w:val="none"/>
          <w:lang w:eastAsia="zh-CN"/>
        </w:rPr>
        <w:t>信阳市浉河区自然资源局浉河区2022年度耕地资源质量分类更新与监测工作项目</w:t>
      </w:r>
      <w:r>
        <w:rPr>
          <w:rFonts w:hint="eastAsia" w:eastAsia="宋体"/>
          <w:bCs/>
          <w:color w:val="auto"/>
          <w:sz w:val="21"/>
          <w:szCs w:val="21"/>
          <w:highlight w:val="none"/>
        </w:rPr>
        <w:t>的潜在供应商应在</w:t>
      </w:r>
      <w:r>
        <w:rPr>
          <w:rFonts w:hint="eastAsia" w:eastAsia="宋体"/>
          <w:bCs/>
          <w:color w:val="auto"/>
          <w:sz w:val="21"/>
          <w:szCs w:val="21"/>
          <w:highlight w:val="none"/>
          <w:lang w:eastAsia="zh-CN"/>
        </w:rPr>
        <w:t>登录</w:t>
      </w:r>
      <w:r>
        <w:rPr>
          <w:rFonts w:hint="eastAsia" w:eastAsia="宋体"/>
          <w:bCs/>
          <w:color w:val="auto"/>
          <w:sz w:val="21"/>
          <w:szCs w:val="21"/>
          <w:highlight w:val="none"/>
        </w:rPr>
        <w:t>“全国公共资源交易中心（河南省·信阳市）（</w:t>
      </w:r>
      <w:r>
        <w:rPr>
          <w:rFonts w:hint="eastAsia" w:eastAsia="宋体"/>
          <w:bCs/>
          <w:color w:val="auto"/>
          <w:sz w:val="21"/>
          <w:szCs w:val="21"/>
          <w:highlight w:val="none"/>
          <w:lang w:eastAsia="zh-CN"/>
        </w:rPr>
        <w:t>https://ggzyjy.xinyang.gov.cn/</w:t>
      </w:r>
      <w:r>
        <w:rPr>
          <w:rFonts w:hint="eastAsia" w:eastAsia="宋体"/>
          <w:bCs/>
          <w:color w:val="auto"/>
          <w:sz w:val="21"/>
          <w:szCs w:val="21"/>
          <w:highlight w:val="none"/>
        </w:rPr>
        <w:t>）”网站，凭办理的企业身份认证锁（CA数字证书）</w:t>
      </w:r>
      <w:r>
        <w:rPr>
          <w:rFonts w:hint="eastAsia" w:eastAsia="宋体"/>
          <w:bCs/>
          <w:color w:val="auto"/>
          <w:sz w:val="21"/>
          <w:szCs w:val="21"/>
          <w:highlight w:val="none"/>
          <w:lang w:eastAsia="zh-CN"/>
        </w:rPr>
        <w:t>登录</w:t>
      </w:r>
      <w:r>
        <w:rPr>
          <w:rFonts w:hint="eastAsia" w:eastAsia="宋体"/>
          <w:bCs/>
          <w:color w:val="auto"/>
          <w:sz w:val="21"/>
          <w:szCs w:val="21"/>
          <w:highlight w:val="none"/>
        </w:rPr>
        <w:t>会员系统进行网上投标并获取竞争性磋商文件，并于</w:t>
      </w:r>
      <w:r>
        <w:rPr>
          <w:rFonts w:hint="eastAsia" w:eastAsia="宋体"/>
          <w:bCs/>
          <w:color w:val="auto"/>
          <w:sz w:val="21"/>
          <w:szCs w:val="21"/>
          <w:highlight w:val="none"/>
          <w:lang w:eastAsia="zh-CN"/>
        </w:rPr>
        <w:t>202</w:t>
      </w:r>
      <w:r>
        <w:rPr>
          <w:rFonts w:hint="eastAsia" w:eastAsia="宋体"/>
          <w:bCs/>
          <w:color w:val="auto"/>
          <w:sz w:val="21"/>
          <w:szCs w:val="21"/>
          <w:highlight w:val="none"/>
          <w:lang w:val="en-US" w:eastAsia="zh-CN"/>
        </w:rPr>
        <w:t>4</w:t>
      </w:r>
      <w:r>
        <w:rPr>
          <w:rFonts w:hint="eastAsia" w:eastAsia="宋体"/>
          <w:bCs/>
          <w:color w:val="auto"/>
          <w:sz w:val="21"/>
          <w:szCs w:val="21"/>
          <w:highlight w:val="none"/>
          <w:lang w:eastAsia="zh-CN"/>
        </w:rPr>
        <w:t>年</w:t>
      </w:r>
      <w:r>
        <w:rPr>
          <w:rFonts w:hint="eastAsia" w:eastAsia="宋体"/>
          <w:bCs/>
          <w:color w:val="auto"/>
          <w:sz w:val="21"/>
          <w:szCs w:val="21"/>
          <w:highlight w:val="none"/>
          <w:lang w:val="en-US" w:eastAsia="zh-CN"/>
        </w:rPr>
        <w:t>3</w:t>
      </w:r>
      <w:r>
        <w:rPr>
          <w:rFonts w:hint="eastAsia" w:eastAsia="宋体"/>
          <w:bCs/>
          <w:color w:val="auto"/>
          <w:sz w:val="21"/>
          <w:szCs w:val="21"/>
          <w:highlight w:val="none"/>
          <w:lang w:eastAsia="zh-CN"/>
        </w:rPr>
        <w:t>月</w:t>
      </w:r>
      <w:r>
        <w:rPr>
          <w:rFonts w:hint="eastAsia" w:eastAsia="宋体"/>
          <w:bCs/>
          <w:color w:val="auto"/>
          <w:sz w:val="21"/>
          <w:szCs w:val="21"/>
          <w:highlight w:val="none"/>
          <w:lang w:val="en-US" w:eastAsia="zh-CN"/>
        </w:rPr>
        <w:t>22</w:t>
      </w:r>
      <w:r>
        <w:rPr>
          <w:rFonts w:hint="eastAsia" w:eastAsia="宋体"/>
          <w:bCs/>
          <w:color w:val="auto"/>
          <w:sz w:val="21"/>
          <w:szCs w:val="21"/>
          <w:highlight w:val="none"/>
          <w:lang w:eastAsia="zh-CN"/>
        </w:rPr>
        <w:t>日9时30分</w:t>
      </w:r>
      <w:r>
        <w:rPr>
          <w:rFonts w:hint="eastAsia" w:eastAsia="宋体"/>
          <w:bCs/>
          <w:color w:val="auto"/>
          <w:sz w:val="21"/>
          <w:szCs w:val="21"/>
          <w:highlight w:val="none"/>
        </w:rPr>
        <w:t>（北京时间）前递交响应文件。</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
          <w:color w:val="auto"/>
          <w:sz w:val="21"/>
          <w:szCs w:val="21"/>
          <w:highlight w:val="none"/>
        </w:rPr>
      </w:pPr>
      <w:r>
        <w:rPr>
          <w:rFonts w:hint="eastAsia" w:eastAsia="宋体"/>
          <w:b/>
          <w:color w:val="auto"/>
          <w:sz w:val="21"/>
          <w:szCs w:val="21"/>
          <w:highlight w:val="none"/>
        </w:rPr>
        <w:t>一、项目基本情况</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eastAsia="宋体"/>
          <w:bCs/>
          <w:color w:val="auto"/>
          <w:sz w:val="21"/>
          <w:szCs w:val="21"/>
          <w:highlight w:val="none"/>
          <w:lang w:val="en-US" w:eastAsia="zh-CN"/>
        </w:rPr>
      </w:pPr>
      <w:r>
        <w:rPr>
          <w:rFonts w:hint="eastAsia" w:eastAsia="宋体"/>
          <w:bCs/>
          <w:color w:val="auto"/>
          <w:sz w:val="21"/>
          <w:szCs w:val="21"/>
          <w:highlight w:val="none"/>
        </w:rPr>
        <w:t>1、项目编号：</w:t>
      </w:r>
      <w:r>
        <w:rPr>
          <w:rFonts w:hint="eastAsia" w:eastAsia="宋体"/>
          <w:bCs/>
          <w:color w:val="auto"/>
          <w:sz w:val="21"/>
          <w:szCs w:val="21"/>
          <w:highlight w:val="none"/>
          <w:lang w:eastAsia="zh-CN"/>
        </w:rPr>
        <w:t>信浉财磋商采购-2024-</w:t>
      </w:r>
      <w:r>
        <w:rPr>
          <w:rFonts w:hint="eastAsia" w:eastAsia="宋体"/>
          <w:bCs/>
          <w:color w:val="auto"/>
          <w:sz w:val="21"/>
          <w:szCs w:val="21"/>
          <w:highlight w:val="none"/>
          <w:lang w:val="en-US" w:eastAsia="zh-CN"/>
        </w:rPr>
        <w:t>13</w:t>
      </w:r>
      <w:r>
        <w:rPr>
          <w:rFonts w:hint="eastAsia" w:eastAsia="宋体"/>
          <w:bCs/>
          <w:color w:val="auto"/>
          <w:sz w:val="21"/>
          <w:szCs w:val="21"/>
          <w:highlight w:val="none"/>
          <w:lang w:eastAsia="zh-CN"/>
        </w:rPr>
        <w:t xml:space="preserve"> </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eastAsia="宋体"/>
          <w:bCs/>
          <w:color w:val="auto"/>
          <w:sz w:val="21"/>
          <w:szCs w:val="21"/>
          <w:highlight w:val="none"/>
          <w:lang w:eastAsia="zh-CN"/>
        </w:rPr>
      </w:pPr>
      <w:r>
        <w:rPr>
          <w:rFonts w:hint="eastAsia" w:eastAsia="宋体"/>
          <w:bCs/>
          <w:color w:val="auto"/>
          <w:sz w:val="21"/>
          <w:szCs w:val="21"/>
          <w:highlight w:val="none"/>
        </w:rPr>
        <w:t>2、项目名称：</w:t>
      </w:r>
      <w:r>
        <w:rPr>
          <w:rFonts w:hint="eastAsia" w:eastAsia="宋体"/>
          <w:bCs/>
          <w:color w:val="auto"/>
          <w:sz w:val="21"/>
          <w:szCs w:val="21"/>
          <w:highlight w:val="none"/>
          <w:lang w:eastAsia="zh-CN"/>
        </w:rPr>
        <w:t>信阳市浉河区自然资源局浉河区2022年度耕地资源质量分类更新与监测工作项目</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Cs/>
          <w:color w:val="auto"/>
          <w:sz w:val="21"/>
          <w:szCs w:val="21"/>
          <w:highlight w:val="none"/>
        </w:rPr>
      </w:pPr>
      <w:r>
        <w:rPr>
          <w:rFonts w:hint="eastAsia" w:eastAsia="宋体"/>
          <w:bCs/>
          <w:color w:val="auto"/>
          <w:sz w:val="21"/>
          <w:szCs w:val="21"/>
          <w:highlight w:val="none"/>
        </w:rPr>
        <w:t>3、采购方式：竞争性磋商</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Cs/>
          <w:color w:val="auto"/>
          <w:sz w:val="21"/>
          <w:szCs w:val="21"/>
          <w:highlight w:val="none"/>
        </w:rPr>
      </w:pPr>
      <w:r>
        <w:rPr>
          <w:rFonts w:hint="eastAsia" w:eastAsia="宋体"/>
          <w:bCs/>
          <w:color w:val="auto"/>
          <w:sz w:val="21"/>
          <w:szCs w:val="21"/>
          <w:highlight w:val="none"/>
        </w:rPr>
        <w:t>4、预算金额：</w:t>
      </w:r>
      <w:r>
        <w:rPr>
          <w:rFonts w:hint="eastAsia" w:eastAsia="宋体"/>
          <w:bCs/>
          <w:color w:val="auto"/>
          <w:sz w:val="21"/>
          <w:szCs w:val="21"/>
          <w:highlight w:val="none"/>
          <w:lang w:val="en-US" w:eastAsia="zh-CN"/>
        </w:rPr>
        <w:t>591049.17</w:t>
      </w:r>
      <w:r>
        <w:rPr>
          <w:rFonts w:hint="eastAsia" w:eastAsia="宋体"/>
          <w:bCs/>
          <w:color w:val="auto"/>
          <w:sz w:val="21"/>
          <w:szCs w:val="21"/>
          <w:highlight w:val="none"/>
        </w:rPr>
        <w:t>元</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color w:val="auto"/>
          <w:sz w:val="21"/>
          <w:szCs w:val="21"/>
          <w:highlight w:val="none"/>
        </w:rPr>
      </w:pPr>
      <w:r>
        <w:rPr>
          <w:rFonts w:hint="eastAsia" w:eastAsia="宋体"/>
          <w:color w:val="auto"/>
          <w:sz w:val="21"/>
          <w:szCs w:val="21"/>
          <w:highlight w:val="none"/>
        </w:rPr>
        <w:t>最高限价：</w:t>
      </w:r>
      <w:r>
        <w:rPr>
          <w:rFonts w:hint="eastAsia" w:eastAsia="宋体"/>
          <w:color w:val="auto"/>
          <w:sz w:val="21"/>
          <w:szCs w:val="21"/>
          <w:highlight w:val="none"/>
          <w:lang w:val="en-US" w:eastAsia="zh-CN"/>
        </w:rPr>
        <w:t>591049.17</w:t>
      </w:r>
      <w:r>
        <w:rPr>
          <w:rFonts w:hint="eastAsia" w:eastAsia="宋体"/>
          <w:color w:val="auto"/>
          <w:sz w:val="21"/>
          <w:szCs w:val="21"/>
          <w:highlight w:val="none"/>
        </w:rPr>
        <w:t>元</w:t>
      </w:r>
    </w:p>
    <w:p>
      <w:pPr>
        <w:pStyle w:val="29"/>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color w:val="auto"/>
          <w:szCs w:val="21"/>
          <w:highlight w:val="none"/>
        </w:rPr>
      </w:pPr>
      <w:r>
        <w:rPr>
          <w:rFonts w:hint="eastAsia" w:eastAsia="宋体"/>
          <w:bCs/>
          <w:color w:val="auto"/>
          <w:sz w:val="21"/>
          <w:szCs w:val="21"/>
          <w:highlight w:val="none"/>
        </w:rPr>
        <w:t>采购需求（包括但不限于标的的名称、数量、简要技术需求或服务要求等）</w:t>
      </w:r>
    </w:p>
    <w:p>
      <w:pPr>
        <w:keepNext w:val="0"/>
        <w:keepLines w:val="0"/>
        <w:pageBreakBefore w:val="0"/>
        <w:numPr>
          <w:ilvl w:val="0"/>
          <w:numId w:val="0"/>
        </w:numPr>
        <w:kinsoku/>
        <w:overflowPunct/>
        <w:topLinePunct w:val="0"/>
        <w:autoSpaceDE/>
        <w:autoSpaceDN/>
        <w:bidi w:val="0"/>
        <w:adjustRightInd w:val="0"/>
        <w:snapToGrid w:val="0"/>
        <w:spacing w:line="5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5.1 采购内容：本项目为</w:t>
      </w:r>
      <w:r>
        <w:rPr>
          <w:rFonts w:hint="eastAsia" w:ascii="宋体" w:hAnsi="宋体" w:eastAsia="宋体" w:cs="宋体"/>
          <w:color w:val="auto"/>
          <w:szCs w:val="21"/>
          <w:highlight w:val="none"/>
          <w:lang w:eastAsia="zh-CN"/>
        </w:rPr>
        <w:t>浉河区2022年度耕地资源质量分类更新与监测</w:t>
      </w:r>
      <w:r>
        <w:rPr>
          <w:rFonts w:hint="eastAsia" w:ascii="宋体" w:hAnsi="宋体" w:eastAsia="宋体" w:cs="宋体"/>
          <w:color w:val="auto"/>
          <w:szCs w:val="21"/>
          <w:highlight w:val="none"/>
        </w:rPr>
        <w:t>，主要包括资料收集、耕地资源质量分类调查与监测、方案编制、成果汇编等工作</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5.2服务期限：</w:t>
      </w:r>
      <w:r>
        <w:rPr>
          <w:rFonts w:hint="eastAsia" w:ascii="宋体" w:hAnsi="宋体" w:cs="宋体"/>
          <w:color w:val="auto"/>
          <w:szCs w:val="21"/>
          <w:highlight w:val="none"/>
          <w:lang w:val="en-US" w:eastAsia="zh-CN"/>
        </w:rPr>
        <w:t>自合同签订之日起，按照河南省自然资源厅要求时限完成；</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5.3质量标准：</w:t>
      </w:r>
      <w:r>
        <w:rPr>
          <w:rFonts w:hint="eastAsia" w:ascii="宋体" w:hAnsi="宋体" w:cs="宋体"/>
          <w:color w:val="auto"/>
          <w:szCs w:val="21"/>
          <w:highlight w:val="none"/>
          <w:lang w:eastAsia="zh-CN"/>
        </w:rPr>
        <w:t>满足国家、省、市相关技术要求</w:t>
      </w:r>
      <w:r>
        <w:rPr>
          <w:rFonts w:hint="eastAsia" w:ascii="宋体" w:hAnsi="宋体" w:cs="宋体"/>
          <w:color w:val="auto"/>
          <w:szCs w:val="21"/>
          <w:highlight w:val="none"/>
        </w:rPr>
        <w:t>；</w:t>
      </w:r>
    </w:p>
    <w:p>
      <w:pPr>
        <w:pStyle w:val="29"/>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合同履行期限：自合同签订之日起，按照河南省自然资源厅要求时限完成。</w:t>
      </w:r>
    </w:p>
    <w:p>
      <w:pPr>
        <w:pStyle w:val="29"/>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本项目是否接受联合体投标：否</w:t>
      </w:r>
    </w:p>
    <w:p>
      <w:pPr>
        <w:pStyle w:val="29"/>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是否接受进口产品：否</w:t>
      </w:r>
    </w:p>
    <w:p>
      <w:pPr>
        <w:pStyle w:val="29"/>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是否专门面向中小企业：是</w:t>
      </w:r>
    </w:p>
    <w:p>
      <w:pPr>
        <w:pStyle w:val="29"/>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
          <w:bCs/>
          <w:color w:val="auto"/>
          <w:sz w:val="21"/>
          <w:szCs w:val="21"/>
          <w:highlight w:val="none"/>
        </w:rPr>
      </w:pPr>
      <w:r>
        <w:rPr>
          <w:rFonts w:hint="eastAsia" w:eastAsia="宋体"/>
          <w:b/>
          <w:bCs/>
          <w:color w:val="auto"/>
          <w:sz w:val="21"/>
          <w:szCs w:val="21"/>
          <w:highlight w:val="none"/>
        </w:rPr>
        <w:t>二、申请人资格要求：</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default" w:ascii="宋体" w:hAnsi="宋体" w:cs="宋体"/>
          <w:b w:val="0"/>
          <w:bCs w:val="0"/>
          <w:color w:val="auto"/>
          <w:sz w:val="21"/>
          <w:szCs w:val="21"/>
          <w:highlight w:val="none"/>
          <w:lang w:val="en-US" w:eastAsia="zh-CN"/>
        </w:rPr>
      </w:pPr>
      <w:r>
        <w:rPr>
          <w:rFonts w:hint="eastAsia" w:ascii="宋体" w:hAnsi="宋体" w:cs="宋体"/>
          <w:color w:val="auto"/>
          <w:sz w:val="21"/>
          <w:szCs w:val="21"/>
          <w:highlight w:val="none"/>
          <w:lang w:val="en-US" w:eastAsia="zh-CN"/>
        </w:rPr>
        <w:t>2、落实政府采购政策满足的资格要求：</w:t>
      </w:r>
      <w:r>
        <w:rPr>
          <w:rFonts w:hint="eastAsia" w:ascii="宋体" w:hAnsi="宋体" w:eastAsia="宋体" w:cs="宋体"/>
          <w:color w:val="auto"/>
          <w:highlight w:val="none"/>
          <w:lang w:val="en-US" w:eastAsia="zh-CN"/>
        </w:rPr>
        <w:t>本项目专门面向中小微企业采购。本项目落实优先采购节能环保、环境标志性产品、优先采购自主创 新产品，扶持不发达地区和少数民族地区，促进中小企业、监狱企业、残疾人福利性企业发展等相关政府采购政策。</w:t>
      </w:r>
    </w:p>
    <w:p>
      <w:pPr>
        <w:keepNext w:val="0"/>
        <w:keepLines w:val="0"/>
        <w:pageBreakBefore w:val="0"/>
        <w:numPr>
          <w:ilvl w:val="0"/>
          <w:numId w:val="3"/>
        </w:numPr>
        <w:kinsoku/>
        <w:wordWrap/>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本项目的特定资格要求：</w:t>
      </w:r>
      <w:r>
        <w:rPr>
          <w:rFonts w:hint="eastAsia" w:ascii="宋体" w:hAnsi="宋体" w:cs="宋体"/>
          <w:color w:val="auto"/>
          <w:szCs w:val="21"/>
          <w:highlight w:val="none"/>
        </w:rPr>
        <w:t>供应商须具备行政主管部门核准和颁发的</w:t>
      </w:r>
      <w:r>
        <w:rPr>
          <w:rFonts w:hint="eastAsia" w:ascii="宋体" w:hAnsi="宋体" w:eastAsia="宋体" w:cs="宋体"/>
          <w:color w:val="auto"/>
          <w:szCs w:val="21"/>
          <w:highlight w:val="none"/>
          <w:lang w:val="en-US" w:eastAsia="zh-CN"/>
        </w:rPr>
        <w:t>测绘乙级（含）以上资质和土地估价机构备案函</w:t>
      </w:r>
      <w:r>
        <w:rPr>
          <w:rFonts w:hint="eastAsia" w:ascii="宋体" w:hAnsi="宋体" w:cs="宋体"/>
          <w:color w:val="auto"/>
          <w:szCs w:val="21"/>
          <w:highlight w:val="none"/>
        </w:rPr>
        <w:t>。</w:t>
      </w:r>
    </w:p>
    <w:p>
      <w:pPr>
        <w:keepNext w:val="0"/>
        <w:keepLines w:val="0"/>
        <w:pageBreakBefore w:val="0"/>
        <w:numPr>
          <w:ilvl w:val="0"/>
          <w:numId w:val="0"/>
        </w:numPr>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4、其他说明：</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4.1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4.2 本项目</w:t>
      </w:r>
      <w:r>
        <w:rPr>
          <w:rFonts w:hint="eastAsia" w:ascii="宋体" w:hAnsi="宋体" w:cs="宋体"/>
          <w:color w:val="auto"/>
          <w:sz w:val="21"/>
          <w:szCs w:val="21"/>
          <w:highlight w:val="none"/>
          <w:u w:val="single"/>
          <w:lang w:val="en-US" w:eastAsia="zh-CN"/>
        </w:rPr>
        <w:t xml:space="preserve"> 适用 </w:t>
      </w:r>
      <w:r>
        <w:rPr>
          <w:rFonts w:hint="eastAsia" w:ascii="宋体" w:hAnsi="宋体" w:cs="宋体"/>
          <w:color w:val="auto"/>
          <w:sz w:val="21"/>
          <w:szCs w:val="21"/>
          <w:highlight w:val="none"/>
          <w:lang w:val="en-US" w:eastAsia="zh-CN"/>
        </w:rPr>
        <w:t>信用承诺（详见下述要求）：根据财政部《关于在政府采购活动中查询及使用信用记录有关问题的通知》(财库[2016] 125 号)和豫财购[2016]15 号的规定，对列入失信被执行人、重大税收违法失信主体、政府采购严重违法失信行为记录名单的投标人，视为无效投标。提供“信用中国”网站的列入失信被执行人、重大税收违法失信主体网站截图和“中国政府采购网”网站的政府采购严重违法失信行为记录名单网站截图；查询渠道：“信用中国”网站（www.creditchina.gov.cn）、中国政府采购网（www.ccgp.gov.cn），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①具有独立承担民事责任的能力（提供有效的企业营业执照或其他组织的证明材料）；</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②具有良好的商业信誉和健全的财务会计制度（提供2022年度或2023年度的财务审计报告，若企业成立年份不足1年，则需提供开户行出具的资信证明）；</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③具有履行合同所必须的设备和专业技术能力（提供承诺书）；</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④具有依法缴纳税收和社会保障资金的良好记录【提供2023年内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⑤参加政府采购活动前三年内在经营活动中没有重大违法记录的证明材料（提供承诺书）；</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⑥未被列入失信被执行人、重大税收违法失信主体、政府采购严重违法失信行为记录名单的证明材料。</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pPr>
        <w:pStyle w:val="60"/>
        <w:keepNext w:val="0"/>
        <w:keepLines w:val="0"/>
        <w:pageBreakBefore w:val="0"/>
        <w:kinsoku/>
        <w:overflowPunct/>
        <w:topLinePunct w:val="0"/>
        <w:autoSpaceDE/>
        <w:autoSpaceDN/>
        <w:bidi w:val="0"/>
        <w:spacing w:line="540" w:lineRule="exact"/>
        <w:ind w:firstLine="0" w:firstLineChars="0"/>
        <w:textAlignment w:val="auto"/>
        <w:rPr>
          <w:rFonts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三、获取采购文件</w:t>
      </w:r>
    </w:p>
    <w:p>
      <w:pPr>
        <w:keepNext w:val="0"/>
        <w:keepLines w:val="0"/>
        <w:pageBreakBefore w:val="0"/>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1、时间： 202</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日至202</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日，每天上午00:00至12:00，下午12:01至23:59（北京时间，法定节假日除外。）</w:t>
      </w:r>
    </w:p>
    <w:p>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2、地点：“全国公共资源交易平台（河南省·信阳市）（</w:t>
      </w:r>
      <w:r>
        <w:rPr>
          <w:rFonts w:hint="eastAsia" w:ascii="宋体" w:hAnsi="宋体" w:cs="宋体"/>
          <w:color w:val="auto"/>
          <w:kern w:val="0"/>
          <w:szCs w:val="21"/>
          <w:highlight w:val="none"/>
          <w:lang w:eastAsia="zh-CN"/>
        </w:rPr>
        <w:t>https://ggzyjy.xinyang.gov.cn/</w:t>
      </w:r>
      <w:r>
        <w:rPr>
          <w:rFonts w:hint="eastAsia" w:ascii="宋体" w:hAnsi="宋体" w:cs="宋体"/>
          <w:color w:val="auto"/>
          <w:kern w:val="0"/>
          <w:szCs w:val="21"/>
          <w:highlight w:val="none"/>
        </w:rPr>
        <w:t>）”网站，凭办理的企业身份认证锁（CA数字证书）</w:t>
      </w:r>
      <w:r>
        <w:rPr>
          <w:rFonts w:hint="eastAsia" w:ascii="宋体" w:hAnsi="宋体" w:cs="宋体"/>
          <w:color w:val="auto"/>
          <w:kern w:val="0"/>
          <w:szCs w:val="21"/>
          <w:highlight w:val="none"/>
          <w:lang w:eastAsia="zh-CN"/>
        </w:rPr>
        <w:t>登录</w:t>
      </w:r>
      <w:r>
        <w:rPr>
          <w:rFonts w:hint="eastAsia" w:ascii="宋体" w:hAnsi="宋体" w:cs="宋体"/>
          <w:color w:val="auto"/>
          <w:kern w:val="0"/>
          <w:szCs w:val="21"/>
          <w:highlight w:val="none"/>
        </w:rPr>
        <w:t>会员系统。</w:t>
      </w:r>
    </w:p>
    <w:p>
      <w:pPr>
        <w:pStyle w:val="3"/>
        <w:keepNext w:val="0"/>
        <w:keepLines w:val="0"/>
        <w:pageBreakBefore w:val="0"/>
        <w:kinsoku/>
        <w:overflowPunct/>
        <w:topLinePunct w:val="0"/>
        <w:autoSpaceDE/>
        <w:autoSpaceDN/>
        <w:bidi w:val="0"/>
        <w:spacing w:line="540" w:lineRule="exact"/>
        <w:ind w:firstLine="0" w:firstLineChars="0"/>
        <w:textAlignment w:val="auto"/>
        <w:rPr>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r>
        <w:rPr>
          <w:rFonts w:hint="eastAsia"/>
          <w:highlight w:val="none"/>
        </w:rPr>
        <w:t>办理CA数字证书</w:t>
      </w:r>
      <w:r>
        <w:rPr>
          <w:rFonts w:hint="eastAsia"/>
          <w:highlight w:val="none"/>
          <w:lang w:val="en-US" w:eastAsia="zh-CN"/>
        </w:rPr>
        <w:t>:</w:t>
      </w:r>
      <w:r>
        <w:rPr>
          <w:rFonts w:hint="eastAsia"/>
          <w:highlight w:val="none"/>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pPr>
        <w:keepNext w:val="0"/>
        <w:keepLines w:val="0"/>
        <w:pageBreakBefore w:val="0"/>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、方式：供应商凭CA数字证书</w:t>
      </w:r>
      <w:r>
        <w:rPr>
          <w:rFonts w:hint="eastAsia" w:ascii="宋体" w:hAnsi="宋体" w:cs="宋体"/>
          <w:color w:val="auto"/>
          <w:kern w:val="0"/>
          <w:szCs w:val="21"/>
          <w:highlight w:val="none"/>
          <w:lang w:eastAsia="zh-CN"/>
        </w:rPr>
        <w:t>登录</w:t>
      </w:r>
      <w:r>
        <w:rPr>
          <w:rFonts w:hint="eastAsia" w:ascii="宋体" w:hAnsi="宋体" w:cs="宋体"/>
          <w:color w:val="auto"/>
          <w:kern w:val="0"/>
          <w:szCs w:val="21"/>
          <w:highlight w:val="none"/>
        </w:rPr>
        <w:t>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w:t>
      </w:r>
      <w:r>
        <w:rPr>
          <w:rFonts w:hint="eastAsia" w:ascii="宋体" w:hAnsi="宋体" w:cs="宋体"/>
          <w:color w:val="auto"/>
          <w:kern w:val="0"/>
          <w:szCs w:val="21"/>
          <w:highlight w:val="none"/>
          <w:lang w:eastAsia="zh-CN"/>
        </w:rPr>
        <w:t>https://ggzyjy.xinyang.gov.cn/</w:t>
      </w:r>
      <w:r>
        <w:rPr>
          <w:rFonts w:hint="eastAsia" w:ascii="宋体" w:hAnsi="宋体" w:cs="宋体"/>
          <w:color w:val="auto"/>
          <w:kern w:val="0"/>
          <w:szCs w:val="21"/>
          <w:highlight w:val="none"/>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pPr>
        <w:keepNext w:val="0"/>
        <w:keepLines w:val="0"/>
        <w:pageBreakBefore w:val="0"/>
        <w:kinsoku/>
        <w:overflowPunct/>
        <w:topLinePunct w:val="0"/>
        <w:autoSpaceDE/>
        <w:autoSpaceDN/>
        <w:bidi w:val="0"/>
        <w:spacing w:line="540" w:lineRule="exact"/>
        <w:ind w:firstLine="0" w:firstLineChars="0"/>
        <w:jc w:val="left"/>
        <w:textAlignment w:val="auto"/>
        <w:rPr>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、售价：竞争性磋商文件售价0元。</w:t>
      </w:r>
    </w:p>
    <w:p>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四、响应文件提交：</w:t>
      </w:r>
    </w:p>
    <w:p>
      <w:pPr>
        <w:pStyle w:val="29"/>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40" w:lineRule="exact"/>
        <w:ind w:firstLine="0" w:firstLineChars="0"/>
        <w:textAlignment w:val="auto"/>
        <w:rPr>
          <w:rFonts w:eastAsia="宋体"/>
          <w:color w:val="auto"/>
          <w:sz w:val="21"/>
          <w:szCs w:val="21"/>
          <w:highlight w:val="none"/>
        </w:rPr>
      </w:pPr>
      <w:r>
        <w:rPr>
          <w:rFonts w:hint="eastAsia" w:eastAsia="宋体"/>
          <w:color w:val="auto"/>
          <w:sz w:val="21"/>
          <w:szCs w:val="21"/>
          <w:highlight w:val="none"/>
        </w:rPr>
        <w:t>1、时间：</w:t>
      </w:r>
      <w:r>
        <w:rPr>
          <w:rFonts w:hint="eastAsia" w:eastAsia="宋体"/>
          <w:color w:val="auto"/>
          <w:sz w:val="21"/>
          <w:szCs w:val="21"/>
          <w:highlight w:val="none"/>
          <w:lang w:val="en-US" w:eastAsia="zh-CN"/>
        </w:rPr>
        <w:t>2024</w:t>
      </w:r>
      <w:r>
        <w:rPr>
          <w:rFonts w:hint="eastAsia" w:eastAsia="宋体"/>
          <w:color w:val="auto"/>
          <w:sz w:val="21"/>
          <w:szCs w:val="21"/>
          <w:highlight w:val="none"/>
        </w:rPr>
        <w:t>年</w:t>
      </w:r>
      <w:r>
        <w:rPr>
          <w:rFonts w:hint="eastAsia" w:eastAsia="宋体"/>
          <w:color w:val="auto"/>
          <w:sz w:val="21"/>
          <w:szCs w:val="21"/>
          <w:highlight w:val="none"/>
          <w:lang w:val="en-US" w:eastAsia="zh-CN"/>
        </w:rPr>
        <w:t>3</w:t>
      </w:r>
      <w:r>
        <w:rPr>
          <w:rFonts w:hint="eastAsia" w:eastAsia="宋体"/>
          <w:color w:val="auto"/>
          <w:sz w:val="21"/>
          <w:szCs w:val="21"/>
          <w:highlight w:val="none"/>
        </w:rPr>
        <w:t>月</w:t>
      </w:r>
      <w:r>
        <w:rPr>
          <w:rFonts w:hint="eastAsia" w:eastAsia="宋体"/>
          <w:color w:val="auto"/>
          <w:sz w:val="21"/>
          <w:szCs w:val="21"/>
          <w:highlight w:val="none"/>
          <w:lang w:val="en-US" w:eastAsia="zh-CN"/>
        </w:rPr>
        <w:t>22</w:t>
      </w:r>
      <w:r>
        <w:rPr>
          <w:rFonts w:hint="eastAsia" w:eastAsia="宋体"/>
          <w:color w:val="auto"/>
          <w:sz w:val="21"/>
          <w:szCs w:val="21"/>
          <w:highlight w:val="none"/>
        </w:rPr>
        <w:t>日</w:t>
      </w:r>
      <w:r>
        <w:rPr>
          <w:rFonts w:hint="eastAsia" w:eastAsia="宋体"/>
          <w:color w:val="auto"/>
          <w:sz w:val="21"/>
          <w:szCs w:val="21"/>
          <w:highlight w:val="none"/>
          <w:lang w:val="en-US" w:eastAsia="zh-CN"/>
        </w:rPr>
        <w:t>9</w:t>
      </w:r>
      <w:r>
        <w:rPr>
          <w:rFonts w:hint="eastAsia" w:eastAsia="宋体"/>
          <w:color w:val="auto"/>
          <w:sz w:val="21"/>
          <w:szCs w:val="21"/>
          <w:highlight w:val="none"/>
        </w:rPr>
        <w:t xml:space="preserve"> 时</w:t>
      </w:r>
      <w:r>
        <w:rPr>
          <w:rFonts w:hint="eastAsia" w:eastAsia="宋体"/>
          <w:color w:val="auto"/>
          <w:sz w:val="21"/>
          <w:szCs w:val="21"/>
          <w:highlight w:val="none"/>
          <w:lang w:val="en-US" w:eastAsia="zh-CN"/>
        </w:rPr>
        <w:t>30</w:t>
      </w:r>
      <w:r>
        <w:rPr>
          <w:rFonts w:hint="eastAsia" w:eastAsia="宋体"/>
          <w:color w:val="auto"/>
          <w:sz w:val="21"/>
          <w:szCs w:val="21"/>
          <w:highlight w:val="none"/>
        </w:rPr>
        <w:t>分（北京时间）。</w:t>
      </w:r>
    </w:p>
    <w:p>
      <w:pPr>
        <w:keepNext w:val="0"/>
        <w:keepLines w:val="0"/>
        <w:pageBreakBefore w:val="0"/>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2、地点：供应商必须在响应文件提交截止时间前通过信阳市公共资源交易中心电子招投标系统上传加密的电子响应文件(*.XYTF格式)。注：加密电子响应文件逾期上传采购人不予受理。</w:t>
      </w:r>
    </w:p>
    <w:p>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五、响应文件开启：</w:t>
      </w:r>
    </w:p>
    <w:p>
      <w:pPr>
        <w:pStyle w:val="29"/>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40" w:lineRule="exact"/>
        <w:ind w:firstLine="0" w:firstLineChars="0"/>
        <w:textAlignment w:val="auto"/>
        <w:rPr>
          <w:rFonts w:eastAsia="宋体"/>
          <w:color w:val="auto"/>
          <w:sz w:val="21"/>
          <w:szCs w:val="21"/>
          <w:highlight w:val="none"/>
        </w:rPr>
      </w:pPr>
      <w:r>
        <w:rPr>
          <w:rFonts w:hint="eastAsia" w:eastAsia="宋体"/>
          <w:color w:val="auto"/>
          <w:sz w:val="21"/>
          <w:szCs w:val="21"/>
          <w:highlight w:val="none"/>
        </w:rPr>
        <w:t>1、时间：</w:t>
      </w:r>
      <w:r>
        <w:rPr>
          <w:rFonts w:hint="eastAsia" w:eastAsia="宋体"/>
          <w:color w:val="auto"/>
          <w:sz w:val="21"/>
          <w:szCs w:val="21"/>
          <w:highlight w:val="none"/>
          <w:lang w:val="en-US" w:eastAsia="zh-CN"/>
        </w:rPr>
        <w:t>2024年3月22日9时30分</w:t>
      </w:r>
      <w:r>
        <w:rPr>
          <w:rFonts w:hint="eastAsia" w:eastAsia="宋体"/>
          <w:color w:val="auto"/>
          <w:sz w:val="21"/>
          <w:szCs w:val="21"/>
          <w:highlight w:val="none"/>
        </w:rPr>
        <w:t>（北京时间）。</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2、地点：信阳市公共资源交易中心第</w:t>
      </w:r>
      <w:r>
        <w:rPr>
          <w:rFonts w:hint="eastAsia" w:ascii="宋体" w:hAnsi="宋体" w:cs="宋体"/>
          <w:color w:val="auto"/>
          <w:kern w:val="0"/>
          <w:szCs w:val="21"/>
          <w:highlight w:val="none"/>
          <w:lang w:val="en-US" w:eastAsia="zh-CN"/>
        </w:rPr>
        <w:t>四</w:t>
      </w:r>
      <w:r>
        <w:rPr>
          <w:rFonts w:hint="eastAsia" w:ascii="宋体" w:hAnsi="宋体" w:cs="宋体"/>
          <w:color w:val="auto"/>
          <w:kern w:val="0"/>
          <w:szCs w:val="21"/>
          <w:highlight w:val="none"/>
        </w:rPr>
        <w:t>开标室。</w:t>
      </w:r>
    </w:p>
    <w:p>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六、发布公告的媒介及招标公告期限：</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本次招标公告在《河南省政府采购网》、《全国公共资源交易平台（河南省·信阳市）》网上发布，招标公告期限为五个工作日。</w:t>
      </w:r>
    </w:p>
    <w:p>
      <w:pPr>
        <w:pStyle w:val="3"/>
        <w:keepNext w:val="0"/>
        <w:keepLines w:val="0"/>
        <w:pageBreakBefore w:val="0"/>
        <w:kinsoku/>
        <w:overflowPunct/>
        <w:topLinePunct w:val="0"/>
        <w:autoSpaceDE/>
        <w:autoSpaceDN/>
        <w:bidi w:val="0"/>
        <w:spacing w:line="540" w:lineRule="exact"/>
        <w:ind w:firstLine="0" w:firstLineChars="0"/>
        <w:textAlignment w:val="auto"/>
        <w:rPr>
          <w:rFonts w:ascii="宋体" w:hAnsi="宋体" w:cs="宋体"/>
          <w:b/>
          <w:bCs/>
          <w:color w:val="auto"/>
          <w:szCs w:val="21"/>
          <w:highlight w:val="none"/>
        </w:rPr>
      </w:pPr>
      <w:r>
        <w:rPr>
          <w:rFonts w:hint="eastAsia" w:ascii="宋体" w:hAnsi="宋体" w:cs="宋体"/>
          <w:b/>
          <w:bCs/>
          <w:color w:val="auto"/>
          <w:szCs w:val="21"/>
          <w:highlight w:val="none"/>
        </w:rPr>
        <w:t>七、其他补充事宜：</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2、供应商应当在响应文件提交截止时间前，使用供应商CA数字证书登录不见面开标大厅，在线签到并准时参加开标活动，并在规定时间内完成响应文件解密、答疑澄清等。</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3、逾期解密或者没有准时在线参加开标活动导致的一切后果供应商自行承担。</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4、不见面开标服务的具体事宜，请查阅信阳市公共资源交易中心网站首页—下载中心—信阳市不见面开标大厅系统操作手册 。</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特别提示：供应商在线签到时，应如实准确的填写授权委托人的联系电话，开标当天请务必保证电话保持畅通。</w:t>
      </w:r>
    </w:p>
    <w:p>
      <w:pPr>
        <w:keepNext w:val="0"/>
        <w:keepLines w:val="0"/>
        <w:pageBreakBefore w:val="0"/>
        <w:kinsoku/>
        <w:overflowPunct/>
        <w:topLinePunct w:val="0"/>
        <w:autoSpaceDE/>
        <w:autoSpaceDN/>
        <w:bidi w:val="0"/>
        <w:spacing w:line="540" w:lineRule="exact"/>
        <w:ind w:firstLine="0" w:firstLineChars="0"/>
        <w:textAlignment w:val="auto"/>
        <w:rPr>
          <w:rFonts w:ascii="宋体" w:hAnsi="宋体" w:eastAsia="宋体" w:cs="宋体"/>
          <w:bCs/>
          <w:color w:val="auto"/>
          <w:kern w:val="0"/>
          <w:szCs w:val="24"/>
          <w:highlight w:val="none"/>
        </w:rPr>
      </w:pPr>
      <w:r>
        <w:rPr>
          <w:rFonts w:hint="eastAsia" w:ascii="宋体" w:hAnsi="宋体" w:eastAsia="宋体" w:cs="宋体"/>
          <w:bCs/>
          <w:color w:val="auto"/>
          <w:kern w:val="0"/>
          <w:szCs w:val="24"/>
          <w:highlight w:val="none"/>
          <w:lang w:val="en-US" w:eastAsia="zh-CN"/>
        </w:rPr>
        <w:t>5</w:t>
      </w:r>
      <w:r>
        <w:rPr>
          <w:rFonts w:hint="eastAsia" w:ascii="宋体" w:hAnsi="宋体" w:eastAsia="宋体" w:cs="宋体"/>
          <w:bCs/>
          <w:color w:val="auto"/>
          <w:kern w:val="0"/>
          <w:szCs w:val="24"/>
          <w:highlight w:val="none"/>
        </w:rPr>
        <w:t>.监督部门信息</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eastAsia="宋体" w:cs="宋体"/>
          <w:bCs/>
          <w:color w:val="auto"/>
          <w:kern w:val="0"/>
          <w:szCs w:val="24"/>
          <w:highlight w:val="none"/>
        </w:rPr>
      </w:pPr>
      <w:r>
        <w:rPr>
          <w:rFonts w:hint="eastAsia" w:ascii="宋体" w:hAnsi="宋体" w:eastAsia="宋体" w:cs="宋体"/>
          <w:bCs/>
          <w:color w:val="auto"/>
          <w:kern w:val="0"/>
          <w:szCs w:val="24"/>
          <w:highlight w:val="none"/>
        </w:rPr>
        <w:t>监督单位：信阳市浉河区政府采购管理办公室</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eastAsia="宋体" w:cs="宋体"/>
          <w:bCs/>
          <w:color w:val="auto"/>
          <w:kern w:val="0"/>
          <w:szCs w:val="24"/>
          <w:highlight w:val="none"/>
        </w:rPr>
      </w:pPr>
      <w:r>
        <w:rPr>
          <w:rFonts w:hint="eastAsia" w:ascii="宋体" w:hAnsi="宋体" w:eastAsia="宋体" w:cs="宋体"/>
          <w:bCs/>
          <w:color w:val="auto"/>
          <w:kern w:val="0"/>
          <w:szCs w:val="24"/>
          <w:highlight w:val="none"/>
        </w:rPr>
        <w:t>联系人：张先生</w:t>
      </w:r>
    </w:p>
    <w:p>
      <w:pPr>
        <w:keepNext w:val="0"/>
        <w:keepLines w:val="0"/>
        <w:pageBreakBefore w:val="0"/>
        <w:widowControl/>
        <w:kinsoku/>
        <w:overflowPunct/>
        <w:topLinePunct w:val="0"/>
        <w:autoSpaceDE/>
        <w:autoSpaceDN/>
        <w:bidi w:val="0"/>
        <w:spacing w:line="540" w:lineRule="exact"/>
        <w:ind w:firstLine="0" w:firstLineChars="0"/>
        <w:jc w:val="left"/>
        <w:textAlignment w:val="auto"/>
        <w:rPr>
          <w:highlight w:val="none"/>
        </w:rPr>
      </w:pPr>
      <w:r>
        <w:rPr>
          <w:rFonts w:hint="eastAsia" w:ascii="宋体" w:hAnsi="宋体" w:eastAsia="宋体" w:cs="宋体"/>
          <w:bCs/>
          <w:color w:val="auto"/>
          <w:kern w:val="0"/>
          <w:szCs w:val="24"/>
          <w:highlight w:val="none"/>
        </w:rPr>
        <w:t>监督电话：0376-6312702</w:t>
      </w:r>
    </w:p>
    <w:p>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八、凡对本次招标提出询问，请按照以下方式联系：</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1.采购人信息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信阳市浉河区自然资源局</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eastAsia="宋体" w:cs="宋体"/>
          <w:bCs/>
          <w:color w:val="auto"/>
          <w:kern w:val="0"/>
          <w:highlight w:val="none"/>
        </w:rPr>
        <w:t>信阳市</w:t>
      </w:r>
      <w:r>
        <w:rPr>
          <w:rFonts w:hint="eastAsia" w:ascii="宋体" w:hAnsi="宋体" w:eastAsia="宋体" w:cs="宋体"/>
          <w:bCs/>
          <w:color w:val="auto"/>
          <w:kern w:val="0"/>
          <w:highlight w:val="none"/>
          <w:lang w:eastAsia="zh-CN"/>
        </w:rPr>
        <w:t>浉河区湖东大道与五星街交叉口</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刘坤山</w:t>
      </w:r>
      <w:r>
        <w:rPr>
          <w:rFonts w:hint="eastAsia" w:ascii="宋体" w:hAnsi="宋体" w:cs="宋体"/>
          <w:color w:val="auto"/>
          <w:szCs w:val="21"/>
          <w:highlight w:val="none"/>
        </w:rPr>
        <w:t xml:space="preserve">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电 话：15188286877</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2.采购代理机构信息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名 称：中金泰富工程管理有限公司</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地　址：郑州市经七路15号中亨大厦7楼</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联系人：吴</w:t>
      </w:r>
      <w:r>
        <w:rPr>
          <w:rFonts w:hint="eastAsia" w:ascii="宋体" w:hAnsi="宋体" w:cs="宋体"/>
          <w:color w:val="auto"/>
          <w:szCs w:val="21"/>
          <w:highlight w:val="none"/>
          <w:lang w:eastAsia="zh-CN"/>
        </w:rPr>
        <w:t>伟丽</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联系方式：18530056373</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3.项目联系方式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联 系 人：吴</w:t>
      </w:r>
      <w:r>
        <w:rPr>
          <w:rFonts w:hint="eastAsia" w:ascii="宋体" w:hAnsi="宋体" w:cs="宋体"/>
          <w:color w:val="auto"/>
          <w:szCs w:val="21"/>
          <w:highlight w:val="none"/>
          <w:lang w:eastAsia="zh-CN"/>
        </w:rPr>
        <w:t>伟丽</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电    话：18530056373 </w:t>
      </w:r>
    </w:p>
    <w:p>
      <w:pPr>
        <w:pageBreakBefore w:val="0"/>
        <w:widowControl/>
        <w:kinsoku/>
        <w:overflowPunct/>
        <w:bidi w:val="0"/>
        <w:spacing w:line="360" w:lineRule="auto"/>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            </w:t>
      </w:r>
      <w:bookmarkEnd w:id="8"/>
      <w:bookmarkStart w:id="12" w:name="_Toc8890"/>
    </w:p>
    <w:p>
      <w:pPr>
        <w:pStyle w:val="49"/>
        <w:pageBreakBefore w:val="0"/>
        <w:kinsoku/>
        <w:overflowPunct/>
        <w:bidi w:val="0"/>
        <w:ind w:firstLine="0" w:firstLineChars="0"/>
        <w:rPr>
          <w:color w:val="auto"/>
          <w:highlight w:val="none"/>
        </w:rPr>
      </w:pPr>
    </w:p>
    <w:p>
      <w:pPr>
        <w:pageBreakBefore w:val="0"/>
        <w:kinsoku/>
        <w:overflowPunct/>
        <w:bidi w:val="0"/>
        <w:ind w:firstLine="0" w:firstLineChars="0"/>
        <w:rPr>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p>
    <w:p>
      <w:pPr>
        <w:rPr>
          <w:rFonts w:hint="eastAsia"/>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bookmarkStart w:id="13" w:name="_Toc14928"/>
    </w:p>
    <w:p>
      <w:pPr>
        <w:rPr>
          <w:rFonts w:hint="eastAsia"/>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p>
    <w:p>
      <w:pPr>
        <w:pStyle w:val="27"/>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highlight w:val="none"/>
        </w:rPr>
      </w:pPr>
      <w:r>
        <w:rPr>
          <w:rFonts w:hint="eastAsia" w:ascii="宋体" w:hAnsi="宋体" w:cs="宋体"/>
          <w:b/>
          <w:bCs/>
          <w:color w:val="auto"/>
          <w:sz w:val="32"/>
          <w:szCs w:val="32"/>
          <w:highlight w:val="none"/>
        </w:rPr>
        <w:t>第二章 供应商须知</w:t>
      </w:r>
      <w:bookmarkEnd w:id="9"/>
      <w:bookmarkEnd w:id="10"/>
      <w:bookmarkEnd w:id="11"/>
      <w:bookmarkEnd w:id="12"/>
      <w:bookmarkEnd w:id="13"/>
    </w:p>
    <w:p>
      <w:pPr>
        <w:pStyle w:val="67"/>
        <w:pageBreakBefore w:val="0"/>
        <w:kinsoku/>
        <w:overflowPunct/>
        <w:bidi w:val="0"/>
        <w:ind w:left="0" w:leftChars="0" w:firstLine="0" w:firstLineChars="0"/>
        <w:jc w:val="center"/>
        <w:rPr>
          <w:rFonts w:ascii="宋体" w:hAnsi="宋体" w:eastAsia="宋体"/>
          <w:b/>
          <w:bCs/>
          <w:color w:val="auto"/>
          <w:highlight w:val="none"/>
        </w:rPr>
      </w:pPr>
      <w:bookmarkStart w:id="14" w:name="_Toc22294"/>
      <w:bookmarkStart w:id="15" w:name="_Toc152042304"/>
      <w:bookmarkStart w:id="16" w:name="_Toc27072"/>
      <w:bookmarkStart w:id="17" w:name="_Toc455080107"/>
      <w:bookmarkStart w:id="18" w:name="_Toc466298090"/>
      <w:bookmarkStart w:id="19" w:name="_Toc144974496"/>
      <w:bookmarkStart w:id="20" w:name="_Toc152045528"/>
      <w:bookmarkStart w:id="21" w:name="_Toc471"/>
      <w:r>
        <w:rPr>
          <w:rFonts w:hint="eastAsia" w:ascii="宋体" w:hAnsi="宋体" w:eastAsia="宋体"/>
          <w:b/>
          <w:bCs/>
          <w:color w:val="auto"/>
          <w:highlight w:val="none"/>
        </w:rPr>
        <w:t>供应商须知前附表</w:t>
      </w:r>
      <w:bookmarkEnd w:id="14"/>
      <w:bookmarkEnd w:id="15"/>
      <w:bookmarkEnd w:id="16"/>
      <w:bookmarkEnd w:id="17"/>
      <w:bookmarkEnd w:id="18"/>
      <w:bookmarkEnd w:id="19"/>
      <w:bookmarkEnd w:id="20"/>
      <w:bookmarkEnd w:id="21"/>
    </w:p>
    <w:tbl>
      <w:tblPr>
        <w:tblStyle w:val="31"/>
        <w:tblW w:w="8899" w:type="dxa"/>
        <w:tblInd w:w="108" w:type="dxa"/>
        <w:tblLayout w:type="fixed"/>
        <w:tblCellMar>
          <w:top w:w="0" w:type="dxa"/>
          <w:left w:w="108" w:type="dxa"/>
          <w:bottom w:w="0" w:type="dxa"/>
          <w:right w:w="108" w:type="dxa"/>
        </w:tblCellMar>
      </w:tblPr>
      <w:tblGrid>
        <w:gridCol w:w="1087"/>
        <w:gridCol w:w="2262"/>
        <w:gridCol w:w="5550"/>
      </w:tblGrid>
      <w:tr>
        <w:tblPrEx>
          <w:tblCellMar>
            <w:top w:w="0" w:type="dxa"/>
            <w:left w:w="108" w:type="dxa"/>
            <w:bottom w:w="0" w:type="dxa"/>
            <w:right w:w="108" w:type="dxa"/>
          </w:tblCellMar>
        </w:tblPrEx>
        <w:trPr>
          <w:trHeight w:val="496"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条款名称</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编  列  内  容</w:t>
            </w:r>
          </w:p>
        </w:tc>
      </w:tr>
      <w:tr>
        <w:tblPrEx>
          <w:tblCellMar>
            <w:top w:w="0" w:type="dxa"/>
            <w:left w:w="108" w:type="dxa"/>
            <w:bottom w:w="0" w:type="dxa"/>
            <w:right w:w="108" w:type="dxa"/>
          </w:tblCellMar>
        </w:tblPrEx>
        <w:trPr>
          <w:trHeight w:val="189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采购人</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信阳市浉河区自然资源局</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bCs/>
                <w:color w:val="auto"/>
                <w:kern w:val="0"/>
                <w:highlight w:val="none"/>
              </w:rPr>
              <w:t>信阳市</w:t>
            </w:r>
            <w:r>
              <w:rPr>
                <w:rFonts w:hint="eastAsia" w:ascii="宋体" w:hAnsi="宋体" w:eastAsia="宋体" w:cs="宋体"/>
                <w:bCs/>
                <w:color w:val="auto"/>
                <w:kern w:val="0"/>
                <w:highlight w:val="none"/>
                <w:lang w:eastAsia="zh-CN"/>
              </w:rPr>
              <w:t>浉河区湖东大道与五星街交叉口</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eastAsia="zh-CN"/>
              </w:rPr>
              <w:t>刘坤山</w:t>
            </w:r>
            <w:r>
              <w:rPr>
                <w:rFonts w:hint="eastAsia" w:ascii="宋体" w:hAnsi="宋体" w:eastAsia="宋体" w:cs="宋体"/>
                <w:color w:val="auto"/>
                <w:szCs w:val="21"/>
                <w:highlight w:val="none"/>
              </w:rPr>
              <w:t xml:space="preserve"> </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电 话：15188286877</w:t>
            </w:r>
          </w:p>
        </w:tc>
      </w:tr>
      <w:tr>
        <w:tblPrEx>
          <w:tblCellMar>
            <w:top w:w="0" w:type="dxa"/>
            <w:left w:w="108" w:type="dxa"/>
            <w:bottom w:w="0" w:type="dxa"/>
            <w:right w:w="108" w:type="dxa"/>
          </w:tblCellMar>
        </w:tblPrEx>
        <w:trPr>
          <w:trHeight w:val="193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采购代理机构</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r>
              <w:rPr>
                <w:rFonts w:ascii="宋体" w:hAnsi="宋体" w:eastAsia="宋体" w:cs="宋体"/>
                <w:color w:val="auto"/>
                <w:szCs w:val="21"/>
                <w:highlight w:val="none"/>
              </w:rPr>
              <w:t>名 称：中金泰富工程管理有限公司</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ascii="宋体" w:hAnsi="宋体" w:eastAsia="宋体" w:cs="宋体"/>
                <w:color w:val="auto"/>
                <w:szCs w:val="21"/>
                <w:highlight w:val="none"/>
              </w:rPr>
              <w:t>地　址：郑州市经七路15号中亨大厦7楼</w:t>
            </w:r>
          </w:p>
          <w:p>
            <w:pPr>
              <w:pageBreakBefore w:val="0"/>
              <w:kinsoku/>
              <w:overflowPunct/>
              <w:bidi w:val="0"/>
              <w:spacing w:line="400" w:lineRule="exact"/>
              <w:ind w:firstLine="0" w:firstLineChars="0"/>
              <w:rPr>
                <w:rFonts w:hint="eastAsia" w:ascii="宋体" w:hAnsi="宋体" w:eastAsia="宋体" w:cs="宋体"/>
                <w:color w:val="auto"/>
                <w:szCs w:val="21"/>
                <w:highlight w:val="none"/>
                <w:lang w:eastAsia="zh-CN"/>
              </w:rPr>
            </w:pPr>
            <w:r>
              <w:rPr>
                <w:rFonts w:ascii="宋体" w:hAnsi="宋体" w:eastAsia="宋体" w:cs="宋体"/>
                <w:color w:val="auto"/>
                <w:szCs w:val="21"/>
                <w:highlight w:val="none"/>
              </w:rPr>
              <w:t>联系人：吴</w:t>
            </w:r>
            <w:r>
              <w:rPr>
                <w:rFonts w:hint="eastAsia" w:ascii="宋体" w:hAnsi="宋体" w:eastAsia="宋体" w:cs="宋体"/>
                <w:color w:val="auto"/>
                <w:szCs w:val="21"/>
                <w:highlight w:val="none"/>
                <w:lang w:eastAsia="zh-CN"/>
              </w:rPr>
              <w:t>伟丽</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ascii="宋体" w:hAnsi="宋体" w:eastAsia="宋体" w:cs="宋体"/>
                <w:color w:val="auto"/>
                <w:szCs w:val="21"/>
                <w:highlight w:val="none"/>
              </w:rPr>
              <w:t>联系方式：18530056373</w:t>
            </w:r>
          </w:p>
        </w:tc>
      </w:tr>
      <w:tr>
        <w:tblPrEx>
          <w:tblCellMar>
            <w:top w:w="0" w:type="dxa"/>
            <w:left w:w="108" w:type="dxa"/>
            <w:bottom w:w="0" w:type="dxa"/>
            <w:right w:w="108" w:type="dxa"/>
          </w:tblCellMar>
        </w:tblPrEx>
        <w:trPr>
          <w:trHeight w:val="121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项目名称</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信阳市浉河区自然资源局浉河区2022年度耕地资源质量分类更新与监测工作项目</w:t>
            </w:r>
          </w:p>
        </w:tc>
      </w:tr>
      <w:tr>
        <w:tblPrEx>
          <w:tblCellMar>
            <w:top w:w="0" w:type="dxa"/>
            <w:left w:w="108" w:type="dxa"/>
            <w:bottom w:w="0" w:type="dxa"/>
            <w:right w:w="108" w:type="dxa"/>
          </w:tblCellMar>
        </w:tblPrEx>
        <w:trPr>
          <w:trHeight w:val="865"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right="35" w:firstLine="0" w:firstLineChars="0"/>
              <w:jc w:val="center"/>
              <w:rPr>
                <w:rFonts w:ascii="宋体" w:hAnsi="宋体" w:eastAsia="宋体" w:cs="宋体"/>
                <w:color w:val="auto"/>
                <w:spacing w:val="1"/>
                <w:kern w:val="0"/>
                <w:szCs w:val="21"/>
                <w:highlight w:val="none"/>
              </w:rPr>
            </w:pPr>
            <w:r>
              <w:rPr>
                <w:rFonts w:hint="eastAsia" w:ascii="宋体" w:hAnsi="宋体" w:eastAsia="宋体" w:cs="宋体"/>
                <w:color w:val="auto"/>
                <w:spacing w:val="1"/>
                <w:kern w:val="0"/>
                <w:szCs w:val="21"/>
                <w:highlight w:val="none"/>
              </w:rPr>
              <w:t>采购方式</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left"/>
              <w:rPr>
                <w:rFonts w:ascii="宋体" w:hAnsi="宋体" w:eastAsia="宋体" w:cs="宋体"/>
                <w:color w:val="auto"/>
                <w:spacing w:val="1"/>
                <w:kern w:val="0"/>
                <w:szCs w:val="21"/>
                <w:highlight w:val="none"/>
              </w:rPr>
            </w:pPr>
            <w:r>
              <w:rPr>
                <w:rFonts w:hint="eastAsia" w:ascii="宋体" w:hAnsi="宋体" w:eastAsia="宋体" w:cs="宋体"/>
                <w:color w:val="auto"/>
                <w:spacing w:val="1"/>
                <w:kern w:val="0"/>
                <w:szCs w:val="21"/>
                <w:highlight w:val="none"/>
              </w:rPr>
              <w:t>竞争性磋商</w:t>
            </w:r>
          </w:p>
        </w:tc>
      </w:tr>
      <w:tr>
        <w:tblPrEx>
          <w:tblCellMar>
            <w:top w:w="0" w:type="dxa"/>
            <w:left w:w="108" w:type="dxa"/>
            <w:bottom w:w="0" w:type="dxa"/>
            <w:right w:w="108" w:type="dxa"/>
          </w:tblCellMar>
        </w:tblPrEx>
        <w:trPr>
          <w:trHeight w:val="1144"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预算价（</w:t>
            </w:r>
            <w:r>
              <w:rPr>
                <w:rFonts w:hint="eastAsia" w:ascii="宋体" w:hAnsi="宋体" w:eastAsia="宋体" w:cs="宋体"/>
                <w:color w:val="auto"/>
                <w:szCs w:val="21"/>
                <w:highlight w:val="none"/>
              </w:rPr>
              <w:t>最高限价</w:t>
            </w:r>
            <w:r>
              <w:rPr>
                <w:rFonts w:hint="eastAsia" w:ascii="宋体" w:hAnsi="宋体" w:eastAsia="宋体" w:cs="宋体"/>
                <w:color w:val="auto"/>
                <w:kern w:val="0"/>
                <w:szCs w:val="21"/>
                <w:highlight w:val="none"/>
              </w:rPr>
              <w:t>）</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预算价（最高限价）：</w:t>
            </w:r>
            <w:r>
              <w:rPr>
                <w:rFonts w:hint="eastAsia" w:ascii="宋体" w:hAnsi="宋体" w:eastAsia="宋体" w:cs="宋体"/>
                <w:color w:val="auto"/>
                <w:kern w:val="0"/>
                <w:szCs w:val="21"/>
                <w:highlight w:val="none"/>
                <w:lang w:val="en-US" w:eastAsia="zh-CN"/>
              </w:rPr>
              <w:t>591049.17</w:t>
            </w:r>
            <w:r>
              <w:rPr>
                <w:rFonts w:hint="eastAsia" w:ascii="宋体" w:hAnsi="宋体" w:eastAsia="宋体" w:cs="宋体"/>
                <w:color w:val="auto"/>
                <w:kern w:val="0"/>
                <w:szCs w:val="21"/>
                <w:highlight w:val="none"/>
              </w:rPr>
              <w:t>元</w:t>
            </w:r>
          </w:p>
          <w:p>
            <w:pPr>
              <w:pStyle w:val="57"/>
              <w:pageBreakBefore w:val="0"/>
              <w:kinsoku/>
              <w:overflowPunct/>
              <w:bidi w:val="0"/>
              <w:spacing w:line="400" w:lineRule="exact"/>
              <w:ind w:firstLine="0"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第一次报价超过预算价（最高限价）按无效投标处理。</w:t>
            </w:r>
          </w:p>
        </w:tc>
      </w:tr>
      <w:tr>
        <w:tblPrEx>
          <w:tblCellMar>
            <w:top w:w="0" w:type="dxa"/>
            <w:left w:w="108" w:type="dxa"/>
            <w:bottom w:w="0" w:type="dxa"/>
            <w:right w:w="108" w:type="dxa"/>
          </w:tblCellMar>
        </w:tblPrEx>
        <w:trPr>
          <w:trHeight w:val="85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磋商内容</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本项目为</w:t>
            </w:r>
            <w:r>
              <w:rPr>
                <w:rFonts w:hint="eastAsia" w:ascii="宋体" w:hAnsi="宋体" w:eastAsia="宋体" w:cs="宋体"/>
                <w:color w:val="auto"/>
                <w:szCs w:val="21"/>
                <w:highlight w:val="none"/>
                <w:lang w:eastAsia="zh-CN"/>
              </w:rPr>
              <w:t>浉河区2022年度耕地资源质量分类更新与监测</w:t>
            </w:r>
            <w:r>
              <w:rPr>
                <w:rFonts w:hint="eastAsia" w:ascii="宋体" w:hAnsi="宋体" w:eastAsia="宋体" w:cs="宋体"/>
                <w:color w:val="auto"/>
                <w:szCs w:val="21"/>
                <w:highlight w:val="none"/>
              </w:rPr>
              <w:t>，主要包括资料收集、耕地资源质量分类调查与监测、方案编制、成果汇编等工作</w:t>
            </w:r>
            <w:r>
              <w:rPr>
                <w:rFonts w:hint="eastAsia" w:ascii="宋体" w:hAnsi="宋体" w:eastAsia="宋体" w:cs="宋体"/>
                <w:color w:val="auto"/>
                <w:szCs w:val="21"/>
                <w:highlight w:val="none"/>
                <w:lang w:eastAsia="zh-CN"/>
              </w:rPr>
              <w:t>。</w:t>
            </w:r>
          </w:p>
        </w:tc>
      </w:tr>
      <w:tr>
        <w:tblPrEx>
          <w:tblCellMar>
            <w:top w:w="0" w:type="dxa"/>
            <w:left w:w="108" w:type="dxa"/>
            <w:bottom w:w="0" w:type="dxa"/>
            <w:right w:w="108" w:type="dxa"/>
          </w:tblCellMar>
        </w:tblPrEx>
        <w:trPr>
          <w:trHeight w:val="994"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eastAsia="宋体"/>
                <w:color w:val="auto"/>
                <w:szCs w:val="21"/>
                <w:highlight w:val="none"/>
              </w:rPr>
            </w:pPr>
            <w:r>
              <w:rPr>
                <w:rFonts w:hint="eastAsia" w:ascii="宋体" w:hAnsi="宋体"/>
                <w:color w:val="auto"/>
                <w:szCs w:val="21"/>
                <w:highlight w:val="none"/>
              </w:rPr>
              <w:t>服务期限</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ascii="宋体" w:hAnsi="宋体"/>
                <w:color w:val="auto"/>
                <w:szCs w:val="21"/>
                <w:highlight w:val="none"/>
              </w:rPr>
            </w:pPr>
            <w:r>
              <w:rPr>
                <w:rFonts w:hint="eastAsia" w:ascii="宋体" w:hAnsi="宋体" w:cs="宋体"/>
                <w:color w:val="auto"/>
                <w:szCs w:val="21"/>
                <w:highlight w:val="none"/>
                <w:lang w:val="en-US" w:eastAsia="zh-CN"/>
              </w:rPr>
              <w:t>自合同签订之日起，按照河南省自然资源厅要求时限完成。</w:t>
            </w:r>
          </w:p>
        </w:tc>
      </w:tr>
      <w:tr>
        <w:tblPrEx>
          <w:tblCellMar>
            <w:top w:w="0" w:type="dxa"/>
            <w:left w:w="108" w:type="dxa"/>
            <w:bottom w:w="0" w:type="dxa"/>
            <w:right w:w="108" w:type="dxa"/>
          </w:tblCellMar>
        </w:tblPrEx>
        <w:trPr>
          <w:trHeight w:val="821"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olor w:val="auto"/>
                <w:szCs w:val="21"/>
                <w:highlight w:val="none"/>
              </w:rPr>
            </w:pPr>
            <w:r>
              <w:rPr>
                <w:rFonts w:hint="eastAsia" w:ascii="宋体" w:hAnsi="宋体"/>
                <w:color w:val="auto"/>
                <w:szCs w:val="21"/>
                <w:highlight w:val="none"/>
              </w:rPr>
              <w:t>质量要求</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ascii="宋体" w:hAnsi="宋体"/>
                <w:color w:val="auto"/>
                <w:szCs w:val="21"/>
                <w:highlight w:val="none"/>
              </w:rPr>
            </w:pPr>
            <w:r>
              <w:rPr>
                <w:rFonts w:hint="eastAsia" w:ascii="宋体" w:hAnsi="宋体" w:cs="宋体"/>
                <w:color w:val="auto"/>
                <w:szCs w:val="21"/>
                <w:highlight w:val="none"/>
                <w:lang w:eastAsia="zh-CN"/>
              </w:rPr>
              <w:t>满足国家、省、市相关技术要求</w:t>
            </w:r>
            <w:r>
              <w:rPr>
                <w:rFonts w:hint="eastAsia" w:ascii="宋体" w:hAnsi="宋体" w:cs="宋体"/>
                <w:color w:val="auto"/>
                <w:szCs w:val="21"/>
                <w:highlight w:val="none"/>
              </w:rPr>
              <w:t>；</w:t>
            </w:r>
          </w:p>
        </w:tc>
      </w:tr>
      <w:tr>
        <w:tblPrEx>
          <w:tblCellMar>
            <w:top w:w="0" w:type="dxa"/>
            <w:left w:w="108" w:type="dxa"/>
            <w:bottom w:w="0" w:type="dxa"/>
            <w:right w:w="108" w:type="dxa"/>
          </w:tblCellMar>
        </w:tblPrEx>
        <w:trPr>
          <w:trHeight w:val="75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1.4.5</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eastAsiaTheme="minorEastAsia"/>
                <w:highlight w:val="none"/>
                <w:lang w:eastAsia="zh-CN"/>
              </w:rPr>
            </w:pPr>
            <w:r>
              <w:rPr>
                <w:rFonts w:hint="eastAsia"/>
                <w:highlight w:val="none"/>
                <w:lang w:eastAsia="zh-CN"/>
              </w:rPr>
              <w:t>双方自行约定。</w:t>
            </w:r>
          </w:p>
        </w:tc>
      </w:tr>
      <w:tr>
        <w:tblPrEx>
          <w:tblCellMar>
            <w:top w:w="0" w:type="dxa"/>
            <w:left w:w="108" w:type="dxa"/>
            <w:bottom w:w="0" w:type="dxa"/>
            <w:right w:w="108" w:type="dxa"/>
          </w:tblCellMar>
        </w:tblPrEx>
        <w:trPr>
          <w:trHeight w:val="6284"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供应商资质条件及能力要求</w:t>
            </w:r>
          </w:p>
        </w:tc>
        <w:tc>
          <w:tcPr>
            <w:tcW w:w="555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2、落实政府采购政策满足的资格要求：本项目专门面向中小微企业采购。</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本项目的特定资格要求：</w:t>
            </w:r>
            <w:r>
              <w:rPr>
                <w:rFonts w:hint="eastAsia" w:ascii="宋体" w:hAnsi="宋体" w:cs="宋体"/>
                <w:color w:val="auto"/>
                <w:sz w:val="21"/>
                <w:szCs w:val="21"/>
                <w:highlight w:val="none"/>
              </w:rPr>
              <w:t>供应商须具备行政主管部门核准和颁发的</w:t>
            </w:r>
            <w:r>
              <w:rPr>
                <w:rFonts w:hint="eastAsia" w:ascii="宋体" w:hAnsi="宋体" w:cs="宋体"/>
                <w:color w:val="auto"/>
                <w:sz w:val="21"/>
                <w:szCs w:val="21"/>
                <w:highlight w:val="none"/>
                <w:lang w:val="en-US" w:eastAsia="zh-CN"/>
              </w:rPr>
              <w:t>测绘乙级（含）以上资质和土地估价机构备案函</w:t>
            </w:r>
            <w:r>
              <w:rPr>
                <w:rFonts w:hint="eastAsia" w:ascii="宋体" w:hAnsi="宋体" w:cs="宋体"/>
                <w:color w:val="auto"/>
                <w:sz w:val="21"/>
                <w:szCs w:val="21"/>
                <w:highlight w:val="none"/>
              </w:rPr>
              <w:t>。</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4、其他说明：</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4.1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4.2 本项目 适用 信用承诺（详见下述要求）：根据财政部《关于在政府采购活动中查询及使用信用记录有关问题的通知》(财库[2016] 125 号)和豫财购[2016]15 号的规定，对列入失信被执行人、重大税收违法失信主体、政府采购严重违法失信行为记录名单的投标人，视为无效投标。提供“信用中国”网站的列入失信被执行人、重大税收违法失信主体网站截图和“中国政府采购网”网站的政府采购严重违法失信行为记录名单网站截图；查询渠道：“信用中国”网站（www.creditchina.gov.cn）、中国政府采购网（www.ccgp.gov.cn），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①具有独立承担民事责任的能力（提供有效的企业营业执照或其他组织的证明材料）；</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②具有良好的商业信誉和健全的财务会计制度（提供2022年度或2023年度的财务审计报告，若企业成立年份不足1年，则需提供开户行出具的资信证明）；</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③具有履行合同所必须的设备和专业技术能力（提供承诺书）；</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④具有依法缴纳税收和社会保障资金的良好记录【提供2023年内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⑤参加政府采购活动前三年内在经营活动中没有重大违法记录的证明材料（提供承诺书）；</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⑥未被列入失信被执行人、重大税收违法失信主体、政府采购严重违法失信行为记录名单的证明材料。</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tc>
      </w:tr>
      <w:tr>
        <w:tblPrEx>
          <w:tblCellMar>
            <w:top w:w="0" w:type="dxa"/>
            <w:left w:w="108" w:type="dxa"/>
            <w:bottom w:w="0" w:type="dxa"/>
            <w:right w:w="108" w:type="dxa"/>
          </w:tblCellMar>
        </w:tblPrEx>
        <w:trPr>
          <w:trHeight w:val="493"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是否接受联合体</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7"/>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不接受</w:t>
            </w:r>
          </w:p>
        </w:tc>
      </w:tr>
      <w:tr>
        <w:tblPrEx>
          <w:tblCellMar>
            <w:top w:w="0" w:type="dxa"/>
            <w:left w:w="108" w:type="dxa"/>
            <w:bottom w:w="0" w:type="dxa"/>
            <w:right w:w="108" w:type="dxa"/>
          </w:tblCellMar>
        </w:tblPrEx>
        <w:trPr>
          <w:trHeight w:val="469"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现场踏勘</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7"/>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自行踏勘</w:t>
            </w:r>
          </w:p>
        </w:tc>
      </w:tr>
      <w:tr>
        <w:tblPrEx>
          <w:tblCellMar>
            <w:top w:w="0" w:type="dxa"/>
            <w:left w:w="108" w:type="dxa"/>
            <w:bottom w:w="0" w:type="dxa"/>
            <w:right w:w="108" w:type="dxa"/>
          </w:tblCellMar>
        </w:tblPrEx>
        <w:trPr>
          <w:trHeight w:val="469"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分包</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7"/>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不允许</w:t>
            </w:r>
          </w:p>
        </w:tc>
      </w:tr>
      <w:tr>
        <w:tblPrEx>
          <w:tblCellMar>
            <w:top w:w="0" w:type="dxa"/>
            <w:left w:w="108" w:type="dxa"/>
            <w:bottom w:w="0" w:type="dxa"/>
            <w:right w:w="108" w:type="dxa"/>
          </w:tblCellMar>
        </w:tblPrEx>
        <w:trPr>
          <w:trHeight w:val="105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构成磋商文件</w:t>
            </w:r>
          </w:p>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除磋商文件外，采购人在磋商期间发出的澄清、修改、补充、补遗和其它有效正式函件等内容均是磋商文件的组成部分</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供应商提出问题的截止时间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eastAsia="宋体" w:cs="宋体"/>
                <w:color w:val="auto"/>
                <w:szCs w:val="21"/>
                <w:highlight w:val="none"/>
              </w:rPr>
            </w:pPr>
            <w:r>
              <w:rPr>
                <w:rFonts w:hint="eastAsia" w:ascii="宋体" w:hAnsi="宋体" w:cs="宋体"/>
                <w:color w:val="auto"/>
                <w:szCs w:val="21"/>
                <w:highlight w:val="none"/>
              </w:rPr>
              <w:t>公告发布之日起7个工作日内</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采购人澄清磋商文件的截止时间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递交响应文件截止之日</w:t>
            </w:r>
            <w:r>
              <w:rPr>
                <w:rFonts w:hint="eastAsia" w:ascii="宋体" w:hAnsi="宋体" w:cs="宋体"/>
                <w:color w:val="auto"/>
                <w:szCs w:val="21"/>
                <w:highlight w:val="none"/>
                <w:u w:val="single"/>
              </w:rPr>
              <w:t>5</w:t>
            </w:r>
            <w:r>
              <w:rPr>
                <w:rFonts w:hint="eastAsia" w:ascii="宋体" w:hAnsi="宋体" w:cs="宋体"/>
                <w:color w:val="auto"/>
                <w:szCs w:val="21"/>
                <w:highlight w:val="none"/>
              </w:rPr>
              <w:t>天前</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供应商确认收到磋商文件澄清的时间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在收到相应澄清文件后</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小时内</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供应商确认收到磋商文件修改的时间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在收到相应修改文件后</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小时内</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构成响应文件</w:t>
            </w:r>
          </w:p>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供应商认为需要提交的其他证明材料</w:t>
            </w:r>
          </w:p>
        </w:tc>
      </w:tr>
      <w:tr>
        <w:tblPrEx>
          <w:tblCellMar>
            <w:top w:w="0" w:type="dxa"/>
            <w:left w:w="108" w:type="dxa"/>
            <w:bottom w:w="0" w:type="dxa"/>
            <w:right w:w="108" w:type="dxa"/>
          </w:tblCellMar>
        </w:tblPrEx>
        <w:trPr>
          <w:trHeight w:val="39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磋商有效期</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60日历天（响应文件截止之日起）</w:t>
            </w:r>
          </w:p>
        </w:tc>
      </w:tr>
      <w:tr>
        <w:tblPrEx>
          <w:tblCellMar>
            <w:top w:w="0" w:type="dxa"/>
            <w:left w:w="108" w:type="dxa"/>
            <w:bottom w:w="0" w:type="dxa"/>
            <w:right w:w="108" w:type="dxa"/>
          </w:tblCellMar>
        </w:tblPrEx>
        <w:trPr>
          <w:trHeight w:val="359"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textAlignment w:val="center"/>
              <w:rPr>
                <w:rFonts w:ascii="宋体" w:hAnsi="宋体"/>
                <w:color w:val="auto"/>
                <w:szCs w:val="21"/>
                <w:highlight w:val="none"/>
              </w:rPr>
            </w:pPr>
            <w:r>
              <w:rPr>
                <w:rFonts w:hint="eastAsia" w:ascii="宋体" w:hAnsi="宋体"/>
                <w:color w:val="auto"/>
                <w:szCs w:val="21"/>
                <w:highlight w:val="none"/>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textAlignment w:val="center"/>
              <w:rPr>
                <w:color w:val="auto"/>
                <w:szCs w:val="24"/>
                <w:highlight w:val="none"/>
              </w:rPr>
            </w:pPr>
            <w:r>
              <w:rPr>
                <w:color w:val="auto"/>
                <w:highlight w:val="none"/>
              </w:rPr>
              <w:t>报价方式</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textAlignment w:val="center"/>
              <w:rPr>
                <w:rFonts w:ascii="宋体" w:hAnsi="宋体"/>
                <w:color w:val="auto"/>
                <w:szCs w:val="24"/>
                <w:highlight w:val="none"/>
              </w:rPr>
            </w:pPr>
            <w:r>
              <w:rPr>
                <w:rFonts w:hint="eastAsia" w:ascii="宋体" w:hAnsi="宋体"/>
                <w:color w:val="auto"/>
                <w:highlight w:val="none"/>
              </w:rPr>
              <w:t>自主报价</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3.6</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是否允许递交</w:t>
            </w:r>
          </w:p>
          <w:p>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备选磋商方案</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7"/>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不允许</w:t>
            </w:r>
          </w:p>
        </w:tc>
      </w:tr>
      <w:tr>
        <w:tblPrEx>
          <w:tblCellMar>
            <w:top w:w="0" w:type="dxa"/>
            <w:left w:w="108" w:type="dxa"/>
            <w:bottom w:w="0" w:type="dxa"/>
            <w:right w:w="108" w:type="dxa"/>
          </w:tblCellMar>
        </w:tblPrEx>
        <w:trPr>
          <w:trHeight w:val="14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电子响应文件</w:t>
            </w:r>
          </w:p>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签字盖章要求</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（1）所有要求供应商加盖公章的地方都须加盖供应商的 CA 印章。</w:t>
            </w:r>
          </w:p>
          <w:p>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（2）所有要求法定代表人或其委托代理人签字的地方都须法定代表人或其委托代理人加盖CA印章或签字。</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响应文件份数</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left"/>
              <w:rPr>
                <w:rFonts w:ascii="宋体" w:hAnsi="宋体" w:cs="宋体"/>
                <w:bCs/>
                <w:color w:val="auto"/>
                <w:szCs w:val="21"/>
                <w:highlight w:val="none"/>
              </w:rPr>
            </w:pPr>
            <w:r>
              <w:rPr>
                <w:rFonts w:hint="eastAsia" w:ascii="宋体" w:hAnsi="宋体" w:cs="宋体"/>
                <w:bCs/>
                <w:color w:val="auto"/>
                <w:szCs w:val="21"/>
                <w:highlight w:val="none"/>
              </w:rPr>
              <w:t>加密的电子响应文件壹份（*.XYTF 格式，在会员系统指定位置上传）</w:t>
            </w:r>
          </w:p>
        </w:tc>
      </w:tr>
      <w:tr>
        <w:tblPrEx>
          <w:tblCellMar>
            <w:top w:w="0" w:type="dxa"/>
            <w:left w:w="108" w:type="dxa"/>
            <w:bottom w:w="0" w:type="dxa"/>
            <w:right w:w="108" w:type="dxa"/>
          </w:tblCellMar>
        </w:tblPrEx>
        <w:trPr>
          <w:trHeight w:val="402"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4.2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响应文件的递交</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1、电子响应文件的递交</w:t>
            </w:r>
          </w:p>
          <w:p>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 xml:space="preserve">2、本项目采用“不见面开标”交易方式，不见面开标大厅网址为 </w:t>
            </w:r>
            <w:r>
              <w:rPr>
                <w:color w:val="auto"/>
                <w:highlight w:val="none"/>
              </w:rPr>
              <w:fldChar w:fldCharType="begin"/>
            </w:r>
            <w:r>
              <w:rPr>
                <w:color w:val="auto"/>
                <w:highlight w:val="none"/>
              </w:rPr>
              <w:instrText xml:space="preserve"> HYPERLINK "http://117.158.91.68:8095/xxhy，投标人无需寄送和递交非加密的电子投标文件，无需到现场参加开标会议，无需到达现场提交原件资料。" </w:instrText>
            </w:r>
            <w:r>
              <w:rPr>
                <w:color w:val="auto"/>
                <w:highlight w:val="none"/>
              </w:rPr>
              <w:fldChar w:fldCharType="separate"/>
            </w:r>
            <w:r>
              <w:rPr>
                <w:rFonts w:hint="eastAsia" w:ascii="宋体" w:hAnsi="宋体" w:cs="宋体"/>
                <w:color w:val="auto"/>
                <w:szCs w:val="21"/>
                <w:highlight w:val="none"/>
                <w:lang w:eastAsia="zh-CN"/>
              </w:rPr>
              <w:t>https://ggzyjy.xinyang.gov.cn/BidOpening/bidhall/xinyang/login.html</w:t>
            </w:r>
            <w:r>
              <w:rPr>
                <w:rFonts w:hint="eastAsia" w:ascii="宋体" w:hAnsi="宋体" w:cs="宋体"/>
                <w:color w:val="auto"/>
                <w:szCs w:val="21"/>
                <w:highlight w:val="none"/>
              </w:rPr>
              <w:t>，供应商无需寄送和递交非加密的电子响应文件，无需到现场参加开标会议，无需到达现场提交原件资料。</w:t>
            </w:r>
            <w:r>
              <w:rPr>
                <w:rFonts w:hint="eastAsia" w:ascii="宋体" w:hAnsi="宋体" w:cs="宋体"/>
                <w:color w:val="auto"/>
                <w:szCs w:val="21"/>
                <w:highlight w:val="none"/>
              </w:rPr>
              <w:fldChar w:fldCharType="end"/>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5.1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提交响应文件</w:t>
            </w:r>
          </w:p>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eastAsia="宋体" w:cs="宋体"/>
                <w:bCs/>
                <w:color w:val="auto"/>
                <w:szCs w:val="21"/>
                <w:highlight w:val="none"/>
                <w:lang w:val="en-US" w:eastAsia="zh-CN"/>
              </w:rPr>
              <w:t>2024</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22日09</w:t>
            </w:r>
            <w:r>
              <w:rPr>
                <w:rFonts w:hint="eastAsia" w:ascii="宋体" w:hAnsi="宋体" w:eastAsia="宋体" w:cs="宋体"/>
                <w:bCs/>
                <w:color w:val="auto"/>
                <w:szCs w:val="21"/>
                <w:highlight w:val="none"/>
              </w:rPr>
              <w:t>时</w:t>
            </w:r>
            <w:r>
              <w:rPr>
                <w:rFonts w:hint="eastAsia" w:ascii="宋体" w:hAnsi="宋体" w:eastAsia="宋体" w:cs="宋体"/>
                <w:bCs/>
                <w:color w:val="auto"/>
                <w:szCs w:val="21"/>
                <w:highlight w:val="none"/>
                <w:lang w:val="en-US" w:eastAsia="zh-CN"/>
              </w:rPr>
              <w:t>30</w:t>
            </w:r>
            <w:r>
              <w:rPr>
                <w:rFonts w:hint="eastAsia" w:ascii="宋体" w:hAnsi="宋体" w:eastAsia="宋体" w:cs="宋体"/>
                <w:bCs/>
                <w:color w:val="auto"/>
                <w:szCs w:val="21"/>
                <w:highlight w:val="none"/>
              </w:rPr>
              <w:t>分</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磋商时间和地点</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left"/>
              <w:rPr>
                <w:rFonts w:ascii="宋体" w:hAnsi="宋体" w:cs="宋体"/>
                <w:color w:val="auto"/>
                <w:kern w:val="0"/>
                <w:szCs w:val="21"/>
                <w:highlight w:val="none"/>
              </w:rPr>
            </w:pPr>
            <w:r>
              <w:rPr>
                <w:rFonts w:hint="eastAsia" w:ascii="宋体" w:hAnsi="宋体" w:cs="宋体"/>
                <w:color w:val="auto"/>
                <w:szCs w:val="21"/>
                <w:highlight w:val="none"/>
              </w:rPr>
              <w:t>磋商</w:t>
            </w:r>
            <w:r>
              <w:rPr>
                <w:rFonts w:hint="eastAsia" w:ascii="宋体" w:hAnsi="宋体" w:cs="宋体"/>
                <w:color w:val="auto"/>
                <w:kern w:val="0"/>
                <w:szCs w:val="21"/>
                <w:highlight w:val="none"/>
              </w:rPr>
              <w:t>时间：同</w:t>
            </w:r>
            <w:r>
              <w:rPr>
                <w:rFonts w:hint="eastAsia" w:ascii="宋体" w:hAnsi="宋体" w:cs="宋体"/>
                <w:color w:val="auto"/>
                <w:szCs w:val="21"/>
                <w:highlight w:val="none"/>
              </w:rPr>
              <w:t>响应文件提交</w:t>
            </w:r>
            <w:r>
              <w:rPr>
                <w:rFonts w:hint="eastAsia" w:ascii="宋体" w:hAnsi="宋体" w:cs="宋体"/>
                <w:color w:val="auto"/>
                <w:kern w:val="0"/>
                <w:szCs w:val="21"/>
                <w:highlight w:val="none"/>
              </w:rPr>
              <w:t>截止时间</w:t>
            </w:r>
          </w:p>
          <w:p>
            <w:pPr>
              <w:pageBreakBefore w:val="0"/>
              <w:kinsoku/>
              <w:overflowPunct/>
              <w:bidi w:val="0"/>
              <w:spacing w:line="400" w:lineRule="exact"/>
              <w:ind w:firstLine="0" w:firstLineChars="0"/>
              <w:jc w:val="left"/>
              <w:rPr>
                <w:rFonts w:ascii="宋体" w:hAnsi="宋体" w:eastAsia="宋体" w:cs="宋体"/>
                <w:color w:val="auto"/>
                <w:szCs w:val="21"/>
                <w:highlight w:val="none"/>
              </w:rPr>
            </w:pPr>
            <w:r>
              <w:rPr>
                <w:rFonts w:hint="eastAsia" w:ascii="宋体" w:hAnsi="宋体" w:cs="宋体"/>
                <w:color w:val="auto"/>
                <w:szCs w:val="21"/>
                <w:highlight w:val="none"/>
              </w:rPr>
              <w:t>磋商</w:t>
            </w:r>
            <w:r>
              <w:rPr>
                <w:rFonts w:hint="eastAsia" w:ascii="宋体" w:hAnsi="宋体" w:cs="宋体"/>
                <w:color w:val="auto"/>
                <w:kern w:val="0"/>
                <w:szCs w:val="21"/>
                <w:highlight w:val="none"/>
              </w:rPr>
              <w:t>地点：信阳市公共资源交易中心第</w:t>
            </w:r>
            <w:r>
              <w:rPr>
                <w:rFonts w:hint="eastAsia" w:ascii="宋体" w:hAnsi="宋体" w:cs="宋体"/>
                <w:color w:val="auto"/>
                <w:kern w:val="0"/>
                <w:szCs w:val="21"/>
                <w:highlight w:val="none"/>
                <w:lang w:val="en-US" w:eastAsia="zh-CN"/>
              </w:rPr>
              <w:t>四</w:t>
            </w:r>
            <w:r>
              <w:rPr>
                <w:rFonts w:hint="eastAsia" w:ascii="宋体" w:hAnsi="宋体" w:cs="宋体"/>
                <w:color w:val="auto"/>
                <w:kern w:val="0"/>
                <w:szCs w:val="21"/>
                <w:highlight w:val="none"/>
              </w:rPr>
              <w:t>开标室</w:t>
            </w:r>
          </w:p>
        </w:tc>
      </w:tr>
      <w:tr>
        <w:tblPrEx>
          <w:tblCellMar>
            <w:top w:w="0" w:type="dxa"/>
            <w:left w:w="108" w:type="dxa"/>
            <w:bottom w:w="0" w:type="dxa"/>
            <w:right w:w="108" w:type="dxa"/>
          </w:tblCellMar>
        </w:tblPrEx>
        <w:trPr>
          <w:trHeight w:val="105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6.1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磋商小组的组建</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磋商小组构成：</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人，其中业主评委</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人，技术、经济类专家</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人；</w:t>
            </w:r>
          </w:p>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专家确定方式：磋商前从政府采购专家库中随机抽取。</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7.1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是否授权磋商小组</w:t>
            </w:r>
          </w:p>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确定成交人</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否；推荐的成交候选人数：3名</w:t>
            </w:r>
          </w:p>
        </w:tc>
      </w:tr>
      <w:tr>
        <w:tblPrEx>
          <w:tblCellMar>
            <w:top w:w="0" w:type="dxa"/>
            <w:left w:w="108" w:type="dxa"/>
            <w:bottom w:w="0" w:type="dxa"/>
            <w:right w:w="108" w:type="dxa"/>
          </w:tblCellMar>
        </w:tblPrEx>
        <w:trPr>
          <w:trHeight w:val="412"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无</w:t>
            </w:r>
          </w:p>
        </w:tc>
      </w:tr>
      <w:tr>
        <w:tblPrEx>
          <w:tblCellMar>
            <w:top w:w="0" w:type="dxa"/>
            <w:left w:w="108" w:type="dxa"/>
            <w:bottom w:w="0" w:type="dxa"/>
            <w:right w:w="108" w:type="dxa"/>
          </w:tblCellMar>
        </w:tblPrEx>
        <w:trPr>
          <w:trHeight w:val="481"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需要补充的其他内容</w:t>
            </w:r>
          </w:p>
        </w:tc>
      </w:tr>
      <w:tr>
        <w:tblPrEx>
          <w:tblCellMar>
            <w:top w:w="0" w:type="dxa"/>
            <w:left w:w="108" w:type="dxa"/>
            <w:bottom w:w="0" w:type="dxa"/>
            <w:right w:w="108" w:type="dxa"/>
          </w:tblCellMar>
        </w:tblPrEx>
        <w:trPr>
          <w:trHeight w:val="1757"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解释权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ascii="宋体" w:hAnsi="宋体"/>
                <w:color w:val="auto"/>
                <w:szCs w:val="21"/>
                <w:highlight w:val="none"/>
              </w:rPr>
            </w:pPr>
            <w:r>
              <w:rPr>
                <w:rFonts w:hint="eastAsia" w:ascii="宋体" w:hAnsi="宋体" w:eastAsia="宋体" w:cs="宋体"/>
                <w:color w:val="auto"/>
                <w:kern w:val="0"/>
                <w:szCs w:val="21"/>
                <w:highlight w:val="none"/>
              </w:rPr>
              <w:t>标书雷同性分析</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rPr>
                <w:rFonts w:ascii="宋体" w:hAnsi="宋体"/>
                <w:color w:val="auto"/>
                <w:szCs w:val="21"/>
                <w:highlight w:val="none"/>
              </w:rPr>
            </w:pPr>
            <w:r>
              <w:rPr>
                <w:rFonts w:hint="eastAsia" w:ascii="宋体" w:hAnsi="宋体" w:eastAsia="宋体" w:cs="宋体"/>
                <w:color w:val="auto"/>
                <w:kern w:val="0"/>
                <w:szCs w:val="21"/>
                <w:highlight w:val="none"/>
              </w:rPr>
              <w:t>文件制作机器码、文件创建标识码有相同的按废标处理。</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eastAsia="宋体"/>
                <w:color w:val="auto"/>
                <w:szCs w:val="21"/>
                <w:highlight w:val="none"/>
              </w:rPr>
            </w:pPr>
            <w:r>
              <w:rPr>
                <w:rFonts w:ascii="宋体" w:hAnsi="宋体" w:eastAsia="宋体"/>
                <w:color w:val="auto"/>
                <w:szCs w:val="21"/>
                <w:highlight w:val="none"/>
              </w:rPr>
              <w:t>采购代理服务费</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ascii="宋体" w:hAnsi="宋体" w:eastAsia="宋体"/>
                <w:color w:val="auto"/>
                <w:szCs w:val="21"/>
                <w:highlight w:val="none"/>
              </w:rPr>
            </w:pPr>
            <w:r>
              <w:rPr>
                <w:rFonts w:hint="eastAsia" w:ascii="宋体" w:hAnsi="宋体" w:eastAsia="宋体"/>
                <w:color w:val="auto"/>
                <w:szCs w:val="21"/>
                <w:highlight w:val="none"/>
                <w:lang w:eastAsia="zh-CN"/>
              </w:rPr>
              <w:t>招标代理服务费按《河南省招标代理服务收费指导意见》计取，</w:t>
            </w:r>
            <w:r>
              <w:rPr>
                <w:rFonts w:hint="eastAsia" w:ascii="宋体" w:hAnsi="宋体" w:eastAsia="宋体"/>
                <w:color w:val="auto"/>
                <w:szCs w:val="21"/>
                <w:highlight w:val="none"/>
              </w:rPr>
              <w:t>由中标供应商在领取中标通知书前向代理机构支付。</w:t>
            </w:r>
          </w:p>
        </w:tc>
      </w:tr>
      <w:tr>
        <w:tblPrEx>
          <w:tblCellMar>
            <w:top w:w="0" w:type="dxa"/>
            <w:left w:w="108" w:type="dxa"/>
            <w:bottom w:w="0" w:type="dxa"/>
            <w:right w:w="108" w:type="dxa"/>
          </w:tblCellMar>
        </w:tblPrEx>
        <w:trPr>
          <w:trHeight w:val="3863"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eastAsia="宋体"/>
                <w:color w:val="auto"/>
                <w:szCs w:val="21"/>
                <w:highlight w:val="none"/>
              </w:rPr>
            </w:pPr>
            <w:bookmarkStart w:id="22" w:name="_Toc152042305"/>
            <w:bookmarkStart w:id="23" w:name="_Toc10694"/>
            <w:bookmarkStart w:id="24" w:name="_Toc455080108"/>
            <w:bookmarkStart w:id="25" w:name="_Toc466298091"/>
            <w:bookmarkStart w:id="26" w:name="_Toc152045529"/>
            <w:bookmarkStart w:id="27" w:name="_Toc144974497"/>
            <w:r>
              <w:rPr>
                <w:rFonts w:ascii="宋体" w:hAnsi="宋体" w:eastAsia="宋体"/>
                <w:color w:val="auto"/>
                <w:szCs w:val="21"/>
                <w:highlight w:val="none"/>
              </w:rPr>
              <w:t>河南省政府采购合同融资政策告知函</w:t>
            </w:r>
          </w:p>
          <w:p>
            <w:pPr>
              <w:pageBreakBefore w:val="0"/>
              <w:kinsoku/>
              <w:overflowPunct/>
              <w:bidi w:val="0"/>
              <w:spacing w:line="400" w:lineRule="exact"/>
              <w:ind w:firstLine="0" w:firstLineChars="0"/>
              <w:jc w:val="center"/>
              <w:rPr>
                <w:rFonts w:ascii="宋体" w:hAnsi="宋体" w:eastAsia="宋体"/>
                <w:color w:val="auto"/>
                <w:szCs w:val="21"/>
                <w:highlight w:val="none"/>
              </w:rPr>
            </w:pP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各供应商：</w:t>
            </w:r>
          </w:p>
          <w:p>
            <w:pPr>
              <w:pageBreakBefore w:val="0"/>
              <w:kinsoku/>
              <w:overflowPunct/>
              <w:bidi w:val="0"/>
              <w:spacing w:line="400" w:lineRule="exact"/>
              <w:ind w:firstLine="0" w:firstLineChars="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欢迎贵公司参与河南省政府采购活动！</w:t>
            </w:r>
          </w:p>
          <w:p>
            <w:pPr>
              <w:pageBreakBefore w:val="0"/>
              <w:kinsoku/>
              <w:overflowPunct/>
              <w:bidi w:val="0"/>
              <w:spacing w:line="400" w:lineRule="exact"/>
              <w:ind w:firstLine="0" w:firstLineChars="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ageBreakBefore w:val="0"/>
              <w:kinsoku/>
              <w:overflowPunct/>
              <w:bidi w:val="0"/>
              <w:spacing w:line="400" w:lineRule="exact"/>
              <w:ind w:firstLine="0" w:firstLineChars="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贷款渠道和提供贷款的金融机构，可在河南省政府采购网“河南省政府采购合同融资平台”查询联系。政策解读网址：http://www.hngp.gov.cn/henan/content?infoId=1601449567470800&amp;channelCode=H6016</w:t>
            </w:r>
          </w:p>
        </w:tc>
      </w:tr>
      <w:tr>
        <w:tblPrEx>
          <w:tblCellMar>
            <w:top w:w="0" w:type="dxa"/>
            <w:left w:w="108" w:type="dxa"/>
            <w:bottom w:w="0" w:type="dxa"/>
            <w:right w:w="108" w:type="dxa"/>
          </w:tblCellMar>
        </w:tblPrEx>
        <w:trPr>
          <w:trHeight w:val="564"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ascii="宋体" w:hAnsi="宋体" w:eastAsia="宋体"/>
                <w:color w:val="auto"/>
                <w:szCs w:val="21"/>
                <w:highlight w:val="none"/>
              </w:rPr>
            </w:pPr>
            <w:bookmarkStart w:id="28" w:name="_Toc24740"/>
            <w:r>
              <w:rPr>
                <w:rFonts w:hint="eastAsia" w:ascii="宋体" w:hAnsi="宋体" w:eastAsia="宋体"/>
                <w:color w:val="auto"/>
                <w:szCs w:val="21"/>
                <w:highlight w:val="none"/>
              </w:rPr>
              <w:t>其它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olor w:val="auto"/>
                <w:szCs w:val="21"/>
                <w:highlight w:val="none"/>
              </w:rPr>
            </w:pPr>
            <w:r>
              <w:rPr>
                <w:rFonts w:hint="eastAsia" w:ascii="宋体" w:hAnsi="宋体" w:eastAsia="宋体"/>
                <w:color w:val="auto"/>
                <w:szCs w:val="21"/>
                <w:highlight w:val="none"/>
              </w:rPr>
              <w:t>本项目所属行业为其他未列明行业</w:t>
            </w:r>
          </w:p>
        </w:tc>
      </w:tr>
    </w:tbl>
    <w:p>
      <w:pPr>
        <w:pStyle w:val="67"/>
        <w:pageBreakBefore w:val="0"/>
        <w:kinsoku/>
        <w:overflowPunct/>
        <w:bidi w:val="0"/>
        <w:spacing w:line="360" w:lineRule="auto"/>
        <w:ind w:firstLine="0" w:firstLineChars="0"/>
        <w:rPr>
          <w:rFonts w:hint="eastAsia" w:ascii="宋体" w:hAnsi="宋体" w:eastAsia="宋体"/>
          <w:b/>
          <w:bCs/>
          <w:color w:val="auto"/>
          <w:sz w:val="24"/>
          <w:szCs w:val="24"/>
          <w:highlight w:val="none"/>
        </w:rPr>
      </w:pPr>
    </w:p>
    <w:p>
      <w:pPr>
        <w:pStyle w:val="67"/>
        <w:pageBreakBefore w:val="0"/>
        <w:kinsoku/>
        <w:overflowPunct/>
        <w:bidi w:val="0"/>
        <w:spacing w:line="360" w:lineRule="auto"/>
        <w:ind w:firstLine="0" w:firstLineChars="0"/>
        <w:rPr>
          <w:rFonts w:ascii="宋体" w:hAnsi="宋体" w:eastAsia="宋体"/>
          <w:color w:val="auto"/>
          <w:sz w:val="21"/>
          <w:szCs w:val="21"/>
          <w:highlight w:val="none"/>
        </w:rPr>
      </w:pPr>
      <w:r>
        <w:rPr>
          <w:rFonts w:hint="eastAsia" w:ascii="宋体" w:hAnsi="宋体" w:eastAsia="宋体"/>
          <w:b/>
          <w:bCs/>
          <w:color w:val="auto"/>
          <w:sz w:val="24"/>
          <w:szCs w:val="24"/>
          <w:highlight w:val="none"/>
        </w:rPr>
        <w:t>1</w:t>
      </w:r>
      <w:r>
        <w:rPr>
          <w:rFonts w:hint="eastAsia" w:ascii="宋体" w:hAnsi="宋体" w:eastAsia="宋体"/>
          <w:b/>
          <w:bCs/>
          <w:color w:val="auto"/>
          <w:sz w:val="21"/>
          <w:szCs w:val="21"/>
          <w:highlight w:val="none"/>
        </w:rPr>
        <w:t>. 总则</w:t>
      </w:r>
      <w:bookmarkEnd w:id="22"/>
      <w:bookmarkEnd w:id="23"/>
      <w:bookmarkEnd w:id="24"/>
      <w:bookmarkEnd w:id="25"/>
      <w:bookmarkEnd w:id="26"/>
      <w:bookmarkEnd w:id="27"/>
      <w:bookmarkEnd w:id="28"/>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9" w:name="_Toc1209"/>
      <w:bookmarkStart w:id="30" w:name="_Toc15709"/>
      <w:bookmarkStart w:id="31" w:name="_Toc31404"/>
      <w:bookmarkStart w:id="32" w:name="_Toc21979"/>
      <w:bookmarkStart w:id="33" w:name="_Toc281380952"/>
      <w:bookmarkStart w:id="34" w:name="_Toc455080109"/>
      <w:bookmarkStart w:id="35" w:name="_Toc27339"/>
      <w:bookmarkStart w:id="36" w:name="_Toc466298092"/>
      <w:bookmarkStart w:id="37" w:name="_Toc9953"/>
      <w:bookmarkStart w:id="38" w:name="_Toc20827"/>
      <w:bookmarkStart w:id="39" w:name="_Toc274409866"/>
      <w:bookmarkStart w:id="40" w:name="_Toc1669"/>
      <w:bookmarkStart w:id="41" w:name="_Toc6747"/>
      <w:bookmarkStart w:id="42" w:name="_Toc1172"/>
      <w:bookmarkStart w:id="43" w:name="_Toc21266"/>
      <w:bookmarkStart w:id="44" w:name="_Toc490667828"/>
      <w:bookmarkStart w:id="45" w:name="_Toc455867769"/>
      <w:bookmarkStart w:id="46" w:name="_Toc10273"/>
      <w:bookmarkStart w:id="47" w:name="_Toc29023"/>
      <w:bookmarkStart w:id="48" w:name="_Toc21458"/>
      <w:bookmarkStart w:id="49" w:name="_Toc318450675"/>
      <w:bookmarkStart w:id="50" w:name="_Toc15391"/>
      <w:bookmarkStart w:id="51" w:name="_Toc658"/>
      <w:bookmarkStart w:id="52" w:name="_Toc152042307"/>
      <w:bookmarkStart w:id="53" w:name="_Toc144974499"/>
      <w:bookmarkStart w:id="54" w:name="_Toc152045531"/>
      <w:r>
        <w:rPr>
          <w:rFonts w:hint="eastAsia" w:ascii="宋体" w:hAnsi="宋体" w:eastAsia="宋体"/>
          <w:b/>
          <w:bCs/>
          <w:color w:val="auto"/>
          <w:sz w:val="21"/>
          <w:szCs w:val="21"/>
          <w:highlight w:val="none"/>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1.1.1根据《中华人民共和国政府采购法》等有关法律、法规和规章的规定，编制本项目磋商文件。</w:t>
      </w:r>
    </w:p>
    <w:p>
      <w:pPr>
        <w:pStyle w:val="68"/>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highlight w:val="none"/>
        </w:rPr>
      </w:pPr>
      <w:bookmarkStart w:id="55" w:name="_Toc7237"/>
      <w:bookmarkStart w:id="56" w:name="_Toc29506"/>
      <w:bookmarkStart w:id="57" w:name="_Toc2929"/>
      <w:bookmarkStart w:id="58" w:name="_Toc455867770"/>
      <w:bookmarkStart w:id="59" w:name="_Toc490667829"/>
      <w:bookmarkStart w:id="60" w:name="_Toc10556"/>
      <w:bookmarkStart w:id="61" w:name="_Toc7062"/>
      <w:bookmarkStart w:id="62" w:name="_Toc25049"/>
      <w:bookmarkStart w:id="63" w:name="_Toc14944"/>
      <w:bookmarkStart w:id="64" w:name="_Toc318450676"/>
      <w:bookmarkStart w:id="65" w:name="_Toc455080110"/>
      <w:bookmarkStart w:id="66" w:name="_Toc17549"/>
      <w:bookmarkStart w:id="67" w:name="_Toc2291"/>
      <w:bookmarkStart w:id="68" w:name="_Toc24852"/>
      <w:bookmarkStart w:id="69" w:name="_Toc32619"/>
      <w:bookmarkStart w:id="70" w:name="_Toc3336"/>
      <w:bookmarkStart w:id="71" w:name="_Toc274409867"/>
      <w:bookmarkStart w:id="72" w:name="_Toc10269"/>
      <w:bookmarkStart w:id="73" w:name="_Toc30891"/>
      <w:bookmarkStart w:id="74" w:name="_Toc25773"/>
      <w:bookmarkStart w:id="75" w:name="_Toc710"/>
      <w:bookmarkStart w:id="76" w:name="_Toc466298093"/>
      <w:bookmarkStart w:id="77" w:name="_Toc281405468"/>
      <w:r>
        <w:rPr>
          <w:rFonts w:hint="eastAsia" w:ascii="宋体" w:hAnsi="宋体" w:eastAsia="宋体"/>
          <w:b/>
          <w:bCs/>
          <w:color w:val="auto"/>
          <w:sz w:val="21"/>
          <w:szCs w:val="21"/>
          <w:highlight w:val="none"/>
        </w:rPr>
        <w:t>1.2 招标项目说明</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1.2.1 本项目</w:t>
      </w:r>
      <w:r>
        <w:rPr>
          <w:rFonts w:hint="eastAsia" w:ascii="宋体" w:hAnsi="宋体"/>
          <w:color w:val="auto"/>
          <w:szCs w:val="21"/>
          <w:highlight w:val="none"/>
        </w:rPr>
        <w:t>采购人</w:t>
      </w:r>
      <w:r>
        <w:rPr>
          <w:rFonts w:hint="eastAsia" w:ascii="宋体" w:hAnsi="宋体" w:cs="宋体"/>
          <w:color w:val="auto"/>
          <w:szCs w:val="21"/>
          <w:highlight w:val="none"/>
        </w:rPr>
        <w:t>：见供应商须知前附表。</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1.2.2 本项目采购代理机构：见供应商须知前附表。</w:t>
      </w:r>
    </w:p>
    <w:p>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1.2.3 本项目名称：见供应商须知前附表。</w:t>
      </w:r>
    </w:p>
    <w:p>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1.2.4本项目采购方式：见供应商须知前附表。</w:t>
      </w:r>
    </w:p>
    <w:p>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1.2.5本项目预算价（最高限价）：见供应商须知前附表。</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8" w:name="_Toc4122"/>
      <w:bookmarkStart w:id="79" w:name="_Toc18960"/>
      <w:bookmarkStart w:id="80" w:name="_Toc490667830"/>
      <w:bookmarkStart w:id="81" w:name="_Toc281405469"/>
      <w:bookmarkStart w:id="82" w:name="_Toc18583"/>
      <w:bookmarkStart w:id="83" w:name="_Toc16931"/>
      <w:bookmarkStart w:id="84" w:name="_Toc455867771"/>
      <w:bookmarkStart w:id="85" w:name="_Toc4608"/>
      <w:bookmarkStart w:id="86" w:name="_Toc318450677"/>
      <w:bookmarkStart w:id="87" w:name="_Toc17016"/>
      <w:bookmarkStart w:id="88" w:name="_Toc4952"/>
      <w:bookmarkStart w:id="89" w:name="_Toc22979"/>
      <w:bookmarkStart w:id="90" w:name="_Toc466298094"/>
      <w:bookmarkStart w:id="91" w:name="_Toc9593"/>
      <w:bookmarkStart w:id="92" w:name="_Toc4563"/>
      <w:bookmarkStart w:id="93" w:name="_Toc1373"/>
      <w:bookmarkStart w:id="94" w:name="_Toc274409868"/>
      <w:bookmarkStart w:id="95" w:name="_Toc3477"/>
      <w:bookmarkStart w:id="96" w:name="_Toc12395"/>
      <w:bookmarkStart w:id="97" w:name="_Toc12098"/>
      <w:bookmarkStart w:id="98" w:name="_Toc16825"/>
      <w:bookmarkStart w:id="99" w:name="_Toc17146"/>
      <w:bookmarkStart w:id="100" w:name="_Toc455080111"/>
      <w:r>
        <w:rPr>
          <w:rFonts w:hint="eastAsia" w:ascii="宋体" w:hAnsi="宋体" w:eastAsia="宋体"/>
          <w:b/>
          <w:bCs/>
          <w:color w:val="auto"/>
          <w:sz w:val="21"/>
          <w:szCs w:val="21"/>
          <w:highlight w:val="none"/>
        </w:rPr>
        <w:t>1.3 定义及解释</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1.3.1</w:t>
      </w:r>
      <w:r>
        <w:rPr>
          <w:rFonts w:hint="eastAsia" w:ascii="宋体" w:hAnsi="宋体"/>
          <w:color w:val="auto"/>
          <w:szCs w:val="21"/>
          <w:highlight w:val="none"/>
        </w:rPr>
        <w:t>采购人</w:t>
      </w:r>
      <w:r>
        <w:rPr>
          <w:rFonts w:hint="eastAsia" w:ascii="宋体" w:hAnsi="宋体" w:cs="宋体"/>
          <w:color w:val="auto"/>
          <w:szCs w:val="21"/>
          <w:highlight w:val="none"/>
        </w:rPr>
        <w:t>：依法进行政府采购的国家机关、事业单位、团体组织。</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1.3.2</w:t>
      </w:r>
      <w:r>
        <w:rPr>
          <w:rFonts w:hint="eastAsia" w:ascii="宋体" w:hAnsi="宋体"/>
          <w:color w:val="auto"/>
          <w:szCs w:val="21"/>
          <w:highlight w:val="none"/>
        </w:rPr>
        <w:t>采购代理机构</w:t>
      </w:r>
      <w:r>
        <w:rPr>
          <w:rFonts w:hint="eastAsia" w:ascii="宋体" w:hAnsi="宋体" w:cs="宋体"/>
          <w:color w:val="auto"/>
          <w:szCs w:val="21"/>
          <w:highlight w:val="none"/>
        </w:rPr>
        <w:t>：取得政府采购招标代理资质，受采购人委托组织招标活动的社会中介组织。</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1.3.3服务：系指根据本磋商文件规定供应商须承担的服务以及其他类似的义务等。</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1.3.4供应商：供应商是响应磋商文件、参加磋商竞争的中华人民共和国境内的法人、其它组织。</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1.3.5响应文件：指供应商根据竞争性磋商文件提交的所有文件。</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1.3.6磋商小组：依据</w:t>
      </w:r>
      <w:r>
        <w:rPr>
          <w:rFonts w:hint="eastAsia" w:ascii="宋体" w:hAnsi="宋体" w:cs="宋体"/>
          <w:color w:val="auto"/>
          <w:szCs w:val="21"/>
          <w:highlight w:val="none"/>
          <w:lang w:bidi="en-US"/>
        </w:rPr>
        <w:t>《中华人民共和国政府采购法》及有关法律、法规的规定依法组建的专门负责本次评标工作的临时机构</w:t>
      </w:r>
      <w:r>
        <w:rPr>
          <w:rFonts w:hint="eastAsia" w:ascii="宋体" w:hAnsi="宋体" w:cs="宋体"/>
          <w:color w:val="auto"/>
          <w:szCs w:val="21"/>
          <w:highlight w:val="none"/>
        </w:rPr>
        <w:t>。</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1.3.7偏离：响应文件的响应相对于竞争性磋商文件要求的偏差，该偏差优于竞争性磋商文件要求的为正偏离；劣于的，为负偏离。</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1.3.8“日期”或“天”：指日历天。</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1.3.9合同：指依据本次服务采购招标结果签订的协议或合约文件。</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1.3.10竞争性磋商文件中的标题或题名仅起引导作用，而不应视为对竞争性磋商文件内容的理解和解释。</w:t>
      </w:r>
    </w:p>
    <w:bookmarkEnd w:id="52"/>
    <w:bookmarkEnd w:id="53"/>
    <w:bookmarkEnd w:id="54"/>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01" w:name="_Toc16470"/>
      <w:bookmarkStart w:id="102" w:name="_Toc25616"/>
      <w:bookmarkStart w:id="103" w:name="_Toc466298095"/>
      <w:bookmarkStart w:id="104" w:name="_Toc152045532"/>
      <w:bookmarkStart w:id="105" w:name="_Toc27407"/>
      <w:bookmarkStart w:id="106" w:name="_Toc32236"/>
      <w:bookmarkStart w:id="107" w:name="_Toc30975"/>
      <w:bookmarkStart w:id="108" w:name="_Toc12752"/>
      <w:bookmarkStart w:id="109" w:name="_Toc455080112"/>
      <w:bookmarkStart w:id="110" w:name="_Toc24289"/>
      <w:bookmarkStart w:id="111" w:name="_Toc19363"/>
      <w:bookmarkStart w:id="112" w:name="_Toc23228"/>
      <w:bookmarkStart w:id="113" w:name="_Toc17908"/>
      <w:bookmarkStart w:id="114" w:name="_Toc144974500"/>
      <w:bookmarkStart w:id="115" w:name="_Toc21766"/>
      <w:bookmarkStart w:id="116" w:name="_Toc152042308"/>
      <w:bookmarkStart w:id="117" w:name="_Toc17808"/>
      <w:bookmarkStart w:id="118" w:name="_Toc10894"/>
      <w:bookmarkStart w:id="119" w:name="_Toc455867772"/>
      <w:bookmarkStart w:id="120" w:name="_Toc18788"/>
      <w:bookmarkStart w:id="121" w:name="_Toc28499"/>
      <w:bookmarkStart w:id="122" w:name="_Toc14043"/>
      <w:bookmarkStart w:id="123" w:name="_Toc490667831"/>
      <w:bookmarkStart w:id="124" w:name="_Toc318450678"/>
      <w:r>
        <w:rPr>
          <w:rFonts w:hint="eastAsia" w:ascii="宋体" w:hAnsi="宋体" w:eastAsia="宋体"/>
          <w:b/>
          <w:bCs/>
          <w:color w:val="auto"/>
          <w:sz w:val="21"/>
          <w:szCs w:val="21"/>
          <w:highlight w:val="none"/>
        </w:rPr>
        <w:t>1.4 磋商内容、交货期、质保期和质量要求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1.4.1 本次磋商内容：见供应商须知前附表。</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1.4.2 本项目的交货期：见供应商须知前附表。</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1.4.3本项目的质保期：见供应商须知前附表。</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1.4.4本项目的质量要求：见供应商须知前附表。</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eastAsia="宋体" w:cs="宋体"/>
          <w:color w:val="auto"/>
          <w:szCs w:val="21"/>
          <w:highlight w:val="none"/>
        </w:rPr>
        <w:t>1.4.5付款方式：</w:t>
      </w:r>
      <w:r>
        <w:rPr>
          <w:rFonts w:hint="eastAsia" w:ascii="宋体" w:hAnsi="宋体" w:eastAsia="宋体" w:cs="宋体"/>
          <w:color w:val="auto"/>
          <w:szCs w:val="21"/>
          <w:highlight w:val="none"/>
          <w:lang w:eastAsia="zh-CN"/>
        </w:rPr>
        <w:t>双方自行约定</w:t>
      </w:r>
      <w:r>
        <w:rPr>
          <w:rFonts w:hint="eastAsia" w:ascii="宋体" w:hAnsi="宋体" w:eastAsia="宋体" w:cs="宋体"/>
          <w:color w:val="auto"/>
          <w:szCs w:val="21"/>
          <w:highlight w:val="none"/>
        </w:rPr>
        <w:t>。</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25" w:name="_Toc152042310"/>
      <w:bookmarkStart w:id="126" w:name="_Toc152045534"/>
      <w:bookmarkStart w:id="127" w:name="_Toc318450679"/>
      <w:bookmarkStart w:id="128" w:name="_Toc144974502"/>
      <w:bookmarkStart w:id="129" w:name="_Toc5019"/>
      <w:bookmarkStart w:id="130" w:name="_Toc18004"/>
      <w:bookmarkStart w:id="131" w:name="_Toc31969"/>
      <w:bookmarkStart w:id="132" w:name="_Toc490667832"/>
      <w:bookmarkStart w:id="133" w:name="_Toc13438"/>
      <w:bookmarkStart w:id="134" w:name="_Toc11063"/>
      <w:bookmarkStart w:id="135" w:name="_Toc9716"/>
      <w:bookmarkStart w:id="136" w:name="_Toc25754"/>
      <w:bookmarkStart w:id="137" w:name="_Toc18689"/>
      <w:bookmarkStart w:id="138" w:name="_Toc22643"/>
      <w:bookmarkStart w:id="139" w:name="_Toc4301"/>
      <w:bookmarkStart w:id="140" w:name="_Toc19901"/>
      <w:bookmarkStart w:id="141" w:name="_Toc7209"/>
      <w:bookmarkStart w:id="142" w:name="_Toc32156"/>
      <w:bookmarkStart w:id="143" w:name="_Toc455080113"/>
      <w:bookmarkStart w:id="144" w:name="_Toc4711"/>
      <w:bookmarkStart w:id="145" w:name="_Toc466298096"/>
      <w:bookmarkStart w:id="146" w:name="_Toc4850"/>
      <w:bookmarkStart w:id="147" w:name="_Toc1602"/>
      <w:bookmarkStart w:id="148" w:name="_Toc455867773"/>
      <w:r>
        <w:rPr>
          <w:rFonts w:hint="eastAsia" w:ascii="宋体" w:hAnsi="宋体" w:eastAsia="宋体"/>
          <w:b/>
          <w:bCs/>
          <w:color w:val="auto"/>
          <w:sz w:val="21"/>
          <w:szCs w:val="21"/>
          <w:highlight w:val="none"/>
        </w:rPr>
        <w:t xml:space="preserve">1.5 </w:t>
      </w:r>
      <w:bookmarkEnd w:id="125"/>
      <w:bookmarkEnd w:id="126"/>
      <w:bookmarkEnd w:id="127"/>
      <w:bookmarkEnd w:id="128"/>
      <w:r>
        <w:rPr>
          <w:rFonts w:hint="eastAsia" w:ascii="宋体" w:hAnsi="宋体" w:eastAsia="宋体"/>
          <w:b/>
          <w:bCs/>
          <w:color w:val="auto"/>
          <w:sz w:val="21"/>
          <w:szCs w:val="21"/>
          <w:highlight w:val="none"/>
        </w:rPr>
        <w:t>供应商资质条件和能力</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1.5.1供应商资质及能力要求：见供应商须知前附表。</w:t>
      </w:r>
    </w:p>
    <w:p>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1.5.2是否接受联合体：见供应商须知前附表。</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49" w:name="_Toc6233"/>
      <w:bookmarkStart w:id="150" w:name="_Toc32446"/>
      <w:bookmarkStart w:id="151" w:name="_Toc529"/>
      <w:bookmarkStart w:id="152" w:name="_Toc31854"/>
      <w:bookmarkStart w:id="153" w:name="_Toc152045535"/>
      <w:bookmarkStart w:id="154" w:name="_Toc12403"/>
      <w:bookmarkStart w:id="155" w:name="_Toc651"/>
      <w:bookmarkStart w:id="156" w:name="_Toc9505"/>
      <w:bookmarkStart w:id="157" w:name="_Toc318450680"/>
      <w:bookmarkStart w:id="158" w:name="_Toc25712"/>
      <w:bookmarkStart w:id="159" w:name="_Toc455080114"/>
      <w:bookmarkStart w:id="160" w:name="_Toc17411"/>
      <w:bookmarkStart w:id="161" w:name="_Toc11905"/>
      <w:bookmarkStart w:id="162" w:name="_Toc455867774"/>
      <w:bookmarkStart w:id="163" w:name="_Toc466298097"/>
      <w:bookmarkStart w:id="164" w:name="_Toc144974503"/>
      <w:bookmarkStart w:id="165" w:name="_Toc490667833"/>
      <w:bookmarkStart w:id="166" w:name="_Toc28135"/>
      <w:bookmarkStart w:id="167" w:name="_Toc5162"/>
      <w:bookmarkStart w:id="168" w:name="_Toc16889"/>
      <w:bookmarkStart w:id="169" w:name="_Toc152042311"/>
      <w:bookmarkStart w:id="170" w:name="_Toc981"/>
      <w:bookmarkStart w:id="171" w:name="_Toc16828"/>
      <w:bookmarkStart w:id="172" w:name="_Toc14511"/>
      <w:r>
        <w:rPr>
          <w:rFonts w:hint="eastAsia" w:ascii="宋体" w:hAnsi="宋体" w:eastAsia="宋体"/>
          <w:b/>
          <w:bCs/>
          <w:color w:val="auto"/>
          <w:sz w:val="21"/>
          <w:szCs w:val="21"/>
          <w:highlight w:val="none"/>
        </w:rPr>
        <w:t>1.6 费用承担</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供应商准备和参加磋商活动发生的费用自理，不论磋商的结果如何，采购人和采购代理机构在任何情况下均无义务和责任承担这些费用。</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73" w:name="_Toc318450681"/>
      <w:bookmarkStart w:id="174" w:name="_Toc32053"/>
      <w:bookmarkStart w:id="175" w:name="_Toc5402"/>
      <w:bookmarkStart w:id="176" w:name="_Toc24601"/>
      <w:bookmarkStart w:id="177" w:name="_Toc152045536"/>
      <w:bookmarkStart w:id="178" w:name="_Toc144974504"/>
      <w:bookmarkStart w:id="179" w:name="_Toc609"/>
      <w:bookmarkStart w:id="180" w:name="_Toc16419"/>
      <w:bookmarkStart w:id="181" w:name="_Toc2622"/>
      <w:bookmarkStart w:id="182" w:name="_Toc1879"/>
      <w:bookmarkStart w:id="183" w:name="_Toc8055"/>
      <w:bookmarkStart w:id="184" w:name="_Toc466298098"/>
      <w:bookmarkStart w:id="185" w:name="_Toc11954"/>
      <w:bookmarkStart w:id="186" w:name="_Toc455080115"/>
      <w:bookmarkStart w:id="187" w:name="_Toc6014"/>
      <w:bookmarkStart w:id="188" w:name="_Toc24530"/>
      <w:bookmarkStart w:id="189" w:name="_Toc8390"/>
      <w:bookmarkStart w:id="190" w:name="_Toc22136"/>
      <w:bookmarkStart w:id="191" w:name="_Toc152042312"/>
      <w:bookmarkStart w:id="192" w:name="_Toc455867775"/>
      <w:bookmarkStart w:id="193" w:name="_Toc20145"/>
      <w:bookmarkStart w:id="194" w:name="_Toc10331"/>
      <w:bookmarkStart w:id="195" w:name="_Toc490667834"/>
      <w:bookmarkStart w:id="196" w:name="_Toc22800"/>
      <w:r>
        <w:rPr>
          <w:rFonts w:hint="eastAsia" w:ascii="宋体" w:hAnsi="宋体" w:eastAsia="宋体"/>
          <w:b/>
          <w:bCs/>
          <w:color w:val="auto"/>
          <w:sz w:val="21"/>
          <w:szCs w:val="21"/>
          <w:highlight w:val="none"/>
        </w:rPr>
        <w:t>1.7 保密</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参与磋商活动的各方应对竞争性磋商文件和响应文件中的商业和技术等秘密保密，违者应对由此造成的后果承担法律责任。 </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97" w:name="_Toc144974505"/>
      <w:bookmarkStart w:id="198" w:name="_Toc14775"/>
      <w:bookmarkStart w:id="199" w:name="_Toc15673"/>
      <w:bookmarkStart w:id="200" w:name="_Toc23942"/>
      <w:bookmarkStart w:id="201" w:name="_Toc7031"/>
      <w:bookmarkStart w:id="202" w:name="_Toc6615"/>
      <w:bookmarkStart w:id="203" w:name="_Toc30747"/>
      <w:bookmarkStart w:id="204" w:name="_Toc455867776"/>
      <w:bookmarkStart w:id="205" w:name="_Toc318450682"/>
      <w:bookmarkStart w:id="206" w:name="_Toc490667835"/>
      <w:bookmarkStart w:id="207" w:name="_Toc3628"/>
      <w:bookmarkStart w:id="208" w:name="_Toc2658"/>
      <w:bookmarkStart w:id="209" w:name="_Toc152042313"/>
      <w:bookmarkStart w:id="210" w:name="_Toc30583"/>
      <w:bookmarkStart w:id="211" w:name="_Toc29323"/>
      <w:bookmarkStart w:id="212" w:name="_Toc455080116"/>
      <w:bookmarkStart w:id="213" w:name="_Toc23509"/>
      <w:bookmarkStart w:id="214" w:name="_Toc28512"/>
      <w:bookmarkStart w:id="215" w:name="_Toc466298099"/>
      <w:bookmarkStart w:id="216" w:name="_Toc13976"/>
      <w:bookmarkStart w:id="217" w:name="_Toc152045537"/>
      <w:bookmarkStart w:id="218" w:name="_Toc25517"/>
      <w:bookmarkStart w:id="219" w:name="_Toc21089"/>
      <w:bookmarkStart w:id="220" w:name="_Toc6550"/>
      <w:r>
        <w:rPr>
          <w:rFonts w:hint="eastAsia" w:ascii="宋体" w:hAnsi="宋体" w:eastAsia="宋体"/>
          <w:b/>
          <w:bCs/>
          <w:color w:val="auto"/>
          <w:sz w:val="21"/>
          <w:szCs w:val="21"/>
          <w:highlight w:val="none"/>
        </w:rPr>
        <w:t>1.8 语言</w:t>
      </w:r>
      <w:bookmarkEnd w:id="197"/>
      <w:r>
        <w:rPr>
          <w:rFonts w:hint="eastAsia" w:ascii="宋体" w:hAnsi="宋体" w:eastAsia="宋体"/>
          <w:b/>
          <w:bCs/>
          <w:color w:val="auto"/>
          <w:sz w:val="21"/>
          <w:szCs w:val="21"/>
          <w:highlight w:val="none"/>
        </w:rPr>
        <w:t>文字</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除专用术语外，与磋商有关的语言均使用中文。必要时专用术语应附有中文注释，</w:t>
      </w:r>
      <w:r>
        <w:rPr>
          <w:rFonts w:hint="eastAsia" w:ascii="宋体" w:hAnsi="宋体" w:cs="宋体"/>
          <w:color w:val="auto"/>
          <w:szCs w:val="21"/>
          <w:highlight w:val="none"/>
          <w:lang w:bidi="en-US"/>
        </w:rPr>
        <w:t>对不同文字文本响应文件的解释发生异议的，以中文文本为准。</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21" w:name="_Toc2313"/>
      <w:bookmarkStart w:id="222" w:name="_Toc18425"/>
      <w:bookmarkStart w:id="223" w:name="_Toc22378"/>
      <w:bookmarkStart w:id="224" w:name="_Toc32507"/>
      <w:bookmarkStart w:id="225" w:name="_Toc9446"/>
      <w:bookmarkStart w:id="226" w:name="_Toc29626"/>
      <w:bookmarkStart w:id="227" w:name="_Toc29060"/>
      <w:bookmarkStart w:id="228" w:name="_Toc144974506"/>
      <w:bookmarkStart w:id="229" w:name="_Toc17559"/>
      <w:bookmarkStart w:id="230" w:name="_Toc24337"/>
      <w:bookmarkStart w:id="231" w:name="_Toc14934"/>
      <w:bookmarkStart w:id="232" w:name="_Toc490667836"/>
      <w:bookmarkStart w:id="233" w:name="_Toc318450683"/>
      <w:bookmarkStart w:id="234" w:name="_Toc152045538"/>
      <w:bookmarkStart w:id="235" w:name="_Toc14555"/>
      <w:bookmarkStart w:id="236" w:name="_Toc455080117"/>
      <w:bookmarkStart w:id="237" w:name="_Toc466298100"/>
      <w:bookmarkStart w:id="238" w:name="_Toc4237"/>
      <w:bookmarkStart w:id="239" w:name="_Toc152042314"/>
      <w:bookmarkStart w:id="240" w:name="_Toc18357"/>
      <w:bookmarkStart w:id="241" w:name="_Toc22415"/>
      <w:bookmarkStart w:id="242" w:name="_Toc455867777"/>
      <w:bookmarkStart w:id="243" w:name="_Toc2702"/>
      <w:bookmarkStart w:id="244" w:name="_Toc4501"/>
      <w:r>
        <w:rPr>
          <w:rFonts w:hint="eastAsia" w:ascii="宋体" w:hAnsi="宋体" w:eastAsia="宋体"/>
          <w:b/>
          <w:bCs/>
          <w:color w:val="auto"/>
          <w:sz w:val="21"/>
          <w:szCs w:val="21"/>
          <w:highlight w:val="none"/>
        </w:rPr>
        <w:t>1.9 计量单位</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245" w:name="_Toc318450684"/>
      <w:bookmarkStart w:id="246" w:name="_Toc27570"/>
      <w:bookmarkStart w:id="247" w:name="_Toc18589"/>
      <w:bookmarkStart w:id="248" w:name="_Toc284"/>
      <w:bookmarkStart w:id="249" w:name="_Toc338"/>
      <w:bookmarkStart w:id="250" w:name="_Toc29845"/>
      <w:bookmarkStart w:id="251" w:name="_Toc466298101"/>
      <w:bookmarkStart w:id="252" w:name="_Toc12027"/>
      <w:bookmarkStart w:id="253" w:name="_Toc144974508"/>
      <w:bookmarkStart w:id="254" w:name="_Toc31195"/>
      <w:bookmarkStart w:id="255" w:name="_Toc490667837"/>
      <w:bookmarkStart w:id="256" w:name="_Toc455080118"/>
      <w:bookmarkStart w:id="257" w:name="_Toc152042316"/>
      <w:bookmarkStart w:id="258" w:name="_Toc13675"/>
      <w:bookmarkStart w:id="259" w:name="_Toc19685"/>
      <w:bookmarkStart w:id="260" w:name="_Toc455867778"/>
      <w:bookmarkStart w:id="261" w:name="_Toc2508"/>
      <w:bookmarkStart w:id="262" w:name="_Toc152045540"/>
      <w:bookmarkStart w:id="263" w:name="_Toc30886"/>
      <w:bookmarkStart w:id="264" w:name="_Toc15047"/>
      <w:bookmarkStart w:id="265" w:name="_Toc8379"/>
      <w:bookmarkStart w:id="266" w:name="_Toc27512"/>
      <w:bookmarkStart w:id="267" w:name="_Toc21643"/>
      <w:bookmarkStart w:id="268" w:name="_Toc21098"/>
      <w:r>
        <w:rPr>
          <w:rFonts w:hint="eastAsia" w:ascii="宋体" w:hAnsi="宋体" w:eastAsia="宋体"/>
          <w:b/>
          <w:bCs/>
          <w:color w:val="auto"/>
          <w:sz w:val="21"/>
          <w:szCs w:val="21"/>
          <w:highlight w:val="none"/>
        </w:rPr>
        <w:t xml:space="preserve">1.10 </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hint="eastAsia" w:ascii="宋体" w:hAnsi="宋体" w:eastAsia="宋体"/>
          <w:b/>
          <w:bCs/>
          <w:color w:val="auto"/>
          <w:sz w:val="21"/>
          <w:szCs w:val="21"/>
          <w:highlight w:val="none"/>
        </w:rPr>
        <w:t>现场踏勘：</w:t>
      </w:r>
      <w:r>
        <w:rPr>
          <w:rFonts w:hint="eastAsia" w:ascii="宋体" w:hAnsi="宋体" w:eastAsia="宋体"/>
          <w:color w:val="auto"/>
          <w:sz w:val="21"/>
          <w:szCs w:val="21"/>
          <w:highlight w:val="none"/>
        </w:rPr>
        <w:t>自行踏勘，与之相关的费用，供应商自行承担。</w:t>
      </w:r>
      <w:bookmarkEnd w:id="263"/>
      <w:bookmarkEnd w:id="264"/>
      <w:bookmarkEnd w:id="265"/>
      <w:bookmarkEnd w:id="266"/>
      <w:bookmarkEnd w:id="267"/>
      <w:bookmarkEnd w:id="268"/>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69" w:name="_Toc31725"/>
      <w:bookmarkStart w:id="270" w:name="_Toc12562"/>
      <w:bookmarkStart w:id="271" w:name="_Toc11744"/>
      <w:bookmarkStart w:id="272" w:name="_Toc4384"/>
      <w:bookmarkStart w:id="273" w:name="_Toc152045541"/>
      <w:bookmarkStart w:id="274" w:name="_Toc7035"/>
      <w:bookmarkStart w:id="275" w:name="_Toc21571"/>
      <w:bookmarkStart w:id="276" w:name="_Toc24262"/>
      <w:bookmarkStart w:id="277" w:name="_Toc490667838"/>
      <w:bookmarkStart w:id="278" w:name="_Toc466298102"/>
      <w:bookmarkStart w:id="279" w:name="_Toc32757"/>
      <w:bookmarkStart w:id="280" w:name="_Toc23678"/>
      <w:bookmarkStart w:id="281" w:name="_Toc152042317"/>
      <w:bookmarkStart w:id="282" w:name="_Toc29433"/>
      <w:bookmarkStart w:id="283" w:name="_Toc318450685"/>
      <w:bookmarkStart w:id="284" w:name="_Toc23635"/>
      <w:bookmarkStart w:id="285" w:name="_Toc455080119"/>
      <w:bookmarkStart w:id="286" w:name="_Toc25208"/>
      <w:bookmarkStart w:id="287" w:name="_Toc144974509"/>
      <w:bookmarkStart w:id="288" w:name="_Toc9182"/>
      <w:bookmarkStart w:id="289" w:name="_Toc5365"/>
      <w:bookmarkStart w:id="290" w:name="_Toc455867779"/>
      <w:bookmarkStart w:id="291" w:name="_Toc25167"/>
      <w:bookmarkStart w:id="292" w:name="_Toc3853"/>
      <w:r>
        <w:rPr>
          <w:rFonts w:hint="eastAsia" w:ascii="宋体" w:hAnsi="宋体" w:eastAsia="宋体"/>
          <w:b/>
          <w:bCs/>
          <w:color w:val="auto"/>
          <w:sz w:val="21"/>
          <w:szCs w:val="21"/>
          <w:highlight w:val="none"/>
        </w:rPr>
        <w:t>1.11分包</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是否允许分包：见供应商须知前附表。</w:t>
      </w:r>
      <w:bookmarkStart w:id="293" w:name="_Toc152045542"/>
      <w:bookmarkStart w:id="294" w:name="_Toc152042318"/>
      <w:bookmarkStart w:id="295" w:name="_Toc144974510"/>
      <w:bookmarkStart w:id="296" w:name="_Toc455080120"/>
    </w:p>
    <w:bookmarkEnd w:id="293"/>
    <w:bookmarkEnd w:id="294"/>
    <w:bookmarkEnd w:id="295"/>
    <w:p>
      <w:pPr>
        <w:pageBreakBefore w:val="0"/>
        <w:kinsoku/>
        <w:overflowPunct/>
        <w:bidi w:val="0"/>
        <w:spacing w:line="360" w:lineRule="auto"/>
        <w:ind w:firstLine="0" w:firstLineChars="0"/>
        <w:outlineLvl w:val="1"/>
        <w:rPr>
          <w:rFonts w:ascii="宋体" w:hAnsi="宋体" w:eastAsia="宋体"/>
          <w:b/>
          <w:bCs/>
          <w:color w:val="auto"/>
          <w:szCs w:val="21"/>
          <w:highlight w:val="none"/>
        </w:rPr>
      </w:pPr>
      <w:bookmarkStart w:id="297" w:name="_Toc12453"/>
      <w:bookmarkStart w:id="298" w:name="_Toc15552"/>
      <w:r>
        <w:rPr>
          <w:rFonts w:hint="eastAsia" w:ascii="宋体" w:hAnsi="宋体"/>
          <w:b/>
          <w:bCs/>
          <w:color w:val="auto"/>
          <w:szCs w:val="21"/>
          <w:highlight w:val="none"/>
        </w:rPr>
        <w:t>2.</w:t>
      </w:r>
      <w:bookmarkEnd w:id="296"/>
      <w:bookmarkEnd w:id="297"/>
      <w:r>
        <w:rPr>
          <w:rFonts w:hint="eastAsia" w:ascii="宋体" w:hAnsi="宋体"/>
          <w:b/>
          <w:bCs/>
          <w:color w:val="auto"/>
          <w:szCs w:val="21"/>
          <w:highlight w:val="none"/>
        </w:rPr>
        <w:t>竞争性磋商文件</w:t>
      </w:r>
      <w:bookmarkEnd w:id="298"/>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99" w:name="_Toc1008"/>
      <w:bookmarkStart w:id="300" w:name="_Toc3982"/>
      <w:bookmarkStart w:id="301" w:name="_Toc152045543"/>
      <w:bookmarkStart w:id="302" w:name="_Toc455080121"/>
      <w:bookmarkStart w:id="303" w:name="_Toc144974511"/>
      <w:bookmarkStart w:id="304" w:name="_Toc466298104"/>
      <w:bookmarkStart w:id="305" w:name="_Toc30730"/>
      <w:bookmarkStart w:id="306" w:name="_Toc7999"/>
      <w:bookmarkStart w:id="307" w:name="_Toc11599"/>
      <w:bookmarkStart w:id="308" w:name="_Toc6065"/>
      <w:bookmarkStart w:id="309" w:name="_Toc9780"/>
      <w:bookmarkStart w:id="310" w:name="_Toc32497"/>
      <w:bookmarkStart w:id="311" w:name="_Toc23649"/>
      <w:bookmarkStart w:id="312" w:name="_Toc490667840"/>
      <w:bookmarkStart w:id="313" w:name="_Toc30071"/>
      <w:bookmarkStart w:id="314" w:name="_Toc11567"/>
      <w:bookmarkStart w:id="315" w:name="_Toc152042319"/>
      <w:bookmarkStart w:id="316" w:name="_Toc32711"/>
      <w:bookmarkStart w:id="317" w:name="_Toc12004"/>
      <w:bookmarkStart w:id="318" w:name="_Toc455867781"/>
      <w:bookmarkStart w:id="319" w:name="_Toc30664"/>
      <w:bookmarkStart w:id="320" w:name="_Toc12640"/>
      <w:bookmarkStart w:id="321" w:name="_Toc318450687"/>
      <w:r>
        <w:rPr>
          <w:rFonts w:hint="eastAsia" w:ascii="宋体" w:hAnsi="宋体" w:eastAsia="宋体"/>
          <w:b/>
          <w:bCs/>
          <w:color w:val="auto"/>
          <w:sz w:val="21"/>
          <w:szCs w:val="21"/>
          <w:highlight w:val="none"/>
        </w:rPr>
        <w:t>2.1竞争性磋商文件的组成</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本竞争性磋商文件包括：</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（1）竞争性磋商公告；</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（2）供应商须知；</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（3）评审办法；</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（4）河南省政府采购合同（参考文本）；</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（5）采购项目技术参数、规格与要求；</w:t>
      </w:r>
    </w:p>
    <w:p>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cs="宋体"/>
          <w:color w:val="auto"/>
          <w:szCs w:val="21"/>
          <w:highlight w:val="none"/>
        </w:rPr>
        <w:t>（6）竞争性磋商响应文件格式；</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（7）供应商须知前附表规定的其他材料。</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根据本章第2.2款和第2.3款对竞争性磋商文件所作的澄清、修改，构成竞争性磋商文件的组成部分。</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22" w:name="_Toc29229"/>
      <w:bookmarkStart w:id="323" w:name="_Toc14688"/>
      <w:bookmarkStart w:id="324" w:name="_Toc15658"/>
      <w:bookmarkStart w:id="325" w:name="_Toc4054"/>
      <w:bookmarkStart w:id="326" w:name="_Toc2133"/>
      <w:bookmarkStart w:id="327" w:name="_Toc391"/>
      <w:bookmarkStart w:id="328" w:name="_Toc152045546"/>
      <w:bookmarkStart w:id="329" w:name="_Toc152042322"/>
      <w:bookmarkStart w:id="330" w:name="_Toc144974514"/>
      <w:bookmarkStart w:id="331" w:name="_Toc455080124"/>
      <w:r>
        <w:rPr>
          <w:rFonts w:hint="eastAsia" w:ascii="宋体" w:hAnsi="宋体" w:eastAsia="宋体"/>
          <w:b/>
          <w:bCs/>
          <w:color w:val="auto"/>
          <w:sz w:val="21"/>
          <w:szCs w:val="21"/>
          <w:highlight w:val="none"/>
        </w:rPr>
        <w:t>2.2 竞争性磋商文件的澄清</w:t>
      </w:r>
      <w:bookmarkEnd w:id="322"/>
      <w:bookmarkEnd w:id="323"/>
      <w:bookmarkEnd w:id="324"/>
      <w:bookmarkEnd w:id="325"/>
      <w:bookmarkEnd w:id="326"/>
      <w:bookmarkEnd w:id="327"/>
    </w:p>
    <w:p>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2.2.1供应商应仔细阅读和检查竞争性磋商文件的全部内容。</w:t>
      </w:r>
      <w:r>
        <w:rPr>
          <w:rFonts w:hint="eastAsia" w:ascii="宋体" w:hAnsi="宋体" w:cs="宋体"/>
          <w:color w:val="auto"/>
          <w:szCs w:val="21"/>
          <w:highlight w:val="none"/>
        </w:rPr>
        <w:t>如发现缺页或附件不全，应及时向采购人提出，以便补齐。</w:t>
      </w:r>
      <w:r>
        <w:rPr>
          <w:rFonts w:hint="eastAsia" w:ascii="宋体" w:hAnsi="宋体" w:cs="宋体"/>
          <w:color w:val="auto"/>
          <w:highlight w:val="none"/>
        </w:rPr>
        <w:t>如有疑问，应在供应商须知前附表规定的时间前</w:t>
      </w:r>
      <w:r>
        <w:rPr>
          <w:rFonts w:hint="eastAsia" w:ascii="宋体" w:hAnsi="宋体"/>
          <w:color w:val="auto"/>
          <w:szCs w:val="21"/>
          <w:highlight w:val="none"/>
        </w:rPr>
        <w:t>以书面形式（包括信函、电报、传真等可以有形表现所载内容的形式，下同），</w:t>
      </w:r>
      <w:r>
        <w:rPr>
          <w:rFonts w:hint="eastAsia" w:ascii="宋体" w:hAnsi="宋体" w:cs="宋体"/>
          <w:color w:val="auto"/>
          <w:highlight w:val="none"/>
        </w:rPr>
        <w:t>要求采购人对竞争性磋商文件予以澄清。</w:t>
      </w:r>
    </w:p>
    <w:p>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2.2.2 竞争性磋商文件的澄清将在供应商须知前附表规定的响应文件递交截止时间5天前在信阳市公共资源交易系统“变更公告”或“答疑文件”</w:t>
      </w:r>
      <w:r>
        <w:rPr>
          <w:rFonts w:hint="eastAsia" w:ascii="宋体" w:hAnsi="宋体"/>
          <w:color w:val="auto"/>
          <w:szCs w:val="21"/>
          <w:highlight w:val="none"/>
        </w:rPr>
        <w:t>将澄清内容予以发布，</w:t>
      </w:r>
      <w:r>
        <w:rPr>
          <w:rFonts w:hint="eastAsia" w:ascii="宋体" w:hAnsi="宋体" w:cs="宋体"/>
          <w:color w:val="auto"/>
          <w:highlight w:val="none"/>
        </w:rPr>
        <w:t>但不指明澄清问题的来源。如果澄清的内容可能影响响应文件编制且发出的时间距响应文件递交截止时间不足5天，相应延长投标截止时间。</w:t>
      </w:r>
    </w:p>
    <w:p>
      <w:pPr>
        <w:pageBreakBefore w:val="0"/>
        <w:kinsoku/>
        <w:overflowPunct/>
        <w:bidi w:val="0"/>
        <w:spacing w:line="360" w:lineRule="auto"/>
        <w:ind w:firstLine="0" w:firstLineChars="0"/>
        <w:rPr>
          <w:color w:val="auto"/>
          <w:highlight w:val="none"/>
        </w:rPr>
      </w:pPr>
      <w:r>
        <w:rPr>
          <w:rFonts w:hint="eastAsia" w:ascii="宋体" w:hAnsi="宋体"/>
          <w:color w:val="auto"/>
          <w:szCs w:val="21"/>
          <w:highlight w:val="none"/>
        </w:rPr>
        <w:t>2.2.3供应商应在响应文件递交截止时间前及时查看澄清内容，因供应商未及时查看而造成的后果自负。</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32" w:name="_Toc8263"/>
      <w:bookmarkStart w:id="333" w:name="_Toc1637"/>
      <w:bookmarkStart w:id="334" w:name="_Toc10140"/>
      <w:bookmarkStart w:id="335" w:name="_Toc6489"/>
      <w:bookmarkStart w:id="336" w:name="_Toc27360"/>
      <w:bookmarkStart w:id="337" w:name="_Toc5672"/>
      <w:r>
        <w:rPr>
          <w:rFonts w:hint="eastAsia" w:ascii="宋体" w:hAnsi="宋体" w:eastAsia="宋体"/>
          <w:b/>
          <w:bCs/>
          <w:color w:val="auto"/>
          <w:sz w:val="21"/>
          <w:szCs w:val="21"/>
          <w:highlight w:val="none"/>
        </w:rPr>
        <w:t>2.3 竞争性磋商文件的修改</w:t>
      </w:r>
      <w:bookmarkEnd w:id="332"/>
      <w:bookmarkEnd w:id="333"/>
      <w:bookmarkEnd w:id="334"/>
      <w:bookmarkEnd w:id="335"/>
      <w:bookmarkEnd w:id="336"/>
      <w:bookmarkEnd w:id="337"/>
    </w:p>
    <w:p>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2.3.1 在响应文件递交截止时间5天前，采购人可以修改竞争性磋商文件。如有修改，应在信阳市公共资源交易系统“变更公告”或“答疑文件”</w:t>
      </w:r>
      <w:r>
        <w:rPr>
          <w:rFonts w:hint="eastAsia" w:ascii="宋体" w:hAnsi="宋体"/>
          <w:color w:val="auto"/>
          <w:szCs w:val="21"/>
          <w:highlight w:val="none"/>
        </w:rPr>
        <w:t>将修改内容予以发布</w:t>
      </w:r>
      <w:r>
        <w:rPr>
          <w:rFonts w:hint="eastAsia" w:ascii="宋体" w:hAnsi="宋体" w:cs="宋体"/>
          <w:color w:val="auto"/>
          <w:highlight w:val="none"/>
        </w:rPr>
        <w:t>。如果修改的内容可能影响响应文件编制且发出的时间距响应文件递交截止时间不足5天，相应延长响应文件递交截止时间。</w:t>
      </w:r>
    </w:p>
    <w:p>
      <w:pPr>
        <w:pageBreakBefore w:val="0"/>
        <w:kinsoku/>
        <w:overflowPunct/>
        <w:bidi w:val="0"/>
        <w:spacing w:line="360" w:lineRule="auto"/>
        <w:ind w:firstLine="0" w:firstLineChars="0"/>
        <w:rPr>
          <w:rFonts w:ascii="宋体" w:hAnsi="宋体"/>
          <w:color w:val="auto"/>
          <w:szCs w:val="21"/>
          <w:highlight w:val="none"/>
        </w:rPr>
      </w:pPr>
      <w:r>
        <w:rPr>
          <w:rFonts w:hint="eastAsia" w:ascii="宋体" w:hAnsi="宋体" w:cs="宋体"/>
          <w:color w:val="auto"/>
          <w:highlight w:val="none"/>
        </w:rPr>
        <w:t>2.3.2当竞争性磋商文件的澄清、修改、补充等在同一内容的表述上不一致时，</w:t>
      </w:r>
      <w:r>
        <w:rPr>
          <w:rFonts w:hint="eastAsia" w:ascii="宋体" w:hAnsi="宋体"/>
          <w:color w:val="auto"/>
          <w:szCs w:val="21"/>
          <w:highlight w:val="none"/>
        </w:rPr>
        <w:t>以最后在信阳市公共资源交易系统发出的文件为准。</w:t>
      </w:r>
    </w:p>
    <w:p>
      <w:pPr>
        <w:pageBreakBefore w:val="0"/>
        <w:kinsoku/>
        <w:overflowPunct/>
        <w:bidi w:val="0"/>
        <w:spacing w:line="360" w:lineRule="auto"/>
        <w:ind w:firstLine="0" w:firstLineChars="0"/>
        <w:rPr>
          <w:color w:val="auto"/>
          <w:highlight w:val="none"/>
        </w:rPr>
      </w:pPr>
      <w:r>
        <w:rPr>
          <w:rFonts w:hint="eastAsia" w:ascii="宋体" w:hAnsi="宋体" w:cs="宋体"/>
          <w:color w:val="auto"/>
          <w:highlight w:val="none"/>
        </w:rPr>
        <w:t>2.3.3</w:t>
      </w:r>
      <w:r>
        <w:rPr>
          <w:rFonts w:hint="eastAsia" w:ascii="宋体" w:hAnsi="宋体"/>
          <w:color w:val="auto"/>
          <w:szCs w:val="21"/>
          <w:highlight w:val="none"/>
        </w:rPr>
        <w:t>供应商应在响应文件递交截止时间前及时查看修改内容，因供应商未及时查看而造成的后果自负。</w:t>
      </w:r>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338" w:name="_Toc22547"/>
      <w:bookmarkStart w:id="339" w:name="_Toc4666"/>
      <w:r>
        <w:rPr>
          <w:rFonts w:hint="eastAsia" w:ascii="宋体" w:hAnsi="宋体" w:eastAsia="宋体"/>
          <w:b/>
          <w:bCs/>
          <w:color w:val="auto"/>
          <w:sz w:val="21"/>
          <w:szCs w:val="21"/>
          <w:highlight w:val="none"/>
        </w:rPr>
        <w:t xml:space="preserve">3. </w:t>
      </w:r>
      <w:bookmarkEnd w:id="328"/>
      <w:bookmarkEnd w:id="329"/>
      <w:bookmarkEnd w:id="330"/>
      <w:r>
        <w:rPr>
          <w:rFonts w:hint="eastAsia" w:ascii="宋体" w:hAnsi="宋体" w:eastAsia="宋体"/>
          <w:b/>
          <w:bCs/>
          <w:color w:val="auto"/>
          <w:sz w:val="21"/>
          <w:szCs w:val="21"/>
          <w:highlight w:val="none"/>
        </w:rPr>
        <w:t>响应文件</w:t>
      </w:r>
      <w:bookmarkEnd w:id="331"/>
      <w:bookmarkEnd w:id="338"/>
      <w:bookmarkEnd w:id="339"/>
    </w:p>
    <w:p>
      <w:pPr>
        <w:pStyle w:val="68"/>
        <w:pageBreakBefore w:val="0"/>
        <w:kinsoku/>
        <w:overflowPunct/>
        <w:bidi w:val="0"/>
        <w:spacing w:line="360" w:lineRule="auto"/>
        <w:ind w:firstLine="0" w:firstLineChars="0"/>
        <w:outlineLvl w:val="9"/>
        <w:rPr>
          <w:rFonts w:ascii="宋体" w:hAnsi="宋体" w:eastAsia="宋体"/>
          <w:b/>
          <w:bCs/>
          <w:color w:val="auto"/>
          <w:sz w:val="21"/>
          <w:szCs w:val="21"/>
          <w:highlight w:val="none"/>
        </w:rPr>
      </w:pPr>
      <w:bookmarkStart w:id="340" w:name="_Toc318450691"/>
      <w:bookmarkStart w:id="341" w:name="_Toc10096"/>
      <w:bookmarkStart w:id="342" w:name="_Toc13674"/>
      <w:bookmarkStart w:id="343" w:name="_Toc32410"/>
      <w:bookmarkStart w:id="344" w:name="_Toc152042323"/>
      <w:bookmarkStart w:id="345" w:name="_Toc28231"/>
      <w:bookmarkStart w:id="346" w:name="_Toc24440"/>
      <w:bookmarkStart w:id="347" w:name="_Toc15810"/>
      <w:bookmarkStart w:id="348" w:name="_Toc9273"/>
      <w:bookmarkStart w:id="349" w:name="_Toc15800"/>
      <w:bookmarkStart w:id="350" w:name="_Toc152045547"/>
      <w:bookmarkStart w:id="351" w:name="_Toc144974515"/>
      <w:bookmarkStart w:id="352" w:name="_Toc27373"/>
      <w:bookmarkStart w:id="353" w:name="_Toc13956"/>
      <w:bookmarkStart w:id="354" w:name="_Toc16198"/>
      <w:bookmarkStart w:id="355" w:name="_Toc490667844"/>
      <w:r>
        <w:rPr>
          <w:rFonts w:hint="eastAsia" w:ascii="宋体" w:hAnsi="宋体" w:eastAsia="宋体"/>
          <w:b/>
          <w:bCs/>
          <w:color w:val="auto"/>
          <w:sz w:val="21"/>
          <w:szCs w:val="21"/>
          <w:highlight w:val="none"/>
        </w:rPr>
        <w:t>3.1 响应文件的组成</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ageBreakBefore w:val="0"/>
        <w:widowControl/>
        <w:kinsoku/>
        <w:overflowPunct/>
        <w:bidi w:val="0"/>
        <w:spacing w:line="400" w:lineRule="exact"/>
        <w:ind w:firstLine="0" w:firstLineChars="0"/>
        <w:jc w:val="left"/>
        <w:rPr>
          <w:rFonts w:ascii="宋体" w:hAnsi="宋体" w:eastAsia="宋体" w:cs="宋体"/>
          <w:color w:val="auto"/>
          <w:szCs w:val="21"/>
          <w:highlight w:val="none"/>
        </w:rPr>
      </w:pPr>
      <w:bookmarkStart w:id="356" w:name="_Toc279156232"/>
      <w:bookmarkStart w:id="357" w:name="_Toc26291"/>
      <w:bookmarkStart w:id="358" w:name="_Toc318450692"/>
      <w:bookmarkStart w:id="359" w:name="_Toc152045548"/>
      <w:bookmarkStart w:id="360" w:name="_Toc152042324"/>
      <w:bookmarkStart w:id="361" w:name="_Toc899"/>
      <w:bookmarkStart w:id="362" w:name="_Toc144974516"/>
      <w:r>
        <w:rPr>
          <w:rFonts w:hint="eastAsia" w:ascii="宋体" w:hAnsi="宋体" w:eastAsia="宋体" w:cs="宋体"/>
          <w:color w:val="auto"/>
          <w:szCs w:val="21"/>
          <w:highlight w:val="none"/>
        </w:rPr>
        <w:t>响应文件应包括下列内容</w:t>
      </w:r>
      <w:r>
        <w:rPr>
          <w:rFonts w:hint="eastAsia" w:ascii="宋体" w:hAnsi="宋体" w:eastAsia="宋体" w:cs="宋体"/>
          <w:b/>
          <w:bCs/>
          <w:color w:val="auto"/>
          <w:szCs w:val="21"/>
          <w:highlight w:val="none"/>
        </w:rPr>
        <w:t>：</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1）响应函及响应函附录</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2）法定代表人（单位负责人）身份证明</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3）授权委托书</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4）资格审查材料</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5）技术方案</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6）项目管理机构</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7）中小企业声明函</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8）残疾人福利性单位声明函</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9）监狱企业证明文件</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10）反商业贿赂承诺书</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11）采购代理服务费承诺函</w:t>
      </w:r>
    </w:p>
    <w:p>
      <w:pPr>
        <w:pStyle w:val="2"/>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12）其他材料</w:t>
      </w:r>
    </w:p>
    <w:p>
      <w:pPr>
        <w:pageBreakBefore w:val="0"/>
        <w:kinsoku/>
        <w:overflowPunct/>
        <w:bidi w:val="0"/>
        <w:spacing w:line="360" w:lineRule="auto"/>
        <w:ind w:firstLine="0" w:firstLineChars="0"/>
        <w:rPr>
          <w:rFonts w:ascii="宋体" w:hAnsi="宋体" w:cs="宋体"/>
          <w:b/>
          <w:bCs/>
          <w:color w:val="auto"/>
          <w:szCs w:val="21"/>
          <w:highlight w:val="none"/>
        </w:rPr>
      </w:pPr>
      <w:r>
        <w:rPr>
          <w:rFonts w:hint="eastAsia" w:ascii="宋体" w:hAnsi="宋体" w:cs="宋体"/>
          <w:b/>
          <w:bCs/>
          <w:color w:val="auto"/>
          <w:szCs w:val="21"/>
          <w:highlight w:val="none"/>
        </w:rPr>
        <w:t>3.2 磋商报价</w:t>
      </w:r>
      <w:bookmarkEnd w:id="356"/>
      <w:bookmarkEnd w:id="357"/>
      <w:bookmarkEnd w:id="358"/>
      <w:bookmarkEnd w:id="359"/>
      <w:bookmarkEnd w:id="360"/>
      <w:bookmarkEnd w:id="361"/>
      <w:bookmarkEnd w:id="362"/>
    </w:p>
    <w:p>
      <w:pPr>
        <w:pageBreakBefore w:val="0"/>
        <w:tabs>
          <w:tab w:val="left" w:pos="0"/>
          <w:tab w:val="left" w:pos="1050"/>
        </w:tabs>
        <w:kinsoku/>
        <w:overflowPunct/>
        <w:bidi w:val="0"/>
        <w:spacing w:line="440" w:lineRule="exact"/>
        <w:ind w:firstLine="0" w:firstLineChars="0"/>
        <w:rPr>
          <w:rFonts w:ascii="宋体" w:hAnsi="宋体" w:cs="宋体"/>
          <w:color w:val="auto"/>
          <w:szCs w:val="21"/>
          <w:highlight w:val="none"/>
        </w:rPr>
      </w:pPr>
      <w:bookmarkStart w:id="363" w:name="_Toc12402"/>
      <w:bookmarkStart w:id="364" w:name="_Toc152045549"/>
      <w:bookmarkStart w:id="365" w:name="_Toc21680"/>
      <w:bookmarkStart w:id="366" w:name="_Toc29133"/>
      <w:bookmarkStart w:id="367" w:name="_Toc152042325"/>
      <w:bookmarkStart w:id="368" w:name="_Toc11968"/>
      <w:bookmarkStart w:id="369" w:name="_Toc2425"/>
      <w:bookmarkStart w:id="370" w:name="_Toc490667846"/>
      <w:bookmarkStart w:id="371" w:name="_Toc7105"/>
      <w:bookmarkStart w:id="372" w:name="_Toc7910"/>
      <w:bookmarkStart w:id="373" w:name="_Toc21600"/>
      <w:bookmarkStart w:id="374" w:name="_Toc25387"/>
      <w:bookmarkStart w:id="375" w:name="_Toc6105"/>
      <w:bookmarkStart w:id="376" w:name="_Toc318450693"/>
      <w:bookmarkStart w:id="377" w:name="_Toc466298109"/>
      <w:bookmarkStart w:id="378" w:name="_Toc455080126"/>
      <w:bookmarkStart w:id="379" w:name="_Toc455867786"/>
      <w:bookmarkStart w:id="380" w:name="_Toc3624"/>
      <w:bookmarkStart w:id="381" w:name="_Toc144974517"/>
      <w:r>
        <w:rPr>
          <w:rFonts w:hint="eastAsia" w:ascii="宋体" w:hAnsi="宋体" w:cs="宋体"/>
          <w:color w:val="auto"/>
          <w:szCs w:val="21"/>
          <w:highlight w:val="none"/>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本，分二次报价：第一次报价必须按照竞争性磋商文件的报价格式填报，第二次报价在磋商中填报，第二次报价（不得高于第一次报价）即为最终报价</w:t>
      </w:r>
      <w:bookmarkEnd w:id="363"/>
      <w:r>
        <w:rPr>
          <w:rFonts w:hint="eastAsia" w:ascii="宋体" w:hAnsi="宋体" w:cs="宋体"/>
          <w:color w:val="auto"/>
          <w:szCs w:val="21"/>
          <w:highlight w:val="none"/>
        </w:rPr>
        <w:t>。</w:t>
      </w:r>
    </w:p>
    <w:p>
      <w:pPr>
        <w:pageBreakBefore w:val="0"/>
        <w:tabs>
          <w:tab w:val="left" w:pos="0"/>
          <w:tab w:val="left" w:pos="1050"/>
        </w:tabs>
        <w:kinsoku/>
        <w:overflowPunct/>
        <w:bidi w:val="0"/>
        <w:spacing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3.2.2供应商应充分了解该项目的总体情况以及影响磋商报价的其它要素，考虑供货期间的价格风险因素，成交价在合同实施期内不得调整，同时也不因市场价格变动而调整。</w:t>
      </w:r>
    </w:p>
    <w:p>
      <w:pPr>
        <w:pageBreakBefore w:val="0"/>
        <w:tabs>
          <w:tab w:val="left" w:pos="0"/>
          <w:tab w:val="left" w:pos="1050"/>
        </w:tabs>
        <w:kinsoku/>
        <w:overflowPunct/>
        <w:bidi w:val="0"/>
        <w:spacing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3.2.3 响应报价表中的大写金额和小写金额不一致的，以大写金额为准。</w:t>
      </w:r>
    </w:p>
    <w:p>
      <w:pPr>
        <w:pageBreakBefore w:val="0"/>
        <w:tabs>
          <w:tab w:val="left" w:pos="0"/>
          <w:tab w:val="left" w:pos="1050"/>
        </w:tabs>
        <w:kinsoku/>
        <w:overflowPunct/>
        <w:bidi w:val="0"/>
        <w:spacing w:line="440" w:lineRule="exact"/>
        <w:ind w:firstLine="0" w:firstLineChars="0"/>
        <w:rPr>
          <w:rFonts w:ascii="宋体" w:hAnsi="宋体" w:cs="宋体"/>
          <w:b/>
          <w:bCs/>
          <w:color w:val="auto"/>
          <w:szCs w:val="21"/>
          <w:highlight w:val="none"/>
        </w:rPr>
      </w:pPr>
      <w:r>
        <w:rPr>
          <w:rFonts w:hint="eastAsia" w:ascii="宋体" w:hAnsi="宋体" w:cs="宋体"/>
          <w:color w:val="auto"/>
          <w:szCs w:val="21"/>
          <w:highlight w:val="none"/>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highlight w:val="none"/>
        </w:rPr>
        <w:t>（或电子交易系统）</w:t>
      </w:r>
      <w:r>
        <w:rPr>
          <w:rFonts w:hint="eastAsia" w:ascii="宋体" w:hAnsi="宋体" w:cs="宋体"/>
          <w:color w:val="auto"/>
          <w:szCs w:val="21"/>
          <w:highlight w:val="none"/>
        </w:rPr>
        <w:t>合理的时间内提供书面说明</w:t>
      </w:r>
      <w:r>
        <w:rPr>
          <w:rFonts w:hint="eastAsia" w:ascii="宋体" w:hAnsi="宋体" w:cs="宋体"/>
          <w:color w:val="auto"/>
          <w:kern w:val="0"/>
          <w:szCs w:val="21"/>
          <w:highlight w:val="none"/>
        </w:rPr>
        <w:t>（或电子澄清说明文件）</w:t>
      </w:r>
      <w:r>
        <w:rPr>
          <w:rFonts w:hint="eastAsia" w:ascii="宋体" w:hAnsi="宋体" w:cs="宋体"/>
          <w:color w:val="auto"/>
          <w:szCs w:val="21"/>
          <w:highlight w:val="none"/>
        </w:rPr>
        <w:t xml:space="preserve">，必要时提交相关证明材料；供应商不能证明其报价合理性的，磋商委员会应当将其作为无效投标处理。 </w:t>
      </w:r>
    </w:p>
    <w:p>
      <w:pPr>
        <w:spacing w:line="400" w:lineRule="exact"/>
        <w:ind w:firstLine="422" w:firstLineChars="200"/>
        <w:outlineLvl w:val="2"/>
        <w:rPr>
          <w:rFonts w:hint="eastAsia" w:ascii="宋体" w:hAnsi="宋体" w:cs="宋体"/>
          <w:b/>
          <w:bCs/>
          <w:szCs w:val="21"/>
          <w:highlight w:val="none"/>
          <w:lang w:val="zh-CN"/>
        </w:rPr>
      </w:pPr>
      <w:bookmarkStart w:id="382" w:name="_Toc6786"/>
      <w:bookmarkStart w:id="383" w:name="_Toc8041"/>
      <w:bookmarkStart w:id="384" w:name="_Toc358"/>
      <w:bookmarkStart w:id="385" w:name="_Toc3822"/>
      <w:bookmarkStart w:id="386" w:name="_Toc20443"/>
      <w:bookmarkStart w:id="387" w:name="_Toc19445"/>
      <w:bookmarkStart w:id="388" w:name="_Toc6707"/>
      <w:bookmarkStart w:id="389" w:name="_Toc22762"/>
      <w:bookmarkStart w:id="390" w:name="_Toc22930"/>
      <w:bookmarkStart w:id="391" w:name="_Toc31811"/>
      <w:bookmarkStart w:id="392" w:name="_Toc21628"/>
      <w:bookmarkStart w:id="393" w:name="_Toc11851"/>
      <w:r>
        <w:rPr>
          <w:rFonts w:hint="eastAsia" w:ascii="宋体" w:hAnsi="宋体" w:cs="宋体"/>
          <w:b/>
          <w:bCs/>
          <w:szCs w:val="21"/>
          <w:highlight w:val="none"/>
        </w:rPr>
        <w:t xml:space="preserve">3.3 </w:t>
      </w:r>
      <w:r>
        <w:rPr>
          <w:rFonts w:hint="eastAsia" w:ascii="宋体" w:hAnsi="宋体" w:cs="宋体"/>
          <w:b/>
          <w:bCs/>
          <w:szCs w:val="21"/>
          <w:highlight w:val="none"/>
          <w:lang w:val="zh-CN"/>
        </w:rPr>
        <w:t>小型微型企业认定及评标价格评审（非专门面向中小企业适用）</w:t>
      </w:r>
      <w:bookmarkEnd w:id="382"/>
      <w:bookmarkEnd w:id="383"/>
      <w:bookmarkEnd w:id="384"/>
      <w:bookmarkEnd w:id="385"/>
      <w:bookmarkEnd w:id="386"/>
      <w:bookmarkEnd w:id="387"/>
      <w:bookmarkEnd w:id="388"/>
      <w:bookmarkEnd w:id="389"/>
    </w:p>
    <w:p>
      <w:pPr>
        <w:pStyle w:val="46"/>
        <w:spacing w:line="400" w:lineRule="exact"/>
        <w:ind w:firstLine="480" w:firstLineChars="200"/>
        <w:rPr>
          <w:rFonts w:hint="eastAsia" w:ascii="宋体" w:hAnsi="宋体" w:cs="宋体"/>
          <w:color w:val="auto"/>
          <w:highlight w:val="none"/>
          <w:lang w:val="zh-CN"/>
        </w:rPr>
      </w:pPr>
    </w:p>
    <w:tbl>
      <w:tblPr>
        <w:tblStyle w:val="31"/>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内容</w:t>
            </w:r>
          </w:p>
        </w:tc>
        <w:tc>
          <w:tcPr>
            <w:tcW w:w="1561"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大型企业</w:t>
            </w:r>
          </w:p>
        </w:tc>
        <w:tc>
          <w:tcPr>
            <w:tcW w:w="1492"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中型企业</w:t>
            </w:r>
          </w:p>
        </w:tc>
        <w:tc>
          <w:tcPr>
            <w:tcW w:w="2273"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小型企业</w:t>
            </w:r>
          </w:p>
        </w:tc>
        <w:tc>
          <w:tcPr>
            <w:tcW w:w="2094"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价格=</w:t>
            </w:r>
          </w:p>
        </w:tc>
        <w:tc>
          <w:tcPr>
            <w:tcW w:w="1561"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报价</w:t>
            </w:r>
          </w:p>
        </w:tc>
        <w:tc>
          <w:tcPr>
            <w:tcW w:w="1492"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报价</w:t>
            </w:r>
          </w:p>
        </w:tc>
        <w:tc>
          <w:tcPr>
            <w:tcW w:w="2273"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报价×（1</w:t>
            </w:r>
            <w:r>
              <w:rPr>
                <w:rFonts w:hint="eastAsia" w:ascii="宋体" w:hAnsi="宋体" w:eastAsia="宋体" w:cs="宋体"/>
                <w:highlight w:val="none"/>
                <w:lang w:val="en-US" w:eastAsia="zh-CN"/>
              </w:rPr>
              <w:t>0</w:t>
            </w:r>
            <w:r>
              <w:rPr>
                <w:rFonts w:hint="eastAsia" w:ascii="宋体" w:hAnsi="宋体" w:eastAsia="宋体" w:cs="宋体"/>
                <w:highlight w:val="none"/>
                <w:lang w:val="zh-CN" w:eastAsia="zh-CN"/>
              </w:rPr>
              <w:t>-</w:t>
            </w:r>
            <w:r>
              <w:rPr>
                <w:rFonts w:hint="eastAsia" w:ascii="宋体" w:hAnsi="宋体" w:eastAsia="宋体" w:cs="宋体"/>
                <w:highlight w:val="none"/>
                <w:lang w:val="en-US" w:eastAsia="zh-CN"/>
              </w:rPr>
              <w:t>20</w:t>
            </w:r>
            <w:r>
              <w:rPr>
                <w:rFonts w:hint="eastAsia" w:ascii="宋体" w:hAnsi="宋体" w:eastAsia="宋体" w:cs="宋体"/>
                <w:highlight w:val="none"/>
                <w:lang w:val="zh-CN" w:eastAsia="zh-CN"/>
              </w:rPr>
              <w:t>%）</w:t>
            </w:r>
          </w:p>
        </w:tc>
        <w:tc>
          <w:tcPr>
            <w:tcW w:w="2094" w:type="dxa"/>
            <w:noWrap w:val="0"/>
            <w:vAlign w:val="center"/>
          </w:tcPr>
          <w:p>
            <w:pPr>
              <w:pStyle w:val="15"/>
              <w:ind w:firstLine="0" w:firstLineChars="0"/>
              <w:jc w:val="center"/>
              <w:rPr>
                <w:rFonts w:hint="eastAsia" w:ascii="宋体" w:hAnsi="宋体" w:eastAsia="宋体" w:cs="宋体"/>
                <w:highlight w:val="none"/>
                <w:lang w:val="zh-CN" w:eastAsia="zh-CN"/>
              </w:rPr>
            </w:pPr>
            <w:r>
              <w:rPr>
                <w:rFonts w:hint="eastAsia" w:ascii="宋体" w:hAnsi="宋体" w:eastAsia="宋体" w:cs="宋体"/>
                <w:highlight w:val="none"/>
                <w:lang w:val="zh-CN" w:eastAsia="zh-CN"/>
              </w:rPr>
              <w:t>报价×（1</w:t>
            </w:r>
            <w:r>
              <w:rPr>
                <w:rFonts w:hint="eastAsia" w:ascii="宋体" w:hAnsi="宋体" w:eastAsia="宋体" w:cs="宋体"/>
                <w:highlight w:val="none"/>
                <w:lang w:val="en-US" w:eastAsia="zh-CN"/>
              </w:rPr>
              <w:t>0</w:t>
            </w:r>
            <w:r>
              <w:rPr>
                <w:rFonts w:hint="eastAsia" w:ascii="宋体" w:hAnsi="宋体" w:eastAsia="宋体" w:cs="宋体"/>
                <w:highlight w:val="none"/>
                <w:lang w:val="zh-CN" w:eastAsia="zh-CN"/>
              </w:rPr>
              <w:t>-</w:t>
            </w:r>
            <w:r>
              <w:rPr>
                <w:rFonts w:hint="eastAsia" w:ascii="宋体" w:hAnsi="宋体" w:eastAsia="宋体" w:cs="宋体"/>
                <w:highlight w:val="none"/>
                <w:lang w:val="en-US" w:eastAsia="zh-CN"/>
              </w:rPr>
              <w:t>20</w:t>
            </w:r>
            <w:r>
              <w:rPr>
                <w:rFonts w:hint="eastAsia" w:ascii="宋体" w:hAnsi="宋体" w:eastAsia="宋体" w:cs="宋体"/>
                <w:highlight w:val="none"/>
                <w:lang w:val="zh-CN" w:eastAsia="zh-CN"/>
              </w:rPr>
              <w:t>%）</w:t>
            </w:r>
          </w:p>
        </w:tc>
      </w:tr>
    </w:tbl>
    <w:p>
      <w:pPr>
        <w:pStyle w:val="15"/>
        <w:rPr>
          <w:rFonts w:hint="eastAsia" w:ascii="宋体" w:hAnsi="宋体" w:cs="宋体"/>
          <w:highlight w:val="none"/>
        </w:rPr>
      </w:pPr>
      <w:r>
        <w:rPr>
          <w:rFonts w:hint="eastAsia" w:ascii="宋体" w:hAnsi="宋体" w:cs="宋体"/>
          <w:highlight w:val="none"/>
        </w:rPr>
        <w:t>3.3.1</w:t>
      </w:r>
      <w:r>
        <w:rPr>
          <w:rFonts w:hint="eastAsia" w:ascii="宋体" w:hAnsi="宋体" w:cs="宋体"/>
          <w:highlight w:val="none"/>
          <w:lang w:val="zh-CN"/>
        </w:rPr>
        <w:t>根据《政府采购促进中小企业发展管理办法》（财库[20</w:t>
      </w:r>
      <w:r>
        <w:rPr>
          <w:rFonts w:hint="eastAsia" w:ascii="宋体" w:hAnsi="宋体" w:cs="宋体"/>
          <w:highlight w:val="none"/>
        </w:rPr>
        <w:t>20</w:t>
      </w:r>
      <w:r>
        <w:rPr>
          <w:rFonts w:hint="eastAsia" w:ascii="宋体" w:hAnsi="宋体" w:cs="宋体"/>
          <w:highlight w:val="none"/>
          <w:lang w:val="zh-CN"/>
        </w:rPr>
        <w:t>]</w:t>
      </w:r>
      <w:r>
        <w:rPr>
          <w:rFonts w:hint="eastAsia" w:ascii="宋体" w:hAnsi="宋体" w:cs="宋体"/>
          <w:highlight w:val="none"/>
        </w:rPr>
        <w:t>46</w:t>
      </w:r>
      <w:r>
        <w:rPr>
          <w:rFonts w:hint="eastAsia" w:ascii="宋体" w:hAnsi="宋体" w:cs="宋体"/>
          <w:highlight w:val="none"/>
          <w:lang w:val="zh-CN"/>
        </w:rPr>
        <w:t>号）的规定、《工业和信息化部、国家统计局、国家发展和改革委员会、财政部关于印发中小企业划型标准规定的通知》（工信部联企业[</w:t>
      </w:r>
      <w:r>
        <w:rPr>
          <w:rFonts w:hint="eastAsia" w:ascii="宋体" w:hAnsi="宋体" w:cs="宋体"/>
          <w:highlight w:val="none"/>
        </w:rPr>
        <w:t>20</w:t>
      </w:r>
      <w:r>
        <w:rPr>
          <w:rFonts w:hint="eastAsia" w:ascii="宋体" w:hAnsi="宋体" w:cs="宋体"/>
          <w:highlight w:val="none"/>
          <w:lang w:val="zh-CN"/>
        </w:rPr>
        <w:t>11]300号）、河南省财政厅 河南省工业和信息化厅《关于政府采购促进小型微型企业发展的实施意见》（豫财购[</w:t>
      </w:r>
      <w:r>
        <w:rPr>
          <w:rFonts w:hint="eastAsia" w:ascii="宋体" w:hAnsi="宋体" w:cs="宋体"/>
          <w:highlight w:val="none"/>
        </w:rPr>
        <w:t>20</w:t>
      </w:r>
      <w:r>
        <w:rPr>
          <w:rFonts w:hint="eastAsia" w:ascii="宋体" w:hAnsi="宋体" w:cs="宋体"/>
          <w:highlight w:val="none"/>
          <w:lang w:val="zh-CN"/>
        </w:rPr>
        <w:t>13]14号）文件规定，对小型和微型企业产品的价格给予</w:t>
      </w:r>
      <w:r>
        <w:rPr>
          <w:rFonts w:hint="eastAsia" w:ascii="宋体" w:hAnsi="宋体" w:cs="宋体"/>
          <w:highlight w:val="none"/>
          <w:lang w:val="en-US" w:eastAsia="zh-CN"/>
        </w:rPr>
        <w:t>20</w:t>
      </w:r>
      <w:r>
        <w:rPr>
          <w:rFonts w:hint="eastAsia" w:ascii="宋体" w:hAnsi="宋体" w:cs="宋体"/>
          <w:highlight w:val="none"/>
          <w:lang w:val="zh-CN"/>
        </w:rPr>
        <w:t>%的扣除，用扣除后的价格参与评审。</w:t>
      </w:r>
    </w:p>
    <w:p>
      <w:pPr>
        <w:pStyle w:val="15"/>
        <w:rPr>
          <w:rFonts w:hint="eastAsia" w:ascii="宋体" w:hAnsi="宋体" w:cs="宋体"/>
          <w:highlight w:val="none"/>
        </w:rPr>
      </w:pPr>
      <w:r>
        <w:rPr>
          <w:rFonts w:hint="eastAsia" w:ascii="宋体" w:hAnsi="宋体" w:cs="宋体"/>
          <w:highlight w:val="none"/>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15%的价格扣除，但必须提供由省级以上监狱管理局、戒毒管理局（含新疆生产建设兵团）出具的属于监狱企业的证明文件，否则评审时不予价格扣除优惠。</w:t>
      </w:r>
    </w:p>
    <w:p>
      <w:pPr>
        <w:pStyle w:val="15"/>
        <w:rPr>
          <w:rFonts w:hint="eastAsia" w:ascii="宋体" w:hAnsi="宋体" w:cs="宋体"/>
          <w:highlight w:val="none"/>
        </w:rPr>
      </w:pPr>
      <w:r>
        <w:rPr>
          <w:rFonts w:hint="eastAsia" w:ascii="宋体" w:hAnsi="宋体" w:cs="宋体"/>
          <w:highlight w:val="none"/>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竞争性磋商响应文件格式)，并对声明的真实性负责。</w:t>
      </w:r>
    </w:p>
    <w:p>
      <w:pPr>
        <w:pStyle w:val="15"/>
        <w:ind w:firstLine="422"/>
        <w:rPr>
          <w:rFonts w:hint="eastAsia" w:ascii="宋体" w:hAnsi="宋体" w:cs="宋体"/>
          <w:b/>
          <w:bCs/>
          <w:highlight w:val="none"/>
        </w:rPr>
      </w:pPr>
      <w:r>
        <w:rPr>
          <w:rFonts w:hint="eastAsia" w:ascii="宋体" w:hAnsi="宋体" w:cs="宋体"/>
          <w:b/>
          <w:bCs/>
          <w:highlight w:val="none"/>
        </w:rPr>
        <w:t>注：投标价格为含税价。</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94" w:name="_Toc13240"/>
      <w:r>
        <w:rPr>
          <w:rFonts w:hint="eastAsia" w:ascii="宋体" w:hAnsi="宋体" w:eastAsia="宋体"/>
          <w:b/>
          <w:bCs/>
          <w:color w:val="auto"/>
          <w:sz w:val="21"/>
          <w:szCs w:val="21"/>
          <w:highlight w:val="none"/>
        </w:rPr>
        <w:t>3.3 磋商有效期</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90"/>
      <w:bookmarkEnd w:id="391"/>
      <w:bookmarkEnd w:id="392"/>
      <w:bookmarkEnd w:id="393"/>
      <w:bookmarkEnd w:id="394"/>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3.3.1 在供应商须知前附表规定的磋商有效期内，供应商不得要求撤销或修改其响应文件。</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95" w:name="_Toc455867787"/>
      <w:bookmarkStart w:id="396" w:name="_Toc152042326"/>
      <w:bookmarkStart w:id="397" w:name="_Toc7618"/>
      <w:bookmarkStart w:id="398" w:name="_Toc22634"/>
      <w:bookmarkStart w:id="399" w:name="_Toc30697"/>
      <w:bookmarkStart w:id="400" w:name="_Toc4165"/>
      <w:bookmarkStart w:id="401" w:name="_Toc152045550"/>
      <w:bookmarkStart w:id="402" w:name="_Toc8406"/>
      <w:bookmarkStart w:id="403" w:name="_Toc7057"/>
      <w:bookmarkStart w:id="404" w:name="_Toc318450694"/>
      <w:bookmarkStart w:id="405" w:name="_Toc2505"/>
      <w:bookmarkStart w:id="406" w:name="_Toc10370"/>
      <w:bookmarkStart w:id="407" w:name="_Toc144974518"/>
      <w:bookmarkStart w:id="408" w:name="_Toc490667847"/>
      <w:bookmarkStart w:id="409" w:name="_Toc7973"/>
      <w:bookmarkStart w:id="410" w:name="_Toc466298110"/>
      <w:bookmarkStart w:id="411" w:name="_Toc455080127"/>
      <w:bookmarkStart w:id="412" w:name="_Toc24456"/>
      <w:bookmarkStart w:id="413" w:name="_Toc7436"/>
      <w:bookmarkStart w:id="414" w:name="_Toc11372"/>
      <w:bookmarkStart w:id="415" w:name="_Toc24281"/>
      <w:bookmarkStart w:id="416" w:name="_Toc13921"/>
      <w:bookmarkStart w:id="417" w:name="_Toc13403"/>
      <w:r>
        <w:rPr>
          <w:rFonts w:hint="eastAsia" w:ascii="宋体" w:hAnsi="宋体" w:eastAsia="宋体"/>
          <w:b/>
          <w:bCs/>
          <w:color w:val="auto"/>
          <w:sz w:val="21"/>
          <w:szCs w:val="21"/>
          <w:highlight w:val="none"/>
        </w:rPr>
        <w:t>3.4 磋商保证金</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Start w:id="418" w:name="_Toc152042328"/>
      <w:bookmarkStart w:id="419" w:name="_Toc144974520"/>
      <w:bookmarkStart w:id="420" w:name="_Toc318450695"/>
      <w:bookmarkStart w:id="421" w:name="_Toc152045552"/>
      <w:r>
        <w:rPr>
          <w:rFonts w:hint="eastAsia" w:ascii="宋体" w:hAnsi="宋体" w:eastAsia="宋体"/>
          <w:b/>
          <w:bCs/>
          <w:color w:val="auto"/>
          <w:sz w:val="21"/>
          <w:szCs w:val="21"/>
          <w:highlight w:val="none"/>
        </w:rPr>
        <w:t>：无。</w:t>
      </w:r>
      <w:bookmarkEnd w:id="412"/>
      <w:bookmarkEnd w:id="413"/>
      <w:bookmarkEnd w:id="414"/>
      <w:bookmarkEnd w:id="415"/>
      <w:bookmarkEnd w:id="416"/>
      <w:bookmarkEnd w:id="417"/>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22" w:name="_Toc29082"/>
      <w:bookmarkStart w:id="423" w:name="_Toc15547"/>
      <w:bookmarkStart w:id="424" w:name="_Toc20328"/>
      <w:bookmarkStart w:id="425" w:name="_Toc455080128"/>
      <w:bookmarkStart w:id="426" w:name="_Toc13680"/>
      <w:bookmarkStart w:id="427" w:name="_Toc466298111"/>
      <w:bookmarkStart w:id="428" w:name="_Toc30696"/>
      <w:bookmarkStart w:id="429" w:name="_Toc2794"/>
      <w:bookmarkStart w:id="430" w:name="_Toc17153"/>
      <w:bookmarkStart w:id="431" w:name="_Toc490667848"/>
      <w:bookmarkStart w:id="432" w:name="_Toc16747"/>
      <w:bookmarkStart w:id="433" w:name="_Toc27579"/>
      <w:bookmarkStart w:id="434" w:name="_Toc455867788"/>
      <w:bookmarkStart w:id="435" w:name="_Toc22527"/>
      <w:bookmarkStart w:id="436" w:name="_Toc23136"/>
      <w:bookmarkStart w:id="437" w:name="_Toc31935"/>
      <w:bookmarkStart w:id="438" w:name="_Toc11077"/>
      <w:bookmarkStart w:id="439" w:name="_Toc22384"/>
      <w:bookmarkStart w:id="440" w:name="_Toc17148"/>
      <w:r>
        <w:rPr>
          <w:rFonts w:hint="eastAsia" w:ascii="宋体" w:hAnsi="宋体" w:eastAsia="宋体"/>
          <w:b/>
          <w:bCs/>
          <w:color w:val="auto"/>
          <w:sz w:val="21"/>
          <w:szCs w:val="21"/>
          <w:highlight w:val="none"/>
        </w:rPr>
        <w:t>3.5资格审查资料</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441" w:name="_Toc20557"/>
      <w:bookmarkStart w:id="442" w:name="_Toc13787"/>
      <w:bookmarkStart w:id="443" w:name="_Toc4586"/>
      <w:bookmarkStart w:id="444" w:name="_Toc10160"/>
      <w:bookmarkStart w:id="445" w:name="_Toc933"/>
      <w:bookmarkStart w:id="446" w:name="_Toc1848"/>
      <w:bookmarkStart w:id="447" w:name="_Toc30442"/>
      <w:bookmarkStart w:id="448" w:name="_Toc5132"/>
      <w:bookmarkStart w:id="449" w:name="_Toc455080129"/>
      <w:bookmarkStart w:id="450" w:name="_Toc11694"/>
      <w:bookmarkStart w:id="451" w:name="_Toc466298112"/>
      <w:bookmarkStart w:id="452" w:name="_Toc18915"/>
      <w:bookmarkStart w:id="453" w:name="_Toc1228"/>
      <w:bookmarkStart w:id="454" w:name="_Toc9015"/>
      <w:bookmarkStart w:id="455" w:name="_Toc152042329"/>
      <w:bookmarkStart w:id="456" w:name="_Toc144974521"/>
      <w:bookmarkStart w:id="457" w:name="_Toc3286"/>
      <w:bookmarkStart w:id="458" w:name="_Toc26258"/>
      <w:bookmarkStart w:id="459" w:name="_Toc455867789"/>
      <w:bookmarkStart w:id="460" w:name="_Toc318450696"/>
      <w:bookmarkStart w:id="461" w:name="_Toc19724"/>
      <w:bookmarkStart w:id="462" w:name="_Toc490667849"/>
      <w:bookmarkStart w:id="463" w:name="_Toc152045553"/>
      <w:r>
        <w:rPr>
          <w:rFonts w:hint="eastAsia" w:ascii="宋体" w:hAnsi="宋体" w:eastAsia="宋体"/>
          <w:color w:val="auto"/>
          <w:sz w:val="21"/>
          <w:szCs w:val="21"/>
          <w:highlight w:val="none"/>
        </w:rPr>
        <w:t>按照第二章供应商须知表“供应商须知前附表”1.5.1要求，提供其他相关材料。</w:t>
      </w:r>
      <w:bookmarkEnd w:id="441"/>
      <w:bookmarkEnd w:id="442"/>
      <w:bookmarkEnd w:id="443"/>
      <w:bookmarkEnd w:id="444"/>
      <w:bookmarkEnd w:id="445"/>
      <w:bookmarkEnd w:id="446"/>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64" w:name="_Toc3034"/>
      <w:bookmarkStart w:id="465" w:name="_Toc27283"/>
      <w:bookmarkStart w:id="466" w:name="_Toc9338"/>
      <w:bookmarkStart w:id="467" w:name="_Toc24859"/>
      <w:bookmarkStart w:id="468" w:name="_Toc2472"/>
      <w:bookmarkStart w:id="469" w:name="_Toc24976"/>
      <w:r>
        <w:rPr>
          <w:rFonts w:hint="eastAsia" w:ascii="宋体" w:hAnsi="宋体" w:eastAsia="宋体"/>
          <w:b/>
          <w:bCs/>
          <w:color w:val="auto"/>
          <w:sz w:val="21"/>
          <w:szCs w:val="21"/>
          <w:highlight w:val="none"/>
        </w:rPr>
        <w:t>3.6 备选方案</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除供应商须知前附表另有规定外，供应商不得递交备选磋商方案。</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70" w:name="_Toc455867790"/>
      <w:bookmarkStart w:id="471" w:name="_Toc144974522"/>
      <w:bookmarkStart w:id="472" w:name="_Toc490667850"/>
      <w:bookmarkStart w:id="473" w:name="_Toc6323"/>
      <w:bookmarkStart w:id="474" w:name="_Toc1358"/>
      <w:bookmarkStart w:id="475" w:name="_Toc18141"/>
      <w:bookmarkStart w:id="476" w:name="_Toc12275"/>
      <w:bookmarkStart w:id="477" w:name="_Toc7966"/>
      <w:bookmarkStart w:id="478" w:name="_Toc455080130"/>
      <w:bookmarkStart w:id="479" w:name="_Toc8143"/>
      <w:bookmarkStart w:id="480" w:name="_Toc152045554"/>
      <w:bookmarkStart w:id="481" w:name="_Toc17697"/>
      <w:bookmarkStart w:id="482" w:name="_Toc10246"/>
      <w:bookmarkStart w:id="483" w:name="_Toc5516"/>
      <w:bookmarkStart w:id="484" w:name="_Toc18912"/>
      <w:bookmarkStart w:id="485" w:name="_Toc12541"/>
      <w:bookmarkStart w:id="486" w:name="_Toc318450697"/>
      <w:bookmarkStart w:id="487" w:name="_Toc25620"/>
      <w:bookmarkStart w:id="488" w:name="_Toc466298113"/>
      <w:bookmarkStart w:id="489" w:name="_Toc28656"/>
      <w:bookmarkStart w:id="490" w:name="_Toc7626"/>
      <w:bookmarkStart w:id="491" w:name="_Toc152042330"/>
      <w:bookmarkStart w:id="492" w:name="_Toc22454"/>
      <w:r>
        <w:rPr>
          <w:rFonts w:hint="eastAsia" w:ascii="宋体" w:hAnsi="宋体" w:eastAsia="宋体"/>
          <w:b/>
          <w:bCs/>
          <w:color w:val="auto"/>
          <w:sz w:val="21"/>
          <w:szCs w:val="21"/>
          <w:highlight w:val="none"/>
        </w:rPr>
        <w:t>3.7 响应文件的编制</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ageBreakBefore w:val="0"/>
        <w:kinsoku/>
        <w:overflowPunct/>
        <w:bidi w:val="0"/>
        <w:spacing w:line="360" w:lineRule="auto"/>
        <w:ind w:firstLine="0" w:firstLineChars="0"/>
        <w:rPr>
          <w:rFonts w:ascii="宋体" w:hAnsi="宋体" w:cs="宋体"/>
          <w:color w:val="auto"/>
          <w:szCs w:val="21"/>
          <w:highlight w:val="none"/>
        </w:rPr>
      </w:pPr>
      <w:bookmarkStart w:id="493" w:name="_Toc152042331"/>
      <w:bookmarkStart w:id="494" w:name="_Toc455080131"/>
      <w:bookmarkStart w:id="495" w:name="_Toc144974523"/>
      <w:bookmarkStart w:id="496" w:name="_Toc152045555"/>
      <w:r>
        <w:rPr>
          <w:rFonts w:hint="eastAsia" w:ascii="宋体" w:hAnsi="宋体" w:cs="宋体"/>
          <w:color w:val="auto"/>
          <w:szCs w:val="21"/>
          <w:highlight w:val="none"/>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3.7.2 响应文件应当对竞争性磋商文件有关交货期、磋商有效期、质量要求、磋商内容作出响应。</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3.7.3响应文件应使用信阳市公共资源交易系统投标文件制作专用工具软件编制，竞争性磋商响应文件格式为“*.XYTF”。电子响应文件签字或盖章的具体要求见供应商须知前附表。）供应商须在响应文件递交截止时间前制作并提交。</w:t>
      </w:r>
    </w:p>
    <w:p>
      <w:pPr>
        <w:pageBreakBefore w:val="0"/>
        <w:kinsoku/>
        <w:overflowPunct/>
        <w:bidi w:val="0"/>
        <w:spacing w:line="360" w:lineRule="auto"/>
        <w:ind w:firstLine="0" w:firstLineChars="0"/>
        <w:rPr>
          <w:rFonts w:ascii="宋体" w:hAnsi="宋体" w:cs="宋体"/>
          <w:color w:val="auto"/>
          <w:highlight w:val="none"/>
        </w:rPr>
      </w:pPr>
      <w:r>
        <w:rPr>
          <w:rFonts w:hint="eastAsia" w:ascii="宋体" w:hAnsi="宋体" w:cs="宋体"/>
          <w:color w:val="auto"/>
          <w:szCs w:val="21"/>
          <w:highlight w:val="none"/>
        </w:rPr>
        <w:t xml:space="preserve"> 3.7.4 响应文件份数见供应商须知前附表。</w:t>
      </w:r>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497" w:name="_Toc19433"/>
      <w:bookmarkStart w:id="498" w:name="_Toc18951"/>
      <w:r>
        <w:rPr>
          <w:rFonts w:hint="eastAsia" w:ascii="宋体" w:hAnsi="宋体" w:eastAsia="宋体"/>
          <w:b/>
          <w:bCs/>
          <w:color w:val="auto"/>
          <w:sz w:val="21"/>
          <w:szCs w:val="21"/>
          <w:highlight w:val="none"/>
        </w:rPr>
        <w:t xml:space="preserve">4. </w:t>
      </w:r>
      <w:bookmarkEnd w:id="493"/>
      <w:bookmarkEnd w:id="494"/>
      <w:bookmarkEnd w:id="495"/>
      <w:bookmarkEnd w:id="496"/>
      <w:r>
        <w:rPr>
          <w:rFonts w:hint="eastAsia" w:ascii="宋体" w:hAnsi="宋体" w:eastAsia="宋体"/>
          <w:b/>
          <w:bCs/>
          <w:color w:val="auto"/>
          <w:sz w:val="21"/>
          <w:szCs w:val="21"/>
          <w:highlight w:val="none"/>
        </w:rPr>
        <w:t>磋商</w:t>
      </w:r>
      <w:bookmarkEnd w:id="497"/>
      <w:bookmarkEnd w:id="498"/>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99" w:name="_Toc152045556"/>
      <w:bookmarkStart w:id="500" w:name="_Toc31492"/>
      <w:bookmarkStart w:id="501" w:name="_Toc11243"/>
      <w:bookmarkStart w:id="502" w:name="_Toc18820"/>
      <w:bookmarkStart w:id="503" w:name="_Toc16962"/>
      <w:bookmarkStart w:id="504" w:name="_Toc16783"/>
      <w:bookmarkStart w:id="505" w:name="_Toc22961"/>
      <w:bookmarkStart w:id="506" w:name="_Toc26583"/>
      <w:bookmarkStart w:id="507" w:name="_Toc26550"/>
      <w:bookmarkStart w:id="508" w:name="_Toc144974524"/>
      <w:bookmarkStart w:id="509" w:name="_Toc16344"/>
      <w:bookmarkStart w:id="510" w:name="_Toc318450699"/>
      <w:bookmarkStart w:id="511" w:name="_Toc466298115"/>
      <w:bookmarkStart w:id="512" w:name="_Toc455080132"/>
      <w:bookmarkStart w:id="513" w:name="_Toc455867792"/>
      <w:bookmarkStart w:id="514" w:name="_Toc490667852"/>
      <w:bookmarkStart w:id="515" w:name="_Toc152042332"/>
      <w:bookmarkStart w:id="516" w:name="_Toc7666"/>
      <w:bookmarkStart w:id="517" w:name="_Toc9644"/>
      <w:bookmarkStart w:id="518" w:name="_Toc25812"/>
      <w:bookmarkStart w:id="519" w:name="_Toc24560"/>
      <w:bookmarkStart w:id="520" w:name="_Toc21145"/>
      <w:bookmarkStart w:id="521" w:name="_Toc29366"/>
      <w:r>
        <w:rPr>
          <w:rFonts w:hint="eastAsia" w:ascii="宋体" w:hAnsi="宋体" w:eastAsia="宋体"/>
          <w:b/>
          <w:bCs/>
          <w:color w:val="auto"/>
          <w:sz w:val="21"/>
          <w:szCs w:val="21"/>
          <w:highlight w:val="none"/>
        </w:rPr>
        <w:t>4.1 响应文件的</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Fonts w:hint="eastAsia" w:ascii="宋体" w:hAnsi="宋体" w:eastAsia="宋体"/>
          <w:b/>
          <w:bCs/>
          <w:color w:val="auto"/>
          <w:sz w:val="21"/>
          <w:szCs w:val="21"/>
          <w:highlight w:val="none"/>
        </w:rPr>
        <w:t>上传</w:t>
      </w:r>
      <w:bookmarkEnd w:id="516"/>
      <w:bookmarkEnd w:id="517"/>
      <w:bookmarkEnd w:id="518"/>
      <w:bookmarkEnd w:id="519"/>
      <w:bookmarkEnd w:id="520"/>
      <w:bookmarkEnd w:id="521"/>
    </w:p>
    <w:p>
      <w:pPr>
        <w:pageBreakBefore w:val="0"/>
        <w:kinsoku/>
        <w:overflowPunct/>
        <w:bidi w:val="0"/>
        <w:spacing w:line="360" w:lineRule="auto"/>
        <w:ind w:firstLine="0" w:firstLineChars="0"/>
        <w:rPr>
          <w:rFonts w:ascii="宋体" w:hAnsi="宋体"/>
          <w:color w:val="auto"/>
          <w:szCs w:val="21"/>
          <w:highlight w:val="none"/>
        </w:rPr>
      </w:pPr>
      <w:r>
        <w:rPr>
          <w:rFonts w:hint="eastAsia" w:ascii="宋体" w:hAnsi="宋体" w:cs="宋体"/>
          <w:color w:val="auto"/>
          <w:szCs w:val="21"/>
          <w:highlight w:val="none"/>
        </w:rPr>
        <w:t>4.1.1网上上传的电子响应文件应使用供应商数字证书认证并加密</w:t>
      </w:r>
      <w:r>
        <w:rPr>
          <w:rFonts w:hint="eastAsia" w:ascii="宋体" w:hAnsi="宋体"/>
          <w:color w:val="auto"/>
          <w:szCs w:val="21"/>
          <w:highlight w:val="none"/>
        </w:rPr>
        <w:t>。</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522" w:name="_Toc490667853"/>
      <w:bookmarkStart w:id="523" w:name="_Toc4767"/>
      <w:bookmarkStart w:id="524" w:name="_Toc21897"/>
      <w:bookmarkStart w:id="525" w:name="_Toc462"/>
      <w:bookmarkStart w:id="526" w:name="_Toc455867793"/>
      <w:bookmarkStart w:id="527" w:name="_Toc27132"/>
      <w:bookmarkStart w:id="528" w:name="_Toc28272"/>
      <w:bookmarkStart w:id="529" w:name="_Toc16832"/>
      <w:bookmarkStart w:id="530" w:name="_Toc28929"/>
      <w:bookmarkStart w:id="531" w:name="_Toc152042333"/>
      <w:bookmarkStart w:id="532" w:name="_Toc16976"/>
      <w:bookmarkStart w:id="533" w:name="_Toc455080133"/>
      <w:bookmarkStart w:id="534" w:name="_Toc15488"/>
      <w:bookmarkStart w:id="535" w:name="_Toc22202"/>
      <w:bookmarkStart w:id="536" w:name="_Toc144974525"/>
      <w:bookmarkStart w:id="537" w:name="_Toc318450700"/>
      <w:bookmarkStart w:id="538" w:name="_Toc16394"/>
      <w:bookmarkStart w:id="539" w:name="_Toc21072"/>
      <w:bookmarkStart w:id="540" w:name="_Toc466298116"/>
      <w:bookmarkStart w:id="541" w:name="_Toc152045557"/>
      <w:bookmarkStart w:id="542" w:name="_Toc8754"/>
      <w:bookmarkStart w:id="543" w:name="_Toc7663"/>
      <w:bookmarkStart w:id="544" w:name="_Toc20259"/>
      <w:r>
        <w:rPr>
          <w:rFonts w:hint="eastAsia" w:ascii="宋体" w:hAnsi="宋体" w:eastAsia="宋体"/>
          <w:b/>
          <w:bCs/>
          <w:color w:val="auto"/>
          <w:sz w:val="21"/>
          <w:szCs w:val="21"/>
          <w:highlight w:val="none"/>
        </w:rPr>
        <w:t>4.2 响应文件的递交</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ageBreakBefore w:val="0"/>
        <w:kinsoku/>
        <w:overflowPunct/>
        <w:bidi w:val="0"/>
        <w:spacing w:line="400" w:lineRule="exact"/>
        <w:ind w:firstLine="0" w:firstLineChars="0"/>
        <w:rPr>
          <w:rFonts w:ascii="宋体" w:hAnsi="宋体" w:cs="宋体"/>
          <w:color w:val="auto"/>
          <w:highlight w:val="none"/>
        </w:rPr>
      </w:pPr>
      <w:bookmarkStart w:id="545" w:name="_Toc2952"/>
      <w:bookmarkStart w:id="546" w:name="_Toc30860"/>
      <w:bookmarkStart w:id="547" w:name="_Toc144974526"/>
      <w:bookmarkStart w:id="548" w:name="_Toc19951"/>
      <w:bookmarkStart w:id="549" w:name="_Toc20281"/>
      <w:bookmarkStart w:id="550" w:name="_Toc17161"/>
      <w:bookmarkStart w:id="551" w:name="_Toc152042334"/>
      <w:bookmarkStart w:id="552" w:name="_Toc455080134"/>
      <w:bookmarkStart w:id="553" w:name="_Toc21890"/>
      <w:bookmarkStart w:id="554" w:name="_Toc26684"/>
      <w:bookmarkStart w:id="555" w:name="_Toc455867794"/>
      <w:bookmarkStart w:id="556" w:name="_Toc5102"/>
      <w:bookmarkStart w:id="557" w:name="_Toc490667854"/>
      <w:bookmarkStart w:id="558" w:name="_Toc318450701"/>
      <w:bookmarkStart w:id="559" w:name="_Toc11817"/>
      <w:bookmarkStart w:id="560" w:name="_Toc466298117"/>
      <w:bookmarkStart w:id="561" w:name="_Toc152045558"/>
      <w:r>
        <w:rPr>
          <w:rFonts w:hint="eastAsia" w:ascii="宋体" w:hAnsi="宋体" w:cs="宋体"/>
          <w:color w:val="auto"/>
          <w:highlight w:val="none"/>
        </w:rPr>
        <w:t>4.2.1电子响应文件的递交</w:t>
      </w:r>
    </w:p>
    <w:p>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562" w:name="_Toc12093"/>
      <w:bookmarkStart w:id="563" w:name="_Toc21902"/>
      <w:bookmarkStart w:id="564" w:name="_Toc11973"/>
      <w:bookmarkStart w:id="565" w:name="_Toc15897"/>
      <w:bookmarkStart w:id="566" w:name="_Toc1790"/>
      <w:bookmarkStart w:id="567" w:name="_Toc19985"/>
      <w:r>
        <w:rPr>
          <w:rFonts w:hint="eastAsia" w:ascii="宋体" w:hAnsi="宋体" w:eastAsia="宋体"/>
          <w:b/>
          <w:bCs/>
          <w:color w:val="auto"/>
          <w:sz w:val="21"/>
          <w:szCs w:val="21"/>
          <w:highlight w:val="none"/>
        </w:rPr>
        <w:t>4.3 响应文件的修改与撤回</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ageBreakBefore w:val="0"/>
        <w:kinsoku/>
        <w:overflowPunct/>
        <w:bidi w:val="0"/>
        <w:spacing w:line="400" w:lineRule="exact"/>
        <w:ind w:firstLine="0" w:firstLineChars="0"/>
        <w:rPr>
          <w:rFonts w:ascii="宋体" w:hAnsi="宋体" w:cs="宋体"/>
          <w:color w:val="auto"/>
          <w:szCs w:val="21"/>
          <w:highlight w:val="none"/>
        </w:rPr>
      </w:pPr>
      <w:bookmarkStart w:id="568" w:name="_Toc144974527"/>
      <w:bookmarkStart w:id="569" w:name="_Toc152045559"/>
      <w:bookmarkStart w:id="570" w:name="_Toc152042335"/>
      <w:bookmarkStart w:id="571" w:name="_Toc455080135"/>
      <w:r>
        <w:rPr>
          <w:rFonts w:hint="eastAsia" w:ascii="宋体" w:hAnsi="宋体" w:cs="宋体"/>
          <w:color w:val="auto"/>
          <w:szCs w:val="21"/>
          <w:highlight w:val="none"/>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pPr>
        <w:pageBreakBefore w:val="0"/>
        <w:kinsoku/>
        <w:overflowPunct/>
        <w:bidi w:val="0"/>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4.3.2修改的响应文件应按照本章第3.7条、第4.2条规定进行编制和递交。</w:t>
      </w:r>
    </w:p>
    <w:bookmarkEnd w:id="568"/>
    <w:bookmarkEnd w:id="569"/>
    <w:bookmarkEnd w:id="570"/>
    <w:p>
      <w:pPr>
        <w:pageBreakBefore w:val="0"/>
        <w:kinsoku/>
        <w:overflowPunct/>
        <w:bidi w:val="0"/>
        <w:spacing w:line="400" w:lineRule="exact"/>
        <w:ind w:firstLine="0" w:firstLineChars="0"/>
        <w:outlineLvl w:val="1"/>
        <w:rPr>
          <w:rFonts w:ascii="宋体" w:hAnsi="宋体"/>
          <w:b/>
          <w:bCs/>
          <w:color w:val="auto"/>
          <w:szCs w:val="21"/>
          <w:highlight w:val="none"/>
        </w:rPr>
      </w:pPr>
      <w:bookmarkStart w:id="572" w:name="_Toc7480"/>
      <w:bookmarkStart w:id="573" w:name="_Toc14969"/>
      <w:r>
        <w:rPr>
          <w:rFonts w:hint="eastAsia" w:ascii="宋体" w:hAnsi="宋体"/>
          <w:b/>
          <w:bCs/>
          <w:color w:val="auto"/>
          <w:szCs w:val="21"/>
          <w:highlight w:val="none"/>
        </w:rPr>
        <w:t>5.磋商开始</w:t>
      </w:r>
      <w:bookmarkEnd w:id="571"/>
      <w:bookmarkEnd w:id="572"/>
      <w:bookmarkEnd w:id="573"/>
      <w:bookmarkStart w:id="574" w:name="_Toc16040"/>
      <w:bookmarkStart w:id="575" w:name="_Toc490667856"/>
      <w:bookmarkStart w:id="576" w:name="_Toc455867796"/>
      <w:bookmarkStart w:id="577" w:name="_Toc466298119"/>
      <w:bookmarkStart w:id="578" w:name="_Toc152045560"/>
      <w:bookmarkStart w:id="579" w:name="_Toc455080136"/>
      <w:bookmarkStart w:id="580" w:name="_Toc318450703"/>
      <w:bookmarkStart w:id="581" w:name="_Toc20660"/>
      <w:bookmarkStart w:id="582" w:name="_Toc20333"/>
      <w:bookmarkStart w:id="583" w:name="_Toc14"/>
      <w:bookmarkStart w:id="584" w:name="_Toc144974528"/>
      <w:bookmarkStart w:id="585" w:name="_Toc9969"/>
      <w:bookmarkStart w:id="586" w:name="_Toc152042336"/>
      <w:bookmarkStart w:id="587" w:name="_Toc25533"/>
      <w:bookmarkStart w:id="588" w:name="_Toc26426"/>
      <w:bookmarkStart w:id="589" w:name="_Toc25809"/>
      <w:bookmarkStart w:id="590" w:name="_Toc6763"/>
    </w:p>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Pr>
        <w:pageBreakBefore w:val="0"/>
        <w:kinsoku/>
        <w:overflowPunct/>
        <w:bidi w:val="0"/>
        <w:spacing w:line="440" w:lineRule="exact"/>
        <w:ind w:firstLine="0" w:firstLineChars="0"/>
        <w:rPr>
          <w:rFonts w:ascii="宋体" w:hAnsi="宋体"/>
          <w:b/>
          <w:bCs/>
          <w:color w:val="auto"/>
          <w:szCs w:val="21"/>
          <w:highlight w:val="none"/>
        </w:rPr>
      </w:pPr>
      <w:bookmarkStart w:id="591" w:name="_Toc3865"/>
      <w:bookmarkStart w:id="592" w:name="_Toc30965"/>
      <w:bookmarkStart w:id="593" w:name="_Toc490667857"/>
      <w:bookmarkStart w:id="594" w:name="_Toc455080137"/>
      <w:bookmarkStart w:id="595" w:name="_Toc11148"/>
      <w:bookmarkStart w:id="596" w:name="_Toc25911"/>
      <w:bookmarkStart w:id="597" w:name="_Toc30074"/>
      <w:bookmarkStart w:id="598" w:name="_Toc18582"/>
      <w:bookmarkStart w:id="599" w:name="_Toc17491"/>
      <w:bookmarkStart w:id="600" w:name="_Toc152045561"/>
      <w:bookmarkStart w:id="601" w:name="_Toc747"/>
      <w:bookmarkStart w:id="602" w:name="_Toc152042337"/>
      <w:bookmarkStart w:id="603" w:name="_Toc455867797"/>
      <w:bookmarkStart w:id="604" w:name="_Toc466298120"/>
      <w:bookmarkStart w:id="605" w:name="_Toc318450704"/>
      <w:bookmarkStart w:id="606" w:name="_Toc9328"/>
      <w:bookmarkStart w:id="607" w:name="_Toc144974529"/>
      <w:bookmarkStart w:id="608" w:name="_Toc30792"/>
      <w:r>
        <w:rPr>
          <w:rFonts w:hint="eastAsia" w:ascii="宋体" w:hAnsi="宋体"/>
          <w:b/>
          <w:bCs/>
          <w:color w:val="auto"/>
          <w:szCs w:val="21"/>
          <w:highlight w:val="none"/>
        </w:rPr>
        <w:t>5.1 磋商时间和地点</w:t>
      </w:r>
    </w:p>
    <w:p>
      <w:pPr>
        <w:pageBreakBefore w:val="0"/>
        <w:kinsoku/>
        <w:overflowPunct/>
        <w:bidi w:val="0"/>
        <w:spacing w:line="440" w:lineRule="exact"/>
        <w:ind w:firstLine="0" w:firstLineChars="0"/>
        <w:rPr>
          <w:rFonts w:ascii="宋体" w:hAnsi="宋体"/>
          <w:color w:val="auto"/>
          <w:szCs w:val="21"/>
          <w:highlight w:val="none"/>
        </w:rPr>
      </w:pPr>
      <w:r>
        <w:rPr>
          <w:rFonts w:hint="eastAsia" w:ascii="宋体" w:hAnsi="宋体"/>
          <w:color w:val="auto"/>
          <w:szCs w:val="21"/>
          <w:highlight w:val="none"/>
        </w:rPr>
        <w:t>5.1.1 采购人在本章规定的投标截止时间（开标时间）和供应商须知前附表规定的地点开标。</w:t>
      </w:r>
    </w:p>
    <w:p>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 xml:space="preserve">5.1.2 本项目采用“不见面开标”交易方式，不见面开标大厅网址为 </w:t>
      </w:r>
      <w:r>
        <w:rPr>
          <w:color w:val="auto"/>
          <w:highlight w:val="none"/>
        </w:rPr>
        <w:fldChar w:fldCharType="begin"/>
      </w:r>
      <w:r>
        <w:rPr>
          <w:color w:val="auto"/>
          <w:highlight w:val="none"/>
        </w:rPr>
        <w:instrText xml:space="preserve"> HYPERLINK "http://117.158.91.68:8095/xxhy，投标人无需寄送和递交非加密的电子投标文件，无需到现场参加开标会议，无需到达现场提交原件资料。" </w:instrText>
      </w:r>
      <w:r>
        <w:rPr>
          <w:color w:val="auto"/>
          <w:highlight w:val="none"/>
        </w:rPr>
        <w:fldChar w:fldCharType="separate"/>
      </w:r>
      <w:r>
        <w:rPr>
          <w:rFonts w:hint="eastAsia" w:ascii="宋体" w:hAnsi="宋体"/>
          <w:b/>
          <w:bCs/>
          <w:color w:val="auto"/>
          <w:szCs w:val="21"/>
          <w:highlight w:val="none"/>
          <w:lang w:eastAsia="zh-CN"/>
        </w:rPr>
        <w:t>https://ggzyjy.xinyang.gov.cn/BidOpening/bidhall/xinyang/login.html</w:t>
      </w:r>
      <w:r>
        <w:rPr>
          <w:rFonts w:hint="eastAsia" w:ascii="宋体" w:hAnsi="宋体"/>
          <w:b/>
          <w:bCs/>
          <w:color w:val="auto"/>
          <w:szCs w:val="21"/>
          <w:highlight w:val="none"/>
        </w:rPr>
        <w:t>，供应商无需寄送和递交非加密的电子响应文件，无需到现场参加开标会议，无需到达现场提交原件资料。</w:t>
      </w:r>
      <w:r>
        <w:rPr>
          <w:rFonts w:hint="eastAsia" w:ascii="宋体" w:hAnsi="宋体"/>
          <w:b/>
          <w:bCs/>
          <w:color w:val="auto"/>
          <w:szCs w:val="21"/>
          <w:highlight w:val="none"/>
        </w:rPr>
        <w:fldChar w:fldCharType="end"/>
      </w:r>
    </w:p>
    <w:p>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供应商应当在响应文件提交截止时间前，使用供应商CA数字证书登录不见面开标大厅，在线签到并准时参加开标活动，并在规定时间内完成响应文件解密、答疑澄清等。</w:t>
      </w:r>
    </w:p>
    <w:p>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供应商需在解密开始后10分钟内完成解密（当供应商过多时，解密时间可以适当延长）。在响应文件解密过程中，因供应商原因（如供应商准备不到位、电脑网络问题等），造成无法及时解密的，将被退回响应文件。</w:t>
      </w:r>
    </w:p>
    <w:p>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不见面开标服务的具体事宜，请查阅信阳市公共资源交易中心网站首页—下载中心—信阳市不见面开标大厅系统操作手册 。</w:t>
      </w:r>
    </w:p>
    <w:p>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 xml:space="preserve">开标过程中，供应商如有异议，须在开标结束前通过系统提出，否则视同认可开标记录。开标结束后，对开标记录的任何异议不再接受。 </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609" w:name="_Toc24353"/>
      <w:bookmarkStart w:id="610" w:name="_Toc28600"/>
      <w:bookmarkStart w:id="611" w:name="_Toc4518"/>
      <w:bookmarkStart w:id="612" w:name="_Toc21144"/>
      <w:bookmarkStart w:id="613" w:name="_Toc26637"/>
      <w:r>
        <w:rPr>
          <w:rFonts w:hint="eastAsia" w:ascii="宋体" w:hAnsi="宋体" w:eastAsia="宋体"/>
          <w:b/>
          <w:bCs/>
          <w:color w:val="auto"/>
          <w:sz w:val="21"/>
          <w:szCs w:val="21"/>
          <w:highlight w:val="none"/>
        </w:rPr>
        <w:t>5.2 磋商程序</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614" w:name="_Toc26086"/>
      <w:bookmarkStart w:id="615" w:name="_Toc27540"/>
      <w:bookmarkStart w:id="616" w:name="_Toc11770"/>
      <w:bookmarkStart w:id="617" w:name="_Toc1467"/>
      <w:bookmarkStart w:id="618" w:name="_Toc8008"/>
      <w:bookmarkStart w:id="619" w:name="_Toc30403"/>
      <w:r>
        <w:rPr>
          <w:rFonts w:hint="eastAsia" w:ascii="宋体" w:hAnsi="宋体" w:eastAsia="宋体"/>
          <w:color w:val="auto"/>
          <w:sz w:val="21"/>
          <w:szCs w:val="21"/>
          <w:highlight w:val="none"/>
        </w:rPr>
        <w:t>5.2.1磋商小组对竞争性磋商文件进行熟悉确认。</w:t>
      </w:r>
      <w:bookmarkEnd w:id="614"/>
      <w:bookmarkEnd w:id="615"/>
      <w:bookmarkEnd w:id="616"/>
      <w:bookmarkEnd w:id="617"/>
      <w:bookmarkEnd w:id="618"/>
      <w:bookmarkEnd w:id="619"/>
    </w:p>
    <w:p>
      <w:pPr>
        <w:pageBreakBefore w:val="0"/>
        <w:kinsoku/>
        <w:overflowPunct/>
        <w:bidi w:val="0"/>
        <w:spacing w:line="360" w:lineRule="auto"/>
        <w:ind w:firstLine="0" w:firstLineChars="0"/>
        <w:rPr>
          <w:rFonts w:ascii="宋体" w:hAnsi="宋体" w:cs="宋体"/>
          <w:color w:val="auto"/>
          <w:szCs w:val="21"/>
          <w:highlight w:val="none"/>
        </w:rPr>
      </w:pPr>
      <w:bookmarkStart w:id="620" w:name="_Toc152045562"/>
      <w:bookmarkStart w:id="621" w:name="_Toc144974530"/>
      <w:bookmarkStart w:id="622" w:name="_Toc152042338"/>
      <w:r>
        <w:rPr>
          <w:rFonts w:hint="eastAsia" w:ascii="宋体" w:hAnsi="宋体" w:cs="宋体"/>
          <w:color w:val="auto"/>
          <w:szCs w:val="21"/>
          <w:highlight w:val="none"/>
        </w:rPr>
        <w:t>5.2.2磋商小组推选组长，讨论、通过磋商工作流程和磋商要点。</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5.2.3资格评审审查：采购人依据竞争性磋商文件规定，对供应商进行审查，以确定磋商供应商是否具备参与磋商的资格。</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5.2.4符合性评审审查：磋商开始后，磋商小组依据竞争性磋商文件规定，对通过资格评审的供应商进行审查，以确定磋商供应商是否具备参与磋商的资格。</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5.2.5磋商小组对通过资格性和符合性审查的响应文件进行评估，确定与各竞标人磋商的具体内容。</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5.2.7磋商小组对符合招标需求的供应商进行两轮报价；供应商只有通过资格评审及符合性评审后方可进入下一轮报价，在规定的时间内同时提交报价，最终报价不得超过响应文件中报价。</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5.2.8经磋商确定最终招标需求，由磋商小组采用综合评分法对通过初步评审的供应商的响应文件进行综合评分。</w:t>
      </w:r>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623" w:name="_Toc455080138"/>
      <w:bookmarkStart w:id="624" w:name="_Toc24508"/>
      <w:bookmarkStart w:id="625" w:name="_Toc14039"/>
      <w:r>
        <w:rPr>
          <w:rFonts w:hint="eastAsia" w:ascii="宋体" w:hAnsi="宋体" w:eastAsia="宋体"/>
          <w:b/>
          <w:bCs/>
          <w:color w:val="auto"/>
          <w:sz w:val="21"/>
          <w:szCs w:val="21"/>
          <w:highlight w:val="none"/>
        </w:rPr>
        <w:t xml:space="preserve">6. </w:t>
      </w:r>
      <w:bookmarkEnd w:id="620"/>
      <w:bookmarkEnd w:id="621"/>
      <w:bookmarkEnd w:id="622"/>
      <w:r>
        <w:rPr>
          <w:rFonts w:hint="eastAsia" w:ascii="宋体" w:hAnsi="宋体" w:eastAsia="宋体"/>
          <w:b/>
          <w:bCs/>
          <w:color w:val="auto"/>
          <w:sz w:val="21"/>
          <w:szCs w:val="21"/>
          <w:highlight w:val="none"/>
        </w:rPr>
        <w:t>磋商</w:t>
      </w:r>
      <w:bookmarkEnd w:id="623"/>
      <w:r>
        <w:rPr>
          <w:rFonts w:hint="eastAsia" w:ascii="宋体" w:hAnsi="宋体" w:eastAsia="宋体"/>
          <w:b/>
          <w:bCs/>
          <w:color w:val="auto"/>
          <w:sz w:val="21"/>
          <w:szCs w:val="21"/>
          <w:highlight w:val="none"/>
        </w:rPr>
        <w:t>小组</w:t>
      </w:r>
      <w:bookmarkEnd w:id="624"/>
      <w:bookmarkEnd w:id="625"/>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626" w:name="_Toc152045563"/>
      <w:bookmarkStart w:id="627" w:name="_Toc22250"/>
      <w:bookmarkStart w:id="628" w:name="_Toc152042339"/>
      <w:bookmarkStart w:id="629" w:name="_Toc318450706"/>
      <w:bookmarkStart w:id="630" w:name="_Toc144974531"/>
      <w:bookmarkStart w:id="631" w:name="_Toc26098"/>
      <w:bookmarkStart w:id="632" w:name="_Toc9808"/>
      <w:bookmarkStart w:id="633" w:name="_Toc11499"/>
      <w:bookmarkStart w:id="634" w:name="_Toc8157"/>
      <w:bookmarkStart w:id="635" w:name="_Toc466298122"/>
      <w:bookmarkStart w:id="636" w:name="_Toc455080139"/>
      <w:bookmarkStart w:id="637" w:name="_Toc23866"/>
      <w:bookmarkStart w:id="638" w:name="_Toc1546"/>
      <w:bookmarkStart w:id="639" w:name="_Toc8725"/>
      <w:bookmarkStart w:id="640" w:name="_Toc109"/>
      <w:bookmarkStart w:id="641" w:name="_Toc18985"/>
      <w:bookmarkStart w:id="642" w:name="_Toc1574"/>
      <w:bookmarkStart w:id="643" w:name="_Toc455867799"/>
      <w:bookmarkStart w:id="644" w:name="_Toc23775"/>
      <w:bookmarkStart w:id="645" w:name="_Toc23138"/>
      <w:bookmarkStart w:id="646" w:name="_Toc21542"/>
      <w:bookmarkStart w:id="647" w:name="_Toc490667859"/>
      <w:bookmarkStart w:id="648" w:name="_Toc13978"/>
      <w:r>
        <w:rPr>
          <w:rFonts w:hint="eastAsia" w:ascii="宋体" w:hAnsi="宋体" w:eastAsia="宋体"/>
          <w:b/>
          <w:bCs/>
          <w:color w:val="auto"/>
          <w:sz w:val="21"/>
          <w:szCs w:val="21"/>
          <w:highlight w:val="none"/>
        </w:rPr>
        <w:t>6.1</w:t>
      </w:r>
      <w:bookmarkEnd w:id="626"/>
      <w:bookmarkEnd w:id="627"/>
      <w:bookmarkEnd w:id="628"/>
      <w:bookmarkEnd w:id="629"/>
      <w:bookmarkEnd w:id="630"/>
      <w:bookmarkEnd w:id="631"/>
      <w:bookmarkEnd w:id="632"/>
      <w:r>
        <w:rPr>
          <w:rFonts w:hint="eastAsia" w:ascii="宋体" w:hAnsi="宋体" w:eastAsia="宋体"/>
          <w:b/>
          <w:bCs/>
          <w:color w:val="auto"/>
          <w:sz w:val="21"/>
          <w:szCs w:val="21"/>
          <w:highlight w:val="none"/>
        </w:rPr>
        <w:t>磋商小组</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磋商由采购人依法组建的磋商小组负责。磋商小组由采购人代表以及有关技术、经济等方面的专家组成。磋商小组成员人数以及技术、经济等方面专家的确定方式见供应商须知前附表。</w:t>
      </w:r>
    </w:p>
    <w:p>
      <w:pPr>
        <w:pStyle w:val="68"/>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highlight w:val="none"/>
        </w:rPr>
      </w:pPr>
      <w:bookmarkStart w:id="649" w:name="_Toc466298123"/>
      <w:bookmarkStart w:id="650" w:name="_Toc4435"/>
      <w:bookmarkStart w:id="651" w:name="_Toc25721"/>
      <w:bookmarkStart w:id="652" w:name="_Toc32608"/>
      <w:bookmarkStart w:id="653" w:name="_Toc6050"/>
      <w:bookmarkStart w:id="654" w:name="_Toc31227"/>
      <w:bookmarkStart w:id="655" w:name="_Toc27035"/>
      <w:bookmarkStart w:id="656" w:name="_Toc13368"/>
      <w:bookmarkStart w:id="657" w:name="_Toc8240"/>
      <w:bookmarkStart w:id="658" w:name="_Toc9532"/>
      <w:bookmarkStart w:id="659" w:name="_Toc5376"/>
      <w:bookmarkStart w:id="660" w:name="_Toc152042340"/>
      <w:bookmarkStart w:id="661" w:name="_Toc318450707"/>
      <w:bookmarkStart w:id="662" w:name="_Toc8248"/>
      <w:bookmarkStart w:id="663" w:name="_Toc22143"/>
      <w:bookmarkStart w:id="664" w:name="_Toc152045564"/>
      <w:bookmarkStart w:id="665" w:name="_Toc144974532"/>
      <w:bookmarkStart w:id="666" w:name="_Toc7286"/>
      <w:bookmarkStart w:id="667" w:name="_Toc21102"/>
      <w:bookmarkStart w:id="668" w:name="_Toc31961"/>
      <w:bookmarkStart w:id="669" w:name="_Toc490667860"/>
      <w:bookmarkStart w:id="670" w:name="_Toc455867800"/>
      <w:bookmarkStart w:id="671" w:name="_Toc455080140"/>
      <w:r>
        <w:rPr>
          <w:rFonts w:hint="eastAsia" w:ascii="宋体" w:hAnsi="宋体" w:eastAsia="宋体"/>
          <w:b/>
          <w:bCs/>
          <w:color w:val="auto"/>
          <w:sz w:val="21"/>
          <w:szCs w:val="21"/>
          <w:highlight w:val="none"/>
        </w:rPr>
        <w:t>6.2 磋商原则</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磋商活动遵循公平、公正、科学和择优的原则。</w:t>
      </w:r>
    </w:p>
    <w:p>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672" w:name="_Toc8705"/>
      <w:bookmarkStart w:id="673" w:name="_Toc144974533"/>
      <w:bookmarkStart w:id="674" w:name="_Toc152042341"/>
      <w:bookmarkStart w:id="675" w:name="_Toc15595"/>
      <w:bookmarkStart w:id="676" w:name="_Toc152045565"/>
      <w:bookmarkStart w:id="677" w:name="_Toc16725"/>
      <w:bookmarkStart w:id="678" w:name="_Toc318450708"/>
      <w:bookmarkStart w:id="679" w:name="_Toc466298124"/>
      <w:bookmarkStart w:id="680" w:name="_Toc28734"/>
      <w:bookmarkStart w:id="681" w:name="_Toc20062"/>
      <w:bookmarkStart w:id="682" w:name="_Toc27036"/>
      <w:bookmarkStart w:id="683" w:name="_Toc18756"/>
      <w:bookmarkStart w:id="684" w:name="_Toc7890"/>
      <w:bookmarkStart w:id="685" w:name="_Toc490667861"/>
      <w:bookmarkStart w:id="686" w:name="_Toc28882"/>
      <w:bookmarkStart w:id="687" w:name="_Toc915"/>
      <w:bookmarkStart w:id="688" w:name="_Toc24358"/>
      <w:bookmarkStart w:id="689" w:name="_Toc1768"/>
      <w:bookmarkStart w:id="690" w:name="_Toc11018"/>
      <w:bookmarkStart w:id="691" w:name="_Toc455867801"/>
      <w:bookmarkStart w:id="692" w:name="_Toc11010"/>
      <w:bookmarkStart w:id="693" w:name="_Toc455080141"/>
      <w:bookmarkStart w:id="694" w:name="_Toc3606"/>
      <w:r>
        <w:rPr>
          <w:rFonts w:hint="eastAsia" w:ascii="宋体" w:hAnsi="宋体" w:eastAsia="宋体"/>
          <w:b/>
          <w:bCs/>
          <w:color w:val="auto"/>
          <w:sz w:val="21"/>
          <w:szCs w:val="21"/>
          <w:highlight w:val="none"/>
        </w:rPr>
        <w:t xml:space="preserve">6.3 </w:t>
      </w:r>
      <w:bookmarkEnd w:id="672"/>
      <w:bookmarkEnd w:id="673"/>
      <w:bookmarkEnd w:id="674"/>
      <w:bookmarkEnd w:id="675"/>
      <w:bookmarkEnd w:id="676"/>
      <w:bookmarkEnd w:id="677"/>
      <w:bookmarkEnd w:id="678"/>
      <w:r>
        <w:rPr>
          <w:rFonts w:hint="eastAsia" w:ascii="宋体" w:hAnsi="宋体" w:eastAsia="宋体"/>
          <w:b/>
          <w:bCs/>
          <w:color w:val="auto"/>
          <w:sz w:val="21"/>
          <w:szCs w:val="21"/>
          <w:highlight w:val="none"/>
        </w:rPr>
        <w:t>磋商</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磋商小组按照第三章“评审办法”规定的方法、评审因素、标准和程序对响应文件进行评审。第三章“评审办法”没有规定的方法、评审因素和标准，不作为评标依据。</w:t>
      </w:r>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695" w:name="_Toc9522"/>
      <w:bookmarkStart w:id="696" w:name="_Toc3578"/>
      <w:bookmarkStart w:id="697" w:name="_Toc455080142"/>
      <w:bookmarkStart w:id="698" w:name="_Toc144974534"/>
      <w:bookmarkStart w:id="699" w:name="_Toc152042342"/>
      <w:bookmarkStart w:id="700" w:name="_Toc152045566"/>
      <w:r>
        <w:rPr>
          <w:rFonts w:hint="eastAsia" w:ascii="宋体" w:hAnsi="宋体" w:eastAsia="宋体"/>
          <w:b/>
          <w:bCs/>
          <w:color w:val="auto"/>
          <w:sz w:val="21"/>
          <w:szCs w:val="21"/>
          <w:highlight w:val="none"/>
        </w:rPr>
        <w:t>7. 合同授予</w:t>
      </w:r>
      <w:bookmarkEnd w:id="695"/>
      <w:bookmarkEnd w:id="696"/>
      <w:bookmarkEnd w:id="697"/>
      <w:bookmarkEnd w:id="698"/>
      <w:bookmarkEnd w:id="699"/>
      <w:bookmarkEnd w:id="700"/>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01" w:name="_Toc17667"/>
      <w:bookmarkStart w:id="702" w:name="_Toc24041"/>
      <w:bookmarkStart w:id="703" w:name="_Toc29664"/>
      <w:bookmarkStart w:id="704" w:name="_Toc17660"/>
      <w:bookmarkStart w:id="705" w:name="_Toc144974535"/>
      <w:bookmarkStart w:id="706" w:name="_Toc25316"/>
      <w:bookmarkStart w:id="707" w:name="_Toc552"/>
      <w:bookmarkStart w:id="708" w:name="_Toc22461"/>
      <w:bookmarkStart w:id="709" w:name="_Toc455867803"/>
      <w:bookmarkStart w:id="710" w:name="_Toc7358"/>
      <w:bookmarkStart w:id="711" w:name="_Toc455080143"/>
      <w:bookmarkStart w:id="712" w:name="_Toc11409"/>
      <w:bookmarkStart w:id="713" w:name="_Toc318450710"/>
      <w:bookmarkStart w:id="714" w:name="_Toc4262"/>
      <w:bookmarkStart w:id="715" w:name="_Toc466298126"/>
      <w:bookmarkStart w:id="716" w:name="_Toc20777"/>
      <w:bookmarkStart w:id="717" w:name="_Toc152042343"/>
      <w:bookmarkStart w:id="718" w:name="_Toc490667863"/>
      <w:bookmarkStart w:id="719" w:name="_Toc28919"/>
      <w:bookmarkStart w:id="720" w:name="_Toc14528"/>
      <w:bookmarkStart w:id="721" w:name="_Toc29686"/>
      <w:bookmarkStart w:id="722" w:name="_Toc152045567"/>
      <w:bookmarkStart w:id="723" w:name="_Toc11008"/>
      <w:r>
        <w:rPr>
          <w:rFonts w:hint="eastAsia" w:ascii="宋体" w:hAnsi="宋体" w:eastAsia="宋体"/>
          <w:b/>
          <w:bCs/>
          <w:color w:val="auto"/>
          <w:sz w:val="21"/>
          <w:szCs w:val="21"/>
          <w:highlight w:val="none"/>
        </w:rPr>
        <w:t>7.1 定标方式</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ageBreakBefore w:val="0"/>
        <w:kinsoku/>
        <w:overflowPunct/>
        <w:bidi w:val="0"/>
        <w:spacing w:line="360" w:lineRule="auto"/>
        <w:ind w:firstLine="0" w:firstLineChars="0"/>
        <w:rPr>
          <w:rFonts w:ascii="宋体" w:hAnsi="宋体" w:cs="宋体"/>
          <w:color w:val="auto"/>
          <w:szCs w:val="21"/>
          <w:highlight w:val="none"/>
        </w:rPr>
      </w:pPr>
      <w:bookmarkStart w:id="724" w:name="_Toc144974536"/>
      <w:bookmarkStart w:id="725" w:name="_Toc152045568"/>
      <w:bookmarkStart w:id="726" w:name="_Toc152042344"/>
      <w:bookmarkStart w:id="727" w:name="_Toc318450711"/>
      <w:bookmarkStart w:id="728" w:name="_Toc28254"/>
      <w:bookmarkStart w:id="729" w:name="_Toc7066"/>
      <w:bookmarkStart w:id="730" w:name="_Toc10868"/>
      <w:r>
        <w:rPr>
          <w:rFonts w:hint="eastAsia" w:ascii="宋体" w:hAnsi="宋体" w:cs="宋体"/>
          <w:color w:val="auto"/>
          <w:szCs w:val="21"/>
          <w:highlight w:val="none"/>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31" w:name="_Toc16163"/>
      <w:bookmarkStart w:id="732" w:name="_Toc5668"/>
      <w:bookmarkStart w:id="733" w:name="_Toc28177"/>
      <w:bookmarkStart w:id="734" w:name="_Toc15825"/>
      <w:bookmarkStart w:id="735" w:name="_Toc455080144"/>
      <w:bookmarkStart w:id="736" w:name="_Toc14331"/>
      <w:bookmarkStart w:id="737" w:name="_Toc5428"/>
      <w:bookmarkStart w:id="738" w:name="_Toc490667864"/>
      <w:bookmarkStart w:id="739" w:name="_Toc9897"/>
      <w:bookmarkStart w:id="740" w:name="_Toc21229"/>
      <w:bookmarkStart w:id="741" w:name="_Toc466298127"/>
      <w:bookmarkStart w:id="742" w:name="_Toc455867804"/>
      <w:bookmarkStart w:id="743" w:name="_Toc25515"/>
      <w:bookmarkStart w:id="744" w:name="_Toc9775"/>
      <w:bookmarkStart w:id="745" w:name="_Toc7337"/>
      <w:bookmarkStart w:id="746" w:name="_Toc8133"/>
      <w:r>
        <w:rPr>
          <w:rFonts w:hint="eastAsia" w:ascii="宋体" w:hAnsi="宋体" w:eastAsia="宋体"/>
          <w:b/>
          <w:bCs/>
          <w:color w:val="auto"/>
          <w:sz w:val="21"/>
          <w:szCs w:val="21"/>
          <w:highlight w:val="none"/>
        </w:rPr>
        <w:t>7.2 成交通知</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在本章第3.3.1款规定的磋商有效期内，采购人以书面形式向成交人发出成交通知书，同时将成交结果通知未成交的供应商。</w:t>
      </w:r>
    </w:p>
    <w:p>
      <w:pPr>
        <w:pageBreakBefore w:val="0"/>
        <w:kinsoku/>
        <w:overflowPunct/>
        <w:bidi w:val="0"/>
        <w:spacing w:line="400" w:lineRule="exact"/>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7.3 履约保证金</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47" w:name="_Toc27005"/>
      <w:bookmarkStart w:id="748" w:name="_Toc24659"/>
      <w:bookmarkStart w:id="749" w:name="_Toc10489"/>
      <w:bookmarkStart w:id="750" w:name="_Toc5993"/>
      <w:bookmarkStart w:id="751" w:name="_Toc9509"/>
      <w:bookmarkStart w:id="752" w:name="_Toc26915"/>
      <w:bookmarkStart w:id="753" w:name="_Toc455080145"/>
      <w:bookmarkStart w:id="754" w:name="_Toc144974538"/>
      <w:bookmarkStart w:id="755" w:name="_Toc318450712"/>
      <w:bookmarkStart w:id="756" w:name="_Toc455867805"/>
      <w:bookmarkStart w:id="757" w:name="_Toc152042346"/>
      <w:bookmarkStart w:id="758" w:name="_Toc466298128"/>
      <w:bookmarkStart w:id="759" w:name="_Toc12663"/>
      <w:bookmarkStart w:id="760" w:name="_Toc21271"/>
      <w:bookmarkStart w:id="761" w:name="_Toc24026"/>
      <w:bookmarkStart w:id="762" w:name="_Toc15458"/>
      <w:bookmarkStart w:id="763" w:name="_Toc26655"/>
      <w:bookmarkStart w:id="764" w:name="_Toc10082"/>
      <w:bookmarkStart w:id="765" w:name="_Toc8886"/>
      <w:bookmarkStart w:id="766" w:name="_Toc490667865"/>
      <w:bookmarkStart w:id="767" w:name="_Toc26760"/>
      <w:bookmarkStart w:id="768" w:name="_Toc152045570"/>
      <w:bookmarkStart w:id="769" w:name="_Toc13147"/>
      <w:r>
        <w:rPr>
          <w:rFonts w:hint="eastAsia" w:ascii="宋体" w:hAnsi="宋体" w:eastAsia="宋体"/>
          <w:b/>
          <w:bCs/>
          <w:color w:val="auto"/>
          <w:sz w:val="21"/>
          <w:szCs w:val="21"/>
          <w:highlight w:val="none"/>
        </w:rPr>
        <w:t>免收履约保证金</w:t>
      </w:r>
      <w:bookmarkEnd w:id="747"/>
      <w:bookmarkEnd w:id="748"/>
      <w:bookmarkEnd w:id="749"/>
      <w:bookmarkEnd w:id="750"/>
      <w:bookmarkEnd w:id="751"/>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70" w:name="_Toc27033"/>
      <w:bookmarkStart w:id="771" w:name="_Toc1041"/>
      <w:bookmarkStart w:id="772" w:name="_Toc27919"/>
      <w:bookmarkStart w:id="773" w:name="_Toc21220"/>
      <w:bookmarkStart w:id="774" w:name="_Toc27441"/>
      <w:r>
        <w:rPr>
          <w:rFonts w:hint="eastAsia" w:ascii="宋体" w:hAnsi="宋体" w:eastAsia="宋体"/>
          <w:b/>
          <w:bCs/>
          <w:color w:val="auto"/>
          <w:sz w:val="21"/>
          <w:szCs w:val="21"/>
          <w:highlight w:val="none"/>
        </w:rPr>
        <w:t>7.4 签订合同</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7.4.1采购人和成交人应当自成交通知书发出之日起2-7天内，根据竞争性磋商文件和成交人的响应文件订立书面合同。成交人无正当理由拒签合同的，采购人取消其成交资格，其磋商保证金不予退还；给采购人造成的损失超过磋商保证金数额的，成交人还应当对超过部分予以赔偿。 </w:t>
      </w:r>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7.4.2 发出成交通知书后，采购人无正当理由拒签合同的，采购人向成交人退还磋商保证金；给成交人造成损失的，还应当赔偿损失。 </w:t>
      </w:r>
      <w:bookmarkStart w:id="775" w:name="_Toc152045574"/>
      <w:bookmarkStart w:id="776" w:name="_Toc144974542"/>
      <w:bookmarkStart w:id="777" w:name="_Toc152042350"/>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778" w:name="_Toc16866"/>
      <w:bookmarkStart w:id="779" w:name="_Toc455080146"/>
      <w:bookmarkStart w:id="780" w:name="_Toc18918"/>
      <w:r>
        <w:rPr>
          <w:rFonts w:hint="eastAsia" w:ascii="宋体" w:hAnsi="宋体" w:eastAsia="宋体"/>
          <w:b/>
          <w:bCs/>
          <w:color w:val="auto"/>
          <w:sz w:val="21"/>
          <w:szCs w:val="21"/>
          <w:highlight w:val="none"/>
        </w:rPr>
        <w:t>8.重新招标</w:t>
      </w:r>
      <w:bookmarkEnd w:id="778"/>
      <w:bookmarkEnd w:id="779"/>
      <w:bookmarkEnd w:id="780"/>
    </w:p>
    <w:p>
      <w:pPr>
        <w:pageBreakBefore w:val="0"/>
        <w:kinsoku/>
        <w:overflowPunct/>
        <w:bidi w:val="0"/>
        <w:spacing w:line="360" w:lineRule="auto"/>
        <w:ind w:firstLine="0" w:firstLineChars="0"/>
        <w:rPr>
          <w:rFonts w:ascii="宋体" w:hAnsi="宋体"/>
          <w:color w:val="auto"/>
          <w:szCs w:val="21"/>
          <w:highlight w:val="none"/>
        </w:rPr>
      </w:pPr>
      <w:bookmarkStart w:id="781" w:name="_Toc16556"/>
      <w:r>
        <w:rPr>
          <w:rFonts w:hint="eastAsia" w:ascii="宋体" w:hAnsi="宋体"/>
          <w:b/>
          <w:bCs/>
          <w:color w:val="auto"/>
          <w:szCs w:val="21"/>
          <w:highlight w:val="none"/>
        </w:rPr>
        <w:t>8.1 重新招标</w:t>
      </w:r>
      <w:bookmarkEnd w:id="781"/>
    </w:p>
    <w:p>
      <w:pPr>
        <w:pageBreakBefore w:val="0"/>
        <w:kinsoku/>
        <w:overflowPunct/>
        <w:bidi w:val="0"/>
        <w:spacing w:line="360" w:lineRule="auto"/>
        <w:ind w:firstLine="0" w:firstLineChars="0"/>
        <w:rPr>
          <w:rFonts w:ascii="宋体" w:hAnsi="宋体"/>
          <w:color w:val="auto"/>
          <w:szCs w:val="21"/>
          <w:highlight w:val="none"/>
        </w:rPr>
      </w:pPr>
      <w:bookmarkStart w:id="782" w:name="_Toc9985"/>
      <w:r>
        <w:rPr>
          <w:rFonts w:hint="eastAsia" w:ascii="宋体" w:hAnsi="宋体"/>
          <w:color w:val="auto"/>
          <w:szCs w:val="21"/>
          <w:highlight w:val="none"/>
        </w:rPr>
        <w:t>有下列情形之一的，采购人将重新招标：</w:t>
      </w:r>
      <w:bookmarkEnd w:id="782"/>
    </w:p>
    <w:p>
      <w:pPr>
        <w:pageBreakBefore w:val="0"/>
        <w:kinsoku/>
        <w:overflowPunct/>
        <w:bidi w:val="0"/>
        <w:spacing w:line="360" w:lineRule="auto"/>
        <w:ind w:firstLine="0" w:firstLineChars="0"/>
        <w:rPr>
          <w:rFonts w:ascii="宋体" w:hAnsi="宋体"/>
          <w:color w:val="auto"/>
          <w:szCs w:val="21"/>
          <w:highlight w:val="none"/>
        </w:rPr>
      </w:pPr>
      <w:bookmarkStart w:id="783" w:name="_Toc25063"/>
      <w:r>
        <w:rPr>
          <w:rFonts w:hint="eastAsia" w:ascii="宋体" w:hAnsi="宋体"/>
          <w:color w:val="auto"/>
          <w:szCs w:val="21"/>
          <w:highlight w:val="none"/>
        </w:rPr>
        <w:t xml:space="preserve">   （1）提交响应文件截止时间止，供应商少于3个的；</w:t>
      </w:r>
      <w:bookmarkEnd w:id="783"/>
    </w:p>
    <w:p>
      <w:pPr>
        <w:pageBreakBefore w:val="0"/>
        <w:kinsoku/>
        <w:overflowPunct/>
        <w:bidi w:val="0"/>
        <w:spacing w:line="360" w:lineRule="auto"/>
        <w:ind w:firstLine="0" w:firstLineChars="0"/>
        <w:rPr>
          <w:rFonts w:ascii="宋体" w:hAnsi="宋体"/>
          <w:color w:val="auto"/>
          <w:szCs w:val="21"/>
          <w:highlight w:val="none"/>
        </w:rPr>
      </w:pPr>
      <w:bookmarkStart w:id="784" w:name="_Toc17911"/>
      <w:r>
        <w:rPr>
          <w:rFonts w:hint="eastAsia" w:ascii="宋体" w:hAnsi="宋体"/>
          <w:color w:val="auto"/>
          <w:szCs w:val="21"/>
          <w:highlight w:val="none"/>
        </w:rPr>
        <w:t>（2）经磋商小组评审后否决所有响应文件的。</w:t>
      </w:r>
      <w:bookmarkEnd w:id="784"/>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785" w:name="_Toc2509"/>
      <w:bookmarkStart w:id="786" w:name="_Toc455080147"/>
      <w:bookmarkStart w:id="787" w:name="_Toc9996"/>
      <w:r>
        <w:rPr>
          <w:rFonts w:hint="eastAsia" w:ascii="宋体" w:hAnsi="宋体" w:eastAsia="宋体"/>
          <w:b/>
          <w:bCs/>
          <w:color w:val="auto"/>
          <w:sz w:val="21"/>
          <w:szCs w:val="21"/>
          <w:highlight w:val="none"/>
        </w:rPr>
        <w:t>9.纪律和监督</w:t>
      </w:r>
      <w:bookmarkEnd w:id="775"/>
      <w:bookmarkEnd w:id="776"/>
      <w:bookmarkEnd w:id="777"/>
      <w:bookmarkEnd w:id="785"/>
      <w:bookmarkEnd w:id="786"/>
      <w:bookmarkEnd w:id="787"/>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88" w:name="_Toc318450714"/>
      <w:bookmarkStart w:id="789" w:name="_Toc466298131"/>
      <w:bookmarkStart w:id="790" w:name="_Toc152042351"/>
      <w:bookmarkStart w:id="791" w:name="_Toc12992"/>
      <w:bookmarkStart w:id="792" w:name="_Toc144974543"/>
      <w:bookmarkStart w:id="793" w:name="_Toc490667868"/>
      <w:bookmarkStart w:id="794" w:name="_Toc15592"/>
      <w:bookmarkStart w:id="795" w:name="_Toc455867808"/>
      <w:bookmarkStart w:id="796" w:name="_Toc20009"/>
      <w:bookmarkStart w:id="797" w:name="_Toc15769"/>
      <w:bookmarkStart w:id="798" w:name="_Toc8381"/>
      <w:bookmarkStart w:id="799" w:name="_Toc19159"/>
      <w:bookmarkStart w:id="800" w:name="_Toc27836"/>
      <w:bookmarkStart w:id="801" w:name="_Toc14620"/>
      <w:bookmarkStart w:id="802" w:name="_Toc697"/>
      <w:bookmarkStart w:id="803" w:name="_Toc13970"/>
      <w:bookmarkStart w:id="804" w:name="_Toc24482"/>
      <w:bookmarkStart w:id="805" w:name="_Toc152045575"/>
      <w:bookmarkStart w:id="806" w:name="_Toc1282"/>
      <w:bookmarkStart w:id="807" w:name="_Toc14614"/>
      <w:bookmarkStart w:id="808" w:name="_Toc269"/>
      <w:bookmarkStart w:id="809" w:name="_Toc455080148"/>
      <w:bookmarkStart w:id="810" w:name="_Toc31857"/>
      <w:r>
        <w:rPr>
          <w:rFonts w:hint="eastAsia" w:ascii="宋体" w:hAnsi="宋体" w:eastAsia="宋体"/>
          <w:b/>
          <w:bCs/>
          <w:color w:val="auto"/>
          <w:sz w:val="21"/>
          <w:szCs w:val="21"/>
          <w:highlight w:val="none"/>
        </w:rPr>
        <w:t>9.1 对采购人的纪律要求</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采购人不得泄漏磋商活动中应当保密的情况和资料，不得与供应商串通损害国家利益、社会公共利益或者他人合法权益。</w:t>
      </w:r>
    </w:p>
    <w:p>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811" w:name="_Toc3089"/>
      <w:bookmarkStart w:id="812" w:name="_Toc455867809"/>
      <w:bookmarkStart w:id="813" w:name="_Toc152045576"/>
      <w:bookmarkStart w:id="814" w:name="_Toc13753"/>
      <w:bookmarkStart w:id="815" w:name="_Toc1743"/>
      <w:bookmarkStart w:id="816" w:name="_Toc21646"/>
      <w:bookmarkStart w:id="817" w:name="_Toc23415"/>
      <w:bookmarkStart w:id="818" w:name="_Toc455080149"/>
      <w:bookmarkStart w:id="819" w:name="_Toc18604"/>
      <w:bookmarkStart w:id="820" w:name="_Toc3375"/>
      <w:bookmarkStart w:id="821" w:name="_Toc9058"/>
      <w:bookmarkStart w:id="822" w:name="_Toc152042352"/>
      <w:bookmarkStart w:id="823" w:name="_Toc17040"/>
      <w:bookmarkStart w:id="824" w:name="_Toc466298132"/>
      <w:bookmarkStart w:id="825" w:name="_Toc18204"/>
      <w:bookmarkStart w:id="826" w:name="_Toc19167"/>
      <w:bookmarkStart w:id="827" w:name="_Toc27698"/>
      <w:bookmarkStart w:id="828" w:name="_Toc20261"/>
      <w:bookmarkStart w:id="829" w:name="_Toc318450715"/>
      <w:bookmarkStart w:id="830" w:name="_Toc144974544"/>
      <w:bookmarkStart w:id="831" w:name="_Toc3220"/>
      <w:bookmarkStart w:id="832" w:name="_Toc490667869"/>
      <w:bookmarkStart w:id="833" w:name="_Toc7572"/>
      <w:r>
        <w:rPr>
          <w:rFonts w:hint="eastAsia" w:ascii="宋体" w:hAnsi="宋体" w:eastAsia="宋体"/>
          <w:b/>
          <w:bCs/>
          <w:color w:val="auto"/>
          <w:sz w:val="21"/>
          <w:szCs w:val="21"/>
          <w:highlight w:val="none"/>
        </w:rPr>
        <w:t>9.2 对供应商的纪律要求</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供应商不得相互串通或者与采购人串通，不得向采购人或者谈判小组行贿谋取成交，不得以他人名义或者以其他方式弄虚作假骗取成交；供应商不得以任何方式干扰、影响评审工作。</w:t>
      </w:r>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834" w:name="_Toc2199"/>
      <w:bookmarkStart w:id="835" w:name="_Toc490667870"/>
      <w:bookmarkStart w:id="836" w:name="_Toc152045577"/>
      <w:bookmarkStart w:id="837" w:name="_Toc1928"/>
      <w:bookmarkStart w:id="838" w:name="_Toc28813"/>
      <w:bookmarkStart w:id="839" w:name="_Toc25241"/>
      <w:bookmarkStart w:id="840" w:name="_Toc32320"/>
      <w:bookmarkStart w:id="841" w:name="_Toc2542"/>
      <w:bookmarkStart w:id="842" w:name="_Toc466298133"/>
      <w:bookmarkStart w:id="843" w:name="_Toc152042353"/>
      <w:bookmarkStart w:id="844" w:name="_Toc455080150"/>
      <w:bookmarkStart w:id="845" w:name="_Toc12177"/>
      <w:bookmarkStart w:id="846" w:name="_Toc30153"/>
      <w:bookmarkStart w:id="847" w:name="_Toc7439"/>
      <w:bookmarkStart w:id="848" w:name="_Toc7107"/>
      <w:bookmarkStart w:id="849" w:name="_Toc144974545"/>
      <w:bookmarkStart w:id="850" w:name="_Toc31001"/>
      <w:bookmarkStart w:id="851" w:name="_Toc318450716"/>
      <w:bookmarkStart w:id="852" w:name="_Toc25211"/>
      <w:bookmarkStart w:id="853" w:name="_Toc9247"/>
      <w:bookmarkStart w:id="854" w:name="_Toc455867810"/>
      <w:bookmarkStart w:id="855" w:name="_Toc19086"/>
      <w:bookmarkStart w:id="856" w:name="_Toc19965"/>
      <w:r>
        <w:rPr>
          <w:rFonts w:hint="eastAsia" w:ascii="宋体" w:hAnsi="宋体" w:eastAsia="宋体"/>
          <w:b/>
          <w:bCs/>
          <w:color w:val="auto"/>
          <w:sz w:val="21"/>
          <w:szCs w:val="21"/>
          <w:highlight w:val="none"/>
        </w:rPr>
        <w:t>9.3 对磋商小组成员的纪律要求</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857" w:name="_Toc23717"/>
      <w:bookmarkStart w:id="858" w:name="_Toc26462"/>
      <w:bookmarkStart w:id="859" w:name="_Toc9063"/>
      <w:bookmarkStart w:id="860" w:name="_Toc235"/>
      <w:bookmarkStart w:id="861" w:name="_Toc1295"/>
      <w:bookmarkStart w:id="862" w:name="_Toc455080151"/>
      <w:bookmarkStart w:id="863" w:name="_Toc7368"/>
      <w:bookmarkStart w:id="864" w:name="_Toc27559"/>
      <w:bookmarkStart w:id="865" w:name="_Toc20546"/>
      <w:bookmarkStart w:id="866" w:name="_Toc8952"/>
      <w:bookmarkStart w:id="867" w:name="_Toc152042354"/>
      <w:bookmarkStart w:id="868" w:name="_Toc8677"/>
      <w:bookmarkStart w:id="869" w:name="_Toc152045578"/>
      <w:bookmarkStart w:id="870" w:name="_Toc15116"/>
      <w:bookmarkStart w:id="871" w:name="_Toc490667871"/>
      <w:bookmarkStart w:id="872" w:name="_Toc466298134"/>
      <w:bookmarkStart w:id="873" w:name="_Toc455867811"/>
      <w:bookmarkStart w:id="874" w:name="_Toc19485"/>
      <w:bookmarkStart w:id="875" w:name="_Toc318450717"/>
      <w:bookmarkStart w:id="876" w:name="_Toc32632"/>
      <w:bookmarkStart w:id="877" w:name="_Toc24"/>
      <w:bookmarkStart w:id="878" w:name="_Toc24733"/>
      <w:bookmarkStart w:id="879" w:name="_Toc144974546"/>
      <w:r>
        <w:rPr>
          <w:rFonts w:hint="eastAsia" w:ascii="宋体" w:hAnsi="宋体" w:eastAsia="宋体"/>
          <w:b/>
          <w:bCs/>
          <w:color w:val="auto"/>
          <w:sz w:val="21"/>
          <w:szCs w:val="21"/>
          <w:highlight w:val="none"/>
        </w:rPr>
        <w:t>9.4 对与评标活动有关的工作人员的纪律要求</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ageBreakBefore w:val="0"/>
        <w:kinsoku/>
        <w:overflowPunct/>
        <w:bidi w:val="0"/>
        <w:spacing w:line="360" w:lineRule="auto"/>
        <w:ind w:firstLine="0" w:firstLineChars="0"/>
        <w:rPr>
          <w:rFonts w:ascii="宋体" w:hAnsi="宋体" w:cs="宋体"/>
          <w:color w:val="auto"/>
          <w:szCs w:val="21"/>
          <w:highlight w:val="none"/>
        </w:rPr>
      </w:pPr>
      <w:bookmarkStart w:id="880" w:name="_Toc152042355"/>
      <w:r>
        <w:rPr>
          <w:rFonts w:hint="eastAsia" w:ascii="宋体" w:hAnsi="宋体" w:cs="宋体"/>
          <w:color w:val="auto"/>
          <w:szCs w:val="21"/>
          <w:highlight w:val="none"/>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880"/>
    </w:p>
    <w:p>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881" w:name="_Toc3303"/>
      <w:bookmarkStart w:id="882" w:name="_Toc152045579"/>
      <w:bookmarkStart w:id="883" w:name="_Toc6199"/>
      <w:bookmarkStart w:id="884" w:name="_Toc455867812"/>
      <w:bookmarkStart w:id="885" w:name="_Toc318450718"/>
      <w:bookmarkStart w:id="886" w:name="_Toc11924"/>
      <w:bookmarkStart w:id="887" w:name="_Toc18178"/>
      <w:bookmarkStart w:id="888" w:name="_Toc17735"/>
      <w:bookmarkStart w:id="889" w:name="_Toc3617"/>
      <w:bookmarkStart w:id="890" w:name="_Toc1820"/>
      <w:bookmarkStart w:id="891" w:name="_Toc466298135"/>
      <w:bookmarkStart w:id="892" w:name="_Toc8074"/>
      <w:bookmarkStart w:id="893" w:name="_Toc31010"/>
      <w:bookmarkStart w:id="894" w:name="_Toc490667872"/>
      <w:bookmarkStart w:id="895" w:name="_Toc455080152"/>
      <w:bookmarkStart w:id="896" w:name="_Toc5504"/>
      <w:bookmarkStart w:id="897" w:name="_Toc25751"/>
      <w:bookmarkStart w:id="898" w:name="_Toc152042356"/>
      <w:bookmarkStart w:id="899" w:name="_Toc31609"/>
      <w:bookmarkStart w:id="900" w:name="_Toc7556"/>
      <w:bookmarkStart w:id="901" w:name="_Toc32675"/>
      <w:bookmarkStart w:id="902" w:name="_Toc32064"/>
      <w:r>
        <w:rPr>
          <w:rFonts w:hint="eastAsia" w:ascii="宋体" w:hAnsi="宋体" w:eastAsia="宋体"/>
          <w:b/>
          <w:bCs/>
          <w:color w:val="auto"/>
          <w:sz w:val="21"/>
          <w:szCs w:val="21"/>
          <w:highlight w:val="none"/>
        </w:rPr>
        <w:t>9.5 投诉</w:t>
      </w:r>
      <w:bookmarkEnd w:id="879"/>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供应商和其他利害关系人认为本次磋商活动违反法律、法规和规章规定的，有权向有关行政监督部门投诉。</w:t>
      </w:r>
    </w:p>
    <w:p>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903" w:name="_Toc144974547"/>
      <w:bookmarkStart w:id="904" w:name="_Toc152045580"/>
      <w:bookmarkStart w:id="905" w:name="_Toc14221"/>
      <w:bookmarkStart w:id="906" w:name="_Toc152042357"/>
      <w:bookmarkStart w:id="907" w:name="_Toc26468"/>
      <w:bookmarkStart w:id="908" w:name="_Toc455080153"/>
      <w:r>
        <w:rPr>
          <w:rFonts w:hint="eastAsia" w:ascii="宋体" w:hAnsi="宋体" w:eastAsia="宋体"/>
          <w:b/>
          <w:bCs/>
          <w:color w:val="auto"/>
          <w:sz w:val="21"/>
          <w:szCs w:val="21"/>
          <w:highlight w:val="none"/>
        </w:rPr>
        <w:t>10. 需要补充的其他内容</w:t>
      </w:r>
      <w:bookmarkEnd w:id="903"/>
      <w:bookmarkEnd w:id="904"/>
      <w:bookmarkEnd w:id="905"/>
      <w:bookmarkEnd w:id="906"/>
      <w:bookmarkEnd w:id="907"/>
      <w:bookmarkEnd w:id="908"/>
    </w:p>
    <w:p>
      <w:pPr>
        <w:pageBreakBefore w:val="0"/>
        <w:kinsoku/>
        <w:overflowPunct/>
        <w:bidi w:val="0"/>
        <w:ind w:firstLine="0" w:firstLineChars="0"/>
        <w:outlineLvl w:val="0"/>
        <w:rPr>
          <w:rFonts w:ascii="宋体" w:hAnsi="宋体" w:cs="宋体"/>
          <w:b/>
          <w:color w:val="auto"/>
          <w:kern w:val="44"/>
          <w:sz w:val="28"/>
          <w:szCs w:val="28"/>
          <w:highlight w:val="none"/>
        </w:rPr>
      </w:pPr>
      <w:bookmarkStart w:id="909" w:name="_Toc455867814"/>
      <w:bookmarkStart w:id="910" w:name="_Toc466298137"/>
      <w:bookmarkStart w:id="911" w:name="_Toc455080154"/>
      <w:bookmarkStart w:id="912" w:name="_Toc144974565"/>
      <w:bookmarkStart w:id="913" w:name="_Toc152042375"/>
      <w:bookmarkStart w:id="914" w:name="_Toc152045598"/>
    </w:p>
    <w:p>
      <w:pPr>
        <w:pageBreakBefore w:val="0"/>
        <w:kinsoku/>
        <w:overflowPunct/>
        <w:bidi w:val="0"/>
        <w:ind w:firstLine="0" w:firstLineChars="0"/>
        <w:outlineLvl w:val="0"/>
        <w:rPr>
          <w:rFonts w:ascii="宋体" w:hAnsi="宋体" w:cs="宋体"/>
          <w:b/>
          <w:color w:val="auto"/>
          <w:kern w:val="44"/>
          <w:sz w:val="32"/>
          <w:szCs w:val="32"/>
          <w:highlight w:val="none"/>
        </w:rPr>
      </w:pPr>
      <w:bookmarkStart w:id="915" w:name="_Toc6192"/>
    </w:p>
    <w:p>
      <w:pPr>
        <w:pageBreakBefore w:val="0"/>
        <w:kinsoku/>
        <w:overflowPunct/>
        <w:bidi w:val="0"/>
        <w:ind w:firstLine="0" w:firstLineChars="0"/>
        <w:outlineLvl w:val="0"/>
        <w:rPr>
          <w:rFonts w:ascii="宋体" w:hAnsi="宋体" w:cs="宋体"/>
          <w:b/>
          <w:color w:val="auto"/>
          <w:kern w:val="44"/>
          <w:sz w:val="32"/>
          <w:szCs w:val="32"/>
          <w:highlight w:val="none"/>
        </w:rPr>
      </w:pPr>
    </w:p>
    <w:p>
      <w:pPr>
        <w:pageBreakBefore w:val="0"/>
        <w:kinsoku/>
        <w:overflowPunct/>
        <w:bidi w:val="0"/>
        <w:ind w:firstLine="0" w:firstLineChars="0"/>
        <w:outlineLvl w:val="0"/>
        <w:rPr>
          <w:rFonts w:ascii="宋体" w:hAnsi="宋体" w:cs="宋体"/>
          <w:b/>
          <w:color w:val="auto"/>
          <w:kern w:val="44"/>
          <w:sz w:val="32"/>
          <w:szCs w:val="32"/>
          <w:highlight w:val="none"/>
        </w:rPr>
      </w:pPr>
    </w:p>
    <w:p>
      <w:pPr>
        <w:pageBreakBefore w:val="0"/>
        <w:kinsoku/>
        <w:overflowPunct/>
        <w:bidi w:val="0"/>
        <w:ind w:firstLine="0" w:firstLineChars="0"/>
        <w:jc w:val="center"/>
        <w:outlineLvl w:val="0"/>
        <w:rPr>
          <w:rFonts w:ascii="宋体" w:hAnsi="宋体" w:cs="宋体"/>
          <w:bCs/>
          <w:color w:val="auto"/>
          <w:sz w:val="32"/>
          <w:szCs w:val="32"/>
          <w:highlight w:val="none"/>
        </w:rPr>
      </w:pPr>
      <w:bookmarkStart w:id="916" w:name="_Toc22014"/>
      <w:r>
        <w:rPr>
          <w:rFonts w:hint="eastAsia" w:ascii="宋体" w:hAnsi="宋体" w:cs="宋体"/>
          <w:b/>
          <w:color w:val="auto"/>
          <w:kern w:val="44"/>
          <w:sz w:val="32"/>
          <w:szCs w:val="32"/>
          <w:highlight w:val="none"/>
        </w:rPr>
        <w:t>第三章  评审办法（综合评分法）</w:t>
      </w:r>
      <w:bookmarkEnd w:id="909"/>
      <w:bookmarkEnd w:id="910"/>
      <w:bookmarkEnd w:id="911"/>
      <w:bookmarkEnd w:id="915"/>
      <w:bookmarkEnd w:id="916"/>
    </w:p>
    <w:bookmarkEnd w:id="912"/>
    <w:bookmarkEnd w:id="913"/>
    <w:bookmarkEnd w:id="914"/>
    <w:p>
      <w:pPr>
        <w:pageBreakBefore w:val="0"/>
        <w:kinsoku/>
        <w:overflowPunct/>
        <w:bidi w:val="0"/>
        <w:ind w:firstLine="0" w:firstLineChars="0"/>
        <w:jc w:val="center"/>
        <w:outlineLvl w:val="1"/>
        <w:rPr>
          <w:rFonts w:ascii="宋体" w:hAnsi="宋体"/>
          <w:color w:val="auto"/>
          <w:sz w:val="24"/>
          <w:highlight w:val="none"/>
        </w:rPr>
      </w:pPr>
      <w:bookmarkStart w:id="917" w:name="_Toc31647"/>
      <w:bookmarkStart w:id="918" w:name="_Toc152045599"/>
      <w:bookmarkStart w:id="919" w:name="_Toc11491"/>
      <w:bookmarkStart w:id="920" w:name="_Toc27806"/>
      <w:bookmarkStart w:id="921" w:name="_Toc281405527"/>
      <w:bookmarkStart w:id="922" w:name="_Toc144974566"/>
      <w:bookmarkStart w:id="923" w:name="_Toc455867816"/>
      <w:bookmarkStart w:id="924" w:name="_Toc318450721"/>
      <w:bookmarkStart w:id="925" w:name="_Toc25472"/>
      <w:bookmarkStart w:id="926" w:name="_Toc28069"/>
      <w:bookmarkStart w:id="927" w:name="_Toc466298139"/>
      <w:bookmarkStart w:id="928" w:name="_Toc152042376"/>
      <w:bookmarkStart w:id="929" w:name="_Toc455080156"/>
      <w:r>
        <w:rPr>
          <w:rFonts w:hint="eastAsia" w:ascii="宋体" w:hAnsi="宋体"/>
          <w:color w:val="auto"/>
          <w:sz w:val="24"/>
          <w:highlight w:val="none"/>
        </w:rPr>
        <w:t>评审办法前附表</w:t>
      </w:r>
      <w:bookmarkEnd w:id="917"/>
      <w:bookmarkEnd w:id="918"/>
      <w:bookmarkEnd w:id="919"/>
      <w:bookmarkEnd w:id="920"/>
      <w:bookmarkEnd w:id="921"/>
      <w:bookmarkEnd w:id="922"/>
      <w:bookmarkEnd w:id="923"/>
      <w:bookmarkEnd w:id="924"/>
      <w:bookmarkEnd w:id="925"/>
      <w:bookmarkEnd w:id="926"/>
      <w:bookmarkEnd w:id="927"/>
      <w:bookmarkEnd w:id="928"/>
      <w:bookmarkEnd w:id="929"/>
    </w:p>
    <w:p>
      <w:pPr>
        <w:pageBreakBefore w:val="0"/>
        <w:kinsoku/>
        <w:overflowPunct/>
        <w:bidi w:val="0"/>
        <w:ind w:firstLine="0" w:firstLineChars="0"/>
        <w:jc w:val="center"/>
        <w:outlineLvl w:val="1"/>
        <w:rPr>
          <w:rFonts w:ascii="宋体" w:hAnsi="宋体"/>
          <w:color w:val="auto"/>
          <w:sz w:val="24"/>
          <w:highlight w:val="none"/>
        </w:rPr>
      </w:pPr>
    </w:p>
    <w:tbl>
      <w:tblPr>
        <w:tblStyle w:val="3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2399"/>
        <w:gridCol w:w="5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评审因素</w:t>
            </w:r>
          </w:p>
        </w:tc>
        <w:tc>
          <w:tcPr>
            <w:tcW w:w="5107"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2.1.1</w:t>
            </w:r>
          </w:p>
        </w:tc>
        <w:tc>
          <w:tcPr>
            <w:tcW w:w="1235" w:type="dxa"/>
            <w:vMerge w:val="restart"/>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资格评审</w:t>
            </w:r>
          </w:p>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  准</w:t>
            </w:r>
          </w:p>
        </w:tc>
        <w:tc>
          <w:tcPr>
            <w:tcW w:w="2399"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 w:val="21"/>
                <w:szCs w:val="21"/>
                <w:highlight w:val="none"/>
              </w:rPr>
              <w:t>符合《中华人民共和国政府采购法》第22条规定</w:t>
            </w:r>
          </w:p>
        </w:tc>
        <w:tc>
          <w:tcPr>
            <w:tcW w:w="5107"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p>
        </w:tc>
        <w:tc>
          <w:tcPr>
            <w:tcW w:w="2399"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落实政府采购政策</w:t>
            </w:r>
          </w:p>
        </w:tc>
        <w:tc>
          <w:tcPr>
            <w:tcW w:w="5107"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p>
        </w:tc>
        <w:tc>
          <w:tcPr>
            <w:tcW w:w="2399"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特定资格要求</w:t>
            </w:r>
          </w:p>
        </w:tc>
        <w:tc>
          <w:tcPr>
            <w:tcW w:w="5107"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 w:val="21"/>
                <w:szCs w:val="21"/>
                <w:highlight w:val="none"/>
              </w:rPr>
              <w:t>其他要求</w:t>
            </w:r>
          </w:p>
        </w:tc>
        <w:tc>
          <w:tcPr>
            <w:tcW w:w="5107"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2.1.2</w:t>
            </w:r>
          </w:p>
        </w:tc>
        <w:tc>
          <w:tcPr>
            <w:tcW w:w="1235" w:type="dxa"/>
            <w:vMerge w:val="restart"/>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符合性</w:t>
            </w:r>
          </w:p>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评审标准</w:t>
            </w: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供应商名称</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与营业执照</w:t>
            </w:r>
            <w:r>
              <w:rPr>
                <w:rFonts w:hint="eastAsia" w:ascii="宋体" w:hAnsi="宋体" w:eastAsia="宋体" w:cs="宋体"/>
                <w:color w:val="auto"/>
                <w:kern w:val="0"/>
                <w:szCs w:val="21"/>
                <w:highlight w:val="none"/>
              </w:rPr>
              <w:t>或</w:t>
            </w:r>
            <w:r>
              <w:rPr>
                <w:rFonts w:hint="eastAsia" w:ascii="宋体" w:hAnsi="宋体" w:eastAsia="宋体" w:cs="宋体"/>
                <w:color w:val="auto"/>
                <w:kern w:val="0"/>
                <w:szCs w:val="21"/>
                <w:highlight w:val="none"/>
                <w:lang w:eastAsia="zh-CN"/>
              </w:rPr>
              <w:t>其他组织的证明材料</w:t>
            </w:r>
            <w:r>
              <w:rPr>
                <w:rFonts w:hint="eastAsia" w:ascii="宋体" w:hAnsi="宋体" w:eastAsia="宋体" w:cs="宋体"/>
                <w:color w:val="auto"/>
                <w:szCs w:val="21"/>
                <w:highlight w:val="none"/>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响应函签字盖章</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pacing w:val="-6"/>
                <w:szCs w:val="21"/>
                <w:highlight w:val="none"/>
              </w:rPr>
              <w:t>符合第六章“竞争性磋商响应文件格式”响应函签字盖章的要求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响应文件格式</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符合第六章“竞争性磋商响应文件格式”的要求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响应内容</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服务期限</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符合第二章“供应商须知”第1.4.2项规定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质量要求</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符合第二章“供应商须知”第1.4.4项规定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磋商有效期</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磋商报价</w:t>
            </w:r>
          </w:p>
        </w:tc>
        <w:tc>
          <w:tcPr>
            <w:tcW w:w="5107" w:type="dxa"/>
            <w:noWrap/>
            <w:vAlign w:val="center"/>
          </w:tcPr>
          <w:p>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报价不超过预算价（最高限价）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bookmarkStart w:id="930" w:name="_Toc144974567"/>
            <w:bookmarkStart w:id="931" w:name="_Toc31578"/>
            <w:bookmarkStart w:id="932" w:name="_Toc281405528"/>
            <w:bookmarkStart w:id="933" w:name="_Toc318450722"/>
            <w:bookmarkStart w:id="934" w:name="_Toc152045600"/>
            <w:bookmarkStart w:id="935" w:name="_Toc152042377"/>
            <w:r>
              <w:rPr>
                <w:rFonts w:hint="eastAsia" w:ascii="宋体" w:hAnsi="宋体" w:eastAsia="宋体" w:cs="宋体"/>
                <w:color w:val="auto"/>
                <w:szCs w:val="21"/>
                <w:highlight w:val="none"/>
              </w:rPr>
              <w:t>2.2</w:t>
            </w:r>
          </w:p>
        </w:tc>
        <w:tc>
          <w:tcPr>
            <w:tcW w:w="2399"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分值构成（100分）</w:t>
            </w:r>
          </w:p>
        </w:tc>
        <w:tc>
          <w:tcPr>
            <w:tcW w:w="5107" w:type="dxa"/>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商务部分：</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 xml:space="preserve">分 </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技术部分：</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 xml:space="preserve">分 </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综合部分：</w:t>
            </w:r>
            <w:r>
              <w:rPr>
                <w:rFonts w:hint="eastAsia" w:ascii="宋体" w:hAnsi="宋体" w:eastAsia="宋体" w:cs="宋体"/>
                <w:color w:val="auto"/>
                <w:szCs w:val="21"/>
                <w:highlight w:val="none"/>
                <w:lang w:val="en-US" w:eastAsia="zh-CN"/>
              </w:rPr>
              <w:t>70</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032" w:type="dxa"/>
            <w:gridSpan w:val="2"/>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399"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5107"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2.2（1）</w:t>
            </w:r>
          </w:p>
        </w:tc>
        <w:tc>
          <w:tcPr>
            <w:tcW w:w="1235"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商务标</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分）</w:t>
            </w:r>
          </w:p>
        </w:tc>
        <w:tc>
          <w:tcPr>
            <w:tcW w:w="2399"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磋商最终报价得分</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分）</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5107" w:type="dxa"/>
            <w:noWrap/>
            <w:vAlign w:val="center"/>
          </w:tcPr>
          <w:p>
            <w:pPr>
              <w:pageBreakBefore w:val="0"/>
              <w:kinsoku/>
              <w:overflowPunct/>
              <w:bidi w:val="0"/>
              <w:spacing w:line="40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价格分统一采用低价优先法计算，即满足竞争性磋商文件要求且最终报价最低的最终报价为评标基准价，其价格分满分</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分。其他供应商的价格分统一按照下列公式计算：</w:t>
            </w:r>
          </w:p>
          <w:p>
            <w:pPr>
              <w:pageBreakBefore w:val="0"/>
              <w:kinsoku/>
              <w:overflowPunct/>
              <w:bidi w:val="0"/>
              <w:spacing w:line="400" w:lineRule="exact"/>
              <w:ind w:firstLine="0" w:firstLineChars="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最终报价得分=（评标基准价/最终报价）×</w:t>
            </w:r>
            <w:r>
              <w:rPr>
                <w:rFonts w:hint="eastAsia" w:ascii="宋体" w:hAnsi="宋体" w:eastAsia="宋体" w:cs="宋体"/>
                <w:color w:val="auto"/>
                <w:szCs w:val="21"/>
                <w:highlight w:val="none"/>
                <w:lang w:val="en-US" w:eastAsia="zh-CN"/>
              </w:rPr>
              <w:t>15</w:t>
            </w:r>
          </w:p>
          <w:p>
            <w:pPr>
              <w:pStyle w:val="2"/>
              <w:pageBreakBefore w:val="0"/>
              <w:kinsoku/>
              <w:overflowPunct/>
              <w:bidi w:val="0"/>
              <w:spacing w:line="400" w:lineRule="exact"/>
              <w:ind w:left="145" w:leftChars="69"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注：1.价格分计算保留小数点后二位；</w:t>
            </w:r>
          </w:p>
          <w:p>
            <w:pPr>
              <w:pageBreakBefore w:val="0"/>
              <w:kinsoku/>
              <w:overflowPunct/>
              <w:bidi w:val="0"/>
              <w:spacing w:line="40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2.优惠政策：</w:t>
            </w:r>
            <w:r>
              <w:rPr>
                <w:rFonts w:hint="eastAsia" w:ascii="宋体" w:hAnsi="宋体" w:eastAsia="宋体" w:cs="宋体"/>
                <w:color w:val="auto"/>
                <w:szCs w:val="21"/>
                <w:highlight w:val="none"/>
                <w:lang w:val="zh-CN"/>
              </w:rPr>
              <w:t>对小型和微型企业、监狱企业、残疾人福利性等单位的最终报价给予</w:t>
            </w:r>
            <w:r>
              <w:rPr>
                <w:rFonts w:hint="eastAsia" w:ascii="宋体" w:hAnsi="宋体" w:eastAsia="宋体" w:cs="宋体"/>
                <w:color w:val="auto"/>
                <w:szCs w:val="21"/>
                <w:highlight w:val="none"/>
                <w:u w:val="single"/>
                <w:lang w:val="en-US" w:eastAsia="zh-CN"/>
              </w:rPr>
              <w:t>20</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lang w:val="zh-CN"/>
              </w:rPr>
              <w:t>的扣除，用扣除后的价格参与评审。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restart"/>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2.2（2）</w:t>
            </w:r>
          </w:p>
        </w:tc>
        <w:tc>
          <w:tcPr>
            <w:tcW w:w="1235" w:type="dxa"/>
            <w:vMerge w:val="restart"/>
            <w:noWrap/>
            <w:vAlign w:val="center"/>
          </w:tcPr>
          <w:p>
            <w:pPr>
              <w:pageBreakBefore w:val="0"/>
              <w:kinsoku/>
              <w:overflowPunct/>
              <w:bidi w:val="0"/>
              <w:spacing w:line="400" w:lineRule="exact"/>
              <w:ind w:firstLine="0" w:firstLineChars="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技术标</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分）</w:t>
            </w:r>
          </w:p>
        </w:tc>
        <w:tc>
          <w:tcPr>
            <w:tcW w:w="2399" w:type="dxa"/>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指导思想和技术方案</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（3分）</w:t>
            </w:r>
          </w:p>
          <w:p>
            <w:pPr>
              <w:pageBreakBefore w:val="0"/>
              <w:kinsoku/>
              <w:overflowPunct/>
              <w:bidi w:val="0"/>
              <w:spacing w:line="276" w:lineRule="auto"/>
              <w:ind w:firstLine="0" w:firstLineChars="0"/>
              <w:jc w:val="center"/>
              <w:rPr>
                <w:rFonts w:ascii="宋体" w:hAnsi="宋体" w:eastAsia="宋体" w:cs="宋体"/>
                <w:color w:val="auto"/>
                <w:szCs w:val="21"/>
                <w:highlight w:val="none"/>
              </w:rPr>
            </w:pPr>
          </w:p>
        </w:tc>
        <w:tc>
          <w:tcPr>
            <w:tcW w:w="5107" w:type="dxa"/>
            <w:noWrap/>
            <w:vAlign w:val="center"/>
          </w:tcPr>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内容全面完整、针对性强、切实可行的得3分；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内容较全面完整、针对性较强的得2分；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内容不太全面完整、不太具有针对性的得1分；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拟投入本项目人员计划和仪器设备配置</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（3分）</w:t>
            </w:r>
          </w:p>
        </w:tc>
        <w:tc>
          <w:tcPr>
            <w:tcW w:w="5107" w:type="dxa"/>
            <w:noWrap/>
            <w:vAlign w:val="center"/>
          </w:tcPr>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安排合理得力的得3分；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安排较合理得力的得2分；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安排不太合理得力的得1分；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noWrap/>
            <w:vAlign w:val="center"/>
          </w:tcPr>
          <w:p>
            <w:pPr>
              <w:pageBreakBefore w:val="0"/>
              <w:kinsoku/>
              <w:overflowPunct/>
              <w:bidi w:val="0"/>
              <w:spacing w:line="400" w:lineRule="exact"/>
              <w:ind w:firstLine="0" w:firstLineChars="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确保工作计划组织措施和进度保证措施</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w:t>
            </w:r>
          </w:p>
        </w:tc>
        <w:tc>
          <w:tcPr>
            <w:tcW w:w="5107" w:type="dxa"/>
            <w:noWrap/>
            <w:vAlign w:val="center"/>
          </w:tcPr>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组织措施具体、切实可行的得</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组织措施较具体、较切实可行的得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组织措施不太具体、不太切实可行的得</w:t>
            </w:r>
            <w:r>
              <w:rPr>
                <w:rFonts w:hint="eastAsia" w:ascii="宋体" w:hAnsi="宋体" w:eastAsia="宋体" w:cs="宋体"/>
                <w:color w:val="auto"/>
                <w:szCs w:val="21"/>
                <w:highlight w:val="none"/>
                <w:lang w:val="en-US" w:eastAsia="zh-CN"/>
              </w:rPr>
              <w:t>0.5</w:t>
            </w:r>
            <w:r>
              <w:rPr>
                <w:rFonts w:hint="eastAsia" w:ascii="宋体" w:hAnsi="宋体" w:eastAsia="宋体" w:cs="宋体"/>
                <w:color w:val="auto"/>
                <w:szCs w:val="21"/>
                <w:highlight w:val="none"/>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noWrap/>
            <w:vAlign w:val="center"/>
          </w:tcPr>
          <w:p>
            <w:pPr>
              <w:pageBreakBefore w:val="0"/>
              <w:kinsoku/>
              <w:overflowPunct/>
              <w:bidi w:val="0"/>
              <w:spacing w:line="400" w:lineRule="exact"/>
              <w:ind w:firstLine="0" w:firstLineChars="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确保项目成果质量的技术路线和方法措施</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（3分）</w:t>
            </w:r>
          </w:p>
        </w:tc>
        <w:tc>
          <w:tcPr>
            <w:tcW w:w="5107" w:type="dxa"/>
            <w:noWrap/>
            <w:vAlign w:val="center"/>
          </w:tcPr>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技术和方法措施科学、合理并切实可行的得3分；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技术和方法措施较科学、较合理的得2分；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技术和方法措施不太科学、不太合理的得1分；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项目实施重点、难点、关键过程分析及对策</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w:t>
            </w:r>
          </w:p>
        </w:tc>
        <w:tc>
          <w:tcPr>
            <w:tcW w:w="5107" w:type="dxa"/>
            <w:noWrap/>
            <w:vAlign w:val="center"/>
          </w:tcPr>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重点、难点、过程分析针对性强、分析深刻、切实可行的得</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重点、难点、过程分析针对性较强、分析较深刻的得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重点、难点、过程分析针对性不太强、分析不太深刻的得</w:t>
            </w:r>
            <w:r>
              <w:rPr>
                <w:rFonts w:hint="eastAsia" w:ascii="宋体" w:hAnsi="宋体" w:eastAsia="宋体" w:cs="宋体"/>
                <w:color w:val="auto"/>
                <w:szCs w:val="21"/>
                <w:highlight w:val="none"/>
                <w:lang w:val="en-US" w:eastAsia="zh-CN"/>
              </w:rPr>
              <w:t>0.5</w:t>
            </w:r>
            <w:r>
              <w:rPr>
                <w:rFonts w:hint="eastAsia" w:ascii="宋体" w:hAnsi="宋体" w:eastAsia="宋体" w:cs="宋体"/>
                <w:color w:val="auto"/>
                <w:szCs w:val="21"/>
                <w:highlight w:val="none"/>
              </w:rPr>
              <w:t>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具有切实可行的提高</w:t>
            </w:r>
            <w:r>
              <w:rPr>
                <w:rFonts w:hint="eastAsia" w:ascii="宋体" w:hAnsi="宋体" w:eastAsia="宋体" w:cs="宋体"/>
                <w:color w:val="auto"/>
                <w:szCs w:val="21"/>
                <w:highlight w:val="none"/>
                <w:lang w:eastAsia="zh-CN"/>
              </w:rPr>
              <w:t>工作效率</w:t>
            </w:r>
            <w:r>
              <w:rPr>
                <w:rFonts w:hint="eastAsia" w:ascii="宋体" w:hAnsi="宋体" w:eastAsia="宋体" w:cs="宋体"/>
                <w:color w:val="auto"/>
                <w:szCs w:val="21"/>
                <w:highlight w:val="none"/>
              </w:rPr>
              <w:t>、保证工期的合理化建议</w:t>
            </w:r>
          </w:p>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（2分）</w:t>
            </w: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合理化建议具有实质性内容可操作性强的得2分；</w:t>
            </w:r>
          </w:p>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合理化建议具有实质性内容可操作性较强的得1分；</w:t>
            </w:r>
          </w:p>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合理化建议具有实质性内容但可操作性一般得0.5分；</w:t>
            </w:r>
          </w:p>
          <w:p>
            <w:pPr>
              <w:pageBreakBefore w:val="0"/>
              <w:kinsoku/>
              <w:overflowPunct/>
              <w:bidi w:val="0"/>
              <w:spacing w:line="42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97" w:type="dxa"/>
            <w:vMerge w:val="restart"/>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2.2（3）</w:t>
            </w:r>
          </w:p>
        </w:tc>
        <w:tc>
          <w:tcPr>
            <w:tcW w:w="1235" w:type="dxa"/>
            <w:vMerge w:val="restart"/>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综合标 （</w:t>
            </w:r>
            <w:r>
              <w:rPr>
                <w:rFonts w:hint="eastAsia" w:ascii="宋体" w:hAnsi="宋体" w:eastAsia="宋体" w:cs="宋体"/>
                <w:color w:val="auto"/>
                <w:szCs w:val="21"/>
                <w:highlight w:val="none"/>
                <w:lang w:val="en-US" w:eastAsia="zh-CN"/>
              </w:rPr>
              <w:t>70</w:t>
            </w:r>
            <w:r>
              <w:rPr>
                <w:rFonts w:hint="eastAsia" w:ascii="宋体" w:hAnsi="宋体" w:eastAsia="宋体" w:cs="宋体"/>
                <w:color w:val="auto"/>
                <w:szCs w:val="21"/>
                <w:highlight w:val="none"/>
              </w:rPr>
              <w:t>分）</w:t>
            </w:r>
          </w:p>
        </w:tc>
        <w:tc>
          <w:tcPr>
            <w:tcW w:w="2399" w:type="dxa"/>
            <w:vMerge w:val="restart"/>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color w:val="auto"/>
                <w:highlight w:val="none"/>
                <w:lang w:val="en-US" w:eastAsia="zh-CN"/>
              </w:rPr>
              <w:t>人员（39分）</w:t>
            </w: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项目负责人同时具有土地估价师资格和房地产估价专业高级工程师职称的，得6分。提供职称证书扫描件及供应商为其缴纳的养老保险明细（以个人单页为准），否则不得分。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p>
        </w:tc>
        <w:tc>
          <w:tcPr>
            <w:tcW w:w="2399"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项目组成员中：具有4名本单位注册土地估价师的基础上，每再增加1名本单位注册土地估价师得2分，最多得8分。提供土地估价机构备案函中的土地估价师证书扫描件及供应商为其缴纳的养老保险明细（以个人单页为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p>
        </w:tc>
        <w:tc>
          <w:tcPr>
            <w:tcW w:w="2399"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项目组成员中：具有测绘相关职称中级及以上证书的，每有1名得3分，本项最高得12分。提供职称证书扫描件及供应商为其缴纳的养老保险明细（以个人单页为准），否则不得分。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p>
        </w:tc>
        <w:tc>
          <w:tcPr>
            <w:tcW w:w="2399"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组成员中：具有规划相关职称（土地利用规划、国土空间规划、城乡规划）中级及以上证书的，每有1名得1分，本项最高得9分。提供职称证书扫描件及供应商为其缴纳的养老保险明细（以个人单页为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rPr>
                <w:rFonts w:ascii="宋体" w:hAnsi="宋体" w:eastAsia="宋体" w:cs="宋体"/>
                <w:color w:val="auto"/>
                <w:szCs w:val="21"/>
                <w:highlight w:val="none"/>
              </w:rPr>
            </w:pPr>
          </w:p>
        </w:tc>
        <w:tc>
          <w:tcPr>
            <w:tcW w:w="2399"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项目组成员中：具有省级第三次国土调查耕地分等调查评价培训证书的，每人加2分，满分4分。提供证书扫描件及供应商为其缴纳</w:t>
            </w:r>
            <w:bookmarkStart w:id="1344" w:name="_GoBack"/>
            <w:bookmarkEnd w:id="1344"/>
            <w:r>
              <w:rPr>
                <w:rFonts w:hint="eastAsia" w:ascii="宋体" w:hAnsi="宋体" w:eastAsia="宋体" w:cs="宋体"/>
                <w:color w:val="auto"/>
                <w:szCs w:val="21"/>
                <w:highlight w:val="none"/>
                <w:lang w:val="en-US" w:eastAsia="zh-CN"/>
              </w:rPr>
              <w:t>的养老保险明细（以个人单页为准），否则不得分。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left"/>
              <w:rPr>
                <w:rFonts w:ascii="宋体" w:hAnsi="宋体" w:eastAsia="宋体" w:cs="宋体"/>
                <w:color w:val="auto"/>
                <w:szCs w:val="21"/>
                <w:highlight w:val="none"/>
              </w:rPr>
            </w:pPr>
          </w:p>
        </w:tc>
        <w:tc>
          <w:tcPr>
            <w:tcW w:w="2399" w:type="dxa"/>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业绩（20分）</w:t>
            </w: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投标单位独立承担过耕地资源质量分类或耕地分</w:t>
            </w:r>
            <w:r>
              <w:rPr>
                <w:rFonts w:hint="eastAsia" w:ascii="宋体" w:hAnsi="宋体" w:eastAsia="宋体" w:cs="宋体"/>
                <w:color w:val="FF0000"/>
                <w:szCs w:val="21"/>
                <w:highlight w:val="none"/>
              </w:rPr>
              <w:t>等</w:t>
            </w:r>
            <w:r>
              <w:rPr>
                <w:rFonts w:hint="eastAsia" w:ascii="宋体" w:hAnsi="宋体" w:eastAsia="宋体" w:cs="宋体"/>
                <w:color w:val="auto"/>
                <w:szCs w:val="21"/>
                <w:highlight w:val="none"/>
              </w:rPr>
              <w:t>调查评价项目的，每个得</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分，满分</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提供合同</w:t>
            </w:r>
            <w:r>
              <w:rPr>
                <w:rFonts w:hint="eastAsia" w:ascii="宋体" w:hAnsi="宋体" w:eastAsia="宋体" w:cs="宋体"/>
                <w:color w:val="auto"/>
                <w:szCs w:val="21"/>
                <w:highlight w:val="none"/>
                <w:lang w:eastAsia="zh-CN"/>
              </w:rPr>
              <w:t>扫描件</w:t>
            </w:r>
            <w:r>
              <w:rPr>
                <w:rFonts w:hint="eastAsia" w:ascii="宋体" w:hAnsi="宋体" w:eastAsia="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left"/>
              <w:rPr>
                <w:rFonts w:ascii="宋体" w:hAnsi="宋体" w:eastAsia="宋体" w:cs="宋体"/>
                <w:color w:val="auto"/>
                <w:szCs w:val="21"/>
                <w:highlight w:val="none"/>
              </w:rPr>
            </w:pPr>
          </w:p>
        </w:tc>
        <w:tc>
          <w:tcPr>
            <w:tcW w:w="2399" w:type="dxa"/>
            <w:vMerge w:val="restart"/>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荣誉（11分）</w:t>
            </w: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供应商获得有效的“</w:t>
            </w:r>
            <w:r>
              <w:rPr>
                <w:rFonts w:hint="eastAsia" w:ascii="宋体" w:hAnsi="宋体" w:eastAsia="宋体" w:cs="宋体"/>
                <w:i w:val="0"/>
                <w:iCs w:val="0"/>
                <w:color w:val="000000"/>
                <w:kern w:val="0"/>
                <w:sz w:val="22"/>
                <w:szCs w:val="22"/>
                <w:highlight w:val="none"/>
                <w:u w:val="none"/>
                <w:lang w:val="en-US" w:eastAsia="zh-CN" w:bidi="ar"/>
              </w:rPr>
              <w:t>2024年度</w:t>
            </w:r>
            <w:r>
              <w:rPr>
                <w:rFonts w:hint="eastAsia" w:ascii="宋体" w:hAnsi="宋体" w:eastAsia="宋体" w:cs="宋体"/>
                <w:color w:val="auto"/>
                <w:szCs w:val="21"/>
                <w:highlight w:val="none"/>
                <w:lang w:val="en-US" w:eastAsia="zh-CN"/>
              </w:rPr>
              <w:t>土地评估中介机构A级资信”得5分；提供资信证书扫描件。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pPr>
              <w:pageBreakBefore w:val="0"/>
              <w:kinsoku/>
              <w:overflowPunct/>
              <w:bidi w:val="0"/>
              <w:spacing w:line="400" w:lineRule="exact"/>
              <w:ind w:firstLine="0" w:firstLineChars="0"/>
              <w:jc w:val="left"/>
              <w:rPr>
                <w:rFonts w:ascii="宋体" w:hAnsi="宋体" w:eastAsia="宋体" w:cs="宋体"/>
                <w:color w:val="auto"/>
                <w:szCs w:val="21"/>
                <w:highlight w:val="none"/>
              </w:rPr>
            </w:pPr>
          </w:p>
        </w:tc>
        <w:tc>
          <w:tcPr>
            <w:tcW w:w="2399"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p>
        </w:tc>
        <w:tc>
          <w:tcPr>
            <w:tcW w:w="5107" w:type="dxa"/>
            <w:noWrap/>
            <w:vAlign w:val="center"/>
          </w:tcPr>
          <w:p>
            <w:pPr>
              <w:pageBreakBefore w:val="0"/>
              <w:kinsoku/>
              <w:overflowPunct/>
              <w:bidi w:val="0"/>
              <w:spacing w:line="42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供应商获得过省级自然资源主管部门(原国土资源主管部门)颁发的科学技术奖的，1等奖得6分，2等奖得4分，3等奖得2分。(按照供应商提供的获奖证书最高级别计算1次，不可累加得分)</w:t>
            </w:r>
          </w:p>
        </w:tc>
      </w:tr>
    </w:tbl>
    <w:p>
      <w:pPr>
        <w:pageBreakBefore w:val="0"/>
        <w:kinsoku/>
        <w:overflowPunct/>
        <w:bidi w:val="0"/>
        <w:ind w:firstLine="0" w:firstLineChars="0"/>
        <w:rPr>
          <w:color w:val="auto"/>
          <w:highlight w:val="none"/>
        </w:rPr>
      </w:pPr>
    </w:p>
    <w:p>
      <w:pPr>
        <w:pageBreakBefore w:val="0"/>
        <w:numPr>
          <w:ilvl w:val="0"/>
          <w:numId w:val="4"/>
        </w:numPr>
        <w:kinsoku/>
        <w:overflowPunct/>
        <w:bidi w:val="0"/>
        <w:spacing w:line="400" w:lineRule="exact"/>
        <w:ind w:firstLine="0" w:firstLineChars="0"/>
        <w:outlineLvl w:val="1"/>
        <w:rPr>
          <w:rFonts w:ascii="宋体" w:hAnsi="宋体" w:eastAsia="宋体" w:cs="宋体"/>
          <w:b/>
          <w:bCs/>
          <w:color w:val="auto"/>
          <w:szCs w:val="21"/>
          <w:highlight w:val="none"/>
        </w:rPr>
      </w:pPr>
      <w:bookmarkStart w:id="936" w:name="_Toc27706"/>
      <w:bookmarkStart w:id="937" w:name="_Toc9743"/>
      <w:bookmarkStart w:id="938" w:name="_Toc21598"/>
      <w:r>
        <w:rPr>
          <w:rFonts w:hint="eastAsia" w:ascii="宋体" w:hAnsi="宋体" w:eastAsia="宋体" w:cs="宋体"/>
          <w:b/>
          <w:bCs/>
          <w:color w:val="auto"/>
          <w:szCs w:val="21"/>
          <w:highlight w:val="none"/>
        </w:rPr>
        <w:t>评审方法</w:t>
      </w:r>
      <w:bookmarkEnd w:id="930"/>
      <w:bookmarkEnd w:id="931"/>
      <w:bookmarkEnd w:id="932"/>
      <w:bookmarkEnd w:id="933"/>
      <w:bookmarkEnd w:id="934"/>
      <w:bookmarkEnd w:id="935"/>
      <w:bookmarkEnd w:id="936"/>
      <w:bookmarkEnd w:id="937"/>
      <w:bookmarkEnd w:id="938"/>
    </w:p>
    <w:p>
      <w:pPr>
        <w:pageBreakBefore w:val="0"/>
        <w:kinsoku/>
        <w:overflowPunct/>
        <w:bidi w:val="0"/>
        <w:spacing w:line="400" w:lineRule="exact"/>
        <w:ind w:firstLine="0" w:firstLineChars="0"/>
        <w:rPr>
          <w:rFonts w:ascii="宋体" w:hAnsi="宋体" w:eastAsia="宋体" w:cs="宋体"/>
          <w:color w:val="auto"/>
          <w:kern w:val="0"/>
          <w:szCs w:val="21"/>
          <w:highlight w:val="none"/>
        </w:rPr>
      </w:pPr>
      <w:r>
        <w:rPr>
          <w:rFonts w:hint="eastAsia" w:ascii="宋体" w:hAnsi="宋体" w:eastAsia="宋体" w:cs="宋体"/>
          <w:color w:val="auto"/>
          <w:szCs w:val="21"/>
          <w:highlight w:val="none"/>
          <w:lang w:bidi="en-US"/>
        </w:rPr>
        <w:t>本次评审采用综合评分法。磋商小组对满足竞争性磋商文件实质性要求的响应文件</w:t>
      </w:r>
      <w:r>
        <w:rPr>
          <w:rFonts w:hint="eastAsia" w:ascii="宋体" w:hAnsi="宋体" w:eastAsia="宋体" w:cs="宋体"/>
          <w:color w:val="auto"/>
          <w:szCs w:val="21"/>
          <w:highlight w:val="none"/>
        </w:rPr>
        <w:t>，按照本章规定的评分标准进行打分，并按得分由高到低顺序推荐成交候选人，</w:t>
      </w:r>
      <w:r>
        <w:rPr>
          <w:rFonts w:hint="eastAsia" w:ascii="宋体" w:hAnsi="宋体" w:eastAsia="宋体" w:cs="宋体"/>
          <w:color w:val="auto"/>
          <w:kern w:val="0"/>
          <w:szCs w:val="21"/>
          <w:highlight w:val="none"/>
        </w:rPr>
        <w:t>综合评分相等时，以报价得分高的优先；报价得分也相等的，由采购人自行确定。</w:t>
      </w:r>
      <w:bookmarkStart w:id="939" w:name="_Toc152042378"/>
      <w:bookmarkStart w:id="940" w:name="_Toc152045601"/>
      <w:bookmarkStart w:id="941" w:name="_Toc490667876"/>
      <w:bookmarkStart w:id="942" w:name="_Toc144974568"/>
      <w:bookmarkStart w:id="943" w:name="_Toc24936"/>
      <w:bookmarkStart w:id="944" w:name="_Toc26131"/>
      <w:bookmarkStart w:id="945" w:name="_Toc466298140"/>
      <w:bookmarkStart w:id="946" w:name="_Toc281405529"/>
      <w:bookmarkStart w:id="947" w:name="_Toc20837"/>
      <w:bookmarkStart w:id="948" w:name="_Toc318450723"/>
      <w:bookmarkStart w:id="949" w:name="_Toc455080157"/>
      <w:bookmarkStart w:id="950" w:name="_Toc6612"/>
      <w:bookmarkStart w:id="951" w:name="_Toc455867817"/>
      <w:bookmarkStart w:id="952" w:name="_Toc29362"/>
    </w:p>
    <w:p>
      <w:pPr>
        <w:pageBreakBefore w:val="0"/>
        <w:kinsoku/>
        <w:overflowPunct/>
        <w:bidi w:val="0"/>
        <w:spacing w:line="400" w:lineRule="exact"/>
        <w:ind w:firstLine="0" w:firstLineChars="0"/>
        <w:rPr>
          <w:rFonts w:ascii="宋体" w:hAnsi="宋体" w:eastAsia="宋体" w:cs="宋体"/>
          <w:color w:val="auto"/>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szCs w:val="21"/>
          <w:highlight w:val="none"/>
        </w:rPr>
        <w:t>经评标委员会初步评审后有效投标不足3个的，评标委员会应予废标。</w:t>
      </w:r>
    </w:p>
    <w:p>
      <w:pPr>
        <w:pageBreakBefore w:val="0"/>
        <w:numPr>
          <w:ilvl w:val="0"/>
          <w:numId w:val="4"/>
        </w:numPr>
        <w:kinsoku/>
        <w:overflowPunct/>
        <w:bidi w:val="0"/>
        <w:spacing w:line="400" w:lineRule="exact"/>
        <w:ind w:firstLine="0" w:firstLineChars="0"/>
        <w:outlineLvl w:val="1"/>
        <w:rPr>
          <w:rFonts w:ascii="宋体" w:hAnsi="宋体" w:eastAsia="宋体" w:cs="宋体"/>
          <w:b/>
          <w:bCs/>
          <w:color w:val="auto"/>
          <w:szCs w:val="21"/>
          <w:highlight w:val="none"/>
        </w:rPr>
      </w:pPr>
      <w:bookmarkStart w:id="953" w:name="_Toc19388"/>
      <w:bookmarkStart w:id="954" w:name="_Toc21350"/>
      <w:bookmarkStart w:id="955" w:name="_Toc10406"/>
      <w:r>
        <w:rPr>
          <w:rFonts w:hint="eastAsia" w:ascii="宋体" w:hAnsi="宋体" w:eastAsia="宋体" w:cs="宋体"/>
          <w:b/>
          <w:bCs/>
          <w:color w:val="auto"/>
          <w:szCs w:val="21"/>
          <w:highlight w:val="none"/>
        </w:rPr>
        <w:t>评审标准</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Start w:id="956" w:name="_Toc11223"/>
      <w:bookmarkStart w:id="957" w:name="_Toc490667877"/>
      <w:bookmarkStart w:id="958" w:name="_Toc152042379"/>
      <w:bookmarkStart w:id="959" w:name="_Toc455080158"/>
      <w:bookmarkStart w:id="960" w:name="_Toc318450724"/>
      <w:bookmarkStart w:id="961" w:name="_Toc31037"/>
      <w:bookmarkStart w:id="962" w:name="_Toc2867"/>
      <w:bookmarkStart w:id="963" w:name="_Toc19934"/>
      <w:bookmarkStart w:id="964" w:name="_Toc281405530"/>
      <w:bookmarkStart w:id="965" w:name="_Toc455867818"/>
      <w:bookmarkStart w:id="966" w:name="_Toc144974569"/>
      <w:bookmarkStart w:id="967" w:name="_Toc21120"/>
      <w:bookmarkStart w:id="968" w:name="_Toc6711"/>
      <w:bookmarkStart w:id="969" w:name="_Toc466298141"/>
      <w:bookmarkStart w:id="970" w:name="_Toc152045602"/>
      <w:bookmarkStart w:id="971" w:name="_Toc24558"/>
      <w:bookmarkStart w:id="972" w:name="_Toc25637"/>
      <w:bookmarkStart w:id="973" w:name="_Toc15813"/>
    </w:p>
    <w:p>
      <w:pPr>
        <w:pageBreakBefore w:val="0"/>
        <w:kinsoku/>
        <w:overflowPunct/>
        <w:bidi w:val="0"/>
        <w:spacing w:line="400" w:lineRule="exact"/>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2.1 初步评审标准</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2.1.1 资格检查评审标准：见评审办法前附表。</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2.1.2符合性检查评审标准：见评审办法前附表。</w:t>
      </w:r>
    </w:p>
    <w:p>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974" w:name="_Toc455080159"/>
      <w:bookmarkStart w:id="975" w:name="_Toc25492"/>
      <w:bookmarkStart w:id="976" w:name="_Toc24825"/>
      <w:bookmarkStart w:id="977" w:name="_Toc152045603"/>
      <w:bookmarkStart w:id="978" w:name="_Toc490667878"/>
      <w:bookmarkStart w:id="979" w:name="_Toc455867819"/>
      <w:bookmarkStart w:id="980" w:name="_Toc22439"/>
      <w:bookmarkStart w:id="981" w:name="_Toc21970"/>
      <w:bookmarkStart w:id="982" w:name="_Toc12013"/>
      <w:bookmarkStart w:id="983" w:name="_Toc4734"/>
      <w:bookmarkStart w:id="984" w:name="_Toc144974570"/>
      <w:bookmarkStart w:id="985" w:name="_Toc11061"/>
      <w:bookmarkStart w:id="986" w:name="_Toc26179"/>
      <w:bookmarkStart w:id="987" w:name="_Toc7284"/>
      <w:bookmarkStart w:id="988" w:name="_Toc466298142"/>
      <w:bookmarkStart w:id="989" w:name="_Toc318450725"/>
      <w:bookmarkStart w:id="990" w:name="_Toc18417"/>
      <w:bookmarkStart w:id="991" w:name="_Toc152042380"/>
      <w:bookmarkStart w:id="992" w:name="_Toc281405531"/>
      <w:bookmarkStart w:id="993" w:name="_Toc31385"/>
      <w:bookmarkStart w:id="994" w:name="_Toc30189"/>
      <w:r>
        <w:rPr>
          <w:rFonts w:hint="eastAsia" w:ascii="宋体" w:hAnsi="宋体" w:eastAsia="宋体"/>
          <w:b/>
          <w:bCs/>
          <w:color w:val="auto"/>
          <w:sz w:val="21"/>
          <w:szCs w:val="21"/>
          <w:highlight w:val="none"/>
        </w:rPr>
        <w:t>2.2 分值构成与评分标准</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（1）商务标：见评审办法前附表；</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（2）技术标：见评审办法前附表；</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（3）综合标：见评审办法前附表。</w:t>
      </w:r>
    </w:p>
    <w:p>
      <w:pPr>
        <w:pStyle w:val="67"/>
        <w:pageBreakBefore w:val="0"/>
        <w:kinsoku/>
        <w:overflowPunct/>
        <w:bidi w:val="0"/>
        <w:ind w:firstLine="0" w:firstLineChars="0"/>
        <w:rPr>
          <w:rFonts w:ascii="宋体" w:hAnsi="宋体" w:eastAsia="宋体"/>
          <w:b/>
          <w:bCs/>
          <w:color w:val="auto"/>
          <w:sz w:val="21"/>
          <w:szCs w:val="21"/>
          <w:highlight w:val="none"/>
        </w:rPr>
      </w:pPr>
      <w:bookmarkStart w:id="995" w:name="_Toc11546"/>
      <w:bookmarkStart w:id="996" w:name="_Toc455080160"/>
      <w:bookmarkStart w:id="997" w:name="_Toc17308"/>
      <w:bookmarkStart w:id="998" w:name="_Toc32314"/>
      <w:bookmarkStart w:id="999" w:name="_Toc18127"/>
      <w:bookmarkStart w:id="1000" w:name="_Toc3149"/>
      <w:bookmarkStart w:id="1001" w:name="_Toc29297"/>
      <w:bookmarkStart w:id="1002" w:name="_Toc281405532"/>
      <w:bookmarkStart w:id="1003" w:name="_Toc318450726"/>
      <w:bookmarkStart w:id="1004" w:name="_Toc490667879"/>
      <w:bookmarkStart w:id="1005" w:name="_Toc455867820"/>
      <w:bookmarkStart w:id="1006" w:name="_Toc16479"/>
      <w:bookmarkStart w:id="1007" w:name="_Toc466298143"/>
      <w:bookmarkStart w:id="1008" w:name="_Toc5766"/>
      <w:r>
        <w:rPr>
          <w:rFonts w:hint="eastAsia" w:ascii="宋体" w:hAnsi="宋体" w:eastAsia="宋体"/>
          <w:b/>
          <w:bCs/>
          <w:color w:val="auto"/>
          <w:sz w:val="21"/>
          <w:szCs w:val="21"/>
          <w:highlight w:val="none"/>
        </w:rPr>
        <w:t>3. 评审程序</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1009" w:name="_Toc28837"/>
      <w:bookmarkStart w:id="1010" w:name="_Toc18886"/>
      <w:bookmarkStart w:id="1011" w:name="_Toc7272"/>
      <w:bookmarkStart w:id="1012" w:name="_Toc455867821"/>
      <w:bookmarkStart w:id="1013" w:name="_Toc31432"/>
      <w:bookmarkStart w:id="1014" w:name="_Toc29092"/>
      <w:bookmarkStart w:id="1015" w:name="_Toc2410"/>
      <w:bookmarkStart w:id="1016" w:name="_Toc16892"/>
      <w:bookmarkStart w:id="1017" w:name="_Toc9433"/>
      <w:bookmarkStart w:id="1018" w:name="_Toc14633"/>
      <w:bookmarkStart w:id="1019" w:name="_Toc30986"/>
      <w:bookmarkStart w:id="1020" w:name="_Toc318450727"/>
      <w:bookmarkStart w:id="1021" w:name="_Toc29614"/>
      <w:bookmarkStart w:id="1022" w:name="_Toc466298144"/>
      <w:bookmarkStart w:id="1023" w:name="_Toc490667880"/>
      <w:bookmarkStart w:id="1024" w:name="_Toc455080161"/>
      <w:bookmarkStart w:id="1025" w:name="_Toc281405533"/>
      <w:bookmarkStart w:id="1026" w:name="_Toc11826"/>
      <w:bookmarkStart w:id="1027" w:name="_Toc5427"/>
      <w:r>
        <w:rPr>
          <w:rFonts w:hint="eastAsia" w:ascii="宋体" w:hAnsi="宋体" w:eastAsia="宋体"/>
          <w:b/>
          <w:bCs/>
          <w:color w:val="auto"/>
          <w:sz w:val="21"/>
          <w:szCs w:val="21"/>
          <w:highlight w:val="none"/>
        </w:rPr>
        <w:t>3.1 初步评审</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ageBreakBefore w:val="0"/>
        <w:kinsoku/>
        <w:overflowPunct/>
        <w:bidi w:val="0"/>
        <w:spacing w:line="400" w:lineRule="exact"/>
        <w:ind w:firstLine="0" w:firstLineChars="0"/>
        <w:rPr>
          <w:rFonts w:ascii="宋体" w:hAnsi="宋体" w:eastAsia="宋体" w:cs="宋体"/>
          <w:b/>
          <w:bCs/>
          <w:color w:val="auto"/>
          <w:szCs w:val="21"/>
          <w:highlight w:val="none"/>
        </w:rPr>
      </w:pPr>
      <w:bookmarkStart w:id="1028" w:name="_Toc318450728"/>
      <w:bookmarkStart w:id="1029" w:name="_Toc13386"/>
      <w:bookmarkStart w:id="1030" w:name="_Toc7121"/>
      <w:bookmarkStart w:id="1031" w:name="_Toc21570"/>
      <w:bookmarkStart w:id="1032" w:name="_Toc22101"/>
      <w:bookmarkStart w:id="1033" w:name="_Toc26280"/>
      <w:bookmarkStart w:id="1034" w:name="_Toc455080162"/>
      <w:bookmarkStart w:id="1035" w:name="_Toc21032"/>
      <w:bookmarkStart w:id="1036" w:name="_Toc455867822"/>
      <w:bookmarkStart w:id="1037" w:name="_Toc26049"/>
      <w:bookmarkStart w:id="1038" w:name="_Toc281405534"/>
      <w:bookmarkStart w:id="1039" w:name="_Toc490667881"/>
      <w:bookmarkStart w:id="1040" w:name="_Toc466298145"/>
      <w:bookmarkStart w:id="1041" w:name="_Toc16964"/>
      <w:bookmarkStart w:id="1042" w:name="_Toc12406"/>
      <w:bookmarkStart w:id="1043" w:name="_Toc10692"/>
      <w:r>
        <w:rPr>
          <w:rFonts w:hint="eastAsia" w:ascii="宋体" w:hAnsi="宋体" w:eastAsia="宋体" w:cs="宋体"/>
          <w:color w:val="auto"/>
          <w:szCs w:val="21"/>
          <w:highlight w:val="none"/>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highlight w:val="none"/>
        </w:rPr>
        <w:t>有一项不符合评审标准的，其投标做无效投标处理，不得进入详细评审。</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3.1.2 供应商有以下情形之一的，其响应文件作无效处理：</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（1）串通或弄虚作假或有其他违法行为的；</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（2）不按磋商小组要求澄清、说明或补正的；</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（3）未按规定格式填写、内容不全或关键字迹模糊、无法辨认的；</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（4）响应文件附有采购人不能接受的条件；</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（5）不符合竞争性磋商文件规定的其他实质性要求。</w:t>
      </w:r>
    </w:p>
    <w:p>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1044" w:name="_Toc8771"/>
      <w:bookmarkStart w:id="1045" w:name="_Toc21966"/>
      <w:bookmarkStart w:id="1046" w:name="_Toc28255"/>
      <w:r>
        <w:rPr>
          <w:rFonts w:hint="eastAsia" w:ascii="宋体" w:hAnsi="宋体" w:eastAsia="宋体"/>
          <w:b/>
          <w:bCs/>
          <w:color w:val="auto"/>
          <w:sz w:val="21"/>
          <w:szCs w:val="21"/>
          <w:highlight w:val="none"/>
        </w:rPr>
        <w:t>3.2 详细评审</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3.2.1 磋商小组按本章第2.2款规定的量化因素和分值进行打分，并计算出综合评分得分。</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3.2.2 评分分值计算保留小数点后两位，小数点后第三位“四舍五入”。</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3.2.3供应商的最终得分以全部小组成员打分的算术平均值为准，作为该供应商的最终得分。</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3.2.4在磋商过程中，凡遇到竞争性磋商文件中无界定或界定不清、前后不一致使磋商小组意见有分歧且又难以协商一致的问题，均由磋商小组予以表决，获半数以上同意的即为通过，未获半数同意的即为否决。</w:t>
      </w:r>
    </w:p>
    <w:p>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1047" w:name="_Toc331"/>
      <w:bookmarkStart w:id="1048" w:name="_Toc22084"/>
      <w:bookmarkStart w:id="1049" w:name="_Toc9193"/>
      <w:bookmarkStart w:id="1050" w:name="_Toc490667882"/>
      <w:bookmarkStart w:id="1051" w:name="_Toc318450729"/>
      <w:bookmarkStart w:id="1052" w:name="_Toc8813"/>
      <w:bookmarkStart w:id="1053" w:name="_Toc2657"/>
      <w:bookmarkStart w:id="1054" w:name="_Toc10153"/>
      <w:bookmarkStart w:id="1055" w:name="_Toc455080163"/>
      <w:bookmarkStart w:id="1056" w:name="_Toc11958"/>
      <w:bookmarkStart w:id="1057" w:name="_Toc25291"/>
      <w:bookmarkStart w:id="1058" w:name="_Toc28633"/>
      <w:bookmarkStart w:id="1059" w:name="_Toc455867823"/>
      <w:bookmarkStart w:id="1060" w:name="_Toc12374"/>
      <w:bookmarkStart w:id="1061" w:name="_Toc466298146"/>
      <w:bookmarkStart w:id="1062" w:name="_Toc8342"/>
      <w:bookmarkStart w:id="1063" w:name="_Toc24862"/>
      <w:bookmarkStart w:id="1064" w:name="_Toc281405535"/>
      <w:bookmarkStart w:id="1065" w:name="_Toc12390"/>
      <w:r>
        <w:rPr>
          <w:rFonts w:hint="eastAsia" w:ascii="宋体" w:hAnsi="宋体" w:eastAsia="宋体"/>
          <w:b/>
          <w:bCs/>
          <w:color w:val="auto"/>
          <w:sz w:val="21"/>
          <w:szCs w:val="21"/>
          <w:highlight w:val="none"/>
        </w:rPr>
        <w:t>3.3 响应文件的澄清和补正</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3.3.1在磋商过程中，磋商小组可以书面形式要求供应商对所提交的响应文件中不明确的内容进行书面澄清或说明，或者对细微偏离进行补正。磋商小组不接受供应商主动提出的澄清、说明或补正。</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3.3.2 澄清、说明和补正不得超出响应文件的范围或者改变响应文件的实质性内容（算术性错误修正的除外）。供应商的书面澄清、说明和补正属于响应文件的组成部分。</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3.3.3 磋商小组对供应商提交的澄清、说明或补正有疑问的，可以要求供应商进一步澄清、说明或补正，直至满足磋商小组的要求。</w:t>
      </w:r>
    </w:p>
    <w:p>
      <w:pPr>
        <w:pStyle w:val="68"/>
        <w:pageBreakBefore w:val="0"/>
        <w:kinsoku/>
        <w:overflowPunct/>
        <w:bidi w:val="0"/>
        <w:ind w:firstLine="0" w:firstLineChars="0"/>
        <w:outlineLvl w:val="0"/>
        <w:rPr>
          <w:rFonts w:ascii="宋体" w:hAnsi="宋体" w:eastAsia="宋体"/>
          <w:color w:val="auto"/>
          <w:sz w:val="21"/>
          <w:szCs w:val="21"/>
          <w:highlight w:val="none"/>
        </w:rPr>
      </w:pPr>
      <w:bookmarkStart w:id="1066" w:name="_Toc455080164"/>
      <w:bookmarkStart w:id="1067" w:name="_Toc30053"/>
      <w:bookmarkStart w:id="1068" w:name="_Toc22986"/>
      <w:bookmarkStart w:id="1069" w:name="_Toc19938"/>
      <w:bookmarkStart w:id="1070" w:name="_Toc1857"/>
      <w:bookmarkStart w:id="1071" w:name="_Toc26894"/>
      <w:bookmarkStart w:id="1072" w:name="_Toc27990"/>
      <w:bookmarkStart w:id="1073" w:name="_Toc318450730"/>
      <w:bookmarkStart w:id="1074" w:name="_Toc281405536"/>
      <w:bookmarkStart w:id="1075" w:name="_Toc5903"/>
      <w:bookmarkStart w:id="1076" w:name="_Toc455867824"/>
      <w:bookmarkStart w:id="1077" w:name="_Toc22682"/>
      <w:bookmarkStart w:id="1078" w:name="_Toc19453"/>
      <w:bookmarkStart w:id="1079" w:name="_Toc490667883"/>
      <w:bookmarkStart w:id="1080" w:name="_Toc22049"/>
      <w:bookmarkStart w:id="1081" w:name="_Toc6270"/>
      <w:bookmarkStart w:id="1082" w:name="_Toc8139"/>
      <w:bookmarkStart w:id="1083" w:name="_Toc32183"/>
      <w:bookmarkStart w:id="1084" w:name="_Toc466298147"/>
      <w:r>
        <w:rPr>
          <w:rFonts w:hint="eastAsia" w:ascii="宋体" w:hAnsi="宋体" w:eastAsia="宋体"/>
          <w:color w:val="auto"/>
          <w:sz w:val="21"/>
          <w:szCs w:val="21"/>
          <w:highlight w:val="none"/>
        </w:rPr>
        <w:t>3.4 评审结果</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3.4.1除第二章“供应商须知”前附表授权直接确定成交人外，磋商小组按照得分由高到低的顺序推荐成交候选人。</w:t>
      </w:r>
    </w:p>
    <w:p>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3.4.2 磋商小组完成评审后，应当向采购人提交书面评审报告。</w:t>
      </w:r>
    </w:p>
    <w:p>
      <w:pPr>
        <w:pageBreakBefore w:val="0"/>
        <w:kinsoku/>
        <w:overflowPunct/>
        <w:bidi w:val="0"/>
        <w:spacing w:line="400" w:lineRule="exact"/>
        <w:ind w:firstLine="0" w:firstLineChars="0"/>
        <w:rPr>
          <w:rFonts w:hint="eastAsia" w:ascii="宋体" w:hAnsi="宋体" w:eastAsia="宋体" w:cs="宋体"/>
          <w:color w:val="auto"/>
          <w:szCs w:val="21"/>
          <w:highlight w:val="none"/>
        </w:rPr>
      </w:pPr>
      <w:bookmarkStart w:id="1085" w:name="_Toc144974577"/>
      <w:bookmarkStart w:id="1086" w:name="_Toc152042387"/>
      <w:bookmarkStart w:id="1087" w:name="_Toc14024"/>
      <w:bookmarkStart w:id="1088" w:name="_Toc152045609"/>
      <w:r>
        <w:rPr>
          <w:rFonts w:hint="eastAsia" w:ascii="宋体" w:hAnsi="宋体" w:eastAsia="宋体" w:cs="宋体"/>
          <w:color w:val="auto"/>
          <w:szCs w:val="21"/>
          <w:highlight w:val="none"/>
        </w:rPr>
        <w:t>3.4.3评标结果同时在《河南省政府采购网》、《全国公共资源交易平台（河南省·信阳市）》公示。</w:t>
      </w:r>
      <w:bookmarkStart w:id="1089" w:name="_Toc27942"/>
      <w:bookmarkStart w:id="1090" w:name="_Toc6806"/>
      <w:bookmarkStart w:id="1091" w:name="_Toc22046"/>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9"/>
        <w:pageBreakBefore w:val="0"/>
        <w:kinsoku/>
        <w:overflowPunct/>
        <w:bidi w:val="0"/>
        <w:spacing w:line="400" w:lineRule="exact"/>
        <w:ind w:left="459"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附件：废标条件</w:t>
      </w:r>
      <w:bookmarkEnd w:id="1089"/>
      <w:bookmarkEnd w:id="1090"/>
      <w:bookmarkEnd w:id="1091"/>
    </w:p>
    <w:p>
      <w:pPr>
        <w:pageBreakBefore w:val="0"/>
        <w:kinsoku/>
        <w:overflowPunct/>
        <w:bidi w:val="0"/>
        <w:spacing w:line="400" w:lineRule="exact"/>
        <w:ind w:firstLine="0" w:firstLineChars="0"/>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废标条件</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1.未通过第三章评标办法资格评审、符合性评审的； </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2.不按磋商小组要求澄清、说明或补正的；</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3.磋商报价有算术性错误，投标人不接受修正价格的；</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4.以他人的名义投标、以行贿手段谋取中标或者以其他弄虚作假方式投标的；</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5.属于串（围）标行为的；</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6.评标委员会认定投标人以低于成本报价竞标的；</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7．明显不符合技术规格、技术标准的要求；</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8.文件制作机器码、文件创建标识码有相同的；</w:t>
      </w:r>
    </w:p>
    <w:p>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9．不符合竞争性磋商文件规定的其他实质性要求及相关法律、法规或规章规定可以废标的其他情形。</w:t>
      </w:r>
    </w:p>
    <w:p>
      <w:pPr>
        <w:pStyle w:val="2"/>
        <w:pageBreakBefore w:val="0"/>
        <w:kinsoku/>
        <w:overflowPunct/>
        <w:bidi w:val="0"/>
        <w:ind w:firstLine="0" w:firstLineChars="0"/>
        <w:rPr>
          <w:rFonts w:ascii="宋体" w:hAnsi="宋体" w:cs="宋体"/>
          <w:bCs/>
          <w:color w:val="auto"/>
          <w:sz w:val="28"/>
          <w:szCs w:val="28"/>
          <w:highlight w:val="none"/>
        </w:rPr>
      </w:pPr>
    </w:p>
    <w:p>
      <w:pPr>
        <w:pStyle w:val="4"/>
        <w:pageBreakBefore w:val="0"/>
        <w:tabs>
          <w:tab w:val="left" w:pos="945"/>
          <w:tab w:val="left" w:pos="1155"/>
        </w:tabs>
        <w:kinsoku/>
        <w:overflowPunct/>
        <w:bidi w:val="0"/>
        <w:ind w:firstLine="0" w:firstLineChars="0"/>
        <w:rPr>
          <w:rFonts w:ascii="宋体" w:hAnsi="宋体" w:cs="宋体"/>
          <w:bCs/>
          <w:color w:val="auto"/>
          <w:sz w:val="28"/>
          <w:szCs w:val="28"/>
          <w:highlight w:val="none"/>
        </w:rPr>
      </w:pPr>
    </w:p>
    <w:p>
      <w:pPr>
        <w:pStyle w:val="47"/>
        <w:pageBreakBefore w:val="0"/>
        <w:kinsoku/>
        <w:overflowPunct/>
        <w:bidi w:val="0"/>
        <w:ind w:firstLine="0" w:firstLineChars="0"/>
        <w:rPr>
          <w:color w:val="auto"/>
          <w:highlight w:val="none"/>
        </w:rPr>
      </w:pPr>
    </w:p>
    <w:p>
      <w:pPr>
        <w:pStyle w:val="49"/>
        <w:rPr>
          <w:color w:val="auto"/>
          <w:highlight w:val="none"/>
        </w:rPr>
      </w:pPr>
    </w:p>
    <w:p>
      <w:pPr>
        <w:rPr>
          <w:color w:val="auto"/>
          <w:highlight w:val="none"/>
        </w:rPr>
      </w:pPr>
    </w:p>
    <w:p>
      <w:pPr>
        <w:pStyle w:val="3"/>
        <w:rPr>
          <w:color w:val="auto"/>
          <w:highlight w:val="none"/>
        </w:rPr>
      </w:pPr>
    </w:p>
    <w:p>
      <w:pPr>
        <w:pStyle w:val="46"/>
        <w:rPr>
          <w:color w:val="auto"/>
          <w:highlight w:val="none"/>
        </w:rPr>
      </w:pPr>
    </w:p>
    <w:p>
      <w:pPr>
        <w:rPr>
          <w:color w:val="auto"/>
          <w:highlight w:val="none"/>
        </w:rPr>
      </w:pPr>
    </w:p>
    <w:p>
      <w:pPr>
        <w:pStyle w:val="3"/>
        <w:rPr>
          <w:color w:val="auto"/>
          <w:highlight w:val="none"/>
        </w:rPr>
      </w:pPr>
    </w:p>
    <w:p>
      <w:pPr>
        <w:pStyle w:val="46"/>
        <w:rPr>
          <w:color w:val="auto"/>
          <w:highlight w:val="none"/>
        </w:rPr>
      </w:pPr>
    </w:p>
    <w:p>
      <w:pPr>
        <w:rPr>
          <w:color w:val="auto"/>
          <w:highlight w:val="none"/>
        </w:rPr>
      </w:pPr>
    </w:p>
    <w:p>
      <w:pPr>
        <w:pStyle w:val="2"/>
        <w:rPr>
          <w:highlight w:val="none"/>
        </w:rPr>
      </w:pPr>
    </w:p>
    <w:bookmarkEnd w:id="1085"/>
    <w:bookmarkEnd w:id="1086"/>
    <w:bookmarkEnd w:id="1087"/>
    <w:bookmarkEnd w:id="1088"/>
    <w:p>
      <w:pPr>
        <w:pageBreakBefore w:val="0"/>
        <w:kinsoku/>
        <w:overflowPunct/>
        <w:bidi w:val="0"/>
        <w:ind w:firstLine="0" w:firstLineChars="0"/>
        <w:jc w:val="center"/>
        <w:outlineLvl w:val="0"/>
        <w:rPr>
          <w:rFonts w:ascii="宋体" w:hAnsi="宋体" w:cs="宋体"/>
          <w:b/>
          <w:color w:val="auto"/>
          <w:kern w:val="44"/>
          <w:sz w:val="32"/>
          <w:szCs w:val="32"/>
          <w:highlight w:val="none"/>
        </w:rPr>
      </w:pPr>
      <w:bookmarkStart w:id="1092" w:name="_Toc21270"/>
      <w:bookmarkStart w:id="1093" w:name="_Toc14158"/>
      <w:bookmarkStart w:id="1094" w:name="_Toc152045786"/>
      <w:bookmarkStart w:id="1095" w:name="_Toc144974855"/>
      <w:bookmarkStart w:id="1096" w:name="_Toc152042575"/>
      <w:r>
        <w:rPr>
          <w:rFonts w:hint="eastAsia" w:ascii="宋体" w:hAnsi="宋体" w:cs="宋体"/>
          <w:b/>
          <w:color w:val="auto"/>
          <w:kern w:val="44"/>
          <w:sz w:val="32"/>
          <w:szCs w:val="32"/>
          <w:highlight w:val="none"/>
        </w:rPr>
        <w:t>第四章  河南省政府采购合同（参考文本）</w:t>
      </w:r>
      <w:bookmarkEnd w:id="1092"/>
    </w:p>
    <w:p>
      <w:pPr>
        <w:pageBreakBefore w:val="0"/>
        <w:kinsoku/>
        <w:overflowPunct/>
        <w:bidi w:val="0"/>
        <w:spacing w:line="400" w:lineRule="exact"/>
        <w:ind w:firstLine="0" w:firstLineChars="0"/>
        <w:rPr>
          <w:rFonts w:ascii="宋体" w:hAnsi="宋体" w:cs="宋体"/>
          <w:color w:val="auto"/>
          <w:sz w:val="30"/>
          <w:szCs w:val="30"/>
          <w:highlight w:val="none"/>
        </w:rPr>
      </w:pPr>
    </w:p>
    <w:p>
      <w:pPr>
        <w:pageBreakBefore w:val="0"/>
        <w:kinsoku/>
        <w:overflowPunct/>
        <w:bidi w:val="0"/>
        <w:spacing w:line="360" w:lineRule="auto"/>
        <w:ind w:firstLine="0" w:firstLineChars="0"/>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（采购人可根据采购项目的实际情况增减条款和内容）</w:t>
      </w:r>
    </w:p>
    <w:p>
      <w:pPr>
        <w:spacing w:line="560" w:lineRule="exact"/>
        <w:ind w:firstLine="422"/>
        <w:rPr>
          <w:rFonts w:ascii="宋体" w:hAnsi="宋体"/>
          <w:b/>
          <w:bCs/>
          <w:szCs w:val="21"/>
          <w:highlight w:val="none"/>
        </w:rPr>
      </w:pPr>
      <w:r>
        <w:rPr>
          <w:rFonts w:hint="eastAsia" w:ascii="宋体" w:hAnsi="宋体"/>
          <w:b/>
          <w:bCs/>
          <w:szCs w:val="21"/>
          <w:highlight w:val="none"/>
        </w:rPr>
        <w:t>委托方（甲方）：</w:t>
      </w:r>
    </w:p>
    <w:p>
      <w:pPr>
        <w:spacing w:line="560" w:lineRule="exact"/>
        <w:ind w:firstLine="422"/>
        <w:rPr>
          <w:rFonts w:ascii="宋体" w:hAnsi="宋体"/>
          <w:b/>
          <w:bCs/>
          <w:szCs w:val="21"/>
          <w:highlight w:val="none"/>
        </w:rPr>
      </w:pPr>
      <w:r>
        <w:rPr>
          <w:rFonts w:hint="eastAsia" w:ascii="宋体" w:hAnsi="宋体"/>
          <w:b/>
          <w:bCs/>
          <w:szCs w:val="21"/>
          <w:highlight w:val="none"/>
        </w:rPr>
        <w:t>受托方（乙方）：</w:t>
      </w:r>
    </w:p>
    <w:p>
      <w:pPr>
        <w:spacing w:line="560" w:lineRule="exact"/>
        <w:ind w:firstLine="420"/>
        <w:rPr>
          <w:rFonts w:ascii="宋体" w:hAnsi="宋体"/>
          <w:szCs w:val="21"/>
          <w:highlight w:val="none"/>
        </w:rPr>
      </w:pPr>
    </w:p>
    <w:p>
      <w:pPr>
        <w:spacing w:line="400" w:lineRule="exact"/>
        <w:ind w:firstLine="420"/>
        <w:rPr>
          <w:rFonts w:ascii="宋体" w:hAnsi="宋体"/>
          <w:szCs w:val="21"/>
          <w:highlight w:val="none"/>
        </w:rPr>
      </w:pPr>
      <w:r>
        <w:rPr>
          <w:rFonts w:hint="eastAsia" w:ascii="宋体" w:hAnsi="宋体"/>
          <w:szCs w:val="21"/>
          <w:highlight w:val="none"/>
        </w:rPr>
        <w:t>根据《中华人民共和国</w:t>
      </w:r>
      <w:r>
        <w:rPr>
          <w:rFonts w:hint="eastAsia" w:ascii="宋体" w:hAnsi="宋体"/>
          <w:szCs w:val="21"/>
          <w:highlight w:val="none"/>
          <w:lang w:eastAsia="zh-CN"/>
        </w:rPr>
        <w:t>民典</w:t>
      </w:r>
      <w:r>
        <w:rPr>
          <w:rFonts w:hint="eastAsia" w:ascii="宋体" w:hAnsi="宋体"/>
          <w:szCs w:val="21"/>
          <w:highlight w:val="none"/>
        </w:rPr>
        <w:t>法》、招标文件、中标通知书及有关法律规定，甲方委托乙方承担“</w:t>
      </w:r>
      <w:r>
        <w:rPr>
          <w:rFonts w:hint="eastAsia" w:ascii="宋体" w:hAnsi="宋体"/>
          <w:szCs w:val="21"/>
          <w:highlight w:val="none"/>
          <w:lang w:val="en-US" w:eastAsia="zh-CN"/>
        </w:rPr>
        <w:t>浉河区2022年度耕地资源质量分类更新与监测工作项目</w:t>
      </w:r>
      <w:r>
        <w:rPr>
          <w:rFonts w:hint="eastAsia" w:ascii="宋体" w:hAnsi="宋体"/>
          <w:szCs w:val="21"/>
          <w:highlight w:val="none"/>
        </w:rPr>
        <w:t>”的技术性工作，并就有关事宜达成如下协议：</w:t>
      </w:r>
    </w:p>
    <w:p>
      <w:pPr>
        <w:spacing w:line="400" w:lineRule="exact"/>
        <w:ind w:firstLine="422"/>
        <w:rPr>
          <w:rFonts w:ascii="宋体" w:hAnsi="宋体"/>
          <w:b/>
          <w:bCs/>
          <w:szCs w:val="21"/>
          <w:highlight w:val="none"/>
        </w:rPr>
      </w:pPr>
      <w:r>
        <w:rPr>
          <w:rFonts w:hint="eastAsia" w:ascii="宋体" w:hAnsi="宋体"/>
          <w:b/>
          <w:bCs/>
          <w:szCs w:val="21"/>
          <w:highlight w:val="none"/>
        </w:rPr>
        <w:t>第一条  工程名称</w:t>
      </w:r>
    </w:p>
    <w:p>
      <w:pPr>
        <w:spacing w:line="400" w:lineRule="exact"/>
        <w:ind w:firstLine="422"/>
        <w:rPr>
          <w:rFonts w:hint="eastAsia" w:ascii="宋体" w:hAnsi="宋体"/>
          <w:b w:val="0"/>
          <w:bCs w:val="0"/>
          <w:szCs w:val="21"/>
          <w:highlight w:val="none"/>
          <w:lang w:val="en-US" w:eastAsia="zh-CN"/>
        </w:rPr>
      </w:pPr>
      <w:r>
        <w:rPr>
          <w:rFonts w:hint="eastAsia" w:ascii="宋体" w:hAnsi="宋体"/>
          <w:b w:val="0"/>
          <w:bCs w:val="0"/>
          <w:szCs w:val="21"/>
          <w:highlight w:val="none"/>
          <w:lang w:val="en-US" w:eastAsia="zh-CN"/>
        </w:rPr>
        <w:t>浉河区2022年度耕地资源质量分类更新与监测工作项目</w:t>
      </w:r>
    </w:p>
    <w:p>
      <w:pPr>
        <w:spacing w:line="400" w:lineRule="exact"/>
        <w:ind w:firstLine="422"/>
        <w:rPr>
          <w:rFonts w:ascii="宋体" w:hAnsi="宋体"/>
          <w:b/>
          <w:bCs/>
          <w:szCs w:val="21"/>
          <w:highlight w:val="none"/>
        </w:rPr>
      </w:pPr>
      <w:r>
        <w:rPr>
          <w:rFonts w:hint="eastAsia" w:ascii="宋体" w:hAnsi="宋体"/>
          <w:b/>
          <w:bCs/>
          <w:szCs w:val="21"/>
          <w:highlight w:val="none"/>
        </w:rPr>
        <w:t>第二条  项目位置规模</w:t>
      </w:r>
    </w:p>
    <w:p>
      <w:pPr>
        <w:spacing w:line="400" w:lineRule="exact"/>
        <w:ind w:firstLine="420"/>
        <w:rPr>
          <w:rFonts w:ascii="宋体" w:hAnsi="宋体"/>
          <w:szCs w:val="21"/>
          <w:highlight w:val="none"/>
        </w:rPr>
      </w:pPr>
      <w:r>
        <w:rPr>
          <w:rFonts w:hint="eastAsia" w:ascii="宋体" w:hAnsi="宋体"/>
          <w:szCs w:val="21"/>
          <w:highlight w:val="none"/>
        </w:rPr>
        <w:t>该项目</w:t>
      </w:r>
      <w:r>
        <w:rPr>
          <w:rFonts w:hint="eastAsia" w:ascii="宋体" w:hAnsi="宋体"/>
          <w:szCs w:val="21"/>
          <w:highlight w:val="none"/>
          <w:lang w:val="en-US" w:eastAsia="zh-CN"/>
        </w:rPr>
        <w:t>位于信阳市浉河区</w:t>
      </w:r>
      <w:r>
        <w:rPr>
          <w:rFonts w:hint="eastAsia" w:ascii="宋体" w:hAnsi="宋体"/>
          <w:szCs w:val="21"/>
          <w:highlight w:val="none"/>
          <w:lang w:eastAsia="zh-CN"/>
        </w:rPr>
        <w:t>。</w:t>
      </w:r>
    </w:p>
    <w:p>
      <w:pPr>
        <w:spacing w:line="400" w:lineRule="exact"/>
        <w:ind w:firstLine="422"/>
        <w:rPr>
          <w:rFonts w:ascii="宋体" w:hAnsi="宋体"/>
          <w:b/>
          <w:bCs/>
          <w:szCs w:val="21"/>
          <w:highlight w:val="none"/>
        </w:rPr>
      </w:pPr>
      <w:r>
        <w:rPr>
          <w:rFonts w:hint="eastAsia" w:ascii="宋体" w:hAnsi="宋体"/>
          <w:b/>
          <w:bCs/>
          <w:szCs w:val="21"/>
          <w:highlight w:val="none"/>
        </w:rPr>
        <w:t>第三条  项目任务内容</w:t>
      </w:r>
    </w:p>
    <w:p>
      <w:pPr>
        <w:spacing w:line="400" w:lineRule="exact"/>
        <w:ind w:firstLine="420"/>
        <w:rPr>
          <w:rFonts w:hint="eastAsia" w:ascii="宋体" w:hAnsi="宋体" w:cs="宋体"/>
          <w:szCs w:val="21"/>
          <w:highlight w:val="none"/>
          <w:lang w:eastAsia="zh-CN"/>
        </w:rPr>
      </w:pPr>
      <w:r>
        <w:rPr>
          <w:rFonts w:hint="eastAsia" w:ascii="宋体" w:hAnsi="宋体" w:cs="宋体"/>
          <w:szCs w:val="21"/>
          <w:highlight w:val="none"/>
          <w:lang w:val="en-US" w:eastAsia="zh-CN"/>
        </w:rPr>
        <w:t>本项目为浉河区2022年度耕地资源质量分类更新与监测工作项目，主要包括资料收集、耕地资源质量分类调查与监测、方案编制、成果汇编等工作</w:t>
      </w:r>
      <w:r>
        <w:rPr>
          <w:rFonts w:hint="eastAsia" w:ascii="宋体" w:hAnsi="宋体" w:cs="宋体"/>
          <w:szCs w:val="21"/>
          <w:highlight w:val="none"/>
          <w:lang w:eastAsia="zh-CN"/>
        </w:rPr>
        <w:t>。</w:t>
      </w:r>
    </w:p>
    <w:p>
      <w:pPr>
        <w:spacing w:line="400" w:lineRule="exact"/>
        <w:ind w:firstLine="422"/>
        <w:rPr>
          <w:rFonts w:ascii="宋体" w:hAnsi="宋体"/>
          <w:b/>
          <w:bCs/>
          <w:szCs w:val="21"/>
          <w:highlight w:val="none"/>
        </w:rPr>
      </w:pPr>
      <w:r>
        <w:rPr>
          <w:rFonts w:hint="eastAsia" w:ascii="宋体" w:hAnsi="宋体"/>
          <w:b/>
          <w:bCs/>
          <w:szCs w:val="21"/>
          <w:highlight w:val="none"/>
        </w:rPr>
        <w:t>第四条  技术工作要求</w:t>
      </w:r>
    </w:p>
    <w:p>
      <w:pPr>
        <w:spacing w:line="400" w:lineRule="exact"/>
        <w:ind w:firstLine="422"/>
        <w:rPr>
          <w:rFonts w:ascii="宋体" w:hAnsi="宋体"/>
          <w:b w:val="0"/>
          <w:bCs w:val="0"/>
          <w:szCs w:val="21"/>
          <w:highlight w:val="none"/>
        </w:rPr>
      </w:pPr>
      <w:r>
        <w:rPr>
          <w:rFonts w:hint="eastAsia" w:ascii="宋体" w:hAnsi="宋体"/>
          <w:b w:val="0"/>
          <w:bCs w:val="0"/>
          <w:szCs w:val="21"/>
          <w:highlight w:val="none"/>
        </w:rPr>
        <w:t>相关法律法规</w:t>
      </w:r>
    </w:p>
    <w:p>
      <w:pPr>
        <w:spacing w:line="400" w:lineRule="exact"/>
        <w:ind w:firstLine="422"/>
        <w:rPr>
          <w:rFonts w:ascii="宋体" w:hAnsi="宋体"/>
          <w:b w:val="0"/>
          <w:bCs w:val="0"/>
          <w:szCs w:val="21"/>
          <w:highlight w:val="none"/>
        </w:rPr>
      </w:pPr>
      <w:r>
        <w:rPr>
          <w:rFonts w:hint="eastAsia" w:ascii="宋体" w:hAnsi="宋体"/>
          <w:b w:val="0"/>
          <w:bCs w:val="0"/>
          <w:szCs w:val="21"/>
          <w:highlight w:val="none"/>
        </w:rPr>
        <w:t>土地整理法规文件</w:t>
      </w:r>
    </w:p>
    <w:p>
      <w:pPr>
        <w:spacing w:line="400" w:lineRule="exact"/>
        <w:ind w:firstLine="422"/>
        <w:rPr>
          <w:rFonts w:ascii="宋体" w:hAnsi="宋体"/>
          <w:b w:val="0"/>
          <w:bCs w:val="0"/>
          <w:szCs w:val="21"/>
          <w:highlight w:val="none"/>
        </w:rPr>
      </w:pPr>
      <w:r>
        <w:rPr>
          <w:rFonts w:hint="eastAsia" w:ascii="宋体" w:hAnsi="宋体"/>
          <w:b w:val="0"/>
          <w:bCs w:val="0"/>
          <w:szCs w:val="21"/>
          <w:highlight w:val="none"/>
        </w:rPr>
        <w:t>土地开发整理行业标准、规程</w:t>
      </w:r>
    </w:p>
    <w:p>
      <w:pPr>
        <w:spacing w:line="400" w:lineRule="exact"/>
        <w:ind w:firstLine="422"/>
        <w:rPr>
          <w:rFonts w:ascii="宋体" w:hAnsi="宋体"/>
          <w:b w:val="0"/>
          <w:bCs w:val="0"/>
          <w:szCs w:val="21"/>
          <w:highlight w:val="none"/>
        </w:rPr>
      </w:pPr>
      <w:r>
        <w:rPr>
          <w:rFonts w:hint="eastAsia" w:ascii="宋体" w:hAnsi="宋体"/>
          <w:b w:val="0"/>
          <w:bCs w:val="0"/>
          <w:szCs w:val="21"/>
          <w:highlight w:val="none"/>
        </w:rPr>
        <w:t>相关规划、资料</w:t>
      </w:r>
    </w:p>
    <w:p>
      <w:pPr>
        <w:spacing w:line="400" w:lineRule="exact"/>
        <w:ind w:firstLine="422"/>
        <w:rPr>
          <w:rFonts w:ascii="宋体" w:hAnsi="宋体"/>
          <w:b/>
          <w:bCs/>
          <w:szCs w:val="21"/>
          <w:highlight w:val="none"/>
        </w:rPr>
      </w:pPr>
      <w:r>
        <w:rPr>
          <w:rFonts w:hint="eastAsia" w:ascii="宋体" w:hAnsi="宋体"/>
          <w:b/>
          <w:bCs/>
          <w:szCs w:val="21"/>
          <w:highlight w:val="none"/>
        </w:rPr>
        <w:t>第五条  项目工程款及支付方式</w:t>
      </w:r>
    </w:p>
    <w:p>
      <w:pPr>
        <w:spacing w:line="400" w:lineRule="exact"/>
        <w:ind w:firstLine="422"/>
        <w:rPr>
          <w:rFonts w:hint="eastAsia" w:ascii="宋体" w:hAnsi="宋体"/>
          <w:b w:val="0"/>
          <w:bCs w:val="0"/>
          <w:szCs w:val="21"/>
          <w:highlight w:val="none"/>
        </w:rPr>
      </w:pPr>
      <w:r>
        <w:rPr>
          <w:rFonts w:hint="eastAsia" w:ascii="宋体" w:hAnsi="宋体"/>
          <w:b w:val="0"/>
          <w:bCs w:val="0"/>
          <w:szCs w:val="21"/>
          <w:highlight w:val="none"/>
        </w:rPr>
        <w:t>1.预付款：签订合同后30个工作日内支付合同总价的 30 %；</w:t>
      </w:r>
    </w:p>
    <w:p>
      <w:pPr>
        <w:spacing w:line="400" w:lineRule="exact"/>
        <w:ind w:firstLine="422"/>
        <w:rPr>
          <w:rFonts w:hint="eastAsia" w:ascii="宋体" w:hAnsi="宋体"/>
          <w:b w:val="0"/>
          <w:bCs w:val="0"/>
          <w:szCs w:val="21"/>
          <w:highlight w:val="none"/>
        </w:rPr>
      </w:pPr>
      <w:r>
        <w:rPr>
          <w:rFonts w:hint="eastAsia" w:ascii="宋体" w:hAnsi="宋体"/>
          <w:b w:val="0"/>
          <w:bCs w:val="0"/>
          <w:szCs w:val="21"/>
          <w:highlight w:val="none"/>
        </w:rPr>
        <w:t>2.</w:t>
      </w:r>
      <w:r>
        <w:rPr>
          <w:rFonts w:hint="eastAsia" w:ascii="宋体" w:hAnsi="宋体"/>
          <w:b w:val="0"/>
          <w:bCs w:val="0"/>
          <w:szCs w:val="21"/>
          <w:highlight w:val="none"/>
          <w:lang w:eastAsia="zh-CN"/>
        </w:rPr>
        <w:t>提供相关成果并成果审核通过</w:t>
      </w:r>
      <w:r>
        <w:rPr>
          <w:rFonts w:hint="eastAsia" w:ascii="宋体" w:hAnsi="宋体"/>
          <w:b w:val="0"/>
          <w:bCs w:val="0"/>
          <w:szCs w:val="21"/>
          <w:highlight w:val="none"/>
        </w:rPr>
        <w:t>后，支付剩余合同总价的70 %；</w:t>
      </w:r>
    </w:p>
    <w:p>
      <w:pPr>
        <w:spacing w:line="400" w:lineRule="exact"/>
        <w:ind w:firstLine="422"/>
        <w:rPr>
          <w:rFonts w:ascii="宋体" w:hAnsi="宋体"/>
          <w:b/>
          <w:bCs/>
          <w:szCs w:val="21"/>
          <w:highlight w:val="none"/>
        </w:rPr>
      </w:pPr>
      <w:r>
        <w:rPr>
          <w:rFonts w:hint="eastAsia" w:ascii="宋体" w:hAnsi="宋体"/>
          <w:b/>
          <w:bCs/>
          <w:szCs w:val="21"/>
          <w:highlight w:val="none"/>
        </w:rPr>
        <w:t>第六条  服务期限</w:t>
      </w:r>
    </w:p>
    <w:p>
      <w:pPr>
        <w:spacing w:line="400" w:lineRule="exact"/>
        <w:ind w:firstLine="422"/>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自合同签订之日起，按照河南省自然资源厅要求时限完成。</w:t>
      </w:r>
    </w:p>
    <w:p>
      <w:pPr>
        <w:spacing w:line="400" w:lineRule="exact"/>
        <w:ind w:firstLine="422"/>
        <w:rPr>
          <w:rFonts w:ascii="宋体" w:hAnsi="宋体"/>
          <w:b/>
          <w:bCs/>
          <w:szCs w:val="21"/>
          <w:highlight w:val="none"/>
        </w:rPr>
      </w:pPr>
      <w:r>
        <w:rPr>
          <w:rFonts w:hint="eastAsia" w:ascii="宋体" w:hAnsi="宋体"/>
          <w:b/>
          <w:bCs/>
          <w:szCs w:val="21"/>
          <w:highlight w:val="none"/>
        </w:rPr>
        <w:t>第七条  甲方义务与责任</w:t>
      </w:r>
    </w:p>
    <w:p>
      <w:pPr>
        <w:spacing w:line="400" w:lineRule="exact"/>
        <w:ind w:firstLine="420"/>
        <w:rPr>
          <w:rFonts w:ascii="宋体" w:hAnsi="宋体"/>
          <w:szCs w:val="21"/>
          <w:highlight w:val="none"/>
        </w:rPr>
      </w:pPr>
      <w:r>
        <w:rPr>
          <w:rFonts w:hint="eastAsia" w:ascii="宋体" w:hAnsi="宋体"/>
          <w:szCs w:val="21"/>
          <w:highlight w:val="none"/>
        </w:rPr>
        <w:t>1、自合同签订之日起向乙方提交有关资料和提出技术要求。</w:t>
      </w:r>
    </w:p>
    <w:p>
      <w:pPr>
        <w:spacing w:line="400" w:lineRule="exact"/>
        <w:ind w:firstLine="420"/>
        <w:rPr>
          <w:rFonts w:ascii="宋体" w:hAnsi="宋体"/>
          <w:szCs w:val="21"/>
          <w:highlight w:val="none"/>
        </w:rPr>
      </w:pPr>
      <w:r>
        <w:rPr>
          <w:rFonts w:hint="eastAsia" w:ascii="宋体" w:hAnsi="宋体"/>
          <w:szCs w:val="21"/>
          <w:highlight w:val="none"/>
        </w:rPr>
        <w:t>2、为乙方工作提供方便条件和进行必要的配合。</w:t>
      </w:r>
    </w:p>
    <w:p>
      <w:pPr>
        <w:spacing w:line="400" w:lineRule="exact"/>
        <w:ind w:firstLine="420"/>
        <w:rPr>
          <w:rFonts w:ascii="宋体" w:hAnsi="宋体"/>
          <w:szCs w:val="21"/>
          <w:highlight w:val="none"/>
        </w:rPr>
      </w:pPr>
      <w:r>
        <w:rPr>
          <w:rFonts w:hint="eastAsia" w:ascii="宋体" w:hAnsi="宋体"/>
          <w:szCs w:val="21"/>
          <w:highlight w:val="none"/>
        </w:rPr>
        <w:t>3、因甲方原因，不按规定的范围内容和标准而造成质量不合格时，责任由甲方承担，并支付乙方全部工程项目款。</w:t>
      </w:r>
    </w:p>
    <w:p>
      <w:pPr>
        <w:spacing w:line="400" w:lineRule="exact"/>
        <w:ind w:firstLine="420"/>
        <w:rPr>
          <w:rFonts w:ascii="宋体" w:hAnsi="宋体"/>
          <w:szCs w:val="21"/>
          <w:highlight w:val="none"/>
        </w:rPr>
      </w:pPr>
      <w:r>
        <w:rPr>
          <w:rFonts w:hint="eastAsia" w:ascii="宋体" w:hAnsi="宋体"/>
          <w:szCs w:val="21"/>
          <w:highlight w:val="none"/>
        </w:rPr>
        <w:t>4、合同签订后，如甲方擅自中止合同，甲方除按已完成工作量支付项目款，并赔偿总项目款的30%的违约金。</w:t>
      </w:r>
    </w:p>
    <w:p>
      <w:pPr>
        <w:spacing w:line="400" w:lineRule="exact"/>
        <w:ind w:firstLine="422"/>
        <w:rPr>
          <w:rFonts w:ascii="宋体" w:hAnsi="宋体"/>
          <w:b/>
          <w:bCs/>
          <w:szCs w:val="21"/>
          <w:highlight w:val="none"/>
        </w:rPr>
      </w:pPr>
      <w:r>
        <w:rPr>
          <w:rFonts w:hint="eastAsia" w:ascii="宋体" w:hAnsi="宋体"/>
          <w:b/>
          <w:bCs/>
          <w:szCs w:val="21"/>
          <w:highlight w:val="none"/>
        </w:rPr>
        <w:t>第八条  乙方义务与责任</w:t>
      </w:r>
    </w:p>
    <w:p>
      <w:pPr>
        <w:spacing w:line="400" w:lineRule="exact"/>
        <w:ind w:firstLine="420"/>
        <w:rPr>
          <w:rFonts w:ascii="宋体" w:hAnsi="宋体"/>
          <w:szCs w:val="21"/>
          <w:highlight w:val="none"/>
        </w:rPr>
      </w:pPr>
      <w:r>
        <w:rPr>
          <w:rFonts w:hint="eastAsia" w:ascii="宋体" w:hAnsi="宋体"/>
          <w:szCs w:val="21"/>
          <w:highlight w:val="none"/>
        </w:rPr>
        <w:t>1、乙方自合同签订之日起按时组织人员进行作业。</w:t>
      </w:r>
    </w:p>
    <w:p>
      <w:pPr>
        <w:spacing w:line="400" w:lineRule="exact"/>
        <w:ind w:firstLine="420"/>
        <w:rPr>
          <w:rFonts w:ascii="宋体" w:hAnsi="宋体"/>
          <w:szCs w:val="21"/>
          <w:highlight w:val="none"/>
        </w:rPr>
      </w:pPr>
      <w:r>
        <w:rPr>
          <w:rFonts w:hint="eastAsia" w:ascii="宋体" w:hAnsi="宋体"/>
          <w:szCs w:val="21"/>
          <w:highlight w:val="none"/>
        </w:rPr>
        <w:t>2、乙方应当根据有关规程规范要求按合同完成本项目。</w:t>
      </w:r>
    </w:p>
    <w:p>
      <w:pPr>
        <w:spacing w:line="400" w:lineRule="exact"/>
        <w:ind w:firstLine="420"/>
        <w:rPr>
          <w:rFonts w:ascii="宋体" w:hAnsi="宋体"/>
          <w:szCs w:val="21"/>
          <w:highlight w:val="none"/>
        </w:rPr>
      </w:pPr>
      <w:r>
        <w:rPr>
          <w:rFonts w:hint="eastAsia" w:ascii="宋体" w:hAnsi="宋体"/>
          <w:szCs w:val="21"/>
          <w:highlight w:val="none"/>
        </w:rPr>
        <w:t>3、因乙方原因，产品质量不合格时，责任由乙方承担，并负责返工达到合格。</w:t>
      </w:r>
    </w:p>
    <w:p>
      <w:pPr>
        <w:spacing w:line="400" w:lineRule="exact"/>
        <w:ind w:firstLine="420"/>
        <w:rPr>
          <w:rFonts w:ascii="宋体" w:hAnsi="宋体"/>
          <w:szCs w:val="21"/>
          <w:highlight w:val="none"/>
        </w:rPr>
      </w:pPr>
      <w:r>
        <w:rPr>
          <w:rFonts w:hint="eastAsia" w:ascii="宋体" w:hAnsi="宋体"/>
          <w:szCs w:val="21"/>
          <w:highlight w:val="none"/>
        </w:rPr>
        <w:t>4、合同签订后，如乙方擅自中止合同，乙方向甲方支付项目总价款的30%的违约金。</w:t>
      </w:r>
    </w:p>
    <w:p>
      <w:pPr>
        <w:spacing w:line="400" w:lineRule="exact"/>
        <w:ind w:firstLine="422"/>
        <w:rPr>
          <w:rFonts w:ascii="宋体" w:hAnsi="宋体"/>
          <w:b/>
          <w:bCs/>
          <w:szCs w:val="21"/>
          <w:highlight w:val="none"/>
        </w:rPr>
      </w:pPr>
      <w:r>
        <w:rPr>
          <w:rFonts w:hint="eastAsia" w:ascii="宋体" w:hAnsi="宋体"/>
          <w:b/>
          <w:bCs/>
          <w:szCs w:val="21"/>
          <w:highlight w:val="none"/>
        </w:rPr>
        <w:t>第九条  技术成果资料的保密</w:t>
      </w:r>
    </w:p>
    <w:p>
      <w:pPr>
        <w:spacing w:line="400" w:lineRule="exact"/>
        <w:ind w:firstLine="420"/>
        <w:rPr>
          <w:rFonts w:ascii="宋体" w:hAnsi="宋体"/>
          <w:szCs w:val="21"/>
          <w:highlight w:val="none"/>
        </w:rPr>
      </w:pPr>
      <w:r>
        <w:rPr>
          <w:rFonts w:hint="eastAsia" w:ascii="宋体" w:hAnsi="宋体"/>
          <w:szCs w:val="21"/>
          <w:highlight w:val="none"/>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spacing w:line="400" w:lineRule="exact"/>
        <w:ind w:firstLine="422"/>
        <w:rPr>
          <w:rFonts w:ascii="宋体" w:hAnsi="宋体"/>
          <w:b/>
          <w:bCs/>
          <w:szCs w:val="21"/>
          <w:highlight w:val="none"/>
        </w:rPr>
      </w:pPr>
      <w:r>
        <w:rPr>
          <w:rFonts w:hint="eastAsia" w:ascii="宋体" w:hAnsi="宋体"/>
          <w:b/>
          <w:bCs/>
          <w:szCs w:val="21"/>
          <w:highlight w:val="none"/>
        </w:rPr>
        <w:t>第十条  争议解决</w:t>
      </w:r>
    </w:p>
    <w:p>
      <w:pPr>
        <w:spacing w:line="400" w:lineRule="exact"/>
        <w:ind w:firstLine="420"/>
        <w:rPr>
          <w:rFonts w:ascii="宋体" w:hAnsi="宋体"/>
          <w:szCs w:val="21"/>
          <w:highlight w:val="none"/>
        </w:rPr>
      </w:pPr>
      <w:r>
        <w:rPr>
          <w:rFonts w:hint="eastAsia" w:ascii="宋体" w:hAnsi="宋体"/>
          <w:szCs w:val="21"/>
          <w:highlight w:val="none"/>
        </w:rPr>
        <w:t>本合同发生争议时，甲乙双方应及时协商解决。也可由当地行政主管部门调解调解不成时，可由仲裁机构仲裁。双方当事人未在合同中约定仲裁机构，当事人又未达成仲裁书面协议的，可向人民法院起诉。</w:t>
      </w:r>
    </w:p>
    <w:p>
      <w:pPr>
        <w:spacing w:line="400" w:lineRule="exact"/>
        <w:ind w:firstLine="422"/>
        <w:rPr>
          <w:rFonts w:ascii="宋体" w:hAnsi="宋体"/>
          <w:b/>
          <w:bCs/>
          <w:szCs w:val="21"/>
          <w:highlight w:val="none"/>
        </w:rPr>
      </w:pPr>
      <w:r>
        <w:rPr>
          <w:rFonts w:hint="eastAsia" w:ascii="宋体" w:hAnsi="宋体"/>
          <w:b/>
          <w:bCs/>
          <w:szCs w:val="21"/>
          <w:highlight w:val="none"/>
        </w:rPr>
        <w:t>第十一条  其他</w:t>
      </w:r>
    </w:p>
    <w:p>
      <w:pPr>
        <w:spacing w:line="400" w:lineRule="exact"/>
        <w:ind w:firstLine="420"/>
        <w:rPr>
          <w:rFonts w:ascii="宋体" w:hAnsi="宋体"/>
          <w:szCs w:val="21"/>
          <w:highlight w:val="none"/>
        </w:rPr>
      </w:pPr>
      <w:r>
        <w:rPr>
          <w:rFonts w:hint="eastAsia" w:ascii="宋体" w:hAnsi="宋体"/>
          <w:szCs w:val="21"/>
          <w:highlight w:val="none"/>
        </w:rPr>
        <w:t>1、本合同由双方代表签字，或加盖双方公章或合同专用章即生效。</w:t>
      </w:r>
    </w:p>
    <w:p>
      <w:pPr>
        <w:spacing w:line="400" w:lineRule="exact"/>
        <w:ind w:firstLine="420"/>
        <w:rPr>
          <w:rFonts w:ascii="宋体" w:hAnsi="宋体"/>
          <w:szCs w:val="21"/>
          <w:highlight w:val="none"/>
        </w:rPr>
      </w:pPr>
      <w:r>
        <w:rPr>
          <w:rFonts w:hint="eastAsia" w:ascii="宋体" w:hAnsi="宋体"/>
          <w:szCs w:val="21"/>
          <w:highlight w:val="none"/>
        </w:rPr>
        <w:t>2、未尽事宜，经双方协商一致，签订补充协议，补充协议与本合同具有同等效力。</w:t>
      </w:r>
    </w:p>
    <w:p>
      <w:pPr>
        <w:spacing w:line="400" w:lineRule="exact"/>
        <w:ind w:firstLine="420"/>
        <w:rPr>
          <w:rFonts w:ascii="宋体" w:hAnsi="宋体"/>
          <w:szCs w:val="21"/>
          <w:highlight w:val="none"/>
        </w:rPr>
      </w:pPr>
      <w:r>
        <w:rPr>
          <w:rFonts w:hint="eastAsia" w:ascii="宋体" w:hAnsi="宋体"/>
          <w:szCs w:val="21"/>
          <w:highlight w:val="none"/>
        </w:rPr>
        <w:t>3、本合同一式陆份，甲方叁份，乙方叁份，具有同等法律效力。成果资料提交完毕和项目款全部结清后，本合同终止。</w:t>
      </w:r>
    </w:p>
    <w:p>
      <w:pPr>
        <w:spacing w:line="400" w:lineRule="exact"/>
        <w:ind w:firstLine="420"/>
        <w:rPr>
          <w:rFonts w:ascii="宋体" w:hAnsi="宋体"/>
          <w:szCs w:val="21"/>
          <w:highlight w:val="none"/>
        </w:rPr>
      </w:pPr>
      <w:r>
        <w:rPr>
          <w:rFonts w:hint="eastAsia" w:ascii="宋体" w:hAnsi="宋体"/>
          <w:szCs w:val="21"/>
          <w:highlight w:val="none"/>
        </w:rPr>
        <w:t>委托方（甲方）：（盖章）</w:t>
      </w:r>
      <w:r>
        <w:rPr>
          <w:rFonts w:hint="eastAsia" w:ascii="宋体" w:hAnsi="宋体"/>
          <w:szCs w:val="21"/>
          <w:highlight w:val="none"/>
          <w:lang w:val="en-US" w:eastAsia="zh-CN"/>
        </w:rPr>
        <w:t xml:space="preserve">              </w:t>
      </w:r>
      <w:r>
        <w:rPr>
          <w:rFonts w:hint="eastAsia" w:ascii="宋体" w:hAnsi="宋体"/>
          <w:szCs w:val="21"/>
          <w:highlight w:val="none"/>
        </w:rPr>
        <w:t>受委托方（乙方）：（盖章）</w:t>
      </w:r>
    </w:p>
    <w:p>
      <w:pPr>
        <w:spacing w:line="400" w:lineRule="exact"/>
        <w:ind w:firstLine="420"/>
        <w:rPr>
          <w:rFonts w:ascii="宋体" w:hAnsi="宋体"/>
          <w:szCs w:val="21"/>
          <w:highlight w:val="none"/>
        </w:rPr>
      </w:pPr>
      <w:r>
        <w:rPr>
          <w:rFonts w:hint="eastAsia" w:ascii="宋体" w:hAnsi="宋体"/>
          <w:szCs w:val="21"/>
          <w:highlight w:val="none"/>
        </w:rPr>
        <w:t>法定代表人（签字）：</w:t>
      </w:r>
      <w:r>
        <w:rPr>
          <w:rFonts w:hint="eastAsia" w:ascii="宋体" w:hAnsi="宋体"/>
          <w:szCs w:val="21"/>
          <w:highlight w:val="none"/>
          <w:lang w:val="en-US" w:eastAsia="zh-CN"/>
        </w:rPr>
        <w:t xml:space="preserve">                   </w:t>
      </w:r>
      <w:r>
        <w:rPr>
          <w:rFonts w:hint="eastAsia" w:ascii="宋体" w:hAnsi="宋体"/>
          <w:szCs w:val="21"/>
          <w:highlight w:val="none"/>
        </w:rPr>
        <w:t>法定代表人（签字）：</w:t>
      </w:r>
    </w:p>
    <w:p>
      <w:pPr>
        <w:spacing w:line="400" w:lineRule="exact"/>
        <w:ind w:firstLine="420"/>
        <w:rPr>
          <w:rFonts w:ascii="宋体" w:hAnsi="宋体"/>
          <w:szCs w:val="21"/>
          <w:highlight w:val="none"/>
        </w:rPr>
      </w:pPr>
      <w:r>
        <w:rPr>
          <w:rFonts w:hint="eastAsia" w:ascii="宋体" w:hAnsi="宋体"/>
          <w:szCs w:val="21"/>
          <w:highlight w:val="none"/>
        </w:rPr>
        <w:t>或委托代理人（签字）：</w:t>
      </w:r>
      <w:r>
        <w:rPr>
          <w:rFonts w:hint="eastAsia" w:ascii="宋体" w:hAnsi="宋体"/>
          <w:szCs w:val="21"/>
          <w:highlight w:val="none"/>
          <w:lang w:val="en-US" w:eastAsia="zh-CN"/>
        </w:rPr>
        <w:t xml:space="preserve">                 </w:t>
      </w:r>
      <w:r>
        <w:rPr>
          <w:rFonts w:hint="eastAsia" w:ascii="宋体" w:hAnsi="宋体"/>
          <w:szCs w:val="21"/>
          <w:highlight w:val="none"/>
        </w:rPr>
        <w:t>或委托代理人（签字）：</w:t>
      </w:r>
    </w:p>
    <w:p>
      <w:pPr>
        <w:spacing w:line="400" w:lineRule="exact"/>
        <w:ind w:firstLine="420"/>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lang w:val="en-US" w:eastAsia="zh-CN"/>
        </w:rPr>
        <w:t xml:space="preserve">                                  </w:t>
      </w:r>
      <w:r>
        <w:rPr>
          <w:rFonts w:hint="eastAsia" w:ascii="宋体" w:hAnsi="宋体"/>
          <w:szCs w:val="21"/>
          <w:highlight w:val="none"/>
        </w:rPr>
        <w:t xml:space="preserve">地址： </w:t>
      </w:r>
    </w:p>
    <w:p>
      <w:pPr>
        <w:spacing w:line="400" w:lineRule="exact"/>
        <w:ind w:firstLine="420"/>
        <w:rPr>
          <w:rFonts w:ascii="宋体" w:hAnsi="宋体"/>
          <w:szCs w:val="21"/>
          <w:highlight w:val="none"/>
        </w:rPr>
      </w:pPr>
    </w:p>
    <w:p>
      <w:pPr>
        <w:spacing w:line="400" w:lineRule="exact"/>
        <w:ind w:firstLine="420"/>
        <w:rPr>
          <w:rFonts w:ascii="宋体" w:hAnsi="宋体"/>
          <w:szCs w:val="21"/>
          <w:highlight w:val="none"/>
        </w:rPr>
      </w:pPr>
      <w:r>
        <w:rPr>
          <w:rFonts w:hint="eastAsia" w:ascii="宋体" w:hAnsi="宋体"/>
          <w:szCs w:val="21"/>
          <w:highlight w:val="none"/>
        </w:rPr>
        <w:t xml:space="preserve">邮政编码：     </w:t>
      </w:r>
      <w:r>
        <w:rPr>
          <w:rFonts w:hint="eastAsia" w:ascii="宋体" w:hAnsi="宋体"/>
          <w:szCs w:val="21"/>
          <w:highlight w:val="none"/>
          <w:lang w:val="en-US" w:eastAsia="zh-CN"/>
        </w:rPr>
        <w:t xml:space="preserve">                    </w:t>
      </w:r>
      <w:r>
        <w:rPr>
          <w:rFonts w:hint="eastAsia" w:ascii="宋体" w:hAnsi="宋体"/>
          <w:szCs w:val="21"/>
          <w:highlight w:val="none"/>
        </w:rPr>
        <w:t xml:space="preserve">   联系电话：  </w:t>
      </w:r>
    </w:p>
    <w:p>
      <w:pPr>
        <w:spacing w:line="400" w:lineRule="exact"/>
        <w:ind w:firstLine="420"/>
        <w:rPr>
          <w:rFonts w:ascii="宋体" w:hAnsi="宋体"/>
          <w:szCs w:val="21"/>
          <w:highlight w:val="none"/>
        </w:rPr>
      </w:pPr>
      <w:r>
        <w:rPr>
          <w:rFonts w:hint="eastAsia" w:ascii="宋体" w:hAnsi="宋体"/>
          <w:szCs w:val="21"/>
          <w:highlight w:val="none"/>
        </w:rPr>
        <w:t xml:space="preserve">开 户 行： </w:t>
      </w:r>
    </w:p>
    <w:p>
      <w:pPr>
        <w:spacing w:line="400" w:lineRule="exact"/>
        <w:ind w:firstLine="420"/>
        <w:rPr>
          <w:rFonts w:ascii="宋体" w:hAnsi="宋体"/>
          <w:szCs w:val="21"/>
          <w:highlight w:val="none"/>
        </w:rPr>
      </w:pPr>
      <w:r>
        <w:rPr>
          <w:rFonts w:hint="eastAsia" w:ascii="宋体" w:hAnsi="宋体"/>
          <w:szCs w:val="21"/>
          <w:highlight w:val="none"/>
        </w:rPr>
        <w:t xml:space="preserve">账    号： </w:t>
      </w:r>
    </w:p>
    <w:p>
      <w:pPr>
        <w:pStyle w:val="46"/>
        <w:rPr>
          <w:rFonts w:hAnsi="宋体"/>
          <w:highlight w:val="none"/>
        </w:rPr>
        <w:sectPr>
          <w:headerReference r:id="rId6" w:type="default"/>
          <w:footerReference r:id="rId7" w:type="default"/>
          <w:pgSz w:w="12240" w:h="15840"/>
          <w:pgMar w:top="1417" w:right="1417" w:bottom="1417" w:left="1418" w:header="720" w:footer="720" w:gutter="0"/>
          <w:pgNumType w:fmt="numberInDash"/>
          <w:cols w:space="720" w:num="1"/>
          <w:docGrid w:linePitch="286" w:charSpace="0"/>
        </w:sectPr>
      </w:pPr>
    </w:p>
    <w:bookmarkEnd w:id="1093"/>
    <w:p>
      <w:pPr>
        <w:pStyle w:val="7"/>
        <w:pageBreakBefore w:val="0"/>
        <w:numPr>
          <w:ilvl w:val="0"/>
          <w:numId w:val="5"/>
        </w:numPr>
        <w:kinsoku/>
        <w:overflowPunct/>
        <w:bidi w:val="0"/>
        <w:spacing w:line="400" w:lineRule="exact"/>
        <w:ind w:firstLine="0" w:firstLineChars="0"/>
        <w:rPr>
          <w:rFonts w:ascii="宋体" w:hAnsi="宋体" w:eastAsia="宋体" w:cs="宋体"/>
          <w:color w:val="auto"/>
          <w:szCs w:val="21"/>
          <w:highlight w:val="none"/>
        </w:rPr>
      </w:pPr>
      <w:bookmarkStart w:id="1097" w:name="_Toc4703"/>
      <w:r>
        <w:rPr>
          <w:rFonts w:hint="eastAsia" w:ascii="宋体" w:hAnsi="宋体" w:cs="宋体"/>
          <w:color w:val="auto"/>
          <w:sz w:val="28"/>
          <w:szCs w:val="28"/>
          <w:highlight w:val="none"/>
        </w:rPr>
        <w:t>采购项目要求</w:t>
      </w:r>
      <w:bookmarkEnd w:id="1097"/>
    </w:p>
    <w:p>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sz w:val="21"/>
          <w:szCs w:val="21"/>
          <w:highlight w:val="none"/>
        </w:rPr>
      </w:pPr>
      <w:r>
        <w:rPr>
          <w:rFonts w:hint="eastAsia" w:ascii="宋体" w:hAnsi="宋体" w:eastAsia="宋体" w:cs="宋体"/>
          <w:b w:val="0"/>
          <w:bCs w:val="0"/>
          <w:color w:val="000000"/>
          <w:kern w:val="0"/>
          <w:sz w:val="21"/>
          <w:szCs w:val="21"/>
          <w:highlight w:val="none"/>
          <w:lang w:val="en-US" w:eastAsia="zh-CN" w:bidi="ar"/>
        </w:rPr>
        <w:t>（一）工作内容：浉河区2022年度耕地资源质量分类更新与监测工作项目</w:t>
      </w:r>
      <w:r>
        <w:rPr>
          <w:rFonts w:hint="eastAsia" w:ascii="宋体" w:hAnsi="宋体" w:eastAsia="宋体" w:cs="宋体"/>
          <w:sz w:val="21"/>
          <w:szCs w:val="21"/>
          <w:highlight w:val="none"/>
          <w:lang w:val="en-US" w:eastAsia="zh-CN"/>
        </w:rPr>
        <w:t>主要包括资料收集、耕地资源质量分类调查与监测、方案编制、成果汇编等工作</w:t>
      </w:r>
      <w:r>
        <w:rPr>
          <w:rFonts w:hint="eastAsia" w:ascii="宋体" w:hAnsi="宋体" w:eastAsia="宋体" w:cs="宋体"/>
          <w:sz w:val="21"/>
          <w:szCs w:val="21"/>
          <w:highlight w:val="none"/>
        </w:rPr>
        <w:t>。</w:t>
      </w:r>
    </w:p>
    <w:p>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 xml:space="preserve">（二）服务期限：自合同签订之日起，按照河南省自然资源厅要求时限完成 </w:t>
      </w:r>
    </w:p>
    <w:p>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000000"/>
          <w:kern w:val="0"/>
          <w:sz w:val="21"/>
          <w:szCs w:val="21"/>
          <w:highlight w:val="none"/>
          <w:lang w:val="en-US" w:eastAsia="zh-CN" w:bidi="ar"/>
        </w:rPr>
      </w:pPr>
      <w:r>
        <w:rPr>
          <w:rFonts w:hint="eastAsia" w:ascii="宋体" w:hAnsi="宋体" w:eastAsia="宋体" w:cs="宋体"/>
          <w:b w:val="0"/>
          <w:bCs w:val="0"/>
          <w:color w:val="000000"/>
          <w:kern w:val="0"/>
          <w:sz w:val="21"/>
          <w:szCs w:val="21"/>
          <w:highlight w:val="none"/>
          <w:lang w:val="en-US" w:eastAsia="zh-CN" w:bidi="ar"/>
        </w:rPr>
        <w:t xml:space="preserve">（三）质量要求：满足国家、省、市相关技术要求 </w:t>
      </w:r>
    </w:p>
    <w:p>
      <w:pPr>
        <w:pStyle w:val="3"/>
        <w:rPr>
          <w:rFonts w:hint="eastAsia" w:ascii="宋体" w:hAnsi="宋体" w:eastAsia="宋体" w:cs="宋体"/>
          <w:b w:val="0"/>
          <w:bCs w:val="0"/>
          <w:color w:val="000000"/>
          <w:kern w:val="0"/>
          <w:sz w:val="20"/>
          <w:szCs w:val="20"/>
          <w:highlight w:val="none"/>
          <w:lang w:val="en-US" w:eastAsia="zh-CN" w:bidi="ar"/>
        </w:rPr>
      </w:pPr>
    </w:p>
    <w:p>
      <w:pPr>
        <w:pStyle w:val="46"/>
        <w:rPr>
          <w:rFonts w:hint="eastAsia" w:ascii="宋体" w:hAnsi="宋体" w:eastAsia="宋体" w:cs="宋体"/>
          <w:b w:val="0"/>
          <w:bCs w:val="0"/>
          <w:color w:val="000000"/>
          <w:kern w:val="0"/>
          <w:sz w:val="20"/>
          <w:szCs w:val="20"/>
          <w:highlight w:val="none"/>
          <w:lang w:val="en-US" w:eastAsia="zh-CN" w:bidi="ar"/>
        </w:rPr>
      </w:pPr>
    </w:p>
    <w:p>
      <w:pPr>
        <w:rPr>
          <w:rFonts w:hint="eastAsia" w:ascii="宋体" w:hAnsi="宋体" w:eastAsia="宋体" w:cs="宋体"/>
          <w:b w:val="0"/>
          <w:bCs w:val="0"/>
          <w:color w:val="000000"/>
          <w:kern w:val="0"/>
          <w:sz w:val="20"/>
          <w:szCs w:val="20"/>
          <w:highlight w:val="none"/>
          <w:lang w:val="en-US" w:eastAsia="zh-CN" w:bidi="ar"/>
        </w:rPr>
      </w:pPr>
    </w:p>
    <w:p>
      <w:pPr>
        <w:pStyle w:val="3"/>
        <w:rPr>
          <w:rFonts w:hint="eastAsia" w:ascii="宋体" w:hAnsi="宋体" w:eastAsia="宋体" w:cs="宋体"/>
          <w:b w:val="0"/>
          <w:bCs w:val="0"/>
          <w:color w:val="000000"/>
          <w:kern w:val="0"/>
          <w:sz w:val="20"/>
          <w:szCs w:val="20"/>
          <w:highlight w:val="none"/>
          <w:lang w:val="en-US" w:eastAsia="zh-CN" w:bidi="ar"/>
        </w:rPr>
      </w:pPr>
    </w:p>
    <w:p>
      <w:pPr>
        <w:pStyle w:val="46"/>
        <w:rPr>
          <w:rFonts w:hint="eastAsia" w:ascii="宋体" w:hAnsi="宋体" w:eastAsia="宋体" w:cs="宋体"/>
          <w:b w:val="0"/>
          <w:bCs w:val="0"/>
          <w:color w:val="000000"/>
          <w:kern w:val="0"/>
          <w:sz w:val="20"/>
          <w:szCs w:val="20"/>
          <w:highlight w:val="none"/>
          <w:lang w:val="en-US" w:eastAsia="zh-CN" w:bidi="ar"/>
        </w:rPr>
      </w:pPr>
    </w:p>
    <w:p>
      <w:pPr>
        <w:rPr>
          <w:rFonts w:hint="eastAsia" w:ascii="宋体" w:hAnsi="宋体" w:eastAsia="宋体" w:cs="宋体"/>
          <w:b w:val="0"/>
          <w:bCs w:val="0"/>
          <w:color w:val="000000"/>
          <w:kern w:val="0"/>
          <w:sz w:val="20"/>
          <w:szCs w:val="20"/>
          <w:highlight w:val="none"/>
          <w:lang w:val="en-US" w:eastAsia="zh-CN" w:bidi="ar"/>
        </w:rPr>
      </w:pPr>
    </w:p>
    <w:p>
      <w:pPr>
        <w:pStyle w:val="3"/>
        <w:rPr>
          <w:rFonts w:hint="eastAsia" w:ascii="宋体" w:hAnsi="宋体" w:eastAsia="宋体" w:cs="宋体"/>
          <w:b w:val="0"/>
          <w:bCs w:val="0"/>
          <w:color w:val="000000"/>
          <w:kern w:val="0"/>
          <w:sz w:val="20"/>
          <w:szCs w:val="20"/>
          <w:highlight w:val="none"/>
          <w:lang w:val="en-US" w:eastAsia="zh-CN" w:bidi="ar"/>
        </w:rPr>
      </w:pPr>
    </w:p>
    <w:p>
      <w:pPr>
        <w:pStyle w:val="46"/>
        <w:rPr>
          <w:rFonts w:hint="eastAsia" w:ascii="宋体" w:hAnsi="宋体" w:eastAsia="宋体" w:cs="宋体"/>
          <w:b w:val="0"/>
          <w:bCs w:val="0"/>
          <w:color w:val="000000"/>
          <w:kern w:val="0"/>
          <w:sz w:val="20"/>
          <w:szCs w:val="20"/>
          <w:highlight w:val="none"/>
          <w:lang w:val="en-US" w:eastAsia="zh-CN" w:bidi="ar"/>
        </w:rPr>
      </w:pPr>
    </w:p>
    <w:p>
      <w:pPr>
        <w:rPr>
          <w:rFonts w:hint="eastAsia" w:ascii="宋体" w:hAnsi="宋体" w:eastAsia="宋体" w:cs="宋体"/>
          <w:b w:val="0"/>
          <w:bCs w:val="0"/>
          <w:color w:val="000000"/>
          <w:kern w:val="0"/>
          <w:sz w:val="20"/>
          <w:szCs w:val="20"/>
          <w:highlight w:val="none"/>
          <w:lang w:val="en-US" w:eastAsia="zh-CN" w:bidi="ar"/>
        </w:rPr>
      </w:pPr>
    </w:p>
    <w:p>
      <w:pPr>
        <w:pStyle w:val="3"/>
        <w:rPr>
          <w:rFonts w:hint="eastAsia" w:ascii="宋体" w:hAnsi="宋体" w:eastAsia="宋体" w:cs="宋体"/>
          <w:b w:val="0"/>
          <w:bCs w:val="0"/>
          <w:color w:val="000000"/>
          <w:kern w:val="0"/>
          <w:sz w:val="20"/>
          <w:szCs w:val="20"/>
          <w:highlight w:val="none"/>
          <w:lang w:val="en-US" w:eastAsia="zh-CN" w:bidi="ar"/>
        </w:rPr>
      </w:pPr>
    </w:p>
    <w:p>
      <w:pPr>
        <w:pStyle w:val="46"/>
        <w:rPr>
          <w:rFonts w:hint="eastAsia" w:ascii="宋体" w:hAnsi="宋体" w:eastAsia="宋体" w:cs="宋体"/>
          <w:b w:val="0"/>
          <w:bCs w:val="0"/>
          <w:color w:val="000000"/>
          <w:kern w:val="0"/>
          <w:sz w:val="20"/>
          <w:szCs w:val="20"/>
          <w:highlight w:val="none"/>
          <w:lang w:val="en-US" w:eastAsia="zh-CN" w:bidi="ar"/>
        </w:rPr>
      </w:pPr>
    </w:p>
    <w:p>
      <w:pPr>
        <w:rPr>
          <w:rFonts w:hint="eastAsia" w:ascii="宋体" w:hAnsi="宋体" w:eastAsia="宋体" w:cs="宋体"/>
          <w:b w:val="0"/>
          <w:bCs w:val="0"/>
          <w:color w:val="000000"/>
          <w:kern w:val="0"/>
          <w:sz w:val="20"/>
          <w:szCs w:val="20"/>
          <w:highlight w:val="none"/>
          <w:lang w:val="en-US" w:eastAsia="zh-CN" w:bidi="ar"/>
        </w:rPr>
      </w:pPr>
    </w:p>
    <w:p>
      <w:pPr>
        <w:pStyle w:val="3"/>
        <w:rPr>
          <w:rFonts w:hint="eastAsia" w:ascii="宋体" w:hAnsi="宋体" w:eastAsia="宋体" w:cs="宋体"/>
          <w:b w:val="0"/>
          <w:bCs w:val="0"/>
          <w:color w:val="000000"/>
          <w:kern w:val="0"/>
          <w:sz w:val="20"/>
          <w:szCs w:val="20"/>
          <w:highlight w:val="none"/>
          <w:lang w:val="en-US" w:eastAsia="zh-CN" w:bidi="ar"/>
        </w:rPr>
      </w:pPr>
    </w:p>
    <w:p>
      <w:pPr>
        <w:pStyle w:val="46"/>
        <w:rPr>
          <w:rFonts w:hint="eastAsia" w:ascii="宋体" w:hAnsi="宋体" w:eastAsia="宋体" w:cs="宋体"/>
          <w:b w:val="0"/>
          <w:bCs w:val="0"/>
          <w:color w:val="000000"/>
          <w:kern w:val="0"/>
          <w:sz w:val="20"/>
          <w:szCs w:val="20"/>
          <w:highlight w:val="none"/>
          <w:lang w:val="en-US" w:eastAsia="zh-CN" w:bidi="ar"/>
        </w:rPr>
      </w:pPr>
    </w:p>
    <w:p>
      <w:pPr>
        <w:rPr>
          <w:rFonts w:hint="eastAsia" w:ascii="宋体" w:hAnsi="宋体" w:eastAsia="宋体" w:cs="宋体"/>
          <w:b w:val="0"/>
          <w:bCs w:val="0"/>
          <w:color w:val="000000"/>
          <w:kern w:val="0"/>
          <w:sz w:val="20"/>
          <w:szCs w:val="20"/>
          <w:highlight w:val="none"/>
          <w:lang w:val="en-US" w:eastAsia="zh-CN" w:bidi="ar"/>
        </w:rPr>
      </w:pPr>
    </w:p>
    <w:p>
      <w:pPr>
        <w:pStyle w:val="3"/>
        <w:rPr>
          <w:rFonts w:hint="eastAsia" w:ascii="宋体" w:hAnsi="宋体" w:eastAsia="宋体" w:cs="宋体"/>
          <w:b w:val="0"/>
          <w:bCs w:val="0"/>
          <w:color w:val="000000"/>
          <w:kern w:val="0"/>
          <w:sz w:val="20"/>
          <w:szCs w:val="20"/>
          <w:highlight w:val="none"/>
          <w:lang w:val="en-US" w:eastAsia="zh-CN" w:bidi="ar"/>
        </w:rPr>
      </w:pPr>
    </w:p>
    <w:p>
      <w:pPr>
        <w:pStyle w:val="3"/>
        <w:ind w:left="0" w:leftChars="0" w:firstLine="0" w:firstLineChars="0"/>
        <w:rPr>
          <w:highlight w:val="none"/>
        </w:rPr>
      </w:pPr>
    </w:p>
    <w:bookmarkEnd w:id="1094"/>
    <w:bookmarkEnd w:id="1095"/>
    <w:bookmarkEnd w:id="1096"/>
    <w:p>
      <w:pPr>
        <w:pStyle w:val="7"/>
        <w:pageBreakBefore w:val="0"/>
        <w:kinsoku/>
        <w:overflowPunct/>
        <w:bidi w:val="0"/>
        <w:spacing w:line="400" w:lineRule="exact"/>
        <w:ind w:firstLine="0" w:firstLineChars="0"/>
        <w:rPr>
          <w:rFonts w:ascii="宋体" w:hAnsi="宋体" w:eastAsia="宋体" w:cs="宋体"/>
          <w:bCs w:val="0"/>
          <w:color w:val="auto"/>
          <w:sz w:val="28"/>
          <w:szCs w:val="28"/>
          <w:highlight w:val="none"/>
        </w:rPr>
      </w:pPr>
      <w:bookmarkStart w:id="1098" w:name="_Toc12248"/>
      <w:r>
        <w:rPr>
          <w:rFonts w:hint="eastAsia" w:ascii="宋体" w:hAnsi="宋体" w:cs="宋体"/>
          <w:bCs w:val="0"/>
          <w:color w:val="auto"/>
          <w:sz w:val="28"/>
          <w:szCs w:val="28"/>
          <w:highlight w:val="none"/>
        </w:rPr>
        <w:t>第六章  竞争性磋商响应文件格式</w:t>
      </w:r>
      <w:bookmarkEnd w:id="1098"/>
    </w:p>
    <w:p>
      <w:pPr>
        <w:pageBreakBefore w:val="0"/>
        <w:kinsoku/>
        <w:overflowPunct/>
        <w:bidi w:val="0"/>
        <w:spacing w:line="400" w:lineRule="exact"/>
        <w:ind w:firstLine="0" w:firstLineChars="0"/>
        <w:rPr>
          <w:rFonts w:ascii="宋体" w:hAnsi="宋体" w:cs="宋体"/>
          <w:color w:val="auto"/>
          <w:highlight w:val="none"/>
        </w:rPr>
      </w:pPr>
    </w:p>
    <w:p>
      <w:pPr>
        <w:pageBreakBefore w:val="0"/>
        <w:kinsoku/>
        <w:overflowPunct/>
        <w:bidi w:val="0"/>
        <w:spacing w:line="440" w:lineRule="exact"/>
        <w:ind w:firstLine="0" w:firstLineChars="0"/>
        <w:jc w:val="right"/>
        <w:rPr>
          <w:rFonts w:ascii="宋体" w:hAnsi="宋体" w:cs="宋体"/>
          <w:color w:val="auto"/>
          <w:sz w:val="24"/>
          <w:highlight w:val="none"/>
          <w:bdr w:val="single" w:color="auto" w:sz="4" w:space="0"/>
        </w:rPr>
      </w:pPr>
    </w:p>
    <w:p>
      <w:pPr>
        <w:pageBreakBefore w:val="0"/>
        <w:kinsoku/>
        <w:overflowPunct/>
        <w:bidi w:val="0"/>
        <w:spacing w:line="440" w:lineRule="exact"/>
        <w:ind w:firstLine="0" w:firstLineChars="0"/>
        <w:rPr>
          <w:rFonts w:ascii="宋体" w:hAnsi="宋体" w:cs="宋体"/>
          <w:color w:val="auto"/>
          <w:sz w:val="24"/>
          <w:highlight w:val="none"/>
        </w:rPr>
      </w:pPr>
    </w:p>
    <w:p>
      <w:pPr>
        <w:pageBreakBefore w:val="0"/>
        <w:kinsoku/>
        <w:overflowPunct/>
        <w:bidi w:val="0"/>
        <w:ind w:firstLine="0" w:firstLineChars="0"/>
        <w:jc w:val="center"/>
        <w:rPr>
          <w:rFonts w:ascii="宋体" w:hAnsi="宋体" w:eastAsia="宋体" w:cs="宋体"/>
          <w:b/>
          <w:bCs/>
          <w:color w:val="auto"/>
          <w:sz w:val="30"/>
          <w:szCs w:val="30"/>
          <w:highlight w:val="none"/>
        </w:rPr>
      </w:pPr>
      <w:r>
        <w:rPr>
          <w:rFonts w:hint="eastAsia" w:ascii="宋体" w:hAnsi="宋体" w:cs="宋体"/>
          <w:b/>
          <w:bCs/>
          <w:color w:val="auto"/>
          <w:sz w:val="30"/>
          <w:szCs w:val="30"/>
          <w:highlight w:val="none"/>
          <w:u w:val="single"/>
        </w:rPr>
        <w:t>（项目名称）</w:t>
      </w:r>
      <w:r>
        <w:rPr>
          <w:rFonts w:hint="eastAsia" w:ascii="宋体" w:hAnsi="宋体" w:cs="宋体"/>
          <w:b/>
          <w:bCs/>
          <w:color w:val="auto"/>
          <w:sz w:val="30"/>
          <w:szCs w:val="30"/>
          <w:highlight w:val="none"/>
        </w:rPr>
        <w:t>竞争性磋商</w:t>
      </w:r>
    </w:p>
    <w:p>
      <w:pPr>
        <w:pageBreakBefore w:val="0"/>
        <w:kinsoku/>
        <w:overflowPunct/>
        <w:bidi w:val="0"/>
        <w:ind w:firstLine="0" w:firstLineChars="0"/>
        <w:jc w:val="center"/>
        <w:rPr>
          <w:rFonts w:ascii="宋体" w:hAnsi="宋体" w:cs="宋体"/>
          <w:color w:val="auto"/>
          <w:sz w:val="28"/>
          <w:szCs w:val="28"/>
          <w:highlight w:val="none"/>
        </w:rPr>
      </w:pPr>
    </w:p>
    <w:p>
      <w:pPr>
        <w:pageBreakBefore w:val="0"/>
        <w:kinsoku/>
        <w:overflowPunct/>
        <w:bidi w:val="0"/>
        <w:spacing w:line="1000" w:lineRule="exact"/>
        <w:ind w:firstLine="0" w:firstLineChars="0"/>
        <w:jc w:val="center"/>
        <w:rPr>
          <w:rFonts w:ascii="宋体" w:hAnsi="宋体" w:cs="宋体"/>
          <w:color w:val="auto"/>
          <w:sz w:val="28"/>
          <w:szCs w:val="28"/>
          <w:highlight w:val="none"/>
        </w:rPr>
      </w:pPr>
    </w:p>
    <w:p>
      <w:pPr>
        <w:pageBreakBefore w:val="0"/>
        <w:kinsoku/>
        <w:overflowPunct/>
        <w:bidi w:val="0"/>
        <w:spacing w:line="1000" w:lineRule="exact"/>
        <w:ind w:firstLine="0" w:firstLineChars="0"/>
        <w:jc w:val="center"/>
        <w:rPr>
          <w:rFonts w:ascii="宋体" w:hAnsi="宋体" w:cs="宋体"/>
          <w:color w:val="auto"/>
          <w:sz w:val="72"/>
          <w:szCs w:val="84"/>
          <w:highlight w:val="none"/>
        </w:rPr>
      </w:pPr>
      <w:r>
        <w:rPr>
          <w:rFonts w:hint="eastAsia" w:ascii="宋体" w:hAnsi="宋体" w:cs="宋体"/>
          <w:b/>
          <w:bCs/>
          <w:color w:val="auto"/>
          <w:sz w:val="72"/>
          <w:szCs w:val="84"/>
          <w:highlight w:val="none"/>
        </w:rPr>
        <w:t>响 应 文 件</w:t>
      </w:r>
    </w:p>
    <w:p>
      <w:pPr>
        <w:pageBreakBefore w:val="0"/>
        <w:kinsoku/>
        <w:overflowPunct/>
        <w:bidi w:val="0"/>
        <w:spacing w:line="10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Style w:val="3"/>
        <w:pageBreakBefore w:val="0"/>
        <w:kinsoku/>
        <w:overflowPunct/>
        <w:bidi w:val="0"/>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00" w:lineRule="exact"/>
        <w:ind w:firstLine="0" w:firstLineChars="0"/>
        <w:rPr>
          <w:rFonts w:ascii="宋体" w:hAnsi="宋体" w:cs="宋体"/>
          <w:color w:val="auto"/>
          <w:sz w:val="28"/>
          <w:szCs w:val="28"/>
          <w:highlight w:val="none"/>
        </w:rPr>
      </w:pPr>
    </w:p>
    <w:p>
      <w:pPr>
        <w:pageBreakBefore w:val="0"/>
        <w:kinsoku/>
        <w:overflowPunct/>
        <w:bidi w:val="0"/>
        <w:spacing w:line="480" w:lineRule="auto"/>
        <w:ind w:firstLine="0" w:firstLineChars="0"/>
        <w:jc w:val="center"/>
        <w:rPr>
          <w:rFonts w:ascii="宋体" w:hAnsi="宋体" w:cs="宋体"/>
          <w:color w:val="auto"/>
          <w:sz w:val="24"/>
          <w:highlight w:val="none"/>
        </w:rPr>
      </w:pPr>
      <w:r>
        <w:rPr>
          <w:rFonts w:hint="eastAsia" w:ascii="宋体" w:hAnsi="宋体" w:cs="宋体"/>
          <w:color w:val="auto"/>
          <w:sz w:val="24"/>
          <w:highlight w:val="none"/>
        </w:rPr>
        <w:t>供应商： （单位电子签章）</w:t>
      </w:r>
    </w:p>
    <w:p>
      <w:pPr>
        <w:pageBreakBefore w:val="0"/>
        <w:kinsoku/>
        <w:overflowPunct/>
        <w:bidi w:val="0"/>
        <w:spacing w:line="480" w:lineRule="auto"/>
        <w:ind w:firstLine="0" w:firstLineChars="0"/>
        <w:jc w:val="center"/>
        <w:rPr>
          <w:rFonts w:ascii="宋体" w:hAnsi="宋体" w:cs="宋体"/>
          <w:color w:val="auto"/>
          <w:sz w:val="24"/>
          <w:highlight w:val="none"/>
        </w:rPr>
      </w:pPr>
      <w:r>
        <w:rPr>
          <w:rFonts w:hint="eastAsia" w:ascii="宋体" w:hAnsi="宋体" w:cs="宋体"/>
          <w:color w:val="auto"/>
          <w:sz w:val="24"/>
          <w:highlight w:val="none"/>
        </w:rPr>
        <w:t>法定代表人或其委托代理人：（电子签名或盖章）</w:t>
      </w:r>
    </w:p>
    <w:p>
      <w:pPr>
        <w:pageBreakBefore w:val="0"/>
        <w:kinsoku/>
        <w:overflowPunct/>
        <w:bidi w:val="0"/>
        <w:spacing w:line="480" w:lineRule="auto"/>
        <w:ind w:firstLine="0" w:firstLineChars="0"/>
        <w:jc w:val="center"/>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bookmarkStart w:id="1099" w:name="_Toc152045787"/>
      <w:bookmarkStart w:id="1100" w:name="_Toc13651"/>
      <w:bookmarkStart w:id="1101" w:name="_Toc466298157"/>
      <w:bookmarkStart w:id="1102" w:name="_Toc144974856"/>
      <w:bookmarkStart w:id="1103" w:name="_Toc152042576"/>
      <w:bookmarkStart w:id="1104" w:name="_Toc20198"/>
      <w:bookmarkStart w:id="1105" w:name="_Toc8978"/>
    </w:p>
    <w:p>
      <w:pPr>
        <w:pStyle w:val="2"/>
        <w:pageBreakBefore w:val="0"/>
        <w:kinsoku/>
        <w:overflowPunct/>
        <w:bidi w:val="0"/>
        <w:ind w:firstLine="0" w:firstLineChars="0"/>
        <w:rPr>
          <w:color w:val="auto"/>
          <w:highlight w:val="none"/>
        </w:rPr>
      </w:pPr>
    </w:p>
    <w:p>
      <w:pPr>
        <w:pStyle w:val="67"/>
        <w:pageBreakBefore w:val="0"/>
        <w:kinsoku/>
        <w:overflowPunct/>
        <w:bidi w:val="0"/>
        <w:ind w:firstLine="0" w:firstLineChars="0"/>
        <w:jc w:val="center"/>
        <w:rPr>
          <w:rFonts w:ascii="宋体" w:hAnsi="宋体" w:eastAsia="宋体"/>
          <w:color w:val="auto"/>
          <w:sz w:val="32"/>
          <w:szCs w:val="32"/>
          <w:highlight w:val="none"/>
        </w:rPr>
      </w:pPr>
      <w:bookmarkStart w:id="1106" w:name="_Toc5177"/>
      <w:bookmarkStart w:id="1107" w:name="_Toc17506"/>
      <w:r>
        <w:rPr>
          <w:rFonts w:hint="eastAsia" w:ascii="宋体" w:hAnsi="宋体" w:eastAsia="宋体"/>
          <w:color w:val="auto"/>
          <w:sz w:val="32"/>
          <w:szCs w:val="32"/>
          <w:highlight w:val="none"/>
        </w:rPr>
        <w:t>目    录</w:t>
      </w:r>
      <w:bookmarkEnd w:id="1099"/>
      <w:bookmarkEnd w:id="1100"/>
      <w:bookmarkEnd w:id="1101"/>
      <w:bookmarkEnd w:id="1102"/>
      <w:bookmarkEnd w:id="1103"/>
      <w:bookmarkEnd w:id="1104"/>
      <w:bookmarkEnd w:id="1105"/>
      <w:bookmarkEnd w:id="1106"/>
      <w:bookmarkEnd w:id="1107"/>
    </w:p>
    <w:p>
      <w:pPr>
        <w:pageBreakBefore w:val="0"/>
        <w:kinsoku/>
        <w:overflowPunct/>
        <w:bidi w:val="0"/>
        <w:spacing w:line="540" w:lineRule="exact"/>
        <w:ind w:firstLine="0" w:firstLineChars="0"/>
        <w:rPr>
          <w:rFonts w:ascii="宋体" w:hAnsi="宋体" w:cs="宋体"/>
          <w:color w:val="auto"/>
          <w:sz w:val="24"/>
          <w:szCs w:val="32"/>
          <w:highlight w:val="none"/>
        </w:rPr>
      </w:pPr>
    </w:p>
    <w:p>
      <w:pPr>
        <w:pStyle w:val="13"/>
        <w:numPr>
          <w:ilvl w:val="0"/>
          <w:numId w:val="6"/>
        </w:numPr>
        <w:spacing w:before="156" w:after="156" w:line="360" w:lineRule="exact"/>
        <w:ind w:firstLine="560"/>
        <w:rPr>
          <w:rFonts w:hint="eastAsia" w:ascii="宋体" w:hAnsi="宋体" w:cs="宋体"/>
          <w:highlight w:val="none"/>
        </w:rPr>
      </w:pPr>
      <w:bookmarkStart w:id="1108" w:name="_Toc23260"/>
      <w:bookmarkStart w:id="1109" w:name="_Toc15926"/>
      <w:bookmarkStart w:id="1110" w:name="_Toc1039"/>
      <w:bookmarkStart w:id="1111" w:name="_Toc4900"/>
      <w:bookmarkStart w:id="1112" w:name="_Toc230598436"/>
      <w:bookmarkStart w:id="1113" w:name="_Toc21443"/>
      <w:r>
        <w:rPr>
          <w:rFonts w:hint="eastAsia" w:ascii="宋体" w:hAnsi="宋体" w:cs="宋体"/>
          <w:highlight w:val="none"/>
        </w:rPr>
        <w:t>磋商函及磋商函附录</w:t>
      </w:r>
      <w:bookmarkEnd w:id="1108"/>
      <w:bookmarkEnd w:id="1109"/>
      <w:bookmarkEnd w:id="1110"/>
      <w:bookmarkEnd w:id="1111"/>
    </w:p>
    <w:p>
      <w:pPr>
        <w:pStyle w:val="13"/>
        <w:numPr>
          <w:ilvl w:val="0"/>
          <w:numId w:val="6"/>
        </w:numPr>
        <w:spacing w:before="156" w:after="156" w:line="360" w:lineRule="exact"/>
        <w:ind w:firstLine="560"/>
        <w:rPr>
          <w:rFonts w:hint="eastAsia" w:ascii="宋体" w:hAnsi="宋体" w:cs="宋体"/>
          <w:highlight w:val="none"/>
        </w:rPr>
      </w:pPr>
      <w:bookmarkStart w:id="1114" w:name="_Toc2562"/>
      <w:bookmarkStart w:id="1115" w:name="_Toc8475"/>
      <w:bookmarkStart w:id="1116" w:name="_Toc5360"/>
      <w:bookmarkStart w:id="1117" w:name="_Toc2990"/>
      <w:r>
        <w:rPr>
          <w:rFonts w:hint="eastAsia" w:ascii="宋体" w:hAnsi="宋体" w:cs="宋体"/>
          <w:highlight w:val="none"/>
        </w:rPr>
        <w:t>法定代表身份证明</w:t>
      </w:r>
      <w:bookmarkEnd w:id="1114"/>
      <w:bookmarkEnd w:id="1115"/>
      <w:bookmarkEnd w:id="1116"/>
      <w:bookmarkEnd w:id="1117"/>
    </w:p>
    <w:p>
      <w:pPr>
        <w:pStyle w:val="13"/>
        <w:numPr>
          <w:ilvl w:val="0"/>
          <w:numId w:val="6"/>
        </w:numPr>
        <w:spacing w:before="156" w:after="156" w:line="360" w:lineRule="exact"/>
        <w:ind w:firstLine="560"/>
        <w:rPr>
          <w:rFonts w:hint="eastAsia" w:ascii="宋体" w:hAnsi="宋体" w:cs="宋体"/>
          <w:highlight w:val="none"/>
        </w:rPr>
      </w:pPr>
      <w:bookmarkStart w:id="1118" w:name="_Toc20914"/>
      <w:bookmarkStart w:id="1119" w:name="_Toc13448"/>
      <w:bookmarkStart w:id="1120" w:name="_Toc25391"/>
      <w:r>
        <w:rPr>
          <w:rFonts w:hint="eastAsia" w:ascii="宋体" w:hAnsi="宋体" w:cs="宋体"/>
          <w:highlight w:val="none"/>
        </w:rPr>
        <w:t>授权委托书</w:t>
      </w:r>
      <w:bookmarkEnd w:id="1118"/>
      <w:bookmarkEnd w:id="1119"/>
      <w:bookmarkEnd w:id="1120"/>
    </w:p>
    <w:p>
      <w:pPr>
        <w:pStyle w:val="13"/>
        <w:numPr>
          <w:ilvl w:val="0"/>
          <w:numId w:val="6"/>
        </w:numPr>
        <w:spacing w:before="156" w:after="156" w:line="360" w:lineRule="exact"/>
        <w:ind w:firstLine="560"/>
        <w:rPr>
          <w:rFonts w:hint="eastAsia" w:ascii="宋体" w:hAnsi="宋体" w:cs="宋体"/>
          <w:highlight w:val="none"/>
        </w:rPr>
      </w:pPr>
      <w:bookmarkStart w:id="1121" w:name="_Toc16999"/>
      <w:bookmarkStart w:id="1122" w:name="_Toc11544"/>
      <w:bookmarkStart w:id="1123" w:name="_Toc15935"/>
      <w:bookmarkStart w:id="1124" w:name="_Toc26275"/>
      <w:r>
        <w:rPr>
          <w:rFonts w:hint="eastAsia" w:ascii="宋体" w:hAnsi="宋体" w:cs="宋体"/>
          <w:highlight w:val="none"/>
        </w:rPr>
        <w:t>资格证明文件</w:t>
      </w:r>
      <w:bookmarkEnd w:id="1121"/>
      <w:bookmarkEnd w:id="1122"/>
      <w:bookmarkEnd w:id="1123"/>
      <w:bookmarkEnd w:id="1124"/>
    </w:p>
    <w:p>
      <w:pPr>
        <w:pStyle w:val="13"/>
        <w:numPr>
          <w:ilvl w:val="0"/>
          <w:numId w:val="6"/>
        </w:numPr>
        <w:spacing w:before="156" w:after="156" w:line="360" w:lineRule="exact"/>
        <w:ind w:firstLine="560"/>
        <w:rPr>
          <w:rFonts w:hint="eastAsia" w:ascii="宋体" w:hAnsi="宋体" w:cs="宋体"/>
          <w:highlight w:val="none"/>
        </w:rPr>
      </w:pPr>
      <w:bookmarkStart w:id="1125" w:name="_Toc29156"/>
      <w:bookmarkStart w:id="1126" w:name="_Toc30841"/>
      <w:bookmarkStart w:id="1127" w:name="_Toc3843"/>
      <w:bookmarkStart w:id="1128" w:name="_Toc16984"/>
      <w:r>
        <w:rPr>
          <w:rFonts w:hint="eastAsia" w:ascii="宋体" w:hAnsi="宋体" w:cs="宋体"/>
          <w:highlight w:val="none"/>
        </w:rPr>
        <w:t>拟投入本项目人员</w:t>
      </w:r>
      <w:bookmarkEnd w:id="1125"/>
      <w:bookmarkEnd w:id="1126"/>
      <w:bookmarkEnd w:id="1127"/>
      <w:bookmarkEnd w:id="1128"/>
    </w:p>
    <w:p>
      <w:pPr>
        <w:pStyle w:val="13"/>
        <w:numPr>
          <w:ilvl w:val="0"/>
          <w:numId w:val="6"/>
        </w:numPr>
        <w:spacing w:before="156" w:after="156" w:line="360" w:lineRule="exact"/>
        <w:ind w:firstLine="560"/>
        <w:rPr>
          <w:rFonts w:hint="eastAsia" w:ascii="宋体" w:hAnsi="宋体" w:cs="宋体"/>
          <w:highlight w:val="none"/>
        </w:rPr>
      </w:pPr>
      <w:r>
        <w:rPr>
          <w:rFonts w:hint="eastAsia" w:ascii="宋体" w:hAnsi="宋体" w:cs="宋体"/>
          <w:highlight w:val="none"/>
        </w:rPr>
        <w:t>技术方案</w:t>
      </w:r>
    </w:p>
    <w:p>
      <w:pPr>
        <w:pStyle w:val="13"/>
        <w:numPr>
          <w:ilvl w:val="0"/>
          <w:numId w:val="6"/>
        </w:numPr>
        <w:spacing w:before="156" w:after="156" w:line="360" w:lineRule="exact"/>
        <w:ind w:firstLine="560"/>
        <w:rPr>
          <w:rFonts w:hint="eastAsia" w:ascii="宋体" w:hAnsi="宋体" w:cs="宋体"/>
          <w:highlight w:val="none"/>
        </w:rPr>
      </w:pPr>
      <w:bookmarkStart w:id="1129" w:name="_Toc14020"/>
      <w:bookmarkStart w:id="1130" w:name="_Toc29046"/>
      <w:bookmarkStart w:id="1131" w:name="_Toc25126"/>
      <w:bookmarkStart w:id="1132" w:name="_Toc16154"/>
      <w:r>
        <w:rPr>
          <w:rFonts w:hint="eastAsia" w:ascii="宋体" w:hAnsi="宋体" w:cs="宋体"/>
          <w:highlight w:val="none"/>
        </w:rPr>
        <w:t>类似项目业绩</w:t>
      </w:r>
      <w:bookmarkEnd w:id="1129"/>
      <w:bookmarkEnd w:id="1130"/>
      <w:bookmarkEnd w:id="1131"/>
      <w:bookmarkEnd w:id="1132"/>
    </w:p>
    <w:p>
      <w:pPr>
        <w:pStyle w:val="13"/>
        <w:numPr>
          <w:ilvl w:val="0"/>
          <w:numId w:val="6"/>
        </w:numPr>
        <w:spacing w:before="156" w:after="156" w:line="360" w:lineRule="exact"/>
        <w:ind w:firstLine="560"/>
        <w:rPr>
          <w:rFonts w:hint="eastAsia" w:ascii="宋体" w:hAnsi="宋体" w:cs="宋体"/>
          <w:highlight w:val="none"/>
        </w:rPr>
      </w:pPr>
      <w:r>
        <w:rPr>
          <w:rFonts w:hint="eastAsia" w:ascii="宋体" w:hAnsi="宋体" w:cs="宋体"/>
          <w:highlight w:val="none"/>
        </w:rPr>
        <w:t>中小企业声明函</w:t>
      </w:r>
    </w:p>
    <w:p>
      <w:pPr>
        <w:pStyle w:val="13"/>
        <w:numPr>
          <w:ilvl w:val="0"/>
          <w:numId w:val="6"/>
        </w:numPr>
        <w:spacing w:before="156" w:after="156" w:line="360" w:lineRule="exact"/>
        <w:ind w:firstLine="560"/>
        <w:rPr>
          <w:rFonts w:hint="eastAsia" w:ascii="宋体" w:hAnsi="宋体" w:cs="宋体"/>
          <w:highlight w:val="none"/>
        </w:rPr>
      </w:pPr>
      <w:bookmarkStart w:id="1133" w:name="_Toc23454"/>
      <w:bookmarkStart w:id="1134" w:name="_Toc13633"/>
      <w:bookmarkStart w:id="1135" w:name="_Toc11809"/>
      <w:bookmarkStart w:id="1136" w:name="_Toc9497"/>
      <w:bookmarkStart w:id="1137" w:name="_Toc26109"/>
      <w:r>
        <w:rPr>
          <w:rFonts w:hint="eastAsia" w:ascii="宋体" w:hAnsi="宋体" w:cs="宋体"/>
          <w:highlight w:val="none"/>
        </w:rPr>
        <w:fldChar w:fldCharType="begin"/>
      </w:r>
      <w:r>
        <w:rPr>
          <w:rFonts w:hint="eastAsia" w:ascii="宋体" w:hAnsi="宋体" w:cs="宋体"/>
          <w:highlight w:val="none"/>
        </w:rPr>
        <w:instrText xml:space="preserve"> HYPERLINK \l _Toc7101 </w:instrText>
      </w:r>
      <w:r>
        <w:rPr>
          <w:rFonts w:hint="eastAsia" w:ascii="宋体" w:hAnsi="宋体" w:cs="宋体"/>
          <w:highlight w:val="none"/>
        </w:rPr>
        <w:fldChar w:fldCharType="separate"/>
      </w:r>
      <w:r>
        <w:rPr>
          <w:rFonts w:hint="eastAsia" w:ascii="宋体" w:hAnsi="宋体" w:cs="宋体"/>
          <w:highlight w:val="none"/>
        </w:rPr>
        <w:t>残疾人福利性单位声明</w:t>
      </w:r>
      <w:r>
        <w:rPr>
          <w:rFonts w:hint="eastAsia" w:ascii="宋体" w:hAnsi="宋体" w:cs="宋体"/>
          <w:highlight w:val="none"/>
        </w:rPr>
        <w:fldChar w:fldCharType="end"/>
      </w:r>
      <w:bookmarkEnd w:id="1133"/>
      <w:bookmarkEnd w:id="1134"/>
      <w:bookmarkEnd w:id="1135"/>
      <w:bookmarkEnd w:id="1136"/>
      <w:bookmarkEnd w:id="1137"/>
    </w:p>
    <w:p>
      <w:pPr>
        <w:pStyle w:val="13"/>
        <w:numPr>
          <w:ilvl w:val="0"/>
          <w:numId w:val="6"/>
        </w:numPr>
        <w:spacing w:before="156" w:after="156" w:line="360" w:lineRule="exact"/>
        <w:ind w:firstLine="560"/>
        <w:rPr>
          <w:rFonts w:hint="eastAsia" w:ascii="宋体" w:hAnsi="宋体" w:cs="宋体"/>
          <w:highlight w:val="none"/>
        </w:rPr>
      </w:pPr>
      <w:bookmarkStart w:id="1138" w:name="_Toc25731"/>
      <w:bookmarkStart w:id="1139" w:name="_Toc2222"/>
      <w:bookmarkStart w:id="1140" w:name="_Toc22258"/>
      <w:bookmarkStart w:id="1141" w:name="_Toc10469"/>
      <w:bookmarkStart w:id="1142" w:name="_Toc7503"/>
      <w:r>
        <w:rPr>
          <w:rFonts w:hint="eastAsia" w:ascii="宋体" w:hAnsi="宋体" w:cs="宋体"/>
          <w:highlight w:val="none"/>
        </w:rPr>
        <w:fldChar w:fldCharType="begin"/>
      </w:r>
      <w:r>
        <w:rPr>
          <w:rFonts w:hint="eastAsia" w:ascii="宋体" w:hAnsi="宋体" w:cs="宋体"/>
          <w:highlight w:val="none"/>
        </w:rPr>
        <w:instrText xml:space="preserve"> HYPERLINK \l _Toc19926 </w:instrText>
      </w:r>
      <w:r>
        <w:rPr>
          <w:rFonts w:hint="eastAsia" w:ascii="宋体" w:hAnsi="宋体" w:cs="宋体"/>
          <w:highlight w:val="none"/>
        </w:rPr>
        <w:fldChar w:fldCharType="separate"/>
      </w:r>
      <w:r>
        <w:rPr>
          <w:rFonts w:hint="eastAsia" w:ascii="宋体" w:hAnsi="宋体" w:cs="宋体"/>
          <w:highlight w:val="none"/>
        </w:rPr>
        <w:t>监狱企业证明文件（如有）</w:t>
      </w:r>
      <w:r>
        <w:rPr>
          <w:rFonts w:hint="eastAsia" w:ascii="宋体" w:hAnsi="宋体" w:cs="宋体"/>
          <w:highlight w:val="none"/>
        </w:rPr>
        <w:fldChar w:fldCharType="end"/>
      </w:r>
      <w:bookmarkEnd w:id="1138"/>
      <w:bookmarkEnd w:id="1139"/>
      <w:bookmarkEnd w:id="1140"/>
      <w:bookmarkEnd w:id="1141"/>
      <w:bookmarkEnd w:id="1142"/>
    </w:p>
    <w:p>
      <w:pPr>
        <w:pStyle w:val="13"/>
        <w:numPr>
          <w:ilvl w:val="0"/>
          <w:numId w:val="6"/>
        </w:numPr>
        <w:spacing w:before="156" w:after="156" w:line="360" w:lineRule="exact"/>
        <w:ind w:firstLine="560"/>
        <w:rPr>
          <w:rFonts w:hint="eastAsia" w:ascii="宋体" w:hAnsi="宋体" w:cs="宋体"/>
          <w:highlight w:val="none"/>
        </w:rPr>
      </w:pPr>
      <w:bookmarkStart w:id="1143" w:name="_Toc19491"/>
      <w:bookmarkStart w:id="1144" w:name="_Toc27336"/>
      <w:bookmarkStart w:id="1145" w:name="_Toc18126"/>
      <w:bookmarkStart w:id="1146" w:name="_Toc26263"/>
      <w:bookmarkStart w:id="1147" w:name="_Toc861"/>
      <w:r>
        <w:rPr>
          <w:rFonts w:hint="eastAsia" w:ascii="宋体" w:hAnsi="宋体" w:cs="宋体"/>
          <w:highlight w:val="none"/>
        </w:rPr>
        <w:fldChar w:fldCharType="begin"/>
      </w:r>
      <w:r>
        <w:rPr>
          <w:rFonts w:hint="eastAsia" w:ascii="宋体" w:hAnsi="宋体" w:cs="宋体"/>
          <w:highlight w:val="none"/>
        </w:rPr>
        <w:instrText xml:space="preserve"> HYPERLINK \l _Toc30624 </w:instrText>
      </w:r>
      <w:r>
        <w:rPr>
          <w:rFonts w:hint="eastAsia" w:ascii="宋体" w:hAnsi="宋体" w:cs="宋体"/>
          <w:highlight w:val="none"/>
        </w:rPr>
        <w:fldChar w:fldCharType="separate"/>
      </w:r>
      <w:r>
        <w:rPr>
          <w:rFonts w:hint="eastAsia" w:ascii="宋体" w:hAnsi="宋体" w:cs="宋体"/>
          <w:highlight w:val="none"/>
        </w:rPr>
        <w:t>其他材料</w:t>
      </w:r>
      <w:r>
        <w:rPr>
          <w:rFonts w:hint="eastAsia" w:ascii="宋体" w:hAnsi="宋体" w:cs="宋体"/>
          <w:highlight w:val="none"/>
        </w:rPr>
        <w:fldChar w:fldCharType="end"/>
      </w:r>
      <w:bookmarkEnd w:id="1143"/>
      <w:bookmarkEnd w:id="1144"/>
      <w:bookmarkEnd w:id="1145"/>
      <w:bookmarkEnd w:id="1146"/>
      <w:bookmarkEnd w:id="1147"/>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pStyle w:val="4"/>
        <w:rPr>
          <w:rFonts w:hint="eastAsia" w:ascii="宋体" w:hAnsi="宋体" w:cs="宋体"/>
          <w:highlight w:val="none"/>
        </w:rPr>
      </w:pPr>
    </w:p>
    <w:p>
      <w:pPr>
        <w:pStyle w:val="2"/>
        <w:spacing w:before="156" w:after="156"/>
        <w:rPr>
          <w:rFonts w:hint="eastAsia" w:ascii="宋体" w:hAnsi="宋体" w:cs="宋体"/>
          <w:highlight w:val="none"/>
        </w:rPr>
      </w:pPr>
    </w:p>
    <w:p>
      <w:pPr>
        <w:rPr>
          <w:rFonts w:hint="eastAsia" w:ascii="宋体" w:hAnsi="宋体" w:cs="宋体"/>
          <w:highlight w:val="none"/>
        </w:rPr>
      </w:pPr>
    </w:p>
    <w:p>
      <w:pPr>
        <w:pStyle w:val="4"/>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pStyle w:val="9"/>
        <w:jc w:val="center"/>
        <w:rPr>
          <w:rFonts w:hint="eastAsia" w:ascii="宋体" w:hAnsi="宋体" w:eastAsia="宋体" w:cs="宋体"/>
          <w:highlight w:val="none"/>
        </w:rPr>
      </w:pPr>
      <w:bookmarkStart w:id="1148" w:name="_Toc5110"/>
      <w:bookmarkStart w:id="1149" w:name="_Toc7434"/>
      <w:bookmarkStart w:id="1150" w:name="_Toc30083"/>
      <w:bookmarkStart w:id="1151" w:name="_Toc152042577"/>
      <w:bookmarkStart w:id="1152" w:name="_Toc466298158"/>
      <w:bookmarkStart w:id="1153" w:name="_Toc31024"/>
      <w:bookmarkStart w:id="1154" w:name="_Toc144974857"/>
      <w:bookmarkStart w:id="1155" w:name="_Toc152045788"/>
      <w:r>
        <w:rPr>
          <w:rFonts w:hint="eastAsia" w:ascii="宋体" w:hAnsi="宋体" w:eastAsia="宋体" w:cs="宋体"/>
          <w:highlight w:val="none"/>
        </w:rPr>
        <w:br w:type="page"/>
      </w:r>
      <w:bookmarkEnd w:id="1148"/>
      <w:bookmarkEnd w:id="1149"/>
      <w:bookmarkEnd w:id="1150"/>
      <w:bookmarkEnd w:id="1151"/>
      <w:bookmarkEnd w:id="1152"/>
      <w:bookmarkEnd w:id="1153"/>
      <w:bookmarkEnd w:id="1154"/>
      <w:bookmarkEnd w:id="1155"/>
      <w:bookmarkStart w:id="1156" w:name="_Toc32161"/>
      <w:bookmarkStart w:id="1157" w:name="_Toc784"/>
      <w:r>
        <w:rPr>
          <w:rFonts w:hint="eastAsia" w:ascii="宋体" w:hAnsi="宋体" w:eastAsia="宋体" w:cs="宋体"/>
          <w:highlight w:val="none"/>
        </w:rPr>
        <w:t>一、磋商函及磋商函附录</w:t>
      </w:r>
      <w:bookmarkEnd w:id="1156"/>
      <w:bookmarkEnd w:id="1157"/>
    </w:p>
    <w:p>
      <w:pPr>
        <w:pStyle w:val="10"/>
        <w:jc w:val="center"/>
        <w:rPr>
          <w:rFonts w:hint="eastAsia" w:ascii="宋体" w:hAnsi="宋体" w:cs="宋体"/>
          <w:highlight w:val="none"/>
        </w:rPr>
      </w:pPr>
      <w:bookmarkStart w:id="1158" w:name="_Toc393"/>
      <w:bookmarkStart w:id="1159" w:name="_Toc8915"/>
      <w:bookmarkStart w:id="1160" w:name="_Toc18705"/>
      <w:bookmarkStart w:id="1161" w:name="_Toc29571"/>
      <w:bookmarkStart w:id="1162" w:name="_Toc152042578"/>
      <w:bookmarkStart w:id="1163" w:name="_Toc6005"/>
      <w:bookmarkStart w:id="1164" w:name="_Toc490667892"/>
      <w:bookmarkStart w:id="1165" w:name="_Toc3959"/>
      <w:bookmarkStart w:id="1166" w:name="_Toc466298159"/>
      <w:bookmarkStart w:id="1167" w:name="_Toc23888"/>
      <w:bookmarkStart w:id="1168" w:name="_Toc318450744"/>
      <w:bookmarkStart w:id="1169" w:name="_Toc455080170"/>
      <w:bookmarkStart w:id="1170" w:name="_Toc30581"/>
      <w:bookmarkStart w:id="1171" w:name="_Toc144974858"/>
      <w:bookmarkStart w:id="1172" w:name="_Toc152045789"/>
      <w:bookmarkStart w:id="1173" w:name="_Toc11855"/>
      <w:bookmarkStart w:id="1174" w:name="_Toc26262"/>
      <w:bookmarkStart w:id="1175" w:name="_Toc455867830"/>
      <w:bookmarkStart w:id="1176" w:name="_Toc25364"/>
      <w:r>
        <w:rPr>
          <w:rFonts w:hint="eastAsia" w:ascii="宋体" w:hAnsi="宋体" w:cs="宋体"/>
          <w:highlight w:val="none"/>
        </w:rPr>
        <w:t>（一）磋商函</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18"/>
        <w:spacing w:line="420" w:lineRule="exact"/>
        <w:ind w:left="98" w:leftChars="0" w:hanging="98" w:hangingChars="47"/>
        <w:rPr>
          <w:rFonts w:hint="eastAsia" w:ascii="宋体" w:hAnsi="宋体" w:cs="宋体"/>
          <w:szCs w:val="21"/>
          <w:highlight w:val="none"/>
        </w:rPr>
      </w:pPr>
      <w:bookmarkStart w:id="1177" w:name="_Toc466298160"/>
      <w:bookmarkStart w:id="1178" w:name="_Toc447888814"/>
      <w:bookmarkStart w:id="1179" w:name="_Toc490667893"/>
      <w:bookmarkStart w:id="1180" w:name="_Toc19056"/>
      <w:r>
        <w:rPr>
          <w:rFonts w:hint="eastAsia" w:ascii="宋体" w:hAnsi="宋体" w:cs="宋体"/>
          <w:szCs w:val="21"/>
          <w:highlight w:val="none"/>
        </w:rPr>
        <w:t>致 ：</w:t>
      </w:r>
      <w:r>
        <w:rPr>
          <w:rFonts w:hint="eastAsia" w:ascii="宋体" w:hAnsi="宋体" w:cs="宋体"/>
          <w:szCs w:val="21"/>
          <w:highlight w:val="none"/>
          <w:u w:val="single"/>
        </w:rPr>
        <w:t>（采购人）</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1．根据已收到的</w:t>
      </w:r>
      <w:r>
        <w:rPr>
          <w:rFonts w:hint="eastAsia" w:ascii="宋体" w:hAnsi="宋体" w:cs="宋体"/>
          <w:szCs w:val="21"/>
          <w:highlight w:val="none"/>
          <w:u w:val="single"/>
        </w:rPr>
        <w:t xml:space="preserve">          （项目名称）</w:t>
      </w:r>
      <w:r>
        <w:rPr>
          <w:rFonts w:hint="eastAsia" w:ascii="宋体" w:hAnsi="宋体" w:cs="宋体"/>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）的磋商总报价作为第一次磋商报价，按合同约定实施和完成本项目，并承担其任何质量缺陷等问题所造成的任何损失。</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3．我方在此承诺，我方若能成交，保证在服务期限内，全面履行竞争性磋商文件中规定的职责和义务。</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4．如果我方成交，我方保证按合同条款中规定的内容执行；我方保证质量达到国家及行业现行标准规范规定的合格要求，并按竞争性磋商文件和有关规定提交一切资料。</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5．如果我方成交，我方将按照采购人规定提交履约保证金。</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6．我方同意从响应文件递交截止日期起</w:t>
      </w:r>
      <w:r>
        <w:rPr>
          <w:rFonts w:hint="eastAsia" w:ascii="宋体" w:hAnsi="宋体" w:cs="宋体"/>
          <w:szCs w:val="21"/>
          <w:highlight w:val="none"/>
          <w:u w:val="single"/>
        </w:rPr>
        <w:t xml:space="preserve"> 60</w:t>
      </w:r>
      <w:r>
        <w:rPr>
          <w:rFonts w:hint="eastAsia" w:ascii="宋体" w:hAnsi="宋体" w:cs="宋体"/>
          <w:szCs w:val="21"/>
          <w:highlight w:val="none"/>
        </w:rPr>
        <w:t>日历天内保持响应文件有效，在此有效期内，我方将严格遵守响应文件的承诺，本响应文件对我方具有约束力，并可随时被接受成交。</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7．除响应文件所提交的资料外，我方同意随时接受贵方的检查、询问，并根据磋商需要补充贵方要求提交的资料。</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8．如果我方成交后，我方没有任何正当理由而拒签合同，同时我方愿意补偿该项工作因我方延误所造成的经济损失。</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9．我方愿接受合同条款中规定的合同价款计算和调整方式。</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10．除非另外达成协议并生效，贵方的成交通知书和本响应文件将成为约束我方的合同文件组成部分。</w:t>
      </w:r>
    </w:p>
    <w:p>
      <w:pPr>
        <w:pStyle w:val="18"/>
        <w:spacing w:line="420" w:lineRule="exact"/>
        <w:ind w:left="1" w:leftChars="0" w:firstLine="420" w:firstLineChars="200"/>
        <w:rPr>
          <w:rFonts w:hint="eastAsia" w:ascii="宋体" w:hAnsi="宋体" w:cs="宋体"/>
          <w:szCs w:val="21"/>
          <w:highlight w:val="none"/>
        </w:rPr>
      </w:pPr>
    </w:p>
    <w:p>
      <w:pPr>
        <w:pStyle w:val="18"/>
        <w:spacing w:line="420" w:lineRule="exact"/>
        <w:ind w:left="0" w:leftChars="0" w:firstLine="0" w:firstLineChars="0"/>
        <w:rPr>
          <w:rFonts w:hint="eastAsia" w:ascii="宋体" w:hAnsi="宋体" w:cs="宋体"/>
          <w:szCs w:val="21"/>
          <w:highlight w:val="none"/>
        </w:rPr>
      </w:pP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供应商：</w:t>
      </w:r>
      <w:r>
        <w:rPr>
          <w:rFonts w:hint="eastAsia" w:ascii="宋体" w:hAnsi="宋体" w:cs="宋体"/>
          <w:szCs w:val="21"/>
          <w:highlight w:val="none"/>
          <w:u w:val="single"/>
        </w:rPr>
        <w:t xml:space="preserve">             </w:t>
      </w:r>
      <w:r>
        <w:rPr>
          <w:rFonts w:hint="eastAsia" w:ascii="宋体" w:hAnsi="宋体" w:cs="宋体"/>
          <w:szCs w:val="21"/>
          <w:highlight w:val="none"/>
        </w:rPr>
        <w:t>（单位电子签章）</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pPr>
        <w:pStyle w:val="18"/>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日期：     年    月    日</w:t>
      </w:r>
    </w:p>
    <w:bookmarkEnd w:id="1177"/>
    <w:bookmarkEnd w:id="1178"/>
    <w:bookmarkEnd w:id="1179"/>
    <w:bookmarkEnd w:id="1180"/>
    <w:p>
      <w:pPr>
        <w:pStyle w:val="10"/>
        <w:jc w:val="center"/>
        <w:rPr>
          <w:rFonts w:hint="eastAsia" w:ascii="宋体" w:hAnsi="宋体" w:cs="宋体"/>
          <w:highlight w:val="none"/>
        </w:rPr>
      </w:pPr>
      <w:bookmarkStart w:id="1181" w:name="_Toc912"/>
      <w:bookmarkStart w:id="1182" w:name="_Toc2165"/>
      <w:bookmarkStart w:id="1183" w:name="_Toc32257"/>
      <w:bookmarkStart w:id="1184" w:name="_Toc11398"/>
      <w:bookmarkStart w:id="1185" w:name="_Toc3933"/>
      <w:bookmarkStart w:id="1186" w:name="_Toc32389"/>
      <w:bookmarkStart w:id="1187" w:name="_Toc144974860"/>
      <w:bookmarkStart w:id="1188" w:name="_Toc287367268"/>
      <w:bookmarkStart w:id="1189" w:name="_Toc152045791"/>
      <w:bookmarkStart w:id="1190" w:name="_Toc152042580"/>
    </w:p>
    <w:p>
      <w:pPr>
        <w:pStyle w:val="10"/>
        <w:jc w:val="center"/>
        <w:rPr>
          <w:rFonts w:hint="eastAsia" w:ascii="宋体" w:hAnsi="宋体" w:cs="宋体"/>
          <w:highlight w:val="none"/>
        </w:rPr>
      </w:pPr>
      <w:r>
        <w:rPr>
          <w:rFonts w:hint="eastAsia" w:ascii="宋体" w:hAnsi="宋体" w:cs="宋体"/>
          <w:highlight w:val="none"/>
        </w:rPr>
        <w:t>（二）响应函附录</w:t>
      </w:r>
      <w:bookmarkEnd w:id="1181"/>
      <w:bookmarkEnd w:id="1182"/>
      <w:bookmarkEnd w:id="1183"/>
      <w:bookmarkEnd w:id="1184"/>
      <w:bookmarkEnd w:id="1185"/>
      <w:bookmarkEnd w:id="1186"/>
    </w:p>
    <w:p>
      <w:pPr>
        <w:rPr>
          <w:rFonts w:hint="eastAsia" w:ascii="宋体" w:hAnsi="宋体" w:cs="宋体"/>
          <w:highlight w:val="none"/>
        </w:rPr>
      </w:pPr>
    </w:p>
    <w:tbl>
      <w:tblPr>
        <w:tblStyle w:val="31"/>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项目名称</w:t>
            </w:r>
          </w:p>
        </w:tc>
        <w:tc>
          <w:tcPr>
            <w:tcW w:w="5875" w:type="dxa"/>
            <w:gridSpan w:val="2"/>
            <w:noWrap w:val="0"/>
            <w:vAlign w:val="center"/>
          </w:tcPr>
          <w:p>
            <w:pPr>
              <w:rPr>
                <w:rFonts w:hint="eastAsia"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供应商</w:t>
            </w:r>
          </w:p>
        </w:tc>
        <w:tc>
          <w:tcPr>
            <w:tcW w:w="5875" w:type="dxa"/>
            <w:gridSpan w:val="2"/>
            <w:noWrap w:val="0"/>
            <w:vAlign w:val="center"/>
          </w:tcPr>
          <w:p>
            <w:pPr>
              <w:rPr>
                <w:rFonts w:hint="eastAsia"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20" w:hRule="atLeast"/>
          <w:jc w:val="center"/>
        </w:trPr>
        <w:tc>
          <w:tcPr>
            <w:tcW w:w="3196" w:type="dxa"/>
            <w:vMerge w:val="restart"/>
            <w:noWrap w:val="0"/>
            <w:vAlign w:val="center"/>
          </w:tcPr>
          <w:p>
            <w:pPr>
              <w:spacing w:line="360" w:lineRule="exact"/>
              <w:jc w:val="center"/>
              <w:rPr>
                <w:rFonts w:hint="eastAsia" w:ascii="宋体" w:hAnsi="宋体" w:cs="宋体"/>
                <w:b/>
                <w:bCs/>
                <w:szCs w:val="21"/>
                <w:highlight w:val="none"/>
              </w:rPr>
            </w:pPr>
            <w:r>
              <w:rPr>
                <w:rFonts w:hint="eastAsia" w:ascii="宋体" w:hAnsi="宋体" w:cs="宋体"/>
                <w:b/>
                <w:bCs/>
                <w:szCs w:val="21"/>
                <w:highlight w:val="none"/>
              </w:rPr>
              <w:t>投标报价（元）</w:t>
            </w:r>
          </w:p>
        </w:tc>
        <w:tc>
          <w:tcPr>
            <w:tcW w:w="2769" w:type="dxa"/>
            <w:noWrap w:val="0"/>
            <w:vAlign w:val="center"/>
          </w:tcPr>
          <w:p>
            <w:pPr>
              <w:rPr>
                <w:rFonts w:hint="eastAsia" w:ascii="宋体" w:hAnsi="宋体" w:cs="宋体"/>
                <w:szCs w:val="21"/>
                <w:highlight w:val="none"/>
              </w:rPr>
            </w:pPr>
            <w:r>
              <w:rPr>
                <w:rFonts w:hint="eastAsia" w:ascii="宋体" w:hAnsi="宋体" w:cs="宋体"/>
                <w:szCs w:val="21"/>
                <w:highlight w:val="none"/>
              </w:rPr>
              <w:t>（大写）</w:t>
            </w:r>
          </w:p>
        </w:tc>
        <w:tc>
          <w:tcPr>
            <w:tcW w:w="3106" w:type="dxa"/>
            <w:noWrap w:val="0"/>
            <w:vAlign w:val="center"/>
          </w:tcPr>
          <w:p>
            <w:pPr>
              <w:rPr>
                <w:rFonts w:hint="eastAsia" w:ascii="宋体" w:hAnsi="宋体" w:cs="宋体"/>
                <w:szCs w:val="21"/>
                <w:highlight w:val="none"/>
              </w:rPr>
            </w:pPr>
            <w:r>
              <w:rPr>
                <w:rFonts w:hint="eastAsia" w:ascii="宋体" w:hAnsi="宋体" w:cs="宋体"/>
                <w:szCs w:val="21"/>
                <w:highlight w:val="none"/>
              </w:rPr>
              <w:t>（小写）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20" w:hRule="atLeast"/>
          <w:jc w:val="center"/>
        </w:trPr>
        <w:tc>
          <w:tcPr>
            <w:tcW w:w="3196" w:type="dxa"/>
            <w:vMerge w:val="continue"/>
            <w:noWrap w:val="0"/>
            <w:vAlign w:val="center"/>
          </w:tcPr>
          <w:p>
            <w:pPr>
              <w:spacing w:line="360" w:lineRule="exact"/>
              <w:jc w:val="center"/>
              <w:rPr>
                <w:rFonts w:hint="eastAsia" w:ascii="宋体" w:hAnsi="宋体" w:cs="宋体"/>
                <w:b/>
                <w:bCs/>
                <w:szCs w:val="21"/>
                <w:highlight w:val="none"/>
              </w:rPr>
            </w:pPr>
          </w:p>
        </w:tc>
        <w:tc>
          <w:tcPr>
            <w:tcW w:w="5875" w:type="dxa"/>
            <w:gridSpan w:val="2"/>
            <w:noWrap w:val="0"/>
            <w:vAlign w:val="center"/>
          </w:tcPr>
          <w:p>
            <w:pPr>
              <w:rPr>
                <w:rFonts w:hint="eastAsia" w:ascii="宋体" w:hAnsi="宋体" w:cs="宋体"/>
                <w:szCs w:val="21"/>
                <w:highlight w:val="none"/>
              </w:rPr>
            </w:pPr>
            <w:r>
              <w:rPr>
                <w:rFonts w:hint="eastAsia" w:ascii="宋体" w:hAnsi="宋体" w:cs="宋体"/>
                <w:b/>
                <w:bCs/>
                <w:szCs w:val="21"/>
                <w:highlight w:val="none"/>
              </w:rPr>
              <w:t>（供应商应在此填列第一次报价，但以供应商最后一次的磋商报价为成交价）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质量要求</w:t>
            </w:r>
          </w:p>
        </w:tc>
        <w:tc>
          <w:tcPr>
            <w:tcW w:w="5875" w:type="dxa"/>
            <w:gridSpan w:val="2"/>
            <w:noWrap w:val="0"/>
            <w:vAlign w:val="center"/>
          </w:tcPr>
          <w:p>
            <w:pPr>
              <w:jc w:val="center"/>
              <w:rPr>
                <w:rFonts w:hint="eastAsia"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服务期限</w:t>
            </w:r>
          </w:p>
        </w:tc>
        <w:tc>
          <w:tcPr>
            <w:tcW w:w="5875" w:type="dxa"/>
            <w:gridSpan w:val="2"/>
            <w:noWrap w:val="0"/>
            <w:vAlign w:val="center"/>
          </w:tcPr>
          <w:p>
            <w:pPr>
              <w:jc w:val="center"/>
              <w:rPr>
                <w:rFonts w:hint="eastAsia"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项目负责人</w:t>
            </w:r>
          </w:p>
        </w:tc>
        <w:tc>
          <w:tcPr>
            <w:tcW w:w="5875" w:type="dxa"/>
            <w:gridSpan w:val="2"/>
            <w:noWrap w:val="0"/>
            <w:vAlign w:val="center"/>
          </w:tcPr>
          <w:p>
            <w:pPr>
              <w:jc w:val="center"/>
              <w:rPr>
                <w:rFonts w:hint="eastAsia"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pPr>
              <w:jc w:val="center"/>
              <w:rPr>
                <w:rFonts w:hint="eastAsia" w:ascii="宋体" w:hAnsi="宋体" w:cs="宋体"/>
                <w:b/>
                <w:bCs/>
                <w:szCs w:val="21"/>
                <w:highlight w:val="none"/>
              </w:rPr>
            </w:pPr>
            <w:r>
              <w:rPr>
                <w:rFonts w:hint="eastAsia" w:ascii="宋体" w:hAnsi="宋体" w:cs="宋体"/>
                <w:b/>
                <w:bCs/>
                <w:szCs w:val="21"/>
                <w:highlight w:val="none"/>
              </w:rPr>
              <w:t>磋商有效期</w:t>
            </w:r>
          </w:p>
        </w:tc>
        <w:tc>
          <w:tcPr>
            <w:tcW w:w="5875" w:type="dxa"/>
            <w:gridSpan w:val="2"/>
            <w:noWrap w:val="0"/>
            <w:vAlign w:val="center"/>
          </w:tcPr>
          <w:p>
            <w:pPr>
              <w:jc w:val="center"/>
              <w:rPr>
                <w:rFonts w:hint="eastAsia" w:ascii="宋体" w:hAnsi="宋体" w:cs="宋体"/>
                <w:szCs w:val="21"/>
                <w:highlight w:val="none"/>
              </w:rPr>
            </w:pPr>
          </w:p>
        </w:tc>
      </w:tr>
    </w:tbl>
    <w:p>
      <w:pPr>
        <w:rPr>
          <w:rFonts w:hint="eastAsia" w:ascii="宋体" w:hAnsi="宋体" w:cs="宋体"/>
          <w:szCs w:val="21"/>
          <w:highlight w:val="none"/>
        </w:rPr>
      </w:pPr>
    </w:p>
    <w:p>
      <w:pPr>
        <w:rPr>
          <w:rFonts w:hint="eastAsia" w:ascii="宋体" w:hAnsi="宋体" w:cs="宋体"/>
          <w:szCs w:val="21"/>
          <w:highlight w:val="none"/>
        </w:rPr>
      </w:pPr>
    </w:p>
    <w:p>
      <w:pPr>
        <w:spacing w:line="360" w:lineRule="auto"/>
        <w:rPr>
          <w:rFonts w:hint="eastAsia" w:ascii="宋体" w:hAnsi="宋体" w:cs="宋体"/>
          <w:szCs w:val="21"/>
          <w:highlight w:val="none"/>
        </w:rPr>
      </w:pPr>
      <w:r>
        <w:rPr>
          <w:rFonts w:hint="eastAsia" w:ascii="宋体" w:hAnsi="宋体" w:cs="宋体"/>
          <w:szCs w:val="21"/>
          <w:highlight w:val="none"/>
        </w:rPr>
        <w:t>供应商法定代表人或其授权委托人(签字或盖章)</w:t>
      </w:r>
      <w:r>
        <w:rPr>
          <w:rFonts w:hint="eastAsia" w:ascii="宋体" w:hAnsi="宋体" w:cs="宋体"/>
          <w:szCs w:val="21"/>
          <w:highlight w:val="none"/>
          <w:u w:val="single"/>
        </w:rPr>
        <w:t>___________________</w:t>
      </w:r>
    </w:p>
    <w:p>
      <w:pPr>
        <w:spacing w:line="360" w:lineRule="auto"/>
        <w:rPr>
          <w:rFonts w:hint="eastAsia" w:ascii="宋体" w:hAnsi="宋体" w:cs="宋体"/>
          <w:szCs w:val="21"/>
          <w:highlight w:val="none"/>
        </w:rPr>
      </w:pPr>
      <w:r>
        <w:rPr>
          <w:rFonts w:hint="eastAsia" w:ascii="宋体" w:hAnsi="宋体" w:cs="宋体"/>
          <w:szCs w:val="21"/>
          <w:highlight w:val="none"/>
        </w:rPr>
        <w:t>供应商(单位电子签章):</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rPr>
        <w:tab/>
      </w:r>
    </w:p>
    <w:p>
      <w:pPr>
        <w:spacing w:line="360" w:lineRule="auto"/>
        <w:ind w:firstLine="210" w:firstLineChars="100"/>
        <w:rPr>
          <w:rFonts w:hint="eastAsia" w:ascii="宋体" w:hAnsi="宋体" w:eastAsia="宋体" w:cs="宋体"/>
          <w:highlight w:val="none"/>
        </w:rPr>
      </w:pPr>
      <w:r>
        <w:rPr>
          <w:rFonts w:hint="eastAsia" w:ascii="宋体" w:hAnsi="宋体" w:cs="宋体"/>
          <w:szCs w:val="21"/>
          <w:highlight w:val="none"/>
        </w:rPr>
        <w:t>年   月   日</w:t>
      </w:r>
      <w:bookmarkStart w:id="1191" w:name="_Toc466298161"/>
      <w:bookmarkStart w:id="1192" w:name="_Toc23978"/>
      <w:bookmarkStart w:id="1193" w:name="_Toc24653"/>
      <w:bookmarkStart w:id="1194" w:name="_Toc18287"/>
      <w:bookmarkStart w:id="1195" w:name="_Toc555"/>
    </w:p>
    <w:p>
      <w:pPr>
        <w:pStyle w:val="9"/>
        <w:jc w:val="center"/>
        <w:rPr>
          <w:rFonts w:hint="eastAsia" w:ascii="宋体" w:hAnsi="宋体" w:eastAsia="宋体" w:cs="宋体"/>
          <w:highlight w:val="none"/>
        </w:rPr>
      </w:pPr>
      <w:bookmarkStart w:id="1196" w:name="_Toc25403"/>
    </w:p>
    <w:p>
      <w:pPr>
        <w:pStyle w:val="9"/>
        <w:jc w:val="center"/>
        <w:rPr>
          <w:rFonts w:hint="eastAsia" w:ascii="宋体" w:hAnsi="宋体" w:eastAsia="宋体" w:cs="宋体"/>
          <w:highlight w:val="none"/>
        </w:rPr>
      </w:pPr>
      <w:bookmarkStart w:id="1197" w:name="_Toc18581"/>
      <w:r>
        <w:rPr>
          <w:rFonts w:hint="eastAsia" w:ascii="宋体" w:hAnsi="宋体" w:eastAsia="宋体" w:cs="宋体"/>
          <w:highlight w:val="none"/>
        </w:rPr>
        <w:t>二、</w:t>
      </w:r>
      <w:bookmarkEnd w:id="1187"/>
      <w:bookmarkEnd w:id="1188"/>
      <w:bookmarkEnd w:id="1189"/>
      <w:bookmarkEnd w:id="1190"/>
      <w:r>
        <w:rPr>
          <w:rFonts w:hint="eastAsia" w:ascii="宋体" w:hAnsi="宋体" w:eastAsia="宋体" w:cs="宋体"/>
          <w:highlight w:val="none"/>
        </w:rPr>
        <w:t>法定代表身份证明</w:t>
      </w:r>
      <w:bookmarkEnd w:id="1191"/>
      <w:bookmarkEnd w:id="1192"/>
      <w:bookmarkEnd w:id="1193"/>
      <w:bookmarkEnd w:id="1194"/>
      <w:bookmarkEnd w:id="1195"/>
      <w:bookmarkEnd w:id="1196"/>
      <w:bookmarkEnd w:id="1197"/>
    </w:p>
    <w:p>
      <w:pPr>
        <w:spacing w:line="440" w:lineRule="exact"/>
        <w:jc w:val="center"/>
        <w:rPr>
          <w:rFonts w:hint="eastAsia" w:ascii="宋体" w:hAnsi="宋体" w:cs="宋体"/>
          <w:sz w:val="20"/>
          <w:szCs w:val="20"/>
          <w:highlight w:val="none"/>
        </w:rPr>
      </w:pP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供应商名称：</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单位性质：</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地址：</w:t>
      </w:r>
      <w:r>
        <w:rPr>
          <w:rFonts w:hint="eastAsia" w:ascii="宋体" w:hAnsi="宋体" w:cs="宋体"/>
          <w:sz w:val="22"/>
          <w:szCs w:val="20"/>
          <w:highlight w:val="none"/>
          <w:u w:val="single"/>
        </w:rPr>
        <w:t xml:space="preserve">                                   </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成立时间：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日</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经营期限：</w:t>
      </w:r>
      <w:r>
        <w:rPr>
          <w:rFonts w:hint="eastAsia" w:ascii="宋体" w:hAnsi="宋体" w:cs="宋体"/>
          <w:sz w:val="22"/>
          <w:szCs w:val="20"/>
          <w:highlight w:val="none"/>
          <w:u w:val="single"/>
        </w:rPr>
        <w:t xml:space="preserve">                               </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姓名：</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性别：</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年龄：</w:t>
      </w:r>
      <w:r>
        <w:rPr>
          <w:rFonts w:hint="eastAsia" w:ascii="宋体" w:hAnsi="宋体" w:cs="宋体"/>
          <w:sz w:val="22"/>
          <w:szCs w:val="20"/>
          <w:highlight w:val="none"/>
          <w:u w:val="single"/>
        </w:rPr>
        <w:t xml:space="preserve">        </w:t>
      </w:r>
      <w:r>
        <w:rPr>
          <w:rFonts w:hint="eastAsia" w:ascii="宋体" w:hAnsi="宋体" w:cs="宋体"/>
          <w:sz w:val="22"/>
          <w:szCs w:val="20"/>
          <w:highlight w:val="none"/>
        </w:rPr>
        <w:t>职务：</w:t>
      </w:r>
      <w:r>
        <w:rPr>
          <w:rFonts w:hint="eastAsia" w:ascii="宋体" w:hAnsi="宋体" w:cs="宋体"/>
          <w:sz w:val="22"/>
          <w:szCs w:val="20"/>
          <w:highlight w:val="none"/>
          <w:u w:val="single"/>
        </w:rPr>
        <w:t xml:space="preserve">        </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（供应商名称）的法定代表人。</w:t>
      </w:r>
    </w:p>
    <w:p>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特此证明。</w:t>
      </w:r>
    </w:p>
    <w:p>
      <w:pPr>
        <w:spacing w:line="440" w:lineRule="exact"/>
        <w:rPr>
          <w:rFonts w:hint="eastAsia" w:ascii="宋体" w:hAnsi="宋体" w:cs="宋体"/>
          <w:sz w:val="22"/>
          <w:szCs w:val="20"/>
          <w:highlight w:val="none"/>
        </w:rPr>
      </w:pPr>
    </w:p>
    <w:p>
      <w:pPr>
        <w:spacing w:line="440" w:lineRule="exact"/>
        <w:rPr>
          <w:rFonts w:hint="eastAsia" w:ascii="宋体" w:hAnsi="宋体" w:cs="宋体"/>
          <w:sz w:val="22"/>
          <w:szCs w:val="20"/>
          <w:highlight w:val="none"/>
        </w:rPr>
      </w:pPr>
    </w:p>
    <w:p>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w:t>
      </w: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日 </w:t>
      </w:r>
    </w:p>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9" w:hRule="atLeast"/>
        </w:trPr>
        <w:tc>
          <w:tcPr>
            <w:tcW w:w="8528" w:type="dxa"/>
            <w:noWrap w:val="0"/>
            <w:vAlign w:val="center"/>
          </w:tcPr>
          <w:p>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法定代表人身份证扫描件</w:t>
            </w:r>
          </w:p>
          <w:p>
            <w:pPr>
              <w:spacing w:line="440" w:lineRule="exact"/>
              <w:jc w:val="center"/>
              <w:rPr>
                <w:rFonts w:hint="eastAsia" w:ascii="宋体" w:hAnsi="宋体" w:cs="宋体"/>
                <w:sz w:val="20"/>
                <w:szCs w:val="20"/>
                <w:highlight w:val="none"/>
              </w:rPr>
            </w:pPr>
          </w:p>
        </w:tc>
      </w:tr>
    </w:tbl>
    <w:p>
      <w:pPr>
        <w:spacing w:line="440" w:lineRule="exact"/>
        <w:rPr>
          <w:rFonts w:hint="eastAsia" w:ascii="宋体" w:hAnsi="宋体" w:cs="宋体"/>
          <w:sz w:val="20"/>
          <w:szCs w:val="20"/>
          <w:highlight w:val="none"/>
        </w:rPr>
      </w:pPr>
    </w:p>
    <w:p>
      <w:pPr>
        <w:spacing w:line="440" w:lineRule="exact"/>
        <w:rPr>
          <w:rFonts w:hint="eastAsia" w:ascii="宋体" w:hAnsi="宋体" w:cs="宋体"/>
          <w:sz w:val="20"/>
          <w:szCs w:val="20"/>
          <w:highlight w:val="none"/>
        </w:rPr>
      </w:pPr>
    </w:p>
    <w:p>
      <w:pPr>
        <w:spacing w:line="440" w:lineRule="exact"/>
        <w:rPr>
          <w:rFonts w:hint="eastAsia" w:ascii="宋体" w:hAnsi="宋体" w:cs="宋体"/>
          <w:sz w:val="18"/>
          <w:szCs w:val="18"/>
          <w:highlight w:val="none"/>
        </w:rPr>
      </w:pPr>
    </w:p>
    <w:p>
      <w:pPr>
        <w:spacing w:line="440" w:lineRule="exact"/>
        <w:rPr>
          <w:rFonts w:hint="eastAsia" w:ascii="宋体" w:hAnsi="宋体" w:cs="宋体"/>
          <w:sz w:val="18"/>
          <w:szCs w:val="18"/>
          <w:highlight w:val="none"/>
        </w:rPr>
      </w:pPr>
    </w:p>
    <w:p>
      <w:pPr>
        <w:pStyle w:val="9"/>
        <w:jc w:val="center"/>
        <w:rPr>
          <w:rFonts w:hint="eastAsia" w:ascii="宋体" w:hAnsi="宋体" w:eastAsia="宋体" w:cs="宋体"/>
          <w:highlight w:val="none"/>
        </w:rPr>
      </w:pPr>
      <w:bookmarkStart w:id="1198" w:name="_Toc4444"/>
      <w:bookmarkStart w:id="1199" w:name="_Toc441791190"/>
      <w:bookmarkStart w:id="1200" w:name="_Toc23371"/>
      <w:bookmarkStart w:id="1201" w:name="_Toc20490"/>
      <w:bookmarkStart w:id="1202" w:name="_Toc21616"/>
      <w:bookmarkStart w:id="1203" w:name="_Toc18014"/>
      <w:bookmarkStart w:id="1204" w:name="_Toc318989765"/>
      <w:bookmarkStart w:id="1205" w:name="_Toc21874"/>
      <w:bookmarkStart w:id="1206" w:name="_Toc202941490"/>
      <w:bookmarkStart w:id="1207" w:name="_Toc466298162"/>
      <w:r>
        <w:rPr>
          <w:rFonts w:hint="eastAsia" w:ascii="宋体" w:hAnsi="宋体" w:eastAsia="宋体" w:cs="宋体"/>
          <w:highlight w:val="none"/>
        </w:rPr>
        <w:t>三、授权委托书</w:t>
      </w:r>
      <w:bookmarkEnd w:id="1198"/>
      <w:bookmarkEnd w:id="1199"/>
      <w:bookmarkEnd w:id="1200"/>
      <w:bookmarkEnd w:id="1201"/>
      <w:bookmarkEnd w:id="1202"/>
      <w:bookmarkEnd w:id="1203"/>
      <w:bookmarkEnd w:id="1204"/>
      <w:bookmarkEnd w:id="1205"/>
      <w:bookmarkEnd w:id="1206"/>
      <w:bookmarkEnd w:id="1207"/>
    </w:p>
    <w:p>
      <w:pPr>
        <w:topLinePunct/>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本人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（供应商名称）的法定代表人，现委托</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（姓名）为我方代理人。代理人根据授权，以我方名义签署、澄清、说明、补正、递交、撤回、修改</w:t>
      </w:r>
      <w:r>
        <w:rPr>
          <w:rFonts w:hint="eastAsia" w:ascii="宋体" w:hAnsi="宋体" w:cs="宋体"/>
          <w:sz w:val="22"/>
          <w:szCs w:val="20"/>
          <w:highlight w:val="none"/>
          <w:u w:val="single"/>
        </w:rPr>
        <w:t xml:space="preserve">           </w:t>
      </w:r>
      <w:r>
        <w:rPr>
          <w:rFonts w:hint="eastAsia" w:ascii="宋体" w:hAnsi="宋体" w:cs="宋体"/>
          <w:sz w:val="22"/>
          <w:szCs w:val="20"/>
          <w:highlight w:val="none"/>
        </w:rPr>
        <w:t>（项目名称）响应文件、签订合同和处理有关事宜，其法律后果由我方承担。</w:t>
      </w:r>
    </w:p>
    <w:p>
      <w:pPr>
        <w:spacing w:line="440" w:lineRule="exact"/>
        <w:rPr>
          <w:rFonts w:hint="eastAsia" w:ascii="宋体" w:hAnsi="宋体" w:cs="宋体"/>
          <w:sz w:val="22"/>
          <w:szCs w:val="20"/>
          <w:highlight w:val="none"/>
        </w:rPr>
      </w:pPr>
      <w:r>
        <w:rPr>
          <w:rFonts w:hint="eastAsia" w:ascii="宋体" w:hAnsi="宋体" w:cs="宋体"/>
          <w:sz w:val="22"/>
          <w:szCs w:val="20"/>
          <w:highlight w:val="none"/>
        </w:rPr>
        <w:t xml:space="preserve">    委托期限：</w:t>
      </w:r>
      <w:r>
        <w:rPr>
          <w:rFonts w:hint="eastAsia" w:ascii="宋体" w:hAnsi="宋体" w:cs="宋体"/>
          <w:sz w:val="22"/>
          <w:szCs w:val="20"/>
          <w:highlight w:val="none"/>
          <w:u w:val="single"/>
        </w:rPr>
        <w:t xml:space="preserve">长期 </w:t>
      </w:r>
      <w:r>
        <w:rPr>
          <w:rFonts w:hint="eastAsia" w:ascii="宋体" w:hAnsi="宋体" w:cs="宋体"/>
          <w:sz w:val="22"/>
          <w:szCs w:val="20"/>
          <w:highlight w:val="none"/>
        </w:rPr>
        <w:t>。</w:t>
      </w:r>
    </w:p>
    <w:p>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代理人无转委托权。</w:t>
      </w:r>
    </w:p>
    <w:p>
      <w:pPr>
        <w:spacing w:line="440" w:lineRule="exact"/>
        <w:rPr>
          <w:rFonts w:hint="eastAsia" w:ascii="宋体" w:hAnsi="宋体" w:cs="宋体"/>
          <w:sz w:val="22"/>
          <w:szCs w:val="20"/>
          <w:highlight w:val="none"/>
        </w:rPr>
      </w:pPr>
    </w:p>
    <w:p>
      <w:pPr>
        <w:spacing w:line="440" w:lineRule="exact"/>
        <w:rPr>
          <w:rFonts w:hint="eastAsia" w:ascii="宋体" w:hAnsi="宋体" w:cs="宋体"/>
          <w:sz w:val="22"/>
          <w:szCs w:val="20"/>
          <w:highlight w:val="none"/>
        </w:rPr>
      </w:pPr>
    </w:p>
    <w:p>
      <w:pPr>
        <w:spacing w:line="440" w:lineRule="exact"/>
        <w:rPr>
          <w:rFonts w:hint="eastAsia" w:ascii="宋体" w:hAnsi="宋体" w:cs="宋体"/>
          <w:sz w:val="22"/>
          <w:szCs w:val="20"/>
          <w:highlight w:val="none"/>
        </w:rPr>
      </w:pPr>
    </w:p>
    <w:p>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法定代表人：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委托代理人：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日</w:t>
      </w:r>
    </w:p>
    <w:p>
      <w:pPr>
        <w:spacing w:line="440" w:lineRule="exact"/>
        <w:rPr>
          <w:rFonts w:hint="eastAsia" w:ascii="宋体" w:hAnsi="宋体" w:cs="宋体"/>
          <w:sz w:val="20"/>
          <w:szCs w:val="20"/>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5" w:hRule="atLeast"/>
          <w:jc w:val="center"/>
        </w:trPr>
        <w:tc>
          <w:tcPr>
            <w:tcW w:w="8528" w:type="dxa"/>
            <w:noWrap w:val="0"/>
            <w:vAlign w:val="center"/>
          </w:tcPr>
          <w:p>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委托代理人身份证扫描件</w:t>
            </w:r>
          </w:p>
          <w:p>
            <w:pPr>
              <w:spacing w:line="440" w:lineRule="exact"/>
              <w:jc w:val="center"/>
              <w:rPr>
                <w:rFonts w:hint="eastAsia" w:ascii="宋体" w:hAnsi="宋体" w:cs="宋体"/>
                <w:sz w:val="20"/>
                <w:szCs w:val="20"/>
                <w:highlight w:val="none"/>
              </w:rPr>
            </w:pPr>
          </w:p>
        </w:tc>
      </w:tr>
    </w:tbl>
    <w:p>
      <w:pPr>
        <w:spacing w:line="440" w:lineRule="exact"/>
        <w:rPr>
          <w:rFonts w:hint="eastAsia" w:ascii="宋体" w:hAnsi="宋体" w:cs="宋体"/>
          <w:sz w:val="20"/>
          <w:szCs w:val="20"/>
          <w:highlight w:val="none"/>
        </w:rPr>
      </w:pPr>
    </w:p>
    <w:p>
      <w:pPr>
        <w:pStyle w:val="9"/>
        <w:rPr>
          <w:rFonts w:hint="eastAsia" w:ascii="宋体" w:hAnsi="宋体" w:eastAsia="宋体" w:cs="宋体"/>
          <w:highlight w:val="none"/>
        </w:rPr>
      </w:pPr>
      <w:bookmarkStart w:id="1208" w:name="_Toc17791"/>
      <w:bookmarkStart w:id="1209" w:name="_Toc14223"/>
      <w:bookmarkStart w:id="1210" w:name="_Toc8208"/>
      <w:bookmarkStart w:id="1211" w:name="_Toc15039"/>
    </w:p>
    <w:p>
      <w:pPr>
        <w:rPr>
          <w:rFonts w:hint="eastAsia" w:ascii="宋体" w:hAnsi="宋体" w:cs="宋体"/>
          <w:b/>
          <w:bCs/>
          <w:highlight w:val="none"/>
        </w:rPr>
      </w:pPr>
    </w:p>
    <w:p>
      <w:pPr>
        <w:pStyle w:val="2"/>
        <w:spacing w:before="156" w:after="156"/>
        <w:rPr>
          <w:rFonts w:hint="eastAsia"/>
          <w:highlight w:val="none"/>
        </w:rPr>
      </w:pPr>
    </w:p>
    <w:p>
      <w:pPr>
        <w:pStyle w:val="9"/>
        <w:jc w:val="center"/>
        <w:rPr>
          <w:rFonts w:hint="eastAsia" w:ascii="宋体" w:hAnsi="宋体" w:eastAsia="宋体" w:cs="宋体"/>
          <w:highlight w:val="none"/>
        </w:rPr>
      </w:pPr>
      <w:bookmarkStart w:id="1212" w:name="_Toc14712"/>
      <w:bookmarkStart w:id="1213" w:name="_Toc23445"/>
      <w:r>
        <w:rPr>
          <w:rFonts w:hint="eastAsia" w:ascii="宋体" w:hAnsi="宋体" w:eastAsia="宋体" w:cs="宋体"/>
          <w:highlight w:val="none"/>
        </w:rPr>
        <w:t>四、资格证明文件</w:t>
      </w:r>
      <w:bookmarkEnd w:id="1208"/>
      <w:bookmarkEnd w:id="1209"/>
      <w:bookmarkEnd w:id="1210"/>
      <w:bookmarkEnd w:id="1211"/>
      <w:bookmarkEnd w:id="1212"/>
      <w:bookmarkEnd w:id="1213"/>
    </w:p>
    <w:p>
      <w:pPr>
        <w:pStyle w:val="10"/>
        <w:jc w:val="center"/>
        <w:rPr>
          <w:rFonts w:hint="eastAsia" w:ascii="宋体" w:hAnsi="宋体" w:cs="宋体"/>
          <w:highlight w:val="none"/>
        </w:rPr>
      </w:pPr>
      <w:bookmarkStart w:id="1214" w:name="_Toc8976"/>
      <w:bookmarkStart w:id="1215" w:name="_Toc8642"/>
      <w:bookmarkStart w:id="1216" w:name="_Toc1102"/>
      <w:bookmarkStart w:id="1217" w:name="_Toc16788"/>
      <w:r>
        <w:rPr>
          <w:rFonts w:hint="eastAsia" w:ascii="宋体" w:hAnsi="宋体" w:cs="宋体"/>
          <w:highlight w:val="none"/>
        </w:rPr>
        <w:t>（一）供应商基本情况表</w:t>
      </w:r>
      <w:bookmarkEnd w:id="1214"/>
      <w:bookmarkEnd w:id="1215"/>
      <w:bookmarkEnd w:id="1216"/>
      <w:bookmarkEnd w:id="1217"/>
    </w:p>
    <w:p>
      <w:pPr>
        <w:spacing w:line="480" w:lineRule="exact"/>
        <w:rPr>
          <w:rFonts w:hint="eastAsia" w:ascii="宋体" w:hAnsi="宋体" w:cs="宋体"/>
          <w:b/>
          <w:sz w:val="32"/>
          <w:szCs w:val="32"/>
          <w:highlight w:val="none"/>
        </w:rPr>
      </w:pPr>
    </w:p>
    <w:tbl>
      <w:tblPr>
        <w:tblStyle w:val="31"/>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供应商名称</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注册地址</w:t>
            </w:r>
          </w:p>
        </w:tc>
        <w:tc>
          <w:tcPr>
            <w:tcW w:w="3900" w:type="dxa"/>
            <w:gridSpan w:val="3"/>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邮政编码</w:t>
            </w:r>
          </w:p>
        </w:tc>
        <w:tc>
          <w:tcPr>
            <w:tcW w:w="2142"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联系方式</w:t>
            </w: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联系人</w:t>
            </w:r>
          </w:p>
        </w:tc>
        <w:tc>
          <w:tcPr>
            <w:tcW w:w="2917"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2142"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传  真</w:t>
            </w:r>
          </w:p>
        </w:tc>
        <w:tc>
          <w:tcPr>
            <w:tcW w:w="2917"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网  址</w:t>
            </w:r>
          </w:p>
        </w:tc>
        <w:tc>
          <w:tcPr>
            <w:tcW w:w="2142"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法定代表人</w:t>
            </w: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技术负责人</w:t>
            </w: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成立时间</w:t>
            </w:r>
          </w:p>
        </w:tc>
        <w:tc>
          <w:tcPr>
            <w:tcW w:w="2446"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员工总人数</w:t>
            </w:r>
          </w:p>
        </w:tc>
        <w:tc>
          <w:tcPr>
            <w:tcW w:w="3069" w:type="dxa"/>
            <w:gridSpan w:val="3"/>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营业执照号</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p>
            <w:pPr>
              <w:pStyle w:val="46"/>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注册资金</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开户银行</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账号</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经营范围</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highlight w:val="none"/>
              </w:rPr>
            </w:pPr>
          </w:p>
          <w:p>
            <w:pPr>
              <w:pStyle w:val="46"/>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szCs w:val="21"/>
                <w:highlight w:val="none"/>
              </w:rPr>
              <w:t>备注</w:t>
            </w:r>
          </w:p>
        </w:tc>
        <w:tc>
          <w:tcPr>
            <w:tcW w:w="6969" w:type="dxa"/>
            <w:gridSpan w:val="6"/>
            <w:noWrap w:val="0"/>
            <w:vAlign w:val="center"/>
          </w:tcPr>
          <w:p>
            <w:pPr>
              <w:pStyle w:val="46"/>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pPr>
        <w:spacing w:line="480" w:lineRule="exact"/>
        <w:rPr>
          <w:rFonts w:hint="eastAsia" w:ascii="宋体" w:hAnsi="宋体" w:cs="宋体"/>
          <w:highlight w:val="none"/>
        </w:rPr>
      </w:pPr>
    </w:p>
    <w:p>
      <w:pPr>
        <w:rPr>
          <w:rFonts w:hint="eastAsia" w:ascii="宋体" w:hAnsi="宋体" w:cs="宋体"/>
          <w:sz w:val="20"/>
          <w:szCs w:val="22"/>
          <w:highlight w:val="none"/>
        </w:rPr>
      </w:pPr>
      <w:r>
        <w:rPr>
          <w:rFonts w:hint="eastAsia" w:ascii="宋体" w:hAnsi="宋体" w:cs="宋体"/>
          <w:sz w:val="20"/>
          <w:szCs w:val="22"/>
          <w:highlight w:val="none"/>
        </w:rPr>
        <w:t>注：1.根据供应商须知第3.5项的要求在本表后附供应商信用承诺函。</w:t>
      </w:r>
    </w:p>
    <w:p>
      <w:pPr>
        <w:numPr>
          <w:ilvl w:val="0"/>
          <w:numId w:val="7"/>
        </w:numPr>
        <w:rPr>
          <w:rFonts w:hint="eastAsia" w:ascii="宋体" w:hAnsi="宋体" w:cs="宋体"/>
          <w:sz w:val="20"/>
          <w:szCs w:val="22"/>
          <w:highlight w:val="none"/>
        </w:rPr>
      </w:pPr>
      <w:r>
        <w:rPr>
          <w:rFonts w:hint="eastAsia" w:ascii="宋体" w:hAnsi="宋体" w:cs="宋体"/>
          <w:sz w:val="20"/>
          <w:szCs w:val="22"/>
          <w:highlight w:val="none"/>
        </w:rPr>
        <w:t>本项目的特定资格要求（如有）：需提供相应的证明材料。</w:t>
      </w:r>
    </w:p>
    <w:p>
      <w:pPr>
        <w:pStyle w:val="11"/>
        <w:rPr>
          <w:rFonts w:hint="eastAsia" w:ascii="宋体" w:hAnsi="宋体" w:eastAsia="宋体" w:cs="宋体"/>
          <w:highlight w:val="none"/>
        </w:rPr>
      </w:pPr>
      <w:r>
        <w:rPr>
          <w:rFonts w:hint="eastAsia" w:ascii="宋体" w:hAnsi="宋体" w:eastAsia="宋体" w:cs="宋体"/>
          <w:highlight w:val="none"/>
        </w:rPr>
        <w:t>附件：</w:t>
      </w:r>
    </w:p>
    <w:p>
      <w:pPr>
        <w:pStyle w:val="12"/>
        <w:spacing w:line="480" w:lineRule="auto"/>
        <w:jc w:val="center"/>
        <w:rPr>
          <w:rFonts w:hint="eastAsia" w:ascii="宋体" w:hAnsi="宋体" w:eastAsia="宋体" w:cs="宋体"/>
          <w:highlight w:val="none"/>
        </w:rPr>
      </w:pPr>
      <w:r>
        <w:rPr>
          <w:rFonts w:hint="eastAsia" w:ascii="宋体" w:hAnsi="宋体" w:eastAsia="宋体" w:cs="宋体"/>
          <w:highlight w:val="none"/>
        </w:rPr>
        <w:t>信阳市政府采购供应商信用承诺</w:t>
      </w:r>
    </w:p>
    <w:p>
      <w:pPr>
        <w:pStyle w:val="15"/>
        <w:ind w:firstLine="0" w:firstLineChars="0"/>
        <w:rPr>
          <w:rFonts w:hint="eastAsia" w:ascii="宋体" w:hAnsi="宋体" w:cs="宋体"/>
          <w:highlight w:val="none"/>
          <w:u w:val="single"/>
        </w:rPr>
      </w:pPr>
      <w:r>
        <w:rPr>
          <w:rFonts w:hint="eastAsia" w:ascii="宋体" w:hAnsi="宋体" w:cs="宋体"/>
          <w:highlight w:val="none"/>
          <w:u w:val="single"/>
        </w:rPr>
        <w:t xml:space="preserve">致（采购人或采购代理机构）：               </w:t>
      </w:r>
    </w:p>
    <w:p>
      <w:pPr>
        <w:pStyle w:val="15"/>
        <w:ind w:firstLine="0" w:firstLineChars="0"/>
        <w:rPr>
          <w:rFonts w:hint="eastAsia" w:ascii="宋体" w:hAnsi="宋体" w:cs="宋体"/>
          <w:highlight w:val="none"/>
          <w:u w:val="single"/>
        </w:rPr>
      </w:pPr>
      <w:r>
        <w:rPr>
          <w:rFonts w:hint="eastAsia" w:ascii="宋体" w:hAnsi="宋体" w:cs="宋体"/>
          <w:highlight w:val="none"/>
          <w:u w:val="single"/>
        </w:rPr>
        <w:t xml:space="preserve">单位名称（自然人姓名）：   </w:t>
      </w:r>
    </w:p>
    <w:p>
      <w:pPr>
        <w:pStyle w:val="15"/>
        <w:ind w:firstLine="0" w:firstLineChars="0"/>
        <w:rPr>
          <w:rFonts w:hint="eastAsia" w:ascii="宋体" w:hAnsi="宋体" w:cs="宋体"/>
          <w:highlight w:val="none"/>
          <w:u w:val="single"/>
        </w:rPr>
      </w:pPr>
      <w:r>
        <w:rPr>
          <w:rFonts w:hint="eastAsia" w:ascii="宋体" w:hAnsi="宋体" w:cs="宋体"/>
          <w:highlight w:val="none"/>
          <w:u w:val="single"/>
        </w:rPr>
        <w:t xml:space="preserve">统一社会信用代码（身份证号码）： </w:t>
      </w:r>
    </w:p>
    <w:p>
      <w:pPr>
        <w:pStyle w:val="15"/>
        <w:ind w:firstLine="0" w:firstLineChars="0"/>
        <w:rPr>
          <w:rFonts w:hint="eastAsia" w:ascii="宋体" w:hAnsi="宋体" w:cs="宋体"/>
          <w:highlight w:val="none"/>
          <w:u w:val="single"/>
        </w:rPr>
      </w:pPr>
      <w:r>
        <w:rPr>
          <w:rFonts w:hint="eastAsia" w:ascii="宋体" w:hAnsi="宋体" w:cs="宋体"/>
          <w:highlight w:val="none"/>
          <w:u w:val="single"/>
        </w:rPr>
        <w:t xml:space="preserve">法定代表人（负责人）：   </w:t>
      </w:r>
    </w:p>
    <w:p>
      <w:pPr>
        <w:pStyle w:val="15"/>
        <w:ind w:firstLine="0" w:firstLineChars="0"/>
        <w:rPr>
          <w:rFonts w:hint="eastAsia" w:ascii="宋体" w:hAnsi="宋体" w:cs="宋体"/>
          <w:highlight w:val="none"/>
          <w:u w:val="single"/>
        </w:rPr>
      </w:pPr>
      <w:r>
        <w:rPr>
          <w:rFonts w:hint="eastAsia" w:ascii="宋体" w:hAnsi="宋体" w:cs="宋体"/>
          <w:highlight w:val="none"/>
          <w:u w:val="single"/>
        </w:rPr>
        <w:t xml:space="preserve">联系地址和电话：              </w:t>
      </w:r>
    </w:p>
    <w:p>
      <w:pPr>
        <w:pStyle w:val="15"/>
        <w:rPr>
          <w:rFonts w:hint="eastAsia" w:ascii="宋体" w:hAnsi="宋体" w:cs="宋体"/>
          <w:highlight w:val="none"/>
        </w:rPr>
      </w:pPr>
      <w:r>
        <w:rPr>
          <w:rFonts w:hint="eastAsia" w:ascii="宋体" w:hAnsi="宋体" w:cs="宋体"/>
          <w:highlight w:val="none"/>
        </w:rPr>
        <w:t>为维护公平、公正、公开的政府采购市场秩序，树立诚实守信的政府采购供应商形象，我单位（本人）自愿作出以下承诺：</w:t>
      </w:r>
    </w:p>
    <w:p>
      <w:pPr>
        <w:pStyle w:val="15"/>
        <w:rPr>
          <w:rFonts w:hint="eastAsia" w:ascii="宋体" w:hAnsi="宋体" w:cs="宋体"/>
          <w:highlight w:val="none"/>
        </w:rPr>
      </w:pPr>
      <w:r>
        <w:rPr>
          <w:rFonts w:hint="eastAsia" w:ascii="宋体" w:hAnsi="宋体" w:cs="宋体"/>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pStyle w:val="15"/>
        <w:numPr>
          <w:ilvl w:val="0"/>
          <w:numId w:val="8"/>
        </w:numPr>
        <w:ind w:firstLineChars="0"/>
        <w:rPr>
          <w:rFonts w:hint="eastAsia" w:ascii="宋体" w:hAnsi="宋体" w:cs="宋体"/>
          <w:highlight w:val="none"/>
        </w:rPr>
      </w:pPr>
      <w:r>
        <w:rPr>
          <w:rFonts w:hint="eastAsia" w:ascii="宋体" w:hAnsi="宋体" w:cs="宋体"/>
          <w:highlight w:val="none"/>
        </w:rPr>
        <w:t>具有独立承担民事责任的能力；</w:t>
      </w:r>
    </w:p>
    <w:p>
      <w:pPr>
        <w:pStyle w:val="15"/>
        <w:numPr>
          <w:ilvl w:val="0"/>
          <w:numId w:val="8"/>
        </w:numPr>
        <w:ind w:firstLineChars="0"/>
        <w:rPr>
          <w:rFonts w:hint="eastAsia" w:ascii="宋体" w:hAnsi="宋体" w:cs="宋体"/>
          <w:highlight w:val="none"/>
        </w:rPr>
      </w:pPr>
      <w:r>
        <w:rPr>
          <w:rFonts w:hint="eastAsia" w:ascii="宋体" w:hAnsi="宋体" w:cs="宋体"/>
          <w:highlight w:val="none"/>
        </w:rPr>
        <w:t xml:space="preserve">具有良好的商业信誉和健全的财务会计制度； </w:t>
      </w:r>
    </w:p>
    <w:p>
      <w:pPr>
        <w:pStyle w:val="15"/>
        <w:numPr>
          <w:ilvl w:val="0"/>
          <w:numId w:val="8"/>
        </w:numPr>
        <w:ind w:firstLineChars="0"/>
        <w:rPr>
          <w:rFonts w:hint="eastAsia" w:ascii="宋体" w:hAnsi="宋体" w:cs="宋体"/>
          <w:highlight w:val="none"/>
        </w:rPr>
      </w:pPr>
      <w:r>
        <w:rPr>
          <w:rFonts w:hint="eastAsia" w:ascii="宋体" w:hAnsi="宋体" w:cs="宋体"/>
          <w:highlight w:val="none"/>
        </w:rPr>
        <w:t>具有履行合同所必需的设备和专业技术能力；</w:t>
      </w:r>
    </w:p>
    <w:p>
      <w:pPr>
        <w:pStyle w:val="15"/>
        <w:numPr>
          <w:ilvl w:val="0"/>
          <w:numId w:val="8"/>
        </w:numPr>
        <w:ind w:firstLineChars="0"/>
        <w:rPr>
          <w:rFonts w:hint="eastAsia" w:ascii="宋体" w:hAnsi="宋体" w:cs="宋体"/>
          <w:highlight w:val="none"/>
        </w:rPr>
      </w:pPr>
      <w:r>
        <w:rPr>
          <w:rFonts w:hint="eastAsia" w:ascii="宋体" w:hAnsi="宋体" w:cs="宋体"/>
          <w:highlight w:val="none"/>
        </w:rPr>
        <w:t xml:space="preserve">有依法缴纳税收和社会保障资金的良好记录； </w:t>
      </w:r>
    </w:p>
    <w:p>
      <w:pPr>
        <w:pStyle w:val="15"/>
        <w:numPr>
          <w:ilvl w:val="0"/>
          <w:numId w:val="8"/>
        </w:numPr>
        <w:ind w:firstLineChars="0"/>
        <w:rPr>
          <w:rFonts w:hint="eastAsia" w:ascii="宋体" w:hAnsi="宋体" w:cs="宋体"/>
          <w:highlight w:val="none"/>
        </w:rPr>
      </w:pPr>
      <w:r>
        <w:rPr>
          <w:rFonts w:hint="eastAsia" w:ascii="宋体" w:hAnsi="宋体" w:cs="宋体"/>
          <w:highlight w:val="none"/>
        </w:rPr>
        <w:t xml:space="preserve">参加政府采购活动前三年内，在经营活动中没有重大违法记录； </w:t>
      </w:r>
    </w:p>
    <w:p>
      <w:pPr>
        <w:pStyle w:val="15"/>
        <w:numPr>
          <w:ilvl w:val="0"/>
          <w:numId w:val="8"/>
        </w:numPr>
        <w:ind w:firstLineChars="0"/>
        <w:rPr>
          <w:rFonts w:hint="eastAsia" w:ascii="宋体" w:hAnsi="宋体" w:cs="宋体"/>
          <w:highlight w:val="none"/>
        </w:rPr>
      </w:pPr>
      <w:r>
        <w:rPr>
          <w:rFonts w:hint="eastAsia" w:ascii="宋体" w:hAnsi="宋体" w:cs="宋体"/>
          <w:highlight w:val="none"/>
        </w:rPr>
        <w:t>未被列入经营异常名录或者严重违法失信名单、失信被执行人、重大税收违法案件当事人名单、政府采购严重违法失信行为记录名单；</w:t>
      </w:r>
    </w:p>
    <w:p>
      <w:pPr>
        <w:pStyle w:val="15"/>
        <w:numPr>
          <w:ilvl w:val="0"/>
          <w:numId w:val="8"/>
        </w:numPr>
        <w:ind w:firstLineChars="0"/>
        <w:rPr>
          <w:rFonts w:hint="eastAsia" w:ascii="宋体" w:hAnsi="宋体" w:cs="宋体"/>
          <w:highlight w:val="none"/>
        </w:rPr>
      </w:pPr>
      <w:r>
        <w:rPr>
          <w:rFonts w:hint="eastAsia" w:ascii="宋体" w:hAnsi="宋体" w:cs="宋体"/>
          <w:highlight w:val="none"/>
        </w:rPr>
        <w:t xml:space="preserve">未被相关监管部门作出行政处罚且尚在处罚有效期内； </w:t>
      </w:r>
    </w:p>
    <w:p>
      <w:pPr>
        <w:pStyle w:val="15"/>
        <w:numPr>
          <w:ilvl w:val="0"/>
          <w:numId w:val="8"/>
        </w:numPr>
        <w:ind w:firstLineChars="0"/>
        <w:rPr>
          <w:rFonts w:hint="eastAsia" w:ascii="宋体" w:hAnsi="宋体" w:cs="宋体"/>
          <w:highlight w:val="none"/>
        </w:rPr>
      </w:pPr>
      <w:r>
        <w:rPr>
          <w:rFonts w:hint="eastAsia" w:ascii="宋体" w:hAnsi="宋体" w:cs="宋体"/>
          <w:highlight w:val="none"/>
        </w:rPr>
        <w:t xml:space="preserve">未曾做出虚假采购承诺； </w:t>
      </w:r>
    </w:p>
    <w:p>
      <w:pPr>
        <w:pStyle w:val="15"/>
        <w:numPr>
          <w:ilvl w:val="0"/>
          <w:numId w:val="8"/>
        </w:numPr>
        <w:ind w:firstLineChars="0"/>
        <w:rPr>
          <w:rFonts w:hint="eastAsia" w:ascii="宋体" w:hAnsi="宋体" w:cs="宋体"/>
          <w:highlight w:val="none"/>
        </w:rPr>
      </w:pPr>
      <w:r>
        <w:rPr>
          <w:rFonts w:hint="eastAsia" w:ascii="宋体" w:hAnsi="宋体" w:cs="宋体"/>
          <w:highlight w:val="none"/>
        </w:rPr>
        <w:t>符合法律、行政法规规定的其他条件。</w:t>
      </w:r>
    </w:p>
    <w:p>
      <w:pPr>
        <w:pStyle w:val="15"/>
        <w:rPr>
          <w:rFonts w:hint="eastAsia" w:ascii="宋体" w:hAnsi="宋体" w:cs="宋体"/>
          <w:highlight w:val="none"/>
        </w:rPr>
      </w:pPr>
      <w:r>
        <w:rPr>
          <w:rFonts w:hint="eastAsia" w:ascii="宋体" w:hAnsi="宋体" w:cs="宋体"/>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pPr>
        <w:pStyle w:val="15"/>
        <w:rPr>
          <w:rFonts w:hint="eastAsia" w:ascii="宋体" w:hAnsi="宋体" w:cs="宋体"/>
          <w:highlight w:val="none"/>
        </w:rPr>
      </w:pPr>
    </w:p>
    <w:p>
      <w:pPr>
        <w:pStyle w:val="15"/>
        <w:ind w:left="420" w:leftChars="200" w:firstLine="0" w:firstLineChars="0"/>
        <w:rPr>
          <w:rFonts w:hint="eastAsia" w:ascii="宋体" w:hAnsi="宋体" w:cs="宋体"/>
          <w:highlight w:val="none"/>
        </w:rPr>
      </w:pPr>
      <w:r>
        <w:rPr>
          <w:rFonts w:hint="eastAsia" w:ascii="宋体" w:hAnsi="宋体" w:cs="宋体"/>
          <w:highlight w:val="none"/>
        </w:rPr>
        <w:t>供应商（公章）：</w:t>
      </w:r>
    </w:p>
    <w:p>
      <w:pPr>
        <w:pStyle w:val="15"/>
        <w:ind w:left="420" w:leftChars="200" w:firstLine="0" w:firstLineChars="0"/>
        <w:rPr>
          <w:rFonts w:hint="eastAsia" w:ascii="宋体" w:hAnsi="宋体" w:cs="宋体"/>
          <w:highlight w:val="none"/>
        </w:rPr>
      </w:pPr>
      <w:r>
        <w:rPr>
          <w:rFonts w:hint="eastAsia" w:ascii="宋体" w:hAnsi="宋体" w:cs="宋体"/>
          <w:highlight w:val="none"/>
        </w:rPr>
        <w:t>法定代表人或授权代表人（签字或盖章）：</w:t>
      </w:r>
    </w:p>
    <w:p>
      <w:pPr>
        <w:pStyle w:val="15"/>
        <w:ind w:left="420" w:leftChars="200" w:firstLine="0" w:firstLineChars="0"/>
        <w:rPr>
          <w:rFonts w:hint="eastAsia" w:ascii="宋体" w:hAnsi="宋体" w:cs="宋体"/>
          <w:highlight w:val="none"/>
        </w:rPr>
      </w:pPr>
      <w:r>
        <w:rPr>
          <w:rFonts w:hint="eastAsia" w:ascii="宋体" w:hAnsi="宋体" w:cs="宋体"/>
          <w:highlight w:val="none"/>
        </w:rPr>
        <w:t>日期：   年    月    日</w:t>
      </w:r>
    </w:p>
    <w:p>
      <w:pPr>
        <w:pStyle w:val="15"/>
        <w:ind w:left="420" w:leftChars="200" w:firstLine="0" w:firstLineChars="0"/>
        <w:rPr>
          <w:rFonts w:hint="eastAsia" w:ascii="宋体" w:hAnsi="宋体" w:cs="宋体"/>
          <w:highlight w:val="none"/>
        </w:rPr>
      </w:pPr>
    </w:p>
    <w:p>
      <w:pPr>
        <w:pStyle w:val="15"/>
        <w:rPr>
          <w:rFonts w:hint="eastAsia" w:ascii="宋体" w:hAnsi="宋体" w:cs="宋体"/>
          <w:highlight w:val="none"/>
        </w:rPr>
      </w:pPr>
      <w:r>
        <w:rPr>
          <w:rFonts w:hint="eastAsia" w:ascii="宋体" w:hAnsi="宋体" w:cs="宋体"/>
          <w:highlight w:val="none"/>
        </w:rPr>
        <w:t>注：1、供应商须在响应文件中按此模板提供承诺函，未提供视为未实质性响应招标文件要求，按无效投标处理。</w:t>
      </w:r>
    </w:p>
    <w:p>
      <w:pPr>
        <w:pStyle w:val="15"/>
        <w:ind w:firstLine="840" w:firstLineChars="400"/>
        <w:rPr>
          <w:rFonts w:hint="eastAsia" w:ascii="宋体" w:hAnsi="宋体" w:cs="宋体"/>
          <w:highlight w:val="none"/>
        </w:rPr>
      </w:pPr>
      <w:r>
        <w:rPr>
          <w:rFonts w:hint="eastAsia" w:ascii="宋体" w:hAnsi="宋体" w:cs="宋体"/>
          <w:highlight w:val="none"/>
        </w:rPr>
        <w:t>2、供应商的法定代表人或者授权代表的签字或盖章应真实、有效，如由授权代表签字或盖章的，应提供“法定代表人授权书”。</w:t>
      </w:r>
    </w:p>
    <w:p>
      <w:pPr>
        <w:rPr>
          <w:rFonts w:hint="eastAsia" w:ascii="宋体" w:hAnsi="宋体" w:cs="宋体"/>
          <w:highlight w:val="none"/>
        </w:rPr>
      </w:pPr>
    </w:p>
    <w:p>
      <w:pPr>
        <w:pStyle w:val="54"/>
        <w:rPr>
          <w:rFonts w:hint="eastAsia" w:ascii="宋体" w:hAnsi="宋体" w:cs="宋体"/>
          <w:highlight w:val="none"/>
        </w:rPr>
      </w:pPr>
    </w:p>
    <w:p>
      <w:pPr>
        <w:rPr>
          <w:rFonts w:hint="eastAsia" w:ascii="宋体" w:hAnsi="宋体" w:cs="宋体"/>
          <w:highlight w:val="none"/>
        </w:rPr>
      </w:pPr>
    </w:p>
    <w:p>
      <w:pPr>
        <w:pStyle w:val="2"/>
        <w:spacing w:before="156" w:after="156"/>
        <w:rPr>
          <w:rFonts w:hint="eastAsia" w:ascii="宋体" w:hAnsi="宋体" w:cs="宋体"/>
          <w:highlight w:val="none"/>
        </w:rPr>
      </w:pPr>
    </w:p>
    <w:p>
      <w:pPr>
        <w:pStyle w:val="2"/>
        <w:spacing w:before="156" w:after="156"/>
        <w:rPr>
          <w:rFonts w:hint="eastAsia" w:ascii="宋体" w:hAnsi="宋体" w:cs="宋体"/>
          <w:highlight w:val="none"/>
        </w:rPr>
      </w:pPr>
    </w:p>
    <w:p>
      <w:pPr>
        <w:pStyle w:val="10"/>
        <w:jc w:val="center"/>
        <w:rPr>
          <w:rFonts w:hint="eastAsia" w:ascii="宋体" w:hAnsi="宋体" w:cs="宋体"/>
          <w:highlight w:val="none"/>
        </w:rPr>
      </w:pPr>
      <w:bookmarkStart w:id="1218" w:name="_Toc17242"/>
      <w:bookmarkStart w:id="1219" w:name="_Toc24479"/>
      <w:bookmarkStart w:id="1220" w:name="_Toc19310"/>
      <w:bookmarkStart w:id="1221" w:name="_Toc31216"/>
      <w:bookmarkStart w:id="1222" w:name="_Toc262483524"/>
      <w:bookmarkStart w:id="1223" w:name="_Toc14872"/>
      <w:bookmarkStart w:id="1224" w:name="_Toc12055"/>
      <w:bookmarkStart w:id="1225" w:name="_Toc332961933"/>
      <w:bookmarkStart w:id="1226" w:name="_Toc20925"/>
      <w:bookmarkStart w:id="1227" w:name="_Toc262746026"/>
      <w:r>
        <w:rPr>
          <w:rFonts w:hint="eastAsia" w:ascii="宋体" w:hAnsi="宋体" w:cs="宋体"/>
          <w:highlight w:val="none"/>
        </w:rPr>
        <w:t>（二）供应商资格证明文件</w:t>
      </w:r>
      <w:bookmarkEnd w:id="1218"/>
      <w:bookmarkEnd w:id="1219"/>
      <w:bookmarkEnd w:id="1220"/>
      <w:bookmarkEnd w:id="1221"/>
      <w:bookmarkEnd w:id="1222"/>
      <w:bookmarkEnd w:id="1223"/>
      <w:bookmarkEnd w:id="1224"/>
      <w:bookmarkEnd w:id="1225"/>
      <w:bookmarkEnd w:id="1226"/>
      <w:bookmarkEnd w:id="1227"/>
    </w:p>
    <w:p>
      <w:pPr>
        <w:spacing w:line="360" w:lineRule="auto"/>
        <w:rPr>
          <w:rFonts w:hint="eastAsia" w:ascii="宋体" w:hAnsi="宋体" w:cs="宋体"/>
          <w:highlight w:val="none"/>
        </w:rPr>
      </w:pPr>
      <w:bookmarkStart w:id="1228" w:name="_Toc30842"/>
      <w:bookmarkStart w:id="1229" w:name="_Toc14362"/>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pStyle w:val="10"/>
        <w:jc w:val="both"/>
        <w:rPr>
          <w:rFonts w:hint="eastAsia" w:ascii="宋体" w:hAnsi="宋体" w:cs="宋体"/>
          <w:highlight w:val="none"/>
        </w:rPr>
      </w:pPr>
      <w:bookmarkStart w:id="1230" w:name="_Toc19988"/>
      <w:bookmarkStart w:id="1231" w:name="_Toc16255"/>
      <w:bookmarkStart w:id="1232" w:name="_Toc16051"/>
      <w:bookmarkStart w:id="1233" w:name="_Toc21900"/>
    </w:p>
    <w:p>
      <w:pPr>
        <w:pStyle w:val="10"/>
        <w:jc w:val="center"/>
        <w:rPr>
          <w:rFonts w:hint="eastAsia" w:ascii="宋体" w:hAnsi="宋体" w:cs="宋体"/>
          <w:highlight w:val="none"/>
        </w:rPr>
      </w:pPr>
    </w:p>
    <w:p>
      <w:pPr>
        <w:rPr>
          <w:rFonts w:hint="eastAsia"/>
          <w:highlight w:val="none"/>
        </w:rPr>
      </w:pPr>
    </w:p>
    <w:p>
      <w:pPr>
        <w:pStyle w:val="10"/>
        <w:jc w:val="center"/>
        <w:rPr>
          <w:rFonts w:hint="eastAsia" w:ascii="宋体" w:hAnsi="宋体" w:cs="宋体"/>
          <w:highlight w:val="none"/>
        </w:rPr>
      </w:pPr>
      <w:r>
        <w:rPr>
          <w:rFonts w:hint="eastAsia" w:ascii="宋体" w:hAnsi="宋体" w:cs="宋体"/>
          <w:highlight w:val="none"/>
        </w:rPr>
        <w:t>（三）反商业贿赂承诺书</w:t>
      </w:r>
      <w:bookmarkEnd w:id="1228"/>
      <w:bookmarkEnd w:id="1229"/>
      <w:bookmarkEnd w:id="1230"/>
      <w:bookmarkEnd w:id="1231"/>
      <w:bookmarkEnd w:id="1232"/>
      <w:bookmarkEnd w:id="1233"/>
    </w:p>
    <w:p>
      <w:pPr>
        <w:spacing w:line="360" w:lineRule="auto"/>
        <w:rPr>
          <w:rFonts w:hint="eastAsia" w:ascii="宋体" w:hAnsi="宋体" w:cs="宋体"/>
          <w:szCs w:val="21"/>
          <w:highlight w:val="none"/>
        </w:rPr>
      </w:pPr>
    </w:p>
    <w:p>
      <w:pPr>
        <w:pStyle w:val="15"/>
        <w:ind w:firstLine="0" w:firstLineChars="0"/>
        <w:rPr>
          <w:rFonts w:hint="eastAsia" w:ascii="宋体" w:hAnsi="宋体" w:cs="宋体"/>
          <w:highlight w:val="none"/>
        </w:rPr>
      </w:pPr>
      <w:bookmarkStart w:id="1234" w:name="_Toc1184"/>
      <w:bookmarkStart w:id="1235" w:name="_Toc26336"/>
      <w:bookmarkStart w:id="1236" w:name="_Toc24989"/>
      <w:bookmarkStart w:id="1237" w:name="_Toc22153"/>
      <w:bookmarkStart w:id="1238" w:name="_Toc6636"/>
      <w:bookmarkStart w:id="1239" w:name="_Toc19379"/>
      <w:bookmarkStart w:id="1240" w:name="_Toc20346"/>
      <w:r>
        <w:rPr>
          <w:rFonts w:hint="eastAsia" w:ascii="宋体" w:hAnsi="宋体" w:cs="宋体"/>
          <w:highlight w:val="none"/>
        </w:rPr>
        <w:t>我公司承诺：</w:t>
      </w:r>
      <w:bookmarkEnd w:id="1234"/>
      <w:bookmarkEnd w:id="1235"/>
      <w:bookmarkEnd w:id="1236"/>
      <w:bookmarkEnd w:id="1237"/>
      <w:bookmarkEnd w:id="1238"/>
      <w:bookmarkEnd w:id="1239"/>
      <w:bookmarkEnd w:id="1240"/>
    </w:p>
    <w:p>
      <w:pPr>
        <w:pStyle w:val="15"/>
        <w:rPr>
          <w:rFonts w:hint="eastAsia" w:ascii="宋体" w:hAnsi="宋体" w:cs="宋体"/>
          <w:highlight w:val="none"/>
        </w:rPr>
      </w:pPr>
      <w:bookmarkStart w:id="1241" w:name="_Toc2826"/>
      <w:bookmarkStart w:id="1242" w:name="_Toc2973"/>
      <w:bookmarkStart w:id="1243" w:name="_Toc16567"/>
      <w:bookmarkStart w:id="1244" w:name="_Toc24819"/>
      <w:bookmarkStart w:id="1245" w:name="_Toc3905"/>
      <w:bookmarkStart w:id="1246" w:name="_Toc22187"/>
      <w:bookmarkStart w:id="1247" w:name="_Toc10849"/>
      <w:r>
        <w:rPr>
          <w:rFonts w:hint="eastAsia" w:ascii="宋体" w:hAnsi="宋体" w:cs="宋体"/>
          <w:highlight w:val="none"/>
        </w:rPr>
        <w:t>在 （采购项目名称）投标活动中，我公司保证做到：</w:t>
      </w:r>
      <w:bookmarkEnd w:id="1241"/>
      <w:bookmarkEnd w:id="1242"/>
      <w:bookmarkEnd w:id="1243"/>
      <w:bookmarkEnd w:id="1244"/>
      <w:bookmarkEnd w:id="1245"/>
      <w:bookmarkEnd w:id="1246"/>
      <w:bookmarkEnd w:id="1247"/>
    </w:p>
    <w:p>
      <w:pPr>
        <w:pStyle w:val="15"/>
        <w:rPr>
          <w:rFonts w:hint="eastAsia" w:ascii="宋体" w:hAnsi="宋体" w:cs="宋体"/>
          <w:highlight w:val="none"/>
        </w:rPr>
      </w:pPr>
      <w:bookmarkStart w:id="1248" w:name="_Toc28790"/>
      <w:bookmarkStart w:id="1249" w:name="_Toc31445"/>
      <w:bookmarkStart w:id="1250" w:name="_Toc7856"/>
      <w:bookmarkStart w:id="1251" w:name="_Toc19562"/>
      <w:bookmarkStart w:id="1252" w:name="_Toc1786"/>
      <w:bookmarkStart w:id="1253" w:name="_Toc28791"/>
      <w:bookmarkStart w:id="1254" w:name="_Toc23826"/>
      <w:r>
        <w:rPr>
          <w:rFonts w:hint="eastAsia" w:ascii="宋体" w:hAnsi="宋体" w:cs="宋体"/>
          <w:highlight w:val="none"/>
        </w:rPr>
        <w:t>一、公平竞争参加本次采购活动。</w:t>
      </w:r>
      <w:bookmarkEnd w:id="1248"/>
      <w:bookmarkEnd w:id="1249"/>
      <w:bookmarkEnd w:id="1250"/>
      <w:bookmarkEnd w:id="1251"/>
      <w:bookmarkEnd w:id="1252"/>
      <w:bookmarkEnd w:id="1253"/>
      <w:bookmarkEnd w:id="1254"/>
    </w:p>
    <w:p>
      <w:pPr>
        <w:pStyle w:val="15"/>
        <w:rPr>
          <w:rFonts w:hint="eastAsia" w:ascii="宋体" w:hAnsi="宋体" w:cs="宋体"/>
          <w:highlight w:val="none"/>
        </w:rPr>
      </w:pPr>
      <w:bookmarkStart w:id="1255" w:name="_Toc4051"/>
      <w:bookmarkStart w:id="1256" w:name="_Toc6152"/>
      <w:bookmarkStart w:id="1257" w:name="_Toc13021"/>
      <w:bookmarkStart w:id="1258" w:name="_Toc3473"/>
      <w:bookmarkStart w:id="1259" w:name="_Toc15277"/>
      <w:bookmarkStart w:id="1260" w:name="_Toc4479"/>
      <w:bookmarkStart w:id="1261" w:name="_Toc4016"/>
      <w:r>
        <w:rPr>
          <w:rFonts w:hint="eastAsia" w:ascii="宋体" w:hAnsi="宋体" w:cs="宋体"/>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255"/>
      <w:bookmarkEnd w:id="1256"/>
      <w:bookmarkEnd w:id="1257"/>
      <w:bookmarkEnd w:id="1258"/>
      <w:bookmarkEnd w:id="1259"/>
      <w:bookmarkEnd w:id="1260"/>
      <w:bookmarkEnd w:id="1261"/>
    </w:p>
    <w:p>
      <w:pPr>
        <w:pStyle w:val="15"/>
        <w:rPr>
          <w:rFonts w:hint="eastAsia" w:ascii="宋体" w:hAnsi="宋体" w:cs="宋体"/>
          <w:highlight w:val="none"/>
        </w:rPr>
      </w:pPr>
      <w:bookmarkStart w:id="1262" w:name="_Toc27402"/>
      <w:bookmarkStart w:id="1263" w:name="_Toc30520"/>
      <w:bookmarkStart w:id="1264" w:name="_Toc31052"/>
      <w:bookmarkStart w:id="1265" w:name="_Toc25771"/>
      <w:bookmarkStart w:id="1266" w:name="_Toc19340"/>
      <w:bookmarkStart w:id="1267" w:name="_Toc16301"/>
      <w:bookmarkStart w:id="1268" w:name="_Toc9023"/>
      <w:r>
        <w:rPr>
          <w:rFonts w:hint="eastAsia" w:ascii="宋体" w:hAnsi="宋体" w:cs="宋体"/>
          <w:highlight w:val="none"/>
        </w:rPr>
        <w:t>三、若出现上述行为，我公司及参与采购的工作人员愿意接受按照国家法律法规等有关规定给予的处罚。</w:t>
      </w:r>
      <w:bookmarkEnd w:id="1262"/>
      <w:bookmarkEnd w:id="1263"/>
      <w:bookmarkEnd w:id="1264"/>
      <w:bookmarkEnd w:id="1265"/>
      <w:bookmarkEnd w:id="1266"/>
      <w:bookmarkEnd w:id="1267"/>
      <w:bookmarkEnd w:id="1268"/>
    </w:p>
    <w:p>
      <w:pPr>
        <w:spacing w:line="360" w:lineRule="auto"/>
        <w:ind w:firstLine="555"/>
        <w:rPr>
          <w:rFonts w:hint="eastAsia" w:ascii="宋体" w:hAnsi="宋体" w:cs="宋体"/>
          <w:highlight w:val="none"/>
        </w:rPr>
      </w:pPr>
    </w:p>
    <w:p>
      <w:pPr>
        <w:spacing w:line="360" w:lineRule="auto"/>
        <w:ind w:left="1050" w:leftChars="500" w:firstLine="555"/>
        <w:rPr>
          <w:rFonts w:hint="eastAsia" w:ascii="宋体" w:hAnsi="宋体" w:cs="宋体"/>
          <w:highlight w:val="none"/>
        </w:rPr>
      </w:pPr>
    </w:p>
    <w:p>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xml:space="preserve">                         </w:t>
      </w:r>
      <w:r>
        <w:rPr>
          <w:rFonts w:hint="eastAsia" w:ascii="宋体" w:hAnsi="宋体" w:cs="宋体"/>
          <w:highlight w:val="none"/>
        </w:rPr>
        <w:t>（盖单位章）</w:t>
      </w:r>
    </w:p>
    <w:p>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法定代表人或其委托代理人：______（签字或盖章）</w:t>
      </w:r>
    </w:p>
    <w:p>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ab/>
      </w:r>
      <w:r>
        <w:rPr>
          <w:rFonts w:hint="eastAsia" w:ascii="宋体" w:hAnsi="宋体" w:cs="宋体"/>
          <w:highlight w:val="none"/>
          <w:u w:val="single"/>
        </w:rPr>
        <w:t xml:space="preserve">    </w:t>
      </w:r>
      <w:r>
        <w:rPr>
          <w:rFonts w:hint="eastAsia" w:ascii="宋体" w:hAnsi="宋体" w:cs="宋体"/>
          <w:highlight w:val="none"/>
        </w:rPr>
        <w:t>日</w:t>
      </w:r>
    </w:p>
    <w:p>
      <w:pPr>
        <w:pStyle w:val="46"/>
        <w:rPr>
          <w:rFonts w:hint="eastAsia" w:ascii="宋体" w:hAnsi="宋体" w:cs="宋体"/>
          <w:color w:val="auto"/>
          <w:highlight w:val="none"/>
        </w:rPr>
      </w:pPr>
    </w:p>
    <w:p>
      <w:pPr>
        <w:rPr>
          <w:rFonts w:hint="eastAsia" w:ascii="宋体" w:hAnsi="宋体" w:cs="宋体"/>
          <w:highlight w:val="none"/>
        </w:rPr>
      </w:pPr>
    </w:p>
    <w:p>
      <w:pPr>
        <w:pStyle w:val="46"/>
        <w:rPr>
          <w:rFonts w:hint="eastAsia" w:ascii="宋体" w:hAnsi="宋体" w:cs="宋体"/>
          <w:color w:val="auto"/>
          <w:highlight w:val="none"/>
        </w:rPr>
      </w:pPr>
    </w:p>
    <w:p>
      <w:pPr>
        <w:rPr>
          <w:rFonts w:hint="eastAsia" w:ascii="宋体" w:hAnsi="宋体" w:cs="宋体"/>
          <w:highlight w:val="none"/>
        </w:rPr>
      </w:pPr>
    </w:p>
    <w:p>
      <w:pPr>
        <w:pStyle w:val="46"/>
        <w:rPr>
          <w:rFonts w:hint="eastAsia" w:ascii="宋体" w:hAnsi="宋体" w:cs="宋体"/>
          <w:color w:val="auto"/>
          <w:highlight w:val="none"/>
        </w:rPr>
      </w:pPr>
    </w:p>
    <w:p>
      <w:pPr>
        <w:rPr>
          <w:rFonts w:hint="eastAsia" w:ascii="宋体" w:hAnsi="宋体" w:cs="宋体"/>
          <w:highlight w:val="none"/>
        </w:rPr>
      </w:pPr>
    </w:p>
    <w:p>
      <w:pPr>
        <w:pStyle w:val="46"/>
        <w:rPr>
          <w:rFonts w:hint="eastAsia" w:ascii="宋体" w:hAnsi="宋体" w:cs="宋体"/>
          <w:color w:val="auto"/>
          <w:highlight w:val="none"/>
        </w:rPr>
      </w:pPr>
    </w:p>
    <w:p>
      <w:pPr>
        <w:rPr>
          <w:rFonts w:hint="eastAsia" w:ascii="宋体" w:hAnsi="宋体" w:cs="宋体"/>
          <w:highlight w:val="none"/>
        </w:rPr>
      </w:pPr>
    </w:p>
    <w:p>
      <w:pPr>
        <w:pStyle w:val="9"/>
        <w:jc w:val="center"/>
        <w:rPr>
          <w:rFonts w:hint="eastAsia" w:ascii="宋体" w:hAnsi="宋体" w:eastAsia="宋体" w:cs="宋体"/>
          <w:highlight w:val="none"/>
        </w:rPr>
      </w:pPr>
      <w:bookmarkStart w:id="1269" w:name="_Toc13838"/>
      <w:bookmarkStart w:id="1270" w:name="_Toc6287"/>
      <w:bookmarkStart w:id="1271" w:name="_Toc23585"/>
      <w:bookmarkStart w:id="1272" w:name="_Toc5474"/>
      <w:bookmarkStart w:id="1273" w:name="_Toc15515"/>
      <w:bookmarkStart w:id="1274" w:name="_Toc18695"/>
      <w:r>
        <w:rPr>
          <w:rFonts w:hint="eastAsia" w:ascii="宋体" w:hAnsi="宋体" w:eastAsia="宋体" w:cs="宋体"/>
          <w:highlight w:val="none"/>
        </w:rPr>
        <w:t>五、拟投入本项目人员</w:t>
      </w:r>
      <w:bookmarkEnd w:id="1269"/>
      <w:bookmarkEnd w:id="1270"/>
      <w:bookmarkEnd w:id="1271"/>
      <w:bookmarkEnd w:id="1272"/>
      <w:bookmarkEnd w:id="1273"/>
      <w:bookmarkEnd w:id="1274"/>
      <w:bookmarkStart w:id="1275" w:name="_Toc475624457"/>
    </w:p>
    <w:p>
      <w:pPr>
        <w:pStyle w:val="10"/>
        <w:jc w:val="center"/>
        <w:rPr>
          <w:rFonts w:hint="eastAsia" w:ascii="宋体" w:hAnsi="宋体" w:cs="宋体"/>
          <w:highlight w:val="none"/>
        </w:rPr>
      </w:pPr>
      <w:bookmarkStart w:id="1276" w:name="_Toc23611"/>
      <w:bookmarkStart w:id="1277" w:name="_Toc28655"/>
      <w:bookmarkStart w:id="1278" w:name="_Toc12502"/>
      <w:bookmarkStart w:id="1279" w:name="_Toc6951"/>
      <w:r>
        <w:rPr>
          <w:rFonts w:hint="eastAsia" w:ascii="宋体" w:hAnsi="宋体" w:cs="宋体"/>
          <w:highlight w:val="none"/>
        </w:rPr>
        <w:t>（一）项目负责人简历表</w:t>
      </w:r>
      <w:bookmarkEnd w:id="1276"/>
      <w:bookmarkEnd w:id="1277"/>
      <w:bookmarkEnd w:id="1278"/>
      <w:bookmarkEnd w:id="1279"/>
    </w:p>
    <w:p>
      <w:pPr>
        <w:rPr>
          <w:rFonts w:hint="eastAsia" w:ascii="宋体" w:hAnsi="宋体" w:cs="宋体"/>
          <w:highlight w:val="none"/>
        </w:rPr>
      </w:pPr>
    </w:p>
    <w:tbl>
      <w:tblPr>
        <w:tblStyle w:val="31"/>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姓  名</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年  龄</w:t>
            </w:r>
          </w:p>
        </w:tc>
        <w:tc>
          <w:tcPr>
            <w:tcW w:w="1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学历</w:t>
            </w: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称</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务</w:t>
            </w:r>
          </w:p>
        </w:tc>
        <w:tc>
          <w:tcPr>
            <w:tcW w:w="1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拟在本合同任职</w:t>
            </w: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毕业    学校</w:t>
            </w:r>
          </w:p>
        </w:tc>
        <w:tc>
          <w:tcPr>
            <w:tcW w:w="794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r>
              <w:rPr>
                <w:rFonts w:hint="eastAsia" w:ascii="宋体" w:hAnsi="宋体" w:cs="宋体"/>
                <w:b/>
                <w:bCs/>
                <w:highlight w:val="none"/>
              </w:rPr>
              <w:t>年毕业于                  学校            专业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主要工作经历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时  间</w:t>
            </w: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xml:space="preserve">参加过的类似项目 </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担任职务</w:t>
            </w: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委托人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bl>
    <w:p>
      <w:pPr>
        <w:spacing w:line="316" w:lineRule="auto"/>
        <w:ind w:right="160" w:firstLine="480"/>
        <w:rPr>
          <w:rFonts w:hint="eastAsia" w:ascii="宋体" w:hAnsi="宋体" w:cs="宋体"/>
          <w:highlight w:val="none"/>
        </w:rPr>
      </w:pPr>
    </w:p>
    <w:p>
      <w:pPr>
        <w:spacing w:line="316" w:lineRule="auto"/>
        <w:ind w:right="160" w:firstLine="480"/>
        <w:rPr>
          <w:rFonts w:hint="eastAsia" w:ascii="宋体" w:hAnsi="宋体" w:cs="宋体"/>
          <w:highlight w:val="none"/>
        </w:rPr>
      </w:pPr>
      <w:r>
        <w:rPr>
          <w:rFonts w:hint="eastAsia" w:ascii="宋体" w:hAnsi="宋体" w:cs="宋体"/>
          <w:highlight w:val="none"/>
        </w:rPr>
        <w:t>注：应附身份证、注册证、职称证、社保证明等材料的扫描件。</w:t>
      </w:r>
    </w:p>
    <w:p>
      <w:pPr>
        <w:spacing w:line="200" w:lineRule="exact"/>
        <w:rPr>
          <w:rFonts w:hint="eastAsia" w:ascii="宋体" w:hAnsi="宋体" w:cs="宋体"/>
          <w:highlight w:val="none"/>
        </w:rPr>
      </w:pPr>
    </w:p>
    <w:p>
      <w:pPr>
        <w:widowControl/>
        <w:wordWrap w:val="0"/>
        <w:spacing w:line="480" w:lineRule="auto"/>
        <w:ind w:firstLine="420" w:firstLineChars="200"/>
        <w:jc w:val="center"/>
        <w:rPr>
          <w:rFonts w:hint="eastAsia" w:ascii="宋体" w:hAnsi="宋体" w:cs="宋体"/>
          <w:kern w:val="0"/>
          <w:highlight w:val="none"/>
        </w:rPr>
      </w:pPr>
      <w:r>
        <w:rPr>
          <w:rFonts w:hint="eastAsia" w:ascii="宋体" w:hAnsi="宋体" w:cs="宋体"/>
          <w:kern w:val="0"/>
          <w:highlight w:val="none"/>
        </w:rPr>
        <w:t xml:space="preserve">         </w:t>
      </w:r>
    </w:p>
    <w:p>
      <w:pPr>
        <w:widowControl/>
        <w:wordWrap w:val="0"/>
        <w:spacing w:line="480" w:lineRule="auto"/>
        <w:ind w:firstLine="420" w:firstLineChars="200"/>
        <w:jc w:val="center"/>
        <w:rPr>
          <w:rFonts w:hint="eastAsia" w:ascii="宋体" w:hAnsi="宋体" w:cs="宋体"/>
          <w:kern w:val="0"/>
          <w:highlight w:val="none"/>
        </w:rPr>
      </w:pPr>
    </w:p>
    <w:p>
      <w:pPr>
        <w:pStyle w:val="10"/>
        <w:rPr>
          <w:rFonts w:hint="eastAsia" w:ascii="宋体" w:hAnsi="宋体" w:cs="宋体"/>
          <w:highlight w:val="none"/>
        </w:rPr>
      </w:pPr>
      <w:bookmarkStart w:id="1280" w:name="_Toc16752"/>
      <w:bookmarkStart w:id="1281" w:name="_Toc12469"/>
      <w:bookmarkStart w:id="1282" w:name="_Toc833"/>
      <w:bookmarkStart w:id="1283" w:name="_Toc14941"/>
    </w:p>
    <w:p>
      <w:pPr>
        <w:pStyle w:val="10"/>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bookmarkEnd w:id="1280"/>
      <w:bookmarkEnd w:id="1281"/>
      <w:bookmarkEnd w:id="1282"/>
      <w:bookmarkEnd w:id="1283"/>
      <w:r>
        <w:rPr>
          <w:rFonts w:hint="eastAsia" w:ascii="宋体" w:hAnsi="宋体" w:cs="宋体"/>
          <w:highlight w:val="none"/>
        </w:rPr>
        <w:t>项目组成员构成表</w:t>
      </w:r>
    </w:p>
    <w:p>
      <w:pPr>
        <w:rPr>
          <w:rFonts w:hint="eastAsia" w:ascii="宋体" w:hAnsi="宋体" w:cs="宋体"/>
          <w:highlight w:val="none"/>
        </w:rPr>
      </w:pPr>
    </w:p>
    <w:tbl>
      <w:tblPr>
        <w:tblStyle w:val="31"/>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职务</w:t>
            </w:r>
          </w:p>
        </w:tc>
        <w:tc>
          <w:tcPr>
            <w:tcW w:w="1005"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姓名</w:t>
            </w:r>
          </w:p>
        </w:tc>
        <w:tc>
          <w:tcPr>
            <w:tcW w:w="886"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职称</w:t>
            </w:r>
          </w:p>
        </w:tc>
        <w:tc>
          <w:tcPr>
            <w:tcW w:w="4379" w:type="dxa"/>
            <w:gridSpan w:val="4"/>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执业或职业资格证明</w:t>
            </w:r>
          </w:p>
        </w:tc>
        <w:tc>
          <w:tcPr>
            <w:tcW w:w="1130"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005"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886"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证书名称</w:t>
            </w: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级别</w:t>
            </w: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证号</w:t>
            </w: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专业</w:t>
            </w:r>
          </w:p>
        </w:tc>
        <w:tc>
          <w:tcPr>
            <w:tcW w:w="1130"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bl>
    <w:p>
      <w:pPr>
        <w:spacing w:after="120"/>
        <w:rPr>
          <w:rFonts w:hint="eastAsia" w:ascii="宋体" w:hAnsi="宋体" w:cs="宋体"/>
          <w:kern w:val="0"/>
          <w:highlight w:val="none"/>
        </w:rPr>
      </w:pPr>
    </w:p>
    <w:p>
      <w:pPr>
        <w:spacing w:before="156" w:beforeLines="50" w:after="156" w:afterLines="50" w:line="440" w:lineRule="exact"/>
        <w:rPr>
          <w:rFonts w:hint="eastAsia" w:ascii="宋体" w:hAnsi="宋体" w:cs="宋体"/>
          <w:highlight w:val="none"/>
        </w:rPr>
      </w:pPr>
      <w:r>
        <w:rPr>
          <w:rFonts w:hint="eastAsia" w:ascii="宋体" w:hAnsi="宋体" w:cs="宋体"/>
          <w:highlight w:val="none"/>
        </w:rPr>
        <w:t xml:space="preserve">   附：附相关人员的身份证、执业或职业资格证明、社保等材料的复印件或扫描件。</w:t>
      </w:r>
    </w:p>
    <w:p>
      <w:pPr>
        <w:pStyle w:val="54"/>
        <w:ind w:left="0" w:leftChars="0" w:firstLine="0" w:firstLineChars="0"/>
        <w:rPr>
          <w:rFonts w:hint="eastAsia" w:ascii="宋体" w:hAnsi="宋体" w:cs="宋体"/>
          <w:highlight w:val="none"/>
        </w:rPr>
      </w:pPr>
    </w:p>
    <w:p>
      <w:pPr>
        <w:pStyle w:val="9"/>
        <w:jc w:val="center"/>
        <w:rPr>
          <w:rFonts w:hint="eastAsia" w:ascii="宋体" w:hAnsi="宋体" w:eastAsia="宋体" w:cs="宋体"/>
          <w:highlight w:val="none"/>
        </w:rPr>
      </w:pPr>
      <w:bookmarkStart w:id="1284" w:name="_Toc31389"/>
      <w:bookmarkStart w:id="1285" w:name="_Toc8371"/>
      <w:bookmarkStart w:id="1286" w:name="_Toc24963"/>
      <w:bookmarkStart w:id="1287" w:name="_Toc13339"/>
      <w:bookmarkStart w:id="1288" w:name="_Toc25732"/>
      <w:bookmarkStart w:id="1289" w:name="_Toc19486"/>
      <w:r>
        <w:rPr>
          <w:rFonts w:hint="eastAsia" w:ascii="宋体" w:hAnsi="宋体" w:eastAsia="宋体" w:cs="宋体"/>
          <w:highlight w:val="none"/>
        </w:rPr>
        <w:t>六、</w:t>
      </w:r>
      <w:bookmarkEnd w:id="1275"/>
      <w:bookmarkEnd w:id="1284"/>
      <w:bookmarkEnd w:id="1285"/>
      <w:bookmarkEnd w:id="1286"/>
      <w:bookmarkEnd w:id="1287"/>
      <w:bookmarkStart w:id="1290" w:name="_Toc21363"/>
      <w:bookmarkStart w:id="1291" w:name="_Toc28090"/>
      <w:bookmarkStart w:id="1292" w:name="_Toc27330"/>
      <w:bookmarkStart w:id="1293" w:name="_Toc6620"/>
      <w:r>
        <w:rPr>
          <w:rFonts w:hint="eastAsia" w:ascii="宋体" w:hAnsi="宋体" w:eastAsia="宋体" w:cs="宋体"/>
          <w:highlight w:val="none"/>
        </w:rPr>
        <w:t>技术方案</w:t>
      </w:r>
      <w:bookmarkEnd w:id="1288"/>
      <w:bookmarkEnd w:id="1289"/>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bookmarkStart w:id="1294" w:name="_Toc6718"/>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p>
    <w:p>
      <w:pPr>
        <w:pStyle w:val="9"/>
        <w:jc w:val="center"/>
        <w:rPr>
          <w:rFonts w:hint="eastAsia" w:ascii="宋体" w:hAnsi="宋体" w:eastAsia="宋体" w:cs="宋体"/>
          <w:highlight w:val="none"/>
        </w:rPr>
      </w:pPr>
      <w:bookmarkStart w:id="1295" w:name="_Toc20278"/>
      <w:r>
        <w:rPr>
          <w:rFonts w:hint="eastAsia" w:ascii="宋体" w:hAnsi="宋体" w:eastAsia="宋体" w:cs="宋体"/>
          <w:highlight w:val="none"/>
        </w:rPr>
        <w:t>七、类似项目业绩</w:t>
      </w:r>
      <w:bookmarkEnd w:id="1290"/>
      <w:bookmarkEnd w:id="1291"/>
      <w:bookmarkEnd w:id="1292"/>
      <w:bookmarkEnd w:id="1293"/>
      <w:bookmarkEnd w:id="1294"/>
      <w:bookmarkEnd w:id="1295"/>
    </w:p>
    <w:p>
      <w:pPr>
        <w:rPr>
          <w:rFonts w:hint="eastAsia" w:ascii="宋体" w:hAnsi="宋体" w:cs="宋体"/>
          <w:highlight w:val="none"/>
        </w:rPr>
      </w:pPr>
    </w:p>
    <w:tbl>
      <w:tblPr>
        <w:tblStyle w:val="31"/>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序号</w:t>
            </w:r>
          </w:p>
        </w:tc>
        <w:tc>
          <w:tcPr>
            <w:tcW w:w="4842" w:type="dxa"/>
            <w:noWrap w:val="0"/>
            <w:vAlign w:val="center"/>
          </w:tcPr>
          <w:p>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项目名称</w:t>
            </w:r>
          </w:p>
        </w:tc>
        <w:tc>
          <w:tcPr>
            <w:tcW w:w="1350" w:type="dxa"/>
            <w:noWrap w:val="0"/>
            <w:vAlign w:val="center"/>
          </w:tcPr>
          <w:p>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业主</w:t>
            </w:r>
          </w:p>
        </w:tc>
        <w:tc>
          <w:tcPr>
            <w:tcW w:w="1526" w:type="dxa"/>
            <w:noWrap w:val="0"/>
            <w:vAlign w:val="center"/>
          </w:tcPr>
          <w:p>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签订日期</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1</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2</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3</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4</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5</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6</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cs="宋体"/>
                <w:kern w:val="0"/>
                <w:highlight w:val="none"/>
              </w:rPr>
            </w:pPr>
            <w:r>
              <w:rPr>
                <w:rFonts w:hint="eastAsia" w:ascii="宋体" w:hAnsi="宋体" w:cs="宋体"/>
                <w:kern w:val="0"/>
                <w:highlight w:val="none"/>
              </w:rPr>
              <w:t>……</w:t>
            </w:r>
          </w:p>
        </w:tc>
        <w:tc>
          <w:tcPr>
            <w:tcW w:w="4842" w:type="dxa"/>
            <w:noWrap w:val="0"/>
            <w:vAlign w:val="center"/>
          </w:tcPr>
          <w:p>
            <w:pPr>
              <w:widowControl/>
              <w:spacing w:line="360" w:lineRule="auto"/>
              <w:rPr>
                <w:rFonts w:hint="eastAsia" w:ascii="宋体" w:hAnsi="宋体" w:cs="宋体"/>
                <w:kern w:val="0"/>
                <w:highlight w:val="none"/>
              </w:rPr>
            </w:pPr>
          </w:p>
        </w:tc>
        <w:tc>
          <w:tcPr>
            <w:tcW w:w="1350" w:type="dxa"/>
            <w:noWrap w:val="0"/>
            <w:vAlign w:val="center"/>
          </w:tcPr>
          <w:p>
            <w:pPr>
              <w:widowControl/>
              <w:spacing w:line="360" w:lineRule="auto"/>
              <w:rPr>
                <w:rFonts w:hint="eastAsia" w:ascii="宋体" w:hAnsi="宋体" w:cs="宋体"/>
                <w:kern w:val="0"/>
                <w:highlight w:val="none"/>
              </w:rPr>
            </w:pPr>
          </w:p>
        </w:tc>
        <w:tc>
          <w:tcPr>
            <w:tcW w:w="1526" w:type="dxa"/>
            <w:noWrap w:val="0"/>
            <w:vAlign w:val="center"/>
          </w:tcPr>
          <w:p>
            <w:pPr>
              <w:widowControl/>
              <w:spacing w:line="360" w:lineRule="auto"/>
              <w:rPr>
                <w:rFonts w:hint="eastAsia" w:ascii="宋体" w:hAnsi="宋体" w:cs="宋体"/>
                <w:kern w:val="0"/>
                <w:highlight w:val="none"/>
              </w:rPr>
            </w:pPr>
          </w:p>
        </w:tc>
      </w:tr>
    </w:tbl>
    <w:p>
      <w:pPr>
        <w:widowControl/>
        <w:spacing w:line="360" w:lineRule="auto"/>
        <w:ind w:firstLine="420" w:firstLineChars="200"/>
        <w:rPr>
          <w:rFonts w:hint="eastAsia" w:ascii="宋体" w:hAnsi="宋体" w:cs="宋体"/>
          <w:kern w:val="0"/>
          <w:highlight w:val="none"/>
        </w:rPr>
      </w:pPr>
    </w:p>
    <w:p>
      <w:pPr>
        <w:widowControl/>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注：后附</w:t>
      </w:r>
      <w:r>
        <w:rPr>
          <w:rFonts w:hint="eastAsia" w:ascii="宋体" w:hAnsi="宋体" w:cs="宋体"/>
          <w:highlight w:val="none"/>
        </w:rPr>
        <w:t>类似项目业绩合同的原件扫描件</w:t>
      </w:r>
      <w:r>
        <w:rPr>
          <w:rFonts w:hint="eastAsia" w:ascii="宋体" w:hAnsi="宋体" w:cs="宋体"/>
          <w:kern w:val="0"/>
          <w:highlight w:val="none"/>
        </w:rPr>
        <w:t>（合同至少包括首页、签字盖章页、服务内容页）</w:t>
      </w:r>
    </w:p>
    <w:p>
      <w:pPr>
        <w:spacing w:line="600" w:lineRule="exact"/>
        <w:rPr>
          <w:rFonts w:hint="eastAsia" w:ascii="宋体" w:hAnsi="宋体" w:cs="宋体"/>
          <w:sz w:val="28"/>
          <w:szCs w:val="28"/>
          <w:highlight w:val="none"/>
        </w:rPr>
      </w:pPr>
    </w:p>
    <w:p>
      <w:pPr>
        <w:pStyle w:val="4"/>
        <w:rPr>
          <w:rFonts w:hint="eastAsia" w:ascii="宋体" w:hAnsi="宋体" w:cs="宋体"/>
          <w:highlight w:val="none"/>
        </w:rPr>
      </w:pPr>
    </w:p>
    <w:p>
      <w:pPr>
        <w:spacing w:line="600" w:lineRule="exact"/>
        <w:rPr>
          <w:rFonts w:hint="eastAsia" w:ascii="宋体" w:hAnsi="宋体" w:cs="宋体"/>
          <w:highlight w:val="none"/>
        </w:rPr>
      </w:pPr>
    </w:p>
    <w:p>
      <w:pPr>
        <w:spacing w:line="600" w:lineRule="exact"/>
        <w:rPr>
          <w:rFonts w:hint="eastAsia" w:ascii="宋体" w:hAnsi="宋体" w:cs="宋体"/>
          <w:highlight w:val="none"/>
        </w:rPr>
      </w:pPr>
    </w:p>
    <w:p>
      <w:pPr>
        <w:pStyle w:val="4"/>
        <w:rPr>
          <w:rFonts w:hint="eastAsia" w:ascii="宋体" w:hAnsi="宋体" w:cs="宋体"/>
          <w:highlight w:val="none"/>
        </w:rPr>
      </w:pPr>
    </w:p>
    <w:p>
      <w:pPr>
        <w:pStyle w:val="9"/>
        <w:jc w:val="center"/>
        <w:rPr>
          <w:rFonts w:hint="eastAsia" w:ascii="宋体" w:hAnsi="宋体" w:eastAsia="宋体" w:cs="宋体"/>
          <w:highlight w:val="none"/>
        </w:rPr>
      </w:pPr>
      <w:bookmarkStart w:id="1296" w:name="_Toc7574"/>
      <w:bookmarkStart w:id="1297" w:name="_Toc15445"/>
      <w:bookmarkStart w:id="1298" w:name="_Toc13548"/>
      <w:bookmarkStart w:id="1299" w:name="_Toc32701"/>
    </w:p>
    <w:p>
      <w:pPr>
        <w:rPr>
          <w:rFonts w:hint="eastAsia" w:ascii="宋体" w:hAnsi="宋体" w:cs="宋体"/>
          <w:highlight w:val="none"/>
        </w:rPr>
      </w:pPr>
    </w:p>
    <w:p>
      <w:pPr>
        <w:pStyle w:val="9"/>
        <w:jc w:val="center"/>
        <w:rPr>
          <w:rFonts w:hint="eastAsia" w:ascii="宋体" w:hAnsi="宋体" w:eastAsia="宋体" w:cs="宋体"/>
          <w:highlight w:val="none"/>
        </w:rPr>
      </w:pPr>
    </w:p>
    <w:p>
      <w:pPr>
        <w:rPr>
          <w:rFonts w:hint="eastAsia"/>
          <w:highlight w:val="none"/>
        </w:rPr>
      </w:pPr>
    </w:p>
    <w:p>
      <w:pPr>
        <w:pStyle w:val="9"/>
        <w:jc w:val="center"/>
        <w:rPr>
          <w:rFonts w:hint="eastAsia" w:ascii="宋体" w:hAnsi="宋体" w:eastAsia="宋体" w:cs="宋体"/>
          <w:highlight w:val="none"/>
        </w:rPr>
      </w:pPr>
      <w:bookmarkStart w:id="1300" w:name="_Toc27755"/>
      <w:bookmarkStart w:id="1301" w:name="_Toc5368"/>
      <w:r>
        <w:rPr>
          <w:rFonts w:hint="eastAsia" w:ascii="宋体" w:hAnsi="宋体" w:eastAsia="宋体" w:cs="宋体"/>
          <w:highlight w:val="none"/>
        </w:rPr>
        <w:t>八、</w:t>
      </w:r>
      <w:bookmarkStart w:id="1302" w:name="_Toc523494085"/>
      <w:bookmarkStart w:id="1303" w:name="_Toc525210051"/>
      <w:r>
        <w:rPr>
          <w:rFonts w:hint="eastAsia" w:ascii="宋体" w:hAnsi="宋体" w:eastAsia="宋体" w:cs="宋体"/>
          <w:highlight w:val="none"/>
        </w:rPr>
        <w:t>中小企业声明函</w:t>
      </w:r>
      <w:bookmarkEnd w:id="1296"/>
      <w:bookmarkEnd w:id="1297"/>
      <w:bookmarkEnd w:id="1298"/>
      <w:bookmarkEnd w:id="1299"/>
      <w:bookmarkEnd w:id="1300"/>
      <w:bookmarkEnd w:id="1301"/>
      <w:bookmarkEnd w:id="1302"/>
      <w:bookmarkEnd w:id="1303"/>
    </w:p>
    <w:p>
      <w:pPr>
        <w:rPr>
          <w:rFonts w:hint="eastAsia" w:ascii="宋体" w:hAnsi="宋体" w:cs="宋体"/>
          <w:highlight w:val="none"/>
        </w:rPr>
      </w:pPr>
    </w:p>
    <w:p>
      <w:pPr>
        <w:pStyle w:val="15"/>
        <w:rPr>
          <w:rFonts w:hint="eastAsia"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 xml:space="preserve">  （单位名称）  </w:t>
      </w:r>
      <w:r>
        <w:rPr>
          <w:rFonts w:hint="eastAsia" w:ascii="宋体" w:hAnsi="宋体" w:cs="宋体"/>
          <w:highlight w:val="none"/>
        </w:rPr>
        <w:t>的</w:t>
      </w:r>
      <w:r>
        <w:rPr>
          <w:rFonts w:hint="eastAsia" w:ascii="宋体" w:hAnsi="宋体" w:cs="宋体"/>
          <w:highlight w:val="none"/>
          <w:u w:val="single"/>
        </w:rPr>
        <w:t xml:space="preserve">  （项目名称）  </w:t>
      </w:r>
      <w:r>
        <w:rPr>
          <w:rFonts w:hint="eastAsia" w:ascii="宋体" w:hAnsi="宋体" w:cs="宋体"/>
          <w:highlight w:val="none"/>
        </w:rPr>
        <w:t xml:space="preserve">采购活动，服务全部由符合政策要求的中小企业承接。相关企业（含联合）体中的中小企业、签订分包意向协议的中小企业）的具体情 况如下： </w:t>
      </w:r>
    </w:p>
    <w:p>
      <w:pPr>
        <w:pStyle w:val="15"/>
        <w:rPr>
          <w:rFonts w:hint="eastAsia" w:ascii="宋体" w:hAnsi="宋体" w:cs="宋体"/>
          <w:highlight w:val="none"/>
        </w:rPr>
      </w:pPr>
      <w:r>
        <w:rPr>
          <w:rFonts w:hint="eastAsia" w:ascii="宋体" w:hAnsi="宋体" w:cs="宋体"/>
          <w:highlight w:val="none"/>
        </w:rPr>
        <w:t xml:space="preserve">1. </w:t>
      </w:r>
      <w:r>
        <w:rPr>
          <w:rFonts w:hint="eastAsia" w:ascii="宋体" w:hAnsi="宋体" w:cs="宋体"/>
          <w:highlight w:val="none"/>
          <w:u w:val="single"/>
        </w:rPr>
        <w:t xml:space="preserve">（标的名称） </w:t>
      </w:r>
      <w:r>
        <w:rPr>
          <w:rFonts w:hint="eastAsia" w:ascii="宋体" w:hAnsi="宋体" w:cs="宋体"/>
          <w:highlight w:val="none"/>
        </w:rPr>
        <w:t>，属于（采购文件中明确的所属行业）；承建（承接）企业为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pPr>
        <w:pStyle w:val="15"/>
        <w:rPr>
          <w:rFonts w:hint="eastAsia" w:ascii="宋体" w:hAnsi="宋体" w:cs="宋体"/>
          <w:highlight w:val="none"/>
        </w:rPr>
      </w:pPr>
      <w:r>
        <w:rPr>
          <w:rFonts w:hint="eastAsia" w:ascii="宋体" w:hAnsi="宋体" w:cs="宋体"/>
          <w:highlight w:val="none"/>
        </w:rPr>
        <w:t xml:space="preserve">2. </w:t>
      </w:r>
      <w:r>
        <w:rPr>
          <w:rFonts w:hint="eastAsia" w:ascii="宋体" w:hAnsi="宋体" w:cs="宋体"/>
          <w:highlight w:val="none"/>
          <w:u w:val="single"/>
        </w:rPr>
        <w:t>（标的名称）</w:t>
      </w:r>
      <w:r>
        <w:rPr>
          <w:rFonts w:hint="eastAsia" w:ascii="宋体" w:hAnsi="宋体" w:cs="宋体"/>
          <w:highlight w:val="none"/>
        </w:rPr>
        <w:t xml:space="preserve"> ，属于（采购文件中明确的所属行业）；承建（承接）企业为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pPr>
        <w:pStyle w:val="15"/>
        <w:rPr>
          <w:rFonts w:hint="eastAsia" w:ascii="宋体" w:hAnsi="宋体" w:cs="宋体"/>
          <w:highlight w:val="none"/>
        </w:rPr>
      </w:pPr>
      <w:r>
        <w:rPr>
          <w:rFonts w:hint="eastAsia" w:ascii="宋体" w:hAnsi="宋体" w:cs="宋体"/>
          <w:highlight w:val="none"/>
        </w:rPr>
        <w:t xml:space="preserve">…… </w:t>
      </w:r>
    </w:p>
    <w:p>
      <w:pPr>
        <w:pStyle w:val="15"/>
        <w:rPr>
          <w:rFonts w:hint="eastAsia" w:ascii="宋体" w:hAnsi="宋体" w:cs="宋体"/>
          <w:highlight w:val="none"/>
        </w:rPr>
      </w:pPr>
      <w:r>
        <w:rPr>
          <w:rFonts w:hint="eastAsia" w:ascii="宋体" w:hAnsi="宋体" w:cs="宋体"/>
          <w:highlight w:val="none"/>
        </w:rPr>
        <w:t xml:space="preserve">以上企业，不属于大企业的分支机构，不存在控股股东为大企业的情形，也不存在与大企业的负责人为同一人的情形。 </w:t>
      </w:r>
    </w:p>
    <w:p>
      <w:pPr>
        <w:pStyle w:val="15"/>
        <w:rPr>
          <w:rFonts w:hint="eastAsia" w:ascii="宋体" w:hAnsi="宋体" w:cs="宋体"/>
          <w:highlight w:val="none"/>
        </w:rPr>
      </w:pPr>
      <w:r>
        <w:rPr>
          <w:rFonts w:hint="eastAsia" w:ascii="宋体" w:hAnsi="宋体" w:cs="宋体"/>
          <w:highlight w:val="none"/>
        </w:rPr>
        <w:t xml:space="preserve">本企业对上述声明内容的真实性负责。如有虚假，将依 法承担相应责任。 </w:t>
      </w:r>
    </w:p>
    <w:p>
      <w:pPr>
        <w:pStyle w:val="15"/>
        <w:ind w:left="0" w:leftChars="0" w:firstLine="0" w:firstLineChars="0"/>
        <w:rPr>
          <w:rFonts w:hint="eastAsia" w:ascii="宋体" w:hAnsi="宋体" w:cs="宋体"/>
          <w:highlight w:val="none"/>
        </w:rPr>
      </w:pPr>
    </w:p>
    <w:p>
      <w:pPr>
        <w:pStyle w:val="15"/>
        <w:ind w:left="3360" w:leftChars="1600"/>
        <w:rPr>
          <w:rFonts w:hint="eastAsia" w:ascii="宋体" w:hAnsi="宋体" w:cs="宋体"/>
          <w:highlight w:val="none"/>
          <w:u w:val="single"/>
        </w:rPr>
      </w:pPr>
      <w:r>
        <w:rPr>
          <w:rFonts w:hint="eastAsia" w:ascii="宋体" w:hAnsi="宋体" w:cs="宋体"/>
          <w:highlight w:val="none"/>
        </w:rPr>
        <w:t>企业名称（盖章）：</w:t>
      </w:r>
      <w:r>
        <w:rPr>
          <w:rFonts w:hint="eastAsia" w:ascii="宋体" w:hAnsi="宋体" w:cs="宋体"/>
          <w:highlight w:val="none"/>
          <w:u w:val="single"/>
        </w:rPr>
        <w:t xml:space="preserve">                     </w:t>
      </w:r>
    </w:p>
    <w:p>
      <w:pPr>
        <w:pStyle w:val="15"/>
        <w:ind w:left="3360" w:leftChars="16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xml:space="preserve">                                 </w:t>
      </w:r>
    </w:p>
    <w:p>
      <w:pPr>
        <w:pStyle w:val="15"/>
        <w:ind w:left="3360" w:leftChars="1600"/>
        <w:rPr>
          <w:rFonts w:hint="eastAsia" w:ascii="宋体" w:hAnsi="宋体" w:cs="宋体"/>
          <w:highlight w:val="none"/>
          <w:u w:val="single"/>
        </w:rPr>
      </w:pPr>
    </w:p>
    <w:p>
      <w:pPr>
        <w:ind w:firstLine="420" w:firstLineChars="200"/>
        <w:rPr>
          <w:rFonts w:hint="eastAsia" w:ascii="宋体" w:hAnsi="宋体" w:cs="宋体"/>
          <w:highlight w:val="none"/>
        </w:rPr>
      </w:pPr>
      <w:r>
        <w:rPr>
          <w:rFonts w:hint="eastAsia" w:ascii="宋体" w:hAnsi="宋体" w:cs="宋体"/>
          <w:highlight w:val="none"/>
        </w:rPr>
        <w:t>1、从业人员、营业收入、资产总额填报上一年度数据，无上一年度数据的新成立企业可不填报。</w:t>
      </w:r>
    </w:p>
    <w:p>
      <w:pPr>
        <w:ind w:firstLine="420" w:firstLineChars="200"/>
        <w:rPr>
          <w:rFonts w:hint="eastAsia" w:ascii="宋体" w:hAnsi="宋体" w:eastAsia="宋体" w:cs="宋体"/>
          <w:highlight w:val="none"/>
        </w:rPr>
      </w:pPr>
      <w:r>
        <w:rPr>
          <w:rFonts w:hint="eastAsia" w:ascii="宋体" w:hAnsi="宋体" w:cs="宋体"/>
          <w:highlight w:val="none"/>
        </w:rPr>
        <w:t>2、所投项目供应商属于中小微企业的填写，不属于的无需填写此项内容。</w:t>
      </w:r>
      <w:bookmarkStart w:id="1304" w:name="_Toc13679"/>
      <w:bookmarkStart w:id="1305" w:name="_Toc24002"/>
      <w:bookmarkStart w:id="1306" w:name="_Toc4766"/>
      <w:bookmarkStart w:id="1307" w:name="_Toc7101"/>
      <w:bookmarkStart w:id="1308" w:name="_Toc8309"/>
    </w:p>
    <w:p>
      <w:pPr>
        <w:pStyle w:val="9"/>
        <w:jc w:val="center"/>
        <w:rPr>
          <w:rFonts w:hint="eastAsia" w:ascii="宋体" w:hAnsi="宋体" w:eastAsia="宋体" w:cs="宋体"/>
          <w:highlight w:val="none"/>
        </w:rPr>
      </w:pPr>
      <w:bookmarkStart w:id="1309" w:name="_Toc14345"/>
      <w:bookmarkStart w:id="1310" w:name="_Toc18371"/>
      <w:r>
        <w:rPr>
          <w:rFonts w:hint="eastAsia" w:ascii="宋体" w:hAnsi="宋体" w:eastAsia="宋体" w:cs="宋体"/>
          <w:highlight w:val="none"/>
        </w:rPr>
        <w:t>九、残疾人福利性单位声明函</w:t>
      </w:r>
      <w:bookmarkEnd w:id="1304"/>
      <w:bookmarkEnd w:id="1305"/>
      <w:bookmarkEnd w:id="1306"/>
      <w:bookmarkEnd w:id="1307"/>
      <w:bookmarkEnd w:id="1308"/>
      <w:bookmarkEnd w:id="1309"/>
      <w:bookmarkEnd w:id="1310"/>
    </w:p>
    <w:p>
      <w:pPr>
        <w:jc w:val="center"/>
        <w:rPr>
          <w:rFonts w:hint="eastAsia" w:ascii="宋体" w:hAnsi="宋体" w:cs="宋体"/>
          <w:highlight w:val="none"/>
        </w:rPr>
      </w:pPr>
    </w:p>
    <w:p>
      <w:pPr>
        <w:jc w:val="center"/>
        <w:rPr>
          <w:rFonts w:hint="eastAsia" w:ascii="宋体" w:hAnsi="宋体" w:cs="宋体"/>
          <w:highlight w:val="none"/>
        </w:rPr>
      </w:pPr>
      <w:r>
        <w:rPr>
          <w:rFonts w:hint="eastAsia" w:ascii="宋体" w:hAnsi="宋体" w:cs="宋体"/>
          <w:highlight w:val="none"/>
        </w:rPr>
        <w:t>（属于残疾人福利企业的填写，不属于的无需填写此项内容）</w:t>
      </w:r>
    </w:p>
    <w:p>
      <w:pPr>
        <w:rPr>
          <w:rFonts w:hint="eastAsia" w:ascii="宋体" w:hAnsi="宋体" w:cs="宋体"/>
          <w:highlight w:val="none"/>
        </w:rPr>
      </w:pPr>
    </w:p>
    <w:p>
      <w:pPr>
        <w:ind w:firstLine="420" w:firstLineChars="200"/>
        <w:rPr>
          <w:rFonts w:hint="eastAsia" w:ascii="宋体" w:hAnsi="宋体" w:cs="宋体"/>
          <w:highlight w:val="none"/>
        </w:rPr>
      </w:pPr>
      <w:r>
        <w:rPr>
          <w:rFonts w:hint="eastAsia" w:ascii="宋体" w:hAnsi="宋体" w:cs="宋体"/>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highlight w:val="none"/>
          <w:u w:val="single"/>
        </w:rPr>
        <w:t xml:space="preserve">      /      </w:t>
      </w:r>
      <w:r>
        <w:rPr>
          <w:rFonts w:hint="eastAsia" w:ascii="宋体" w:hAnsi="宋体" w:cs="宋体"/>
          <w:highlight w:val="none"/>
        </w:rPr>
        <w:t>。</w:t>
      </w:r>
    </w:p>
    <w:p>
      <w:pPr>
        <w:ind w:firstLine="420" w:firstLineChars="200"/>
        <w:rPr>
          <w:rFonts w:hint="eastAsia" w:ascii="宋体" w:hAnsi="宋体" w:cs="宋体"/>
          <w:highlight w:val="none"/>
        </w:rPr>
      </w:pPr>
      <w:r>
        <w:rPr>
          <w:rFonts w:hint="eastAsia" w:ascii="宋体" w:hAnsi="宋体" w:cs="宋体"/>
          <w:highlight w:val="none"/>
        </w:rPr>
        <w:t>本单位对上述声明的真实性负责。如有虚假，将承担相应的法律责任。</w:t>
      </w:r>
    </w:p>
    <w:p>
      <w:pPr>
        <w:rPr>
          <w:rFonts w:hint="eastAsia" w:ascii="宋体" w:hAnsi="宋体" w:cs="宋体"/>
          <w:highlight w:val="none"/>
        </w:rPr>
      </w:pPr>
    </w:p>
    <w:p>
      <w:pPr>
        <w:rPr>
          <w:rFonts w:hint="eastAsia" w:ascii="宋体" w:hAnsi="宋体" w:cs="宋体"/>
          <w:highlight w:val="none"/>
        </w:rPr>
      </w:pPr>
    </w:p>
    <w:p>
      <w:pPr>
        <w:ind w:left="3360" w:leftChars="1600"/>
        <w:rPr>
          <w:rFonts w:hint="eastAsia" w:ascii="宋体" w:hAnsi="宋体" w:cs="宋体"/>
          <w:highlight w:val="none"/>
        </w:rPr>
      </w:pPr>
      <w:r>
        <w:rPr>
          <w:rFonts w:hint="eastAsia" w:ascii="宋体" w:hAnsi="宋体" w:cs="宋体"/>
          <w:highlight w:val="none"/>
        </w:rPr>
        <w:t>供应商名称（单位电子签章）：</w:t>
      </w:r>
      <w:r>
        <w:rPr>
          <w:rFonts w:hint="eastAsia" w:ascii="宋体" w:hAnsi="宋体" w:cs="宋体"/>
          <w:highlight w:val="none"/>
          <w:u w:val="single"/>
        </w:rPr>
        <w:t xml:space="preserve">         </w:t>
      </w:r>
    </w:p>
    <w:p>
      <w:pPr>
        <w:ind w:left="3360" w:leftChars="1600"/>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p>
    <w:p>
      <w:pPr>
        <w:rPr>
          <w:rFonts w:hint="eastAsia" w:ascii="宋体" w:hAnsi="宋体" w:cs="宋体"/>
          <w:b/>
          <w:szCs w:val="21"/>
          <w:highlight w:val="none"/>
        </w:rPr>
      </w:pPr>
    </w:p>
    <w:p>
      <w:pPr>
        <w:pStyle w:val="26"/>
        <w:rPr>
          <w:rFonts w:hint="eastAsia" w:ascii="宋体" w:hAnsi="宋体" w:cs="宋体"/>
          <w:b/>
          <w:sz w:val="21"/>
          <w:szCs w:val="21"/>
          <w:highlight w:val="none"/>
        </w:rPr>
      </w:pPr>
    </w:p>
    <w:p>
      <w:pPr>
        <w:pStyle w:val="26"/>
        <w:rPr>
          <w:rFonts w:hint="eastAsia" w:ascii="宋体" w:hAnsi="宋体" w:cs="宋体"/>
          <w:b/>
          <w:sz w:val="21"/>
          <w:szCs w:val="21"/>
          <w:highlight w:val="none"/>
        </w:rPr>
      </w:pPr>
    </w:p>
    <w:p>
      <w:pPr>
        <w:pStyle w:val="26"/>
        <w:rPr>
          <w:rFonts w:hint="eastAsia" w:ascii="宋体" w:hAnsi="宋体" w:cs="宋体"/>
          <w:b/>
          <w:sz w:val="21"/>
          <w:szCs w:val="21"/>
          <w:highlight w:val="none"/>
        </w:rPr>
      </w:pPr>
    </w:p>
    <w:p>
      <w:pPr>
        <w:pStyle w:val="26"/>
        <w:rPr>
          <w:rFonts w:hint="eastAsia" w:ascii="宋体" w:hAnsi="宋体" w:cs="宋体"/>
          <w:b/>
          <w:sz w:val="21"/>
          <w:szCs w:val="21"/>
          <w:highlight w:val="none"/>
        </w:rPr>
      </w:pPr>
    </w:p>
    <w:p>
      <w:pPr>
        <w:pStyle w:val="26"/>
        <w:rPr>
          <w:rFonts w:hint="eastAsia" w:ascii="宋体" w:hAnsi="宋体" w:cs="宋体"/>
          <w:b/>
          <w:sz w:val="21"/>
          <w:szCs w:val="21"/>
          <w:highlight w:val="none"/>
        </w:rPr>
      </w:pPr>
    </w:p>
    <w:p>
      <w:pPr>
        <w:pStyle w:val="26"/>
        <w:rPr>
          <w:rFonts w:hint="eastAsia" w:ascii="宋体" w:hAnsi="宋体" w:cs="宋体"/>
          <w:b/>
          <w:sz w:val="21"/>
          <w:szCs w:val="21"/>
          <w:highlight w:val="none"/>
        </w:rPr>
      </w:pPr>
    </w:p>
    <w:p>
      <w:pPr>
        <w:pStyle w:val="9"/>
        <w:jc w:val="center"/>
        <w:rPr>
          <w:rFonts w:hint="eastAsia" w:ascii="宋体" w:hAnsi="宋体" w:eastAsia="宋体" w:cs="宋体"/>
          <w:highlight w:val="none"/>
        </w:rPr>
      </w:pPr>
      <w:bookmarkStart w:id="1311" w:name="_Toc4000"/>
      <w:bookmarkStart w:id="1312" w:name="_Toc13466"/>
      <w:bookmarkStart w:id="1313" w:name="_Toc19926"/>
      <w:bookmarkStart w:id="1314" w:name="_Toc28460"/>
      <w:bookmarkStart w:id="1315" w:name="_Toc28285"/>
      <w:bookmarkStart w:id="1316" w:name="_Toc31282"/>
      <w:bookmarkStart w:id="1317" w:name="_Toc22779"/>
      <w:bookmarkStart w:id="1318" w:name="_Toc19344"/>
      <w:r>
        <w:rPr>
          <w:rFonts w:hint="eastAsia" w:ascii="宋体" w:hAnsi="宋体" w:eastAsia="宋体" w:cs="宋体"/>
          <w:highlight w:val="none"/>
        </w:rPr>
        <w:t>十、监狱企业证明文件（如有）</w:t>
      </w:r>
      <w:bookmarkEnd w:id="1311"/>
      <w:bookmarkEnd w:id="1312"/>
      <w:bookmarkEnd w:id="1313"/>
      <w:bookmarkEnd w:id="1314"/>
      <w:bookmarkEnd w:id="1315"/>
      <w:bookmarkEnd w:id="1316"/>
      <w:bookmarkEnd w:id="1317"/>
      <w:bookmarkEnd w:id="1318"/>
    </w:p>
    <w:p>
      <w:pPr>
        <w:ind w:firstLine="420" w:firstLineChars="200"/>
        <w:rPr>
          <w:rFonts w:hint="eastAsia" w:ascii="宋体" w:hAnsi="宋体" w:cs="宋体"/>
          <w:highlight w:val="none"/>
        </w:rPr>
      </w:pPr>
    </w:p>
    <w:p>
      <w:pPr>
        <w:pStyle w:val="15"/>
        <w:rPr>
          <w:rFonts w:hint="eastAsia" w:ascii="宋体" w:hAnsi="宋体" w:cs="宋体"/>
          <w:highlight w:val="none"/>
        </w:rPr>
      </w:pPr>
      <w:r>
        <w:rPr>
          <w:rFonts w:hint="eastAsia" w:ascii="宋体" w:hAnsi="宋体" w:cs="宋体"/>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pPr>
        <w:pStyle w:val="15"/>
        <w:rPr>
          <w:rFonts w:hint="eastAsia" w:ascii="宋体" w:hAnsi="宋体" w:cs="宋体"/>
          <w:highlight w:val="none"/>
        </w:rPr>
      </w:pPr>
    </w:p>
    <w:p>
      <w:pPr>
        <w:pStyle w:val="15"/>
        <w:rPr>
          <w:rFonts w:hint="eastAsia" w:ascii="宋体" w:hAnsi="宋体" w:cs="宋体"/>
          <w:highlight w:val="none"/>
        </w:rPr>
      </w:pPr>
    </w:p>
    <w:p>
      <w:pPr>
        <w:pStyle w:val="15"/>
        <w:rPr>
          <w:rFonts w:hint="eastAsia" w:ascii="宋体" w:hAnsi="宋体" w:cs="宋体"/>
          <w:highlight w:val="none"/>
        </w:rPr>
      </w:pPr>
      <w:r>
        <w:rPr>
          <w:rFonts w:hint="eastAsia" w:ascii="宋体" w:hAnsi="宋体" w:cs="宋体"/>
          <w:highlight w:val="none"/>
        </w:rPr>
        <w:t>注：在投标文件中附扫描件。</w:t>
      </w: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pStyle w:val="3"/>
        <w:spacing w:before="156" w:after="156"/>
        <w:rPr>
          <w:rFonts w:hint="eastAsia" w:ascii="宋体" w:hAnsi="宋体" w:cs="宋体"/>
          <w:highlight w:val="none"/>
        </w:rPr>
      </w:pPr>
    </w:p>
    <w:p>
      <w:pPr>
        <w:rPr>
          <w:rFonts w:hint="eastAsia" w:ascii="宋体" w:hAnsi="宋体" w:cs="宋体"/>
          <w:highlight w:val="none"/>
        </w:rPr>
      </w:pPr>
    </w:p>
    <w:p>
      <w:pPr>
        <w:pStyle w:val="3"/>
        <w:spacing w:before="156" w:after="156"/>
        <w:rPr>
          <w:rFonts w:hint="eastAsia" w:ascii="宋体" w:hAnsi="宋体" w:cs="宋体"/>
          <w:highlight w:val="none"/>
        </w:rPr>
      </w:pPr>
    </w:p>
    <w:p>
      <w:pPr>
        <w:ind w:left="0" w:leftChars="0" w:firstLine="0" w:firstLineChars="0"/>
        <w:rPr>
          <w:rFonts w:hint="eastAsia" w:ascii="宋体" w:hAnsi="宋体" w:cs="宋体"/>
          <w:highlight w:val="none"/>
        </w:rPr>
      </w:pPr>
      <w:bookmarkStart w:id="1319" w:name="_Toc24731"/>
      <w:bookmarkStart w:id="1320" w:name="_Toc30624"/>
    </w:p>
    <w:p>
      <w:pPr>
        <w:pStyle w:val="9"/>
        <w:jc w:val="center"/>
        <w:rPr>
          <w:rFonts w:hint="eastAsia" w:ascii="宋体" w:hAnsi="宋体" w:eastAsia="宋体" w:cs="宋体"/>
          <w:highlight w:val="none"/>
        </w:rPr>
      </w:pPr>
      <w:bookmarkStart w:id="1321" w:name="_Toc16988"/>
      <w:bookmarkStart w:id="1322" w:name="_Toc28665"/>
      <w:bookmarkStart w:id="1323" w:name="_Toc29950"/>
      <w:bookmarkStart w:id="1324" w:name="_Toc20441"/>
      <w:bookmarkStart w:id="1325" w:name="_Toc4604"/>
      <w:bookmarkStart w:id="1326" w:name="_Toc19521"/>
      <w:r>
        <w:rPr>
          <w:rFonts w:hint="eastAsia" w:ascii="宋体" w:hAnsi="宋体" w:eastAsia="宋体" w:cs="宋体"/>
          <w:highlight w:val="none"/>
        </w:rPr>
        <w:t>十一、其他材料</w:t>
      </w:r>
      <w:bookmarkEnd w:id="1319"/>
      <w:bookmarkEnd w:id="1320"/>
      <w:bookmarkEnd w:id="1321"/>
      <w:bookmarkEnd w:id="1322"/>
      <w:bookmarkEnd w:id="1323"/>
      <w:bookmarkEnd w:id="1324"/>
      <w:bookmarkEnd w:id="1325"/>
      <w:bookmarkEnd w:id="1326"/>
    </w:p>
    <w:p>
      <w:pPr>
        <w:pStyle w:val="10"/>
        <w:jc w:val="center"/>
        <w:rPr>
          <w:rFonts w:hint="eastAsia" w:ascii="宋体" w:hAnsi="宋体" w:cs="宋体"/>
          <w:highlight w:val="none"/>
        </w:rPr>
      </w:pPr>
      <w:bookmarkStart w:id="1327" w:name="_Toc26902"/>
      <w:bookmarkStart w:id="1328" w:name="_Toc9444"/>
      <w:bookmarkStart w:id="1329" w:name="_Toc29325"/>
      <w:bookmarkStart w:id="1330" w:name="_Toc11806"/>
      <w:bookmarkStart w:id="1331" w:name="_Toc22434"/>
      <w:r>
        <w:rPr>
          <w:rFonts w:hint="eastAsia" w:ascii="宋体" w:hAnsi="宋体" w:cs="宋体"/>
          <w:highlight w:val="none"/>
        </w:rPr>
        <w:t>1、磋商承诺函</w:t>
      </w:r>
      <w:bookmarkEnd w:id="1327"/>
      <w:bookmarkEnd w:id="1328"/>
      <w:bookmarkEnd w:id="1329"/>
      <w:bookmarkEnd w:id="1330"/>
      <w:bookmarkEnd w:id="1331"/>
    </w:p>
    <w:p>
      <w:pPr>
        <w:spacing w:line="40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w:t>
      </w:r>
    </w:p>
    <w:p>
      <w:pPr>
        <w:spacing w:line="400" w:lineRule="atLeast"/>
        <w:ind w:firstLine="420" w:firstLineChars="200"/>
        <w:rPr>
          <w:rFonts w:hint="eastAsia" w:ascii="宋体" w:hAnsi="宋体" w:cs="宋体"/>
          <w:highlight w:val="none"/>
        </w:rPr>
      </w:pPr>
      <w:r>
        <w:rPr>
          <w:rFonts w:hint="eastAsia" w:ascii="宋体" w:hAnsi="宋体" w:cs="宋体"/>
          <w:highlight w:val="none"/>
        </w:rPr>
        <w:t>我公司作为本次采购项目的供应商，根据招标文件要求，现郑重承诺如下：</w:t>
      </w:r>
    </w:p>
    <w:p>
      <w:pPr>
        <w:spacing w:line="400" w:lineRule="atLeast"/>
        <w:ind w:firstLine="420" w:firstLineChars="200"/>
        <w:rPr>
          <w:rFonts w:hint="eastAsia" w:ascii="宋体" w:hAnsi="宋体" w:cs="宋体"/>
          <w:highlight w:val="none"/>
        </w:rPr>
      </w:pPr>
      <w:r>
        <w:rPr>
          <w:rFonts w:hint="eastAsia" w:ascii="宋体" w:hAnsi="宋体" w:cs="宋体"/>
          <w:highlight w:val="none"/>
        </w:rPr>
        <w:t>一、具备《中华人民共和国政府采购法》第二十二条第一款和本项目规定的条件：</w:t>
      </w:r>
    </w:p>
    <w:p>
      <w:pPr>
        <w:spacing w:line="400" w:lineRule="atLeast"/>
        <w:ind w:firstLine="420" w:firstLineChars="200"/>
        <w:rPr>
          <w:rFonts w:hint="eastAsia" w:ascii="宋体" w:hAnsi="宋体" w:cs="宋体"/>
          <w:highlight w:val="none"/>
        </w:rPr>
      </w:pPr>
      <w:r>
        <w:rPr>
          <w:rFonts w:hint="eastAsia" w:ascii="宋体" w:hAnsi="宋体" w:cs="宋体"/>
          <w:highlight w:val="none"/>
        </w:rPr>
        <w:t>（一）具有独立承担民事责任的能力； 　　</w:t>
      </w:r>
    </w:p>
    <w:p>
      <w:pPr>
        <w:spacing w:line="400" w:lineRule="atLeast"/>
        <w:ind w:firstLine="420" w:firstLineChars="200"/>
        <w:rPr>
          <w:rFonts w:hint="eastAsia" w:ascii="宋体" w:hAnsi="宋体" w:cs="宋体"/>
          <w:highlight w:val="none"/>
        </w:rPr>
      </w:pPr>
      <w:r>
        <w:rPr>
          <w:rFonts w:hint="eastAsia" w:ascii="宋体" w:hAnsi="宋体" w:cs="宋体"/>
          <w:highlight w:val="none"/>
        </w:rPr>
        <w:t>（二）具有良好的商业信誉和健全的财务会计制度； 　</w:t>
      </w:r>
    </w:p>
    <w:p>
      <w:pPr>
        <w:spacing w:line="400" w:lineRule="atLeast"/>
        <w:ind w:firstLine="420" w:firstLineChars="200"/>
        <w:rPr>
          <w:rFonts w:hint="eastAsia" w:ascii="宋体" w:hAnsi="宋体" w:cs="宋体"/>
          <w:highlight w:val="none"/>
        </w:rPr>
      </w:pPr>
      <w:r>
        <w:rPr>
          <w:rFonts w:hint="eastAsia" w:ascii="宋体" w:hAnsi="宋体" w:cs="宋体"/>
          <w:highlight w:val="none"/>
        </w:rPr>
        <w:t>（三）具有履行合同所必需的设备和专业技术能力； 　　</w:t>
      </w:r>
    </w:p>
    <w:p>
      <w:pPr>
        <w:spacing w:line="400" w:lineRule="atLeast"/>
        <w:ind w:firstLine="420" w:firstLineChars="200"/>
        <w:rPr>
          <w:rFonts w:hint="eastAsia" w:ascii="宋体" w:hAnsi="宋体" w:cs="宋体"/>
          <w:highlight w:val="none"/>
        </w:rPr>
      </w:pPr>
      <w:r>
        <w:rPr>
          <w:rFonts w:hint="eastAsia" w:ascii="宋体" w:hAnsi="宋体" w:cs="宋体"/>
          <w:highlight w:val="none"/>
        </w:rPr>
        <w:t>（四）有依法缴纳税收和社会保障资金的良好记录； 　　</w:t>
      </w:r>
    </w:p>
    <w:p>
      <w:pPr>
        <w:spacing w:line="400" w:lineRule="atLeast"/>
        <w:ind w:firstLine="420" w:firstLineChars="200"/>
        <w:rPr>
          <w:rFonts w:hint="eastAsia" w:ascii="宋体" w:hAnsi="宋体" w:cs="宋体"/>
          <w:highlight w:val="none"/>
        </w:rPr>
      </w:pPr>
      <w:r>
        <w:rPr>
          <w:rFonts w:hint="eastAsia" w:ascii="宋体" w:hAnsi="宋体" w:cs="宋体"/>
          <w:highlight w:val="none"/>
        </w:rPr>
        <w:t>（五）参加政府采购活动前三年内，在经营活动中没有重大违法记录；</w:t>
      </w:r>
    </w:p>
    <w:p>
      <w:pPr>
        <w:spacing w:line="400" w:lineRule="atLeast"/>
        <w:ind w:firstLine="420" w:firstLineChars="200"/>
        <w:rPr>
          <w:rFonts w:hint="eastAsia" w:ascii="宋体" w:hAnsi="宋体" w:cs="宋体"/>
          <w:highlight w:val="none"/>
        </w:rPr>
      </w:pPr>
      <w:r>
        <w:rPr>
          <w:rFonts w:hint="eastAsia" w:ascii="宋体" w:hAnsi="宋体" w:cs="宋体"/>
          <w:highlight w:val="none"/>
        </w:rPr>
        <w:t>（六）法律、行政法规规定的其他条件；</w:t>
      </w:r>
    </w:p>
    <w:p>
      <w:pPr>
        <w:spacing w:line="400" w:lineRule="atLeast"/>
        <w:ind w:firstLine="420" w:firstLineChars="200"/>
        <w:rPr>
          <w:rFonts w:hint="eastAsia" w:ascii="宋体" w:hAnsi="宋体" w:cs="宋体"/>
          <w:highlight w:val="none"/>
        </w:rPr>
      </w:pPr>
      <w:r>
        <w:rPr>
          <w:rFonts w:hint="eastAsia" w:ascii="宋体" w:hAnsi="宋体" w:cs="宋体"/>
          <w:highlight w:val="none"/>
        </w:rPr>
        <w:t>（七）根据采购项目提出的特殊条件。</w:t>
      </w:r>
    </w:p>
    <w:p>
      <w:pPr>
        <w:spacing w:line="400" w:lineRule="atLeast"/>
        <w:ind w:firstLine="420" w:firstLineChars="200"/>
        <w:rPr>
          <w:rFonts w:hint="eastAsia" w:ascii="宋体" w:hAnsi="宋体" w:cs="宋体"/>
          <w:highlight w:val="none"/>
        </w:rPr>
      </w:pPr>
      <w:r>
        <w:rPr>
          <w:rFonts w:hint="eastAsia" w:ascii="宋体" w:hAnsi="宋体" w:cs="宋体"/>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spacing w:line="400" w:lineRule="atLeast"/>
        <w:ind w:firstLine="420" w:firstLineChars="200"/>
        <w:rPr>
          <w:rFonts w:hint="eastAsia" w:ascii="宋体" w:hAnsi="宋体" w:cs="宋体"/>
          <w:highlight w:val="none"/>
        </w:rPr>
      </w:pPr>
      <w:r>
        <w:rPr>
          <w:rFonts w:hint="eastAsia" w:ascii="宋体" w:hAnsi="宋体" w:cs="宋体"/>
          <w:highlight w:val="none"/>
        </w:rPr>
        <w:t>三、参加本次招标采购活动，不存在与单位负责人为同一人或者存在直接控股、管理关系的其他供应商参与同一合同项下的政府采购活动的行为。    </w:t>
      </w:r>
    </w:p>
    <w:p>
      <w:pPr>
        <w:spacing w:line="400" w:lineRule="atLeast"/>
        <w:ind w:firstLine="420" w:firstLineChars="200"/>
        <w:rPr>
          <w:rFonts w:hint="eastAsia" w:ascii="宋体" w:hAnsi="宋体" w:cs="宋体"/>
          <w:highlight w:val="none"/>
        </w:rPr>
      </w:pPr>
      <w:r>
        <w:rPr>
          <w:rFonts w:hint="eastAsia" w:ascii="宋体" w:hAnsi="宋体" w:cs="宋体"/>
          <w:highlight w:val="none"/>
        </w:rPr>
        <w:t>四、参加本次招标采购活动，不存在为采购项目提供整体设计、规范编制或者项目管理、监理、检测等服务的行为。</w:t>
      </w:r>
    </w:p>
    <w:p>
      <w:pPr>
        <w:spacing w:line="400" w:lineRule="atLeast"/>
        <w:ind w:firstLine="420" w:firstLineChars="200"/>
        <w:rPr>
          <w:rFonts w:hint="eastAsia" w:ascii="宋体" w:hAnsi="宋体" w:cs="宋体"/>
          <w:highlight w:val="none"/>
        </w:rPr>
      </w:pPr>
      <w:r>
        <w:rPr>
          <w:rFonts w:hint="eastAsia" w:ascii="宋体" w:hAnsi="宋体" w:cs="宋体"/>
          <w:highlight w:val="none"/>
        </w:rPr>
        <w:t>五、参加本次招标采购活动，不存在和其他供应商在同一合同项下的采购项目中，同时委托同一个自然人、同一家庭的人员、同一单位的人员作为代理人的行为。</w:t>
      </w:r>
    </w:p>
    <w:p>
      <w:pPr>
        <w:spacing w:line="400" w:lineRule="atLeast"/>
        <w:ind w:firstLine="420" w:firstLineChars="200"/>
        <w:rPr>
          <w:rFonts w:hint="eastAsia" w:ascii="宋体" w:hAnsi="宋体" w:cs="宋体"/>
          <w:highlight w:val="none"/>
        </w:rPr>
      </w:pPr>
      <w:r>
        <w:rPr>
          <w:rFonts w:hint="eastAsia" w:ascii="宋体" w:hAnsi="宋体" w:cs="宋体"/>
          <w:highlight w:val="none"/>
        </w:rPr>
        <w:t>六、供应商参加本次政府采购活动要求在近三年内供应商和其法定代表人没有行贿犯罪行为。</w:t>
      </w:r>
    </w:p>
    <w:p>
      <w:pPr>
        <w:spacing w:line="400" w:lineRule="atLeast"/>
        <w:ind w:firstLine="420" w:firstLineChars="200"/>
        <w:rPr>
          <w:rFonts w:hint="eastAsia" w:ascii="宋体" w:hAnsi="宋体" w:cs="宋体"/>
          <w:highlight w:val="none"/>
        </w:rPr>
      </w:pPr>
      <w:r>
        <w:rPr>
          <w:rFonts w:hint="eastAsia" w:ascii="宋体" w:hAnsi="宋体" w:cs="宋体"/>
          <w:highlight w:val="none"/>
        </w:rPr>
        <w:t>七、投标文件中提供的能够给予我公司带来优惠、好处的任何材料资料和技术、服务、商务等相应承诺情况都是真实的、有效的、合法的。</w:t>
      </w:r>
    </w:p>
    <w:p>
      <w:pPr>
        <w:spacing w:line="400" w:lineRule="atLeast"/>
        <w:ind w:firstLine="420" w:firstLineChars="200"/>
        <w:rPr>
          <w:rFonts w:hint="eastAsia" w:ascii="宋体" w:hAnsi="宋体" w:cs="宋体"/>
          <w:highlight w:val="none"/>
        </w:rPr>
      </w:pPr>
      <w:r>
        <w:rPr>
          <w:rFonts w:hint="eastAsia" w:ascii="宋体" w:hAnsi="宋体" w:cs="宋体"/>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pPr>
        <w:spacing w:line="400" w:lineRule="atLeast"/>
        <w:ind w:firstLine="420" w:firstLineChars="200"/>
        <w:rPr>
          <w:rFonts w:hint="eastAsia" w:ascii="宋体" w:hAnsi="宋体" w:cs="宋体"/>
          <w:highlight w:val="none"/>
        </w:rPr>
      </w:pPr>
      <w:r>
        <w:rPr>
          <w:rFonts w:hint="eastAsia" w:ascii="宋体" w:hAnsi="宋体" w:cs="宋体"/>
          <w:highlight w:val="none"/>
        </w:rPr>
        <w:t>九、存在以下行为之一的愿意接受相关部门的处理：</w:t>
      </w:r>
    </w:p>
    <w:p>
      <w:pPr>
        <w:spacing w:line="400" w:lineRule="atLeast"/>
        <w:ind w:firstLine="420" w:firstLineChars="200"/>
        <w:rPr>
          <w:rFonts w:hint="eastAsia" w:ascii="宋体" w:hAnsi="宋体" w:cs="宋体"/>
          <w:highlight w:val="none"/>
        </w:rPr>
      </w:pPr>
      <w:r>
        <w:rPr>
          <w:rFonts w:hint="eastAsia" w:ascii="宋体" w:hAnsi="宋体" w:cs="宋体"/>
          <w:highlight w:val="none"/>
        </w:rPr>
        <w:t>（一）投标有效期内撤销投标文件的；</w:t>
      </w:r>
    </w:p>
    <w:p>
      <w:pPr>
        <w:spacing w:line="400" w:lineRule="atLeast"/>
        <w:ind w:firstLine="420" w:firstLineChars="200"/>
        <w:rPr>
          <w:rFonts w:hint="eastAsia" w:ascii="宋体" w:hAnsi="宋体" w:cs="宋体"/>
          <w:highlight w:val="none"/>
        </w:rPr>
      </w:pPr>
      <w:r>
        <w:rPr>
          <w:rFonts w:hint="eastAsia" w:ascii="宋体" w:hAnsi="宋体" w:cs="宋体"/>
          <w:highlight w:val="none"/>
        </w:rPr>
        <w:t>（二）在采购人确定成交人以前放弃中标候选资格的；</w:t>
      </w:r>
    </w:p>
    <w:p>
      <w:pPr>
        <w:spacing w:line="400" w:lineRule="atLeast"/>
        <w:ind w:firstLine="420" w:firstLineChars="200"/>
        <w:rPr>
          <w:rFonts w:hint="eastAsia" w:ascii="宋体" w:hAnsi="宋体" w:cs="宋体"/>
          <w:highlight w:val="none"/>
        </w:rPr>
      </w:pPr>
      <w:r>
        <w:rPr>
          <w:rFonts w:hint="eastAsia" w:ascii="宋体" w:hAnsi="宋体" w:cs="宋体"/>
          <w:highlight w:val="none"/>
        </w:rPr>
        <w:t>（三）由于成交人的原因未能按照招标文件的规定与采购人签订合同；</w:t>
      </w:r>
    </w:p>
    <w:p>
      <w:pPr>
        <w:spacing w:line="400" w:lineRule="atLeast"/>
        <w:ind w:firstLine="420" w:firstLineChars="200"/>
        <w:rPr>
          <w:rFonts w:hint="eastAsia" w:ascii="宋体" w:hAnsi="宋体" w:cs="宋体"/>
          <w:highlight w:val="none"/>
        </w:rPr>
      </w:pPr>
      <w:r>
        <w:rPr>
          <w:rFonts w:hint="eastAsia" w:ascii="宋体" w:hAnsi="宋体" w:cs="宋体"/>
          <w:highlight w:val="none"/>
        </w:rPr>
        <w:t>（四）在投标文件中提供虚假材料谋取中标；</w:t>
      </w:r>
    </w:p>
    <w:p>
      <w:pPr>
        <w:spacing w:line="400" w:lineRule="atLeast"/>
        <w:ind w:firstLine="420" w:firstLineChars="200"/>
        <w:rPr>
          <w:rFonts w:hint="eastAsia" w:ascii="宋体" w:hAnsi="宋体" w:cs="宋体"/>
          <w:highlight w:val="none"/>
        </w:rPr>
      </w:pPr>
      <w:r>
        <w:rPr>
          <w:rFonts w:hint="eastAsia" w:ascii="宋体" w:hAnsi="宋体" w:cs="宋体"/>
          <w:highlight w:val="none"/>
        </w:rPr>
        <w:t>（五）与采购人、其他供应商或者采购代理机构恶意串通的；</w:t>
      </w:r>
    </w:p>
    <w:p>
      <w:pPr>
        <w:spacing w:line="400" w:lineRule="atLeast"/>
        <w:ind w:firstLine="420" w:firstLineChars="200"/>
        <w:rPr>
          <w:rFonts w:hint="eastAsia" w:ascii="宋体" w:hAnsi="宋体" w:cs="宋体"/>
          <w:highlight w:val="none"/>
        </w:rPr>
      </w:pPr>
      <w:r>
        <w:rPr>
          <w:rFonts w:hint="eastAsia" w:ascii="宋体" w:hAnsi="宋体" w:cs="宋体"/>
          <w:highlight w:val="none"/>
        </w:rPr>
        <w:t>（六）投标有效期内，供应商在政府采购活动中有违法、违规、违纪行为。</w:t>
      </w:r>
    </w:p>
    <w:p>
      <w:pPr>
        <w:spacing w:line="400" w:lineRule="atLeast"/>
        <w:ind w:firstLine="420" w:firstLineChars="200"/>
        <w:rPr>
          <w:rFonts w:hint="eastAsia" w:ascii="宋体" w:hAnsi="宋体" w:cs="宋体"/>
          <w:highlight w:val="none"/>
        </w:rPr>
      </w:pPr>
      <w:r>
        <w:rPr>
          <w:rFonts w:hint="eastAsia" w:ascii="宋体" w:hAnsi="宋体" w:cs="宋体"/>
          <w:highlight w:val="none"/>
        </w:rPr>
        <w:t> 由此产生的一切法律后果和责任由我公司承担。我公司声明放弃对此提出任何异议和追索的权利。</w:t>
      </w:r>
    </w:p>
    <w:p>
      <w:pPr>
        <w:spacing w:line="400" w:lineRule="atLeast"/>
        <w:ind w:firstLine="420" w:firstLineChars="200"/>
        <w:rPr>
          <w:rFonts w:hint="eastAsia" w:ascii="宋体" w:hAnsi="宋体" w:cs="宋体"/>
          <w:highlight w:val="none"/>
        </w:rPr>
      </w:pPr>
      <w:r>
        <w:rPr>
          <w:rFonts w:hint="eastAsia" w:ascii="宋体" w:hAnsi="宋体" w:cs="宋体"/>
          <w:highlight w:val="none"/>
        </w:rPr>
        <w:t>本公司对上述承诺的内容事项真实性负责。如经查实上述承诺的内容事项存在虚假，我公司愿意接受以提供虚假材料谋取中标追究法律责任。</w:t>
      </w:r>
    </w:p>
    <w:p>
      <w:pPr>
        <w:spacing w:line="400" w:lineRule="atLeast"/>
        <w:ind w:left="840" w:leftChars="400" w:firstLine="420" w:firstLineChars="200"/>
        <w:rPr>
          <w:rFonts w:hint="eastAsia" w:ascii="宋体" w:hAnsi="宋体" w:cs="宋体"/>
          <w:highlight w:val="none"/>
        </w:rPr>
      </w:pPr>
      <w:r>
        <w:rPr>
          <w:rFonts w:hint="eastAsia" w:ascii="宋体" w:hAnsi="宋体" w:cs="宋体"/>
          <w:highlight w:val="none"/>
        </w:rPr>
        <w:t>       </w:t>
      </w:r>
    </w:p>
    <w:p>
      <w:pPr>
        <w:pStyle w:val="46"/>
        <w:rPr>
          <w:rFonts w:hint="eastAsia" w:ascii="宋体" w:hAnsi="宋体" w:cs="宋体"/>
          <w:color w:val="auto"/>
          <w:highlight w:val="none"/>
        </w:rPr>
      </w:pPr>
    </w:p>
    <w:p>
      <w:pPr>
        <w:rPr>
          <w:rFonts w:hint="eastAsia" w:ascii="宋体" w:hAnsi="宋体" w:cs="宋体"/>
          <w:highlight w:val="none"/>
        </w:rPr>
      </w:pPr>
    </w:p>
    <w:p>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pPr>
        <w:spacing w:line="360" w:lineRule="auto"/>
        <w:ind w:left="2730" w:leftChars="13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p>
    <w:p>
      <w:pPr>
        <w:pStyle w:val="29"/>
        <w:shd w:val="clear" w:color="auto" w:fill="FFFFFF"/>
        <w:spacing w:before="0" w:beforeAutospacing="0" w:after="0" w:afterAutospacing="0" w:line="405" w:lineRule="atLeast"/>
        <w:ind w:firstLine="495"/>
        <w:jc w:val="center"/>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29"/>
        <w:shd w:val="clear" w:color="auto" w:fill="FFFFFF"/>
        <w:spacing w:before="0" w:beforeAutospacing="0" w:after="0" w:afterAutospacing="0" w:line="405" w:lineRule="atLeast"/>
        <w:jc w:val="both"/>
        <w:rPr>
          <w:rFonts w:hint="eastAsia" w:ascii="宋体" w:hAnsi="宋体" w:eastAsia="宋体" w:cs="宋体"/>
          <w:b/>
          <w:sz w:val="21"/>
          <w:szCs w:val="21"/>
          <w:highlight w:val="none"/>
        </w:rPr>
      </w:pPr>
    </w:p>
    <w:p>
      <w:pPr>
        <w:pStyle w:val="10"/>
        <w:rPr>
          <w:rFonts w:hint="eastAsia" w:ascii="宋体" w:hAnsi="宋体" w:cs="宋体"/>
          <w:highlight w:val="none"/>
        </w:rPr>
      </w:pPr>
      <w:bookmarkStart w:id="1332" w:name="_Toc27882"/>
      <w:bookmarkStart w:id="1333" w:name="_Toc20232"/>
      <w:bookmarkStart w:id="1334" w:name="_Toc20300"/>
      <w:bookmarkStart w:id="1335" w:name="_Toc19284"/>
      <w:bookmarkStart w:id="1336" w:name="_Toc27552"/>
      <w:bookmarkStart w:id="1337" w:name="_Toc5434"/>
    </w:p>
    <w:p>
      <w:pPr>
        <w:rPr>
          <w:rFonts w:hint="eastAsia" w:ascii="宋体" w:hAnsi="宋体" w:cs="宋体"/>
          <w:highlight w:val="none"/>
        </w:rPr>
      </w:pPr>
    </w:p>
    <w:p>
      <w:pPr>
        <w:pStyle w:val="10"/>
        <w:jc w:val="center"/>
        <w:rPr>
          <w:rFonts w:hint="eastAsia" w:ascii="宋体" w:hAnsi="宋体" w:cs="宋体"/>
          <w:highlight w:val="none"/>
        </w:rPr>
      </w:pPr>
      <w:r>
        <w:rPr>
          <w:rFonts w:hint="eastAsia" w:ascii="宋体" w:hAnsi="宋体" w:cs="宋体"/>
          <w:highlight w:val="none"/>
        </w:rPr>
        <w:t>2、采购代理服务费承诺函</w:t>
      </w:r>
      <w:bookmarkEnd w:id="1332"/>
      <w:bookmarkEnd w:id="1333"/>
      <w:bookmarkEnd w:id="1334"/>
      <w:bookmarkEnd w:id="1335"/>
      <w:bookmarkEnd w:id="1336"/>
      <w:bookmarkEnd w:id="1337"/>
    </w:p>
    <w:p>
      <w:pPr>
        <w:spacing w:line="48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 ：</w:t>
      </w:r>
    </w:p>
    <w:p>
      <w:pPr>
        <w:spacing w:line="480" w:lineRule="atLeast"/>
        <w:ind w:firstLine="420" w:firstLineChars="200"/>
        <w:rPr>
          <w:rFonts w:hint="eastAsia" w:ascii="宋体" w:hAnsi="宋体" w:cs="宋体"/>
          <w:highlight w:val="none"/>
        </w:rPr>
      </w:pPr>
      <w:r>
        <w:rPr>
          <w:rFonts w:hint="eastAsia" w:ascii="宋体" w:hAnsi="宋体" w:cs="宋体"/>
          <w:highlight w:val="none"/>
        </w:rPr>
        <w:t>我们在贵公司组织的（项目名称：</w:t>
      </w:r>
      <w:r>
        <w:rPr>
          <w:rFonts w:hint="eastAsia" w:ascii="宋体" w:hAnsi="宋体" w:cs="宋体"/>
          <w:highlight w:val="none"/>
          <w:u w:val="single"/>
        </w:rPr>
        <w:t xml:space="preserve">            </w:t>
      </w:r>
      <w:r>
        <w:rPr>
          <w:rFonts w:hint="eastAsia" w:ascii="宋体" w:hAnsi="宋体" w:cs="宋体"/>
          <w:highlight w:val="none"/>
        </w:rPr>
        <w:t>，采购编号：</w:t>
      </w:r>
      <w:r>
        <w:rPr>
          <w:rFonts w:hint="eastAsia" w:ascii="宋体" w:hAnsi="宋体" w:cs="宋体"/>
          <w:highlight w:val="none"/>
          <w:u w:val="single"/>
        </w:rPr>
        <w:t xml:space="preserve">     </w:t>
      </w:r>
      <w:r>
        <w:rPr>
          <w:rFonts w:hint="eastAsia" w:ascii="宋体" w:hAnsi="宋体" w:cs="宋体"/>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pPr>
        <w:spacing w:line="480" w:lineRule="atLeast"/>
        <w:ind w:firstLine="420" w:firstLineChars="200"/>
        <w:rPr>
          <w:rFonts w:hint="eastAsia" w:ascii="宋体" w:hAnsi="宋体" w:cs="宋体"/>
          <w:highlight w:val="none"/>
        </w:rPr>
      </w:pPr>
      <w:r>
        <w:rPr>
          <w:rFonts w:hint="eastAsia" w:ascii="宋体" w:hAnsi="宋体" w:cs="宋体"/>
          <w:highlight w:val="none"/>
        </w:rPr>
        <w:t>特此承诺。</w:t>
      </w:r>
    </w:p>
    <w:p>
      <w:pPr>
        <w:pStyle w:val="29"/>
        <w:shd w:val="clear" w:color="auto" w:fill="FFFFFF"/>
        <w:spacing w:before="0" w:beforeAutospacing="0" w:after="0" w:afterAutospacing="0" w:line="360" w:lineRule="auto"/>
        <w:jc w:val="both"/>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shd w:val="clear" w:color="auto" w:fill="FFFFFF"/>
        </w:rPr>
        <w:t> </w:t>
      </w:r>
    </w:p>
    <w:p>
      <w:pPr>
        <w:pStyle w:val="29"/>
        <w:shd w:val="clear" w:color="auto" w:fill="FFFFFF"/>
        <w:spacing w:before="0" w:beforeAutospacing="0" w:after="0" w:afterAutospacing="0" w:line="360" w:lineRule="auto"/>
        <w:jc w:val="both"/>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shd w:val="clear" w:color="auto" w:fill="FFFFFF"/>
        </w:rPr>
        <w:t> </w:t>
      </w:r>
    </w:p>
    <w:p>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pPr>
        <w:spacing w:line="360" w:lineRule="auto"/>
        <w:ind w:left="2520" w:leftChars="12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p>
    <w:p>
      <w:pPr>
        <w:pStyle w:val="29"/>
        <w:shd w:val="clear" w:color="auto" w:fill="FFFFFF"/>
        <w:spacing w:before="0" w:beforeAutospacing="0" w:after="0" w:afterAutospacing="0" w:line="360" w:lineRule="auto"/>
        <w:jc w:val="both"/>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shd w:val="clear" w:color="auto" w:fill="FFFFFF"/>
        </w:rPr>
        <w:t> </w:t>
      </w:r>
    </w:p>
    <w:p>
      <w:pPr>
        <w:rPr>
          <w:rFonts w:hint="eastAsia" w:ascii="宋体" w:hAnsi="宋体" w:cs="宋体"/>
          <w:highlight w:val="none"/>
        </w:rPr>
      </w:pPr>
    </w:p>
    <w:p>
      <w:pPr>
        <w:rPr>
          <w:rFonts w:hint="eastAsia" w:ascii="宋体" w:hAnsi="宋体" w:cs="宋体"/>
          <w:highlight w:val="none"/>
        </w:rPr>
      </w:pPr>
    </w:p>
    <w:p>
      <w:pPr>
        <w:pStyle w:val="3"/>
        <w:spacing w:before="156" w:after="156"/>
        <w:rPr>
          <w:rFonts w:hint="eastAsia" w:ascii="宋体" w:hAnsi="宋体" w:cs="宋体"/>
          <w:highlight w:val="none"/>
        </w:rPr>
      </w:pPr>
    </w:p>
    <w:p>
      <w:pPr>
        <w:pStyle w:val="46"/>
        <w:rPr>
          <w:rFonts w:hint="eastAsia" w:ascii="宋体" w:hAnsi="宋体" w:cs="宋体"/>
          <w:color w:val="auto"/>
          <w:highlight w:val="none"/>
        </w:rPr>
      </w:pPr>
    </w:p>
    <w:p>
      <w:pPr>
        <w:rPr>
          <w:rFonts w:hint="eastAsia" w:ascii="宋体" w:hAnsi="宋体" w:cs="宋体"/>
          <w:highlight w:val="none"/>
        </w:rPr>
      </w:pPr>
    </w:p>
    <w:p>
      <w:pPr>
        <w:pStyle w:val="3"/>
        <w:spacing w:before="156" w:after="156"/>
        <w:rPr>
          <w:rFonts w:hint="eastAsia" w:ascii="宋体" w:hAnsi="宋体" w:cs="宋体"/>
          <w:highlight w:val="none"/>
        </w:rPr>
      </w:pPr>
    </w:p>
    <w:p>
      <w:pPr>
        <w:pStyle w:val="46"/>
        <w:rPr>
          <w:rFonts w:hint="eastAsia" w:ascii="宋体" w:hAnsi="宋体" w:cs="宋体"/>
          <w:color w:val="auto"/>
          <w:highlight w:val="none"/>
        </w:rPr>
      </w:pPr>
    </w:p>
    <w:p>
      <w:pPr>
        <w:rPr>
          <w:rFonts w:hint="eastAsia" w:ascii="宋体" w:hAnsi="宋体" w:cs="宋体"/>
          <w:highlight w:val="none"/>
        </w:rPr>
      </w:pPr>
    </w:p>
    <w:p>
      <w:pPr>
        <w:pStyle w:val="3"/>
        <w:spacing w:before="156" w:after="156"/>
        <w:rPr>
          <w:rFonts w:hint="eastAsia" w:ascii="宋体" w:hAnsi="宋体" w:cs="宋体"/>
          <w:highlight w:val="none"/>
        </w:rPr>
      </w:pPr>
    </w:p>
    <w:p>
      <w:pPr>
        <w:rPr>
          <w:rFonts w:hint="eastAsia" w:ascii="宋体" w:hAnsi="宋体" w:cs="宋体"/>
          <w:highlight w:val="none"/>
        </w:rPr>
      </w:pPr>
    </w:p>
    <w:p>
      <w:pPr>
        <w:pStyle w:val="10"/>
        <w:jc w:val="center"/>
        <w:rPr>
          <w:rFonts w:hint="eastAsia" w:ascii="宋体" w:hAnsi="宋体" w:cs="宋体"/>
          <w:highlight w:val="none"/>
        </w:rPr>
      </w:pPr>
      <w:bookmarkStart w:id="1338" w:name="_Toc173"/>
      <w:bookmarkStart w:id="1339" w:name="_Toc7652"/>
      <w:bookmarkStart w:id="1340" w:name="_Toc32575"/>
      <w:bookmarkStart w:id="1341" w:name="_Toc17802"/>
      <w:bookmarkStart w:id="1342" w:name="_Toc13180"/>
      <w:bookmarkStart w:id="1343" w:name="_Toc19686"/>
      <w:r>
        <w:rPr>
          <w:rFonts w:hint="eastAsia" w:ascii="宋体" w:hAnsi="宋体" w:cs="宋体"/>
          <w:highlight w:val="none"/>
        </w:rPr>
        <w:t>3、供应商认为需要的其他资料</w:t>
      </w:r>
      <w:bookmarkEnd w:id="1338"/>
      <w:bookmarkEnd w:id="1339"/>
      <w:bookmarkEnd w:id="1340"/>
      <w:bookmarkEnd w:id="1341"/>
      <w:bookmarkEnd w:id="1342"/>
      <w:bookmarkEnd w:id="1343"/>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p>
      <w:pPr>
        <w:rPr>
          <w:rFonts w:hint="eastAsia" w:ascii="宋体" w:hAnsi="宋体" w:cs="宋体"/>
          <w:highlight w:val="none"/>
        </w:rPr>
      </w:pPr>
    </w:p>
    <w:bookmarkEnd w:id="1112"/>
    <w:bookmarkEnd w:id="1113"/>
    <w:p>
      <w:pPr>
        <w:rPr>
          <w:rFonts w:hint="eastAsia" w:ascii="宋体" w:hAnsi="宋体" w:cs="宋体"/>
          <w:highlight w:val="none"/>
        </w:rPr>
      </w:pPr>
    </w:p>
    <w:sectPr>
      <w:headerReference r:id="rId10" w:type="first"/>
      <w:footerReference r:id="rId13" w:type="first"/>
      <w:headerReference r:id="rId8" w:type="default"/>
      <w:footerReference r:id="rId11" w:type="default"/>
      <w:headerReference r:id="rId9" w:type="even"/>
      <w:footerReference r:id="rId12"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r>
      <w:pict>
        <v:shape id="文本框 5" o:spid="_x0000_s411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v:imagedata o:title=""/>
          <o:lock v:ext="edit" aspectratio="f"/>
          <v:textbox inset="0mm,0mm,0mm,0mm" style="mso-fit-shape-to-text:t;">
            <w:txbxContent>
              <w:p>
                <w:pPr>
                  <w:pStyle w:val="22"/>
                  <w:ind w:firstLine="360"/>
                </w:pPr>
                <w:r>
                  <w:fldChar w:fldCharType="begin"/>
                </w:r>
                <w:r>
                  <w:instrText xml:space="preserve"> PAGE  \* MERGEFORMAT </w:instrText>
                </w:r>
                <w:r>
                  <w:fldChar w:fldCharType="separate"/>
                </w:r>
                <w:r>
                  <w:t>- 5 -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r>
      <w:pict>
        <v:shape id="_x0000_s4113" o:spid="_x0000_s411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2"/>
                  <w:ind w:firstLine="360"/>
                </w:pPr>
                <w:r>
                  <w:fldChar w:fldCharType="begin"/>
                </w:r>
                <w:r>
                  <w:instrText xml:space="preserve"> PAGE  \* MERGEFORMAT </w:instrText>
                </w:r>
                <w:r>
                  <w:fldChar w:fldCharType="separate"/>
                </w:r>
                <w:r>
                  <w:t>49</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pPr>
          <w:pStyle w:val="22"/>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pPr>
      <w:pStyle w:val="2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hadow/>
        <w:emboss w:val="0"/>
        <w:imprint w:val="0"/>
        <w:sz w:val="36"/>
        <w:szCs w:val="36"/>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11"/>
      <w:suff w:val="nothing"/>
      <w:lvlText w:val=""/>
      <w:lvlJc w:val="left"/>
      <w:pPr>
        <w:ind w:left="0" w:firstLine="0"/>
      </w:pPr>
      <w:rPr>
        <w:rFonts w:hint="eastAsia"/>
      </w:rPr>
    </w:lvl>
    <w:lvl w:ilvl="5" w:tentative="0">
      <w:start w:val="1"/>
      <w:numFmt w:val="none"/>
      <w:pStyle w:val="1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62C345E"/>
    <w:multiLevelType w:val="singleLevel"/>
    <w:tmpl w:val="062C345E"/>
    <w:lvl w:ilvl="0" w:tentative="0">
      <w:start w:val="5"/>
      <w:numFmt w:val="decimal"/>
      <w:suff w:val="nothing"/>
      <w:lvlText w:val="%1、"/>
      <w:lvlJc w:val="left"/>
    </w:lvl>
  </w:abstractNum>
  <w:abstractNum w:abstractNumId="3">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4">
    <w:nsid w:val="57207B36"/>
    <w:multiLevelType w:val="singleLevel"/>
    <w:tmpl w:val="57207B36"/>
    <w:lvl w:ilvl="0" w:tentative="0">
      <w:start w:val="3"/>
      <w:numFmt w:val="decimal"/>
      <w:suff w:val="nothing"/>
      <w:lvlText w:val="%1、"/>
      <w:lvlJc w:val="left"/>
    </w:lvl>
  </w:abstractNum>
  <w:abstractNum w:abstractNumId="5">
    <w:nsid w:val="5A4A420D"/>
    <w:multiLevelType w:val="singleLevel"/>
    <w:tmpl w:val="5A4A420D"/>
    <w:lvl w:ilvl="0" w:tentative="0">
      <w:start w:val="1"/>
      <w:numFmt w:val="chineseCounting"/>
      <w:suff w:val="nothing"/>
      <w:lvlText w:val="%1、"/>
      <w:lvlJc w:val="left"/>
      <w:rPr>
        <w:rFonts w:hint="eastAsia"/>
      </w:rPr>
    </w:lvl>
  </w:abstractNum>
  <w:abstractNum w:abstractNumId="6">
    <w:nsid w:val="64A5DBB2"/>
    <w:multiLevelType w:val="singleLevel"/>
    <w:tmpl w:val="64A5DBB2"/>
    <w:lvl w:ilvl="0" w:tentative="0">
      <w:start w:val="1"/>
      <w:numFmt w:val="decimal"/>
      <w:suff w:val="space"/>
      <w:lvlText w:val="%1."/>
      <w:lvlJc w:val="left"/>
    </w:lvl>
  </w:abstractNum>
  <w:abstractNum w:abstractNumId="7">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2"/>
  </w:num>
  <w:num w:numId="3">
    <w:abstractNumId w:val="4"/>
  </w:num>
  <w:num w:numId="4">
    <w:abstractNumId w:val="6"/>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Y5Zjg3MjNkNDFjMDA4ZjhlZDlmZmU5MTFiZDIyMjEifQ=="/>
  </w:docVars>
  <w:rsids>
    <w:rsidRoot w:val="005F7F29"/>
    <w:rsid w:val="00037C70"/>
    <w:rsid w:val="00070034"/>
    <w:rsid w:val="000D4473"/>
    <w:rsid w:val="000E4995"/>
    <w:rsid w:val="000F4ABB"/>
    <w:rsid w:val="00115114"/>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750329"/>
    <w:rsid w:val="02783976"/>
    <w:rsid w:val="02BE0A08"/>
    <w:rsid w:val="03303116"/>
    <w:rsid w:val="035017A2"/>
    <w:rsid w:val="03555A65"/>
    <w:rsid w:val="03627DF1"/>
    <w:rsid w:val="0395553E"/>
    <w:rsid w:val="03B10EED"/>
    <w:rsid w:val="03CA0798"/>
    <w:rsid w:val="03D35138"/>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842480A"/>
    <w:rsid w:val="08943F23"/>
    <w:rsid w:val="08986B20"/>
    <w:rsid w:val="08FB2C0B"/>
    <w:rsid w:val="09366A61"/>
    <w:rsid w:val="09AA6B0A"/>
    <w:rsid w:val="09B94F9F"/>
    <w:rsid w:val="09D41DD9"/>
    <w:rsid w:val="09E04896"/>
    <w:rsid w:val="0A157CFC"/>
    <w:rsid w:val="0A257920"/>
    <w:rsid w:val="0A8C6210"/>
    <w:rsid w:val="0A932B49"/>
    <w:rsid w:val="0A9B084E"/>
    <w:rsid w:val="0AE95411"/>
    <w:rsid w:val="0B043FF8"/>
    <w:rsid w:val="0B5331D2"/>
    <w:rsid w:val="0C3703FE"/>
    <w:rsid w:val="0CA27F6D"/>
    <w:rsid w:val="0D006A41"/>
    <w:rsid w:val="0D633294"/>
    <w:rsid w:val="0D6E60A1"/>
    <w:rsid w:val="0D7511DD"/>
    <w:rsid w:val="0DBE2B84"/>
    <w:rsid w:val="0E5B33B7"/>
    <w:rsid w:val="0EB6675E"/>
    <w:rsid w:val="0EE20AF5"/>
    <w:rsid w:val="0EEC54CF"/>
    <w:rsid w:val="0F2C75EB"/>
    <w:rsid w:val="0F537A2D"/>
    <w:rsid w:val="0FC63F72"/>
    <w:rsid w:val="0FE4089C"/>
    <w:rsid w:val="10150A56"/>
    <w:rsid w:val="104B4477"/>
    <w:rsid w:val="115E01DA"/>
    <w:rsid w:val="11B146B5"/>
    <w:rsid w:val="125A4E46"/>
    <w:rsid w:val="13141499"/>
    <w:rsid w:val="13953CC6"/>
    <w:rsid w:val="13C62793"/>
    <w:rsid w:val="13CA424E"/>
    <w:rsid w:val="148D1503"/>
    <w:rsid w:val="14A30806"/>
    <w:rsid w:val="14C03BFB"/>
    <w:rsid w:val="14F56B39"/>
    <w:rsid w:val="15673B02"/>
    <w:rsid w:val="15775423"/>
    <w:rsid w:val="15CC605B"/>
    <w:rsid w:val="160B6B83"/>
    <w:rsid w:val="166B7ACC"/>
    <w:rsid w:val="174409AB"/>
    <w:rsid w:val="174D31CB"/>
    <w:rsid w:val="183A54FD"/>
    <w:rsid w:val="184049EC"/>
    <w:rsid w:val="184C5231"/>
    <w:rsid w:val="18892E95"/>
    <w:rsid w:val="18DE232D"/>
    <w:rsid w:val="199C7AF2"/>
    <w:rsid w:val="19A90B8D"/>
    <w:rsid w:val="19C257AA"/>
    <w:rsid w:val="19C77265"/>
    <w:rsid w:val="19ED659F"/>
    <w:rsid w:val="1A5B79AD"/>
    <w:rsid w:val="1A620D3B"/>
    <w:rsid w:val="1A703458"/>
    <w:rsid w:val="1AA2382E"/>
    <w:rsid w:val="1AA2738A"/>
    <w:rsid w:val="1B8D1DE8"/>
    <w:rsid w:val="1BBB0703"/>
    <w:rsid w:val="1C883C6F"/>
    <w:rsid w:val="1D7C13CA"/>
    <w:rsid w:val="1D8A7EF3"/>
    <w:rsid w:val="1E5C65D9"/>
    <w:rsid w:val="1E7D3C87"/>
    <w:rsid w:val="1F8654CC"/>
    <w:rsid w:val="1F873D3A"/>
    <w:rsid w:val="204D5FEA"/>
    <w:rsid w:val="206B4350"/>
    <w:rsid w:val="20EB5EB9"/>
    <w:rsid w:val="21076199"/>
    <w:rsid w:val="21CC0274"/>
    <w:rsid w:val="21D85218"/>
    <w:rsid w:val="21FE759C"/>
    <w:rsid w:val="221A34A8"/>
    <w:rsid w:val="221F6070"/>
    <w:rsid w:val="222363F6"/>
    <w:rsid w:val="22904457"/>
    <w:rsid w:val="23333275"/>
    <w:rsid w:val="237B0335"/>
    <w:rsid w:val="23A91789"/>
    <w:rsid w:val="241F68F2"/>
    <w:rsid w:val="24305B35"/>
    <w:rsid w:val="24B34E27"/>
    <w:rsid w:val="24D26ABE"/>
    <w:rsid w:val="24F64D25"/>
    <w:rsid w:val="24FB7DC2"/>
    <w:rsid w:val="251175E6"/>
    <w:rsid w:val="254E083A"/>
    <w:rsid w:val="256C0CC0"/>
    <w:rsid w:val="25817846"/>
    <w:rsid w:val="261D1FBA"/>
    <w:rsid w:val="26B020E5"/>
    <w:rsid w:val="26DD1E76"/>
    <w:rsid w:val="26EF1618"/>
    <w:rsid w:val="26F23447"/>
    <w:rsid w:val="27607E24"/>
    <w:rsid w:val="277125BE"/>
    <w:rsid w:val="27EE1E60"/>
    <w:rsid w:val="27F751B9"/>
    <w:rsid w:val="28456613"/>
    <w:rsid w:val="28461C9C"/>
    <w:rsid w:val="284E0B51"/>
    <w:rsid w:val="294207DB"/>
    <w:rsid w:val="297E036A"/>
    <w:rsid w:val="29960578"/>
    <w:rsid w:val="29EC23D0"/>
    <w:rsid w:val="29FA5869"/>
    <w:rsid w:val="2A04559B"/>
    <w:rsid w:val="2A264090"/>
    <w:rsid w:val="2A965577"/>
    <w:rsid w:val="2AC31382"/>
    <w:rsid w:val="2B4F0E68"/>
    <w:rsid w:val="2B8A00F2"/>
    <w:rsid w:val="2D1759B5"/>
    <w:rsid w:val="2D8E640E"/>
    <w:rsid w:val="2F6D5D61"/>
    <w:rsid w:val="2F7470EF"/>
    <w:rsid w:val="2F776BDF"/>
    <w:rsid w:val="2F7B222C"/>
    <w:rsid w:val="2FB256BE"/>
    <w:rsid w:val="2FE222AB"/>
    <w:rsid w:val="31266FA0"/>
    <w:rsid w:val="31397A57"/>
    <w:rsid w:val="3163566D"/>
    <w:rsid w:val="317A74AA"/>
    <w:rsid w:val="31A41DB5"/>
    <w:rsid w:val="32764A7C"/>
    <w:rsid w:val="32955444"/>
    <w:rsid w:val="32A23ACC"/>
    <w:rsid w:val="331309CD"/>
    <w:rsid w:val="33422219"/>
    <w:rsid w:val="33F24A4C"/>
    <w:rsid w:val="34362BC5"/>
    <w:rsid w:val="353758FE"/>
    <w:rsid w:val="35BE7316"/>
    <w:rsid w:val="36147E72"/>
    <w:rsid w:val="364105D4"/>
    <w:rsid w:val="36453593"/>
    <w:rsid w:val="36940077"/>
    <w:rsid w:val="376E08C8"/>
    <w:rsid w:val="37BB320A"/>
    <w:rsid w:val="37C130EE"/>
    <w:rsid w:val="37E813AF"/>
    <w:rsid w:val="38DE1A7D"/>
    <w:rsid w:val="38EF77E6"/>
    <w:rsid w:val="393C086A"/>
    <w:rsid w:val="398E0DAD"/>
    <w:rsid w:val="39C80763"/>
    <w:rsid w:val="39F53C22"/>
    <w:rsid w:val="39F77406"/>
    <w:rsid w:val="3A3000B7"/>
    <w:rsid w:val="3A7601BF"/>
    <w:rsid w:val="3A873C64"/>
    <w:rsid w:val="3AC54CA3"/>
    <w:rsid w:val="3ACD1DA9"/>
    <w:rsid w:val="3AFD61EB"/>
    <w:rsid w:val="3B0532F1"/>
    <w:rsid w:val="3B7A1263"/>
    <w:rsid w:val="3BB6283D"/>
    <w:rsid w:val="3C6346EB"/>
    <w:rsid w:val="3CDC35E5"/>
    <w:rsid w:val="3D393726"/>
    <w:rsid w:val="3D5D7415"/>
    <w:rsid w:val="3D654FA6"/>
    <w:rsid w:val="3D78424E"/>
    <w:rsid w:val="3E157CEF"/>
    <w:rsid w:val="3E1C2297"/>
    <w:rsid w:val="3E265A58"/>
    <w:rsid w:val="3E392331"/>
    <w:rsid w:val="3E726EF0"/>
    <w:rsid w:val="3EE32283"/>
    <w:rsid w:val="3F5E1222"/>
    <w:rsid w:val="3F8C2233"/>
    <w:rsid w:val="3F9115F7"/>
    <w:rsid w:val="402C217F"/>
    <w:rsid w:val="40347488"/>
    <w:rsid w:val="408353E4"/>
    <w:rsid w:val="40FE4A6B"/>
    <w:rsid w:val="41120516"/>
    <w:rsid w:val="413C5593"/>
    <w:rsid w:val="413D380E"/>
    <w:rsid w:val="41CE369A"/>
    <w:rsid w:val="426E79CE"/>
    <w:rsid w:val="4281242F"/>
    <w:rsid w:val="42D72041"/>
    <w:rsid w:val="43AC4C52"/>
    <w:rsid w:val="43B14016"/>
    <w:rsid w:val="43B753A5"/>
    <w:rsid w:val="43D05124"/>
    <w:rsid w:val="4486676E"/>
    <w:rsid w:val="44867251"/>
    <w:rsid w:val="449000D0"/>
    <w:rsid w:val="44E2484F"/>
    <w:rsid w:val="44FA379B"/>
    <w:rsid w:val="45243044"/>
    <w:rsid w:val="460567F2"/>
    <w:rsid w:val="46511AE0"/>
    <w:rsid w:val="46DD3374"/>
    <w:rsid w:val="47013507"/>
    <w:rsid w:val="470A0C21"/>
    <w:rsid w:val="47431429"/>
    <w:rsid w:val="47F72214"/>
    <w:rsid w:val="48861F15"/>
    <w:rsid w:val="48A759E8"/>
    <w:rsid w:val="497A560D"/>
    <w:rsid w:val="4A056E6A"/>
    <w:rsid w:val="4A233794"/>
    <w:rsid w:val="4A533197"/>
    <w:rsid w:val="4A835FE1"/>
    <w:rsid w:val="4AD54A8E"/>
    <w:rsid w:val="4B1E3247"/>
    <w:rsid w:val="4B46598C"/>
    <w:rsid w:val="4B8E2E8F"/>
    <w:rsid w:val="4BDF36EB"/>
    <w:rsid w:val="4C001FDF"/>
    <w:rsid w:val="4C6836E0"/>
    <w:rsid w:val="4C746529"/>
    <w:rsid w:val="4C92075D"/>
    <w:rsid w:val="4C9A553A"/>
    <w:rsid w:val="4CBD1C7E"/>
    <w:rsid w:val="4D294B06"/>
    <w:rsid w:val="4D92310A"/>
    <w:rsid w:val="4DD6155F"/>
    <w:rsid w:val="4DE1199C"/>
    <w:rsid w:val="4DE47862"/>
    <w:rsid w:val="4DF91468"/>
    <w:rsid w:val="4E10402F"/>
    <w:rsid w:val="4E125FF9"/>
    <w:rsid w:val="4E60700D"/>
    <w:rsid w:val="4E6879C7"/>
    <w:rsid w:val="4EE26A2D"/>
    <w:rsid w:val="4F495A4B"/>
    <w:rsid w:val="4FF77255"/>
    <w:rsid w:val="50C33A43"/>
    <w:rsid w:val="50DF6C2B"/>
    <w:rsid w:val="51383FC9"/>
    <w:rsid w:val="51656440"/>
    <w:rsid w:val="519D3E2C"/>
    <w:rsid w:val="51BF3DA2"/>
    <w:rsid w:val="51D140A4"/>
    <w:rsid w:val="524924C9"/>
    <w:rsid w:val="52D65847"/>
    <w:rsid w:val="53004672"/>
    <w:rsid w:val="531E2D4A"/>
    <w:rsid w:val="53E30ECE"/>
    <w:rsid w:val="54B0031A"/>
    <w:rsid w:val="54BE47E5"/>
    <w:rsid w:val="5540344C"/>
    <w:rsid w:val="558A7637"/>
    <w:rsid w:val="55AC288F"/>
    <w:rsid w:val="55BE25C3"/>
    <w:rsid w:val="55CA0F67"/>
    <w:rsid w:val="561B7A15"/>
    <w:rsid w:val="56D46542"/>
    <w:rsid w:val="5740318D"/>
    <w:rsid w:val="575C5ED5"/>
    <w:rsid w:val="57825F9E"/>
    <w:rsid w:val="5840354A"/>
    <w:rsid w:val="586631C9"/>
    <w:rsid w:val="589E6E07"/>
    <w:rsid w:val="58B156E2"/>
    <w:rsid w:val="58C15CEE"/>
    <w:rsid w:val="58DA7713"/>
    <w:rsid w:val="59205A6E"/>
    <w:rsid w:val="59A0095D"/>
    <w:rsid w:val="5A8570CB"/>
    <w:rsid w:val="5ABF3065"/>
    <w:rsid w:val="5AC84C04"/>
    <w:rsid w:val="5ADC3C17"/>
    <w:rsid w:val="5B5C6B06"/>
    <w:rsid w:val="5BE014E5"/>
    <w:rsid w:val="5C643EC4"/>
    <w:rsid w:val="5CD31049"/>
    <w:rsid w:val="5CFC5FEF"/>
    <w:rsid w:val="5D5E0913"/>
    <w:rsid w:val="5D635F29"/>
    <w:rsid w:val="5D9A56C3"/>
    <w:rsid w:val="5E192A8C"/>
    <w:rsid w:val="5F105200"/>
    <w:rsid w:val="5F5C0E82"/>
    <w:rsid w:val="5FB52D33"/>
    <w:rsid w:val="5FCA6734"/>
    <w:rsid w:val="602C4A56"/>
    <w:rsid w:val="605B738C"/>
    <w:rsid w:val="60765F74"/>
    <w:rsid w:val="6098238E"/>
    <w:rsid w:val="60A26D69"/>
    <w:rsid w:val="61261A91"/>
    <w:rsid w:val="61C96577"/>
    <w:rsid w:val="61FE0917"/>
    <w:rsid w:val="62375AA1"/>
    <w:rsid w:val="62AD7C47"/>
    <w:rsid w:val="62BB0941"/>
    <w:rsid w:val="63A96660"/>
    <w:rsid w:val="63C5259B"/>
    <w:rsid w:val="64555BF0"/>
    <w:rsid w:val="650F6997"/>
    <w:rsid w:val="656E7B61"/>
    <w:rsid w:val="65817895"/>
    <w:rsid w:val="65FA450E"/>
    <w:rsid w:val="65FF2EBD"/>
    <w:rsid w:val="66012783"/>
    <w:rsid w:val="664310AC"/>
    <w:rsid w:val="667F4123"/>
    <w:rsid w:val="66B617C0"/>
    <w:rsid w:val="66BC3D6A"/>
    <w:rsid w:val="66D94689"/>
    <w:rsid w:val="66F45E44"/>
    <w:rsid w:val="67386679"/>
    <w:rsid w:val="677133AF"/>
    <w:rsid w:val="67746F85"/>
    <w:rsid w:val="67DA3E79"/>
    <w:rsid w:val="683326BB"/>
    <w:rsid w:val="68A37B22"/>
    <w:rsid w:val="68CD2DF1"/>
    <w:rsid w:val="68E8706E"/>
    <w:rsid w:val="690F51B7"/>
    <w:rsid w:val="6990454A"/>
    <w:rsid w:val="699456BD"/>
    <w:rsid w:val="69F83E9D"/>
    <w:rsid w:val="6B264A3A"/>
    <w:rsid w:val="6B2D401B"/>
    <w:rsid w:val="6B431148"/>
    <w:rsid w:val="6C450EF0"/>
    <w:rsid w:val="6C7672FB"/>
    <w:rsid w:val="6D0D5EB2"/>
    <w:rsid w:val="6D2A25C0"/>
    <w:rsid w:val="6D4F2026"/>
    <w:rsid w:val="6D605FE2"/>
    <w:rsid w:val="6E056B89"/>
    <w:rsid w:val="6E3663FC"/>
    <w:rsid w:val="6E510020"/>
    <w:rsid w:val="6FBD7CF3"/>
    <w:rsid w:val="707F3EC5"/>
    <w:rsid w:val="711772FF"/>
    <w:rsid w:val="71453E6C"/>
    <w:rsid w:val="71A843FB"/>
    <w:rsid w:val="72A526E9"/>
    <w:rsid w:val="72B25F01"/>
    <w:rsid w:val="72CB03A1"/>
    <w:rsid w:val="72DD6345"/>
    <w:rsid w:val="734343DB"/>
    <w:rsid w:val="735E5441"/>
    <w:rsid w:val="73CD1EF7"/>
    <w:rsid w:val="73F90F3E"/>
    <w:rsid w:val="74554E1A"/>
    <w:rsid w:val="749B64FC"/>
    <w:rsid w:val="75802AC1"/>
    <w:rsid w:val="765863F0"/>
    <w:rsid w:val="76BD44A5"/>
    <w:rsid w:val="76FE3487"/>
    <w:rsid w:val="7702635B"/>
    <w:rsid w:val="7731279D"/>
    <w:rsid w:val="77370B62"/>
    <w:rsid w:val="77631821"/>
    <w:rsid w:val="776C7C79"/>
    <w:rsid w:val="7773713D"/>
    <w:rsid w:val="77C903B7"/>
    <w:rsid w:val="786F5C73"/>
    <w:rsid w:val="78970D25"/>
    <w:rsid w:val="78A70F68"/>
    <w:rsid w:val="78FF6FF6"/>
    <w:rsid w:val="799B65F3"/>
    <w:rsid w:val="7A044199"/>
    <w:rsid w:val="7A440A39"/>
    <w:rsid w:val="7A664E53"/>
    <w:rsid w:val="7B064216"/>
    <w:rsid w:val="7B503B39"/>
    <w:rsid w:val="7B5D0004"/>
    <w:rsid w:val="7B71585E"/>
    <w:rsid w:val="7BDA3403"/>
    <w:rsid w:val="7C7F0171"/>
    <w:rsid w:val="7CCC5441"/>
    <w:rsid w:val="7D1B0177"/>
    <w:rsid w:val="7D5E1E12"/>
    <w:rsid w:val="7DBA10EA"/>
    <w:rsid w:val="7DDF5D39"/>
    <w:rsid w:val="7DF34C50"/>
    <w:rsid w:val="7E0557AD"/>
    <w:rsid w:val="7E9F0934"/>
    <w:rsid w:val="7F5F2DC0"/>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autoRedefine/>
    <w:qFormat/>
    <w:uiPriority w:val="0"/>
    <w:pPr>
      <w:keepNext/>
      <w:jc w:val="center"/>
      <w:outlineLvl w:val="0"/>
    </w:pPr>
    <w:rPr>
      <w:b/>
      <w:bCs/>
      <w:color w:val="000000"/>
      <w:sz w:val="32"/>
    </w:rPr>
  </w:style>
  <w:style w:type="paragraph" w:styleId="8">
    <w:name w:val="heading 2"/>
    <w:basedOn w:val="1"/>
    <w:next w:val="1"/>
    <w:autoRedefine/>
    <w:qFormat/>
    <w:uiPriority w:val="0"/>
    <w:pPr>
      <w:keepNext/>
      <w:keepLines/>
      <w:spacing w:line="460" w:lineRule="exact"/>
      <w:outlineLvl w:val="1"/>
    </w:pPr>
    <w:rPr>
      <w:rFonts w:ascii="宋体" w:hAnsi="宋体"/>
      <w:b/>
      <w:sz w:val="30"/>
      <w:szCs w:val="30"/>
    </w:rPr>
  </w:style>
  <w:style w:type="paragraph" w:styleId="9">
    <w:name w:val="heading 3"/>
    <w:basedOn w:val="1"/>
    <w:next w:val="1"/>
    <w:autoRedefine/>
    <w:qFormat/>
    <w:uiPriority w:val="0"/>
    <w:pPr>
      <w:keepNext/>
      <w:keepLines/>
      <w:spacing w:line="460" w:lineRule="exact"/>
      <w:jc w:val="left"/>
      <w:outlineLvl w:val="2"/>
    </w:pPr>
    <w:rPr>
      <w:b/>
      <w:sz w:val="24"/>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12">
    <w:name w:val="heading 6"/>
    <w:basedOn w:val="1"/>
    <w:next w:val="1"/>
    <w:autoRedefine/>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3">
    <w:name w:val="Default Paragraph Font"/>
    <w:autoRedefine/>
    <w:unhideWhenUsed/>
    <w:qFormat/>
    <w:uiPriority w:val="1"/>
  </w:style>
  <w:style w:type="table" w:default="1" w:styleId="3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ind w:firstLine="420" w:firstLineChars="100"/>
    </w:pPr>
  </w:style>
  <w:style w:type="paragraph" w:styleId="3">
    <w:name w:val="Body Text"/>
    <w:basedOn w:val="1"/>
    <w:next w:val="1"/>
    <w:autoRedefine/>
    <w:qFormat/>
    <w:uiPriority w:val="0"/>
  </w:style>
  <w:style w:type="paragraph" w:styleId="4">
    <w:name w:val="Body Text First Indent 2"/>
    <w:basedOn w:val="5"/>
    <w:next w:val="1"/>
    <w:autoRedefine/>
    <w:qFormat/>
    <w:uiPriority w:val="0"/>
    <w:pPr>
      <w:spacing w:line="240" w:lineRule="auto"/>
      <w:ind w:left="420" w:leftChars="200" w:firstLine="420" w:firstLineChars="200"/>
    </w:pPr>
  </w:style>
  <w:style w:type="paragraph" w:styleId="5">
    <w:name w:val="Body Text Indent"/>
    <w:basedOn w:val="1"/>
    <w:next w:val="6"/>
    <w:autoRedefine/>
    <w:qFormat/>
    <w:uiPriority w:val="0"/>
    <w:pPr>
      <w:spacing w:line="312" w:lineRule="auto"/>
      <w:ind w:firstLine="735" w:firstLineChars="245"/>
    </w:pPr>
  </w:style>
  <w:style w:type="paragraph" w:customStyle="1" w:styleId="6">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styleId="13">
    <w:name w:val="toc 7"/>
    <w:basedOn w:val="1"/>
    <w:next w:val="1"/>
    <w:autoRedefine/>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14">
    <w:name w:val="table of authorities"/>
    <w:basedOn w:val="1"/>
    <w:next w:val="1"/>
    <w:autoRedefine/>
    <w:qFormat/>
    <w:uiPriority w:val="0"/>
    <w:pPr>
      <w:spacing w:line="240" w:lineRule="auto"/>
      <w:ind w:left="420" w:firstLine="0"/>
    </w:pPr>
    <w:rPr>
      <w:rFonts w:ascii="Calibri" w:eastAsia="宋体"/>
    </w:rPr>
  </w:style>
  <w:style w:type="paragraph" w:styleId="15">
    <w:name w:val="Normal Indent"/>
    <w:basedOn w:val="1"/>
    <w:autoRedefine/>
    <w:qFormat/>
    <w:uiPriority w:val="0"/>
    <w:pPr>
      <w:ind w:firstLine="420"/>
    </w:pPr>
  </w:style>
  <w:style w:type="paragraph" w:styleId="16">
    <w:name w:val="annotation text"/>
    <w:basedOn w:val="1"/>
    <w:autoRedefine/>
    <w:qFormat/>
    <w:uiPriority w:val="99"/>
    <w:pPr>
      <w:jc w:val="left"/>
    </w:pPr>
  </w:style>
  <w:style w:type="paragraph" w:styleId="17">
    <w:name w:val="Body Text 3"/>
    <w:basedOn w:val="1"/>
    <w:autoRedefine/>
    <w:qFormat/>
    <w:uiPriority w:val="0"/>
    <w:rPr>
      <w:rFonts w:hAnsi="Times New Roman"/>
      <w:kern w:val="0"/>
      <w:sz w:val="24"/>
      <w:szCs w:val="20"/>
    </w:rPr>
  </w:style>
  <w:style w:type="paragraph" w:styleId="18">
    <w:name w:val="List 2"/>
    <w:basedOn w:val="1"/>
    <w:autoRedefine/>
    <w:qFormat/>
    <w:uiPriority w:val="0"/>
    <w:pPr>
      <w:ind w:left="100" w:leftChars="200" w:hanging="200" w:hangingChars="200"/>
    </w:pPr>
    <w:rPr>
      <w:szCs w:val="24"/>
    </w:rPr>
  </w:style>
  <w:style w:type="paragraph" w:styleId="19">
    <w:name w:val="toc 3"/>
    <w:basedOn w:val="1"/>
    <w:next w:val="1"/>
    <w:autoRedefine/>
    <w:semiHidden/>
    <w:unhideWhenUsed/>
    <w:qFormat/>
    <w:uiPriority w:val="39"/>
    <w:pPr>
      <w:ind w:left="840" w:leftChars="400"/>
    </w:pPr>
  </w:style>
  <w:style w:type="paragraph" w:styleId="20">
    <w:name w:val="Plain Text"/>
    <w:basedOn w:val="1"/>
    <w:next w:val="3"/>
    <w:autoRedefine/>
    <w:qFormat/>
    <w:uiPriority w:val="0"/>
    <w:rPr>
      <w:rFonts w:hAnsi="Courier New"/>
      <w:kern w:val="0"/>
      <w:sz w:val="20"/>
      <w:szCs w:val="21"/>
    </w:rPr>
  </w:style>
  <w:style w:type="paragraph" w:styleId="21">
    <w:name w:val="Date"/>
    <w:basedOn w:val="1"/>
    <w:next w:val="1"/>
    <w:autoRedefine/>
    <w:qFormat/>
    <w:uiPriority w:val="0"/>
    <w:rPr>
      <w:rFonts w:ascii="楷体_GB2312" w:hAnsi="楷体_GB2312"/>
      <w:kern w:val="0"/>
      <w:sz w:val="24"/>
      <w:szCs w:val="20"/>
    </w:rPr>
  </w:style>
  <w:style w:type="paragraph" w:styleId="22">
    <w:name w:val="footer"/>
    <w:basedOn w:val="1"/>
    <w:link w:val="53"/>
    <w:autoRedefine/>
    <w:unhideWhenUsed/>
    <w:qFormat/>
    <w:uiPriority w:val="99"/>
    <w:pPr>
      <w:tabs>
        <w:tab w:val="center" w:pos="4153"/>
        <w:tab w:val="right" w:pos="8306"/>
      </w:tabs>
      <w:snapToGrid w:val="0"/>
      <w:spacing w:line="240" w:lineRule="atLeast"/>
      <w:jc w:val="left"/>
    </w:pPr>
    <w:rPr>
      <w:sz w:val="18"/>
      <w:szCs w:val="18"/>
    </w:rPr>
  </w:style>
  <w:style w:type="paragraph" w:styleId="23">
    <w:name w:val="envelope return"/>
    <w:basedOn w:val="1"/>
    <w:autoRedefine/>
    <w:unhideWhenUsed/>
    <w:qFormat/>
    <w:uiPriority w:val="99"/>
    <w:pPr>
      <w:snapToGrid w:val="0"/>
    </w:pPr>
    <w:rPr>
      <w:rFonts w:ascii="Arial" w:hAnsi="Arial"/>
    </w:rPr>
  </w:style>
  <w:style w:type="paragraph" w:styleId="24">
    <w:name w:val="header"/>
    <w:basedOn w:val="1"/>
    <w:link w:val="52"/>
    <w:autoRedefine/>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5">
    <w:name w:val="toc 1"/>
    <w:basedOn w:val="1"/>
    <w:next w:val="1"/>
    <w:autoRedefine/>
    <w:qFormat/>
    <w:uiPriority w:val="39"/>
  </w:style>
  <w:style w:type="paragraph" w:styleId="26">
    <w:name w:val="footnote text"/>
    <w:basedOn w:val="1"/>
    <w:autoRedefine/>
    <w:qFormat/>
    <w:uiPriority w:val="0"/>
    <w:pPr>
      <w:snapToGrid w:val="0"/>
      <w:jc w:val="left"/>
    </w:pPr>
    <w:rPr>
      <w:sz w:val="18"/>
      <w:szCs w:val="18"/>
    </w:rPr>
  </w:style>
  <w:style w:type="paragraph" w:styleId="27">
    <w:name w:val="toc 2"/>
    <w:basedOn w:val="1"/>
    <w:next w:val="1"/>
    <w:autoRedefine/>
    <w:qFormat/>
    <w:uiPriority w:val="39"/>
    <w:pPr>
      <w:widowControl/>
      <w:spacing w:line="276" w:lineRule="auto"/>
      <w:ind w:left="220"/>
      <w:jc w:val="left"/>
    </w:pPr>
    <w:rPr>
      <w:rFonts w:ascii="Calibri" w:hAnsi="Calibri"/>
      <w:kern w:val="0"/>
      <w:sz w:val="22"/>
    </w:rPr>
  </w:style>
  <w:style w:type="paragraph" w:styleId="28">
    <w:name w:val="Body Text 2"/>
    <w:basedOn w:val="1"/>
    <w:next w:val="1"/>
    <w:autoRedefine/>
    <w:qFormat/>
    <w:uiPriority w:val="0"/>
    <w:pPr>
      <w:spacing w:line="480" w:lineRule="auto"/>
    </w:pPr>
  </w:style>
  <w:style w:type="paragraph" w:styleId="29">
    <w:name w:val="Normal (Web)"/>
    <w:basedOn w:val="1"/>
    <w:autoRedefine/>
    <w:qFormat/>
    <w:uiPriority w:val="0"/>
    <w:pPr>
      <w:widowControl/>
      <w:spacing w:beforeAutospacing="1" w:afterAutospacing="1"/>
      <w:jc w:val="left"/>
    </w:pPr>
    <w:rPr>
      <w:rFonts w:ascii="宋体" w:hAnsi="宋体" w:cs="宋体"/>
      <w:kern w:val="0"/>
      <w:sz w:val="24"/>
      <w:szCs w:val="24"/>
    </w:rPr>
  </w:style>
  <w:style w:type="paragraph" w:styleId="30">
    <w:name w:val="Title"/>
    <w:basedOn w:val="1"/>
    <w:next w:val="1"/>
    <w:autoRedefine/>
    <w:qFormat/>
    <w:uiPriority w:val="0"/>
    <w:pPr>
      <w:jc w:val="center"/>
      <w:outlineLvl w:val="0"/>
    </w:pPr>
    <w:rPr>
      <w:rFonts w:ascii="Cambria" w:hAnsi="Cambria"/>
      <w:b/>
      <w:bCs/>
      <w:sz w:val="32"/>
      <w:szCs w:val="32"/>
    </w:rPr>
  </w:style>
  <w:style w:type="table" w:styleId="32">
    <w:name w:val="Table Grid"/>
    <w:basedOn w:val="31"/>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4">
    <w:name w:val="page number"/>
    <w:basedOn w:val="33"/>
    <w:autoRedefine/>
    <w:qFormat/>
    <w:uiPriority w:val="0"/>
  </w:style>
  <w:style w:type="character" w:styleId="35">
    <w:name w:val="FollowedHyperlink"/>
    <w:basedOn w:val="33"/>
    <w:autoRedefine/>
    <w:semiHidden/>
    <w:unhideWhenUsed/>
    <w:qFormat/>
    <w:uiPriority w:val="99"/>
    <w:rPr>
      <w:color w:val="800080"/>
      <w:u w:val="none"/>
    </w:rPr>
  </w:style>
  <w:style w:type="character" w:styleId="36">
    <w:name w:val="HTML Definition"/>
    <w:basedOn w:val="33"/>
    <w:autoRedefine/>
    <w:semiHidden/>
    <w:unhideWhenUsed/>
    <w:qFormat/>
    <w:uiPriority w:val="99"/>
  </w:style>
  <w:style w:type="character" w:styleId="37">
    <w:name w:val="HTML Typewriter"/>
    <w:basedOn w:val="33"/>
    <w:autoRedefine/>
    <w:semiHidden/>
    <w:unhideWhenUsed/>
    <w:qFormat/>
    <w:uiPriority w:val="99"/>
    <w:rPr>
      <w:rFonts w:hint="default" w:ascii="monospace" w:hAnsi="monospace" w:eastAsia="monospace" w:cs="monospace"/>
      <w:sz w:val="20"/>
    </w:rPr>
  </w:style>
  <w:style w:type="character" w:styleId="38">
    <w:name w:val="HTML Acronym"/>
    <w:basedOn w:val="33"/>
    <w:autoRedefine/>
    <w:semiHidden/>
    <w:unhideWhenUsed/>
    <w:qFormat/>
    <w:uiPriority w:val="99"/>
  </w:style>
  <w:style w:type="character" w:styleId="39">
    <w:name w:val="HTML Variable"/>
    <w:basedOn w:val="33"/>
    <w:autoRedefine/>
    <w:semiHidden/>
    <w:unhideWhenUsed/>
    <w:qFormat/>
    <w:uiPriority w:val="99"/>
  </w:style>
  <w:style w:type="character" w:styleId="40">
    <w:name w:val="Hyperlink"/>
    <w:basedOn w:val="33"/>
    <w:autoRedefine/>
    <w:semiHidden/>
    <w:unhideWhenUsed/>
    <w:qFormat/>
    <w:uiPriority w:val="99"/>
    <w:rPr>
      <w:color w:val="0000FF"/>
      <w:u w:val="none"/>
    </w:rPr>
  </w:style>
  <w:style w:type="character" w:styleId="41">
    <w:name w:val="HTML Code"/>
    <w:basedOn w:val="33"/>
    <w:autoRedefine/>
    <w:semiHidden/>
    <w:unhideWhenUsed/>
    <w:qFormat/>
    <w:uiPriority w:val="99"/>
    <w:rPr>
      <w:rFonts w:hint="default" w:ascii="monospace" w:hAnsi="monospace" w:eastAsia="monospace" w:cs="monospace"/>
      <w:sz w:val="20"/>
    </w:rPr>
  </w:style>
  <w:style w:type="character" w:styleId="42">
    <w:name w:val="HTML Cite"/>
    <w:basedOn w:val="33"/>
    <w:autoRedefine/>
    <w:semiHidden/>
    <w:unhideWhenUsed/>
    <w:qFormat/>
    <w:uiPriority w:val="99"/>
  </w:style>
  <w:style w:type="character" w:styleId="43">
    <w:name w:val="HTML Keyboard"/>
    <w:basedOn w:val="33"/>
    <w:autoRedefine/>
    <w:semiHidden/>
    <w:unhideWhenUsed/>
    <w:qFormat/>
    <w:uiPriority w:val="99"/>
    <w:rPr>
      <w:rFonts w:ascii="monospace" w:hAnsi="monospace" w:eastAsia="monospace" w:cs="monospace"/>
      <w:sz w:val="20"/>
    </w:rPr>
  </w:style>
  <w:style w:type="character" w:styleId="44">
    <w:name w:val="HTML Sample"/>
    <w:basedOn w:val="33"/>
    <w:autoRedefine/>
    <w:semiHidden/>
    <w:unhideWhenUsed/>
    <w:qFormat/>
    <w:uiPriority w:val="99"/>
    <w:rPr>
      <w:rFonts w:hint="default" w:ascii="monospace" w:hAnsi="monospace" w:eastAsia="monospace" w:cs="monospace"/>
    </w:rPr>
  </w:style>
  <w:style w:type="paragraph" w:customStyle="1" w:styleId="45">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46">
    <w:name w:val="Default"/>
    <w:basedOn w:val="20"/>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style4"/>
    <w:basedOn w:val="48"/>
    <w:next w:val="49"/>
    <w:autoRedefine/>
    <w:qFormat/>
    <w:uiPriority w:val="0"/>
    <w:pPr>
      <w:widowControl/>
      <w:spacing w:beforeAutospacing="1" w:afterAutospacing="1"/>
      <w:jc w:val="left"/>
    </w:pPr>
    <w:rPr>
      <w:rFonts w:ascii="宋体" w:hAnsi="宋体" w:cs="宋体"/>
      <w:kern w:val="0"/>
      <w:sz w:val="18"/>
      <w:szCs w:val="18"/>
    </w:rPr>
  </w:style>
  <w:style w:type="paragraph" w:customStyle="1" w:styleId="48">
    <w:name w:val="正文_0"/>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50">
    <w:name w:val="样式 正文首行缩进 2 + Arial"/>
    <w:basedOn w:val="1"/>
    <w:next w:val="1"/>
    <w:autoRedefine/>
    <w:qFormat/>
    <w:uiPriority w:val="0"/>
    <w:pPr>
      <w:spacing w:after="120" w:line="320" w:lineRule="atLeast"/>
    </w:pPr>
    <w:rPr>
      <w:rFonts w:ascii="Arial" w:hAnsi="Arial"/>
      <w:kern w:val="0"/>
    </w:rPr>
  </w:style>
  <w:style w:type="table" w:customStyle="1" w:styleId="51">
    <w:name w:val="Light Shading"/>
    <w:basedOn w:val="31"/>
    <w:autoRedefine/>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2">
    <w:name w:val="页眉 Char"/>
    <w:basedOn w:val="33"/>
    <w:link w:val="24"/>
    <w:autoRedefine/>
    <w:semiHidden/>
    <w:qFormat/>
    <w:uiPriority w:val="99"/>
    <w:rPr>
      <w:kern w:val="2"/>
      <w:sz w:val="18"/>
      <w:szCs w:val="18"/>
    </w:rPr>
  </w:style>
  <w:style w:type="character" w:customStyle="1" w:styleId="53">
    <w:name w:val="页脚 Char"/>
    <w:basedOn w:val="33"/>
    <w:link w:val="22"/>
    <w:autoRedefine/>
    <w:qFormat/>
    <w:uiPriority w:val="99"/>
    <w:rPr>
      <w:kern w:val="2"/>
      <w:sz w:val="18"/>
      <w:szCs w:val="18"/>
    </w:rPr>
  </w:style>
  <w:style w:type="paragraph" w:customStyle="1" w:styleId="54">
    <w:name w:val="无间隔1"/>
    <w:basedOn w:val="1"/>
    <w:next w:val="1"/>
    <w:autoRedefine/>
    <w:qFormat/>
    <w:uiPriority w:val="1"/>
    <w:pPr>
      <w:spacing w:line="400" w:lineRule="exact"/>
    </w:pPr>
  </w:style>
  <w:style w:type="paragraph" w:customStyle="1" w:styleId="55">
    <w:name w:val="*正文"/>
    <w:basedOn w:val="1"/>
    <w:next w:val="1"/>
    <w:autoRedefine/>
    <w:qFormat/>
    <w:uiPriority w:val="0"/>
    <w:pPr>
      <w:spacing w:line="360" w:lineRule="auto"/>
    </w:pPr>
    <w:rPr>
      <w:rFonts w:hint="eastAsia" w:ascii="宋体" w:hAnsi="宋体" w:eastAsia="宋体" w:cs="Times New Roman"/>
      <w:kern w:val="0"/>
      <w:sz w:val="20"/>
      <w:szCs w:val="24"/>
    </w:rPr>
  </w:style>
  <w:style w:type="paragraph" w:customStyle="1" w:styleId="56">
    <w:name w:val="WPSOffice手动目录 1"/>
    <w:autoRedefine/>
    <w:qFormat/>
    <w:uiPriority w:val="0"/>
    <w:rPr>
      <w:rFonts w:ascii="Times New Roman" w:hAnsi="Times New Roman" w:eastAsia="宋体" w:cs="Times New Roman"/>
      <w:lang w:val="en-US" w:eastAsia="zh-CN" w:bidi="ar-SA"/>
    </w:rPr>
  </w:style>
  <w:style w:type="paragraph" w:styleId="57">
    <w:name w:val="List Paragraph"/>
    <w:basedOn w:val="1"/>
    <w:autoRedefine/>
    <w:qFormat/>
    <w:uiPriority w:val="0"/>
    <w:pPr>
      <w:ind w:firstLine="420"/>
    </w:pPr>
    <w:rPr>
      <w:szCs w:val="24"/>
    </w:rPr>
  </w:style>
  <w:style w:type="paragraph" w:customStyle="1" w:styleId="58">
    <w:name w:val="招标正文"/>
    <w:basedOn w:val="1"/>
    <w:autoRedefine/>
    <w:qFormat/>
    <w:uiPriority w:val="0"/>
    <w:pPr>
      <w:spacing w:line="360" w:lineRule="auto"/>
      <w:ind w:firstLine="480"/>
    </w:pPr>
    <w:rPr>
      <w:rFonts w:ascii="宋体" w:hAnsi="宋体"/>
      <w:sz w:val="24"/>
      <w:szCs w:val="24"/>
    </w:rPr>
  </w:style>
  <w:style w:type="paragraph" w:customStyle="1" w:styleId="59">
    <w:name w:val="Table Paragraph"/>
    <w:basedOn w:val="1"/>
    <w:autoRedefine/>
    <w:qFormat/>
    <w:uiPriority w:val="0"/>
    <w:pPr>
      <w:autoSpaceDE w:val="0"/>
      <w:autoSpaceDN w:val="0"/>
      <w:jc w:val="left"/>
    </w:pPr>
    <w:rPr>
      <w:rFonts w:hint="eastAsia" w:ascii="宋体" w:hAnsi="宋体" w:eastAsia="宋体" w:cs="Times New Roman"/>
      <w:kern w:val="0"/>
      <w:sz w:val="22"/>
    </w:rPr>
  </w:style>
  <w:style w:type="paragraph" w:customStyle="1" w:styleId="60">
    <w:name w:val="BodyText1I2"/>
    <w:basedOn w:val="61"/>
    <w:next w:val="62"/>
    <w:autoRedefine/>
    <w:qFormat/>
    <w:uiPriority w:val="0"/>
    <w:pPr>
      <w:ind w:firstLine="420"/>
    </w:pPr>
    <w:rPr>
      <w:rFonts w:ascii="Calibri" w:hAnsi="Calibri" w:eastAsia="楷体_GB2312"/>
      <w:kern w:val="44"/>
      <w:sz w:val="44"/>
    </w:rPr>
  </w:style>
  <w:style w:type="paragraph" w:customStyle="1" w:styleId="61">
    <w:name w:val="BodyTextIndent"/>
    <w:basedOn w:val="1"/>
    <w:autoRedefine/>
    <w:qFormat/>
    <w:uiPriority w:val="0"/>
    <w:pPr>
      <w:spacing w:after="120"/>
      <w:ind w:left="420" w:leftChars="200"/>
    </w:pPr>
    <w:rPr>
      <w:rFonts w:ascii="Times New Roman" w:hAnsi="Times New Roman"/>
      <w:kern w:val="0"/>
      <w:sz w:val="20"/>
    </w:rPr>
  </w:style>
  <w:style w:type="paragraph" w:customStyle="1" w:styleId="62">
    <w:name w:val="UserStyle_136"/>
    <w:basedOn w:val="1"/>
    <w:next w:val="1"/>
    <w:autoRedefine/>
    <w:qFormat/>
    <w:uiPriority w:val="0"/>
    <w:pPr>
      <w:spacing w:after="120" w:line="320" w:lineRule="atLeast"/>
    </w:pPr>
    <w:rPr>
      <w:rFonts w:ascii="Arial" w:hAnsi="Arial"/>
      <w:kern w:val="0"/>
    </w:rPr>
  </w:style>
  <w:style w:type="paragraph" w:customStyle="1" w:styleId="63">
    <w:name w:val="Normal_51"/>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4">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customStyle="1" w:styleId="66">
    <w:name w:val="正文_5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7">
    <w:name w:val="样式 标题 2 + Times New Roman 四号 非加粗 段前: 5 磅 段后: 0 磅 行距: 固定值 20..."/>
    <w:basedOn w:val="8"/>
    <w:autoRedefine/>
    <w:qFormat/>
    <w:uiPriority w:val="0"/>
    <w:pPr>
      <w:spacing w:line="400" w:lineRule="exact"/>
    </w:pPr>
    <w:rPr>
      <w:rFonts w:ascii="Times New Roman" w:hAnsi="Times New Roman" w:cs="宋体"/>
      <w:b w:val="0"/>
      <w:sz w:val="28"/>
      <w:szCs w:val="20"/>
    </w:rPr>
  </w:style>
  <w:style w:type="paragraph" w:customStyle="1" w:styleId="68">
    <w:name w:val="样式 标题 3 + (中文) 黑体 小四 非加粗 段前: 7.8 磅 段后: 0 磅 行距: 固定值 20 磅"/>
    <w:basedOn w:val="9"/>
    <w:autoRedefine/>
    <w:qFormat/>
    <w:uiPriority w:val="0"/>
    <w:pPr>
      <w:spacing w:line="400" w:lineRule="exact"/>
    </w:pPr>
    <w:rPr>
      <w:rFonts w:eastAsia="黑体" w:cs="宋体"/>
      <w:b w:val="0"/>
      <w:szCs w:val="20"/>
    </w:rPr>
  </w:style>
  <w:style w:type="paragraph" w:customStyle="1" w:styleId="69">
    <w:name w:val="TOC 标题1"/>
    <w:basedOn w:val="7"/>
    <w:next w:val="1"/>
    <w:autoRedefine/>
    <w:qFormat/>
    <w:uiPriority w:val="99"/>
    <w:pPr>
      <w:outlineLvl w:val="9"/>
    </w:pPr>
    <w:rPr>
      <w:rFonts w:ascii="Calibri" w:hAnsi="Calibri"/>
    </w:rPr>
  </w:style>
  <w:style w:type="paragraph" w:customStyle="1" w:styleId="70">
    <w:name w:val="正文1"/>
    <w:next w:val="2"/>
    <w:autoRedefine/>
    <w:qFormat/>
    <w:uiPriority w:val="0"/>
    <w:pPr>
      <w:widowControl w:val="0"/>
      <w:jc w:val="both"/>
    </w:pPr>
    <w:rPr>
      <w:rFonts w:ascii="仿宋_GB2312" w:hAnsi="仿宋_GB2312" w:eastAsia="仿宋_GB2312" w:cs="??"/>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16"/>
    <customShpInfo spid="_x0000_s411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49</Pages>
  <Words>21273</Words>
  <Characters>22740</Characters>
  <Lines>187</Lines>
  <Paragraphs>52</Paragraphs>
  <TotalTime>0</TotalTime>
  <ScaleCrop>false</ScaleCrop>
  <LinksUpToDate>false</LinksUpToDate>
  <CharactersWithSpaces>23594</CharactersWithSpaces>
  <Application>WPS Office_12.1.0.16309_F1E327BC-269C-435d-A152-05C5408002CA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2022-03-24T08:52:00Z</cp:lastPrinted>
  <dcterms:modified xsi:type="dcterms:W3CDTF">2024-03-07T07:30:29Z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2052-12.1.0.16309</vt:lpwstr>
  </property>
  <property fmtid="{D5CDD505-2E9C-101B-9397-08002B2CF9AE}" pid="3" name="ICV">
    <vt:lpwstr>FEB62D7E49CE4A099FF50E97E8E081FE</vt:lpwstr>
  </property>
</Properties>
</file>