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hint="eastAsia" w:ascii="宋体" w:hAnsi="宋体" w:eastAsia="宋体" w:cs="宋体"/>
          <w:b/>
          <w:color w:val="auto"/>
          <w:spacing w:val="36"/>
          <w:sz w:val="52"/>
          <w:szCs w:val="52"/>
          <w:highlight w:val="none"/>
        </w:rPr>
      </w:pPr>
      <w:r>
        <w:rPr>
          <w:rFonts w:hint="eastAsia" w:ascii="宋体" w:hAnsi="宋体" w:eastAsia="宋体" w:cs="宋体"/>
          <w:b/>
          <w:bCs/>
          <w:color w:val="auto"/>
          <w:spacing w:val="36"/>
          <w:sz w:val="52"/>
          <w:szCs w:val="52"/>
          <w:highlight w:val="none"/>
        </w:rPr>
        <w:t>周口市公共资源交易中心</w:t>
      </w:r>
    </w:p>
    <w:p>
      <w:pPr>
        <w:tabs>
          <w:tab w:val="left" w:pos="315"/>
          <w:tab w:val="left" w:pos="8820"/>
        </w:tabs>
        <w:spacing w:line="500" w:lineRule="exact"/>
        <w:ind w:right="267" w:rightChars="127"/>
        <w:jc w:val="both"/>
        <w:rPr>
          <w:rFonts w:hint="eastAsia" w:ascii="宋体" w:hAnsi="宋体" w:eastAsia="宋体" w:cs="宋体"/>
          <w:b/>
          <w:bCs/>
          <w:color w:val="auto"/>
          <w:sz w:val="48"/>
          <w:highlight w:val="none"/>
        </w:rPr>
      </w:pPr>
    </w:p>
    <w:p>
      <w:pPr>
        <w:pStyle w:val="34"/>
        <w:ind w:left="0" w:leftChars="0" w:firstLine="0" w:firstLineChars="0"/>
        <w:rPr>
          <w:rFonts w:hint="eastAsia" w:ascii="宋体" w:hAnsi="宋体" w:eastAsia="宋体" w:cs="宋体"/>
          <w:b/>
          <w:bCs/>
          <w:color w:val="auto"/>
          <w:sz w:val="48"/>
          <w:highlight w:val="none"/>
        </w:rPr>
      </w:pPr>
    </w:p>
    <w:p>
      <w:pPr>
        <w:pStyle w:val="34"/>
        <w:ind w:left="0" w:leftChars="0" w:firstLine="0" w:firstLineChars="0"/>
        <w:rPr>
          <w:rFonts w:hint="eastAsia" w:ascii="宋体" w:hAnsi="宋体" w:eastAsia="宋体" w:cs="宋体"/>
          <w:b/>
          <w:bCs/>
          <w:color w:val="auto"/>
          <w:sz w:val="48"/>
          <w:highlight w:val="none"/>
        </w:rPr>
      </w:pPr>
    </w:p>
    <w:p>
      <w:pPr>
        <w:pStyle w:val="34"/>
        <w:ind w:left="0" w:leftChars="0" w:firstLine="0" w:firstLineChars="0"/>
        <w:rPr>
          <w:rFonts w:hint="eastAsia" w:ascii="宋体" w:hAnsi="宋体" w:eastAsia="宋体" w:cs="宋体"/>
          <w:b/>
          <w:bCs/>
          <w:color w:val="auto"/>
          <w:sz w:val="48"/>
          <w:highlight w:val="none"/>
        </w:rPr>
      </w:pPr>
    </w:p>
    <w:p>
      <w:pPr>
        <w:tabs>
          <w:tab w:val="left" w:pos="315"/>
          <w:tab w:val="left" w:pos="8820"/>
        </w:tabs>
        <w:spacing w:line="500" w:lineRule="exact"/>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竞争性磋商文件</w:t>
      </w:r>
    </w:p>
    <w:p>
      <w:pPr>
        <w:tabs>
          <w:tab w:val="left" w:pos="315"/>
          <w:tab w:val="left" w:pos="8820"/>
        </w:tabs>
        <w:spacing w:line="500" w:lineRule="exact"/>
        <w:ind w:right="267" w:rightChars="127"/>
        <w:jc w:val="both"/>
        <w:rPr>
          <w:rFonts w:hint="eastAsia" w:ascii="宋体" w:hAnsi="宋体" w:eastAsia="宋体" w:cs="宋体"/>
          <w:color w:val="auto"/>
          <w:sz w:val="44"/>
          <w:highlight w:val="none"/>
        </w:rPr>
      </w:pPr>
    </w:p>
    <w:p>
      <w:pPr>
        <w:tabs>
          <w:tab w:val="left" w:pos="315"/>
          <w:tab w:val="left" w:pos="8820"/>
        </w:tabs>
        <w:ind w:right="267" w:rightChars="127"/>
        <w:rPr>
          <w:rFonts w:hint="eastAsia" w:ascii="宋体" w:hAnsi="宋体" w:eastAsia="宋体" w:cs="宋体"/>
          <w:color w:val="auto"/>
          <w:sz w:val="44"/>
          <w:highlight w:val="none"/>
        </w:rPr>
      </w:pPr>
    </w:p>
    <w:p>
      <w:pPr>
        <w:tabs>
          <w:tab w:val="left" w:pos="315"/>
          <w:tab w:val="left" w:pos="8820"/>
        </w:tabs>
        <w:spacing w:line="500" w:lineRule="exact"/>
        <w:ind w:right="267" w:rightChars="127"/>
        <w:rPr>
          <w:rFonts w:hint="eastAsia" w:ascii="宋体" w:hAnsi="宋体" w:eastAsia="宋体" w:cs="宋体"/>
          <w:b/>
          <w:bCs/>
          <w:color w:val="auto"/>
          <w:sz w:val="36"/>
          <w:highlight w:val="none"/>
        </w:rPr>
      </w:pPr>
    </w:p>
    <w:p>
      <w:pPr>
        <w:tabs>
          <w:tab w:val="left" w:pos="315"/>
          <w:tab w:val="left" w:pos="8820"/>
        </w:tabs>
        <w:spacing w:line="500" w:lineRule="exact"/>
        <w:ind w:right="267" w:rightChars="127"/>
        <w:rPr>
          <w:rFonts w:hint="eastAsia" w:ascii="宋体" w:hAnsi="宋体" w:eastAsia="宋体" w:cs="宋体"/>
          <w:b/>
          <w:bCs/>
          <w:color w:val="auto"/>
          <w:sz w:val="36"/>
          <w:highlight w:val="none"/>
        </w:rPr>
      </w:pPr>
    </w:p>
    <w:p>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pPr>
        <w:tabs>
          <w:tab w:val="left" w:pos="315"/>
          <w:tab w:val="left" w:pos="8820"/>
        </w:tabs>
        <w:spacing w:line="500" w:lineRule="exact"/>
        <w:ind w:right="267" w:rightChars="127"/>
        <w:jc w:val="both"/>
        <w:rPr>
          <w:rFonts w:hint="eastAsia" w:ascii="宋体" w:hAnsi="宋体" w:eastAsia="宋体" w:cs="宋体"/>
          <w:b/>
          <w:bCs/>
          <w:color w:val="auto"/>
          <w:sz w:val="52"/>
          <w:highlight w:val="none"/>
        </w:rPr>
      </w:pPr>
    </w:p>
    <w:p>
      <w:pPr>
        <w:pStyle w:val="34"/>
        <w:ind w:left="0" w:leftChars="0" w:firstLine="0" w:firstLineChars="0"/>
        <w:rPr>
          <w:rFonts w:hint="eastAsia" w:ascii="宋体" w:hAnsi="宋体" w:eastAsia="宋体" w:cs="宋体"/>
          <w:color w:val="auto"/>
          <w:highlight w:val="none"/>
        </w:rPr>
      </w:pPr>
    </w:p>
    <w:p>
      <w:pPr>
        <w:tabs>
          <w:tab w:val="left" w:pos="315"/>
          <w:tab w:val="left" w:pos="8820"/>
        </w:tabs>
        <w:spacing w:line="600" w:lineRule="exact"/>
        <w:ind w:right="267" w:rightChars="127"/>
        <w:jc w:val="left"/>
        <w:rPr>
          <w:rFonts w:hint="eastAsia" w:ascii="宋体" w:hAnsi="宋体" w:eastAsia="宋体" w:cs="宋体"/>
          <w:b w:val="0"/>
          <w:bCs w:val="0"/>
          <w:color w:val="auto"/>
          <w:sz w:val="30"/>
          <w:szCs w:val="30"/>
          <w:highlight w:val="none"/>
        </w:rPr>
      </w:pPr>
    </w:p>
    <w:p>
      <w:pPr>
        <w:tabs>
          <w:tab w:val="left" w:pos="315"/>
          <w:tab w:val="left" w:pos="8820"/>
        </w:tabs>
        <w:spacing w:line="600" w:lineRule="exact"/>
        <w:ind w:right="267" w:rightChars="127" w:firstLine="300" w:firstLineChars="100"/>
        <w:jc w:val="left"/>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30"/>
          <w:szCs w:val="30"/>
          <w:highlight w:val="none"/>
        </w:rPr>
        <w:t>项目名称:扶沟县气象局气象灾害综合风险普查项目</w:t>
      </w:r>
    </w:p>
    <w:p>
      <w:pPr>
        <w:tabs>
          <w:tab w:val="left" w:pos="315"/>
          <w:tab w:val="left" w:pos="8820"/>
        </w:tabs>
        <w:spacing w:line="600" w:lineRule="exact"/>
        <w:ind w:right="267" w:rightChars="127" w:firstLine="300" w:firstLineChars="100"/>
        <w:jc w:val="left"/>
        <w:rPr>
          <w:rFonts w:hint="eastAsia" w:ascii="宋体" w:hAnsi="宋体" w:eastAsia="宋体" w:cs="宋体"/>
          <w:b w:val="0"/>
          <w:bCs w:val="0"/>
          <w:color w:val="auto"/>
          <w:sz w:val="52"/>
          <w:szCs w:val="24"/>
          <w:highlight w:val="none"/>
        </w:rPr>
      </w:pPr>
      <w:bookmarkStart w:id="9" w:name="_GoBack"/>
      <w:bookmarkEnd w:id="9"/>
      <w:r>
        <w:rPr>
          <w:rFonts w:hint="eastAsia" w:ascii="宋体" w:hAnsi="宋体" w:eastAsia="宋体" w:cs="宋体"/>
          <w:b w:val="0"/>
          <w:bCs w:val="0"/>
          <w:color w:val="auto"/>
          <w:sz w:val="30"/>
          <w:szCs w:val="30"/>
          <w:highlight w:val="none"/>
        </w:rPr>
        <w:t>项目编号:2023-12-6</w:t>
      </w:r>
    </w:p>
    <w:p>
      <w:pPr>
        <w:pStyle w:val="14"/>
        <w:jc w:val="center"/>
        <w:rPr>
          <w:rFonts w:hint="eastAsia" w:ascii="宋体" w:hAnsi="宋体" w:eastAsia="宋体" w:cs="宋体"/>
          <w:b w:val="0"/>
          <w:bCs w:val="0"/>
          <w:color w:val="auto"/>
          <w:kern w:val="2"/>
          <w:sz w:val="30"/>
          <w:szCs w:val="30"/>
          <w:highlight w:val="none"/>
          <w:lang w:val="en-US" w:eastAsia="zh-CN" w:bidi="ar-SA"/>
        </w:rPr>
      </w:pPr>
    </w:p>
    <w:p>
      <w:pPr>
        <w:pStyle w:val="14"/>
        <w:jc w:val="center"/>
        <w:rPr>
          <w:rFonts w:hint="eastAsia" w:ascii="宋体" w:hAnsi="宋体" w:eastAsia="宋体" w:cs="宋体"/>
          <w:b w:val="0"/>
          <w:bCs w:val="0"/>
          <w:color w:val="auto"/>
          <w:kern w:val="2"/>
          <w:sz w:val="30"/>
          <w:szCs w:val="30"/>
          <w:highlight w:val="none"/>
          <w:lang w:val="en-US" w:eastAsia="zh-CN" w:bidi="ar-SA"/>
        </w:rPr>
      </w:pPr>
      <w:r>
        <w:rPr>
          <w:rFonts w:hint="eastAsia" w:ascii="宋体" w:hAnsi="宋体" w:eastAsia="宋体" w:cs="宋体"/>
          <w:b w:val="0"/>
          <w:bCs w:val="0"/>
          <w:color w:val="auto"/>
          <w:kern w:val="2"/>
          <w:sz w:val="30"/>
          <w:szCs w:val="30"/>
          <w:highlight w:val="none"/>
          <w:lang w:val="en-US" w:eastAsia="zh-CN" w:bidi="ar-SA"/>
        </w:rPr>
        <w:t>2023年12月</w:t>
      </w:r>
      <w:r>
        <w:rPr>
          <w:rFonts w:hint="eastAsia" w:ascii="宋体" w:hAnsi="宋体" w:cs="宋体"/>
          <w:b w:val="0"/>
          <w:bCs w:val="0"/>
          <w:color w:val="auto"/>
          <w:kern w:val="2"/>
          <w:sz w:val="30"/>
          <w:szCs w:val="30"/>
          <w:highlight w:val="none"/>
          <w:lang w:val="en-US" w:eastAsia="zh-CN" w:bidi="ar-SA"/>
        </w:rPr>
        <w:t>8</w:t>
      </w:r>
      <w:r>
        <w:rPr>
          <w:rFonts w:hint="eastAsia" w:ascii="宋体" w:hAnsi="宋体" w:eastAsia="宋体" w:cs="宋体"/>
          <w:b w:val="0"/>
          <w:bCs w:val="0"/>
          <w:color w:val="auto"/>
          <w:kern w:val="2"/>
          <w:sz w:val="30"/>
          <w:szCs w:val="30"/>
          <w:highlight w:val="none"/>
          <w:lang w:val="en-US" w:eastAsia="zh-CN" w:bidi="ar-SA"/>
        </w:rPr>
        <w:t>日</w:t>
      </w:r>
    </w:p>
    <w:sdt>
      <w:sdtPr>
        <w:rPr>
          <w:rFonts w:hint="eastAsia" w:ascii="宋体" w:hAnsi="宋体" w:eastAsia="宋体" w:cs="宋体"/>
          <w:b/>
          <w:bCs/>
          <w:kern w:val="2"/>
          <w:sz w:val="24"/>
          <w:szCs w:val="24"/>
          <w:highlight w:val="none"/>
          <w:lang w:val="en-US" w:eastAsia="zh-CN" w:bidi="ar-SA"/>
        </w:rPr>
        <w:id w:val="147465621"/>
        <w15:color w:val="DBDBDB"/>
        <w:docPartObj>
          <w:docPartGallery w:val="Table of Contents"/>
          <w:docPartUnique/>
        </w:docPartObj>
      </w:sdtPr>
      <w:sdtEndPr>
        <w:rPr>
          <w:rFonts w:hint="eastAsia" w:ascii="宋体" w:hAnsi="宋体" w:eastAsia="宋体" w:cs="宋体"/>
          <w:b/>
          <w:bCs/>
          <w:color w:val="auto"/>
          <w:kern w:val="2"/>
          <w:sz w:val="21"/>
          <w:szCs w:val="32"/>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宋体" w:hAnsi="宋体" w:eastAsia="宋体" w:cs="宋体"/>
              <w:b/>
              <w:bCs/>
              <w:kern w:val="2"/>
              <w:sz w:val="24"/>
              <w:szCs w:val="2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目录</w:t>
          </w:r>
        </w:p>
        <w:p>
          <w:pPr>
            <w:pStyle w:val="22"/>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rPr>
            <w:instrText xml:space="preserve">TOC \o "1-3" \h \u </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rPr>
            <w:fldChar w:fldCharType="begin"/>
          </w:r>
          <w:r>
            <w:rPr>
              <w:rFonts w:hint="eastAsia" w:ascii="宋体" w:hAnsi="宋体" w:eastAsia="宋体" w:cs="宋体"/>
              <w:b/>
              <w:bCs/>
              <w:sz w:val="24"/>
              <w:szCs w:val="24"/>
              <w:highlight w:val="none"/>
            </w:rPr>
            <w:instrText xml:space="preserve"> HYPERLINK \l _Toc5134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第一章 竞争性磋商</w:t>
          </w:r>
          <w:r>
            <w:rPr>
              <w:rFonts w:hint="eastAsia" w:ascii="宋体" w:hAnsi="宋体" w:eastAsia="宋体" w:cs="宋体"/>
              <w:b/>
              <w:bCs/>
              <w:sz w:val="24"/>
              <w:szCs w:val="24"/>
              <w:highlight w:val="none"/>
              <w:lang w:val="en-US" w:eastAsia="zh-CN"/>
            </w:rPr>
            <w:t>公告</w:t>
          </w:r>
          <w:r>
            <w:rPr>
              <w:rFonts w:hint="eastAsia" w:ascii="宋体" w:hAnsi="宋体" w:eastAsia="宋体" w:cs="宋体"/>
              <w:b/>
              <w:bCs/>
              <w:sz w:val="24"/>
              <w:szCs w:val="24"/>
              <w:highlight w:val="none"/>
            </w:rPr>
            <w:tab/>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PAGEREF _Toc5134 \h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3</w:t>
          </w:r>
          <w:r>
            <w:rPr>
              <w:rFonts w:hint="eastAsia" w:ascii="宋体" w:hAnsi="宋体" w:eastAsia="宋体" w:cs="宋体"/>
              <w:b/>
              <w:bCs/>
              <w:sz w:val="24"/>
              <w:szCs w:val="24"/>
              <w:highlight w:val="none"/>
            </w:rPr>
            <w:fldChar w:fldCharType="end"/>
          </w:r>
          <w:r>
            <w:rPr>
              <w:rFonts w:hint="eastAsia" w:ascii="宋体" w:hAnsi="宋体" w:eastAsia="宋体" w:cs="宋体"/>
              <w:b/>
              <w:bCs/>
              <w:color w:val="auto"/>
              <w:sz w:val="24"/>
              <w:szCs w:val="24"/>
              <w:highlight w:val="none"/>
            </w:rPr>
            <w:fldChar w:fldCharType="end"/>
          </w:r>
        </w:p>
        <w:p>
          <w:pPr>
            <w:pStyle w:val="22"/>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sz w:val="24"/>
              <w:szCs w:val="24"/>
              <w:highlight w:val="none"/>
            </w:rPr>
            <w:instrText xml:space="preserve"> HYPERLINK \l _Toc12510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第二章 供应商须知</w:t>
          </w:r>
          <w:r>
            <w:rPr>
              <w:rFonts w:hint="eastAsia" w:ascii="宋体" w:hAnsi="宋体" w:eastAsia="宋体" w:cs="宋体"/>
              <w:b/>
              <w:bCs/>
              <w:sz w:val="24"/>
              <w:szCs w:val="24"/>
              <w:highlight w:val="none"/>
            </w:rPr>
            <w:tab/>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PAGEREF _Toc12510 \h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6</w:t>
          </w:r>
          <w:r>
            <w:rPr>
              <w:rFonts w:hint="eastAsia" w:ascii="宋体" w:hAnsi="宋体" w:eastAsia="宋体" w:cs="宋体"/>
              <w:b/>
              <w:bCs/>
              <w:sz w:val="24"/>
              <w:szCs w:val="24"/>
              <w:highlight w:val="none"/>
            </w:rPr>
            <w:fldChar w:fldCharType="end"/>
          </w:r>
          <w:r>
            <w:rPr>
              <w:rFonts w:hint="eastAsia" w:ascii="宋体" w:hAnsi="宋体" w:eastAsia="宋体" w:cs="宋体"/>
              <w:b/>
              <w:bCs/>
              <w:color w:val="auto"/>
              <w:sz w:val="24"/>
              <w:szCs w:val="24"/>
              <w:highlight w:val="none"/>
            </w:rPr>
            <w:fldChar w:fldCharType="end"/>
          </w:r>
        </w:p>
        <w:p>
          <w:pPr>
            <w:pStyle w:val="22"/>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sz w:val="24"/>
              <w:szCs w:val="24"/>
              <w:highlight w:val="none"/>
            </w:rPr>
            <w:instrText xml:space="preserve"> HYPERLINK \l _Toc9112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第三章 采购项目内容及要求</w:t>
          </w:r>
          <w:r>
            <w:rPr>
              <w:rFonts w:hint="eastAsia" w:ascii="宋体" w:hAnsi="宋体" w:eastAsia="宋体" w:cs="宋体"/>
              <w:b/>
              <w:bCs/>
              <w:sz w:val="24"/>
              <w:szCs w:val="24"/>
              <w:highlight w:val="none"/>
            </w:rPr>
            <w:tab/>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PAGEREF _Toc9112 \h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25</w:t>
          </w:r>
          <w:r>
            <w:rPr>
              <w:rFonts w:hint="eastAsia" w:ascii="宋体" w:hAnsi="宋体" w:eastAsia="宋体" w:cs="宋体"/>
              <w:b/>
              <w:bCs/>
              <w:sz w:val="24"/>
              <w:szCs w:val="24"/>
              <w:highlight w:val="none"/>
            </w:rPr>
            <w:fldChar w:fldCharType="end"/>
          </w:r>
          <w:r>
            <w:rPr>
              <w:rFonts w:hint="eastAsia" w:ascii="宋体" w:hAnsi="宋体" w:eastAsia="宋体" w:cs="宋体"/>
              <w:b/>
              <w:bCs/>
              <w:color w:val="auto"/>
              <w:sz w:val="24"/>
              <w:szCs w:val="24"/>
              <w:highlight w:val="none"/>
            </w:rPr>
            <w:fldChar w:fldCharType="end"/>
          </w:r>
        </w:p>
        <w:p>
          <w:pPr>
            <w:pStyle w:val="22"/>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sz w:val="24"/>
              <w:szCs w:val="24"/>
              <w:highlight w:val="none"/>
            </w:rPr>
            <w:instrText xml:space="preserve"> HYPERLINK \l _Toc24859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第四章  响应性文件内容及格式</w:t>
          </w:r>
          <w:r>
            <w:rPr>
              <w:rFonts w:hint="eastAsia" w:ascii="宋体" w:hAnsi="宋体" w:eastAsia="宋体" w:cs="宋体"/>
              <w:b/>
              <w:bCs/>
              <w:sz w:val="24"/>
              <w:szCs w:val="24"/>
              <w:highlight w:val="none"/>
            </w:rPr>
            <w:tab/>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PAGEREF _Toc24859 \h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27</w:t>
          </w:r>
          <w:r>
            <w:rPr>
              <w:rFonts w:hint="eastAsia" w:ascii="宋体" w:hAnsi="宋体" w:eastAsia="宋体" w:cs="宋体"/>
              <w:b/>
              <w:bCs/>
              <w:sz w:val="24"/>
              <w:szCs w:val="24"/>
              <w:highlight w:val="none"/>
            </w:rPr>
            <w:fldChar w:fldCharType="end"/>
          </w:r>
          <w:r>
            <w:rPr>
              <w:rFonts w:hint="eastAsia" w:ascii="宋体" w:hAnsi="宋体" w:eastAsia="宋体" w:cs="宋体"/>
              <w:b/>
              <w:bCs/>
              <w:color w:val="auto"/>
              <w:sz w:val="24"/>
              <w:szCs w:val="24"/>
              <w:highlight w:val="none"/>
            </w:rPr>
            <w:fldChar w:fldCharType="end"/>
          </w:r>
        </w:p>
        <w:p>
          <w:pPr>
            <w:pStyle w:val="22"/>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hint="eastAsia" w:ascii="宋体" w:hAnsi="宋体" w:eastAsia="宋体" w:cs="宋体"/>
              <w:b/>
              <w:bCs/>
              <w:sz w:val="24"/>
              <w:szCs w:val="24"/>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sz w:val="24"/>
              <w:szCs w:val="24"/>
              <w:highlight w:val="none"/>
            </w:rPr>
            <w:instrText xml:space="preserve"> HYPERLINK \l _Toc21487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 xml:space="preserve">第五章  </w:t>
          </w:r>
          <w:r>
            <w:rPr>
              <w:rFonts w:hint="eastAsia" w:ascii="宋体" w:hAnsi="宋体" w:eastAsia="宋体" w:cs="宋体"/>
              <w:b/>
              <w:bCs/>
              <w:w w:val="92"/>
              <w:sz w:val="24"/>
              <w:szCs w:val="24"/>
              <w:highlight w:val="none"/>
            </w:rPr>
            <w:t>周口市</w:t>
          </w:r>
          <w:r>
            <w:rPr>
              <w:rFonts w:hint="eastAsia" w:ascii="宋体" w:hAnsi="宋体" w:eastAsia="宋体" w:cs="宋体"/>
              <w:b/>
              <w:bCs/>
              <w:sz w:val="24"/>
              <w:szCs w:val="24"/>
              <w:highlight w:val="none"/>
            </w:rPr>
            <w:t>政府采购合同（服务类）标准文本</w:t>
          </w:r>
          <w:r>
            <w:rPr>
              <w:rFonts w:hint="eastAsia" w:ascii="宋体" w:hAnsi="宋体" w:eastAsia="宋体" w:cs="宋体"/>
              <w:b/>
              <w:bCs/>
              <w:sz w:val="24"/>
              <w:szCs w:val="24"/>
              <w:highlight w:val="none"/>
            </w:rPr>
            <w:tab/>
          </w:r>
          <w:r>
            <w:rPr>
              <w:rFonts w:hint="eastAsia" w:ascii="宋体" w:hAnsi="宋体" w:eastAsia="宋体" w:cs="宋体"/>
              <w:b/>
              <w:bCs/>
              <w:sz w:val="24"/>
              <w:szCs w:val="24"/>
              <w:highlight w:val="none"/>
            </w:rPr>
            <w:fldChar w:fldCharType="begin"/>
          </w:r>
          <w:r>
            <w:rPr>
              <w:rFonts w:hint="eastAsia" w:ascii="宋体" w:hAnsi="宋体" w:eastAsia="宋体" w:cs="宋体"/>
              <w:b/>
              <w:bCs/>
              <w:sz w:val="24"/>
              <w:szCs w:val="24"/>
              <w:highlight w:val="none"/>
            </w:rPr>
            <w:instrText xml:space="preserve"> PAGEREF _Toc21487 \h </w:instrText>
          </w:r>
          <w:r>
            <w:rPr>
              <w:rFonts w:hint="eastAsia" w:ascii="宋体" w:hAnsi="宋体" w:eastAsia="宋体" w:cs="宋体"/>
              <w:b/>
              <w:bCs/>
              <w:sz w:val="24"/>
              <w:szCs w:val="24"/>
              <w:highlight w:val="none"/>
            </w:rPr>
            <w:fldChar w:fldCharType="separate"/>
          </w:r>
          <w:r>
            <w:rPr>
              <w:rFonts w:hint="eastAsia" w:ascii="宋体" w:hAnsi="宋体" w:eastAsia="宋体" w:cs="宋体"/>
              <w:b/>
              <w:bCs/>
              <w:sz w:val="24"/>
              <w:szCs w:val="24"/>
              <w:highlight w:val="none"/>
            </w:rPr>
            <w:t>40</w:t>
          </w:r>
          <w:r>
            <w:rPr>
              <w:rFonts w:hint="eastAsia" w:ascii="宋体" w:hAnsi="宋体" w:eastAsia="宋体" w:cs="宋体"/>
              <w:b/>
              <w:bCs/>
              <w:sz w:val="24"/>
              <w:szCs w:val="24"/>
              <w:highlight w:val="none"/>
            </w:rPr>
            <w:fldChar w:fldCharType="end"/>
          </w:r>
          <w:r>
            <w:rPr>
              <w:rFonts w:hint="eastAsia" w:ascii="宋体" w:hAnsi="宋体" w:eastAsia="宋体" w:cs="宋体"/>
              <w:b/>
              <w:bCs/>
              <w:color w:val="auto"/>
              <w:sz w:val="24"/>
              <w:szCs w:val="24"/>
              <w:highlight w:val="none"/>
            </w:rPr>
            <w:fldChar w:fldCharType="end"/>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color w:val="auto"/>
              <w:sz w:val="32"/>
              <w:szCs w:val="32"/>
              <w:highlight w:val="none"/>
            </w:rPr>
          </w:pPr>
          <w:r>
            <w:rPr>
              <w:rFonts w:hint="eastAsia" w:ascii="宋体" w:hAnsi="宋体" w:eastAsia="宋体" w:cs="宋体"/>
              <w:b/>
              <w:bCs/>
              <w:color w:val="auto"/>
              <w:sz w:val="24"/>
              <w:szCs w:val="24"/>
              <w:highlight w:val="none"/>
            </w:rPr>
            <w:fldChar w:fldCharType="end"/>
          </w:r>
        </w:p>
      </w:sdtContent>
    </w:sdt>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br w:type="page"/>
      </w:r>
      <w:bookmarkStart w:id="0" w:name="_Toc5134"/>
      <w:r>
        <w:rPr>
          <w:rFonts w:hint="eastAsia" w:ascii="宋体" w:hAnsi="宋体" w:eastAsia="宋体" w:cs="宋体"/>
          <w:b/>
          <w:color w:val="auto"/>
          <w:sz w:val="32"/>
          <w:szCs w:val="32"/>
          <w:highlight w:val="none"/>
        </w:rPr>
        <w:t>第一章 竞争性磋商</w:t>
      </w:r>
      <w:r>
        <w:rPr>
          <w:rFonts w:hint="eastAsia" w:ascii="宋体" w:hAnsi="宋体" w:eastAsia="宋体" w:cs="宋体"/>
          <w:b/>
          <w:color w:val="auto"/>
          <w:sz w:val="32"/>
          <w:szCs w:val="32"/>
          <w:highlight w:val="none"/>
          <w:lang w:val="en-US" w:eastAsia="zh-CN"/>
        </w:rPr>
        <w:t>公告</w:t>
      </w:r>
      <w:bookmarkEnd w:id="0"/>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一、项目基本情况</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1、项目编号：2023-12-6</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2、项目名称：扶沟县气象局气象灾害综合风险普查项目</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3、采购方式：竞争性磋商</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4、预算金额：</w:t>
      </w:r>
      <w:r>
        <w:rPr>
          <w:rFonts w:hint="eastAsia" w:ascii="宋体" w:hAnsi="宋体" w:eastAsia="宋体" w:cs="宋体"/>
          <w:color w:val="auto"/>
          <w:sz w:val="24"/>
          <w:szCs w:val="24"/>
          <w:highlight w:val="none"/>
          <w:lang w:val="en-US" w:eastAsia="zh-CN"/>
        </w:rPr>
        <w:t>700000.00</w:t>
      </w:r>
      <w:r>
        <w:rPr>
          <w:rFonts w:hint="eastAsia" w:ascii="宋体" w:hAnsi="宋体" w:eastAsia="宋体" w:cs="宋体"/>
          <w:color w:val="auto"/>
          <w:sz w:val="24"/>
          <w:szCs w:val="24"/>
          <w:highlight w:val="none"/>
        </w:rPr>
        <w:t>元</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最高限价：</w:t>
      </w:r>
      <w:r>
        <w:rPr>
          <w:rFonts w:hint="eastAsia" w:ascii="宋体" w:hAnsi="宋体" w:eastAsia="宋体" w:cs="宋体"/>
          <w:color w:val="auto"/>
          <w:sz w:val="24"/>
          <w:szCs w:val="24"/>
          <w:highlight w:val="none"/>
          <w:lang w:val="en-US" w:eastAsia="zh-CN"/>
        </w:rPr>
        <w:t>700000.00</w:t>
      </w:r>
      <w:r>
        <w:rPr>
          <w:rFonts w:hint="eastAsia" w:ascii="宋体" w:hAnsi="宋体" w:eastAsia="宋体" w:cs="宋体"/>
          <w:color w:val="auto"/>
          <w:sz w:val="24"/>
          <w:szCs w:val="24"/>
          <w:highlight w:val="none"/>
        </w:rPr>
        <w:t>元</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3780"/>
        <w:gridCol w:w="18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66" w:type="dxa"/>
            <w:vAlign w:val="center"/>
          </w:tcPr>
          <w:p>
            <w:pPr>
              <w:bidi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包号</w:t>
            </w:r>
          </w:p>
        </w:tc>
        <w:tc>
          <w:tcPr>
            <w:tcW w:w="3780" w:type="dxa"/>
            <w:vAlign w:val="center"/>
          </w:tcPr>
          <w:p>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包名称</w:t>
            </w:r>
          </w:p>
        </w:tc>
        <w:tc>
          <w:tcPr>
            <w:tcW w:w="1830" w:type="dxa"/>
            <w:vAlign w:val="center"/>
          </w:tcPr>
          <w:p>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包预算（元）</w:t>
            </w:r>
          </w:p>
        </w:tc>
        <w:tc>
          <w:tcPr>
            <w:tcW w:w="1860" w:type="dxa"/>
            <w:vAlign w:val="center"/>
          </w:tcPr>
          <w:p>
            <w:pPr>
              <w:bidi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866" w:type="dxa"/>
            <w:vAlign w:val="center"/>
          </w:tcPr>
          <w:p>
            <w:pPr>
              <w:bidi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3780" w:type="dxa"/>
            <w:vAlign w:val="center"/>
          </w:tcPr>
          <w:p>
            <w:pPr>
              <w:bidi w:val="0"/>
              <w:jc w:val="lef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扶沟县气象局气象灾害综合风险普查项目</w:t>
            </w:r>
          </w:p>
        </w:tc>
        <w:tc>
          <w:tcPr>
            <w:tcW w:w="1830" w:type="dxa"/>
            <w:vAlign w:val="center"/>
          </w:tcPr>
          <w:p>
            <w:pPr>
              <w:bidi w:val="0"/>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700000.00</w:t>
            </w:r>
          </w:p>
        </w:tc>
        <w:tc>
          <w:tcPr>
            <w:tcW w:w="1860" w:type="dxa"/>
            <w:vAlign w:val="center"/>
          </w:tcPr>
          <w:p>
            <w:pPr>
              <w:bidi w:val="0"/>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700000.00</w:t>
            </w:r>
          </w:p>
        </w:tc>
      </w:tr>
    </w:tbl>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5、采购需求（包括但不限于标的的名称、数量、简要技术需求或服务要求等）</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1200" w:firstLineChars="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6、合同履行期限：</w:t>
      </w:r>
      <w:r>
        <w:rPr>
          <w:rFonts w:hint="eastAsia" w:ascii="宋体" w:hAnsi="宋体" w:eastAsia="宋体" w:cs="宋体"/>
          <w:sz w:val="24"/>
          <w:szCs w:val="24"/>
          <w:highlight w:val="none"/>
          <w:lang w:val="en-US" w:eastAsia="zh-CN"/>
        </w:rPr>
        <w:t>合同签订后30日历天内</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7、本项目是否接受联合体投标：否</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8、是否接受进口产品：否</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9、是否专门面向中小企业：</w:t>
      </w:r>
      <w:r>
        <w:rPr>
          <w:rFonts w:hint="eastAsia" w:ascii="宋体" w:hAnsi="宋体" w:eastAsia="宋体" w:cs="宋体"/>
          <w:color w:val="auto"/>
          <w:sz w:val="24"/>
          <w:szCs w:val="24"/>
          <w:highlight w:val="none"/>
          <w:lang w:val="en-US" w:eastAsia="zh-CN"/>
        </w:rPr>
        <w:t>否</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二、申请人资格要求：</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2、落实政府采购政策满足的资格要求：</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（2）拟派本项目的负责人应具有气象专业工程师职称证书，须为本公司员工（提供</w:t>
      </w:r>
      <w:r>
        <w:rPr>
          <w:rFonts w:hint="eastAsia" w:ascii="宋体" w:hAnsi="宋体" w:eastAsia="宋体" w:cs="宋体"/>
          <w:color w:val="auto"/>
          <w:sz w:val="24"/>
          <w:szCs w:val="24"/>
          <w:highlight w:val="none"/>
          <w:lang w:val="en-US" w:eastAsia="zh-CN"/>
        </w:rPr>
        <w:t>劳动合同</w:t>
      </w:r>
      <w:r>
        <w:rPr>
          <w:rFonts w:hint="eastAsia" w:ascii="宋体" w:hAnsi="宋体" w:eastAsia="宋体" w:cs="宋体"/>
          <w:color w:val="auto"/>
          <w:sz w:val="24"/>
          <w:szCs w:val="24"/>
          <w:highlight w:val="none"/>
        </w:rPr>
        <w:t>）；</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三、获取采购文件</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1.时间：2023年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日至2023年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日（北京时间，法定节假日除外。）</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2.地点：周口市公共资源交易中心网（http://jyzx.zhoukou.gov.cn）</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3.方式：供应商请在网站自主注册后下载采购文件（zkzf格式）及资料，需办理CA数字证书后方可提交响应文件，具体办理事宜请查阅周口市公共资源交易中心网站。</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4.售价：0元</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四、响应文件提交</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1.截止时间：2023年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日10时00分（北京时间）</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2.地点：周口市公共资源交易中心网（http://jyzx.zhoukou.gov.cn）</w:t>
      </w:r>
    </w:p>
    <w:p>
      <w:pPr>
        <w:pStyle w:val="5"/>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五、响应文件开启</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1.时间：2023年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日10时00分（北京时间）</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2.地点：周口市公共资源交易中心网（http://jyzx.zhoukou.gov.cn）</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六、发布公告的媒介及招标公告期限</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本次招标公告在《河南省政府采购网》周口市公共资源交易中心网（http://jyzx.zhoukou.gov.cn）上发布，招标公告期限为三个工作日 。</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七、其他补充事宜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无</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八、凡对本次招标提出询问，请按照以下方式联系</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名称：扶沟县气象局</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地址：扶沟县</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联系人：王向南</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联系方式：18603949166</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2.采购代理机构信息（如有）</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名称：周口市公共资源交易中心(周口市政府采购中心)</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地址：周口市东新区光明路和政通路交叉口北100米路东</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郭战伟</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0394-8106517</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0" w:leftChars="0" w:firstLine="240" w:firstLineChars="1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监督单位：扶沟县财政局</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cs="宋体"/>
          <w:sz w:val="24"/>
          <w:lang w:val="en-US" w:eastAsia="zh-CN"/>
        </w:rPr>
        <w:t>0394-6234634</w:t>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1" w:name="_Toc12510"/>
      <w:r>
        <w:rPr>
          <w:rFonts w:hint="eastAsia" w:ascii="宋体" w:hAnsi="宋体" w:eastAsia="宋体" w:cs="宋体"/>
          <w:b/>
          <w:color w:val="auto"/>
          <w:sz w:val="32"/>
          <w:szCs w:val="32"/>
          <w:highlight w:val="none"/>
        </w:rPr>
        <w:t>第二章 供应商须知</w:t>
      </w:r>
      <w:bookmarkEnd w:id="1"/>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rPr>
            </w:pPr>
            <w:r>
              <w:rPr>
                <w:rFonts w:hint="eastAsia" w:ascii="宋体" w:hAnsi="宋体" w:eastAsia="宋体" w:cs="宋体"/>
                <w:color w:val="auto"/>
                <w:sz w:val="32"/>
                <w:szCs w:val="32"/>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r>
              <w:rPr>
                <w:rFonts w:hint="eastAsia" w:ascii="宋体" w:hAnsi="宋体" w:eastAsia="宋体" w:cs="宋体"/>
                <w:color w:val="auto"/>
                <w:sz w:val="24"/>
                <w:szCs w:val="24"/>
                <w:highlight w:val="none"/>
              </w:rPr>
              <w:t>扶沟县气象局气象灾害综合风险普查项目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采购内容：</w:t>
            </w:r>
            <w:r>
              <w:rPr>
                <w:rFonts w:hint="eastAsia" w:ascii="宋体" w:hAnsi="宋体" w:eastAsia="宋体" w:cs="宋体"/>
                <w:color w:val="auto"/>
                <w:sz w:val="24"/>
                <w:szCs w:val="24"/>
                <w:highlight w:val="none"/>
              </w:rPr>
              <w:t>扶沟县气象局气象灾害综合风险普查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ascii="宋体" w:hAnsi="宋体" w:eastAsia="宋体" w:cs="宋体"/>
                <w:color w:val="auto"/>
                <w:sz w:val="24"/>
                <w:szCs w:val="24"/>
                <w:highlight w:val="none"/>
              </w:rPr>
              <w:t>扶沟县气象局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w:t>
            </w:r>
            <w:r>
              <w:rPr>
                <w:rFonts w:hint="eastAsia" w:ascii="宋体" w:hAnsi="宋体" w:eastAsia="宋体" w:cs="宋体"/>
                <w:color w:val="auto"/>
                <w:sz w:val="24"/>
                <w:szCs w:val="24"/>
                <w:highlight w:val="none"/>
              </w:rPr>
              <w:t>周口市公共资源交易中心(周口市政府采购中心)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left="-4" w:leftChars="-4" w:hanging="4" w:hangingChars="2"/>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left="-4" w:leftChars="-4" w:hanging="4" w:hangingChars="2"/>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报价范围及说明</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报价包括本项目所招标的服务、保险、税费、验收等（采购项目技术规格、参数及要求）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before="156" w:beforeLines="50" w:line="400" w:lineRule="exact"/>
              <w:ind w:left="-2" w:leftChars="-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before="156" w:beforeLines="50" w:line="400" w:lineRule="exact"/>
              <w:ind w:left="-2" w:leftChars="-1"/>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日上午</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网址：周口市公共资源电子交易服务平台会员系统（网址</w:t>
            </w:r>
            <w:r>
              <w:rPr>
                <w:rFonts w:hint="eastAsia" w:ascii="宋体" w:hAnsi="宋体" w:eastAsia="宋体" w:cs="宋体"/>
                <w:color w:val="auto"/>
                <w:highlight w:val="none"/>
              </w:rPr>
              <w:t>http://jyzx.zhoukou.gov.cn）</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firstLine="240" w:firstLineChars="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日上午</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firstLine="14" w:firstLineChars="6"/>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firstLine="14" w:firstLineChars="6"/>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rPr>
              <w:t>不需要缴纳投标保证金（</w:t>
            </w:r>
            <w:r>
              <w:rPr>
                <w:rFonts w:hint="eastAsia" w:ascii="宋体" w:hAnsi="宋体" w:eastAsia="宋体" w:cs="宋体"/>
                <w:color w:val="auto"/>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color w:val="auto"/>
                <w:sz w:val="24"/>
                <w:highlight w:val="none"/>
              </w:rPr>
              <w:t>）</w:t>
            </w:r>
            <w:r>
              <w:rPr>
                <w:rFonts w:hint="eastAsia" w:ascii="宋体" w:hAnsi="宋体" w:eastAsia="宋体" w:cs="宋体"/>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firstLine="14" w:firstLineChars="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付款方式（要求详细填写）</w:t>
            </w:r>
          </w:p>
        </w:tc>
        <w:tc>
          <w:tcPr>
            <w:tcW w:w="661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合同签订后支付合同款的30%作为预付款（中小微企业50%），提交数据成果并验收合格后一次性付清合同款项。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firstLine="14" w:firstLineChars="6"/>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400" w:lineRule="exact"/>
              <w:jc w:val="center"/>
              <w:textAlignment w:val="auto"/>
              <w:rPr>
                <w:rFonts w:hint="eastAsia" w:ascii="宋体" w:hAnsi="宋体" w:eastAsia="宋体" w:cs="宋体"/>
                <w:b w:val="0"/>
                <w:bCs w:val="0"/>
                <w:color w:val="auto"/>
                <w:sz w:val="24"/>
                <w:highlight w:val="none"/>
              </w:rPr>
            </w:pPr>
          </w:p>
        </w:tc>
        <w:tc>
          <w:tcPr>
            <w:tcW w:w="1995" w:type="dxa"/>
            <w:vAlign w:val="center"/>
          </w:tcPr>
          <w:p>
            <w:pPr>
              <w:keepNext w:val="0"/>
              <w:keepLines w:val="0"/>
              <w:pageBreakBefore w:val="0"/>
              <w:widowControl w:val="0"/>
              <w:kinsoku/>
              <w:wordWrap/>
              <w:overflowPunct/>
              <w:topLinePunct w:val="0"/>
              <w:autoSpaceDE/>
              <w:autoSpaceDN/>
              <w:bidi w:val="0"/>
              <w:adjustRightInd/>
              <w:snapToGrid/>
              <w:spacing w:before="156" w:beforeLines="50" w:line="400" w:lineRule="exact"/>
              <w:ind w:firstLine="14" w:firstLineChars="6"/>
              <w:jc w:val="center"/>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报价</w:t>
            </w:r>
          </w:p>
        </w:tc>
        <w:tc>
          <w:tcPr>
            <w:tcW w:w="6615" w:type="dxa"/>
            <w:vAlign w:val="center"/>
          </w:tcPr>
          <w:p>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highlight w:val="none"/>
                <w:u w:val="single"/>
              </w:rPr>
            </w:pPr>
            <w:r>
              <w:rPr>
                <w:rFonts w:hint="eastAsia" w:ascii="宋体" w:hAnsi="宋体" w:eastAsia="宋体" w:cs="宋体"/>
                <w:b w:val="0"/>
                <w:bCs w:val="0"/>
                <w:color w:val="auto"/>
                <w:sz w:val="24"/>
                <w:highlight w:val="none"/>
              </w:rPr>
              <w:t>一次报价</w:t>
            </w:r>
          </w:p>
        </w:tc>
      </w:tr>
    </w:tbl>
    <w:p>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pPr>
        <w:spacing w:line="72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一、总则</w:t>
      </w:r>
    </w:p>
    <w:p>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pPr>
        <w:tabs>
          <w:tab w:val="left" w:pos="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2.2“采购人”：扶沟县气象局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4.1.2参加政府采购活动前三年内，在经营活动中没有重大违法记录的声明函；</w:t>
      </w:r>
    </w:p>
    <w:p>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4.1.3 政府采购供应商诚信承诺书；</w:t>
      </w:r>
    </w:p>
    <w:p>
      <w:pPr>
        <w:pStyle w:val="71"/>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4.2 </w:t>
      </w:r>
      <w:r>
        <w:rPr>
          <w:rFonts w:hint="eastAsia" w:ascii="宋体" w:hAnsi="宋体" w:eastAsia="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pPr>
        <w:pStyle w:val="71"/>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4.4供应商应遵守国家法律、法规有关竞争性磋商的规定。</w:t>
      </w:r>
    </w:p>
    <w:p>
      <w:pPr>
        <w:autoSpaceDE w:val="0"/>
        <w:autoSpaceDN w:val="0"/>
        <w:adjustRightInd w:val="0"/>
        <w:snapToGrid w:val="0"/>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4.5 凡通过磋商小组符合性审查的供应商均为合格供应商。未通过符合性审查的供</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pPr>
        <w:pStyle w:val="5"/>
        <w:ind w:firstLine="480"/>
        <w:rPr>
          <w:rFonts w:hint="eastAsia" w:ascii="宋体" w:hAnsi="宋体" w:eastAsia="宋体" w:cs="宋体"/>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pPr>
        <w:tabs>
          <w:tab w:val="left" w:pos="632"/>
          <w:tab w:val="left" w:pos="79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pPr>
        <w:autoSpaceDE w:val="0"/>
        <w:autoSpaceDN w:val="0"/>
        <w:adjustRightIn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（3）采购需求；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pPr>
        <w:autoSpaceDE w:val="0"/>
        <w:autoSpaceDN w:val="0"/>
        <w:adjustRightInd w:val="0"/>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i/>
          <w:iCs/>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bCs/>
          <w:color w:val="auto"/>
          <w:sz w:val="24"/>
          <w:highlight w:val="none"/>
          <w:u w:val="single"/>
        </w:rPr>
        <w:t>资格性证明材料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符合性证明材料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w:t>
      </w:r>
      <w:r>
        <w:rPr>
          <w:rFonts w:hint="eastAsia" w:ascii="宋体" w:hAnsi="宋体" w:eastAsia="宋体" w:cs="宋体"/>
          <w:bCs/>
          <w:color w:val="auto"/>
          <w:sz w:val="24"/>
          <w:highlight w:val="none"/>
        </w:rPr>
        <w:t>第四章</w:t>
      </w:r>
      <w:r>
        <w:rPr>
          <w:rFonts w:hint="eastAsia" w:ascii="宋体" w:hAnsi="宋体" w:eastAsia="宋体" w:cs="宋体"/>
          <w:color w:val="auto"/>
          <w:sz w:val="24"/>
          <w:highlight w:val="none"/>
        </w:rPr>
        <w:t>。</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12.1报价包括所投服务、保险、税费、检测、验收和交付后约定期限内免费维保等工作所发生的一切应有费用。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15电子投标文件制作，见周口市公共资源交易中心网站下载中心版块《投标单位-电子投标文件视频制作手册》的相关规定。</w:t>
      </w:r>
    </w:p>
    <w:p>
      <w:pPr>
        <w:numPr>
          <w:ilvl w:val="0"/>
          <w:numId w:val="2"/>
        </w:num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响应性文件的递交</w:t>
      </w:r>
    </w:p>
    <w:p>
      <w:pPr>
        <w:autoSpaceDE w:val="0"/>
        <w:autoSpaceDN w:val="0"/>
        <w:adjustRightIn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color w:val="auto"/>
          <w:sz w:val="24"/>
          <w:highlight w:val="none"/>
        </w:rPr>
        <w:t>。</w:t>
      </w: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pPr>
        <w:pStyle w:val="55"/>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pPr>
        <w:pStyle w:val="5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pPr>
        <w:pStyle w:val="5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pPr>
        <w:pStyle w:val="55"/>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pPr>
        <w:spacing w:line="56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w:t>
      </w:r>
      <w:r>
        <w:rPr>
          <w:rFonts w:hint="eastAsia" w:ascii="宋体" w:hAnsi="宋体" w:eastAsia="宋体" w:cs="宋体"/>
          <w:color w:val="auto"/>
          <w:sz w:val="24"/>
          <w:highlight w:val="none"/>
          <w:lang w:val="zh-CN"/>
        </w:rPr>
        <w:t>签署、盖章的；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19.7.14不同供应商投标（响应）文件中法定代表人或者负责人签字出自同一人之手。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pPr>
        <w:pStyle w:val="37"/>
        <w:rPr>
          <w:rFonts w:hint="eastAsia" w:ascii="宋体" w:hAnsi="宋体" w:eastAsia="宋体" w:cs="宋体"/>
          <w:color w:val="auto"/>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投标文件签字盖章格式</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合格供应商的声明函和承诺书</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服务期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投标有效期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服务技术要求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rPr>
        <w:t>报价次数见供应商须知前附表。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pPr>
        <w:pStyle w:val="18"/>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p>
      <w:pPr>
        <w:rPr>
          <w:rFonts w:hint="eastAsia" w:ascii="宋体" w:hAnsi="宋体" w:eastAsia="宋体" w:cs="宋体"/>
          <w:highlight w:val="none"/>
        </w:rPr>
      </w:pPr>
      <w:r>
        <w:rPr>
          <w:rFonts w:hint="eastAsia" w:ascii="宋体" w:hAnsi="宋体" w:eastAsia="宋体" w:cs="宋体"/>
          <w:highlight w:val="none"/>
        </w:rPr>
        <w:br w:type="page"/>
      </w:r>
    </w:p>
    <w:tbl>
      <w:tblPr>
        <w:tblStyle w:val="26"/>
        <w:tblW w:w="8039" w:type="dxa"/>
        <w:jc w:val="center"/>
        <w:tblLayout w:type="fixed"/>
        <w:tblCellMar>
          <w:top w:w="0" w:type="dxa"/>
          <w:left w:w="108" w:type="dxa"/>
          <w:bottom w:w="0" w:type="dxa"/>
          <w:right w:w="108" w:type="dxa"/>
        </w:tblCellMar>
      </w:tblPr>
      <w:tblGrid>
        <w:gridCol w:w="1695"/>
        <w:gridCol w:w="1165"/>
        <w:gridCol w:w="3121"/>
        <w:gridCol w:w="2058"/>
      </w:tblGrid>
      <w:tr>
        <w:trPr>
          <w:trHeight w:val="318"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评分指标</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分值</w:t>
            </w:r>
          </w:p>
        </w:tc>
        <w:tc>
          <w:tcPr>
            <w:tcW w:w="31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指标说明及评分标准</w:t>
            </w:r>
          </w:p>
        </w:tc>
        <w:tc>
          <w:tcPr>
            <w:tcW w:w="205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评分依据</w:t>
            </w:r>
          </w:p>
        </w:tc>
      </w:tr>
      <w:tr>
        <w:tblPrEx>
          <w:tblCellMar>
            <w:top w:w="0" w:type="dxa"/>
            <w:left w:w="108" w:type="dxa"/>
            <w:bottom w:w="0" w:type="dxa"/>
            <w:right w:w="108" w:type="dxa"/>
          </w:tblCellMar>
        </w:tblPrEx>
        <w:trPr>
          <w:trHeight w:val="7421"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报价得分（30分）</w:t>
            </w:r>
          </w:p>
        </w:tc>
        <w:tc>
          <w:tcPr>
            <w:tcW w:w="11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（30分）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宋体" w:hAnsi="宋体" w:eastAsia="宋体" w:cs="宋体"/>
                <w:bCs/>
                <w:sz w:val="24"/>
                <w:szCs w:val="20"/>
                <w:highlight w:val="none"/>
              </w:rPr>
            </w:pPr>
            <w:r>
              <w:rPr>
                <w:rFonts w:hint="eastAsia" w:ascii="宋体" w:hAnsi="宋体" w:eastAsia="宋体" w:cs="宋体"/>
                <w:bCs/>
                <w:sz w:val="24"/>
                <w:szCs w:val="20"/>
                <w:highlight w:val="none"/>
              </w:rPr>
              <w:t>满足磋商文件要求且最后报价最低的供应商的价格为磋商基准价，其价格分为满分。其他供应商的价格分统一按照下列公式计算：</w:t>
            </w:r>
          </w:p>
          <w:p>
            <w:pPr>
              <w:ind w:firstLine="480" w:firstLineChars="200"/>
              <w:rPr>
                <w:rFonts w:hint="eastAsia" w:ascii="宋体" w:hAnsi="宋体" w:eastAsia="宋体" w:cs="宋体"/>
                <w:bCs/>
                <w:sz w:val="24"/>
                <w:szCs w:val="20"/>
                <w:highlight w:val="none"/>
              </w:rPr>
            </w:pPr>
            <w:r>
              <w:rPr>
                <w:rFonts w:hint="eastAsia" w:ascii="宋体" w:hAnsi="宋体" w:eastAsia="宋体" w:cs="宋体"/>
                <w:bCs/>
                <w:sz w:val="24"/>
                <w:szCs w:val="20"/>
                <w:highlight w:val="none"/>
              </w:rPr>
              <w:t>磋商报价得分=（磋商基准价/最后磋商报价）×30</w:t>
            </w:r>
          </w:p>
          <w:p>
            <w:pPr>
              <w:tabs>
                <w:tab w:val="left" w:pos="5130"/>
              </w:tabs>
              <w:adjustRightInd w:val="0"/>
              <w:snapToGrid w:val="0"/>
              <w:spacing w:line="360" w:lineRule="auto"/>
              <w:rPr>
                <w:rFonts w:hint="eastAsia" w:ascii="宋体" w:hAnsi="宋体" w:eastAsia="宋体" w:cs="宋体"/>
                <w:bCs/>
                <w:sz w:val="24"/>
                <w:szCs w:val="20"/>
                <w:highlight w:val="none"/>
              </w:rPr>
            </w:pPr>
            <w:r>
              <w:rPr>
                <w:rFonts w:hint="eastAsia" w:ascii="宋体" w:hAnsi="宋体" w:eastAsia="宋体" w:cs="宋体"/>
                <w:bCs/>
                <w:sz w:val="24"/>
                <w:szCs w:val="20"/>
                <w:highlight w:val="none"/>
              </w:rPr>
              <w:t>备注：价格分计算保留小数点后二位。</w:t>
            </w:r>
          </w:p>
          <w:p>
            <w:pPr>
              <w:pStyle w:val="2"/>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根据财政部、工信部关于印发《政府采购促进中小企业发展管理办法》的通知（财库〔2020〕46号 ）文件规定：</w:t>
            </w:r>
          </w:p>
          <w:p>
            <w:pPr>
              <w:pStyle w:val="2"/>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（1）对小微企业报价给予10%扣除，请按照《政府采购促进中小企业发展管理办法》要求提供中小企业声明函。</w:t>
            </w:r>
          </w:p>
          <w:p>
            <w:pPr>
              <w:pStyle w:val="2"/>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（2）关于监狱企业：视同小微企业。须提供由省级以上监狱管理局、戒毒管理局（含新疆生产建设兵团）出具的属于监狱企业的证明文件，否则不考虑价格扣除。</w:t>
            </w:r>
          </w:p>
          <w:p>
            <w:pPr>
              <w:pStyle w:val="2"/>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hint="eastAsia" w:ascii="宋体" w:hAnsi="宋体" w:eastAsia="宋体" w:cs="宋体"/>
                <w:sz w:val="24"/>
                <w:highlight w:val="none"/>
              </w:rPr>
            </w:pPr>
            <w:r>
              <w:rPr>
                <w:rFonts w:hint="eastAsia" w:ascii="宋体" w:hAnsi="宋体" w:eastAsia="宋体" w:cs="宋体"/>
                <w:bCs/>
                <w:sz w:val="24"/>
                <w:szCs w:val="20"/>
                <w:highlight w:val="none"/>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1058" w:hRule="atLeast"/>
          <w:jc w:val="center"/>
        </w:trPr>
        <w:tc>
          <w:tcPr>
            <w:tcW w:w="1695"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sz w:val="24"/>
                <w:highlight w:val="none"/>
              </w:rPr>
            </w:pPr>
            <w:r>
              <w:rPr>
                <w:rFonts w:hint="eastAsia" w:ascii="宋体" w:hAnsi="宋体" w:eastAsia="宋体" w:cs="宋体"/>
                <w:sz w:val="24"/>
                <w:highlight w:val="none"/>
              </w:rPr>
              <w:t>技术方案(40分)</w:t>
            </w:r>
          </w:p>
          <w:p>
            <w:pPr>
              <w:jc w:val="center"/>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项目实施方案（10分）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供应商需熟悉气象灾害风险普查项目内容，有项目施工方案得10分，缺项不得分。</w:t>
            </w:r>
          </w:p>
        </w:tc>
      </w:tr>
      <w:tr>
        <w:tblPrEx>
          <w:tblCellMar>
            <w:top w:w="0" w:type="dxa"/>
            <w:left w:w="108" w:type="dxa"/>
            <w:bottom w:w="0" w:type="dxa"/>
            <w:right w:w="108" w:type="dxa"/>
          </w:tblCellMar>
        </w:tblPrEx>
        <w:trPr>
          <w:trHeight w:val="1058" w:hRule="atLeast"/>
          <w:jc w:val="center"/>
        </w:trPr>
        <w:tc>
          <w:tcPr>
            <w:tcW w:w="1695" w:type="dxa"/>
            <w:vMerge w:val="continue"/>
            <w:tcBorders>
              <w:left w:val="single" w:color="auto" w:sz="4" w:space="0"/>
              <w:right w:val="single" w:color="auto" w:sz="4" w:space="0"/>
            </w:tcBorders>
            <w:vAlign w:val="center"/>
          </w:tcPr>
          <w:p>
            <w:pPr>
              <w:widowControl/>
              <w:jc w:val="left"/>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气象资料可信性证明（10分）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开展气象灾害风险普查需要真实的、可靠的气象观测资料。供应商有气象主管部门出具的资料可信性证明得10分，不提供不得分。</w:t>
            </w:r>
          </w:p>
        </w:tc>
      </w:tr>
      <w:tr>
        <w:tblPrEx>
          <w:tblCellMar>
            <w:top w:w="0" w:type="dxa"/>
            <w:left w:w="108" w:type="dxa"/>
            <w:bottom w:w="0" w:type="dxa"/>
            <w:right w:w="108" w:type="dxa"/>
          </w:tblCellMar>
        </w:tblPrEx>
        <w:trPr>
          <w:trHeight w:val="1058" w:hRule="atLeast"/>
          <w:jc w:val="center"/>
        </w:trPr>
        <w:tc>
          <w:tcPr>
            <w:tcW w:w="1695" w:type="dxa"/>
            <w:vMerge w:val="continue"/>
            <w:tcBorders>
              <w:left w:val="single" w:color="auto" w:sz="4" w:space="0"/>
              <w:right w:val="single" w:color="auto" w:sz="4" w:space="0"/>
            </w:tcBorders>
            <w:vAlign w:val="center"/>
          </w:tcPr>
          <w:p>
            <w:pPr>
              <w:widowControl/>
              <w:jc w:val="left"/>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风险普查进度控制（10分）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有风险普查进度控制得10分，不提供不得分。</w:t>
            </w:r>
          </w:p>
        </w:tc>
      </w:tr>
      <w:tr>
        <w:tblPrEx>
          <w:tblCellMar>
            <w:top w:w="0" w:type="dxa"/>
            <w:left w:w="108" w:type="dxa"/>
            <w:bottom w:w="0" w:type="dxa"/>
            <w:right w:w="108" w:type="dxa"/>
          </w:tblCellMar>
        </w:tblPrEx>
        <w:trPr>
          <w:trHeight w:val="1058" w:hRule="atLeast"/>
          <w:jc w:val="center"/>
        </w:trPr>
        <w:tc>
          <w:tcPr>
            <w:tcW w:w="1695" w:type="dxa"/>
            <w:vMerge w:val="continue"/>
            <w:tcBorders>
              <w:left w:val="single" w:color="auto" w:sz="4" w:space="0"/>
              <w:right w:val="single" w:color="auto" w:sz="4" w:space="0"/>
            </w:tcBorders>
            <w:vAlign w:val="center"/>
          </w:tcPr>
          <w:p>
            <w:pPr>
              <w:widowControl/>
              <w:jc w:val="left"/>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确保成果完成措施（10分）</w:t>
            </w:r>
          </w:p>
        </w:tc>
        <w:tc>
          <w:tcPr>
            <w:tcW w:w="5179" w:type="dxa"/>
            <w:gridSpan w:val="2"/>
            <w:tcBorders>
              <w:top w:val="single" w:color="auto" w:sz="4" w:space="0"/>
              <w:left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有确保普查成果完成措施。普查成果须通过主管部门评审，协助采购人办理相关批复文件。得10分，不提供不得分。</w:t>
            </w:r>
          </w:p>
        </w:tc>
      </w:tr>
      <w:tr>
        <w:tblPrEx>
          <w:tblCellMar>
            <w:top w:w="0" w:type="dxa"/>
            <w:left w:w="108" w:type="dxa"/>
            <w:bottom w:w="0" w:type="dxa"/>
            <w:right w:w="108" w:type="dxa"/>
          </w:tblCellMar>
        </w:tblPrEx>
        <w:trPr>
          <w:trHeight w:val="1149" w:hRule="atLeast"/>
          <w:jc w:val="center"/>
        </w:trPr>
        <w:tc>
          <w:tcPr>
            <w:tcW w:w="1695" w:type="dxa"/>
            <w:vMerge w:val="restart"/>
            <w:tcBorders>
              <w:top w:val="single" w:color="auto" w:sz="4" w:space="0"/>
              <w:left w:val="single" w:color="auto" w:sz="4" w:space="0"/>
              <w:right w:val="single" w:color="auto" w:sz="4" w:space="0"/>
            </w:tcBorders>
            <w:vAlign w:val="center"/>
          </w:tcPr>
          <w:p>
            <w:pPr>
              <w:rPr>
                <w:rFonts w:hint="eastAsia" w:ascii="宋体" w:hAnsi="宋体" w:eastAsia="宋体" w:cs="宋体"/>
                <w:sz w:val="24"/>
                <w:highlight w:val="none"/>
              </w:rPr>
            </w:pPr>
            <w:r>
              <w:rPr>
                <w:rFonts w:hint="eastAsia" w:ascii="宋体" w:hAnsi="宋体" w:eastAsia="宋体" w:cs="宋体"/>
                <w:sz w:val="24"/>
                <w:highlight w:val="none"/>
              </w:rPr>
              <w:t>综合（30分）</w:t>
            </w:r>
          </w:p>
          <w:p>
            <w:pPr>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企业业绩（7分）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提供2019年1月1日以来供应商承担过气象行业服务项目的，每有一项得3.5分，最多得7分。（响应文件中提供中标通知书，缺项不得分）</w:t>
            </w:r>
          </w:p>
        </w:tc>
      </w:tr>
      <w:tr>
        <w:tblPrEx>
          <w:tblCellMar>
            <w:top w:w="0" w:type="dxa"/>
            <w:left w:w="108" w:type="dxa"/>
            <w:bottom w:w="0" w:type="dxa"/>
            <w:right w:w="108" w:type="dxa"/>
          </w:tblCellMar>
        </w:tblPrEx>
        <w:trPr>
          <w:trHeight w:val="1407" w:hRule="atLeast"/>
          <w:jc w:val="center"/>
        </w:trPr>
        <w:tc>
          <w:tcPr>
            <w:tcW w:w="1695" w:type="dxa"/>
            <w:vMerge w:val="continue"/>
            <w:tcBorders>
              <w:left w:val="single" w:color="auto" w:sz="4" w:space="0"/>
              <w:right w:val="single" w:color="auto" w:sz="4" w:space="0"/>
            </w:tcBorders>
            <w:vAlign w:val="center"/>
          </w:tcPr>
          <w:p>
            <w:pPr>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人员实力（15分）</w:t>
            </w:r>
          </w:p>
        </w:tc>
        <w:tc>
          <w:tcPr>
            <w:tcW w:w="517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拟派驻项目的技术人员拥有气象及相关专业</w:t>
            </w:r>
            <w:r>
              <w:rPr>
                <w:rFonts w:hint="eastAsia" w:ascii="宋体" w:hAnsi="宋体" w:cs="宋体"/>
                <w:bCs/>
                <w:sz w:val="24"/>
                <w:szCs w:val="20"/>
                <w:highlight w:val="none"/>
                <w:lang w:val="en-US" w:eastAsia="zh-CN"/>
              </w:rPr>
              <w:t>工程师</w:t>
            </w:r>
            <w:r>
              <w:rPr>
                <w:rFonts w:hint="eastAsia" w:ascii="宋体" w:hAnsi="宋体" w:eastAsia="宋体" w:cs="宋体"/>
                <w:bCs/>
                <w:sz w:val="24"/>
                <w:szCs w:val="20"/>
                <w:highlight w:val="none"/>
              </w:rPr>
              <w:t>职称证书，（除项目负责人以外）每有1人得3分，最多得15分。（响应文件中提供相关职称证书</w:t>
            </w:r>
            <w:r>
              <w:rPr>
                <w:rFonts w:hint="eastAsia" w:ascii="宋体" w:hAnsi="宋体" w:cs="宋体"/>
                <w:bCs/>
                <w:sz w:val="24"/>
                <w:szCs w:val="20"/>
                <w:highlight w:val="none"/>
                <w:lang w:val="en-US" w:eastAsia="zh-CN"/>
              </w:rPr>
              <w:t>和劳务合同</w:t>
            </w:r>
            <w:r>
              <w:rPr>
                <w:rFonts w:hint="eastAsia" w:ascii="宋体" w:hAnsi="宋体" w:eastAsia="宋体" w:cs="宋体"/>
                <w:bCs/>
                <w:sz w:val="24"/>
                <w:szCs w:val="20"/>
                <w:highlight w:val="none"/>
              </w:rPr>
              <w:t>；缺项或者未提供不得分）</w:t>
            </w:r>
          </w:p>
        </w:tc>
      </w:tr>
      <w:tr>
        <w:tblPrEx>
          <w:tblCellMar>
            <w:top w:w="0" w:type="dxa"/>
            <w:left w:w="108" w:type="dxa"/>
            <w:bottom w:w="0" w:type="dxa"/>
            <w:right w:w="108" w:type="dxa"/>
          </w:tblCellMar>
        </w:tblPrEx>
        <w:trPr>
          <w:trHeight w:val="1068" w:hRule="atLeast"/>
          <w:jc w:val="center"/>
        </w:trPr>
        <w:tc>
          <w:tcPr>
            <w:tcW w:w="1695" w:type="dxa"/>
            <w:vMerge w:val="continue"/>
            <w:tcBorders>
              <w:left w:val="single" w:color="auto" w:sz="4" w:space="0"/>
              <w:bottom w:val="single" w:color="auto" w:sz="4" w:space="0"/>
              <w:right w:val="single" w:color="auto" w:sz="4" w:space="0"/>
            </w:tcBorders>
            <w:vAlign w:val="center"/>
          </w:tcPr>
          <w:p>
            <w:pPr>
              <w:rPr>
                <w:rFonts w:hint="eastAsia" w:ascii="宋体" w:hAnsi="宋体" w:eastAsia="宋体" w:cs="宋体"/>
                <w:sz w:val="24"/>
                <w:highlight w:val="none"/>
              </w:rPr>
            </w:pPr>
          </w:p>
        </w:tc>
        <w:tc>
          <w:tcPr>
            <w:tcW w:w="116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服务承诺（8分）</w:t>
            </w:r>
          </w:p>
          <w:p>
            <w:pPr>
              <w:widowControl/>
              <w:snapToGrid w:val="0"/>
              <w:spacing w:line="276" w:lineRule="auto"/>
              <w:jc w:val="left"/>
              <w:rPr>
                <w:rFonts w:hint="eastAsia" w:ascii="宋体" w:hAnsi="宋体" w:eastAsia="宋体" w:cs="宋体"/>
                <w:bCs/>
                <w:sz w:val="24"/>
                <w:szCs w:val="20"/>
                <w:highlight w:val="none"/>
              </w:rPr>
            </w:pPr>
          </w:p>
        </w:tc>
        <w:tc>
          <w:tcPr>
            <w:tcW w:w="51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hint="eastAsia" w:ascii="宋体" w:hAnsi="宋体" w:eastAsia="宋体" w:cs="宋体"/>
                <w:bCs/>
                <w:sz w:val="24"/>
                <w:szCs w:val="20"/>
                <w:highlight w:val="none"/>
              </w:rPr>
            </w:pPr>
            <w:r>
              <w:rPr>
                <w:rFonts w:hint="eastAsia" w:ascii="宋体" w:hAnsi="宋体" w:eastAsia="宋体" w:cs="宋体"/>
                <w:bCs/>
                <w:sz w:val="24"/>
                <w:szCs w:val="20"/>
                <w:highlight w:val="none"/>
              </w:rPr>
              <w:t>服务承诺包含但不限于重点承诺项目的保障措施、处罚措施、服务方案得8分。不提供不得分。</w:t>
            </w:r>
          </w:p>
        </w:tc>
      </w:tr>
    </w:tbl>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pPr>
        <w:pStyle w:val="3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hint="eastAsia" w:ascii="宋体" w:hAnsi="宋体" w:eastAsia="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宋体" w:hAnsi="宋体" w:eastAsia="宋体" w:cs="宋体"/>
          <w:b/>
          <w:color w:val="auto"/>
          <w:sz w:val="24"/>
          <w:highlight w:val="none"/>
        </w:rPr>
      </w:pPr>
      <w:bookmarkStart w:id="2" w:name="_Toc9112"/>
      <w:r>
        <w:rPr>
          <w:rFonts w:hint="eastAsia" w:ascii="宋体" w:hAnsi="宋体" w:eastAsia="宋体" w:cs="宋体"/>
          <w:b/>
          <w:color w:val="auto"/>
          <w:sz w:val="24"/>
          <w:highlight w:val="none"/>
        </w:rPr>
        <w:t>第三章 采购项目内容及要求</w:t>
      </w:r>
      <w:bookmarkEnd w:id="2"/>
    </w:p>
    <w:p>
      <w:pPr>
        <w:spacing w:line="480" w:lineRule="auto"/>
        <w:ind w:left="42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rPr>
        <w:t>1、</w:t>
      </w:r>
      <w:r>
        <w:rPr>
          <w:rStyle w:val="66"/>
          <w:rFonts w:hint="eastAsia" w:ascii="宋体" w:hAnsi="宋体" w:eastAsia="宋体" w:cs="宋体"/>
          <w:color w:val="auto"/>
          <w:sz w:val="24"/>
          <w:highlight w:val="none"/>
          <w:lang w:val="zh-CN"/>
        </w:rPr>
        <w:t>本项目采购内容：</w:t>
      </w:r>
    </w:p>
    <w:p>
      <w:pPr>
        <w:pStyle w:val="3"/>
        <w:kinsoku w:val="0"/>
        <w:ind w:right="2228"/>
        <w:rPr>
          <w:rFonts w:hint="eastAsia" w:ascii="宋体" w:hAnsi="宋体" w:eastAsia="宋体" w:cs="宋体"/>
          <w:b/>
          <w:bCs/>
          <w:sz w:val="22"/>
          <w:szCs w:val="32"/>
          <w:highlight w:val="none"/>
        </w:rPr>
      </w:pPr>
      <w:r>
        <w:rPr>
          <w:rFonts w:hint="eastAsia" w:ascii="宋体" w:hAnsi="宋体" w:eastAsia="宋体" w:cs="宋体"/>
          <w:b/>
          <w:bCs/>
          <w:sz w:val="22"/>
          <w:szCs w:val="32"/>
          <w:highlight w:val="none"/>
        </w:rPr>
        <w:t>一、采购需求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（一）、评估与论证本次数据收集范围</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1、普查灾种</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本次普查的气象灾害主要有暴雨、干旱、高温、低温、大风、冰雹、雪灾和雷电等8种。</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2、普查时空范围</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普查空间范围：灾害风险普查实施范围为</w:t>
      </w:r>
      <w:r>
        <w:rPr>
          <w:rFonts w:hint="eastAsia" w:ascii="宋体" w:hAnsi="宋体" w:eastAsia="宋体" w:cs="宋体"/>
          <w:sz w:val="24"/>
          <w:szCs w:val="24"/>
          <w:highlight w:val="none"/>
          <w:lang w:val="en-US" w:eastAsia="zh-CN"/>
        </w:rPr>
        <w:t>扶沟县</w:t>
      </w:r>
      <w:r>
        <w:rPr>
          <w:rFonts w:hint="eastAsia" w:ascii="宋体" w:hAnsi="宋体" w:eastAsia="宋体" w:cs="宋体"/>
          <w:sz w:val="24"/>
          <w:szCs w:val="24"/>
          <w:highlight w:val="none"/>
        </w:rPr>
        <w:t>。</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普查时间范围：气象灾害致灾因子调查收集1978-2020年连续的数据资料。如建站时间晚于1978年，收集建站以来到2020年的数据资料，相关信息更新至2020年12月31日。1978年之前发生的特别重大气象灾害，可通过综合文献收集相关资料，按需开展普查。</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3、普查内容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根据《全国气象灾害综合风险普查实施方案》，主要负责气象灾害致灾调查和评估，气象灾害的风险评估与区划两部分。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（二）、评估与论证依据</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1、《中华人民共和国气象法》</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2、《气象灾害防御条例》（国务院令第570号）</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3、《河南省气象灾害防御条例》。</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4、《河南省第一次气象灾害综合风险普查实施方案》</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5、其他相关规范、标准、评估与论证成果等。</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（三）、工作内容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1、气象灾害致灾调查与评估</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w:t>
      </w:r>
      <w:r>
        <w:rPr>
          <w:rFonts w:hint="eastAsia" w:ascii="宋体" w:hAnsi="宋体" w:cs="宋体"/>
          <w:sz w:val="24"/>
          <w:szCs w:val="24"/>
          <w:highlight w:val="none"/>
          <w:lang w:val="en-US" w:eastAsia="zh-CN"/>
        </w:rPr>
        <w:t>县级</w:t>
      </w:r>
      <w:r>
        <w:rPr>
          <w:rFonts w:hint="eastAsia" w:ascii="宋体" w:hAnsi="宋体" w:eastAsia="宋体" w:cs="宋体"/>
          <w:sz w:val="24"/>
          <w:szCs w:val="24"/>
          <w:highlight w:val="none"/>
        </w:rPr>
        <w:t>为基本单元，开展气象灾害的特征调查和致灾孕灾要素分析，针对主要气象灾害引发的人口伤亡、农作物受灾、直接经济损失影响，全面获取</w:t>
      </w:r>
      <w:r>
        <w:rPr>
          <w:rFonts w:hint="eastAsia" w:ascii="宋体" w:hAnsi="宋体" w:eastAsia="宋体" w:cs="宋体"/>
          <w:sz w:val="24"/>
          <w:szCs w:val="24"/>
          <w:highlight w:val="none"/>
          <w:lang w:val="en-US" w:eastAsia="zh-CN"/>
        </w:rPr>
        <w:t>扶沟县</w:t>
      </w:r>
      <w:r>
        <w:rPr>
          <w:rFonts w:hint="eastAsia" w:ascii="宋体" w:hAnsi="宋体" w:eastAsia="宋体" w:cs="宋体"/>
          <w:sz w:val="24"/>
          <w:szCs w:val="24"/>
          <w:highlight w:val="none"/>
        </w:rPr>
        <w:t>主要气象灾害的致灾因子信息、特定承灾体致灾阈值，评估主要气象灾害的致灾因子危险性等级，建立主要气象灾害危险性基础数据库。编制</w:t>
      </w:r>
      <w:r>
        <w:rPr>
          <w:rFonts w:hint="eastAsia" w:ascii="宋体" w:hAnsi="宋体" w:cs="宋体"/>
          <w:sz w:val="24"/>
          <w:szCs w:val="24"/>
          <w:highlight w:val="none"/>
          <w:lang w:val="en-US" w:eastAsia="zh-CN"/>
        </w:rPr>
        <w:t>县级</w:t>
      </w:r>
      <w:r>
        <w:rPr>
          <w:rFonts w:hint="eastAsia" w:ascii="宋体" w:hAnsi="宋体" w:eastAsia="宋体" w:cs="宋体"/>
          <w:sz w:val="24"/>
          <w:szCs w:val="24"/>
          <w:highlight w:val="none"/>
        </w:rPr>
        <w:t>1:10万主要气象灾害危险性区划等专业图件。</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气象灾害风险评估与区划针对暴雨、干旱、高温、低温、大风、冰雹、雪灾和雷电灾害，评估气象灾害影响下人口、经济产值、农作物等主要承灾体脆弱性；评估不同重现期危险性水平下各类承灾体遭受主要气象灾害的风险水平，编制各类气象灾害的风险区划方案。</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（四）、成果要求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1、总体要求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（1）所有评估和论证成果数据成果应包括电子表格和相应的基础数据库。</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（2）所有评估和论证成果数据成果需配备说明，文字说明和标注均须采用中文版本。</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（3）评估和论证成果需采用符合国家有关法规或相关部门规章、技术要求。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（4）评估和论证成果满足气象主管部门报批要求。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2、成果形式</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规划成果应为电子成果。</w:t>
      </w:r>
    </w:p>
    <w:p>
      <w:pPr>
        <w:widowControl/>
        <w:kinsoku w:val="0"/>
        <w:autoSpaceDE w:val="0"/>
        <w:autoSpaceDN w:val="0"/>
        <w:adjustRightInd w:val="0"/>
        <w:snapToGrid w:val="0"/>
        <w:spacing w:line="53" w:lineRule="exact"/>
        <w:jc w:val="left"/>
        <w:textAlignment w:val="baseline"/>
        <w:rPr>
          <w:rFonts w:hint="eastAsia" w:ascii="宋体" w:hAnsi="宋体" w:eastAsia="宋体" w:cs="宋体"/>
          <w:snapToGrid w:val="0"/>
          <w:color w:val="000000"/>
          <w:kern w:val="0"/>
          <w:szCs w:val="21"/>
          <w:highlight w:val="none"/>
        </w:rPr>
      </w:pPr>
    </w:p>
    <w:tbl>
      <w:tblPr>
        <w:tblStyle w:val="80"/>
        <w:tblW w:w="9090" w:type="dxa"/>
        <w:tblInd w:w="1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740"/>
        <w:gridCol w:w="1051"/>
        <w:gridCol w:w="751"/>
        <w:gridCol w:w="825"/>
        <w:gridCol w:w="3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64" w:type="dxa"/>
            <w:noWrap w:val="0"/>
            <w:vAlign w:val="top"/>
          </w:tcPr>
          <w:p>
            <w:pPr>
              <w:widowControl/>
              <w:kinsoku w:val="0"/>
              <w:autoSpaceDE w:val="0"/>
              <w:autoSpaceDN w:val="0"/>
              <w:adjustRightInd w:val="0"/>
              <w:snapToGrid w:val="0"/>
              <w:spacing w:before="261" w:line="204" w:lineRule="auto"/>
              <w:ind w:firstLine="145"/>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序号</w:t>
            </w:r>
          </w:p>
        </w:tc>
        <w:tc>
          <w:tcPr>
            <w:tcW w:w="1740" w:type="dxa"/>
            <w:noWrap w:val="0"/>
            <w:vAlign w:val="top"/>
          </w:tcPr>
          <w:p>
            <w:pPr>
              <w:widowControl/>
              <w:kinsoku w:val="0"/>
              <w:autoSpaceDE w:val="0"/>
              <w:autoSpaceDN w:val="0"/>
              <w:adjustRightInd w:val="0"/>
              <w:snapToGrid w:val="0"/>
              <w:spacing w:before="261" w:line="204" w:lineRule="auto"/>
              <w:ind w:firstLine="396"/>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成果内容</w:t>
            </w:r>
          </w:p>
        </w:tc>
        <w:tc>
          <w:tcPr>
            <w:tcW w:w="1051" w:type="dxa"/>
            <w:noWrap w:val="0"/>
            <w:vAlign w:val="top"/>
          </w:tcPr>
          <w:p>
            <w:pPr>
              <w:widowControl/>
              <w:kinsoku w:val="0"/>
              <w:autoSpaceDE w:val="0"/>
              <w:autoSpaceDN w:val="0"/>
              <w:adjustRightInd w:val="0"/>
              <w:snapToGrid w:val="0"/>
              <w:spacing w:before="261" w:line="204" w:lineRule="auto"/>
              <w:ind w:firstLine="29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规格</w:t>
            </w:r>
          </w:p>
        </w:tc>
        <w:tc>
          <w:tcPr>
            <w:tcW w:w="751" w:type="dxa"/>
            <w:noWrap w:val="0"/>
            <w:vAlign w:val="top"/>
          </w:tcPr>
          <w:p>
            <w:pPr>
              <w:widowControl/>
              <w:kinsoku w:val="0"/>
              <w:autoSpaceDE w:val="0"/>
              <w:autoSpaceDN w:val="0"/>
              <w:adjustRightInd w:val="0"/>
              <w:snapToGrid w:val="0"/>
              <w:spacing w:before="261" w:line="204" w:lineRule="auto"/>
              <w:ind w:firstLine="141"/>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单位</w:t>
            </w:r>
          </w:p>
        </w:tc>
        <w:tc>
          <w:tcPr>
            <w:tcW w:w="825" w:type="dxa"/>
            <w:noWrap w:val="0"/>
            <w:vAlign w:val="top"/>
          </w:tcPr>
          <w:p>
            <w:pPr>
              <w:widowControl/>
              <w:kinsoku w:val="0"/>
              <w:autoSpaceDE w:val="0"/>
              <w:autoSpaceDN w:val="0"/>
              <w:adjustRightInd w:val="0"/>
              <w:snapToGrid w:val="0"/>
              <w:spacing w:before="261" w:line="204" w:lineRule="auto"/>
              <w:ind w:firstLine="178"/>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数量</w:t>
            </w:r>
          </w:p>
        </w:tc>
        <w:tc>
          <w:tcPr>
            <w:tcW w:w="3959" w:type="dxa"/>
            <w:noWrap w:val="0"/>
            <w:vAlign w:val="top"/>
          </w:tcPr>
          <w:p>
            <w:pPr>
              <w:widowControl/>
              <w:kinsoku w:val="0"/>
              <w:autoSpaceDE w:val="0"/>
              <w:autoSpaceDN w:val="0"/>
              <w:adjustRightInd w:val="0"/>
              <w:snapToGrid w:val="0"/>
              <w:spacing w:before="261" w:line="204" w:lineRule="auto"/>
              <w:ind w:firstLine="1747"/>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4"/>
                <w:kern w:val="0"/>
                <w:sz w:val="24"/>
                <w:szCs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64" w:type="dxa"/>
            <w:noWrap w:val="0"/>
            <w:vAlign w:val="top"/>
          </w:tcPr>
          <w:p>
            <w:pPr>
              <w:widowControl/>
              <w:kinsoku w:val="0"/>
              <w:autoSpaceDE w:val="0"/>
              <w:autoSpaceDN w:val="0"/>
              <w:adjustRightInd w:val="0"/>
              <w:snapToGrid w:val="0"/>
              <w:spacing w:before="301" w:line="204" w:lineRule="auto"/>
              <w:ind w:firstLine="344"/>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1</w:t>
            </w:r>
          </w:p>
        </w:tc>
        <w:tc>
          <w:tcPr>
            <w:tcW w:w="1740" w:type="dxa"/>
            <w:noWrap w:val="0"/>
            <w:vAlign w:val="top"/>
          </w:tcPr>
          <w:p>
            <w:pPr>
              <w:widowControl/>
              <w:kinsoku w:val="0"/>
              <w:autoSpaceDE w:val="0"/>
              <w:autoSpaceDN w:val="0"/>
              <w:adjustRightInd w:val="0"/>
              <w:snapToGrid w:val="0"/>
              <w:spacing w:before="261" w:line="204" w:lineRule="auto"/>
              <w:ind w:firstLine="182"/>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6"/>
                <w:kern w:val="0"/>
                <w:sz w:val="24"/>
                <w:szCs w:val="24"/>
                <w:highlight w:val="none"/>
              </w:rPr>
              <w:t>电子数据成果</w:t>
            </w:r>
          </w:p>
        </w:tc>
        <w:tc>
          <w:tcPr>
            <w:tcW w:w="1051" w:type="dxa"/>
            <w:noWrap w:val="0"/>
            <w:vAlign w:val="top"/>
          </w:tcPr>
          <w:p>
            <w:pPr>
              <w:widowControl/>
              <w:kinsoku w:val="0"/>
              <w:autoSpaceDE w:val="0"/>
              <w:autoSpaceDN w:val="0"/>
              <w:adjustRightInd w:val="0"/>
              <w:snapToGrid w:val="0"/>
              <w:spacing w:before="261" w:line="204" w:lineRule="auto"/>
              <w:ind w:firstLine="171"/>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3"/>
                <w:kern w:val="0"/>
                <w:sz w:val="24"/>
                <w:szCs w:val="24"/>
                <w:highlight w:val="none"/>
              </w:rPr>
              <w:t>数据集</w:t>
            </w:r>
          </w:p>
        </w:tc>
        <w:tc>
          <w:tcPr>
            <w:tcW w:w="751" w:type="dxa"/>
            <w:noWrap w:val="0"/>
            <w:vAlign w:val="top"/>
          </w:tcPr>
          <w:p>
            <w:pPr>
              <w:widowControl/>
              <w:kinsoku w:val="0"/>
              <w:autoSpaceDE w:val="0"/>
              <w:autoSpaceDN w:val="0"/>
              <w:adjustRightInd w:val="0"/>
              <w:snapToGrid w:val="0"/>
              <w:spacing w:before="261" w:line="204" w:lineRule="auto"/>
              <w:ind w:firstLine="26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套</w:t>
            </w:r>
          </w:p>
        </w:tc>
        <w:tc>
          <w:tcPr>
            <w:tcW w:w="825" w:type="dxa"/>
            <w:noWrap w:val="0"/>
            <w:vAlign w:val="top"/>
          </w:tcPr>
          <w:p>
            <w:pPr>
              <w:widowControl/>
              <w:kinsoku w:val="0"/>
              <w:autoSpaceDE w:val="0"/>
              <w:autoSpaceDN w:val="0"/>
              <w:adjustRightInd w:val="0"/>
              <w:snapToGrid w:val="0"/>
              <w:spacing w:before="301" w:line="204" w:lineRule="auto"/>
              <w:ind w:firstLine="357"/>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8</w:t>
            </w:r>
          </w:p>
        </w:tc>
        <w:tc>
          <w:tcPr>
            <w:tcW w:w="3959" w:type="dxa"/>
            <w:noWrap w:val="0"/>
            <w:vAlign w:val="top"/>
          </w:tcPr>
          <w:p>
            <w:pPr>
              <w:widowControl/>
              <w:kinsoku w:val="0"/>
              <w:autoSpaceDE w:val="0"/>
              <w:autoSpaceDN w:val="0"/>
              <w:adjustRightInd w:val="0"/>
              <w:snapToGrid w:val="0"/>
              <w:spacing w:before="261" w:line="204" w:lineRule="auto"/>
              <w:ind w:firstLine="1024"/>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2"/>
                <w:kern w:val="0"/>
                <w:sz w:val="24"/>
                <w:szCs w:val="24"/>
                <w:highlight w:val="none"/>
              </w:rPr>
              <w:t>包括数据说明文本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764" w:type="dxa"/>
            <w:noWrap w:val="0"/>
            <w:vAlign w:val="top"/>
          </w:tcPr>
          <w:p>
            <w:pPr>
              <w:widowControl/>
              <w:kinsoku w:val="0"/>
              <w:autoSpaceDE w:val="0"/>
              <w:autoSpaceDN w:val="0"/>
              <w:adjustRightInd w:val="0"/>
              <w:snapToGrid w:val="0"/>
              <w:spacing w:before="301" w:line="204" w:lineRule="auto"/>
              <w:ind w:firstLine="329"/>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2</w:t>
            </w:r>
          </w:p>
        </w:tc>
        <w:tc>
          <w:tcPr>
            <w:tcW w:w="1740" w:type="dxa"/>
            <w:noWrap w:val="0"/>
            <w:vAlign w:val="top"/>
          </w:tcPr>
          <w:p>
            <w:pPr>
              <w:widowControl/>
              <w:kinsoku w:val="0"/>
              <w:autoSpaceDE w:val="0"/>
              <w:autoSpaceDN w:val="0"/>
              <w:adjustRightInd w:val="0"/>
              <w:snapToGrid w:val="0"/>
              <w:spacing w:before="261" w:line="204" w:lineRule="auto"/>
              <w:ind w:firstLine="417"/>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7"/>
                <w:kern w:val="0"/>
                <w:sz w:val="24"/>
                <w:szCs w:val="24"/>
                <w:highlight w:val="none"/>
              </w:rPr>
              <w:t>图件成果</w:t>
            </w:r>
          </w:p>
        </w:tc>
        <w:tc>
          <w:tcPr>
            <w:tcW w:w="1051" w:type="dxa"/>
            <w:noWrap w:val="0"/>
            <w:vAlign w:val="top"/>
          </w:tcPr>
          <w:p>
            <w:pPr>
              <w:widowControl/>
              <w:kinsoku w:val="0"/>
              <w:autoSpaceDE w:val="0"/>
              <w:autoSpaceDN w:val="0"/>
              <w:adjustRightInd w:val="0"/>
              <w:snapToGrid w:val="0"/>
              <w:spacing w:before="261" w:line="204" w:lineRule="auto"/>
              <w:ind w:firstLine="432"/>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图</w:t>
            </w:r>
          </w:p>
        </w:tc>
        <w:tc>
          <w:tcPr>
            <w:tcW w:w="751" w:type="dxa"/>
            <w:noWrap w:val="0"/>
            <w:vAlign w:val="top"/>
          </w:tcPr>
          <w:p>
            <w:pPr>
              <w:widowControl/>
              <w:kinsoku w:val="0"/>
              <w:autoSpaceDE w:val="0"/>
              <w:autoSpaceDN w:val="0"/>
              <w:adjustRightInd w:val="0"/>
              <w:snapToGrid w:val="0"/>
              <w:spacing w:before="261" w:line="204" w:lineRule="auto"/>
              <w:ind w:firstLine="26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套</w:t>
            </w:r>
          </w:p>
        </w:tc>
        <w:tc>
          <w:tcPr>
            <w:tcW w:w="825" w:type="dxa"/>
            <w:noWrap w:val="0"/>
            <w:vAlign w:val="top"/>
          </w:tcPr>
          <w:p>
            <w:pPr>
              <w:widowControl/>
              <w:kinsoku w:val="0"/>
              <w:autoSpaceDE w:val="0"/>
              <w:autoSpaceDN w:val="0"/>
              <w:adjustRightInd w:val="0"/>
              <w:snapToGrid w:val="0"/>
              <w:spacing w:before="301" w:line="204" w:lineRule="auto"/>
              <w:ind w:firstLine="357"/>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8</w:t>
            </w:r>
          </w:p>
        </w:tc>
        <w:tc>
          <w:tcPr>
            <w:tcW w:w="3959" w:type="dxa"/>
            <w:noWrap w:val="0"/>
            <w:vAlign w:val="top"/>
          </w:tcPr>
          <w:p>
            <w:pPr>
              <w:widowControl/>
              <w:kinsoku w:val="0"/>
              <w:autoSpaceDE w:val="0"/>
              <w:autoSpaceDN w:val="0"/>
              <w:adjustRightInd w:val="0"/>
              <w:snapToGrid w:val="0"/>
              <w:spacing w:before="81" w:line="204" w:lineRule="auto"/>
              <w:ind w:firstLine="244"/>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1"/>
                <w:kern w:val="0"/>
                <w:sz w:val="24"/>
                <w:szCs w:val="24"/>
                <w:highlight w:val="none"/>
              </w:rPr>
              <w:t>包括8种气象灾害危险性评估与区</w:t>
            </w:r>
          </w:p>
          <w:p>
            <w:pPr>
              <w:widowControl/>
              <w:kinsoku w:val="0"/>
              <w:autoSpaceDE w:val="0"/>
              <w:autoSpaceDN w:val="0"/>
              <w:adjustRightInd w:val="0"/>
              <w:snapToGrid w:val="0"/>
              <w:spacing w:before="94" w:line="204" w:lineRule="auto"/>
              <w:ind w:firstLine="663"/>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spacing w:val="-1"/>
                <w:kern w:val="0"/>
                <w:sz w:val="24"/>
                <w:szCs w:val="24"/>
                <w:highlight w:val="none"/>
              </w:rPr>
              <w:t>划图、风险评估和区划图</w:t>
            </w:r>
          </w:p>
        </w:tc>
      </w:tr>
    </w:tbl>
    <w:p>
      <w:pPr>
        <w:widowControl/>
        <w:kinsoku w:val="0"/>
        <w:autoSpaceDE w:val="0"/>
        <w:autoSpaceDN w:val="0"/>
        <w:adjustRightInd w:val="0"/>
        <w:snapToGrid w:val="0"/>
        <w:spacing w:line="360" w:lineRule="auto"/>
        <w:ind w:left="35" w:right="145" w:firstLine="422"/>
        <w:jc w:val="left"/>
        <w:textAlignment w:val="baseline"/>
        <w:rPr>
          <w:rFonts w:hint="eastAsia" w:ascii="宋体" w:hAnsi="宋体" w:eastAsia="宋体" w:cs="宋体"/>
          <w:snapToGrid w:val="0"/>
          <w:color w:val="000000"/>
          <w:spacing w:val="-1"/>
          <w:kern w:val="0"/>
          <w:sz w:val="24"/>
          <w:szCs w:val="24"/>
          <w:highlight w:val="none"/>
        </w:rPr>
      </w:pPr>
    </w:p>
    <w:p>
      <w:pPr>
        <w:widowControl/>
        <w:kinsoku w:val="0"/>
        <w:autoSpaceDE w:val="0"/>
        <w:autoSpaceDN w:val="0"/>
        <w:adjustRightInd w:val="0"/>
        <w:snapToGrid w:val="0"/>
        <w:spacing w:line="360" w:lineRule="auto"/>
        <w:ind w:left="35" w:right="145" w:firstLine="422"/>
        <w:jc w:val="left"/>
        <w:textAlignment w:val="baseline"/>
        <w:rPr>
          <w:rFonts w:hint="eastAsia" w:ascii="宋体" w:hAnsi="宋体" w:eastAsia="宋体" w:cs="宋体"/>
          <w:snapToGrid w:val="0"/>
          <w:color w:val="000000"/>
          <w:spacing w:val="-1"/>
          <w:kern w:val="0"/>
          <w:sz w:val="24"/>
          <w:szCs w:val="24"/>
          <w:highlight w:val="none"/>
        </w:rPr>
      </w:pPr>
      <w:r>
        <w:rPr>
          <w:rFonts w:hint="eastAsia" w:ascii="宋体" w:hAnsi="宋体" w:eastAsia="宋体" w:cs="宋体"/>
          <w:snapToGrid w:val="0"/>
          <w:color w:val="000000"/>
          <w:spacing w:val="-1"/>
          <w:kern w:val="0"/>
          <w:sz w:val="24"/>
          <w:szCs w:val="24"/>
          <w:highlight w:val="none"/>
        </w:rPr>
        <w:t>供应商须提供气象资料来源可信性证明，并在响应文件中附原件的扫描件，否则实质性要求不通过。</w:t>
      </w:r>
    </w:p>
    <w:p>
      <w:pPr>
        <w:widowControl/>
        <w:kinsoku w:val="0"/>
        <w:autoSpaceDE w:val="0"/>
        <w:autoSpaceDN w:val="0"/>
        <w:adjustRightInd w:val="0"/>
        <w:snapToGrid w:val="0"/>
        <w:spacing w:line="360" w:lineRule="auto"/>
        <w:ind w:left="35" w:right="145" w:firstLine="422"/>
        <w:jc w:val="left"/>
        <w:textAlignment w:val="baseline"/>
        <w:rPr>
          <w:rStyle w:val="66"/>
          <w:rFonts w:hint="eastAsia" w:ascii="宋体" w:hAnsi="宋体" w:eastAsia="宋体" w:cs="宋体"/>
          <w:color w:val="auto"/>
          <w:sz w:val="24"/>
          <w:highlight w:val="none"/>
          <w:lang w:val="zh-CN"/>
        </w:rPr>
      </w:pPr>
      <w:r>
        <w:rPr>
          <w:rFonts w:hint="eastAsia" w:ascii="宋体" w:hAnsi="宋体" w:eastAsia="宋体" w:cs="宋体"/>
          <w:snapToGrid w:val="0"/>
          <w:color w:val="000000"/>
          <w:spacing w:val="-1"/>
          <w:kern w:val="0"/>
          <w:sz w:val="24"/>
          <w:szCs w:val="24"/>
          <w:highlight w:val="none"/>
        </w:rPr>
        <w:t>备注：此次普查须遵守《中华人民共和国保守国家秘密法》、《中华人民共和国统计法》、《中华人民共和国计算机信息系统安全保护条例》、《中华人民共和国计算机信息网络国际联网管理暂行规定》及有关法律法规所规定的保密义务。</w:t>
      </w:r>
    </w:p>
    <w:p>
      <w:pPr>
        <w:spacing w:line="480" w:lineRule="auto"/>
        <w:ind w:left="35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2、服务内容及要求：</w:t>
      </w:r>
    </w:p>
    <w:p>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2.2</w:t>
      </w:r>
      <w:r>
        <w:rPr>
          <w:rStyle w:val="66"/>
          <w:rFonts w:hint="eastAsia" w:ascii="宋体" w:hAnsi="宋体" w:eastAsia="宋体" w:cs="宋体"/>
          <w:color w:val="auto"/>
          <w:sz w:val="24"/>
          <w:highlight w:val="none"/>
        </w:rPr>
        <w:t>服务</w:t>
      </w:r>
      <w:r>
        <w:rPr>
          <w:rStyle w:val="66"/>
          <w:rFonts w:hint="eastAsia" w:ascii="宋体" w:hAnsi="宋体" w:eastAsia="宋体" w:cs="宋体"/>
          <w:color w:val="auto"/>
          <w:sz w:val="24"/>
          <w:highlight w:val="none"/>
          <w:lang w:val="zh-CN"/>
        </w:rPr>
        <w:t>地点：采购人指定地点。</w:t>
      </w:r>
    </w:p>
    <w:p>
      <w:pPr>
        <w:spacing w:line="420" w:lineRule="exact"/>
        <w:ind w:firstLine="480" w:firstLineChars="200"/>
        <w:rPr>
          <w:rStyle w:val="66"/>
          <w:rFonts w:hint="eastAsia" w:ascii="宋体" w:hAnsi="宋体" w:eastAsia="宋体" w:cs="宋体"/>
          <w:color w:val="auto"/>
          <w:sz w:val="24"/>
          <w:highlight w:val="none"/>
          <w:lang w:val="zh-CN" w:eastAsia="zh-CN"/>
        </w:rPr>
      </w:pPr>
      <w:r>
        <w:rPr>
          <w:rStyle w:val="66"/>
          <w:rFonts w:hint="eastAsia" w:ascii="宋体" w:hAnsi="宋体" w:eastAsia="宋体" w:cs="宋体"/>
          <w:color w:val="auto"/>
          <w:sz w:val="24"/>
          <w:highlight w:val="none"/>
          <w:lang w:val="zh-CN"/>
        </w:rPr>
        <w:t>2.3</w:t>
      </w:r>
      <w:r>
        <w:rPr>
          <w:rStyle w:val="66"/>
          <w:rFonts w:hint="eastAsia" w:ascii="宋体" w:hAnsi="宋体" w:eastAsia="宋体" w:cs="宋体"/>
          <w:color w:val="auto"/>
          <w:sz w:val="24"/>
          <w:highlight w:val="none"/>
          <w:lang w:val="zh-CN" w:eastAsia="zh-CN"/>
        </w:rPr>
        <w:t>服务期限：合同签订后30日历天内</w:t>
      </w:r>
    </w:p>
    <w:p>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2.4验收：由最终用户组织验收。</w:t>
      </w:r>
    </w:p>
    <w:p>
      <w:pPr>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br w:type="page"/>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0"/>
        <w:rPr>
          <w:rFonts w:hint="eastAsia" w:ascii="宋体" w:hAnsi="宋体" w:eastAsia="宋体" w:cs="宋体"/>
          <w:color w:val="auto"/>
          <w:sz w:val="24"/>
          <w:highlight w:val="none"/>
        </w:rPr>
      </w:pPr>
      <w:bookmarkStart w:id="3" w:name="_Toc24859"/>
      <w:r>
        <w:rPr>
          <w:rFonts w:hint="eastAsia" w:ascii="宋体" w:hAnsi="宋体" w:eastAsia="宋体" w:cs="宋体"/>
          <w:b/>
          <w:bCs/>
          <w:color w:val="auto"/>
          <w:sz w:val="24"/>
          <w:highlight w:val="none"/>
        </w:rPr>
        <w:t>第四章  响应性文件内容及格式</w:t>
      </w:r>
      <w:bookmarkEnd w:id="3"/>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2.法定代表人本人参加竞争性磋商的，不需提供授权委托书。</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企业营业执照副本及</w:t>
      </w:r>
      <w:r>
        <w:rPr>
          <w:rFonts w:hint="eastAsia" w:ascii="宋体" w:hAnsi="宋体" w:eastAsia="宋体" w:cs="宋体"/>
          <w:color w:val="auto"/>
          <w:kern w:val="0"/>
          <w:sz w:val="24"/>
          <w:highlight w:val="none"/>
        </w:rPr>
        <w:t>资格性证明材料</w:t>
      </w:r>
    </w:p>
    <w:p>
      <w:pPr>
        <w:pStyle w:val="3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格式2-2</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同志，系我单位法定代表人，任职务。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w:t>
            </w:r>
          </w:p>
          <w:p>
            <w:pPr>
              <w:spacing w:line="480" w:lineRule="exact"/>
              <w:rPr>
                <w:rFonts w:hint="eastAsia" w:ascii="宋体" w:hAnsi="宋体" w:eastAsia="宋体" w:cs="宋体"/>
                <w:color w:val="auto"/>
                <w:sz w:val="24"/>
                <w:highlight w:val="none"/>
              </w:rPr>
            </w:pPr>
          </w:p>
          <w:p>
            <w:pPr>
              <w:spacing w:line="480" w:lineRule="exact"/>
              <w:rPr>
                <w:rFonts w:hint="eastAsia" w:ascii="宋体" w:hAnsi="宋体" w:eastAsia="宋体" w:cs="宋体"/>
                <w:color w:val="auto"/>
                <w:sz w:val="24"/>
                <w:highlight w:val="none"/>
              </w:rPr>
            </w:pPr>
          </w:p>
        </w:tc>
      </w:tr>
    </w:tbl>
    <w:p>
      <w:pPr>
        <w:spacing w:line="360" w:lineRule="auto"/>
        <w:ind w:firstLine="960" w:firstLineChars="4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格式2-3</w:t>
      </w:r>
    </w:p>
    <w:p>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pPr>
        <w:spacing w:line="360" w:lineRule="auto"/>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w:t>
            </w:r>
          </w:p>
        </w:tc>
      </w:tr>
    </w:tbl>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920" w:firstLineChars="20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格式2-3政府采购法第二十二条及参加政府采购活动前三年内无重大违法记录的书面声明</w:t>
      </w: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pStyle w:val="25"/>
        <w:shd w:val="clear" w:color="auto" w:fill="FFFFFF"/>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szCs w:val="24"/>
          <w:highlight w:val="none"/>
        </w:rPr>
        <w:t>致：</w:t>
      </w:r>
      <w:r>
        <w:rPr>
          <w:rFonts w:hint="eastAsia" w:ascii="宋体" w:hAnsi="宋体" w:eastAsia="宋体" w:cs="宋体"/>
          <w:color w:val="auto"/>
          <w:kern w:val="2"/>
          <w:highlight w:val="none"/>
        </w:rPr>
        <w:t>（采购人或采购代理机构）</w:t>
      </w:r>
    </w:p>
    <w:p>
      <w:pPr>
        <w:pStyle w:val="55"/>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pPr>
        <w:numPr>
          <w:ilvl w:val="0"/>
          <w:numId w:val="3"/>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pPr>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如果我们的谈判响应文件被接受，我们将履行谈判文件中规定的每一项要求，按期、按质、按量履行合同。</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我方愿按《中华人民共和国合同法》履行我方的全部责任。</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(8)与本次竞争性磋商有关的正式通讯地址为：</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电子信箱：</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pPr>
        <w:spacing w:line="560" w:lineRule="exact"/>
        <w:jc w:val="left"/>
        <w:rPr>
          <w:rFonts w:hint="eastAsia" w:ascii="宋体" w:hAnsi="宋体" w:eastAsia="宋体" w:cs="宋体"/>
          <w:color w:val="auto"/>
          <w:sz w:val="24"/>
          <w:highlight w:val="none"/>
        </w:rPr>
      </w:pPr>
    </w:p>
    <w:p>
      <w:pPr>
        <w:spacing w:line="5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联系人：              联系电话：</w:t>
      </w: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格式4</w:t>
      </w: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bookmarkStart w:id="4" w:name="_Toc197934561"/>
      <w:bookmarkStart w:id="5" w:name="_Toc495414231"/>
      <w:r>
        <w:rPr>
          <w:rFonts w:hint="eastAsia" w:ascii="宋体" w:hAnsi="宋体" w:eastAsia="宋体" w:cs="宋体"/>
          <w:b w:val="0"/>
          <w:color w:val="auto"/>
          <w:sz w:val="24"/>
          <w:szCs w:val="24"/>
          <w:highlight w:val="none"/>
        </w:rPr>
        <w:t>一．报价一览表</w:t>
      </w:r>
      <w:bookmarkEnd w:id="4"/>
      <w:bookmarkEnd w:id="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pPr>
              <w:spacing w:line="360" w:lineRule="auto"/>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最终投标报价（包：）</w:t>
            </w:r>
          </w:p>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pPr>
              <w:spacing w:line="360" w:lineRule="auto"/>
              <w:jc w:val="left"/>
              <w:rPr>
                <w:rFonts w:hint="eastAsia" w:ascii="宋体" w:hAnsi="宋体" w:eastAsia="宋体" w:cs="宋体"/>
                <w:color w:val="auto"/>
                <w:sz w:val="24"/>
                <w:highlight w:val="none"/>
              </w:rPr>
            </w:pPr>
          </w:p>
        </w:tc>
      </w:tr>
    </w:tbl>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hint="eastAsia" w:ascii="宋体" w:hAnsi="宋体" w:eastAsia="宋体" w:cs="宋体"/>
          <w:color w:val="auto"/>
          <w:sz w:val="24"/>
          <w:highlight w:val="none"/>
        </w:rPr>
      </w:pPr>
      <w:bookmarkStart w:id="6" w:name="_Toc220232409"/>
      <w:bookmarkStart w:id="7" w:name="_Toc495414234"/>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6"/>
      <w:bookmarkEnd w:id="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服务项目名称</w:t>
            </w:r>
          </w:p>
        </w:tc>
        <w:tc>
          <w:tcPr>
            <w:tcW w:w="957"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小计</w:t>
            </w:r>
          </w:p>
        </w:tc>
        <w:tc>
          <w:tcPr>
            <w:tcW w:w="1347"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vAlign w:val="center"/>
          </w:tcPr>
          <w:p>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其他费用</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vAlign w:val="center"/>
          </w:tcPr>
          <w:p>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合计</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bl>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表中所列内容为对应本项目需求的全部要求。如有漏项或缺项，投标人承担全部责任。</w:t>
      </w: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pStyle w:val="34"/>
        <w:ind w:firstLine="241"/>
        <w:rPr>
          <w:rFonts w:hint="eastAsia" w:ascii="宋体" w:hAnsi="宋体" w:eastAsia="宋体" w:cs="宋体"/>
          <w:b/>
          <w:color w:val="auto"/>
          <w:sz w:val="24"/>
          <w:highlight w:val="none"/>
        </w:rPr>
      </w:pPr>
    </w:p>
    <w:p>
      <w:pPr>
        <w:pStyle w:val="34"/>
        <w:ind w:firstLine="241"/>
        <w:rPr>
          <w:rFonts w:hint="eastAsia" w:ascii="宋体" w:hAnsi="宋体" w:eastAsia="宋体" w:cs="宋体"/>
          <w:b/>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r>
        <w:rPr>
          <w:rFonts w:hint="eastAsia" w:ascii="宋体" w:hAnsi="宋体" w:eastAsia="宋体" w:cs="宋体"/>
          <w:b/>
          <w:color w:val="auto"/>
          <w:sz w:val="24"/>
          <w:highlight w:val="none"/>
        </w:rPr>
        <w:t>技术参数响应表</w:t>
      </w: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pPr>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pPr>
              <w:widowControl/>
              <w:rPr>
                <w:rFonts w:hint="eastAsia" w:ascii="宋体" w:hAnsi="宋体" w:eastAsia="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bl>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pP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格式7</w:t>
      </w:r>
    </w:p>
    <w:p>
      <w:pPr>
        <w:pStyle w:val="5"/>
        <w:ind w:firstLine="48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服务方案及服务承诺</w:t>
      </w:r>
    </w:p>
    <w:p>
      <w:pPr>
        <w:spacing w:line="380" w:lineRule="exact"/>
        <w:jc w:val="center"/>
        <w:rPr>
          <w:rFonts w:hint="eastAsia" w:ascii="宋体" w:hAnsi="宋体" w:eastAsia="宋体" w:cs="宋体"/>
          <w:color w:val="auto"/>
          <w:sz w:val="24"/>
          <w:highlight w:val="none"/>
        </w:rPr>
      </w:pPr>
    </w:p>
    <w:p>
      <w:pPr>
        <w:spacing w:line="380" w:lineRule="exact"/>
        <w:ind w:firstLine="360" w:firstLineChars="150"/>
        <w:rPr>
          <w:rFonts w:hint="eastAsia" w:ascii="宋体" w:hAnsi="宋体" w:eastAsia="宋体" w:cs="宋体"/>
          <w:color w:val="auto"/>
          <w:sz w:val="24"/>
          <w:highlight w:val="none"/>
        </w:rPr>
      </w:pPr>
    </w:p>
    <w:p>
      <w:pPr>
        <w:pStyle w:val="37"/>
        <w:rPr>
          <w:rFonts w:hint="eastAsia" w:ascii="宋体" w:hAnsi="宋体" w:eastAsia="宋体" w:cs="宋体"/>
          <w:color w:val="auto"/>
          <w:sz w:val="24"/>
          <w:szCs w:val="24"/>
          <w:highlight w:val="none"/>
        </w:rPr>
      </w:pPr>
    </w:p>
    <w:p>
      <w:pPr>
        <w:pStyle w:val="37"/>
        <w:rPr>
          <w:rFonts w:hint="eastAsia" w:ascii="宋体" w:hAnsi="宋体" w:eastAsia="宋体" w:cs="宋体"/>
          <w:color w:val="auto"/>
          <w:sz w:val="24"/>
          <w:szCs w:val="24"/>
          <w:highlight w:val="none"/>
        </w:rPr>
      </w:pPr>
    </w:p>
    <w:p>
      <w:pPr>
        <w:pStyle w:val="37"/>
        <w:rPr>
          <w:rFonts w:hint="eastAsia" w:ascii="宋体" w:hAnsi="宋体" w:eastAsia="宋体" w:cs="宋体"/>
          <w:color w:val="auto"/>
          <w:sz w:val="24"/>
          <w:szCs w:val="24"/>
          <w:highlight w:val="none"/>
        </w:rPr>
      </w:pPr>
    </w:p>
    <w:p>
      <w:pPr>
        <w:pStyle w:val="37"/>
        <w:rPr>
          <w:rFonts w:hint="eastAsia" w:ascii="宋体" w:hAnsi="宋体" w:eastAsia="宋体" w:cs="宋体"/>
          <w:color w:val="auto"/>
          <w:sz w:val="24"/>
          <w:szCs w:val="24"/>
          <w:highlight w:val="none"/>
        </w:rPr>
      </w:pPr>
    </w:p>
    <w:p>
      <w:pPr>
        <w:pStyle w:val="37"/>
        <w:rPr>
          <w:rFonts w:hint="eastAsia" w:ascii="宋体" w:hAnsi="宋体" w:eastAsia="宋体" w:cs="宋体"/>
          <w:color w:val="auto"/>
          <w:sz w:val="24"/>
          <w:szCs w:val="24"/>
          <w:highlight w:val="none"/>
        </w:rPr>
      </w:pPr>
    </w:p>
    <w:p>
      <w:pPr>
        <w:pStyle w:val="37"/>
        <w:rPr>
          <w:rFonts w:hint="eastAsia" w:ascii="宋体" w:hAnsi="宋体" w:eastAsia="宋体" w:cs="宋体"/>
          <w:color w:val="auto"/>
          <w:sz w:val="24"/>
          <w:szCs w:val="24"/>
          <w:highlight w:val="none"/>
        </w:rPr>
      </w:pPr>
    </w:p>
    <w:p>
      <w:pPr>
        <w:spacing w:line="380" w:lineRule="exact"/>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80" w:lineRule="exact"/>
        <w:ind w:right="640" w:firstLine="1560" w:firstLineChars="650"/>
        <w:rPr>
          <w:rFonts w:hint="eastAsia" w:ascii="宋体" w:hAnsi="宋体" w:eastAsia="宋体" w:cs="宋体"/>
          <w:color w:val="auto"/>
          <w:sz w:val="24"/>
          <w:highlight w:val="none"/>
        </w:rPr>
      </w:pPr>
    </w:p>
    <w:p>
      <w:pPr>
        <w:spacing w:line="380" w:lineRule="exact"/>
        <w:ind w:right="640" w:firstLine="4680" w:firstLineChars="195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pPr>
        <w:spacing w:line="360" w:lineRule="auto"/>
        <w:rPr>
          <w:rFonts w:hint="eastAsia" w:ascii="宋体" w:hAnsi="宋体" w:eastAsia="宋体" w:cs="宋体"/>
          <w:color w:val="auto"/>
          <w:sz w:val="24"/>
          <w:highlight w:val="none"/>
        </w:rPr>
      </w:pPr>
    </w:p>
    <w:p>
      <w:pPr>
        <w:spacing w:line="360" w:lineRule="auto"/>
        <w:jc w:val="center"/>
        <w:rPr>
          <w:rFonts w:hint="eastAsia" w:ascii="宋体" w:hAnsi="宋体" w:eastAsia="宋体" w:cs="宋体"/>
          <w:b/>
          <w:bCs/>
          <w:color w:val="auto"/>
          <w:sz w:val="24"/>
          <w:highlight w:val="none"/>
        </w:rPr>
      </w:pPr>
    </w:p>
    <w:p>
      <w:pPr>
        <w:pStyle w:val="37"/>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80" w:lineRule="exact"/>
        <w:ind w:right="640" w:firstLine="1560" w:firstLineChars="6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pPr>
        <w:spacing w:line="360" w:lineRule="auto"/>
        <w:rPr>
          <w:rFonts w:hint="eastAsia" w:ascii="宋体" w:hAnsi="宋体" w:eastAsia="宋体" w:cs="宋体"/>
          <w:b/>
          <w:bCs/>
          <w:color w:val="auto"/>
          <w:sz w:val="32"/>
          <w:szCs w:val="32"/>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highlight w:val="none"/>
          <w:u w:val="single"/>
        </w:rPr>
        <w:t>（单位名称）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采购活动，工程的施工单位全部为符合政策要求的中小企业</w:t>
      </w:r>
      <w:r>
        <w:rPr>
          <w:rFonts w:hint="eastAsia" w:ascii="宋体" w:hAnsi="宋体" w:eastAsia="宋体" w:cs="宋体"/>
          <w:color w:val="auto"/>
          <w:sz w:val="24"/>
          <w:highlight w:val="none"/>
          <w:u w:val="single"/>
        </w:rPr>
        <w:t>（或者：服务全部由符合政策要求的中小企业承接）</w:t>
      </w:r>
      <w:r>
        <w:rPr>
          <w:rFonts w:hint="eastAsia" w:ascii="宋体" w:hAnsi="宋体" w:eastAsia="宋体" w:cs="宋体"/>
          <w:color w:val="auto"/>
          <w:sz w:val="24"/>
          <w:highlight w:val="none"/>
        </w:rPr>
        <w:t>。相关企业</w:t>
      </w:r>
      <w:r>
        <w:rPr>
          <w:rFonts w:hint="eastAsia" w:ascii="宋体" w:hAnsi="宋体" w:eastAsia="宋体" w:cs="宋体"/>
          <w:color w:val="auto"/>
          <w:sz w:val="24"/>
          <w:highlight w:val="none"/>
          <w:u w:val="single"/>
        </w:rPr>
        <w:t>（含联合 体中的中小企业、签订分包意向协议的中小企业）</w:t>
      </w:r>
      <w:r>
        <w:rPr>
          <w:rFonts w:hint="eastAsia" w:ascii="宋体" w:hAnsi="宋体" w:eastAsia="宋体" w:cs="宋体"/>
          <w:color w:val="auto"/>
          <w:sz w:val="24"/>
          <w:highlight w:val="none"/>
        </w:rPr>
        <w:t>的具体情 况如下：</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 承建（承接）企业为（企业名称），从业人员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万元1，属于（中型企业、小型企业、微型企业）；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 承建（承接）企业为</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（中型企业、 小型企业、微型企业）</w:t>
      </w:r>
      <w:r>
        <w:rPr>
          <w:rFonts w:hint="eastAsia" w:ascii="宋体" w:hAnsi="宋体" w:eastAsia="宋体" w:cs="宋体"/>
          <w:color w:val="auto"/>
          <w:sz w:val="24"/>
          <w:highlight w:val="none"/>
        </w:rPr>
        <w:t>；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本企业对上述声明内容的真实性负责。如有虚假，将依 法承担相应责任。 </w:t>
      </w:r>
    </w:p>
    <w:p>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企业名称（盖章）： </w:t>
      </w:r>
    </w:p>
    <w:p>
      <w:pPr>
        <w:spacing w:line="360" w:lineRule="auto"/>
        <w:ind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 期： </w:t>
      </w:r>
    </w:p>
    <w:p>
      <w:pPr>
        <w:pStyle w:val="37"/>
        <w:rPr>
          <w:rFonts w:hint="eastAsia" w:ascii="宋体" w:hAnsi="宋体" w:eastAsia="宋体" w:cs="宋体"/>
          <w:color w:val="auto"/>
          <w:sz w:val="24"/>
          <w:szCs w:val="24"/>
          <w:highlight w:val="none"/>
        </w:rPr>
      </w:pPr>
    </w:p>
    <w:p>
      <w:pPr>
        <w:pStyle w:val="11"/>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37"/>
        <w:rPr>
          <w:rFonts w:hint="eastAsia" w:ascii="宋体" w:hAnsi="宋体" w:eastAsia="宋体" w:cs="宋体"/>
          <w:color w:val="auto"/>
          <w:sz w:val="24"/>
          <w:szCs w:val="24"/>
          <w:highlight w:val="none"/>
        </w:rPr>
      </w:pPr>
    </w:p>
    <w:p>
      <w:pPr>
        <w:pStyle w:val="11"/>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注：1.从业人员、营业收入、资产总额填报上一年度数据，无上一年度数据的新成立企业可不填报。</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2.本项目如是只面向中小企业采购的应当必须提供。</w:t>
      </w:r>
    </w:p>
    <w:p>
      <w:pPr>
        <w:spacing w:line="360" w:lineRule="auto"/>
        <w:jc w:val="center"/>
        <w:rPr>
          <w:rFonts w:hint="eastAsia" w:ascii="宋体" w:hAnsi="宋体" w:eastAsia="宋体" w:cs="宋体"/>
          <w:b/>
          <w:bCs/>
          <w:color w:val="auto"/>
          <w:sz w:val="24"/>
          <w:highlight w:val="none"/>
        </w:rPr>
      </w:pPr>
    </w:p>
    <w:p>
      <w:pPr>
        <w:spacing w:line="360" w:lineRule="auto"/>
        <w:jc w:val="center"/>
        <w:rPr>
          <w:rFonts w:hint="eastAsia" w:ascii="宋体" w:hAnsi="宋体" w:eastAsia="宋体" w:cs="宋体"/>
          <w:b/>
          <w:bCs/>
          <w:color w:val="auto"/>
          <w:sz w:val="24"/>
          <w:highlight w:val="none"/>
        </w:rPr>
      </w:pPr>
    </w:p>
    <w:p>
      <w:pPr>
        <w:pStyle w:val="37"/>
        <w:rPr>
          <w:rFonts w:hint="eastAsia" w:ascii="宋体" w:hAnsi="宋体" w:eastAsia="宋体" w:cs="宋体"/>
          <w:b/>
          <w:bCs/>
          <w:color w:val="auto"/>
          <w:sz w:val="24"/>
          <w:highlight w:val="none"/>
        </w:rPr>
      </w:pPr>
    </w:p>
    <w:p>
      <w:pPr>
        <w:pStyle w:val="11"/>
        <w:rPr>
          <w:rFonts w:hint="eastAsia" w:ascii="宋体" w:hAnsi="宋体" w:eastAsia="宋体" w:cs="宋体"/>
          <w:color w:val="auto"/>
          <w:highlight w:val="none"/>
        </w:rPr>
      </w:pPr>
    </w:p>
    <w:p>
      <w:pPr>
        <w:spacing w:line="360" w:lineRule="auto"/>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格式10其他资料</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格式11</w:t>
      </w:r>
    </w:p>
    <w:p>
      <w:pPr>
        <w:spacing w:line="380" w:lineRule="exact"/>
        <w:jc w:val="center"/>
        <w:rPr>
          <w:rStyle w:val="66"/>
          <w:rFonts w:hint="eastAsia" w:ascii="宋体" w:hAnsi="宋体" w:eastAsia="宋体" w:cs="宋体"/>
          <w:b/>
          <w:bCs/>
          <w:color w:val="auto"/>
          <w:sz w:val="28"/>
          <w:szCs w:val="28"/>
          <w:highlight w:val="none"/>
        </w:rPr>
      </w:pPr>
      <w:r>
        <w:rPr>
          <w:rStyle w:val="66"/>
          <w:rFonts w:hint="eastAsia" w:ascii="宋体" w:hAnsi="宋体" w:eastAsia="宋体" w:cs="宋体"/>
          <w:b/>
          <w:bCs/>
          <w:color w:val="auto"/>
          <w:sz w:val="28"/>
          <w:szCs w:val="28"/>
          <w:highlight w:val="none"/>
        </w:rPr>
        <w:t>政府采购供应商诚信承诺书</w:t>
      </w:r>
    </w:p>
    <w:p>
      <w:pPr>
        <w:spacing w:line="380" w:lineRule="exact"/>
        <w:jc w:val="center"/>
        <w:rPr>
          <w:rStyle w:val="66"/>
          <w:rFonts w:hint="eastAsia" w:ascii="宋体" w:hAnsi="宋体" w:eastAsia="宋体" w:cs="宋体"/>
          <w:b/>
          <w:bCs/>
          <w:color w:val="auto"/>
          <w:sz w:val="24"/>
          <w:highlight w:val="none"/>
        </w:rPr>
      </w:pPr>
    </w:p>
    <w:p>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pPr>
        <w:pStyle w:val="34"/>
        <w:ind w:firstLine="0" w:firstLineChars="0"/>
        <w:rPr>
          <w:rFonts w:hint="eastAsia" w:ascii="宋体" w:hAnsi="宋体" w:eastAsia="宋体" w:cs="宋体"/>
          <w:b/>
          <w:color w:val="auto"/>
          <w:sz w:val="24"/>
          <w:highlight w:val="none"/>
        </w:rPr>
      </w:pPr>
    </w:p>
    <w:p>
      <w:pPr>
        <w:spacing w:line="360" w:lineRule="auto"/>
        <w:rPr>
          <w:rFonts w:hint="eastAsia" w:ascii="宋体" w:hAnsi="宋体" w:eastAsia="宋体" w:cs="宋体"/>
          <w:b/>
          <w:bCs/>
          <w:color w:val="auto"/>
          <w:sz w:val="24"/>
          <w:highlight w:val="none"/>
        </w:rPr>
      </w:pPr>
    </w:p>
    <w:p>
      <w:pPr>
        <w:pStyle w:val="8"/>
        <w:keepNext w:val="0"/>
        <w:keepLines w:val="0"/>
        <w:pageBreakBefore w:val="0"/>
        <w:widowControl w:val="0"/>
        <w:kinsoku/>
        <w:wordWrap/>
        <w:overflowPunct/>
        <w:topLinePunct w:val="0"/>
        <w:autoSpaceDE/>
        <w:autoSpaceDN/>
        <w:bidi w:val="0"/>
        <w:adjustRightInd/>
        <w:snapToGrid/>
        <w:spacing w:line="500" w:lineRule="exact"/>
        <w:textAlignment w:val="auto"/>
        <w:outlineLvl w:val="0"/>
        <w:rPr>
          <w:rFonts w:hint="eastAsia" w:ascii="宋体" w:hAnsi="宋体" w:eastAsia="宋体" w:cs="宋体"/>
          <w:b/>
          <w:color w:val="auto"/>
          <w:sz w:val="32"/>
          <w:szCs w:val="32"/>
          <w:highlight w:val="none"/>
        </w:rPr>
      </w:pPr>
      <w:bookmarkStart w:id="8" w:name="_Toc21487"/>
      <w:r>
        <w:rPr>
          <w:rFonts w:hint="eastAsia" w:ascii="宋体" w:hAnsi="宋体" w:eastAsia="宋体" w:cs="宋体"/>
          <w:b/>
          <w:color w:val="auto"/>
          <w:sz w:val="32"/>
          <w:szCs w:val="32"/>
          <w:highlight w:val="none"/>
        </w:rPr>
        <w:t xml:space="preserve">第五章  </w:t>
      </w:r>
      <w:r>
        <w:rPr>
          <w:rFonts w:hint="eastAsia" w:ascii="宋体" w:hAnsi="宋体" w:eastAsia="宋体" w:cs="宋体"/>
          <w:b/>
          <w:color w:val="auto"/>
          <w:w w:val="92"/>
          <w:sz w:val="32"/>
          <w:szCs w:val="32"/>
          <w:highlight w:val="none"/>
        </w:rPr>
        <w:t>周口市</w:t>
      </w:r>
      <w:r>
        <w:rPr>
          <w:rFonts w:hint="eastAsia" w:ascii="宋体" w:hAnsi="宋体" w:eastAsia="宋体" w:cs="宋体"/>
          <w:b/>
          <w:color w:val="auto"/>
          <w:sz w:val="32"/>
          <w:szCs w:val="32"/>
          <w:highlight w:val="none"/>
        </w:rPr>
        <w:t>政府采购合同（服务类）标准文本</w:t>
      </w:r>
      <w:bookmarkEnd w:id="8"/>
    </w:p>
    <w:p>
      <w:pPr>
        <w:ind w:firstLine="640" w:firstLineChars="200"/>
        <w:rPr>
          <w:rFonts w:hint="eastAsia" w:ascii="宋体" w:hAnsi="宋体" w:eastAsia="宋体" w:cs="宋体"/>
          <w:color w:val="auto"/>
          <w:sz w:val="32"/>
          <w:szCs w:val="32"/>
          <w:highlight w:val="none"/>
        </w:rPr>
      </w:pPr>
    </w:p>
    <w:p>
      <w:pPr>
        <w:pStyle w:val="79"/>
        <w:spacing w:beforeLines="0" w:afterLines="0"/>
        <w:ind w:left="0" w:firstLine="640" w:firstLineChars="200"/>
        <w:rPr>
          <w:rFonts w:hint="eastAsia" w:ascii="宋体" w:hAnsi="宋体" w:eastAsia="宋体" w:cs="宋体"/>
          <w:color w:val="auto"/>
          <w:sz w:val="32"/>
          <w:szCs w:val="32"/>
          <w:highlight w:val="none"/>
        </w:rPr>
      </w:pPr>
    </w:p>
    <w:p>
      <w:pPr>
        <w:pStyle w:val="79"/>
        <w:spacing w:beforeLines="0" w:afterLines="0"/>
        <w:ind w:left="0" w:firstLine="640" w:firstLineChars="200"/>
        <w:rPr>
          <w:rFonts w:hint="eastAsia" w:ascii="宋体" w:hAnsi="宋体" w:eastAsia="宋体" w:cs="宋体"/>
          <w:color w:val="auto"/>
          <w:sz w:val="32"/>
          <w:szCs w:val="32"/>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政府采购项目名称：</w:t>
      </w: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政府采购项目编号：</w:t>
      </w: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采      购    人：</w:t>
      </w: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供      应    商：</w:t>
      </w: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 订 地：</w:t>
      </w:r>
    </w:p>
    <w:p>
      <w:pPr>
        <w:pStyle w:val="79"/>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签订 时 间：</w:t>
      </w: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pStyle w:val="79"/>
        <w:spacing w:beforeLines="0" w:afterLines="0"/>
        <w:ind w:left="0" w:firstLine="600" w:firstLineChars="200"/>
        <w:rPr>
          <w:rFonts w:hint="eastAsia" w:ascii="宋体" w:hAnsi="宋体" w:eastAsia="宋体" w:cs="宋体"/>
          <w:color w:val="auto"/>
          <w:sz w:val="30"/>
          <w:szCs w:val="30"/>
          <w:highlight w:val="none"/>
        </w:rPr>
      </w:pPr>
    </w:p>
    <w:p>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pPr>
        <w:pStyle w:val="79"/>
        <w:spacing w:beforeLines="0" w:afterLines="0" w:line="440" w:lineRule="exact"/>
        <w:ind w:left="0"/>
        <w:rPr>
          <w:rFonts w:hint="eastAsia" w:ascii="宋体" w:hAnsi="宋体" w:eastAsia="宋体" w:cs="宋体"/>
          <w:color w:val="auto"/>
          <w:sz w:val="30"/>
          <w:szCs w:val="30"/>
          <w:highlight w:val="none"/>
        </w:rPr>
      </w:pP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一、采购人在签订合同时应提供的资料：</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1、该政府采购项目的招标采购文件（以网上发布内容为准）；</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2、该政府采购项目招标文件的澄清和修改内容（公告内容）；</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3、该政府采购项目评审报告；</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4、采购单位法人授权委托书（法人到场并签字的除外）；</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5、采购单位被授权人身份证件（法人到场并签字的除外）；</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6、采购人和中标供应商（或服务商，下同）约定的其它内容（不得超出招标采购文件实质性内容）。</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二、供应商在签订合同时应提供的资料：</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1、该政府采购项目的投标文件（纸质或DPF格式的电子投标文件）；</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2、针对该项目评审时评审委员会提出的质询答复（纸质并签章）；</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3、该政府采购项目中标通知书；</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4、供应商法人授权委托书（法人到场并签字的除外）；</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5、供应商被授权人身份证件（法人到场并签字的除外）；</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6、供应商和采购人约定的其它内容（不得超出招标采购文件实质性内容）。</w:t>
      </w:r>
    </w:p>
    <w:p>
      <w:pPr>
        <w:pStyle w:val="79"/>
        <w:spacing w:beforeLines="0" w:afterLines="0" w:line="440" w:lineRule="exact"/>
        <w:ind w:left="0"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pPr>
        <w:pStyle w:val="79"/>
        <w:spacing w:beforeLines="0" w:afterLines="0" w:line="440" w:lineRule="exact"/>
        <w:ind w:left="0"/>
        <w:jc w:val="center"/>
        <w:rPr>
          <w:rFonts w:hint="eastAsia" w:ascii="宋体" w:hAnsi="宋体" w:eastAsia="宋体" w:cs="宋体"/>
          <w:bCs/>
          <w:color w:val="auto"/>
          <w:sz w:val="32"/>
          <w:szCs w:val="32"/>
          <w:highlight w:val="none"/>
        </w:rPr>
      </w:pPr>
    </w:p>
    <w:p>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pPr>
        <w:pStyle w:val="79"/>
        <w:spacing w:beforeLines="0" w:afterLines="0" w:line="440" w:lineRule="exact"/>
        <w:ind w:left="0"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1"/>
          <w:highlight w:val="none"/>
        </w:rPr>
        <w:t>1、供应商不得擅自变更合同标的服务内容；</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2、不得以次充优，随意降低服务标准和水平；</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3、对因客观上采购人采购需求发生变化造成的，应提供采、供双方的纸质备忘录材料；</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4、在满足验收条件5个工作日内通知采购人组织验收；</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5、供应商应提供需验收服务的清单、标准、达到的水平等量化资料；</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6、采、供双方约定的验收机构及相关人员组成情况。</w:t>
      </w:r>
    </w:p>
    <w:p>
      <w:pPr>
        <w:pStyle w:val="79"/>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7、督促采购人在项目验收结束并达到相关要求后一个工作日内，在“周口市政府采购网”上进行“履约验收”公示。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宋体" w:hAnsi="宋体" w:eastAsia="宋体" w:cs="宋体"/>
          <w:color w:val="auto"/>
          <w:sz w:val="21"/>
          <w:szCs w:val="21"/>
          <w:highlight w:val="none"/>
        </w:rPr>
      </w:pPr>
    </w:p>
    <w:p>
      <w:pP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服务合同内容</w:t>
      </w:r>
    </w:p>
    <w:p>
      <w:pPr>
        <w:spacing w:line="360" w:lineRule="auto"/>
        <w:ind w:firstLine="420" w:firstLineChars="200"/>
        <w:rPr>
          <w:rFonts w:hint="eastAsia" w:ascii="宋体" w:hAnsi="宋体" w:eastAsia="宋体" w:cs="宋体"/>
          <w:color w:val="auto"/>
          <w:szCs w:val="27"/>
          <w:highlight w:val="none"/>
        </w:rPr>
      </w:pP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tcPr>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2、服务方法：</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第四条  费用及支付方式</w:t>
      </w:r>
    </w:p>
    <w:p>
      <w:pPr>
        <w:pStyle w:val="3"/>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(一)本项目费用有以下组成：</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1、XX 万元；</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 万元；</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p>
    <w:p>
      <w:pPr>
        <w:pStyle w:val="3"/>
        <w:kinsoku w:val="0"/>
        <w:overflowPunct w:val="0"/>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(二)费用支付方式：</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1、XXXX；</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2、XXXX ；</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3、在支付前甲方对乙方的服务进行考核或验收，合格的支付相应款 项。乙方须向甲方出具合法有效完整的完税发票及凭证资料进行支付结算。</w:t>
      </w:r>
    </w:p>
    <w:p>
      <w:pPr>
        <w:pStyle w:val="3"/>
        <w:kinsoku w:val="0"/>
        <w:overflowPunct w:val="0"/>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 xml:space="preserve">第五条  付款条件   </w:t>
      </w:r>
      <w:r>
        <w:rPr>
          <w:rFonts w:hint="eastAsia" w:ascii="宋体" w:hAnsi="宋体" w:eastAsia="宋体" w:cs="宋体"/>
          <w:color w:val="auto"/>
          <w:highlight w:val="none"/>
        </w:rPr>
        <w:t xml:space="preserve">               </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合同款项结算方式和支付比例：   </w:t>
      </w:r>
    </w:p>
    <w:p>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第六条  验收方法</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检测、验收费用承担方式：</w:t>
      </w:r>
    </w:p>
    <w:p>
      <w:pPr>
        <w:pStyle w:val="3"/>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乙方应保证所提供的服务或其任何一部分均不会侵犯任何第三方的专利权、商标权或著作权。</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第八条 无产权瑕疵条款</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2.若确需质量保证金的，质量保证金不得超过合同总价款的5%</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3.如乙方未能履行其合同规定的任何义务，甲方有权从履约保证金中取得补偿。</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第十条 甲方的权利和义务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3、负责检查监督乙方管理工作的实施及制度的执行情况。</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4、根据本合同规定，按时向乙方支付应付服务费用。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5、国家法律、法规所规定由甲方承担的其他责任               </w:t>
      </w:r>
    </w:p>
    <w:p>
      <w:pPr>
        <w:pStyle w:val="3"/>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1、对本合同规定的委托服务范围内的项目享有管理权及服务义务。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2、根据本合同的规定向甲方收取相关服务费用，并有权在本项目管理范围内管理及合理使用。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3、及时向甲方通告本项目服务范围内有关服务的重大事项，及时配合处理投诉。</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4、接受项目行业管理部门及政府有关部门的指导，接受甲方的监督。</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5、国家法律、法规所规定由乙方承担的其它责任。</w:t>
      </w:r>
    </w:p>
    <w:p>
      <w:pPr>
        <w:pStyle w:val="3"/>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pPr>
        <w:pStyle w:val="3"/>
        <w:kinsoku w:val="0"/>
        <w:overflowPunct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1、甲乙双方必须遵守本合同并执行合同中的各项规定，保证本合同的正常履行。</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2、甲方逾期付款的，除应及时付足款项外，应向乙方偿付欠款总额万分之 /天的违约金；逾期付款超过 天的，乙方有权终止合同。</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3"/>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4、变更、中止或者终止合同，有过错的一方应当承担赔偿责任，双方都有过错的，各自承担相应的责任。</w:t>
      </w:r>
    </w:p>
    <w:p>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第十五条 不可抗力事件处理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第十六条 合同纠纷调处</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pPr>
        <w:keepNext/>
        <w:keepLines/>
        <w:pageBreakBefore w:val="0"/>
        <w:widowControl w:val="0"/>
        <w:kinsoku w:val="0"/>
        <w:wordWrap/>
        <w:overflowPunct w:val="0"/>
        <w:topLinePunct w:val="0"/>
        <w:autoSpaceDE/>
        <w:autoSpaceDN/>
        <w:bidi w:val="0"/>
        <w:adjustRightInd/>
        <w:snapToGrid/>
        <w:spacing w:line="579" w:lineRule="auto"/>
        <w:ind w:firstLine="420" w:firstLineChars="200"/>
        <w:textAlignment w:val="auto"/>
        <w:outlineLvl w:val="9"/>
        <w:rPr>
          <w:rFonts w:hint="eastAsia" w:ascii="宋体" w:hAnsi="宋体" w:eastAsia="宋体" w:cs="宋体"/>
          <w:b w:val="0"/>
          <w:bCs w:val="0"/>
          <w:color w:val="auto"/>
          <w:kern w:val="2"/>
          <w:sz w:val="21"/>
          <w:szCs w:val="27"/>
          <w:highlight w:val="none"/>
        </w:rPr>
      </w:pPr>
      <w:r>
        <w:rPr>
          <w:rFonts w:hint="eastAsia" w:ascii="宋体" w:hAnsi="宋体" w:eastAsia="宋体" w:cs="宋体"/>
          <w:b w:val="0"/>
          <w:bCs w:val="0"/>
          <w:color w:val="auto"/>
          <w:kern w:val="2"/>
          <w:sz w:val="21"/>
          <w:szCs w:val="27"/>
          <w:highlight w:val="none"/>
        </w:rPr>
        <w:t>3、甲、乙双方均有权利向本项目具有监管职能的政府采购监督管理部门举报反映对方在合同履约中的违法违纪行为。</w:t>
      </w:r>
    </w:p>
    <w:p>
      <w:pPr>
        <w:spacing w:line="360" w:lineRule="auto"/>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pPr>
        <w:spacing w:line="360" w:lineRule="auto"/>
        <w:ind w:firstLine="420" w:firstLineChars="200"/>
        <w:rPr>
          <w:rFonts w:hint="eastAsia" w:ascii="宋体" w:hAnsi="宋体" w:eastAsia="宋体" w:cs="宋体"/>
          <w:color w:val="auto"/>
          <w:szCs w:val="27"/>
          <w:highlight w:val="none"/>
        </w:rPr>
      </w:pPr>
    </w:p>
    <w:p>
      <w:pPr>
        <w:pStyle w:val="34"/>
        <w:ind w:firstLine="21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电话：                               电话：</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pPr>
        <w:spacing w:line="640" w:lineRule="exact"/>
        <w:ind w:firstLine="420" w:firstLineChars="200"/>
        <w:rPr>
          <w:rFonts w:hint="eastAsia" w:ascii="宋体" w:hAnsi="宋体" w:eastAsia="宋体" w:cs="宋体"/>
          <w:color w:val="auto"/>
          <w:szCs w:val="27"/>
          <w:highlight w:val="none"/>
          <w:u w:val="single"/>
        </w:rPr>
      </w:pPr>
    </w:p>
    <w:p>
      <w:pPr>
        <w:pStyle w:val="34"/>
        <w:ind w:firstLine="210"/>
        <w:jc w:val="center"/>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pStyle w:val="34"/>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p>
    <w:p>
      <w:pPr>
        <w:pStyle w:val="3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pPr>
        <w:pStyle w:val="3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pPr>
        <w:pStyle w:val="3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pPr>
        <w:pStyle w:val="34"/>
        <w:ind w:firstLine="210"/>
        <w:rPr>
          <w:rFonts w:hint="eastAsia" w:ascii="宋体" w:hAnsi="宋体" w:eastAsia="宋体" w:cs="宋体"/>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YTg0MDc3OTIyZGQ3YmQ3NDk3MjNjY2ExMWYwZDE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A3D45"/>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CB670C0"/>
    <w:rsid w:val="10D62AA4"/>
    <w:rsid w:val="11C40985"/>
    <w:rsid w:val="13552B79"/>
    <w:rsid w:val="13793DF7"/>
    <w:rsid w:val="141C4A83"/>
    <w:rsid w:val="142C3C6B"/>
    <w:rsid w:val="14354A58"/>
    <w:rsid w:val="14677422"/>
    <w:rsid w:val="152E6B10"/>
    <w:rsid w:val="15BF1042"/>
    <w:rsid w:val="1656732A"/>
    <w:rsid w:val="17521F1C"/>
    <w:rsid w:val="181939B9"/>
    <w:rsid w:val="18D74DC1"/>
    <w:rsid w:val="1AED58EF"/>
    <w:rsid w:val="1B1331AE"/>
    <w:rsid w:val="1F397F3B"/>
    <w:rsid w:val="1F3A0BB5"/>
    <w:rsid w:val="1F67604D"/>
    <w:rsid w:val="1FA92FCB"/>
    <w:rsid w:val="20193BC8"/>
    <w:rsid w:val="220D398C"/>
    <w:rsid w:val="2301566F"/>
    <w:rsid w:val="24165293"/>
    <w:rsid w:val="2482721D"/>
    <w:rsid w:val="24A10BF5"/>
    <w:rsid w:val="24D70B68"/>
    <w:rsid w:val="26364DF6"/>
    <w:rsid w:val="26AB07CC"/>
    <w:rsid w:val="287902DB"/>
    <w:rsid w:val="287B63A6"/>
    <w:rsid w:val="29613C02"/>
    <w:rsid w:val="2A397C18"/>
    <w:rsid w:val="2A5015D5"/>
    <w:rsid w:val="2AF63392"/>
    <w:rsid w:val="2BA67492"/>
    <w:rsid w:val="2C66791C"/>
    <w:rsid w:val="2D221D01"/>
    <w:rsid w:val="2D676A80"/>
    <w:rsid w:val="2D7A3266"/>
    <w:rsid w:val="2F5F2B72"/>
    <w:rsid w:val="31141CD2"/>
    <w:rsid w:val="312513B2"/>
    <w:rsid w:val="31B042BF"/>
    <w:rsid w:val="31F12401"/>
    <w:rsid w:val="31FF5F72"/>
    <w:rsid w:val="32035D60"/>
    <w:rsid w:val="326E6953"/>
    <w:rsid w:val="33523A32"/>
    <w:rsid w:val="34B524C1"/>
    <w:rsid w:val="3527514B"/>
    <w:rsid w:val="36160B3D"/>
    <w:rsid w:val="36D23A94"/>
    <w:rsid w:val="36F7183E"/>
    <w:rsid w:val="376940D0"/>
    <w:rsid w:val="38204506"/>
    <w:rsid w:val="39321D68"/>
    <w:rsid w:val="3BAE6CD9"/>
    <w:rsid w:val="3C3000ED"/>
    <w:rsid w:val="3D232399"/>
    <w:rsid w:val="3D2E2D19"/>
    <w:rsid w:val="3D31181A"/>
    <w:rsid w:val="3DC87CB2"/>
    <w:rsid w:val="3E19777E"/>
    <w:rsid w:val="3F1749BD"/>
    <w:rsid w:val="3F4F365B"/>
    <w:rsid w:val="3F9A5B70"/>
    <w:rsid w:val="41093759"/>
    <w:rsid w:val="41380196"/>
    <w:rsid w:val="41415EFF"/>
    <w:rsid w:val="41A924CD"/>
    <w:rsid w:val="41D026B4"/>
    <w:rsid w:val="452567EA"/>
    <w:rsid w:val="453C3C72"/>
    <w:rsid w:val="46886BA6"/>
    <w:rsid w:val="48524AAD"/>
    <w:rsid w:val="490552AA"/>
    <w:rsid w:val="4B7A4CDC"/>
    <w:rsid w:val="4FFA680C"/>
    <w:rsid w:val="50981A4B"/>
    <w:rsid w:val="5205334F"/>
    <w:rsid w:val="52390069"/>
    <w:rsid w:val="528D1696"/>
    <w:rsid w:val="52CB2821"/>
    <w:rsid w:val="542F765C"/>
    <w:rsid w:val="54914939"/>
    <w:rsid w:val="54EB5EC1"/>
    <w:rsid w:val="554D13F6"/>
    <w:rsid w:val="570562A8"/>
    <w:rsid w:val="57580486"/>
    <w:rsid w:val="575E1EFC"/>
    <w:rsid w:val="59DA41E0"/>
    <w:rsid w:val="5A2424B3"/>
    <w:rsid w:val="5A3906A0"/>
    <w:rsid w:val="5A9919E3"/>
    <w:rsid w:val="5ACE75A8"/>
    <w:rsid w:val="5B2A7B0A"/>
    <w:rsid w:val="5B417B6B"/>
    <w:rsid w:val="5B54373E"/>
    <w:rsid w:val="5B9A354D"/>
    <w:rsid w:val="5BC745F2"/>
    <w:rsid w:val="5CA161B2"/>
    <w:rsid w:val="5EE21916"/>
    <w:rsid w:val="5F4417E0"/>
    <w:rsid w:val="5F88669E"/>
    <w:rsid w:val="622F04A1"/>
    <w:rsid w:val="62707B3A"/>
    <w:rsid w:val="62A212A2"/>
    <w:rsid w:val="645C0879"/>
    <w:rsid w:val="64741C1C"/>
    <w:rsid w:val="647C4822"/>
    <w:rsid w:val="648C064A"/>
    <w:rsid w:val="656B3097"/>
    <w:rsid w:val="66AB4942"/>
    <w:rsid w:val="687951D6"/>
    <w:rsid w:val="68AB69AF"/>
    <w:rsid w:val="68D653C8"/>
    <w:rsid w:val="68D85250"/>
    <w:rsid w:val="698D4180"/>
    <w:rsid w:val="6B961BC0"/>
    <w:rsid w:val="6D1F0B58"/>
    <w:rsid w:val="6D3654A5"/>
    <w:rsid w:val="6EB24C26"/>
    <w:rsid w:val="6FEC567C"/>
    <w:rsid w:val="74170E85"/>
    <w:rsid w:val="7500656E"/>
    <w:rsid w:val="75DC35E9"/>
    <w:rsid w:val="77FA11D3"/>
    <w:rsid w:val="789E6834"/>
    <w:rsid w:val="78E77845"/>
    <w:rsid w:val="79DD67E6"/>
    <w:rsid w:val="7B943AE3"/>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2"/>
    <w:qFormat/>
    <w:uiPriority w:val="0"/>
    <w:pPr>
      <w:ind w:firstLine="420" w:firstLineChars="100"/>
    </w:pPr>
  </w:style>
  <w:style w:type="paragraph" w:styleId="3">
    <w:name w:val="Body Text"/>
    <w:basedOn w:val="1"/>
    <w:next w:val="4"/>
    <w:link w:val="43"/>
    <w:qFormat/>
    <w:uiPriority w:val="99"/>
    <w:pPr>
      <w:spacing w:after="120"/>
    </w:pPr>
  </w:style>
  <w:style w:type="paragraph" w:styleId="4">
    <w:name w:val="Body Text 2"/>
    <w:basedOn w:val="1"/>
    <w:next w:val="3"/>
    <w:link w:val="65"/>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1">
    <w:name w:val="caption"/>
    <w:basedOn w:val="1"/>
    <w:next w:val="1"/>
    <w:qFormat/>
    <w:uiPriority w:val="0"/>
    <w:rPr>
      <w:rFonts w:ascii="Cambria" w:hAnsi="Cambria" w:eastAsia="黑体"/>
      <w:sz w:val="20"/>
    </w:rPr>
  </w:style>
  <w:style w:type="paragraph" w:styleId="12">
    <w:name w:val="Document Map"/>
    <w:basedOn w:val="1"/>
    <w:link w:val="46"/>
    <w:qFormat/>
    <w:uiPriority w:val="0"/>
    <w:rPr>
      <w:rFonts w:ascii="宋体"/>
      <w:sz w:val="18"/>
      <w:szCs w:val="18"/>
    </w:rPr>
  </w:style>
  <w:style w:type="paragraph" w:styleId="13">
    <w:name w:val="annotation text"/>
    <w:basedOn w:val="1"/>
    <w:link w:val="45"/>
    <w:qFormat/>
    <w:uiPriority w:val="0"/>
    <w:pPr>
      <w:jc w:val="left"/>
    </w:pPr>
  </w:style>
  <w:style w:type="paragraph" w:styleId="14">
    <w:name w:val="Body Text 3"/>
    <w:basedOn w:val="1"/>
    <w:qFormat/>
    <w:uiPriority w:val="0"/>
    <w:pPr>
      <w:spacing w:after="120"/>
    </w:pPr>
    <w:rPr>
      <w:sz w:val="16"/>
      <w:szCs w:val="16"/>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10"/>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
    <w:qFormat/>
    <w:uiPriority w:val="0"/>
    <w:rPr>
      <w:kern w:val="2"/>
      <w:sz w:val="21"/>
      <w:szCs w:val="24"/>
    </w:rPr>
  </w:style>
  <w:style w:type="character" w:customStyle="1" w:styleId="43">
    <w:name w:val="正文文本 字符"/>
    <w:link w:val="3"/>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13"/>
    <w:qFormat/>
    <w:uiPriority w:val="0"/>
    <w:rPr>
      <w:kern w:val="2"/>
      <w:sz w:val="21"/>
      <w:szCs w:val="24"/>
    </w:rPr>
  </w:style>
  <w:style w:type="character" w:customStyle="1" w:styleId="46">
    <w:name w:val="文档结构图 字符"/>
    <w:link w:val="12"/>
    <w:qFormat/>
    <w:uiPriority w:val="0"/>
    <w:rPr>
      <w:rFonts w:ascii="宋体"/>
      <w:kern w:val="2"/>
      <w:sz w:val="18"/>
      <w:szCs w:val="18"/>
    </w:rPr>
  </w:style>
  <w:style w:type="character" w:customStyle="1" w:styleId="47">
    <w:name w:val="日期 字符"/>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4"/>
    <w:qFormat/>
    <w:uiPriority w:val="0"/>
    <w:rPr>
      <w:kern w:val="2"/>
      <w:sz w:val="21"/>
      <w:szCs w:val="24"/>
    </w:rPr>
  </w:style>
  <w:style w:type="character" w:customStyle="1" w:styleId="66">
    <w:name w:val="NormalCharacter"/>
    <w:qFormat/>
    <w:uiPriority w:val="0"/>
  </w:style>
  <w:style w:type="character" w:customStyle="1" w:styleId="67">
    <w:name w:val="页眉 字符"/>
    <w:link w:val="21"/>
    <w:qFormat/>
    <w:uiPriority w:val="99"/>
    <w:rPr>
      <w:kern w:val="2"/>
      <w:sz w:val="18"/>
      <w:szCs w:val="18"/>
    </w:rPr>
  </w:style>
  <w:style w:type="character" w:customStyle="1" w:styleId="68">
    <w:name w:val="页脚 字符"/>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unhideWhenUsed/>
    <w:qFormat/>
    <w:uiPriority w:val="0"/>
    <w:rPr>
      <w:rFonts w:ascii="Calibri" w:hAnsi="Calibri" w:eastAsia="宋体" w:cs="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18580</Words>
  <Characters>19577</Characters>
  <Lines>146</Lines>
  <Paragraphs>41</Paragraphs>
  <TotalTime>1</TotalTime>
  <ScaleCrop>false</ScaleCrop>
  <LinksUpToDate>false</LinksUpToDate>
  <CharactersWithSpaces>20325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a5</cp:lastModifiedBy>
  <cp:lastPrinted>2020-11-18T03:21:00Z</cp:lastPrinted>
  <dcterms:modified xsi:type="dcterms:W3CDTF">2023-12-08T03:05:42Z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2B053A5A94434869803331052662E809_13</vt:lpwstr>
  </property>
</Properties>
</file>