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heme="minorEastAsia" w:hAnsiTheme="minorEastAsia" w:eastAsiaTheme="minorEastAsia"/>
          <w:color w:val="auto"/>
          <w:sz w:val="20"/>
          <w:highlight w:val="none"/>
        </w:rPr>
      </w:pPr>
    </w:p>
    <w:p>
      <w:pPr>
        <w:pStyle w:val="2"/>
        <w:rPr>
          <w:rFonts w:asciiTheme="minorEastAsia" w:hAnsiTheme="minorEastAsia" w:eastAsiaTheme="minorEastAsia"/>
          <w:color w:val="auto"/>
          <w:sz w:val="20"/>
          <w:highlight w:val="none"/>
        </w:rPr>
      </w:pPr>
    </w:p>
    <w:p>
      <w:pPr>
        <w:pStyle w:val="2"/>
        <w:spacing w:before="4"/>
        <w:rPr>
          <w:rFonts w:asciiTheme="minorEastAsia" w:hAnsiTheme="minorEastAsia" w:eastAsiaTheme="minorEastAsia"/>
          <w:color w:val="auto"/>
          <w:sz w:val="21"/>
          <w:highlight w:val="none"/>
        </w:rPr>
      </w:pPr>
    </w:p>
    <w:p>
      <w:pPr>
        <w:pStyle w:val="3"/>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pPr>
        <w:pStyle w:val="3"/>
        <w:spacing w:line="487" w:lineRule="auto"/>
        <w:ind w:right="987"/>
        <w:rPr>
          <w:rFonts w:asciiTheme="minorEastAsia" w:hAnsiTheme="minorEastAsia" w:eastAsiaTheme="minorEastAsia"/>
          <w:color w:val="auto"/>
          <w:spacing w:val="-1"/>
          <w:w w:val="95"/>
          <w:highlight w:val="none"/>
        </w:rPr>
      </w:pPr>
    </w:p>
    <w:p>
      <w:pPr>
        <w:rPr>
          <w:rFonts w:asciiTheme="minorEastAsia" w:hAnsiTheme="minorEastAsia" w:eastAsiaTheme="minorEastAsia"/>
          <w:color w:val="auto"/>
          <w:spacing w:val="-1"/>
          <w:w w:val="95"/>
          <w:highlight w:val="none"/>
        </w:rPr>
      </w:pPr>
    </w:p>
    <w:p>
      <w:pPr>
        <w:pStyle w:val="2"/>
        <w:rPr>
          <w:rFonts w:asciiTheme="minorEastAsia" w:hAnsiTheme="minorEastAsia" w:eastAsiaTheme="minorEastAsia"/>
          <w:color w:val="auto"/>
          <w:highlight w:val="none"/>
        </w:rPr>
      </w:pPr>
    </w:p>
    <w:p>
      <w:pPr>
        <w:pStyle w:val="3"/>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pPr>
        <w:pStyle w:val="2"/>
        <w:rPr>
          <w:rFonts w:asciiTheme="minorEastAsia" w:hAnsiTheme="minorEastAsia" w:eastAsiaTheme="minorEastAsia"/>
          <w:b/>
          <w:color w:val="auto"/>
          <w:sz w:val="44"/>
          <w:highlight w:val="none"/>
          <w:lang w:val="en-US"/>
        </w:rPr>
      </w:pPr>
    </w:p>
    <w:p>
      <w:pPr>
        <w:pStyle w:val="2"/>
        <w:rPr>
          <w:rFonts w:asciiTheme="minorEastAsia" w:hAnsiTheme="minorEastAsia" w:eastAsiaTheme="minorEastAsia"/>
          <w:b/>
          <w:color w:val="auto"/>
          <w:sz w:val="44"/>
          <w:highlight w:val="none"/>
        </w:rPr>
      </w:pPr>
    </w:p>
    <w:p>
      <w:pPr>
        <w:pStyle w:val="2"/>
        <w:rPr>
          <w:rFonts w:asciiTheme="minorEastAsia" w:hAnsiTheme="minorEastAsia" w:eastAsiaTheme="minorEastAsia"/>
          <w:b/>
          <w:color w:val="auto"/>
          <w:sz w:val="44"/>
          <w:highlight w:val="none"/>
        </w:rPr>
      </w:pPr>
    </w:p>
    <w:p>
      <w:pPr>
        <w:pStyle w:val="2"/>
        <w:rPr>
          <w:rFonts w:asciiTheme="minorEastAsia" w:hAnsiTheme="minorEastAsia" w:eastAsiaTheme="minorEastAsia"/>
          <w:b/>
          <w:color w:val="auto"/>
          <w:sz w:val="44"/>
          <w:highlight w:val="none"/>
        </w:rPr>
      </w:pPr>
    </w:p>
    <w:p>
      <w:pPr>
        <w:pStyle w:val="2"/>
        <w:rPr>
          <w:rFonts w:asciiTheme="minorEastAsia" w:hAnsiTheme="minorEastAsia" w:eastAsiaTheme="minorEastAsia"/>
          <w:b/>
          <w:color w:val="auto"/>
          <w:sz w:val="44"/>
          <w:highlight w:val="none"/>
        </w:rPr>
      </w:pPr>
    </w:p>
    <w:p>
      <w:pPr>
        <w:pStyle w:val="2"/>
        <w:rPr>
          <w:rFonts w:asciiTheme="minorEastAsia" w:hAnsiTheme="minorEastAsia" w:eastAsiaTheme="minorEastAsia"/>
          <w:b/>
          <w:color w:val="auto"/>
          <w:sz w:val="44"/>
          <w:highlight w:val="none"/>
        </w:rPr>
      </w:pPr>
    </w:p>
    <w:p>
      <w:pPr>
        <w:spacing w:before="344"/>
        <w:rPr>
          <w:rFonts w:hint="eastAsia" w:asciiTheme="minorEastAsia" w:hAnsiTheme="minorEastAsia" w:eastAsiaTheme="minorEastAsia"/>
          <w:color w:val="auto"/>
          <w:sz w:val="32"/>
          <w:highlight w:val="none"/>
        </w:rPr>
      </w:pPr>
    </w:p>
    <w:p>
      <w:pPr>
        <w:spacing w:before="344"/>
        <w:rPr>
          <w:rFonts w:hint="eastAsia" w:asciiTheme="minorEastAsia" w:hAnsiTheme="minorEastAsia" w:eastAsiaTheme="minorEastAsia"/>
          <w:color w:val="auto"/>
          <w:sz w:val="32"/>
          <w:highlight w:val="none"/>
        </w:rPr>
      </w:pPr>
    </w:p>
    <w:p>
      <w:pPr>
        <w:spacing w:before="344"/>
        <w:rPr>
          <w:rFonts w:hint="eastAsia" w:asciiTheme="minorEastAsia" w:hAnsiTheme="minorEastAsia" w:eastAsiaTheme="minorEastAsia"/>
          <w:color w:val="auto"/>
          <w:sz w:val="32"/>
          <w:highlight w:val="none"/>
        </w:rPr>
      </w:pPr>
    </w:p>
    <w:p>
      <w:pPr>
        <w:spacing w:before="344"/>
        <w:rPr>
          <w:rFonts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rPr>
        <w:t>项目名称：周口市第六初级中学教室及宿舍设备采购项目</w:t>
      </w:r>
    </w:p>
    <w:p>
      <w:pPr>
        <w:spacing w:before="344"/>
        <w:rPr>
          <w:rFonts w:asciiTheme="minorEastAsia" w:hAnsiTheme="minorEastAsia" w:eastAsiaTheme="minorEastAsia"/>
          <w:color w:val="auto"/>
          <w:sz w:val="32"/>
          <w:highlight w:val="none"/>
          <w:lang w:val="en-US"/>
        </w:rPr>
      </w:pPr>
      <w:r>
        <w:rPr>
          <w:rFonts w:hint="eastAsia" w:asciiTheme="minorEastAsia" w:hAnsiTheme="minorEastAsia" w:eastAsiaTheme="minorEastAsia"/>
          <w:color w:val="auto"/>
          <w:sz w:val="32"/>
          <w:highlight w:val="none"/>
        </w:rPr>
        <w:t>项目编号：</w:t>
      </w:r>
      <w:r>
        <w:rPr>
          <w:rFonts w:hint="eastAsia" w:asciiTheme="minorEastAsia" w:hAnsiTheme="minorEastAsia" w:eastAsiaTheme="minorEastAsia"/>
          <w:color w:val="auto"/>
          <w:sz w:val="32"/>
          <w:highlight w:val="none"/>
          <w:lang w:val="en-US"/>
        </w:rPr>
        <w:t>2023-12-55</w:t>
      </w:r>
      <w:bookmarkStart w:id="67" w:name="_GoBack"/>
      <w:bookmarkEnd w:id="67"/>
    </w:p>
    <w:p>
      <w:pPr>
        <w:spacing w:before="1"/>
        <w:ind w:right="987"/>
        <w:rPr>
          <w:rFonts w:asciiTheme="minorEastAsia" w:hAnsiTheme="minorEastAsia" w:eastAsiaTheme="minorEastAsia"/>
          <w:color w:val="auto"/>
          <w:sz w:val="32"/>
          <w:highlight w:val="none"/>
        </w:rPr>
      </w:pPr>
    </w:p>
    <w:p>
      <w:pPr>
        <w:rPr>
          <w:rFonts w:asciiTheme="minorEastAsia" w:hAnsiTheme="minorEastAsia" w:eastAsiaTheme="minorEastAsia"/>
          <w:color w:val="auto"/>
          <w:highlight w:val="none"/>
        </w:rPr>
      </w:pPr>
    </w:p>
    <w:p>
      <w:pPr>
        <w:spacing w:before="1"/>
        <w:ind w:right="987"/>
        <w:jc w:val="center"/>
        <w:rPr>
          <w:rFonts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lang w:val="en-US"/>
        </w:rPr>
        <w:t>2023年12月</w:t>
      </w:r>
      <w:r>
        <w:rPr>
          <w:rFonts w:hint="eastAsia" w:asciiTheme="minorEastAsia" w:hAnsiTheme="minorEastAsia" w:eastAsiaTheme="minorEastAsia"/>
          <w:color w:val="auto"/>
          <w:sz w:val="32"/>
          <w:highlight w:val="none"/>
          <w:lang w:val="en-US" w:eastAsia="zh-CN"/>
        </w:rPr>
        <w:t>22</w:t>
      </w:r>
      <w:r>
        <w:rPr>
          <w:rFonts w:hint="eastAsia" w:asciiTheme="minorEastAsia" w:hAnsiTheme="minorEastAsia" w:eastAsiaTheme="minorEastAsia"/>
          <w:color w:val="auto"/>
          <w:sz w:val="32"/>
          <w:highlight w:val="none"/>
        </w:rPr>
        <w:t>日</w:t>
      </w:r>
    </w:p>
    <w:p>
      <w:pPr>
        <w:jc w:val="center"/>
        <w:rPr>
          <w:rFonts w:asciiTheme="minorEastAsia" w:hAnsiTheme="minorEastAsia" w:eastAsiaTheme="minor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pPr>
        <w:pStyle w:val="4"/>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pPr>
            <w:pStyle w:val="17"/>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pPr>
            <w:pStyle w:val="17"/>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pPr>
            <w:pStyle w:val="17"/>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pPr>
            <w:pStyle w:val="17"/>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pPr>
            <w:pStyle w:val="17"/>
            <w:tabs>
              <w:tab w:val="left" w:pos="1619"/>
              <w:tab w:val="right" w:leader="dot" w:pos="8852"/>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21</w:t>
          </w:r>
        </w:p>
        <w:p>
          <w:pPr>
            <w:pStyle w:val="17"/>
            <w:tabs>
              <w:tab w:val="left" w:pos="1619"/>
              <w:tab w:val="right" w:leader="dot" w:pos="8851"/>
            </w:tabs>
            <w:rPr>
              <w:color w:val="auto"/>
              <w:highlight w:val="none"/>
              <w:lang w:val="en-US"/>
            </w:rPr>
          </w:pPr>
          <w:r>
            <w:rPr>
              <w:rFonts w:hint="eastAsia"/>
              <w:color w:val="auto"/>
              <w:highlight w:val="none"/>
              <w:lang w:val="en-US"/>
            </w:rPr>
            <w:t>第六部分  周口市政府采购合同（货物类）标准文本、</w:t>
          </w:r>
          <w:r>
            <w:rPr>
              <w:rFonts w:hint="eastAsia"/>
              <w:color w:val="auto"/>
              <w:highlight w:val="none"/>
            </w:rPr>
            <w:t>合同签订指引、供应商履约验收指引、周口市政府采购合同融资政策告知函</w:t>
          </w:r>
          <w:r>
            <w:rPr>
              <w:rFonts w:hint="eastAsia"/>
              <w:color w:val="auto"/>
              <w:highlight w:val="none"/>
              <w:lang w:val="en-US"/>
            </w:rPr>
            <w:t xml:space="preserve">       33</w:t>
          </w:r>
        </w:p>
        <w:p>
          <w:pPr>
            <w:rPr>
              <w:color w:val="auto"/>
              <w:highlight w:val="none"/>
            </w:rPr>
          </w:pPr>
        </w:p>
        <w:p>
          <w:pPr>
            <w:pStyle w:val="17"/>
            <w:tabs>
              <w:tab w:val="left" w:pos="1619"/>
              <w:tab w:val="right" w:leader="dot" w:pos="8852"/>
            </w:tabs>
            <w:rPr>
              <w:rFonts w:asciiTheme="minorEastAsia" w:hAnsiTheme="minorEastAsia" w:eastAsiaTheme="minorEastAsia"/>
              <w:color w:val="auto"/>
              <w:highlight w:val="none"/>
            </w:rPr>
          </w:pPr>
        </w:p>
      </w:sdtContent>
    </w:sdt>
    <w:p>
      <w:pPr>
        <w:rPr>
          <w:rFonts w:asciiTheme="minorEastAsia" w:hAnsiTheme="minorEastAsia" w:eastAsiaTheme="minorEastAsia"/>
          <w:color w:val="auto"/>
          <w:highlight w:val="none"/>
        </w:rPr>
      </w:pPr>
    </w:p>
    <w:p>
      <w:pPr>
        <w:pStyle w:val="21"/>
        <w:ind w:left="440" w:firstLine="482"/>
        <w:rPr>
          <w:rFonts w:asciiTheme="minorEastAsia" w:hAnsiTheme="minorEastAsia" w:eastAsiaTheme="minorEastAsia"/>
          <w:b/>
          <w:bCs/>
          <w:color w:val="auto"/>
          <w:sz w:val="24"/>
          <w:szCs w:val="24"/>
          <w:highlight w:val="none"/>
        </w:rPr>
      </w:pPr>
    </w:p>
    <w:p>
      <w:pPr>
        <w:pStyle w:val="21"/>
        <w:ind w:left="440" w:firstLine="482"/>
        <w:rPr>
          <w:rFonts w:asciiTheme="minorEastAsia" w:hAnsiTheme="minorEastAsia" w:eastAsiaTheme="minorEastAsia"/>
          <w:b/>
          <w:bCs/>
          <w:color w:val="auto"/>
          <w:sz w:val="24"/>
          <w:szCs w:val="24"/>
          <w:highlight w:val="none"/>
        </w:rPr>
      </w:pPr>
    </w:p>
    <w:p>
      <w:pPr>
        <w:pStyle w:val="21"/>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pPr>
        <w:pStyle w:val="4"/>
        <w:numPr>
          <w:ilvl w:val="0"/>
          <w:numId w:val="1"/>
        </w:numPr>
        <w:tabs>
          <w:tab w:val="left" w:pos="1607"/>
        </w:tabs>
        <w:spacing w:before="100"/>
        <w:rPr>
          <w:rFonts w:asciiTheme="minorEastAsia" w:hAnsiTheme="minorEastAsia" w:eastAsiaTheme="minorEastAsia"/>
          <w:color w:val="auto"/>
          <w:highlight w:val="none"/>
        </w:rPr>
      </w:pPr>
      <w:bookmarkStart w:id="0" w:name="第一部分__谈判采购邀请函"/>
      <w:bookmarkEnd w:id="0"/>
      <w:bookmarkStart w:id="1" w:name="_bookmark0"/>
      <w:bookmarkEnd w:id="1"/>
      <w:r>
        <w:rPr>
          <w:rFonts w:hint="eastAsia" w:asciiTheme="minorEastAsia" w:hAnsiTheme="minorEastAsia" w:eastAsiaTheme="minorEastAsia"/>
          <w:color w:val="auto"/>
          <w:highlight w:val="none"/>
        </w:rPr>
        <w:t>谈判采购邀请函</w:t>
      </w:r>
    </w:p>
    <w:p>
      <w:pPr>
        <w:pStyle w:val="3"/>
        <w:tabs>
          <w:tab w:val="left" w:pos="0"/>
        </w:tabs>
        <w:adjustRightInd w:val="0"/>
        <w:spacing w:before="0" w:line="360" w:lineRule="auto"/>
        <w:rPr>
          <w:rFonts w:ascii="华文中宋" w:hAnsi="华文中宋" w:eastAsia="华文中宋"/>
          <w:color w:val="auto"/>
          <w:highlight w:val="none"/>
        </w:rPr>
      </w:pPr>
      <w:bookmarkStart w:id="2" w:name="_Toc28359011"/>
      <w:bookmarkStart w:id="3" w:name="_Toc35393797"/>
      <w:bookmarkStart w:id="4" w:name="OLE_LINK1"/>
      <w:bookmarkStart w:id="5" w:name="OLE_LINK2"/>
      <w:r>
        <w:rPr>
          <w:rFonts w:hint="eastAsia" w:ascii="华文中宋" w:hAnsi="华文中宋" w:eastAsia="华文中宋"/>
          <w:color w:val="auto"/>
          <w:highlight w:val="none"/>
        </w:rPr>
        <w:t>竞争性谈判公告</w:t>
      </w:r>
      <w:bookmarkEnd w:id="2"/>
      <w:bookmarkEnd w:id="3"/>
    </w:p>
    <w:bookmarkEnd w:id="4"/>
    <w:bookmarkEnd w:id="5"/>
    <w:p>
      <w:pPr>
        <w:pStyle w:val="30"/>
        <w:rPr>
          <w:color w:val="auto"/>
          <w:highlight w:val="none"/>
        </w:rPr>
      </w:pPr>
    </w:p>
    <w:p>
      <w:pPr>
        <w:pStyle w:val="4"/>
        <w:spacing w:line="360" w:lineRule="auto"/>
        <w:jc w:val="left"/>
        <w:rPr>
          <w:rFonts w:asciiTheme="minorEastAsia" w:hAnsiTheme="minorEastAsia" w:eastAsiaTheme="minorEastAsia" w:cstheme="minorEastAsia"/>
          <w:b w:val="0"/>
          <w:color w:val="auto"/>
          <w:sz w:val="24"/>
          <w:szCs w:val="24"/>
          <w:highlight w:val="none"/>
        </w:rPr>
      </w:pPr>
      <w:bookmarkStart w:id="6" w:name="_Toc35393629"/>
      <w:bookmarkStart w:id="7" w:name="_Toc35393798"/>
      <w:bookmarkStart w:id="8" w:name="_Toc28359012"/>
      <w:bookmarkStart w:id="9" w:name="_Toc2835908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项目编号：2023-12-55</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项目名称：周口市第六初级中学教室及宿舍设备采购项目</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pPr>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val="en-US"/>
        </w:rPr>
        <w:t>1029704元</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Theme="minorEastAsia" w:hAnsiTheme="minorEastAsia" w:eastAsiaTheme="minorEastAsia" w:cstheme="minorEastAsia"/>
          <w:color w:val="auto"/>
          <w:sz w:val="24"/>
          <w:szCs w:val="24"/>
          <w:highlight w:val="none"/>
          <w:lang w:val="en-US"/>
        </w:rPr>
        <w:t>1029704元</w:t>
      </w:r>
    </w:p>
    <w:p>
      <w:pPr>
        <w:pStyle w:val="19"/>
        <w:snapToGrid w:val="0"/>
        <w:spacing w:before="0" w:beforeAutospacing="0" w:after="0" w:afterAutospacing="0" w:line="360" w:lineRule="auto"/>
        <w:ind w:firstLine="480"/>
        <w:jc w:val="both"/>
        <w:rPr>
          <w:color w:val="auto"/>
          <w:highlight w:val="none"/>
        </w:rPr>
      </w:pPr>
      <w:r>
        <w:rPr>
          <w:rFonts w:hint="eastAsia"/>
          <w:color w:val="auto"/>
          <w:highlight w:val="none"/>
        </w:rPr>
        <w:t>包划分：1个包</w:t>
      </w:r>
    </w:p>
    <w:tbl>
      <w:tblPr>
        <w:tblStyle w:val="23"/>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5414"/>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vAlign w:val="center"/>
          </w:tcPr>
          <w:p>
            <w:pPr>
              <w:pStyle w:val="19"/>
              <w:shd w:val="clear" w:color="auto" w:fill="FFFFFF"/>
              <w:adjustRightInd w:val="0"/>
              <w:snapToGrid w:val="0"/>
              <w:spacing w:before="0" w:beforeAutospacing="0" w:after="0" w:afterAutospacing="0" w:line="240" w:lineRule="auto"/>
              <w:jc w:val="center"/>
              <w:rPr>
                <w:color w:val="auto"/>
                <w:highlight w:val="none"/>
              </w:rPr>
            </w:pPr>
            <w:r>
              <w:rPr>
                <w:rFonts w:hint="eastAsia" w:asciiTheme="minorEastAsia" w:hAnsiTheme="minorEastAsia" w:eastAsiaTheme="minorEastAsia"/>
                <w:color w:val="auto"/>
                <w:kern w:val="2"/>
                <w:highlight w:val="none"/>
              </w:rPr>
              <w:t>包号</w:t>
            </w:r>
          </w:p>
        </w:tc>
        <w:tc>
          <w:tcPr>
            <w:tcW w:w="5414" w:type="dxa"/>
            <w:vAlign w:val="center"/>
          </w:tcPr>
          <w:p>
            <w:pPr>
              <w:pStyle w:val="19"/>
              <w:shd w:val="clear" w:color="auto" w:fill="FFFFFF"/>
              <w:adjustRightInd w:val="0"/>
              <w:snapToGrid w:val="0"/>
              <w:spacing w:before="0" w:beforeAutospacing="0" w:after="0" w:afterAutospacing="0" w:line="240" w:lineRule="auto"/>
              <w:jc w:val="center"/>
              <w:rPr>
                <w:color w:val="auto"/>
                <w:highlight w:val="none"/>
              </w:rPr>
            </w:pPr>
            <w:r>
              <w:rPr>
                <w:rFonts w:hint="eastAsia" w:asciiTheme="minorEastAsia" w:hAnsiTheme="minorEastAsia" w:eastAsiaTheme="minorEastAsia"/>
                <w:color w:val="auto"/>
                <w:kern w:val="2"/>
                <w:highlight w:val="none"/>
              </w:rPr>
              <w:t>包名称</w:t>
            </w:r>
          </w:p>
        </w:tc>
        <w:tc>
          <w:tcPr>
            <w:tcW w:w="1414" w:type="dxa"/>
            <w:vAlign w:val="center"/>
          </w:tcPr>
          <w:p>
            <w:pPr>
              <w:pStyle w:val="19"/>
              <w:shd w:val="clear" w:color="auto" w:fill="FFFFFF"/>
              <w:adjustRightInd w:val="0"/>
              <w:snapToGrid w:val="0"/>
              <w:spacing w:before="0" w:beforeAutospacing="0" w:after="0" w:afterAutospacing="0" w:line="240" w:lineRule="auto"/>
              <w:jc w:val="center"/>
              <w:rPr>
                <w:color w:val="auto"/>
                <w:highlight w:val="none"/>
              </w:rPr>
            </w:pPr>
            <w:r>
              <w:rPr>
                <w:rFonts w:hint="eastAsia" w:asciiTheme="minorEastAsia" w:hAnsiTheme="minorEastAsia" w:eastAsiaTheme="minorEastAsia"/>
                <w:color w:val="auto"/>
                <w:kern w:val="2"/>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158" w:type="dxa"/>
            <w:vAlign w:val="center"/>
          </w:tcPr>
          <w:p>
            <w:pPr>
              <w:pStyle w:val="19"/>
              <w:shd w:val="clear" w:color="auto" w:fill="FFFFFF"/>
              <w:adjustRightInd w:val="0"/>
              <w:snapToGrid w:val="0"/>
              <w:spacing w:before="0" w:beforeAutospacing="0" w:after="0" w:afterAutospacing="0" w:line="240" w:lineRule="auto"/>
              <w:jc w:val="center"/>
              <w:rPr>
                <w:color w:val="auto"/>
                <w:highlight w:val="none"/>
              </w:rPr>
            </w:pPr>
            <w:r>
              <w:rPr>
                <w:rFonts w:hint="eastAsia" w:asciiTheme="minorEastAsia" w:hAnsiTheme="minorEastAsia" w:eastAsiaTheme="minorEastAsia"/>
                <w:color w:val="auto"/>
                <w:kern w:val="2"/>
                <w:highlight w:val="none"/>
              </w:rPr>
              <w:t>1</w:t>
            </w:r>
          </w:p>
        </w:tc>
        <w:tc>
          <w:tcPr>
            <w:tcW w:w="5414" w:type="dxa"/>
            <w:vAlign w:val="center"/>
          </w:tcPr>
          <w:p>
            <w:pPr>
              <w:adjustRightInd w:val="0"/>
              <w:snapToGrid w:val="0"/>
              <w:spacing w:line="240" w:lineRule="auto"/>
              <w:jc w:val="both"/>
              <w:rPr>
                <w:color w:val="auto"/>
                <w:highlight w:val="none"/>
              </w:rPr>
            </w:pPr>
            <w:r>
              <w:rPr>
                <w:rFonts w:hint="eastAsia" w:asciiTheme="minorEastAsia" w:hAnsiTheme="minorEastAsia" w:eastAsiaTheme="minorEastAsia" w:cstheme="minorEastAsia"/>
                <w:color w:val="auto"/>
                <w:sz w:val="24"/>
                <w:szCs w:val="24"/>
                <w:highlight w:val="none"/>
              </w:rPr>
              <w:t>周口市第六初级中学教室及宿舍设备采购项目</w:t>
            </w:r>
          </w:p>
        </w:tc>
        <w:tc>
          <w:tcPr>
            <w:tcW w:w="1414" w:type="dxa"/>
            <w:vAlign w:val="center"/>
          </w:tcPr>
          <w:p>
            <w:pPr>
              <w:adjustRightInd w:val="0"/>
              <w:snapToGrid w:val="0"/>
              <w:spacing w:line="240" w:lineRule="auto"/>
              <w:jc w:val="center"/>
              <w:rPr>
                <w:color w:val="auto"/>
                <w:highlight w:val="none"/>
                <w:lang w:val="en-US"/>
              </w:rPr>
            </w:pPr>
            <w:r>
              <w:rPr>
                <w:rFonts w:hint="eastAsia"/>
                <w:color w:val="auto"/>
                <w:highlight w:val="none"/>
                <w:lang w:val="en-US"/>
              </w:rPr>
              <w:t>1029704</w:t>
            </w:r>
          </w:p>
        </w:tc>
      </w:tr>
    </w:tbl>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采购需求：周口市第六初级中学教室及宿舍设备采购项目（包括但不限于标的的名称、数量、简要技术需求或服务要求等）</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w:t>
      </w:r>
      <w:r>
        <w:rPr>
          <w:rFonts w:hint="eastAsia"/>
          <w:color w:val="auto"/>
          <w:sz w:val="24"/>
          <w:szCs w:val="24"/>
          <w:highlight w:val="none"/>
          <w:shd w:val="clear" w:color="auto" w:fill="FFFFFF"/>
        </w:rPr>
        <w:t>自签订合同之日起7日历天。</w:t>
      </w:r>
    </w:p>
    <w:p>
      <w:pPr>
        <w:autoSpaceDE/>
        <w:autoSpaceDN/>
        <w:spacing w:line="360" w:lineRule="auto"/>
        <w:ind w:firstLine="480" w:firstLineChars="200"/>
        <w:rPr>
          <w:color w:val="auto"/>
          <w:sz w:val="24"/>
          <w:szCs w:val="24"/>
          <w:highlight w:val="none"/>
          <w:lang w:val="en-US"/>
        </w:rPr>
      </w:pPr>
      <w:bookmarkStart w:id="10" w:name="_Toc28359013"/>
      <w:bookmarkStart w:id="11" w:name="_Toc35393799"/>
      <w:bookmarkStart w:id="12" w:name="_Toc35393630"/>
      <w:bookmarkStart w:id="13" w:name="_Toc28359090"/>
      <w:r>
        <w:rPr>
          <w:rFonts w:hint="eastAsia"/>
          <w:color w:val="auto"/>
          <w:sz w:val="24"/>
          <w:szCs w:val="24"/>
          <w:highlight w:val="none"/>
        </w:rPr>
        <w:t>是否接受进口产品：否</w:t>
      </w:r>
    </w:p>
    <w:p>
      <w:pPr>
        <w:autoSpaceDE/>
        <w:autoSpaceDN/>
        <w:spacing w:line="360" w:lineRule="auto"/>
        <w:ind w:firstLine="480" w:firstLineChars="200"/>
        <w:rPr>
          <w:color w:val="auto"/>
          <w:sz w:val="24"/>
          <w:szCs w:val="24"/>
          <w:highlight w:val="none"/>
          <w:lang w:val="en-US"/>
        </w:rPr>
      </w:pPr>
      <w:r>
        <w:rPr>
          <w:rFonts w:hint="eastAsia"/>
          <w:color w:val="auto"/>
          <w:sz w:val="24"/>
          <w:szCs w:val="24"/>
          <w:highlight w:val="none"/>
        </w:rPr>
        <w:t>本项目是否接受联合体投标：否</w:t>
      </w:r>
    </w:p>
    <w:p>
      <w:pPr>
        <w:spacing w:line="360" w:lineRule="auto"/>
        <w:ind w:firstLine="480"/>
        <w:rPr>
          <w:color w:val="auto"/>
          <w:sz w:val="24"/>
          <w:highlight w:val="none"/>
          <w:lang w:val="en-US"/>
        </w:rPr>
      </w:pPr>
      <w:r>
        <w:rPr>
          <w:rFonts w:hint="eastAsia"/>
          <w:color w:val="auto"/>
          <w:sz w:val="24"/>
          <w:szCs w:val="24"/>
          <w:highlight w:val="none"/>
        </w:rPr>
        <w:t>本项目是否</w:t>
      </w:r>
      <w:r>
        <w:rPr>
          <w:rFonts w:hint="eastAsia"/>
          <w:color w:val="auto"/>
          <w:sz w:val="24"/>
          <w:highlight w:val="none"/>
        </w:rPr>
        <w:t>为只面向中小企业采购：</w:t>
      </w:r>
      <w:r>
        <w:rPr>
          <w:rFonts w:hint="eastAsia"/>
          <w:color w:val="auto"/>
          <w:sz w:val="24"/>
          <w:highlight w:val="none"/>
          <w:lang w:val="en-US"/>
        </w:rPr>
        <w:t>否</w:t>
      </w:r>
    </w:p>
    <w:p>
      <w:pPr>
        <w:autoSpaceDE/>
        <w:autoSpaceDN/>
        <w:adjustRightInd w:val="0"/>
        <w:snapToGrid w:val="0"/>
        <w:spacing w:line="500" w:lineRule="atLeast"/>
        <w:ind w:firstLine="480" w:firstLineChars="200"/>
        <w:rPr>
          <w:color w:val="auto"/>
          <w:highlight w:val="none"/>
          <w:lang w:val="en-US"/>
        </w:rPr>
      </w:pPr>
      <w:r>
        <w:rPr>
          <w:rFonts w:hint="eastAsia"/>
          <w:color w:val="auto"/>
          <w:sz w:val="24"/>
          <w:szCs w:val="24"/>
          <w:highlight w:val="none"/>
          <w:lang w:val="en-US"/>
        </w:rPr>
        <w:t>必须提供中小企业声明函：否</w:t>
      </w:r>
    </w:p>
    <w:p>
      <w:pPr>
        <w:pStyle w:val="4"/>
        <w:spacing w:line="360" w:lineRule="auto"/>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pPr>
        <w:adjustRightInd w:val="0"/>
        <w:snapToGrid w:val="0"/>
        <w:spacing w:line="360" w:lineRule="auto"/>
        <w:ind w:firstLine="480" w:firstLineChars="200"/>
        <w:rPr>
          <w:color w:val="auto"/>
          <w:sz w:val="24"/>
          <w:highlight w:val="none"/>
        </w:rPr>
      </w:pPr>
      <w:r>
        <w:rPr>
          <w:rFonts w:hint="eastAsia"/>
          <w:color w:val="auto"/>
          <w:sz w:val="24"/>
          <w:highlight w:val="none"/>
        </w:rPr>
        <w:t>1.满足《中华人民共和国政府采购法》第二十二条规定；</w:t>
      </w:r>
    </w:p>
    <w:p>
      <w:pPr>
        <w:adjustRightInd w:val="0"/>
        <w:snapToGrid w:val="0"/>
        <w:spacing w:line="360" w:lineRule="auto"/>
        <w:ind w:firstLine="480" w:firstLineChars="200"/>
        <w:rPr>
          <w:color w:val="auto"/>
          <w:sz w:val="24"/>
          <w:highlight w:val="none"/>
        </w:rPr>
      </w:pPr>
      <w:r>
        <w:rPr>
          <w:rFonts w:hint="eastAsia"/>
          <w:color w:val="auto"/>
          <w:sz w:val="24"/>
          <w:highlight w:val="none"/>
        </w:rPr>
        <w:t>（1）具有独立承担民事责任的能力；</w:t>
      </w:r>
    </w:p>
    <w:p>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pPr>
        <w:spacing w:line="360" w:lineRule="auto"/>
        <w:ind w:firstLine="480" w:firstLineChars="200"/>
        <w:rPr>
          <w:color w:val="auto"/>
          <w:sz w:val="24"/>
          <w:szCs w:val="24"/>
          <w:highlight w:val="none"/>
        </w:rPr>
      </w:pPr>
      <w:r>
        <w:rPr>
          <w:rFonts w:hint="eastAsia" w:asciiTheme="minorEastAsia" w:hAnsi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rPr>
        <w:t>1</w:t>
      </w:r>
      <w:r>
        <w:rPr>
          <w:rFonts w:hint="eastAsia" w:asciiTheme="minorEastAsia" w:hAnsiTheme="minorEastAsia" w:cstheme="minorEastAsia"/>
          <w:color w:val="auto"/>
          <w:sz w:val="24"/>
          <w:szCs w:val="24"/>
          <w:highlight w:val="none"/>
        </w:rPr>
        <w:t>）</w:t>
      </w:r>
      <w:r>
        <w:rPr>
          <w:rFonts w:hint="eastAsia"/>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政府采购严重违法失信名单”、</w:t>
      </w:r>
      <w:r>
        <w:rPr>
          <w:rFonts w:hint="eastAsia"/>
          <w:color w:val="auto"/>
          <w:sz w:val="24"/>
          <w:szCs w:val="24"/>
          <w:highlight w:val="none"/>
          <w:lang w:val="en-US"/>
        </w:rPr>
        <w:t>“税收违法黑名单”</w:t>
      </w:r>
      <w:r>
        <w:rPr>
          <w:rFonts w:hint="eastAsia"/>
          <w:color w:val="auto"/>
          <w:sz w:val="24"/>
          <w:szCs w:val="24"/>
          <w:highlight w:val="none"/>
        </w:rPr>
        <w:t>和“中国政府采购”网站(www.ccgp.gov.cn)的“政府采购严重违法失信行为记录名单”的企业和法定代表人，将拒绝其参加政府采购活动；（投标文件中提供网站查询和网页链接的扫描件、法定代表人和委托代理人签章并加盖公章。查询时间公告后有效）。</w:t>
      </w:r>
    </w:p>
    <w:p>
      <w:pPr>
        <w:spacing w:line="360" w:lineRule="auto"/>
        <w:ind w:firstLine="480" w:firstLineChars="200"/>
        <w:rPr>
          <w:color w:val="auto"/>
          <w:sz w:val="24"/>
          <w:szCs w:val="24"/>
          <w:highlight w:val="none"/>
        </w:rPr>
      </w:pPr>
      <w:r>
        <w:rPr>
          <w:rFonts w:hint="eastAsia" w:asciiTheme="minorEastAsia" w:hAnsiTheme="minorEastAsia" w:cstheme="minorEastAsia"/>
          <w:color w:val="auto"/>
          <w:sz w:val="24"/>
          <w:szCs w:val="24"/>
          <w:highlight w:val="none"/>
        </w:rPr>
        <w:t>（2）投标单位负责人为同一人或存在直接控股、管理关系的不同投标人，不得参加同一合同项下的政府采购活动（提供国家企业信用信息系统查询截图，包括公司基础信息和股东信息，</w:t>
      </w:r>
      <w:r>
        <w:rPr>
          <w:rFonts w:hint="eastAsia"/>
          <w:color w:val="auto"/>
          <w:sz w:val="24"/>
          <w:szCs w:val="24"/>
          <w:highlight w:val="none"/>
        </w:rPr>
        <w:t>投标文件中提供加盖公章的网站查询扫描件、</w:t>
      </w:r>
      <w:r>
        <w:rPr>
          <w:rFonts w:hint="eastAsia"/>
          <w:color w:val="auto"/>
          <w:sz w:val="24"/>
          <w:szCs w:val="24"/>
          <w:highlight w:val="none"/>
          <w:lang w:val="en-US"/>
        </w:rPr>
        <w:t xml:space="preserve"> </w:t>
      </w:r>
      <w:r>
        <w:rPr>
          <w:rFonts w:hint="eastAsia"/>
          <w:color w:val="auto"/>
          <w:sz w:val="24"/>
          <w:szCs w:val="24"/>
          <w:highlight w:val="none"/>
        </w:rPr>
        <w:t>查询时间公告后有效）。</w:t>
      </w:r>
    </w:p>
    <w:p>
      <w:pPr>
        <w:spacing w:line="360" w:lineRule="auto"/>
        <w:ind w:firstLine="480" w:firstLineChars="200"/>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rPr>
        <w:t>3</w:t>
      </w:r>
      <w:r>
        <w:rPr>
          <w:rFonts w:hint="eastAsia"/>
          <w:color w:val="auto"/>
          <w:sz w:val="24"/>
          <w:szCs w:val="24"/>
          <w:highlight w:val="none"/>
        </w:rPr>
        <w:t>）法定代表人为同一个人的两个及两个以上法人，母公司、全资子公司及其控股公司，都不得在同一货物招标中同时投标。</w:t>
      </w:r>
    </w:p>
    <w:p>
      <w:pPr>
        <w:autoSpaceDE/>
        <w:autoSpaceDN/>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color w:val="auto"/>
          <w:sz w:val="24"/>
          <w:szCs w:val="24"/>
          <w:highlight w:val="none"/>
          <w:lang w:val="en-US"/>
        </w:rPr>
        <w:t xml:space="preserve">    </w:t>
      </w:r>
      <w:bookmarkStart w:id="16" w:name="_Toc35393631"/>
      <w:bookmarkStart w:id="17" w:name="_Toc35393800"/>
      <w:r>
        <w:rPr>
          <w:rFonts w:hint="eastAsia" w:asciiTheme="minorEastAsia" w:hAnsiTheme="minorEastAsia" w:eastAsiaTheme="minorEastAsia" w:cstheme="minorEastAsia"/>
          <w:color w:val="auto"/>
          <w:sz w:val="24"/>
          <w:szCs w:val="24"/>
          <w:highlight w:val="none"/>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2023</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12</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22</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lang w:val="en-US" w:eastAsia="zh-CN"/>
        </w:rPr>
        <w:t>2023</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12</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27</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pPr>
        <w:pStyle w:val="4"/>
        <w:spacing w:line="360" w:lineRule="auto"/>
        <w:jc w:val="left"/>
        <w:rPr>
          <w:rFonts w:asciiTheme="minorEastAsia" w:hAnsiTheme="minorEastAsia" w:eastAsiaTheme="minorEastAsia" w:cstheme="minorEastAsia"/>
          <w:b w:val="0"/>
          <w:color w:val="auto"/>
          <w:sz w:val="24"/>
          <w:szCs w:val="24"/>
          <w:highlight w:val="none"/>
        </w:rPr>
      </w:pPr>
      <w:bookmarkStart w:id="18" w:name="_Toc35393801"/>
      <w:bookmarkStart w:id="19" w:name="_Toc28359092"/>
      <w:bookmarkStart w:id="20" w:name="_Toc35393632"/>
      <w:bookmarkStart w:id="21" w:name="_Toc28359015"/>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lang w:val="en-US" w:eastAsia="zh-CN"/>
        </w:rPr>
        <w:t>2024</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1</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3</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pPr>
        <w:pStyle w:val="4"/>
        <w:spacing w:line="360" w:lineRule="auto"/>
        <w:jc w:val="left"/>
        <w:rPr>
          <w:rFonts w:asciiTheme="minorEastAsia" w:hAnsiTheme="minorEastAsia" w:eastAsiaTheme="minorEastAsia" w:cstheme="minorEastAsia"/>
          <w:b w:val="0"/>
          <w:color w:val="auto"/>
          <w:sz w:val="24"/>
          <w:szCs w:val="24"/>
          <w:highlight w:val="none"/>
        </w:rPr>
      </w:pPr>
      <w:bookmarkStart w:id="22" w:name="_Toc28359016"/>
      <w:bookmarkStart w:id="23" w:name="_Toc35393802"/>
      <w:bookmarkStart w:id="24" w:name="_Toc28359093"/>
      <w:bookmarkStart w:id="25" w:name="_Toc35393633"/>
      <w:r>
        <w:rPr>
          <w:rFonts w:hint="eastAsia" w:asciiTheme="minorEastAsia" w:hAnsiTheme="minorEastAsia" w:eastAsiaTheme="minorEastAsia" w:cstheme="minorEastAsia"/>
          <w:b w:val="0"/>
          <w:color w:val="auto"/>
          <w:sz w:val="24"/>
          <w:szCs w:val="24"/>
          <w:highlight w:val="none"/>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2024</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1</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3</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pPr>
        <w:pStyle w:val="4"/>
        <w:spacing w:line="360" w:lineRule="auto"/>
        <w:jc w:val="left"/>
        <w:rPr>
          <w:rFonts w:asciiTheme="minorEastAsia" w:hAnsiTheme="minorEastAsia" w:eastAsiaTheme="minorEastAsia" w:cstheme="minorEastAsia"/>
          <w:b w:val="0"/>
          <w:color w:val="auto"/>
          <w:sz w:val="24"/>
          <w:szCs w:val="24"/>
          <w:highlight w:val="none"/>
        </w:rPr>
      </w:pPr>
      <w:bookmarkStart w:id="26" w:name="_Toc28359017"/>
      <w:bookmarkStart w:id="27" w:name="_Toc35393634"/>
      <w:bookmarkStart w:id="28" w:name="_Toc28359094"/>
      <w:bookmarkStart w:id="29" w:name="_Toc35393803"/>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4"/>
        <w:spacing w:line="360" w:lineRule="auto"/>
        <w:jc w:val="left"/>
        <w:rPr>
          <w:rFonts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pPr>
        <w:pStyle w:val="4"/>
        <w:spacing w:line="360" w:lineRule="auto"/>
        <w:jc w:val="left"/>
        <w:rPr>
          <w:rFonts w:asciiTheme="minorEastAsia" w:hAnsiTheme="minorEastAsia" w:eastAsiaTheme="minorEastAsia" w:cstheme="minorEastAsia"/>
          <w:b w:val="0"/>
          <w:color w:val="auto"/>
          <w:sz w:val="24"/>
          <w:szCs w:val="24"/>
          <w:highlight w:val="none"/>
        </w:rPr>
      </w:pPr>
      <w:bookmarkStart w:id="32" w:name="_Toc35393805"/>
      <w:bookmarkStart w:id="33" w:name="_Toc28359095"/>
      <w:bookmarkStart w:id="34" w:name="_Toc35393636"/>
      <w:bookmarkStart w:id="35"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pPr>
        <w:spacing w:line="360" w:lineRule="auto"/>
        <w:ind w:firstLine="720" w:firstLineChars="300"/>
        <w:rPr>
          <w:rFonts w:hint="eastAsia"/>
          <w:color w:val="auto"/>
          <w:sz w:val="24"/>
          <w:szCs w:val="24"/>
          <w:highlight w:val="none"/>
        </w:rPr>
      </w:pPr>
      <w:bookmarkStart w:id="36" w:name="_Toc28359096"/>
      <w:bookmarkStart w:id="37" w:name="_Toc35393637"/>
      <w:bookmarkStart w:id="38" w:name="_Toc28359019"/>
      <w:bookmarkStart w:id="39" w:name="_Toc35393806"/>
      <w:r>
        <w:rPr>
          <w:rFonts w:hint="eastAsia"/>
          <w:color w:val="auto"/>
          <w:sz w:val="24"/>
          <w:szCs w:val="24"/>
          <w:highlight w:val="none"/>
        </w:rPr>
        <w:t>1.采购人信息</w:t>
      </w:r>
      <w:bookmarkEnd w:id="36"/>
      <w:bookmarkEnd w:id="37"/>
      <w:bookmarkEnd w:id="38"/>
      <w:bookmarkEnd w:id="39"/>
    </w:p>
    <w:p>
      <w:pPr>
        <w:spacing w:line="360" w:lineRule="auto"/>
        <w:ind w:firstLine="720" w:firstLineChars="300"/>
        <w:rPr>
          <w:rFonts w:hint="eastAsia"/>
          <w:color w:val="auto"/>
          <w:sz w:val="24"/>
          <w:szCs w:val="24"/>
          <w:highlight w:val="none"/>
        </w:rPr>
      </w:pPr>
      <w:r>
        <w:rPr>
          <w:rFonts w:hint="eastAsia"/>
          <w:color w:val="auto"/>
          <w:sz w:val="24"/>
          <w:szCs w:val="24"/>
          <w:highlight w:val="none"/>
        </w:rPr>
        <w:t>名称：周口市第六初级中学</w:t>
      </w:r>
    </w:p>
    <w:p>
      <w:pPr>
        <w:spacing w:line="360" w:lineRule="auto"/>
        <w:ind w:firstLine="720" w:firstLineChars="300"/>
        <w:rPr>
          <w:rFonts w:hint="eastAsia"/>
          <w:color w:val="auto"/>
          <w:sz w:val="24"/>
          <w:szCs w:val="24"/>
          <w:highlight w:val="none"/>
        </w:rPr>
      </w:pPr>
      <w:r>
        <w:rPr>
          <w:rFonts w:hint="eastAsia"/>
          <w:color w:val="auto"/>
          <w:sz w:val="24"/>
          <w:szCs w:val="24"/>
          <w:highlight w:val="none"/>
        </w:rPr>
        <w:t>地址：周口市</w:t>
      </w:r>
    </w:p>
    <w:p>
      <w:pPr>
        <w:spacing w:line="360" w:lineRule="auto"/>
        <w:ind w:firstLine="720" w:firstLineChars="300"/>
        <w:rPr>
          <w:rFonts w:hint="eastAsia"/>
          <w:color w:val="auto"/>
          <w:sz w:val="24"/>
          <w:szCs w:val="24"/>
          <w:highlight w:val="none"/>
          <w:lang w:val="en-US"/>
        </w:rPr>
      </w:pPr>
      <w:r>
        <w:rPr>
          <w:rFonts w:hint="eastAsia"/>
          <w:color w:val="auto"/>
          <w:sz w:val="24"/>
          <w:szCs w:val="24"/>
          <w:highlight w:val="none"/>
        </w:rPr>
        <w:t>项目联系人：</w:t>
      </w:r>
      <w:r>
        <w:rPr>
          <w:rFonts w:hint="eastAsia"/>
          <w:color w:val="auto"/>
          <w:sz w:val="24"/>
          <w:szCs w:val="24"/>
          <w:highlight w:val="none"/>
          <w:lang w:eastAsia="zh-CN"/>
        </w:rPr>
        <w:t>赵腾飞</w:t>
      </w:r>
      <w:r>
        <w:rPr>
          <w:rFonts w:hint="eastAsia"/>
          <w:color w:val="auto"/>
          <w:sz w:val="24"/>
          <w:szCs w:val="24"/>
          <w:highlight w:val="none"/>
          <w:lang w:val="en-US"/>
        </w:rPr>
        <w:t xml:space="preserve">   </w:t>
      </w:r>
    </w:p>
    <w:p>
      <w:pPr>
        <w:spacing w:line="360" w:lineRule="auto"/>
        <w:ind w:firstLine="720" w:firstLineChars="300"/>
        <w:rPr>
          <w:rFonts w:hint="eastAsia"/>
          <w:color w:val="auto"/>
          <w:sz w:val="24"/>
          <w:szCs w:val="24"/>
          <w:highlight w:val="none"/>
        </w:rPr>
      </w:pPr>
      <w:r>
        <w:rPr>
          <w:rFonts w:hint="eastAsia"/>
          <w:color w:val="auto"/>
          <w:sz w:val="24"/>
          <w:szCs w:val="24"/>
          <w:highlight w:val="none"/>
        </w:rPr>
        <w:t>联系电话：</w:t>
      </w:r>
      <w:r>
        <w:rPr>
          <w:rFonts w:hint="eastAsia"/>
          <w:color w:val="auto"/>
          <w:sz w:val="24"/>
          <w:szCs w:val="24"/>
          <w:highlight w:val="none"/>
          <w:lang w:val="en-US" w:eastAsia="zh-CN"/>
        </w:rPr>
        <w:t>15896769919</w:t>
      </w:r>
      <w:r>
        <w:rPr>
          <w:rFonts w:hint="eastAsia"/>
          <w:color w:val="auto"/>
          <w:sz w:val="24"/>
          <w:szCs w:val="24"/>
          <w:highlight w:val="none"/>
        </w:rPr>
        <w:t xml:space="preserve">　　　 　　　 </w:t>
      </w:r>
    </w:p>
    <w:p>
      <w:pPr>
        <w:spacing w:line="360" w:lineRule="auto"/>
        <w:ind w:firstLine="720" w:firstLineChars="300"/>
        <w:rPr>
          <w:rFonts w:hint="eastAsia"/>
          <w:color w:val="auto"/>
          <w:sz w:val="24"/>
          <w:szCs w:val="24"/>
          <w:highlight w:val="none"/>
        </w:rPr>
      </w:pPr>
      <w:bookmarkStart w:id="40" w:name="_Toc35393638"/>
      <w:bookmarkStart w:id="41" w:name="_Toc35393807"/>
      <w:bookmarkStart w:id="42" w:name="_Toc28359020"/>
      <w:bookmarkStart w:id="43" w:name="_Toc28359097"/>
      <w:r>
        <w:rPr>
          <w:rFonts w:hint="eastAsia"/>
          <w:color w:val="auto"/>
          <w:sz w:val="24"/>
          <w:szCs w:val="24"/>
          <w:highlight w:val="none"/>
        </w:rPr>
        <w:t>2.采购代理机构信息</w:t>
      </w:r>
      <w:bookmarkEnd w:id="40"/>
      <w:bookmarkEnd w:id="41"/>
      <w:bookmarkEnd w:id="42"/>
      <w:bookmarkEnd w:id="43"/>
    </w:p>
    <w:p>
      <w:pPr>
        <w:spacing w:line="360" w:lineRule="auto"/>
        <w:ind w:firstLine="720" w:firstLineChars="300"/>
        <w:rPr>
          <w:rFonts w:hint="eastAsia"/>
          <w:color w:val="auto"/>
          <w:sz w:val="24"/>
          <w:szCs w:val="24"/>
          <w:highlight w:val="none"/>
        </w:rPr>
      </w:pPr>
      <w:r>
        <w:rPr>
          <w:rFonts w:hint="eastAsia"/>
          <w:color w:val="auto"/>
          <w:sz w:val="24"/>
          <w:szCs w:val="24"/>
          <w:highlight w:val="none"/>
        </w:rPr>
        <w:t xml:space="preserve">名称：周口市公共资源交易中心政府采购中心 </w:t>
      </w:r>
    </w:p>
    <w:p>
      <w:pPr>
        <w:spacing w:line="360" w:lineRule="auto"/>
        <w:ind w:firstLine="720" w:firstLineChars="300"/>
        <w:rPr>
          <w:rFonts w:hint="eastAsia"/>
          <w:color w:val="auto"/>
          <w:sz w:val="24"/>
          <w:szCs w:val="24"/>
          <w:highlight w:val="none"/>
        </w:rPr>
      </w:pPr>
      <w:r>
        <w:rPr>
          <w:rFonts w:hint="eastAsia"/>
          <w:color w:val="auto"/>
          <w:sz w:val="24"/>
          <w:szCs w:val="24"/>
          <w:highlight w:val="none"/>
        </w:rPr>
        <w:t xml:space="preserve">地址：周口市东新区光明路和政通路交叉口北100米路东 </w:t>
      </w:r>
    </w:p>
    <w:p>
      <w:pPr>
        <w:spacing w:line="360" w:lineRule="auto"/>
        <w:ind w:firstLine="720" w:firstLineChars="300"/>
        <w:rPr>
          <w:rFonts w:hint="eastAsia"/>
          <w:color w:val="auto"/>
          <w:sz w:val="24"/>
          <w:szCs w:val="24"/>
          <w:highlight w:val="none"/>
          <w:lang w:val="en-US" w:eastAsia="zh-CN"/>
        </w:rPr>
      </w:pPr>
      <w:r>
        <w:rPr>
          <w:rFonts w:hint="eastAsia"/>
          <w:color w:val="auto"/>
          <w:sz w:val="24"/>
          <w:szCs w:val="24"/>
          <w:highlight w:val="none"/>
        </w:rPr>
        <w:t>项目联系人：</w:t>
      </w:r>
      <w:r>
        <w:rPr>
          <w:rFonts w:hint="eastAsia"/>
          <w:color w:val="auto"/>
          <w:sz w:val="24"/>
          <w:szCs w:val="24"/>
          <w:highlight w:val="none"/>
          <w:lang w:val="en-US" w:eastAsia="zh-CN"/>
        </w:rPr>
        <w:t>郭战伟</w:t>
      </w:r>
    </w:p>
    <w:p>
      <w:pPr>
        <w:spacing w:line="360" w:lineRule="auto"/>
        <w:ind w:firstLine="720" w:firstLineChars="300"/>
        <w:rPr>
          <w:rFonts w:hint="default"/>
          <w:color w:val="auto"/>
          <w:sz w:val="24"/>
          <w:szCs w:val="24"/>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eastAsia="zh-CN"/>
        </w:rPr>
        <w:t>0394-8106517</w:t>
      </w:r>
    </w:p>
    <w:p>
      <w:pPr>
        <w:spacing w:line="360" w:lineRule="auto"/>
        <w:ind w:firstLine="720" w:firstLineChars="300"/>
        <w:rPr>
          <w:rFonts w:hint="eastAsia"/>
          <w:color w:val="auto"/>
          <w:sz w:val="24"/>
          <w:szCs w:val="24"/>
          <w:highlight w:val="none"/>
          <w:lang w:eastAsia="zh-CN"/>
        </w:rPr>
      </w:pPr>
      <w:bookmarkStart w:id="44" w:name="_Toc28359021"/>
      <w:bookmarkStart w:id="45" w:name="_Toc35393639"/>
      <w:bookmarkStart w:id="46" w:name="_Toc28359098"/>
      <w:bookmarkStart w:id="47" w:name="_Toc35393808"/>
      <w:r>
        <w:rPr>
          <w:rFonts w:hint="eastAsia"/>
          <w:color w:val="auto"/>
          <w:sz w:val="24"/>
          <w:szCs w:val="24"/>
          <w:highlight w:val="none"/>
        </w:rPr>
        <w:t>3.</w:t>
      </w:r>
      <w:bookmarkEnd w:id="44"/>
      <w:bookmarkEnd w:id="45"/>
      <w:bookmarkEnd w:id="46"/>
      <w:bookmarkEnd w:id="47"/>
      <w:r>
        <w:rPr>
          <w:rFonts w:hint="eastAsia"/>
          <w:color w:val="auto"/>
          <w:sz w:val="24"/>
          <w:szCs w:val="24"/>
          <w:highlight w:val="none"/>
        </w:rPr>
        <w:t>监督单位：</w:t>
      </w:r>
      <w:r>
        <w:rPr>
          <w:rFonts w:hint="eastAsia"/>
          <w:color w:val="auto"/>
          <w:sz w:val="24"/>
          <w:szCs w:val="24"/>
          <w:highlight w:val="none"/>
          <w:lang w:eastAsia="zh-CN"/>
        </w:rPr>
        <w:t>川汇区财政局</w:t>
      </w:r>
    </w:p>
    <w:p>
      <w:pPr>
        <w:spacing w:line="360" w:lineRule="auto"/>
        <w:ind w:firstLine="720" w:firstLineChars="300"/>
        <w:rPr>
          <w:rFonts w:hint="eastAsia"/>
          <w:color w:val="auto"/>
          <w:sz w:val="24"/>
          <w:szCs w:val="24"/>
          <w:highlight w:val="none"/>
        </w:rPr>
      </w:pPr>
      <w:r>
        <w:rPr>
          <w:rFonts w:hint="eastAsia"/>
          <w:color w:val="auto"/>
          <w:sz w:val="24"/>
          <w:szCs w:val="24"/>
          <w:highlight w:val="none"/>
        </w:rPr>
        <w:t>联系方式：</w:t>
      </w:r>
      <w:r>
        <w:rPr>
          <w:rFonts w:hint="eastAsia"/>
          <w:color w:val="auto"/>
          <w:sz w:val="24"/>
          <w:szCs w:val="24"/>
          <w:highlight w:val="none"/>
          <w:lang w:eastAsia="zh-CN"/>
        </w:rPr>
        <w:t>0394-8231120</w:t>
      </w:r>
      <w:r>
        <w:rPr>
          <w:rFonts w:hint="eastAsia"/>
          <w:color w:val="auto"/>
          <w:sz w:val="24"/>
          <w:szCs w:val="24"/>
          <w:highlight w:val="none"/>
        </w:rPr>
        <w:t xml:space="preserve"> </w:t>
      </w:r>
    </w:p>
    <w:p>
      <w:pPr>
        <w:pStyle w:val="2"/>
        <w:adjustRightInd w:val="0"/>
        <w:snapToGrid w:val="0"/>
        <w:spacing w:line="360" w:lineRule="auto"/>
        <w:ind w:firstLine="1680" w:firstLineChars="700"/>
        <w:rPr>
          <w:rFonts w:hint="eastAsia"/>
          <w:color w:val="auto"/>
          <w:highlight w:val="none"/>
          <w:lang w:val="en-US"/>
        </w:rPr>
      </w:pPr>
      <w:r>
        <w:rPr>
          <w:rFonts w:hint="eastAsia"/>
          <w:color w:val="auto"/>
          <w:highlight w:val="none"/>
          <w:lang w:val="en-US"/>
        </w:rPr>
        <w:t xml:space="preserve"> </w:t>
      </w:r>
    </w:p>
    <w:p>
      <w:pPr>
        <w:pStyle w:val="2"/>
        <w:adjustRightInd w:val="0"/>
        <w:snapToGrid w:val="0"/>
        <w:spacing w:line="360" w:lineRule="auto"/>
        <w:ind w:firstLine="1680" w:firstLineChars="700"/>
        <w:rPr>
          <w:rFonts w:hint="eastAsia"/>
          <w:color w:val="auto"/>
          <w:highlight w:val="none"/>
          <w:lang w:val="en-US"/>
        </w:rPr>
      </w:pPr>
    </w:p>
    <w:p>
      <w:pPr>
        <w:pStyle w:val="2"/>
        <w:adjustRightInd w:val="0"/>
        <w:snapToGrid w:val="0"/>
        <w:spacing w:line="360" w:lineRule="auto"/>
        <w:ind w:firstLine="2400" w:firstLineChars="10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pPr>
        <w:pStyle w:val="2"/>
        <w:adjustRightInd w:val="0"/>
        <w:snapToGrid w:val="0"/>
        <w:spacing w:line="360" w:lineRule="auto"/>
        <w:ind w:firstLine="3240" w:firstLineChars="135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lang w:val="en-US"/>
        </w:rPr>
        <w:t>2023年12月</w:t>
      </w:r>
      <w:r>
        <w:rPr>
          <w:rFonts w:hint="eastAsia" w:asciiTheme="minorEastAsia" w:hAnsiTheme="minorEastAsia" w:eastAsiaTheme="minorEastAsia" w:cstheme="minorEastAsia"/>
          <w:color w:val="auto"/>
          <w:highlight w:val="none"/>
          <w:shd w:val="clear" w:color="auto" w:fill="FFFFFF"/>
          <w:lang w:val="en-US" w:eastAsia="zh-CN"/>
        </w:rPr>
        <w:t>22</w:t>
      </w:r>
      <w:r>
        <w:rPr>
          <w:rFonts w:hint="eastAsia" w:asciiTheme="minorEastAsia" w:hAnsiTheme="minorEastAsia" w:eastAsiaTheme="minorEastAsia" w:cstheme="minorEastAsia"/>
          <w:color w:val="auto"/>
          <w:highlight w:val="none"/>
        </w:rPr>
        <w:t>日</w:t>
      </w:r>
    </w:p>
    <w:p>
      <w:pPr>
        <w:rPr>
          <w:color w:val="auto"/>
          <w:highlight w:val="none"/>
        </w:rPr>
      </w:pPr>
    </w:p>
    <w:p>
      <w:pPr>
        <w:pStyle w:val="27"/>
        <w:ind w:firstLine="220"/>
        <w:rPr>
          <w:color w:val="auto"/>
          <w:highlight w:val="none"/>
        </w:rPr>
      </w:pPr>
    </w:p>
    <w:p>
      <w:pPr>
        <w:pStyle w:val="27"/>
        <w:ind w:firstLine="220"/>
        <w:rPr>
          <w:color w:val="auto"/>
          <w:highlight w:val="none"/>
        </w:rPr>
      </w:pPr>
    </w:p>
    <w:p>
      <w:pPr>
        <w:rPr>
          <w:rFonts w:asciiTheme="minorEastAsia" w:hAnsiTheme="minorEastAsia" w:eastAsiaTheme="minorEastAsia"/>
          <w:color w:val="auto"/>
          <w:highlight w:val="none"/>
        </w:rPr>
      </w:pPr>
      <w:bookmarkStart w:id="48" w:name="_bookmark1"/>
      <w:bookmarkEnd w:id="48"/>
      <w:bookmarkStart w:id="49" w:name="第二部分__项目内容及施工要求"/>
      <w:bookmarkEnd w:id="49"/>
      <w:r>
        <w:rPr>
          <w:rFonts w:hint="eastAsia" w:asciiTheme="minorEastAsia" w:hAnsiTheme="minorEastAsia" w:eastAsiaTheme="minorEastAsia"/>
          <w:color w:val="auto"/>
          <w:highlight w:val="none"/>
          <w:lang w:val="en-US"/>
        </w:rPr>
        <w:br w:type="page"/>
      </w:r>
    </w:p>
    <w:p>
      <w:pPr>
        <w:pStyle w:val="4"/>
        <w:numPr>
          <w:ilvl w:val="0"/>
          <w:numId w:val="1"/>
        </w:numPr>
        <w:tabs>
          <w:tab w:val="left" w:pos="1607"/>
        </w:tabs>
        <w:spacing w:before="1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谈判供应商须知</w:t>
      </w:r>
    </w:p>
    <w:p>
      <w:pPr>
        <w:spacing w:line="360" w:lineRule="auto"/>
        <w:jc w:val="center"/>
        <w:rPr>
          <w:rFonts w:asciiTheme="minorEastAsia" w:hAnsiTheme="minorEastAsia" w:eastAsiaTheme="minorEastAsia"/>
          <w:b/>
          <w:color w:val="auto"/>
          <w:szCs w:val="21"/>
          <w:highlight w:val="none"/>
        </w:rPr>
      </w:pPr>
    </w:p>
    <w:p>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pPr>
        <w:pStyle w:val="18"/>
        <w:rPr>
          <w:rFonts w:asciiTheme="minorEastAsia" w:hAnsiTheme="minorEastAsia" w:eastAsiaTheme="minorEastAsia"/>
          <w:color w:val="auto"/>
          <w:highlight w:val="none"/>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名称</w:t>
            </w:r>
          </w:p>
        </w:tc>
        <w:tc>
          <w:tcPr>
            <w:tcW w:w="6601" w:type="dxa"/>
            <w:vAlign w:val="center"/>
          </w:tcPr>
          <w:p>
            <w:pPr>
              <w:spacing w:line="360" w:lineRule="auto"/>
              <w:jc w:val="center"/>
              <w:rPr>
                <w:rFonts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项目名称</w:t>
            </w:r>
          </w:p>
        </w:tc>
        <w:tc>
          <w:tcPr>
            <w:tcW w:w="6601" w:type="dxa"/>
            <w:vAlign w:val="center"/>
          </w:tcPr>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周口市第六初级中学教室及宿舍设备采购项目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采购项目编号</w:t>
            </w:r>
          </w:p>
        </w:tc>
        <w:tc>
          <w:tcPr>
            <w:tcW w:w="6601" w:type="dxa"/>
            <w:vAlign w:val="center"/>
          </w:tcPr>
          <w:p>
            <w:pPr>
              <w:spacing w:line="360" w:lineRule="auto"/>
              <w:rPr>
                <w:rFonts w:asciiTheme="minorEastAsia" w:hAnsiTheme="minorEastAsia" w:eastAsiaTheme="minorEastAsia"/>
                <w:bCs/>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2023-12-55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采购人</w:t>
            </w:r>
          </w:p>
        </w:tc>
        <w:tc>
          <w:tcPr>
            <w:tcW w:w="6601" w:type="dxa"/>
            <w:vAlign w:val="center"/>
          </w:tcPr>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采购人：</w:t>
            </w:r>
            <w:r>
              <w:rPr>
                <w:rFonts w:hint="eastAsia" w:asciiTheme="minorEastAsia" w:hAnsiTheme="minorEastAsia" w:eastAsiaTheme="minorEastAsia" w:cstheme="minorEastAsia"/>
                <w:color w:val="auto"/>
                <w:sz w:val="24"/>
                <w:szCs w:val="24"/>
                <w:highlight w:val="none"/>
              </w:rPr>
              <w:t>周口市第六初级中学</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eastAsia="zh-CN"/>
              </w:rPr>
              <w:t>赵腾飞</w:t>
            </w:r>
            <w:r>
              <w:rPr>
                <w:rFonts w:hint="eastAsia" w:asciiTheme="minorEastAsia" w:hAnsiTheme="minorEastAsia" w:eastAsiaTheme="minorEastAsia" w:cstheme="minorEastAsia"/>
                <w:color w:val="auto"/>
                <w:sz w:val="24"/>
                <w:szCs w:val="24"/>
                <w:highlight w:val="none"/>
              </w:rPr>
              <w:t xml:space="preserve"> </w:t>
            </w:r>
          </w:p>
          <w:p>
            <w:pPr>
              <w:spacing w:line="360" w:lineRule="auto"/>
              <w:rPr>
                <w:bCs/>
                <w:color w:val="auto"/>
                <w:sz w:val="24"/>
                <w:szCs w:val="24"/>
                <w:highlight w:val="none"/>
                <w:lang w:val="en-US"/>
              </w:rPr>
            </w:pPr>
            <w:r>
              <w:rPr>
                <w:rFonts w:hint="eastAsia"/>
                <w:bCs/>
                <w:color w:val="auto"/>
                <w:sz w:val="24"/>
                <w:szCs w:val="24"/>
                <w:highlight w:val="none"/>
              </w:rPr>
              <w:t>电    话：</w:t>
            </w:r>
            <w:r>
              <w:rPr>
                <w:rFonts w:hint="eastAsia" w:asciiTheme="minorEastAsia" w:hAnsiTheme="minorEastAsia" w:eastAsiaTheme="minorEastAsia" w:cstheme="minorEastAsia"/>
                <w:color w:val="auto"/>
                <w:sz w:val="24"/>
                <w:szCs w:val="24"/>
                <w:highlight w:val="none"/>
                <w:lang w:val="en-US" w:eastAsia="zh-CN"/>
              </w:rPr>
              <w:t>15896769919</w:t>
            </w:r>
            <w:r>
              <w:rPr>
                <w:rFonts w:hint="eastAsia" w:asciiTheme="minorEastAsia" w:hAnsiTheme="minorEastAsia" w:eastAsiaTheme="minorEastAsia" w:cstheme="minorEastAsia"/>
                <w:color w:val="auto"/>
                <w:sz w:val="24"/>
                <w:szCs w:val="24"/>
                <w:highlight w:val="none"/>
              </w:rPr>
              <w:t>　</w:t>
            </w:r>
          </w:p>
          <w:p>
            <w:pPr>
              <w:spacing w:line="360" w:lineRule="auto"/>
              <w:rPr>
                <w:rFonts w:asciiTheme="minorEastAsia" w:hAnsiTheme="minorEastAsia" w:eastAsiaTheme="minorEastAsia"/>
                <w:color w:val="auto"/>
                <w:sz w:val="24"/>
                <w:szCs w:val="24"/>
                <w:highlight w:val="none"/>
                <w:lang w:val="en-US"/>
              </w:rPr>
            </w:pPr>
            <w:r>
              <w:rPr>
                <w:rFonts w:hint="eastAsia"/>
                <w:bCs/>
                <w:color w:val="auto"/>
                <w:sz w:val="24"/>
                <w:szCs w:val="24"/>
                <w:highlight w:val="none"/>
              </w:rPr>
              <w:t>联系地址：</w:t>
            </w:r>
            <w:r>
              <w:rPr>
                <w:rFonts w:hint="eastAsia" w:asciiTheme="minorEastAsia" w:hAnsiTheme="minorEastAsia" w:eastAsiaTheme="minorEastAsia" w:cstheme="minorEastAsia"/>
                <w:color w:val="auto"/>
                <w:sz w:val="24"/>
                <w:szCs w:val="24"/>
                <w:highlight w:val="none"/>
              </w:rPr>
              <w:t>周口市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采购代理机构</w:t>
            </w:r>
          </w:p>
        </w:tc>
        <w:tc>
          <w:tcPr>
            <w:tcW w:w="6601" w:type="dxa"/>
            <w:vAlign w:val="center"/>
          </w:tcPr>
          <w:p>
            <w:pPr>
              <w:spacing w:line="360" w:lineRule="auto"/>
              <w:rPr>
                <w:rFonts w:asciiTheme="minorEastAsia" w:hAnsiTheme="minorEastAsia" w:eastAsiaTheme="minorEastAsia"/>
                <w:bCs/>
                <w:color w:val="auto"/>
                <w:sz w:val="24"/>
                <w:szCs w:val="24"/>
                <w:highlight w:val="none"/>
                <w:lang w:val="en-US"/>
              </w:rPr>
            </w:pPr>
            <w:r>
              <w:rPr>
                <w:rFonts w:hint="eastAsia" w:asciiTheme="minorEastAsia" w:hAnsiTheme="minorEastAsia" w:eastAsiaTheme="minorEastAsia"/>
                <w:bCs/>
                <w:color w:val="auto"/>
                <w:sz w:val="24"/>
                <w:szCs w:val="24"/>
                <w:highlight w:val="none"/>
              </w:rPr>
              <w:t>采购代理机构：</w:t>
            </w:r>
            <w:r>
              <w:rPr>
                <w:rFonts w:hint="eastAsia" w:asciiTheme="minorEastAsia" w:hAnsiTheme="minorEastAsia" w:eastAsiaTheme="minorEastAsia"/>
                <w:bCs/>
                <w:color w:val="auto"/>
                <w:sz w:val="24"/>
                <w:szCs w:val="24"/>
                <w:highlight w:val="none"/>
                <w:lang w:val="en-US"/>
              </w:rPr>
              <w:t>周口市公共资源交易中心政府采购中心</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联 系 人：</w:t>
            </w:r>
            <w:r>
              <w:rPr>
                <w:rFonts w:hint="eastAsia" w:asciiTheme="minorEastAsia" w:hAnsiTheme="minorEastAsia" w:eastAsiaTheme="minorEastAsia"/>
                <w:color w:val="auto"/>
                <w:sz w:val="24"/>
                <w:szCs w:val="24"/>
                <w:highlight w:val="none"/>
                <w:shd w:val="clear" w:color="auto" w:fill="FFFFFF"/>
              </w:rPr>
              <w:t>******</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电    话：</w:t>
            </w:r>
            <w:r>
              <w:rPr>
                <w:rFonts w:hint="eastAsia"/>
                <w:bCs/>
                <w:color w:val="auto"/>
                <w:sz w:val="24"/>
                <w:szCs w:val="24"/>
                <w:highlight w:val="none"/>
                <w:lang w:val="en-US"/>
              </w:rPr>
              <w:t>0394-8106517</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联系地址：</w:t>
            </w:r>
            <w:r>
              <w:rPr>
                <w:rFonts w:hint="eastAsia"/>
                <w:bCs/>
                <w:color w:val="auto"/>
                <w:sz w:val="24"/>
                <w:szCs w:val="24"/>
                <w:highlight w:val="none"/>
              </w:rPr>
              <w:t xml:space="preserve">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资金来源</w:t>
            </w:r>
          </w:p>
        </w:tc>
        <w:tc>
          <w:tcPr>
            <w:tcW w:w="6601" w:type="dxa"/>
            <w:vAlign w:val="center"/>
          </w:tcPr>
          <w:p>
            <w:pPr>
              <w:spacing w:line="360" w:lineRule="auto"/>
              <w:rPr>
                <w:rFonts w:asciiTheme="minorEastAsia" w:hAnsiTheme="minorEastAsia" w:eastAsiaTheme="minorEastAsia"/>
                <w:bCs/>
                <w:color w:val="auto"/>
                <w:sz w:val="24"/>
                <w:szCs w:val="24"/>
                <w:highlight w:val="none"/>
              </w:rPr>
            </w:pPr>
            <w:r>
              <w:rPr>
                <w:rFonts w:hint="eastAsia"/>
                <w:color w:val="auto"/>
                <w:sz w:val="24"/>
                <w:szCs w:val="24"/>
                <w:highlight w:val="none"/>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lang w:val="en-US"/>
              </w:rPr>
              <w:t>预算</w:t>
            </w:r>
            <w:r>
              <w:rPr>
                <w:rFonts w:hint="eastAsia" w:asciiTheme="minorEastAsia" w:hAnsiTheme="minorEastAsia" w:eastAsiaTheme="minorEastAsia"/>
                <w:bCs/>
                <w:color w:val="auto"/>
                <w:sz w:val="24"/>
                <w:szCs w:val="24"/>
                <w:highlight w:val="none"/>
              </w:rPr>
              <w:t>金额</w:t>
            </w:r>
          </w:p>
        </w:tc>
        <w:tc>
          <w:tcPr>
            <w:tcW w:w="6601" w:type="dxa"/>
            <w:vAlign w:val="center"/>
          </w:tcPr>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1029704元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交货期</w:t>
            </w:r>
          </w:p>
        </w:tc>
        <w:tc>
          <w:tcPr>
            <w:tcW w:w="6601" w:type="dxa"/>
            <w:vAlign w:val="center"/>
          </w:tcPr>
          <w:p>
            <w:pPr>
              <w:spacing w:line="360" w:lineRule="auto"/>
              <w:ind w:firstLine="480" w:firstLineChars="200"/>
              <w:rPr>
                <w:rFonts w:asciiTheme="minorEastAsia" w:hAnsiTheme="minorEastAsia" w:eastAsiaTheme="minorEastAsia"/>
                <w:bCs/>
                <w:color w:val="auto"/>
                <w:sz w:val="24"/>
                <w:szCs w:val="24"/>
                <w:highlight w:val="none"/>
              </w:rPr>
            </w:pPr>
            <w:r>
              <w:rPr>
                <w:rFonts w:hint="eastAsia"/>
                <w:color w:val="auto"/>
                <w:sz w:val="24"/>
                <w:szCs w:val="24"/>
                <w:highlight w:val="none"/>
                <w:shd w:val="clear" w:color="auto" w:fill="FFFFFF"/>
              </w:rPr>
              <w:t>自签订合同之日起7日历天。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交货地点</w:t>
            </w:r>
          </w:p>
        </w:tc>
        <w:tc>
          <w:tcPr>
            <w:tcW w:w="6601" w:type="dxa"/>
            <w:vAlign w:val="center"/>
          </w:tcPr>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9</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采购内容</w:t>
            </w:r>
          </w:p>
        </w:tc>
        <w:tc>
          <w:tcPr>
            <w:tcW w:w="6601" w:type="dxa"/>
            <w:vAlign w:val="center"/>
          </w:tcPr>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周口市第六初级中学教室及宿舍设备采购项目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10</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供应商资格要求</w:t>
            </w:r>
          </w:p>
        </w:tc>
        <w:tc>
          <w:tcPr>
            <w:tcW w:w="6601" w:type="dxa"/>
            <w:vAlign w:val="center"/>
          </w:tcPr>
          <w:p>
            <w:pPr>
              <w:adjustRightInd w:val="0"/>
              <w:snapToGrid w:val="0"/>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见公告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投标有效期</w:t>
            </w:r>
          </w:p>
        </w:tc>
        <w:tc>
          <w:tcPr>
            <w:tcW w:w="6601" w:type="dxa"/>
            <w:vAlign w:val="center"/>
          </w:tcPr>
          <w:p>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自投标截止之日起</w:t>
            </w:r>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投标保证金</w:t>
            </w:r>
          </w:p>
        </w:tc>
        <w:tc>
          <w:tcPr>
            <w:tcW w:w="6601" w:type="dxa"/>
            <w:vAlign w:val="center"/>
          </w:tcPr>
          <w:p>
            <w:pPr>
              <w:adjustRightInd w:val="0"/>
              <w:spacing w:line="380" w:lineRule="exact"/>
              <w:textAlignment w:val="baseline"/>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签字或盖章要求</w:t>
            </w:r>
          </w:p>
        </w:tc>
        <w:tc>
          <w:tcPr>
            <w:tcW w:w="6601" w:type="dxa"/>
            <w:vAlign w:val="center"/>
          </w:tcPr>
          <w:p>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投标文件份数</w:t>
            </w:r>
          </w:p>
        </w:tc>
        <w:tc>
          <w:tcPr>
            <w:tcW w:w="6601" w:type="dxa"/>
            <w:vAlign w:val="center"/>
          </w:tcPr>
          <w:p>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1、投标文件为使用周口市公共资源交易中心提供的电子标书制作工具软件（</w:t>
            </w:r>
            <w:r>
              <w:rPr>
                <w:rFonts w:hint="eastAsia" w:asciiTheme="minorEastAsia" w:hAnsiTheme="minorEastAsia" w:eastAsiaTheme="minorEastAsia"/>
                <w:color w:val="auto"/>
                <w:kern w:val="2"/>
                <w:sz w:val="24"/>
                <w:szCs w:val="24"/>
                <w:highlight w:val="none"/>
                <w:lang w:val="en-US"/>
              </w:rPr>
              <w:t>http://jyzx.zhoukou.gov.cn</w:t>
            </w:r>
            <w:r>
              <w:rPr>
                <w:rFonts w:hint="eastAsia" w:asciiTheme="minorEastAsia" w:hAnsiTheme="minorEastAsia" w:eastAsiaTheme="minorEastAsia"/>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15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投标截止时间</w:t>
            </w:r>
          </w:p>
        </w:tc>
        <w:tc>
          <w:tcPr>
            <w:tcW w:w="6601" w:type="dxa"/>
            <w:vAlign w:val="center"/>
          </w:tcPr>
          <w:p>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递交</w:t>
            </w:r>
            <w:r>
              <w:rPr>
                <w:rFonts w:hint="eastAsia" w:asciiTheme="minorEastAsia" w:hAnsiTheme="minorEastAsia" w:eastAsiaTheme="minorEastAsia"/>
                <w:color w:val="auto"/>
                <w:sz w:val="24"/>
                <w:szCs w:val="24"/>
                <w:highlight w:val="none"/>
                <w:lang w:val="en-US"/>
              </w:rPr>
              <w:t>响应</w:t>
            </w:r>
            <w:r>
              <w:rPr>
                <w:rFonts w:asciiTheme="minorEastAsia" w:hAnsiTheme="minorEastAsia" w:eastAsiaTheme="minorEastAsia"/>
                <w:color w:val="auto"/>
                <w:sz w:val="24"/>
                <w:szCs w:val="24"/>
                <w:highlight w:val="none"/>
              </w:rPr>
              <w:t>文件截止时间：</w:t>
            </w:r>
            <w:r>
              <w:rPr>
                <w:rFonts w:hint="eastAsia" w:asciiTheme="minorEastAsia" w:hAnsiTheme="minorEastAsia" w:eastAsiaTheme="minorEastAsia"/>
                <w:color w:val="auto"/>
                <w:sz w:val="24"/>
                <w:szCs w:val="24"/>
                <w:highlight w:val="none"/>
                <w:shd w:val="clear" w:color="auto" w:fill="FFFFFF"/>
              </w:rPr>
              <w:t>******</w:t>
            </w:r>
            <w:r>
              <w:rPr>
                <w:rFonts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shd w:val="clear" w:color="auto" w:fill="FFFFFF"/>
              </w:rPr>
              <w:t>******</w:t>
            </w:r>
            <w:r>
              <w:rPr>
                <w:rFonts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shd w:val="clear" w:color="auto" w:fill="FFFFFF"/>
              </w:rPr>
              <w:t>******</w:t>
            </w:r>
            <w:r>
              <w:rPr>
                <w:rFonts w:asciiTheme="minorEastAsia" w:hAnsiTheme="minorEastAsia" w:eastAsiaTheme="minorEastAsia"/>
                <w:color w:val="auto"/>
                <w:sz w:val="24"/>
                <w:szCs w:val="24"/>
                <w:highlight w:val="none"/>
              </w:rPr>
              <w:t>日</w:t>
            </w:r>
            <w:r>
              <w:rPr>
                <w:rFonts w:hint="eastAsia" w:asciiTheme="minorEastAsia" w:hAnsiTheme="minorEastAsia" w:eastAsiaTheme="minorEastAsia"/>
                <w:color w:val="auto"/>
                <w:sz w:val="24"/>
                <w:szCs w:val="24"/>
                <w:highlight w:val="none"/>
                <w:lang w:val="en-US"/>
              </w:rPr>
              <w:t>10</w:t>
            </w:r>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rPr>
              <w:t>0</w:t>
            </w:r>
            <w:r>
              <w:rPr>
                <w:rFonts w:hint="eastAsia" w:asciiTheme="minorEastAsia" w:hAnsiTheme="minorEastAsia" w:eastAsiaTheme="minorEastAsia"/>
                <w:color w:val="auto"/>
                <w:sz w:val="24"/>
                <w:szCs w:val="24"/>
                <w:highlight w:val="none"/>
              </w:rPr>
              <w:t>0时整</w:t>
            </w:r>
            <w:r>
              <w:rPr>
                <w:rFonts w:asciiTheme="minorEastAsia" w:hAnsiTheme="minorEastAsia" w:eastAsiaTheme="minorEastAsia"/>
                <w:color w:val="auto"/>
                <w:sz w:val="24"/>
                <w:szCs w:val="24"/>
                <w:highlight w:val="none"/>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开标时间</w:t>
            </w:r>
          </w:p>
          <w:p>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和地点</w:t>
            </w:r>
          </w:p>
        </w:tc>
        <w:tc>
          <w:tcPr>
            <w:tcW w:w="6601" w:type="dxa"/>
            <w:vAlign w:val="center"/>
          </w:tcPr>
          <w:p>
            <w:pPr>
              <w:spacing w:line="400" w:lineRule="exact"/>
              <w:rPr>
                <w:color w:val="auto"/>
                <w:sz w:val="24"/>
                <w:szCs w:val="24"/>
                <w:highlight w:val="none"/>
              </w:rPr>
            </w:pPr>
            <w:r>
              <w:rPr>
                <w:rFonts w:hint="eastAsia"/>
                <w:color w:val="auto"/>
                <w:sz w:val="24"/>
                <w:szCs w:val="24"/>
                <w:highlight w:val="none"/>
              </w:rPr>
              <w:t>开标时间：</w:t>
            </w:r>
            <w:r>
              <w:rPr>
                <w:rFonts w:hint="eastAsia" w:asciiTheme="minorEastAsia" w:hAnsiTheme="minorEastAsia" w:eastAsiaTheme="minorEastAsia"/>
                <w:color w:val="auto"/>
                <w:sz w:val="24"/>
                <w:szCs w:val="24"/>
                <w:highlight w:val="none"/>
                <w:shd w:val="clear" w:color="auto" w:fill="FFFFFF"/>
              </w:rPr>
              <w:t>***</w:t>
            </w:r>
            <w:r>
              <w:rPr>
                <w:color w:val="auto"/>
                <w:sz w:val="24"/>
                <w:szCs w:val="24"/>
                <w:highlight w:val="none"/>
              </w:rPr>
              <w:t>年</w:t>
            </w:r>
            <w:r>
              <w:rPr>
                <w:rFonts w:hint="eastAsia" w:asciiTheme="minorEastAsia" w:hAnsiTheme="minorEastAsia" w:eastAsiaTheme="minorEastAsia"/>
                <w:color w:val="auto"/>
                <w:sz w:val="24"/>
                <w:szCs w:val="24"/>
                <w:highlight w:val="none"/>
                <w:shd w:val="clear" w:color="auto" w:fill="FFFFFF"/>
              </w:rPr>
              <w:t>******</w:t>
            </w:r>
            <w:r>
              <w:rPr>
                <w:color w:val="auto"/>
                <w:sz w:val="24"/>
                <w:szCs w:val="24"/>
                <w:highlight w:val="none"/>
              </w:rPr>
              <w:t>月</w:t>
            </w:r>
            <w:r>
              <w:rPr>
                <w:rFonts w:hint="eastAsia" w:asciiTheme="minorEastAsia" w:hAnsiTheme="minorEastAsia" w:eastAsiaTheme="minorEastAsia"/>
                <w:color w:val="auto"/>
                <w:sz w:val="24"/>
                <w:szCs w:val="24"/>
                <w:highlight w:val="none"/>
                <w:shd w:val="clear" w:color="auto" w:fill="FFFFFF"/>
              </w:rPr>
              <w:t>******</w:t>
            </w:r>
            <w:r>
              <w:rPr>
                <w:color w:val="auto"/>
                <w:sz w:val="24"/>
                <w:szCs w:val="24"/>
                <w:highlight w:val="none"/>
              </w:rPr>
              <w:t>日</w:t>
            </w:r>
            <w:r>
              <w:rPr>
                <w:rFonts w:hint="eastAsia"/>
                <w:color w:val="auto"/>
                <w:sz w:val="24"/>
                <w:szCs w:val="24"/>
                <w:highlight w:val="none"/>
                <w:lang w:val="en-US"/>
              </w:rPr>
              <w:t>10</w:t>
            </w:r>
            <w:r>
              <w:rPr>
                <w:rFonts w:hint="eastAsia"/>
                <w:color w:val="auto"/>
                <w:sz w:val="24"/>
                <w:szCs w:val="24"/>
                <w:highlight w:val="none"/>
              </w:rPr>
              <w:t>:</w:t>
            </w:r>
            <w:r>
              <w:rPr>
                <w:rFonts w:hint="eastAsia"/>
                <w:color w:val="auto"/>
                <w:sz w:val="24"/>
                <w:szCs w:val="24"/>
                <w:highlight w:val="none"/>
                <w:lang w:val="en-US"/>
              </w:rPr>
              <w:t>0</w:t>
            </w:r>
            <w:r>
              <w:rPr>
                <w:rFonts w:hint="eastAsia"/>
                <w:color w:val="auto"/>
                <w:sz w:val="24"/>
                <w:szCs w:val="24"/>
                <w:highlight w:val="none"/>
              </w:rPr>
              <w:t>0时整</w:t>
            </w:r>
            <w:r>
              <w:rPr>
                <w:color w:val="auto"/>
                <w:sz w:val="24"/>
                <w:szCs w:val="24"/>
                <w:highlight w:val="none"/>
              </w:rPr>
              <w:t>（北京时间）</w:t>
            </w:r>
          </w:p>
          <w:p>
            <w:pPr>
              <w:spacing w:line="360" w:lineRule="auto"/>
              <w:rPr>
                <w:color w:val="auto"/>
                <w:sz w:val="24"/>
                <w:szCs w:val="24"/>
                <w:highlight w:val="none"/>
                <w:lang w:val="en-US"/>
              </w:rPr>
            </w:pPr>
            <w:r>
              <w:rPr>
                <w:rFonts w:hint="eastAsia"/>
                <w:color w:val="auto"/>
                <w:sz w:val="24"/>
                <w:szCs w:val="24"/>
                <w:highlight w:val="none"/>
              </w:rPr>
              <w:t>开标地点：周口市公共资源交易中心</w:t>
            </w:r>
            <w:r>
              <w:rPr>
                <w:rFonts w:hint="eastAsia"/>
                <w:color w:val="auto"/>
                <w:sz w:val="24"/>
                <w:szCs w:val="24"/>
                <w:highlight w:val="none"/>
                <w:lang w:val="en-US"/>
              </w:rPr>
              <w:t>网</w:t>
            </w:r>
          </w:p>
          <w:p>
            <w:pPr>
              <w:spacing w:line="360" w:lineRule="auto"/>
              <w:rPr>
                <w:color w:val="auto"/>
                <w:sz w:val="24"/>
                <w:szCs w:val="24"/>
                <w:highlight w:val="none"/>
                <w:lang w:val="en-US"/>
              </w:rPr>
            </w:pPr>
            <w:r>
              <w:rPr>
                <w:rFonts w:hint="eastAsia"/>
                <w:color w:val="auto"/>
                <w:sz w:val="24"/>
                <w:szCs w:val="24"/>
                <w:highlight w:val="none"/>
              </w:rPr>
              <w:t>网址</w:t>
            </w:r>
            <w:r>
              <w:rPr>
                <w:rFonts w:hint="eastAsia"/>
                <w:color w:val="auto"/>
                <w:sz w:val="24"/>
                <w:szCs w:val="24"/>
                <w:highlight w:val="none"/>
                <w:lang w:val="en-US"/>
              </w:rPr>
              <w:t>：</w:t>
            </w:r>
            <w:r>
              <w:rPr>
                <w:rFonts w:hint="eastAsia"/>
                <w:color w:val="auto"/>
                <w:sz w:val="24"/>
                <w:szCs w:val="24"/>
                <w:highlight w:val="none"/>
              </w:rPr>
              <w:t>周口市公共资源电子交易服务平台会员系统</w:t>
            </w:r>
            <w:r>
              <w:rPr>
                <w:rFonts w:hint="eastAsia"/>
                <w:color w:val="auto"/>
                <w:sz w:val="24"/>
                <w:szCs w:val="24"/>
                <w:highlight w:val="none"/>
                <w:lang w:val="en-US"/>
              </w:rPr>
              <w:t>（</w:t>
            </w:r>
            <w:r>
              <w:rPr>
                <w:rFonts w:hint="eastAsia"/>
                <w:color w:val="auto"/>
                <w:sz w:val="24"/>
                <w:szCs w:val="24"/>
                <w:highlight w:val="none"/>
              </w:rPr>
              <w:t>网址</w:t>
            </w:r>
            <w:r>
              <w:rPr>
                <w:rFonts w:hint="eastAsia"/>
                <w:color w:val="auto"/>
                <w:sz w:val="24"/>
                <w:szCs w:val="24"/>
                <w:highlight w:val="none"/>
                <w:lang w:val="en-US"/>
              </w:rPr>
              <w:t>http://jyzx.zhoukou.gov.cn）</w:t>
            </w:r>
          </w:p>
          <w:p>
            <w:pPr>
              <w:spacing w:line="360" w:lineRule="auto"/>
              <w:rPr>
                <w:rFonts w:asciiTheme="minorEastAsia" w:hAnsiTheme="minorEastAsia" w:eastAsiaTheme="minorEastAsia"/>
                <w:color w:val="auto"/>
                <w:sz w:val="24"/>
                <w:szCs w:val="24"/>
                <w:highlight w:val="none"/>
                <w:lang w:val="en-US"/>
              </w:rPr>
            </w:pPr>
            <w:r>
              <w:rPr>
                <w:rFonts w:hint="eastAsia"/>
                <w:color w:val="auto"/>
                <w:sz w:val="24"/>
                <w:szCs w:val="24"/>
                <w:highlight w:val="none"/>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评标委员会的组建</w:t>
            </w:r>
          </w:p>
        </w:tc>
        <w:tc>
          <w:tcPr>
            <w:tcW w:w="6601" w:type="dxa"/>
            <w:vAlign w:val="center"/>
          </w:tcPr>
          <w:p>
            <w:p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评标委员会构成：</w:t>
            </w:r>
            <w:r>
              <w:rPr>
                <w:rFonts w:hint="eastAsia" w:asciiTheme="minorEastAsia" w:hAnsiTheme="minorEastAsia" w:eastAsiaTheme="minorEastAsia"/>
                <w:color w:val="auto"/>
                <w:sz w:val="24"/>
                <w:szCs w:val="24"/>
                <w:highlight w:val="none"/>
                <w:shd w:val="clear" w:color="auto" w:fill="FFFFFF"/>
                <w:lang w:val="en-US"/>
              </w:rPr>
              <w:t>3</w:t>
            </w:r>
            <w:r>
              <w:rPr>
                <w:rFonts w:hint="eastAsia" w:asciiTheme="minorEastAsia" w:hAnsiTheme="minorEastAsia" w:eastAsiaTheme="minorEastAsia"/>
                <w:color w:val="auto"/>
                <w:sz w:val="24"/>
                <w:szCs w:val="24"/>
                <w:highlight w:val="none"/>
              </w:rPr>
              <w:t>人，其中采购人代表</w:t>
            </w:r>
            <w:r>
              <w:rPr>
                <w:rFonts w:hint="eastAsia" w:asciiTheme="minorEastAsia" w:hAnsiTheme="minorEastAsia" w:eastAsiaTheme="minorEastAsia"/>
                <w:color w:val="auto"/>
                <w:sz w:val="24"/>
                <w:szCs w:val="24"/>
                <w:highlight w:val="none"/>
                <w:shd w:val="clear" w:color="auto" w:fill="FFFFFF"/>
                <w:lang w:val="en-US"/>
              </w:rPr>
              <w:t>1</w:t>
            </w:r>
            <w:r>
              <w:rPr>
                <w:rFonts w:hint="eastAsia" w:asciiTheme="minorEastAsia" w:hAnsiTheme="minorEastAsia" w:eastAsiaTheme="minorEastAsia"/>
                <w:color w:val="auto"/>
                <w:sz w:val="24"/>
                <w:szCs w:val="24"/>
                <w:highlight w:val="none"/>
              </w:rPr>
              <w:t>人，技术、经济专家</w:t>
            </w:r>
            <w:r>
              <w:rPr>
                <w:rFonts w:hint="eastAsia" w:asciiTheme="minorEastAsia" w:hAnsiTheme="minorEastAsia" w:eastAsiaTheme="minorEastAsia"/>
                <w:color w:val="auto"/>
                <w:sz w:val="24"/>
                <w:szCs w:val="24"/>
                <w:highlight w:val="none"/>
                <w:shd w:val="clear" w:color="auto" w:fill="FFFFFF"/>
                <w:lang w:val="en-US"/>
              </w:rPr>
              <w:t>2</w:t>
            </w:r>
            <w:r>
              <w:rPr>
                <w:rFonts w:hint="eastAsia" w:asciiTheme="minorEastAsia" w:hAnsiTheme="minorEastAsia" w:eastAsiaTheme="minorEastAsia"/>
                <w:color w:val="auto"/>
                <w:sz w:val="24"/>
                <w:szCs w:val="24"/>
                <w:highlight w:val="none"/>
              </w:rPr>
              <w:t>人；</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rPr>
              <w:t>8</w:t>
            </w:r>
          </w:p>
        </w:tc>
        <w:tc>
          <w:tcPr>
            <w:tcW w:w="1418" w:type="dxa"/>
            <w:tcBorders>
              <w:left w:val="single" w:color="auto" w:sz="4" w:space="0"/>
            </w:tcBorders>
            <w:vAlign w:val="center"/>
          </w:tcPr>
          <w:p>
            <w:pPr>
              <w:spacing w:line="40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是否授权评标委员会确定中标人</w:t>
            </w:r>
          </w:p>
        </w:tc>
        <w:tc>
          <w:tcPr>
            <w:tcW w:w="6601" w:type="dxa"/>
            <w:vAlign w:val="center"/>
          </w:tcPr>
          <w:p>
            <w:pPr>
              <w:spacing w:line="400" w:lineRule="exac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rPr>
              <w:t>否，</w:t>
            </w:r>
            <w:r>
              <w:rPr>
                <w:rFonts w:hint="eastAsia" w:asciiTheme="minorEastAsia" w:hAnsiTheme="minorEastAsia" w:eastAsiaTheme="minorEastAsia"/>
                <w:color w:val="auto"/>
                <w:sz w:val="24"/>
                <w:szCs w:val="24"/>
                <w:highlight w:val="none"/>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19</w:t>
            </w:r>
          </w:p>
        </w:tc>
        <w:tc>
          <w:tcPr>
            <w:tcW w:w="1418" w:type="dxa"/>
            <w:tcBorders>
              <w:left w:val="single" w:color="auto" w:sz="4" w:space="0"/>
            </w:tcBorders>
            <w:vAlign w:val="center"/>
          </w:tcPr>
          <w:p>
            <w:pPr>
              <w:spacing w:line="40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代理</w:t>
            </w:r>
            <w:r>
              <w:rPr>
                <w:rFonts w:hint="eastAsia" w:asciiTheme="minorEastAsia" w:hAnsiTheme="minorEastAsia" w:eastAsiaTheme="minorEastAsia"/>
                <w:color w:val="auto"/>
                <w:sz w:val="24"/>
                <w:szCs w:val="24"/>
                <w:highlight w:val="none"/>
              </w:rPr>
              <w:t>服务费</w:t>
            </w:r>
          </w:p>
        </w:tc>
        <w:tc>
          <w:tcPr>
            <w:tcW w:w="6601" w:type="dxa"/>
            <w:vAlign w:val="center"/>
          </w:tcPr>
          <w:p>
            <w:pPr>
              <w:spacing w:line="400" w:lineRule="exac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20</w:t>
            </w:r>
          </w:p>
        </w:tc>
        <w:tc>
          <w:tcPr>
            <w:tcW w:w="1418" w:type="dxa"/>
            <w:tcBorders>
              <w:left w:val="single" w:color="auto" w:sz="4" w:space="0"/>
            </w:tcBorders>
            <w:vAlign w:val="center"/>
          </w:tcPr>
          <w:p>
            <w:pPr>
              <w:spacing w:before="156" w:beforeLines="50"/>
              <w:ind w:firstLine="14" w:firstLineChars="6"/>
              <w:jc w:val="center"/>
              <w:rPr>
                <w:rFonts w:asciiTheme="minorEastAsia" w:hAnsiTheme="minorEastAsia" w:eastAsiaTheme="minorEastAsia"/>
                <w:color w:val="auto"/>
                <w:sz w:val="24"/>
                <w:szCs w:val="24"/>
                <w:highlight w:val="none"/>
                <w:lang w:val="en-US"/>
              </w:rPr>
            </w:pPr>
            <w:r>
              <w:rPr>
                <w:rFonts w:hint="eastAsia"/>
                <w:b/>
                <w:bCs/>
                <w:color w:val="auto"/>
                <w:sz w:val="24"/>
                <w:szCs w:val="24"/>
                <w:highlight w:val="none"/>
                <w:lang w:val="en-US"/>
              </w:rPr>
              <w:t>报价</w:t>
            </w:r>
          </w:p>
        </w:tc>
        <w:tc>
          <w:tcPr>
            <w:tcW w:w="6601" w:type="dxa"/>
            <w:vAlign w:val="center"/>
          </w:tcPr>
          <w:p>
            <w:pPr>
              <w:tabs>
                <w:tab w:val="left" w:pos="8640"/>
              </w:tabs>
              <w:rPr>
                <w:rFonts w:asciiTheme="minorEastAsia" w:hAnsiTheme="minorEastAsia" w:eastAsiaTheme="minorEastAsia"/>
                <w:color w:val="auto"/>
                <w:sz w:val="24"/>
                <w:szCs w:val="24"/>
                <w:highlight w:val="none"/>
                <w:lang w:val="en-US"/>
              </w:rPr>
            </w:pPr>
            <w:r>
              <w:rPr>
                <w:rFonts w:hint="eastAsia"/>
                <w:b/>
                <w:bCs/>
                <w:color w:val="auto"/>
                <w:sz w:val="24"/>
                <w:szCs w:val="24"/>
                <w:highlight w:val="none"/>
                <w:lang w:val="en-US"/>
              </w:rPr>
              <w:t>多次报价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21</w:t>
            </w:r>
          </w:p>
        </w:tc>
        <w:tc>
          <w:tcPr>
            <w:tcW w:w="8019" w:type="dxa"/>
            <w:gridSpan w:val="2"/>
            <w:tcBorders>
              <w:left w:val="single" w:color="auto" w:sz="4" w:space="0"/>
            </w:tcBorders>
            <w:vAlign w:val="center"/>
          </w:tcPr>
          <w:p>
            <w:pPr>
              <w:spacing w:line="40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本项目招标文件最终解释权归采购人所有。</w:t>
            </w:r>
          </w:p>
        </w:tc>
      </w:tr>
    </w:tbl>
    <w:p>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pPr>
        <w:pStyle w:val="2"/>
        <w:rPr>
          <w:rFonts w:asciiTheme="minorEastAsia" w:hAnsiTheme="minorEastAsia" w:eastAsiaTheme="minorEastAsia"/>
          <w:b/>
          <w:color w:val="auto"/>
          <w:sz w:val="20"/>
          <w:highlight w:val="none"/>
        </w:rPr>
      </w:pPr>
      <w:bookmarkStart w:id="50" w:name="_bookmark3"/>
      <w:bookmarkEnd w:id="50"/>
      <w:bookmarkStart w:id="51" w:name="第三部分__谈判项目要求"/>
      <w:bookmarkEnd w:id="51"/>
      <w:bookmarkStart w:id="52" w:name="第四部分__谈判供应商须知"/>
      <w:bookmarkEnd w:id="52"/>
    </w:p>
    <w:p>
      <w:pPr>
        <w:pStyle w:val="5"/>
        <w:numPr>
          <w:ilvl w:val="0"/>
          <w:numId w:val="2"/>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pPr>
        <w:pStyle w:val="5"/>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pPr>
        <w:pStyle w:val="2"/>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pPr>
        <w:pStyle w:val="32"/>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pPr>
        <w:pStyle w:val="32"/>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pPr>
        <w:pStyle w:val="32"/>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w:t>
      </w:r>
      <w:r>
        <w:rPr>
          <w:rFonts w:hint="eastAsia" w:asciiTheme="minorEastAsia" w:hAnsiTheme="minorEastAsia" w:eastAsiaTheme="minorEastAsia" w:cstheme="minorEastAsia"/>
          <w:color w:val="auto"/>
          <w:sz w:val="24"/>
          <w:szCs w:val="24"/>
          <w:highlight w:val="none"/>
        </w:rPr>
        <w:t>周口市第六初级中学</w:t>
      </w:r>
    </w:p>
    <w:p>
      <w:pPr>
        <w:pStyle w:val="32"/>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w:t>
      </w:r>
      <w:bookmarkStart w:id="53" w:name="_Hlk153989808"/>
      <w:r>
        <w:rPr>
          <w:rFonts w:hint="eastAsia" w:asciiTheme="minorEastAsia" w:hAnsiTheme="minorEastAsia" w:eastAsiaTheme="minorEastAsia"/>
          <w:color w:val="auto"/>
          <w:spacing w:val="4"/>
          <w:sz w:val="24"/>
          <w:highlight w:val="none"/>
        </w:rPr>
        <w:t>须向最终用户提供的货物及其它有</w:t>
      </w:r>
    </w:p>
    <w:p>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bookmarkEnd w:id="53"/>
    <w:p>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pPr>
        <w:pStyle w:val="32"/>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pPr>
        <w:pStyle w:val="32"/>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2.7供应商应在响应文件中承诺未被纳入重大税收违法失信主体名单且未存在不诚信记录，如若实际情况与供应商承诺内容不一致，一经查实将取消其中标资格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color w:val="auto"/>
          <w:spacing w:val="4"/>
          <w:sz w:val="24"/>
          <w:highlight w:val="none"/>
        </w:rPr>
        <w:t>。</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pPr>
        <w:pStyle w:val="32"/>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p>
    <w:p>
      <w:pPr>
        <w:pStyle w:val="32"/>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pPr>
        <w:pStyle w:val="32"/>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pPr>
        <w:pStyle w:val="32"/>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olor w:val="auto"/>
          <w:sz w:val="24"/>
          <w:highlight w:val="none"/>
          <w:lang w:val="en-US"/>
        </w:rPr>
        <w:t>供应商需提供</w:t>
      </w:r>
      <w:r>
        <w:rPr>
          <w:rFonts w:hint="eastAsia"/>
          <w:color w:val="auto"/>
          <w:sz w:val="24"/>
          <w:highlight w:val="none"/>
        </w:rPr>
        <w:t>自觉抵制政府采购领域商业贿赂行为保证书</w:t>
      </w:r>
    </w:p>
    <w:p>
      <w:pPr>
        <w:pStyle w:val="32"/>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未被工商行政管理机关在全国企业信用信息公示系统中列入严重违法失信企业名单和经营异常</w:t>
      </w:r>
      <w:r>
        <w:rPr>
          <w:rFonts w:hint="eastAsia"/>
          <w:color w:val="auto"/>
          <w:sz w:val="24"/>
          <w:highlight w:val="none"/>
          <w:lang w:val="en-US"/>
        </w:rPr>
        <w:t>名录</w:t>
      </w:r>
      <w:r>
        <w:rPr>
          <w:rFonts w:hint="eastAsia" w:asciiTheme="minorEastAsia" w:hAnsiTheme="minorEastAsia" w:eastAsiaTheme="minorEastAsia"/>
          <w:color w:val="auto"/>
          <w:sz w:val="24"/>
          <w:highlight w:val="none"/>
        </w:rPr>
        <w:t>。</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pPr>
        <w:pStyle w:val="32"/>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谈判供应商应承诺自行承担参加谈判活动有关的全部费用，谈判组织人在任何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pPr>
        <w:pStyle w:val="8"/>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pPr>
        <w:numPr>
          <w:ilvl w:val="0"/>
          <w:numId w:val="2"/>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pPr>
        <w:pStyle w:val="32"/>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p>
    <w:p>
      <w:pPr>
        <w:pStyle w:val="32"/>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pPr>
        <w:pStyle w:val="2"/>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pPr>
        <w:pStyle w:val="32"/>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谈判的供应商应仔细阅读谈判文件的所有内容，按谈判文件的要求提供响</w:t>
      </w:r>
      <w:r>
        <w:rPr>
          <w:rFonts w:hint="eastAsia" w:asciiTheme="minorEastAsia" w:hAnsiTheme="minorEastAsia" w:eastAsiaTheme="minorEastAsia"/>
          <w:color w:val="auto"/>
          <w:sz w:val="24"/>
          <w:highlight w:val="none"/>
        </w:rPr>
        <w:t>应文件，并保证所提供的全部资料的真实性，以使其投标对谈判文件做出实质性响应，否则，其响应可能被拒绝。</w:t>
      </w:r>
      <w:r>
        <w:rPr>
          <w:rFonts w:hint="eastAsia"/>
          <w:color w:val="auto"/>
          <w:sz w:val="24"/>
          <w:highlight w:val="none"/>
        </w:rPr>
        <w:t>如果有异议在规定的时间内提出，没有异议需做出“无异议”承诺书，承诺书作为响应文件的组织部分，否则为无效响应文件。</w:t>
      </w:r>
    </w:p>
    <w:p>
      <w:pPr>
        <w:pStyle w:val="32"/>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w:t>
      </w:r>
    </w:p>
    <w:p>
      <w:pPr>
        <w:pStyle w:val="32"/>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pPr>
        <w:pStyle w:val="32"/>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pPr>
        <w:spacing w:line="480" w:lineRule="auto"/>
        <w:ind w:firstLine="51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w:t>
      </w:r>
      <w:r>
        <w:rPr>
          <w:rFonts w:hint="eastAsia"/>
          <w:color w:val="auto"/>
          <w:sz w:val="24"/>
          <w:szCs w:val="24"/>
          <w:highlight w:val="none"/>
          <w:lang w:val="en-US"/>
        </w:rPr>
        <w:t>应当按照招标文件的要求编制投标文件。谈判响应文件应编制目录及页码，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w:t>
      </w:r>
      <w:r>
        <w:rPr>
          <w:rFonts w:hint="eastAsia" w:asciiTheme="minorEastAsia" w:hAnsiTheme="minorEastAsia" w:eastAsiaTheme="minorEastAsia"/>
          <w:color w:val="auto"/>
          <w:spacing w:val="9"/>
          <w:sz w:val="24"/>
          <w:highlight w:val="none"/>
        </w:rPr>
        <w:t>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r>
        <w:rPr>
          <w:rFonts w:hint="eastAsia"/>
          <w:color w:val="auto"/>
          <w:sz w:val="24"/>
          <w:highlight w:val="none"/>
        </w:rPr>
        <w:t>提交的资料应证明其满足招标文件要求并在材料上面标注“与原件一致”字样，该文件包括资格材料、文字资料、图纸和数据等详细描述的资料,否则视为不响应招标文件。</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pPr>
        <w:pStyle w:val="32"/>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pPr>
        <w:pStyle w:val="32"/>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54" w:name="_Toc22864"/>
      <w:bookmarkStart w:id="55" w:name="_Toc779"/>
      <w:bookmarkStart w:id="56" w:name="_Toc31931"/>
      <w:bookmarkStart w:id="57" w:name="_Toc13280"/>
      <w:bookmarkStart w:id="58" w:name="_Toc8768"/>
      <w:bookmarkStart w:id="59" w:name="_Toc490667845"/>
      <w:bookmarkStart w:id="60" w:name="_Toc455867785"/>
      <w:bookmarkStart w:id="61" w:name="_Toc455080125"/>
      <w:bookmarkStart w:id="62" w:name="_Toc18750"/>
      <w:bookmarkStart w:id="63" w:name="_Toc466298108"/>
      <w:bookmarkStart w:id="64" w:name="_Toc31433"/>
      <w:bookmarkStart w:id="65"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54"/>
      <w:bookmarkEnd w:id="55"/>
      <w:bookmarkEnd w:id="56"/>
      <w:bookmarkEnd w:id="57"/>
      <w:bookmarkEnd w:id="58"/>
      <w:bookmarkEnd w:id="59"/>
      <w:bookmarkEnd w:id="60"/>
      <w:bookmarkEnd w:id="61"/>
      <w:bookmarkEnd w:id="62"/>
      <w:bookmarkEnd w:id="63"/>
      <w:bookmarkEnd w:id="64"/>
      <w:r>
        <w:rPr>
          <w:rFonts w:hint="eastAsia" w:asciiTheme="minorEastAsia" w:hAnsiTheme="minorEastAsia" w:eastAsiaTheme="minorEastAsia"/>
          <w:color w:val="auto"/>
          <w:spacing w:val="-3"/>
          <w:sz w:val="24"/>
          <w:highlight w:val="none"/>
        </w:rPr>
        <w:t>。</w:t>
      </w:r>
      <w:bookmarkEnd w:id="65"/>
    </w:p>
    <w:p>
      <w:pPr>
        <w:pStyle w:val="32"/>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加盖单位公章的营业执照复印件。</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w:t>
      </w:r>
    </w:p>
    <w:p>
      <w:pPr>
        <w:pStyle w:val="2"/>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pPr>
        <w:pStyle w:val="2"/>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w:t>
      </w:r>
      <w:r>
        <w:rPr>
          <w:rFonts w:hint="eastAsia" w:cs="Times New Roman"/>
          <w:color w:val="auto"/>
          <w:szCs w:val="21"/>
          <w:highlight w:val="none"/>
        </w:rPr>
        <w:t>不得缺少、留空或私自更改任何文件要求填写的表格或提交的资料。</w:t>
      </w:r>
      <w:r>
        <w:rPr>
          <w:rFonts w:hint="eastAsia" w:asciiTheme="minorEastAsia" w:hAnsiTheme="minorEastAsia" w:eastAsiaTheme="minorEastAsia"/>
          <w:color w:val="auto"/>
          <w:highlight w:val="none"/>
        </w:rPr>
        <w:t>不按谈判文件内容填写或填写不完整视为无效响应。</w:t>
      </w:r>
    </w:p>
    <w:p>
      <w:pPr>
        <w:pStyle w:val="2"/>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10.2谈判供应商应按谈判文件中第五部分谈判响应文件格式、内容，顺序制作响应性文件，并编制目录及页码，否则可能将影响对响应性文件的评价，</w:t>
      </w:r>
    </w:p>
    <w:p>
      <w:pPr>
        <w:pStyle w:val="2"/>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10.3响应文件封面要求: 列明项目名称、采购编号、供应商名称和地址等信息。</w:t>
      </w:r>
    </w:p>
    <w:p>
      <w:pPr>
        <w:pStyle w:val="2"/>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10.4响应文件应编排有序、内容齐全、不得任意涂改或增删。如有错漏处必须修改，应在修改处加盖供应商电子公章。</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pPr>
        <w:pStyle w:val="30"/>
        <w:spacing w:line="360" w:lineRule="auto"/>
        <w:ind w:firstLine="480" w:firstLineChars="200"/>
        <w:rPr>
          <w:color w:val="auto"/>
          <w:sz w:val="24"/>
          <w:szCs w:val="24"/>
          <w:highlight w:val="none"/>
        </w:rPr>
      </w:pPr>
      <w:r>
        <w:rPr>
          <w:rFonts w:hint="eastAsia" w:asciiTheme="minorEastAsia" w:hAnsiTheme="minorEastAsia" w:eastAsiaTheme="minorEastAsia"/>
          <w:color w:val="auto"/>
          <w:sz w:val="24"/>
          <w:szCs w:val="24"/>
          <w:highlight w:val="none"/>
        </w:rPr>
        <w:t>谈判报价应按照谈判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rPr>
        <w:t>投标人应以“包”为报价的基本单位。若整个需求分为若干包，则投标人可选择其中的部分或所有包报价。包内所有项目均应报价（免费赠送的除外），否则将导致投标无效。</w:t>
      </w:r>
    </w:p>
    <w:p>
      <w:pPr>
        <w:pStyle w:val="32"/>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交付使用前的所有费用（含材料费、施工费、税金等），以人民币为单位。</w:t>
      </w:r>
      <w:r>
        <w:rPr>
          <w:rFonts w:hint="eastAsia"/>
          <w:color w:val="auto"/>
          <w:sz w:val="24"/>
          <w:szCs w:val="24"/>
          <w:highlight w:val="none"/>
          <w:lang w:val="en-US"/>
        </w:rPr>
        <w:t>投标人的报价应包含所投服务、保险、税费、包装、加工及加工损耗、运输、现场落地、安装及安装损耗、调试、检测验收和交付后约定期限内免费维保等工作所发生的一切应有费用。投标报价为签订合同的依据。</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投标人应当在投标文件中列出完成本项目并通过验收所需的所有各项服务等明细表及全部费用。中标人必须做出保证确保整体通过用户方及有关主管部门验收,所发生的验收费用由中标人承担；</w:t>
      </w:r>
    </w:p>
    <w:p>
      <w:pPr>
        <w:pStyle w:val="32"/>
        <w:numPr>
          <w:ilvl w:val="1"/>
          <w:numId w:val="8"/>
        </w:numPr>
        <w:tabs>
          <w:tab w:val="left" w:pos="941"/>
        </w:tabs>
        <w:adjustRightInd w:val="0"/>
        <w:snapToGrid w:val="0"/>
        <w:spacing w:line="360" w:lineRule="auto"/>
        <w:ind w:left="0" w:firstLine="480" w:firstLineChars="200"/>
        <w:jc w:val="both"/>
        <w:rPr>
          <w:color w:val="auto"/>
          <w:sz w:val="24"/>
          <w:szCs w:val="24"/>
          <w:highlight w:val="none"/>
          <w:lang w:val="en-US"/>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color w:val="auto"/>
          <w:sz w:val="24"/>
          <w:szCs w:val="24"/>
          <w:highlight w:val="none"/>
          <w:lang w:val="en-US"/>
        </w:rPr>
        <w:t>投标人应在投标文件中注明拟提供服务的单价明细和总价。</w:t>
      </w:r>
      <w:r>
        <w:rPr>
          <w:rFonts w:hint="eastAsia"/>
          <w:color w:val="auto"/>
          <w:sz w:val="24"/>
          <w:highlight w:val="none"/>
        </w:rPr>
        <w:t>并在谈判响应报价表总价处加盖公章，</w:t>
      </w:r>
    </w:p>
    <w:p>
      <w:pPr>
        <w:pStyle w:val="32"/>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rPr>
        <w:t>10</w:t>
      </w:r>
      <w:r>
        <w:rPr>
          <w:rFonts w:hint="eastAsia" w:asciiTheme="minorEastAsia" w:hAnsiTheme="minorEastAsia" w:eastAsiaTheme="minorEastAsia"/>
          <w:color w:val="auto"/>
          <w:sz w:val="24"/>
          <w:highlight w:val="none"/>
        </w:rPr>
        <w:t>%作为评审报价。</w:t>
      </w:r>
    </w:p>
    <w:p>
      <w:pPr>
        <w:pStyle w:val="32"/>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pPr>
        <w:pStyle w:val="32"/>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rPr>
        <w:t>网上报价</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w:t>
      </w:r>
      <w:r>
        <w:rPr>
          <w:rFonts w:hint="eastAsia"/>
          <w:color w:val="auto"/>
          <w:sz w:val="24"/>
          <w:highlight w:val="none"/>
          <w:lang w:val="en-US"/>
        </w:rPr>
        <w:t>中的《周口市公共资源交易系统政府采购供应商操作手册》相关规定。</w:t>
      </w:r>
    </w:p>
    <w:p>
      <w:pPr>
        <w:pStyle w:val="32"/>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bCs/>
          <w:color w:val="auto"/>
          <w:sz w:val="24"/>
          <w:highlight w:val="none"/>
        </w:rPr>
        <w:t>11.</w:t>
      </w:r>
      <w:r>
        <w:rPr>
          <w:bCs/>
          <w:color w:val="auto"/>
          <w:sz w:val="24"/>
          <w:highlight w:val="none"/>
        </w:rPr>
        <w:t>6</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文件载明的投标资格、技术、资信、报价等全部要求和条件做出实质性和完整的响应作出</w:t>
      </w:r>
      <w:r>
        <w:rPr>
          <w:color w:val="auto"/>
          <w:sz w:val="24"/>
          <w:highlight w:val="none"/>
        </w:rPr>
        <w:t>承诺</w:t>
      </w:r>
      <w:r>
        <w:rPr>
          <w:rFonts w:hint="eastAsia"/>
          <w:color w:val="auto"/>
          <w:sz w:val="24"/>
          <w:highlight w:val="none"/>
        </w:rPr>
        <w:t>，必</w:t>
      </w:r>
      <w:r>
        <w:rPr>
          <w:rFonts w:hint="eastAsia" w:asciiTheme="minorEastAsia" w:hAnsiTheme="minorEastAsia" w:eastAsiaTheme="minorEastAsia"/>
          <w:color w:val="auto"/>
          <w:spacing w:val="4"/>
          <w:sz w:val="24"/>
          <w:highlight w:val="none"/>
        </w:rPr>
        <w:t>须向用户提供的货物及产品的有</w:t>
      </w:r>
    </w:p>
    <w:p>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r>
        <w:rPr>
          <w:rFonts w:hint="eastAsia"/>
          <w:color w:val="auto"/>
          <w:sz w:val="24"/>
          <w:highlight w:val="none"/>
        </w:rPr>
        <w:t>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pPr>
        <w:pStyle w:val="32"/>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pPr>
        <w:pStyle w:val="32"/>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pPr>
        <w:pStyle w:val="32"/>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pPr>
        <w:pStyle w:val="32"/>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pPr>
        <w:pStyle w:val="8"/>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pPr>
        <w:pStyle w:val="32"/>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pPr>
        <w:pStyle w:val="32"/>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特殊情况下，</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pPr>
        <w:pStyle w:val="32"/>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pPr>
        <w:pStyle w:val="32"/>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投标文件应编制连续页码，并编制目录，每个页面应在明显位置编制页码和总页码</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除特殊规格的图纸或方案、图片资料等外，均应按</w:t>
      </w:r>
      <w:r>
        <w:rPr>
          <w:rFonts w:asciiTheme="minorEastAsia" w:hAnsiTheme="minorEastAsia" w:eastAsiaTheme="minorEastAsia"/>
          <w:color w:val="auto"/>
          <w:sz w:val="24"/>
          <w:highlight w:val="none"/>
        </w:rPr>
        <w:t>A4规格制作。</w:t>
      </w:r>
    </w:p>
    <w:p>
      <w:pPr>
        <w:pStyle w:val="32"/>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pPr>
        <w:pStyle w:val="30"/>
        <w:spacing w:line="360" w:lineRule="auto"/>
        <w:ind w:firstLine="480" w:firstLineChars="200"/>
        <w:rPr>
          <w:color w:val="auto"/>
          <w:highlight w:val="none"/>
        </w:rPr>
      </w:pPr>
      <w:r>
        <w:rPr>
          <w:rFonts w:hint="eastAsia" w:asciiTheme="minorEastAsia" w:hAnsiTheme="minorEastAsia" w:eastAsiaTheme="minorEastAsia"/>
          <w:bCs/>
          <w:color w:val="auto"/>
          <w:sz w:val="24"/>
          <w:highlight w:val="none"/>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w:t>
      </w:r>
      <w:r>
        <w:rPr>
          <w:rFonts w:hint="eastAsia"/>
          <w:color w:val="auto"/>
          <w:sz w:val="24"/>
          <w:szCs w:val="24"/>
          <w:highlight w:val="none"/>
        </w:rPr>
        <w:t>投标文件需要供应商法定代表人或委托代理人逐页签字盖章</w:t>
      </w:r>
      <w:r>
        <w:rPr>
          <w:rFonts w:hint="eastAsia" w:ascii="宋体" w:hAnsi="宋体"/>
          <w:color w:val="auto"/>
          <w:sz w:val="24"/>
          <w:highlight w:val="none"/>
        </w:rPr>
        <w:t>并加盖公章。</w:t>
      </w:r>
    </w:p>
    <w:p>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pPr>
        <w:pStyle w:val="2"/>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pPr>
        <w:pStyle w:val="2"/>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pPr>
        <w:pStyle w:val="32"/>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pPr>
        <w:pStyle w:val="32"/>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pPr>
        <w:pStyle w:val="32"/>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32"/>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pPr>
        <w:pStyle w:val="5"/>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pPr>
        <w:pStyle w:val="8"/>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pPr>
        <w:pStyle w:val="32"/>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pPr>
        <w:pStyle w:val="32"/>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r>
        <w:rPr>
          <w:rFonts w:hint="eastAsia"/>
          <w:color w:val="auto"/>
          <w:sz w:val="24"/>
          <w:szCs w:val="24"/>
          <w:highlight w:val="none"/>
          <w:lang w:val="en-US"/>
        </w:rPr>
        <w:t>投标人不得以任何方式干扰、影响评标工作，投标人对上述做出书面保证，否则视为不响应招标文件实质性内容。</w:t>
      </w:r>
    </w:p>
    <w:p>
      <w:pPr>
        <w:pStyle w:val="32"/>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32"/>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pPr>
        <w:pStyle w:val="32"/>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pPr>
        <w:pStyle w:val="32"/>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pPr>
        <w:pStyle w:val="32"/>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color w:val="auto"/>
          <w:sz w:val="24"/>
          <w:szCs w:val="24"/>
          <w:highlight w:val="none"/>
          <w:lang w:val="en-US"/>
        </w:rPr>
        <w:t>供应商不得以任何方式干扰、影响评标工作，供应商对上述做出保证，否则视为不响应招标文件实质性内容。</w:t>
      </w:r>
    </w:p>
    <w:p>
      <w:pPr>
        <w:pStyle w:val="32"/>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pPr>
        <w:pStyle w:val="32"/>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pPr>
        <w:pStyle w:val="32"/>
        <w:tabs>
          <w:tab w:val="left" w:pos="1155"/>
        </w:tabs>
        <w:adjustRightInd w:val="0"/>
        <w:snapToGrid w:val="0"/>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w:t>
      </w:r>
      <w:r>
        <w:rPr>
          <w:rFonts w:hint="eastAsia"/>
          <w:color w:val="auto"/>
          <w:sz w:val="24"/>
          <w:highlight w:val="none"/>
        </w:rPr>
        <w:t>未编制目录及索引的；未</w:t>
      </w:r>
      <w:r>
        <w:rPr>
          <w:rFonts w:hint="eastAsia" w:asciiTheme="minorEastAsia" w:hAnsiTheme="minorEastAsia" w:eastAsiaTheme="minorEastAsia"/>
          <w:color w:val="auto"/>
          <w:sz w:val="24"/>
          <w:szCs w:val="24"/>
          <w:highlight w:val="none"/>
        </w:rPr>
        <w:t>按照招标文件规定的格式填写，或者填写的内容不全，或者涂改处未加盖投标人公章及法人或法人授权的代理人的印章或签字的。</w:t>
      </w:r>
    </w:p>
    <w:p>
      <w:pPr>
        <w:pStyle w:val="32"/>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pPr>
        <w:pStyle w:val="32"/>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pPr>
        <w:pStyle w:val="32"/>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pPr>
        <w:pStyle w:val="32"/>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pPr>
        <w:pStyle w:val="32"/>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pPr>
        <w:pStyle w:val="32"/>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pPr>
        <w:pStyle w:val="32"/>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pPr>
        <w:pStyle w:val="32"/>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pPr>
        <w:pStyle w:val="32"/>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pPr>
        <w:pStyle w:val="32"/>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pPr>
        <w:pStyle w:val="8"/>
        <w:spacing w:line="360" w:lineRule="auto"/>
        <w:ind w:firstLine="240" w:firstLineChars="100"/>
        <w:rPr>
          <w:b w:val="0"/>
          <w:bCs w:val="0"/>
          <w:color w:val="auto"/>
          <w:highlight w:val="none"/>
          <w:lang w:val="en-US"/>
        </w:rPr>
      </w:pPr>
      <w:r>
        <w:rPr>
          <w:rFonts w:hint="eastAsia"/>
          <w:b w:val="0"/>
          <w:bCs w:val="0"/>
          <w:color w:val="auto"/>
          <w:highlight w:val="none"/>
          <w:lang w:val="en-US"/>
        </w:rPr>
        <w:t>21.7.16中标供应商没有将“廉洁自律承诺书”附在投标（响应）文件中。</w:t>
      </w:r>
    </w:p>
    <w:p>
      <w:pPr>
        <w:pStyle w:val="32"/>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其它未响应招标文件而可能导致废标；</w:t>
      </w:r>
    </w:p>
    <w:p>
      <w:pPr>
        <w:pStyle w:val="32"/>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21.7.18</w:t>
      </w:r>
      <w:r>
        <w:rPr>
          <w:rFonts w:hint="eastAsia"/>
          <w:color w:val="auto"/>
          <w:sz w:val="24"/>
          <w:szCs w:val="24"/>
          <w:highlight w:val="none"/>
        </w:rPr>
        <w:t>所有投标人的投标报价均超出采购人预算的；</w:t>
      </w:r>
    </w:p>
    <w:p>
      <w:pPr>
        <w:pStyle w:val="32"/>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21.7.19</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pPr>
        <w:pStyle w:val="32"/>
        <w:tabs>
          <w:tab w:val="left" w:pos="1155"/>
        </w:tabs>
        <w:adjustRightInd w:val="0"/>
        <w:snapToGrid w:val="0"/>
        <w:spacing w:line="360" w:lineRule="auto"/>
        <w:ind w:left="440" w:leftChars="200" w:firstLine="0"/>
        <w:rPr>
          <w:rFonts w:ascii="Calibri" w:hAnsi="Calibri" w:cs="Calibri"/>
          <w:color w:val="auto"/>
          <w:sz w:val="24"/>
          <w:highlight w:val="none"/>
        </w:rPr>
      </w:pPr>
      <w:r>
        <w:rPr>
          <w:rFonts w:hint="eastAsia"/>
          <w:color w:val="auto"/>
          <w:sz w:val="24"/>
          <w:szCs w:val="24"/>
          <w:highlight w:val="none"/>
          <w:lang w:val="en-US"/>
        </w:rPr>
        <w:t>21.7.20</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ascii="Calibri" w:hAnsi="Calibri" w:cs="Calibri"/>
          <w:color w:val="auto"/>
          <w:sz w:val="24"/>
          <w:highlight w:val="none"/>
        </w:rPr>
        <w:t>。</w:t>
      </w:r>
    </w:p>
    <w:p>
      <w:pPr>
        <w:pStyle w:val="32"/>
        <w:tabs>
          <w:tab w:val="left" w:pos="1155"/>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21.7.21</w:t>
      </w:r>
      <w:r>
        <w:rPr>
          <w:rFonts w:hint="eastAsia" w:asciiTheme="minorEastAsia" w:hAnsiTheme="minorEastAsia" w:eastAsiaTheme="minorEastAsia"/>
          <w:color w:val="auto"/>
          <w:sz w:val="24"/>
          <w:szCs w:val="24"/>
          <w:highlight w:val="none"/>
        </w:rPr>
        <w:t>联合体投标或被证实是挂靠、借用资质者。</w:t>
      </w:r>
    </w:p>
    <w:p>
      <w:pPr>
        <w:pStyle w:val="32"/>
        <w:tabs>
          <w:tab w:val="left" w:pos="1155"/>
        </w:tabs>
        <w:adjustRightInd w:val="0"/>
        <w:snapToGrid w:val="0"/>
        <w:spacing w:line="360" w:lineRule="auto"/>
        <w:ind w:left="440" w:leftChars="200" w:firstLine="0"/>
        <w:rPr>
          <w:color w:val="auto"/>
          <w:sz w:val="24"/>
          <w:highlight w:val="none"/>
        </w:rPr>
      </w:pPr>
      <w:r>
        <w:rPr>
          <w:rFonts w:hint="eastAsia"/>
          <w:color w:val="auto"/>
          <w:sz w:val="24"/>
          <w:highlight w:val="none"/>
        </w:rPr>
        <w:t>2</w:t>
      </w:r>
      <w:r>
        <w:rPr>
          <w:color w:val="auto"/>
          <w:sz w:val="24"/>
          <w:highlight w:val="none"/>
        </w:rPr>
        <w:t>1.7.</w:t>
      </w:r>
      <w:r>
        <w:rPr>
          <w:rFonts w:hint="eastAsia"/>
          <w:color w:val="auto"/>
          <w:sz w:val="24"/>
          <w:highlight w:val="none"/>
          <w:lang w:val="en-US"/>
        </w:rPr>
        <w:t>2</w:t>
      </w:r>
      <w:r>
        <w:rPr>
          <w:color w:val="auto"/>
          <w:sz w:val="24"/>
          <w:highlight w:val="none"/>
          <w:lang w:val="en-US"/>
        </w:rPr>
        <w:t>2</w:t>
      </w:r>
      <w:r>
        <w:rPr>
          <w:rFonts w:hint="eastAsia"/>
          <w:color w:val="auto"/>
          <w:sz w:val="24"/>
          <w:highlight w:val="none"/>
        </w:rPr>
        <w:t>对付款方式无承诺的；售后服务不满足招标文件要求的；</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pPr>
        <w:pStyle w:val="32"/>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32"/>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pPr>
        <w:pStyle w:val="32"/>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pPr>
        <w:pStyle w:val="32"/>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pPr>
        <w:pStyle w:val="32"/>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pPr>
        <w:pStyle w:val="32"/>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pPr>
        <w:pStyle w:val="8"/>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pPr>
        <w:pStyle w:val="32"/>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pPr>
        <w:pStyle w:val="32"/>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开标结束后请供应商在报名系统中等待二轮或多轮报价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pPr>
        <w:pStyle w:val="32"/>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通过资格性审查和符合性审查的供应商须在谈判小组设定的时间内使用本单位CA证书在网上进行二次（多次）报价。</w:t>
      </w:r>
    </w:p>
    <w:p>
      <w:pPr>
        <w:pStyle w:val="32"/>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rPr>
        <w:t>注：开标后请供应商在计算前等待报价。</w:t>
      </w:r>
    </w:p>
    <w:p>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pPr>
        <w:pStyle w:val="32"/>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32"/>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参与投标活动的单位应对采购文件和采购文件中的商业机密和技术等秘密保密，违者应对由此造成的后果承担法律责任。对上述内容做出书面承诺并附投标文件中，否则视为不响应采购文件要求。</w:t>
      </w:r>
    </w:p>
    <w:p>
      <w:pPr>
        <w:pStyle w:val="32"/>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pPr>
        <w:pStyle w:val="32"/>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pPr>
        <w:pStyle w:val="32"/>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olor w:val="auto"/>
          <w:sz w:val="24"/>
          <w:highlight w:val="none"/>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pPr>
        <w:pStyle w:val="27"/>
        <w:spacing w:line="360" w:lineRule="auto"/>
        <w:ind w:firstLine="389" w:firstLineChars="177"/>
        <w:rPr>
          <w:rFonts w:asciiTheme="minorEastAsia" w:hAnsiTheme="minorEastAsia" w:eastAsiaTheme="minorEastAsia"/>
          <w:color w:val="auto"/>
          <w:sz w:val="24"/>
          <w:highlight w:val="none"/>
        </w:rPr>
      </w:pPr>
      <w:r>
        <w:rPr>
          <w:rFonts w:hint="eastAsia" w:asciiTheme="minorEastAsia" w:hAnsiTheme="minorEastAsia" w:eastAsiaTheme="minorEastAsia"/>
          <w:color w:val="auto"/>
          <w:highlight w:val="none"/>
        </w:rPr>
        <w:t xml:space="preserve"> </w:t>
      </w:r>
      <w:r>
        <w:rPr>
          <w:color w:val="auto"/>
          <w:highlight w:val="none"/>
        </w:rPr>
        <w:t>24.6</w:t>
      </w:r>
      <w:r>
        <w:rPr>
          <w:rFonts w:hint="eastAsia"/>
          <w:bCs/>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pPr>
        <w:pStyle w:val="5"/>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pPr>
        <w:pStyle w:val="32"/>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pPr>
        <w:pStyle w:val="32"/>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pPr>
        <w:pStyle w:val="8"/>
        <w:numPr>
          <w:ilvl w:val="0"/>
          <w:numId w:val="18"/>
        </w:numPr>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pPr>
        <w:pStyle w:val="32"/>
        <w:tabs>
          <w:tab w:val="left" w:pos="939"/>
        </w:tabs>
        <w:adjustRightInd w:val="0"/>
        <w:snapToGrid w:val="0"/>
        <w:spacing w:line="360" w:lineRule="auto"/>
        <w:ind w:left="440"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（http://jyzx.zhoukou.gov.cn）</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pPr>
        <w:pStyle w:val="32"/>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pPr>
        <w:pStyle w:val="32"/>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8"/>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pPr>
        <w:pStyle w:val="32"/>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pPr>
        <w:pStyle w:val="32"/>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pPr>
        <w:pStyle w:val="32"/>
        <w:numPr>
          <w:ilvl w:val="1"/>
          <w:numId w:val="20"/>
        </w:numPr>
        <w:tabs>
          <w:tab w:val="left" w:pos="941"/>
        </w:tabs>
        <w:adjustRightInd w:val="0"/>
        <w:snapToGrid w:val="0"/>
        <w:spacing w:line="360" w:lineRule="auto"/>
        <w:ind w:left="0" w:firstLine="480" w:firstLineChars="200"/>
        <w:rPr>
          <w:color w:val="auto"/>
          <w:sz w:val="24"/>
          <w:szCs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66" w:name="_bookmark4"/>
      <w:bookmarkEnd w:id="66"/>
      <w:r>
        <w:rPr>
          <w:rFonts w:hint="eastAsia" w:asciiTheme="minorEastAsia" w:hAnsiTheme="minorEastAsia" w:eastAsiaTheme="minorEastAsia"/>
          <w:color w:val="auto"/>
          <w:sz w:val="24"/>
          <w:highlight w:val="none"/>
          <w:lang w:val="en-US"/>
        </w:rPr>
        <w:t>及其澄清文件等，均为签定合同的依据。</w:t>
      </w:r>
    </w:p>
    <w:p>
      <w:pPr>
        <w:pStyle w:val="32"/>
        <w:numPr>
          <w:ilvl w:val="1"/>
          <w:numId w:val="20"/>
        </w:numPr>
        <w:tabs>
          <w:tab w:val="left" w:pos="941"/>
        </w:tabs>
        <w:adjustRightInd w:val="0"/>
        <w:snapToGrid w:val="0"/>
        <w:spacing w:line="360" w:lineRule="auto"/>
        <w:ind w:left="0" w:firstLine="480" w:firstLineChars="200"/>
        <w:rPr>
          <w:color w:val="auto"/>
          <w:sz w:val="24"/>
          <w:szCs w:val="24"/>
          <w:highlight w:val="none"/>
          <w:lang w:val="en-US"/>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szCs w:val="24"/>
          <w:highlight w:val="none"/>
          <w:lang w:val="en-US"/>
        </w:rPr>
        <w:t>本项供应商需提供书面承诺，未提供承诺的供应商将拒绝其参与本次政府采购活动。</w:t>
      </w:r>
    </w:p>
    <w:p>
      <w:pPr>
        <w:pStyle w:val="32"/>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pPr>
        <w:pStyle w:val="32"/>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pPr>
        <w:pStyle w:val="32"/>
        <w:tabs>
          <w:tab w:val="left" w:pos="941"/>
        </w:tabs>
        <w:adjustRightInd w:val="0"/>
        <w:snapToGrid w:val="0"/>
        <w:spacing w:line="360" w:lineRule="auto"/>
        <w:ind w:left="0" w:firstLine="480" w:firstLineChars="200"/>
        <w:jc w:val="both"/>
        <w:rPr>
          <w:color w:val="auto"/>
          <w:sz w:val="24"/>
          <w:szCs w:val="24"/>
          <w:highlight w:val="none"/>
          <w:lang w:val="en-US"/>
        </w:rPr>
      </w:pPr>
      <w:r>
        <w:rPr>
          <w:rFonts w:hint="eastAsia"/>
          <w:color w:val="auto"/>
          <w:sz w:val="24"/>
          <w:szCs w:val="24"/>
          <w:highlight w:val="none"/>
          <w:lang w:val="en-US"/>
        </w:rPr>
        <w:t>28.6采购双方必须严格按照招标文件、投标文件及有关承诺签订采购合同，不得擅自变更。</w:t>
      </w:r>
      <w:r>
        <w:rPr>
          <w:rFonts w:hint="eastAsia" w:cs="Times New Roman"/>
          <w:color w:val="auto"/>
          <w:sz w:val="24"/>
          <w:szCs w:val="24"/>
          <w:highlight w:val="none"/>
          <w:lang w:val="en-US" w:bidi="ar-SA"/>
        </w:rPr>
        <w:t>供应商在响应文件中必须针对</w:t>
      </w:r>
      <w:r>
        <w:rPr>
          <w:rFonts w:hint="eastAsia"/>
          <w:color w:val="auto"/>
          <w:sz w:val="24"/>
          <w:szCs w:val="24"/>
          <w:highlight w:val="none"/>
          <w:lang w:val="en-US"/>
        </w:rPr>
        <w:t>合同的标的、价款、质量、履行期限等主要条款应当与招标文件和中标人的投标文件的内容一致提供承诺书，</w:t>
      </w:r>
      <w:r>
        <w:rPr>
          <w:rFonts w:hint="eastAsia" w:cs="Times New Roman"/>
          <w:color w:val="auto"/>
          <w:sz w:val="24"/>
          <w:szCs w:val="24"/>
          <w:highlight w:val="none"/>
          <w:lang w:val="en-US" w:bidi="ar-SA"/>
        </w:rPr>
        <w:t>并承担所有责任。否则视为不响应招标文件实质性内容。</w:t>
      </w:r>
      <w:r>
        <w:rPr>
          <w:rFonts w:hint="eastAsia"/>
          <w:color w:val="auto"/>
          <w:sz w:val="24"/>
          <w:szCs w:val="24"/>
          <w:highlight w:val="none"/>
          <w:lang w:val="en-US"/>
        </w:rPr>
        <w:t>招标人和中标人不得再行订立背离合同实质性内容的其他协议。对任何因双方擅自变更合同引起的问题周口市公共资源交易中心政府采购中心概不负责，合同风险由双方自行承担。</w:t>
      </w:r>
    </w:p>
    <w:p>
      <w:pPr>
        <w:pStyle w:val="32"/>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color w:val="auto"/>
          <w:sz w:val="24"/>
          <w:highlight w:val="none"/>
        </w:rPr>
        <w:t>合同未约定或者未经采购人同意，供应商需保证不得向他人转让中标项目，也不得将中标项目肢解后分别向他人转让。</w:t>
      </w:r>
    </w:p>
    <w:p>
      <w:pPr>
        <w:pStyle w:val="32"/>
        <w:numPr>
          <w:ilvl w:val="1"/>
          <w:numId w:val="20"/>
        </w:numPr>
        <w:tabs>
          <w:tab w:val="left" w:pos="941"/>
        </w:tabs>
        <w:adjustRightInd w:val="0"/>
        <w:snapToGrid w:val="0"/>
        <w:spacing w:line="360" w:lineRule="auto"/>
        <w:ind w:left="0" w:firstLine="480" w:firstLineChars="200"/>
        <w:jc w:val="both"/>
        <w:rPr>
          <w:color w:val="auto"/>
          <w:sz w:val="24"/>
          <w:szCs w:val="24"/>
          <w:highlight w:val="none"/>
          <w:lang w:val="en-US"/>
        </w:rPr>
      </w:pPr>
      <w:r>
        <w:rPr>
          <w:rFonts w:hint="eastAsia"/>
          <w:color w:val="auto"/>
          <w:sz w:val="24"/>
          <w:highlight w:val="none"/>
        </w:rPr>
        <w:t>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pPr>
        <w:pStyle w:val="32"/>
        <w:tabs>
          <w:tab w:val="left" w:pos="941"/>
        </w:tabs>
        <w:adjustRightInd w:val="0"/>
        <w:snapToGrid w:val="0"/>
        <w:spacing w:line="360" w:lineRule="auto"/>
        <w:ind w:left="480" w:firstLine="0"/>
        <w:jc w:val="both"/>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29.技术响应说明</w:t>
      </w:r>
    </w:p>
    <w:p>
      <w:pPr>
        <w:tabs>
          <w:tab w:val="left" w:pos="941"/>
        </w:tabs>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pPr>
        <w:pStyle w:val="18"/>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pPr>
        <w:pStyle w:val="18"/>
        <w:rPr>
          <w:rFonts w:asciiTheme="minorEastAsia" w:hAnsiTheme="minorEastAsia" w:eastAsiaTheme="minorEastAsia"/>
          <w:bCs/>
          <w:color w:val="auto"/>
          <w:sz w:val="24"/>
          <w:highlight w:val="none"/>
        </w:rPr>
      </w:pPr>
    </w:p>
    <w:p>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pPr>
        <w:pStyle w:val="4"/>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pPr>
        <w:pStyle w:val="2"/>
        <w:spacing w:before="4"/>
        <w:rPr>
          <w:rFonts w:asciiTheme="minorEastAsia" w:hAnsiTheme="minorEastAsia" w:eastAsiaTheme="minorEastAsia"/>
          <w:b/>
          <w:color w:val="auto"/>
          <w:sz w:val="44"/>
          <w:highlight w:val="none"/>
        </w:rPr>
      </w:pPr>
    </w:p>
    <w:p>
      <w:pPr>
        <w:pStyle w:val="2"/>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w:t>
      </w:r>
      <w:r>
        <w:rPr>
          <w:rFonts w:hint="eastAsia" w:asciiTheme="minorEastAsia" w:hAnsiTheme="minorEastAsia" w:eastAsiaTheme="minorEastAsia"/>
          <w:b/>
          <w:color w:val="auto"/>
          <w:spacing w:val="-14"/>
          <w:highlight w:val="none"/>
          <w:lang w:val="en-US"/>
        </w:rPr>
        <w:t>第</w:t>
      </w:r>
      <w:r>
        <w:rPr>
          <w:rFonts w:hint="eastAsia" w:asciiTheme="minorEastAsia" w:hAnsiTheme="minorEastAsia" w:eastAsiaTheme="minorEastAsia"/>
          <w:b/>
          <w:color w:val="auto"/>
          <w:spacing w:val="-14"/>
          <w:highlight w:val="none"/>
        </w:rPr>
        <w:t>一部分）</w:t>
      </w:r>
    </w:p>
    <w:p>
      <w:pPr>
        <w:pStyle w:val="2"/>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六、付款方式：</w:t>
      </w:r>
      <w:r>
        <w:rPr>
          <w:rFonts w:hint="eastAsia" w:cs="Times New Roman"/>
          <w:color w:val="auto"/>
          <w:kern w:val="2"/>
          <w:highlight w:val="none"/>
          <w:lang w:val="en-US" w:bidi="ar-SA"/>
        </w:rPr>
        <w:t>供货完成验收合格后付95%，剩余费用一年后付清。</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八</w:t>
      </w:r>
      <w:r>
        <w:rPr>
          <w:rFonts w:hint="eastAsia" w:asciiTheme="minorEastAsia" w:hAnsiTheme="minorEastAsia" w:eastAsiaTheme="minorEastAsia"/>
          <w:color w:val="auto"/>
          <w:highlight w:val="none"/>
        </w:rPr>
        <w:t>、项目其他要求：</w:t>
      </w:r>
    </w:p>
    <w:p>
      <w:pPr>
        <w:pStyle w:val="2"/>
        <w:adjustRightInd w:val="0"/>
        <w:snapToGrid w:val="0"/>
        <w:spacing w:line="360" w:lineRule="auto"/>
        <w:ind w:firstLine="480" w:firstLineChars="200"/>
        <w:rPr>
          <w:rFonts w:cs="Times New Roman"/>
          <w:color w:val="auto"/>
          <w:kern w:val="2"/>
          <w:highlight w:val="none"/>
          <w:lang w:val="en-US" w:bidi="ar-SA"/>
        </w:rPr>
      </w:pPr>
      <w:r>
        <w:rPr>
          <w:rFonts w:hint="eastAsia" w:cs="Times New Roman"/>
          <w:color w:val="auto"/>
          <w:kern w:val="2"/>
          <w:highlight w:val="none"/>
          <w:lang w:val="en-US" w:bidi="ar-SA"/>
        </w:rPr>
        <w:t>1、提供24小时服务，接到通知1个小时内响应，2个小时内上门服务。</w:t>
      </w:r>
    </w:p>
    <w:p>
      <w:pPr>
        <w:pStyle w:val="2"/>
        <w:adjustRightInd w:val="0"/>
        <w:snapToGrid w:val="0"/>
        <w:spacing w:line="360" w:lineRule="auto"/>
        <w:ind w:firstLine="480" w:firstLineChars="200"/>
        <w:rPr>
          <w:color w:val="auto"/>
          <w:szCs w:val="22"/>
          <w:highlight w:val="none"/>
        </w:rPr>
      </w:pPr>
      <w:r>
        <w:rPr>
          <w:rFonts w:hint="eastAsia" w:cs="Times New Roman"/>
          <w:color w:val="auto"/>
          <w:kern w:val="2"/>
          <w:highlight w:val="none"/>
          <w:lang w:val="en-US" w:eastAsia="zh-CN" w:bidi="ar-SA"/>
        </w:rPr>
        <w:t>2</w:t>
      </w:r>
      <w:r>
        <w:rPr>
          <w:rFonts w:hint="eastAsia" w:cs="Times New Roman"/>
          <w:color w:val="auto"/>
          <w:kern w:val="2"/>
          <w:highlight w:val="none"/>
          <w:lang w:val="en-US" w:bidi="ar-SA"/>
        </w:rPr>
        <w:t>、</w:t>
      </w:r>
      <w:r>
        <w:rPr>
          <w:rFonts w:hint="eastAsia"/>
          <w:color w:val="auto"/>
          <w:szCs w:val="22"/>
          <w:highlight w:val="none"/>
        </w:rPr>
        <w:t>潜在投标人所提供的所有资料必须做出书面承诺，无造假、隐瞒的承诺书（并附投标文件中）。依据响应文件中的承诺书，发现隐瞒、虚假文件，做无效投标处理，并上报至行政主管部门处理。</w:t>
      </w:r>
    </w:p>
    <w:p>
      <w:pPr>
        <w:pStyle w:val="2"/>
        <w:adjustRightInd w:val="0"/>
        <w:snapToGrid w:val="0"/>
        <w:spacing w:line="360" w:lineRule="auto"/>
        <w:ind w:firstLine="480" w:firstLineChars="200"/>
        <w:rPr>
          <w:rFonts w:hint="eastAsia"/>
          <w:color w:val="auto"/>
          <w:szCs w:val="22"/>
          <w:highlight w:val="none"/>
        </w:rPr>
      </w:pPr>
      <w:r>
        <w:rPr>
          <w:rFonts w:hint="eastAsia"/>
          <w:color w:val="auto"/>
          <w:szCs w:val="22"/>
          <w:highlight w:val="none"/>
          <w:lang w:val="en-US" w:eastAsia="zh-CN"/>
        </w:rPr>
        <w:t>3</w:t>
      </w:r>
      <w:r>
        <w:rPr>
          <w:rFonts w:hint="eastAsia"/>
          <w:color w:val="auto"/>
          <w:szCs w:val="22"/>
          <w:highlight w:val="none"/>
        </w:rPr>
        <w:t>、为避免供应商盲目投标，确保项目顺利实施，合格的供应商可在下载采购文件截止后的第一个工作日内及时到现场进行实地勘查。经采购单位证实供应商确实已到现场勘查后开具现场勘察证明。</w:t>
      </w:r>
    </w:p>
    <w:p>
      <w:pPr>
        <w:pStyle w:val="2"/>
        <w:adjustRightInd w:val="0"/>
        <w:snapToGrid w:val="0"/>
        <w:spacing w:line="360" w:lineRule="auto"/>
        <w:ind w:firstLine="480" w:firstLineChars="200"/>
        <w:rPr>
          <w:rFonts w:hint="eastAsia"/>
          <w:color w:val="auto"/>
          <w:szCs w:val="22"/>
          <w:highlight w:val="none"/>
        </w:rPr>
      </w:pPr>
      <w:r>
        <w:rPr>
          <w:rFonts w:hint="eastAsia"/>
          <w:color w:val="auto"/>
          <w:szCs w:val="22"/>
          <w:highlight w:val="none"/>
        </w:rPr>
        <w:t>勘察</w:t>
      </w:r>
      <w:r>
        <w:rPr>
          <w:rFonts w:hint="eastAsia"/>
          <w:color w:val="auto"/>
          <w:szCs w:val="22"/>
          <w:highlight w:val="none"/>
          <w:lang w:val="en-US" w:eastAsia="zh-CN"/>
        </w:rPr>
        <w:t>现场</w:t>
      </w:r>
      <w:r>
        <w:rPr>
          <w:rFonts w:hint="eastAsia"/>
          <w:color w:val="auto"/>
          <w:szCs w:val="22"/>
          <w:highlight w:val="none"/>
        </w:rPr>
        <w:t xml:space="preserve">联系人：赵腾飞   </w:t>
      </w:r>
    </w:p>
    <w:p>
      <w:pPr>
        <w:pStyle w:val="2"/>
        <w:adjustRightInd w:val="0"/>
        <w:snapToGrid w:val="0"/>
        <w:spacing w:line="360" w:lineRule="auto"/>
        <w:ind w:firstLine="480" w:firstLineChars="200"/>
        <w:rPr>
          <w:rFonts w:hint="eastAsia"/>
          <w:color w:val="auto"/>
          <w:szCs w:val="22"/>
          <w:highlight w:val="none"/>
        </w:rPr>
      </w:pPr>
      <w:r>
        <w:rPr>
          <w:rFonts w:hint="eastAsia"/>
          <w:color w:val="auto"/>
          <w:szCs w:val="22"/>
          <w:highlight w:val="none"/>
        </w:rPr>
        <w:t>联系电话：15896769919</w:t>
      </w:r>
    </w:p>
    <w:p>
      <w:pPr>
        <w:pStyle w:val="2"/>
        <w:adjustRightInd w:val="0"/>
        <w:snapToGrid w:val="0"/>
        <w:spacing w:line="360" w:lineRule="auto"/>
        <w:ind w:firstLine="480" w:firstLineChars="200"/>
        <w:rPr>
          <w:rFonts w:asciiTheme="minorEastAsia" w:hAnsiTheme="minorEastAsia" w:eastAsiaTheme="minorEastAsia"/>
          <w:color w:val="auto"/>
          <w:highlight w:val="none"/>
        </w:rPr>
      </w:pPr>
      <w:r>
        <w:rPr>
          <w:rFonts w:hint="eastAsia"/>
          <w:color w:val="auto"/>
          <w:szCs w:val="22"/>
          <w:highlight w:val="none"/>
        </w:rPr>
        <w:t>勘察内容：根据该项目</w:t>
      </w:r>
      <w:r>
        <w:rPr>
          <w:rFonts w:hint="eastAsia"/>
          <w:color w:val="auto"/>
          <w:szCs w:val="22"/>
          <w:highlight w:val="none"/>
          <w:lang w:val="en-US" w:eastAsia="zh-CN"/>
        </w:rPr>
        <w:t>设备</w:t>
      </w:r>
      <w:r>
        <w:rPr>
          <w:rFonts w:hint="eastAsia"/>
          <w:color w:val="auto"/>
          <w:szCs w:val="22"/>
          <w:highlight w:val="none"/>
        </w:rPr>
        <w:t>的布局、路线</w:t>
      </w:r>
      <w:r>
        <w:rPr>
          <w:rFonts w:hint="eastAsia"/>
          <w:color w:val="auto"/>
          <w:szCs w:val="22"/>
          <w:highlight w:val="none"/>
          <w:lang w:val="en-US" w:eastAsia="zh-CN"/>
        </w:rPr>
        <w:t>及位置</w:t>
      </w:r>
      <w:r>
        <w:rPr>
          <w:rFonts w:hint="eastAsia"/>
          <w:color w:val="auto"/>
          <w:szCs w:val="22"/>
          <w:highlight w:val="none"/>
        </w:rPr>
        <w:t>，实地勘察</w:t>
      </w:r>
      <w:r>
        <w:rPr>
          <w:rFonts w:hint="eastAsia"/>
          <w:color w:val="auto"/>
          <w:szCs w:val="22"/>
          <w:highlight w:val="none"/>
          <w:lang w:val="en-US" w:eastAsia="zh-CN"/>
        </w:rPr>
        <w:t>设备</w:t>
      </w:r>
      <w:r>
        <w:rPr>
          <w:rFonts w:hint="eastAsia"/>
          <w:color w:val="auto"/>
          <w:szCs w:val="22"/>
          <w:highlight w:val="none"/>
        </w:rPr>
        <w:t>的安装环境。</w:t>
      </w:r>
    </w:p>
    <w:p>
      <w:pPr>
        <w:pStyle w:val="7"/>
        <w:spacing w:line="360" w:lineRule="auto"/>
        <w:ind w:firstLine="480" w:firstLineChars="200"/>
        <w:rPr>
          <w:rFonts w:hint="default" w:ascii="宋体" w:hAnsi="宋体" w:eastAsia="宋体" w:cs="宋体"/>
          <w:color w:val="auto"/>
          <w:szCs w:val="22"/>
          <w:highlight w:val="none"/>
          <w:lang w:val="zh-CN" w:bidi="zh-CN"/>
        </w:rPr>
      </w:pPr>
      <w:r>
        <w:rPr>
          <w:rFonts w:hint="eastAsia" w:ascii="宋体" w:hAnsi="宋体" w:eastAsia="宋体" w:cs="宋体"/>
          <w:color w:val="auto"/>
          <w:szCs w:val="22"/>
          <w:highlight w:val="none"/>
          <w:lang w:val="en-US" w:bidi="zh-CN"/>
        </w:rPr>
        <w:t>4</w:t>
      </w:r>
      <w:r>
        <w:rPr>
          <w:rFonts w:ascii="宋体" w:hAnsi="宋体" w:eastAsia="宋体" w:cs="宋体"/>
          <w:color w:val="auto"/>
          <w:szCs w:val="22"/>
          <w:highlight w:val="none"/>
          <w:lang w:bidi="zh-CN"/>
        </w:rPr>
        <w:t>、</w:t>
      </w:r>
      <w:r>
        <w:rPr>
          <w:rFonts w:ascii="宋体" w:hAnsi="宋体" w:eastAsia="宋体" w:cs="宋体"/>
          <w:color w:val="auto"/>
          <w:szCs w:val="22"/>
          <w:highlight w:val="none"/>
          <w:lang w:val="zh-CN" w:bidi="zh-CN"/>
        </w:rPr>
        <w:t>在确定成交候选人后，与采购人签订合同的同时，要求投标人提供廉洁自律承诺书（该承诺书是响应文件承诺书的原件）。合同是本次竞争性谈判文件的组成部分，请投标人认真阅读响应。</w:t>
      </w:r>
    </w:p>
    <w:p>
      <w:pPr>
        <w:pStyle w:val="2"/>
        <w:adjustRightInd w:val="0"/>
        <w:snapToGrid w:val="0"/>
        <w:spacing w:line="360" w:lineRule="auto"/>
        <w:ind w:firstLine="480" w:firstLineChars="200"/>
        <w:rPr>
          <w:rFonts w:cs="Times New Roman"/>
          <w:color w:val="auto"/>
          <w:kern w:val="2"/>
          <w:highlight w:val="none"/>
          <w:lang w:val="en-US" w:bidi="ar-SA"/>
        </w:rPr>
      </w:pPr>
    </w:p>
    <w:p>
      <w:pPr>
        <w:rPr>
          <w:rFonts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pPr>
        <w:pStyle w:val="18"/>
        <w:ind w:firstLine="2249" w:firstLineChars="700"/>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lang w:val="en-US"/>
        </w:rPr>
        <w:t xml:space="preserve">第四部分    </w:t>
      </w:r>
      <w:r>
        <w:rPr>
          <w:rFonts w:hint="eastAsia" w:asciiTheme="minorEastAsia" w:hAnsiTheme="minorEastAsia" w:eastAsiaTheme="minorEastAsia"/>
          <w:b/>
          <w:bCs/>
          <w:color w:val="auto"/>
          <w:sz w:val="32"/>
          <w:szCs w:val="32"/>
          <w:highlight w:val="none"/>
        </w:rPr>
        <w:t>项目内容及技术要求</w:t>
      </w:r>
    </w:p>
    <w:tbl>
      <w:tblPr>
        <w:tblStyle w:val="22"/>
        <w:tblW w:w="9300" w:type="dxa"/>
        <w:tblInd w:w="93" w:type="dxa"/>
        <w:tblLayout w:type="autofit"/>
        <w:tblCellMar>
          <w:top w:w="0" w:type="dxa"/>
          <w:left w:w="108" w:type="dxa"/>
          <w:bottom w:w="0" w:type="dxa"/>
          <w:right w:w="108" w:type="dxa"/>
        </w:tblCellMar>
      </w:tblPr>
      <w:tblGrid>
        <w:gridCol w:w="1477"/>
        <w:gridCol w:w="2234"/>
        <w:gridCol w:w="1428"/>
        <w:gridCol w:w="1428"/>
        <w:gridCol w:w="1428"/>
        <w:gridCol w:w="1427"/>
      </w:tblGrid>
      <w:tr>
        <w:tblPrEx>
          <w:tblCellMar>
            <w:top w:w="0" w:type="dxa"/>
            <w:left w:w="108" w:type="dxa"/>
            <w:bottom w:w="0" w:type="dxa"/>
            <w:right w:w="108" w:type="dxa"/>
          </w:tblCellMar>
        </w:tblPrEx>
        <w:trPr>
          <w:trHeight w:val="450" w:hRule="atLeast"/>
        </w:trPr>
        <w:tc>
          <w:tcPr>
            <w:tcW w:w="9300" w:type="dxa"/>
            <w:gridSpan w:val="6"/>
            <w:tcBorders>
              <w:top w:val="nil"/>
              <w:left w:val="nil"/>
              <w:bottom w:val="nil"/>
              <w:right w:val="nil"/>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 xml:space="preserve">周口市第六初级中学教室及宿舍设备清单汇总 </w:t>
            </w: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总价</w:t>
            </w:r>
          </w:p>
        </w:tc>
      </w:tr>
      <w:tr>
        <w:tblPrEx>
          <w:tblCellMar>
            <w:top w:w="0" w:type="dxa"/>
            <w:left w:w="108" w:type="dxa"/>
            <w:bottom w:w="0" w:type="dxa"/>
            <w:right w:w="108" w:type="dxa"/>
          </w:tblCellMar>
        </w:tblPrEx>
        <w:trPr>
          <w:trHeight w:val="540" w:hRule="atLeast"/>
        </w:trPr>
        <w:tc>
          <w:tcPr>
            <w:tcW w:w="0" w:type="auto"/>
            <w:gridSpan w:val="5"/>
            <w:tcBorders>
              <w:top w:val="single" w:color="000000" w:sz="4" w:space="0"/>
              <w:left w:val="single" w:color="000000" w:sz="4" w:space="0"/>
              <w:bottom w:val="single" w:color="000000" w:sz="4" w:space="0"/>
              <w:right w:val="nil"/>
            </w:tcBorders>
            <w:shd w:val="clear" w:color="auto" w:fill="auto"/>
            <w:noWrap/>
            <w:vAlign w:val="center"/>
          </w:tcPr>
          <w:p>
            <w:pPr>
              <w:widowControl/>
              <w:textAlignment w:val="center"/>
              <w:rPr>
                <w:b/>
                <w:bCs/>
                <w:color w:val="auto"/>
                <w:sz w:val="24"/>
                <w:szCs w:val="24"/>
                <w:highlight w:val="none"/>
              </w:rPr>
            </w:pPr>
            <w:r>
              <w:rPr>
                <w:rFonts w:hint="eastAsia"/>
                <w:b/>
                <w:bCs/>
                <w:color w:val="auto"/>
                <w:sz w:val="24"/>
                <w:szCs w:val="24"/>
                <w:highlight w:val="none"/>
                <w:lang w:val="en-US" w:bidi="ar"/>
              </w:rPr>
              <w:t>一、周口市第六初级中学宿舍设备</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上下床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更衣柜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寝室桌子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gridSpan w:val="5"/>
            <w:tcBorders>
              <w:top w:val="single" w:color="000000" w:sz="4" w:space="0"/>
              <w:left w:val="single" w:color="000000" w:sz="4" w:space="0"/>
              <w:bottom w:val="single" w:color="000000" w:sz="4" w:space="0"/>
              <w:right w:val="nil"/>
            </w:tcBorders>
            <w:shd w:val="clear" w:color="auto" w:fill="auto"/>
            <w:noWrap/>
            <w:vAlign w:val="center"/>
          </w:tcPr>
          <w:p>
            <w:pPr>
              <w:widowControl/>
              <w:textAlignment w:val="center"/>
              <w:rPr>
                <w:b/>
                <w:bCs/>
                <w:color w:val="auto"/>
                <w:sz w:val="24"/>
                <w:szCs w:val="24"/>
                <w:highlight w:val="none"/>
              </w:rPr>
            </w:pPr>
            <w:r>
              <w:rPr>
                <w:rFonts w:hint="eastAsia"/>
                <w:b/>
                <w:bCs/>
                <w:color w:val="auto"/>
                <w:sz w:val="24"/>
                <w:szCs w:val="24"/>
                <w:highlight w:val="none"/>
                <w:lang w:val="en-US" w:bidi="ar"/>
              </w:rPr>
              <w:t>二、周口市第六初级中学班级设备</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智慧黑板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视频展台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黑板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讲桌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班级图书柜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课桌凳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b/>
                <w:bCs/>
                <w:color w:val="auto"/>
                <w:sz w:val="24"/>
                <w:szCs w:val="24"/>
                <w:highlight w:val="none"/>
              </w:rPr>
            </w:pPr>
            <w:r>
              <w:rPr>
                <w:rFonts w:hint="eastAsia"/>
                <w:b/>
                <w:bCs/>
                <w:color w:val="auto"/>
                <w:sz w:val="24"/>
                <w:szCs w:val="24"/>
                <w:highlight w:val="none"/>
                <w:lang w:val="en-US" w:bidi="ar"/>
              </w:rPr>
              <w:t>三、周口市第六初级中学PVC地板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blPrEx>
          <w:tblCellMar>
            <w:top w:w="0" w:type="dxa"/>
            <w:left w:w="108" w:type="dxa"/>
            <w:bottom w:w="0" w:type="dxa"/>
            <w:right w:w="108" w:type="dxa"/>
          </w:tblCellMar>
        </w:tblPrEx>
        <w:trPr>
          <w:trHeight w:val="5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b/>
                <w:bCs/>
                <w:color w:val="auto"/>
                <w:sz w:val="24"/>
                <w:szCs w:val="24"/>
                <w:highlight w:val="none"/>
              </w:rPr>
            </w:pPr>
            <w:r>
              <w:rPr>
                <w:rFonts w:hint="eastAsia"/>
                <w:b/>
                <w:bCs/>
                <w:color w:val="auto"/>
                <w:sz w:val="24"/>
                <w:szCs w:val="24"/>
                <w:highlight w:val="none"/>
                <w:lang w:val="en-US" w:bidi="ar"/>
              </w:rPr>
              <w:t>四、周口市第六初级中学空调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r>
        <w:trPr>
          <w:trHeight w:val="54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b/>
                <w:bCs/>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p>
        </w:tc>
      </w:tr>
    </w:tbl>
    <w:p>
      <w:pPr>
        <w:rPr>
          <w:color w:val="auto"/>
          <w:highlight w:val="none"/>
          <w:lang w:val="en-US"/>
        </w:rPr>
      </w:pPr>
    </w:p>
    <w:p>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tbl>
      <w:tblPr>
        <w:tblStyle w:val="22"/>
        <w:tblW w:w="8780" w:type="dxa"/>
        <w:tblInd w:w="93" w:type="dxa"/>
        <w:tblLayout w:type="fixed"/>
        <w:tblCellMar>
          <w:top w:w="0" w:type="dxa"/>
          <w:left w:w="108" w:type="dxa"/>
          <w:bottom w:w="0" w:type="dxa"/>
          <w:right w:w="108" w:type="dxa"/>
        </w:tblCellMar>
      </w:tblPr>
      <w:tblGrid>
        <w:gridCol w:w="503"/>
        <w:gridCol w:w="481"/>
        <w:gridCol w:w="62"/>
        <w:gridCol w:w="689"/>
        <w:gridCol w:w="3524"/>
        <w:gridCol w:w="575"/>
        <w:gridCol w:w="1336"/>
        <w:gridCol w:w="568"/>
        <w:gridCol w:w="516"/>
        <w:gridCol w:w="526"/>
      </w:tblGrid>
      <w:tr>
        <w:tblPrEx>
          <w:tblCellMar>
            <w:top w:w="0" w:type="dxa"/>
            <w:left w:w="108" w:type="dxa"/>
            <w:bottom w:w="0" w:type="dxa"/>
            <w:right w:w="108" w:type="dxa"/>
          </w:tblCellMar>
        </w:tblPrEx>
        <w:trPr>
          <w:trHeight w:val="487" w:hRule="atLeast"/>
        </w:trPr>
        <w:tc>
          <w:tcPr>
            <w:tcW w:w="8780" w:type="dxa"/>
            <w:gridSpan w:val="10"/>
            <w:tcBorders>
              <w:top w:val="nil"/>
              <w:left w:val="nil"/>
              <w:bottom w:val="nil"/>
              <w:right w:val="nil"/>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周口市第六初级中学宿舍设备清单</w:t>
            </w:r>
          </w:p>
        </w:tc>
      </w:tr>
      <w:tr>
        <w:tblPrEx>
          <w:tblCellMar>
            <w:top w:w="0" w:type="dxa"/>
            <w:left w:w="108" w:type="dxa"/>
            <w:bottom w:w="0" w:type="dxa"/>
            <w:right w:w="108" w:type="dxa"/>
          </w:tblCellMar>
        </w:tblPrEx>
        <w:trPr>
          <w:trHeight w:val="669" w:hRule="atLeast"/>
        </w:trPr>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序号</w:t>
            </w: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名称</w:t>
            </w: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参数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单位</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数量</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单价</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总价</w:t>
            </w:r>
          </w:p>
        </w:tc>
      </w:tr>
      <w:tr>
        <w:tblPrEx>
          <w:tblCellMar>
            <w:top w:w="0" w:type="dxa"/>
            <w:left w:w="108" w:type="dxa"/>
            <w:bottom w:w="0" w:type="dxa"/>
            <w:right w:w="108" w:type="dxa"/>
          </w:tblCellMar>
        </w:tblPrEx>
        <w:trPr>
          <w:trHeight w:val="10859" w:hRule="atLeast"/>
        </w:trPr>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1</w:t>
            </w: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上下床</w:t>
            </w: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结构：钢木组合式结构，高低式样；下床板距离地面高度430mm。上铺板离地面1460mm.</w:t>
            </w:r>
            <w:r>
              <w:rPr>
                <w:rFonts w:hint="eastAsia"/>
                <w:color w:val="auto"/>
                <w:sz w:val="20"/>
                <w:szCs w:val="20"/>
                <w:highlight w:val="none"/>
                <w:lang w:val="en-US" w:bidi="ar"/>
              </w:rPr>
              <w:br w:type="textWrapping"/>
            </w:r>
            <w:r>
              <w:rPr>
                <w:rFonts w:hint="eastAsia"/>
                <w:color w:val="auto"/>
                <w:sz w:val="20"/>
                <w:szCs w:val="20"/>
                <w:highlight w:val="none"/>
                <w:lang w:val="en-US" w:bidi="ar"/>
              </w:rPr>
              <w:t>材质：床体立柱：采用截面为40mm*40mm*1.3mm方钢管制作；下端应安装工程塑料脚垫。</w:t>
            </w:r>
            <w:r>
              <w:rPr>
                <w:rFonts w:hint="eastAsia"/>
                <w:color w:val="auto"/>
                <w:sz w:val="20"/>
                <w:szCs w:val="20"/>
                <w:highlight w:val="none"/>
                <w:lang w:val="en-US" w:bidi="ar"/>
              </w:rPr>
              <w:br w:type="textWrapping"/>
            </w:r>
            <w:r>
              <w:rPr>
                <w:rFonts w:hint="eastAsia"/>
                <w:color w:val="auto"/>
                <w:sz w:val="20"/>
                <w:szCs w:val="20"/>
                <w:highlight w:val="none"/>
                <w:lang w:val="en-US" w:bidi="ar"/>
              </w:rPr>
              <w:t>床体横梁：采用截面为30mm*50mm*1.3mm方钢管制作。</w:t>
            </w:r>
            <w:r>
              <w:rPr>
                <w:rFonts w:hint="eastAsia"/>
                <w:color w:val="auto"/>
                <w:sz w:val="20"/>
                <w:szCs w:val="20"/>
                <w:highlight w:val="none"/>
                <w:lang w:val="en-US" w:bidi="ar"/>
              </w:rPr>
              <w:br w:type="textWrapping"/>
            </w:r>
            <w:r>
              <w:rPr>
                <w:rFonts w:hint="eastAsia"/>
                <w:color w:val="auto"/>
                <w:sz w:val="20"/>
                <w:szCs w:val="20"/>
                <w:highlight w:val="none"/>
                <w:lang w:val="en-US" w:bidi="ar"/>
              </w:rPr>
              <w:t>上、下床头护栏柱：均为三根；采用19mm圆管、壁厚为1.0mm圆钢管制作。</w:t>
            </w:r>
            <w:r>
              <w:rPr>
                <w:rFonts w:hint="eastAsia"/>
                <w:color w:val="auto"/>
                <w:sz w:val="20"/>
                <w:szCs w:val="20"/>
                <w:highlight w:val="none"/>
                <w:lang w:val="en-US" w:bidi="ar"/>
              </w:rPr>
              <w:br w:type="textWrapping"/>
            </w:r>
            <w:r>
              <w:rPr>
                <w:rFonts w:hint="eastAsia"/>
                <w:color w:val="auto"/>
                <w:sz w:val="20"/>
                <w:szCs w:val="20"/>
                <w:highlight w:val="none"/>
                <w:lang w:val="en-US" w:bidi="ar"/>
              </w:rPr>
              <w:t>上床体的护栏：长1150mm、高230mm，护栏拐角为圆弧形。</w:t>
            </w:r>
            <w:r>
              <w:rPr>
                <w:rFonts w:hint="eastAsia"/>
                <w:color w:val="auto"/>
                <w:sz w:val="20"/>
                <w:szCs w:val="20"/>
                <w:highlight w:val="none"/>
                <w:lang w:val="en-US" w:bidi="ar"/>
              </w:rPr>
              <w:br w:type="textWrapping"/>
            </w:r>
            <w:r>
              <w:rPr>
                <w:rFonts w:hint="eastAsia"/>
                <w:color w:val="auto"/>
                <w:sz w:val="20"/>
                <w:szCs w:val="20"/>
                <w:highlight w:val="none"/>
                <w:lang w:val="en-US" w:bidi="ar"/>
              </w:rPr>
              <w:t>上、下床板承载梁各五根：采用截面为25mm*25mm*1.3mm方钢管制作。</w:t>
            </w:r>
            <w:r>
              <w:rPr>
                <w:rFonts w:hint="eastAsia"/>
                <w:color w:val="auto"/>
                <w:sz w:val="20"/>
                <w:szCs w:val="20"/>
                <w:highlight w:val="none"/>
                <w:lang w:val="en-US" w:bidi="ar"/>
              </w:rPr>
              <w:br w:type="textWrapping"/>
            </w:r>
            <w:r>
              <w:rPr>
                <w:rFonts w:hint="eastAsia"/>
                <w:color w:val="auto"/>
                <w:sz w:val="20"/>
                <w:szCs w:val="20"/>
                <w:highlight w:val="none"/>
                <w:lang w:val="en-US" w:bidi="ar"/>
              </w:rPr>
              <w:t>床梯：立柱采用22mm、厚度&gt;1.3mm圆钢管制作，立柱间的内侧宽度为280mm，右侧距床头间的距离为150mm。床梯踏步为弧形，向两端延伸连续变窄至20mm。采用宽&gt;35mm、厚为1.3mm、表面带有纹路的冷轧钢板制作，具有防滑功能。两个相邻踏步之间距离为300mm。</w:t>
            </w:r>
            <w:r>
              <w:rPr>
                <w:rFonts w:hint="eastAsia"/>
                <w:color w:val="auto"/>
                <w:sz w:val="20"/>
                <w:szCs w:val="20"/>
                <w:highlight w:val="none"/>
                <w:lang w:val="en-US" w:bidi="ar"/>
              </w:rPr>
              <w:br w:type="textWrapping"/>
            </w:r>
            <w:r>
              <w:rPr>
                <w:rFonts w:hint="eastAsia"/>
                <w:color w:val="auto"/>
                <w:sz w:val="20"/>
                <w:szCs w:val="20"/>
                <w:highlight w:val="none"/>
                <w:lang w:val="en-US" w:bidi="ar"/>
              </w:rPr>
              <w:t>床板：采用厚度&gt;16mm松木板材制作；由7～9块拼接而成，横撑4根，木，板材含水率在7%～15%之间。</w:t>
            </w:r>
            <w:r>
              <w:rPr>
                <w:rFonts w:hint="eastAsia"/>
                <w:color w:val="auto"/>
                <w:sz w:val="20"/>
                <w:szCs w:val="20"/>
                <w:highlight w:val="none"/>
                <w:lang w:val="en-US" w:bidi="ar"/>
              </w:rPr>
              <w:br w:type="textWrapping"/>
            </w:r>
            <w:r>
              <w:rPr>
                <w:rFonts w:hint="eastAsia"/>
                <w:color w:val="auto"/>
                <w:sz w:val="20"/>
                <w:szCs w:val="20"/>
                <w:highlight w:val="none"/>
                <w:lang w:val="en-US" w:bidi="ar"/>
              </w:rPr>
              <w:t>鞋架：规格1920mm*350mm；采用断面20mm*20mm、厚度1.0mm的方钢管制作</w:t>
            </w:r>
            <w:r>
              <w:rPr>
                <w:rFonts w:hint="eastAsia"/>
                <w:color w:val="auto"/>
                <w:sz w:val="20"/>
                <w:szCs w:val="20"/>
                <w:highlight w:val="none"/>
                <w:lang w:val="en-US" w:bidi="ar"/>
              </w:rPr>
              <w:br w:type="textWrapping"/>
            </w:r>
            <w:r>
              <w:rPr>
                <w:rFonts w:hint="eastAsia"/>
                <w:color w:val="auto"/>
                <w:sz w:val="20"/>
                <w:szCs w:val="20"/>
                <w:highlight w:val="none"/>
                <w:lang w:val="en-US" w:bidi="ar"/>
              </w:rPr>
              <w:t xml:space="preserve">1.除锈：焊接前，所用金属材料要经过酸洗、磷化处理。        </w:t>
            </w:r>
            <w:r>
              <w:rPr>
                <w:rFonts w:hint="eastAsia"/>
                <w:color w:val="auto"/>
                <w:sz w:val="20"/>
                <w:szCs w:val="20"/>
                <w:highlight w:val="none"/>
                <w:lang w:val="en-US" w:bidi="ar"/>
              </w:rPr>
              <w:br w:type="textWrapping"/>
            </w:r>
            <w:r>
              <w:rPr>
                <w:rFonts w:hint="eastAsia"/>
                <w:color w:val="auto"/>
                <w:sz w:val="20"/>
                <w:szCs w:val="20"/>
                <w:highlight w:val="none"/>
                <w:lang w:val="en-US" w:bidi="ar"/>
              </w:rPr>
              <w:t xml:space="preserve">2.焊接：采用线焊技术，保证焊缝均匀、平整、光滑；无虚焊、假焊和漏焊等现象。                                           </w:t>
            </w:r>
            <w:r>
              <w:rPr>
                <w:rFonts w:hint="eastAsia"/>
                <w:color w:val="auto"/>
                <w:sz w:val="20"/>
                <w:szCs w:val="20"/>
                <w:highlight w:val="none"/>
                <w:lang w:val="en-US" w:bidi="ar"/>
              </w:rPr>
              <w:br w:type="textWrapping"/>
            </w:r>
            <w:r>
              <w:rPr>
                <w:rFonts w:hint="eastAsia"/>
                <w:color w:val="auto"/>
                <w:sz w:val="20"/>
                <w:szCs w:val="20"/>
                <w:highlight w:val="none"/>
                <w:lang w:val="en-US" w:bidi="ar"/>
              </w:rPr>
              <w:t>3.喷塑：喷涂前，要进行打磨、抛光处理；然后进行高压喷塑。                                                                                         4.效果：喷涂后的塑面厚度均匀、覆盖完整、光泽明亮；无起泡、龟裂和伤痕等现象。                                                    5.安全：所有连接处均无毛刺、棱角等隐患；符合安全要求。</w:t>
            </w:r>
            <w:r>
              <w:rPr>
                <w:rFonts w:hint="eastAsia"/>
                <w:color w:val="auto"/>
                <w:sz w:val="20"/>
                <w:szCs w:val="20"/>
                <w:highlight w:val="none"/>
                <w:lang w:val="en-US" w:bidi="ar"/>
              </w:rPr>
              <w:br w:type="textWrapping"/>
            </w:r>
            <w:r>
              <w:rPr>
                <w:rFonts w:hint="eastAsia"/>
                <w:color w:val="auto"/>
                <w:sz w:val="20"/>
                <w:szCs w:val="20"/>
                <w:highlight w:val="none"/>
                <w:lang w:val="en-US" w:bidi="ar"/>
              </w:rPr>
              <w:t>6.床体立柱与床架要采用8mm*55mm镀锌螺丝固定链接，便于拆卸安装。</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张</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150</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832" w:hRule="atLeast"/>
        </w:trPr>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2</w:t>
            </w: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更衣柜</w:t>
            </w: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四门更衣柜 材质：E1级三聚氰胺板，尺寸：外径长宽高100*50*200cm，柜体板材为1.6厘米厚度</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个</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75</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1642" w:hRule="atLeast"/>
        </w:trPr>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w:t>
            </w: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寝室桌子</w:t>
            </w: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规格：1200*400*760mm</w:t>
            </w:r>
            <w:r>
              <w:rPr>
                <w:rFonts w:hint="eastAsia"/>
                <w:color w:val="auto"/>
                <w:sz w:val="20"/>
                <w:szCs w:val="20"/>
                <w:highlight w:val="none"/>
                <w:lang w:val="en-US" w:bidi="ar"/>
              </w:rPr>
              <w:br w:type="textWrapping"/>
            </w:r>
            <w:r>
              <w:rPr>
                <w:rFonts w:hint="eastAsia"/>
                <w:color w:val="auto"/>
                <w:sz w:val="20"/>
                <w:szCs w:val="20"/>
                <w:highlight w:val="none"/>
                <w:lang w:val="en-US" w:bidi="ar"/>
              </w:rPr>
              <w:t>桌面材质：三聚氰胺贴面，阻燃、防污、耐冲击、耐磨损、耐磨性强。</w:t>
            </w:r>
            <w:r>
              <w:rPr>
                <w:rFonts w:hint="eastAsia"/>
                <w:color w:val="auto"/>
                <w:sz w:val="20"/>
                <w:szCs w:val="20"/>
                <w:highlight w:val="none"/>
                <w:lang w:val="en-US" w:bidi="ar"/>
              </w:rPr>
              <w:br w:type="textWrapping"/>
            </w:r>
            <w:r>
              <w:rPr>
                <w:rFonts w:hint="eastAsia"/>
                <w:color w:val="auto"/>
                <w:sz w:val="20"/>
                <w:szCs w:val="20"/>
                <w:highlight w:val="none"/>
                <w:lang w:val="en-US" w:bidi="ar"/>
              </w:rPr>
              <w:t>封边：优质PVC封边</w:t>
            </w:r>
            <w:r>
              <w:rPr>
                <w:rFonts w:hint="eastAsia"/>
                <w:color w:val="auto"/>
                <w:sz w:val="20"/>
                <w:szCs w:val="20"/>
                <w:highlight w:val="none"/>
                <w:lang w:val="en-US" w:bidi="ar"/>
              </w:rPr>
              <w:br w:type="textWrapping"/>
            </w:r>
            <w:r>
              <w:rPr>
                <w:rFonts w:hint="eastAsia"/>
                <w:color w:val="auto"/>
                <w:sz w:val="20"/>
                <w:szCs w:val="20"/>
                <w:highlight w:val="none"/>
                <w:lang w:val="en-US" w:bidi="ar"/>
              </w:rPr>
              <w:t>桌身：采用金属烤漆钢架，不易掉漆，不生锈</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张</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561" w:hRule="atLeast"/>
        </w:trPr>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0"/>
                <w:szCs w:val="20"/>
                <w:highlight w:val="none"/>
              </w:rPr>
            </w:pPr>
            <w:r>
              <w:rPr>
                <w:rFonts w:hint="eastAsia"/>
                <w:b/>
                <w:bCs/>
                <w:color w:val="auto"/>
                <w:sz w:val="20"/>
                <w:szCs w:val="20"/>
                <w:highlight w:val="none"/>
                <w:lang w:val="en-US" w:bidi="ar"/>
              </w:rPr>
              <w:t>小计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b/>
                <w:bCs/>
                <w:color w:val="auto"/>
                <w:sz w:val="20"/>
                <w:szCs w:val="20"/>
                <w:highlight w:val="none"/>
              </w:rPr>
            </w:pPr>
          </w:p>
        </w:tc>
      </w:tr>
      <w:tr>
        <w:tblPrEx>
          <w:tblCellMar>
            <w:top w:w="0" w:type="dxa"/>
            <w:left w:w="108" w:type="dxa"/>
            <w:bottom w:w="0" w:type="dxa"/>
            <w:right w:w="108" w:type="dxa"/>
          </w:tblCellMar>
        </w:tblPrEx>
        <w:trPr>
          <w:trHeight w:val="515" w:hRule="atLeast"/>
        </w:trPr>
        <w:tc>
          <w:tcPr>
            <w:tcW w:w="8780" w:type="dxa"/>
            <w:gridSpan w:val="10"/>
            <w:tcBorders>
              <w:top w:val="nil"/>
              <w:left w:val="nil"/>
              <w:bottom w:val="nil"/>
              <w:right w:val="nil"/>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周口市第六初级中学班级设备清单</w:t>
            </w:r>
          </w:p>
        </w:tc>
      </w:tr>
      <w:tr>
        <w:tblPrEx>
          <w:tblCellMar>
            <w:top w:w="0" w:type="dxa"/>
            <w:left w:w="108" w:type="dxa"/>
            <w:bottom w:w="0" w:type="dxa"/>
            <w:right w:w="108" w:type="dxa"/>
          </w:tblCellMar>
        </w:tblPrEx>
        <w:trPr>
          <w:trHeight w:val="677"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序号</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名称</w:t>
            </w:r>
          </w:p>
        </w:tc>
        <w:tc>
          <w:tcPr>
            <w:tcW w:w="4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参数</w:t>
            </w:r>
          </w:p>
        </w:tc>
        <w:tc>
          <w:tcPr>
            <w:tcW w:w="19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单位</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数量</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单价</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总价</w:t>
            </w:r>
          </w:p>
        </w:tc>
      </w:tr>
      <w:tr>
        <w:tblPrEx>
          <w:tblCellMar>
            <w:top w:w="0" w:type="dxa"/>
            <w:left w:w="108" w:type="dxa"/>
            <w:bottom w:w="0" w:type="dxa"/>
            <w:right w:w="108" w:type="dxa"/>
          </w:tblCellMar>
        </w:tblPrEx>
        <w:trPr>
          <w:trHeight w:val="963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1</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智慧黑板</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一、硬件功能</w:t>
            </w:r>
            <w:r>
              <w:rPr>
                <w:rFonts w:hint="eastAsia"/>
                <w:color w:val="auto"/>
                <w:sz w:val="20"/>
                <w:szCs w:val="20"/>
                <w:highlight w:val="none"/>
                <w:lang w:val="en-US" w:bidi="ar"/>
              </w:rPr>
              <w:br w:type="textWrapping"/>
            </w:r>
            <w:r>
              <w:rPr>
                <w:rFonts w:hint="eastAsia"/>
                <w:color w:val="auto"/>
                <w:sz w:val="20"/>
                <w:szCs w:val="20"/>
                <w:highlight w:val="none"/>
                <w:lang w:val="en-US" w:bidi="ar"/>
              </w:rPr>
              <w:t>1.中央主屏幕显示采用86英寸UHD超高清LED液晶屏，显示比例16:9，主屏具备防眩光效果。屏幕分辨率不低于3840*2160</w:t>
            </w:r>
            <w:r>
              <w:rPr>
                <w:rFonts w:hint="eastAsia"/>
                <w:color w:val="auto"/>
                <w:sz w:val="20"/>
                <w:szCs w:val="20"/>
                <w:highlight w:val="none"/>
                <w:lang w:val="en-US" w:bidi="ar"/>
              </w:rPr>
              <w:br w:type="textWrapping"/>
            </w:r>
            <w:r>
              <w:rPr>
                <w:rFonts w:hint="eastAsia"/>
                <w:color w:val="auto"/>
                <w:sz w:val="20"/>
                <w:szCs w:val="20"/>
                <w:highlight w:val="none"/>
                <w:lang w:val="en-US" w:bidi="ar"/>
              </w:rPr>
              <w:t>2.整机屏幕边缘采用超薄金属圆角包边防护，整机背板采用金属材质，有效屏蔽内部电路器件辐射；防潮耐盐雾蚀锈，适应多种教学环境。</w:t>
            </w:r>
            <w:r>
              <w:rPr>
                <w:rFonts w:hint="eastAsia"/>
                <w:color w:val="auto"/>
                <w:sz w:val="20"/>
                <w:szCs w:val="20"/>
                <w:highlight w:val="none"/>
                <w:lang w:val="en-US" w:bidi="ar"/>
              </w:rPr>
              <w:br w:type="textWrapping"/>
            </w:r>
            <w:r>
              <w:rPr>
                <w:rFonts w:hint="eastAsia"/>
                <w:color w:val="auto"/>
                <w:sz w:val="20"/>
                <w:szCs w:val="20"/>
                <w:highlight w:val="none"/>
                <w:lang w:val="en-US" w:bidi="ar"/>
              </w:rPr>
              <w:t>3.整机内置2.1声道音响，前朝向（避免中高音损失）15W中高音扬声器2个，后朝向20W低音扬声器1个，额定总功率50W（提供国家级广播电视产品质量监督检验中心所出具的权威检测报告并加盖公章）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4.整机具有护眼功能，可通过前置面板物理功能按键一键启用护眼模式。（提供国家广播电视产品质量监督检验中心所出具的权威检测报告并加盖公章）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5.整机采用左右双侧边栏虚拟按键方式，通过侧边栏可调用音量+/-、亮度+/-、批注、主页、半屏。</w:t>
            </w:r>
            <w:r>
              <w:rPr>
                <w:rFonts w:hint="eastAsia"/>
                <w:color w:val="auto"/>
                <w:sz w:val="20"/>
                <w:szCs w:val="20"/>
                <w:highlight w:val="none"/>
                <w:lang w:val="en-US" w:bidi="ar"/>
              </w:rPr>
              <w:br w:type="textWrapping"/>
            </w:r>
            <w:r>
              <w:rPr>
                <w:rFonts w:hint="eastAsia"/>
                <w:color w:val="auto"/>
                <w:sz w:val="20"/>
                <w:szCs w:val="20"/>
                <w:highlight w:val="none"/>
                <w:lang w:val="en-US" w:bidi="ar"/>
              </w:rPr>
              <w:t>6.嵌入式系统版本不低于Android9.0，内存≥2GB，存储空间≥8GB。（提供国家广播电视产品质量监督检验中心所出具的权威检测报告）</w:t>
            </w:r>
            <w:r>
              <w:rPr>
                <w:rFonts w:hint="eastAsia"/>
                <w:color w:val="auto"/>
                <w:sz w:val="20"/>
                <w:szCs w:val="20"/>
                <w:highlight w:val="none"/>
                <w:lang w:val="en-US" w:bidi="ar"/>
              </w:rPr>
              <w:br w:type="textWrapping"/>
            </w:r>
            <w:r>
              <w:rPr>
                <w:rFonts w:hint="eastAsia"/>
                <w:color w:val="auto"/>
                <w:sz w:val="20"/>
                <w:szCs w:val="20"/>
                <w:highlight w:val="none"/>
                <w:lang w:val="en-US" w:bidi="ar"/>
              </w:rPr>
              <w:t>7.整机内置非独立外扩展的麦克风，可用于一键录屏对音频进行采集。（提供国家级广播电视产品质量监督检验中心所出具的权威检测报告并加盖公章）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8.通过由中国标准化研究院制定的视觉舒适度（VICO）评价体系测试，并达到视觉舒适度A级或以上标准。（提供国家广播电视产品质量监督检验中心所出具的权威检测报告复印件并加盖厂家公章）</w:t>
            </w:r>
            <w:r>
              <w:rPr>
                <w:rFonts w:hint="eastAsia"/>
                <w:color w:val="auto"/>
                <w:sz w:val="20"/>
                <w:szCs w:val="20"/>
                <w:highlight w:val="none"/>
                <w:lang w:val="en-US" w:bidi="ar"/>
              </w:rPr>
              <w:br w:type="textWrapping"/>
            </w:r>
            <w:r>
              <w:rPr>
                <w:rFonts w:hint="eastAsia"/>
                <w:color w:val="auto"/>
                <w:sz w:val="20"/>
                <w:szCs w:val="20"/>
                <w:highlight w:val="none"/>
                <w:lang w:val="en-US" w:bidi="ar"/>
              </w:rPr>
              <w:t>9.支持锁定屏幕触摸和整机前置按键，可通过遥控器、十指长按屏幕5秒、软件菜单（调试菜单）实现该功能，也可通过前置面板的物理按键以组合按键的形式进行锁定/解锁。（提供国家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10.整机具备前置Type-C接口，通过Type-C接口实现音视频输入，外接电脑设备通过TypeC线连接至整机TypeC口，即可把外接电脑设备画面投到整机上，同时在整机上操作画面，可实现触摸电脑的操作，无需再连接触控USB线。（提供国家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11.整机支持蓝牙Bluetooth 4.2标准，能连接外部蓝牙音箱播放音频，也能接收外部手机通过蓝牙发送的文件。（提供国家广播电视产品质量监督检验中心所出具的权威检测报告并加盖公章）</w:t>
            </w:r>
            <w:r>
              <w:rPr>
                <w:rFonts w:hint="eastAsia"/>
                <w:color w:val="auto"/>
                <w:sz w:val="20"/>
                <w:szCs w:val="20"/>
                <w:highlight w:val="none"/>
                <w:lang w:val="en-US" w:bidi="ar"/>
              </w:rPr>
              <w:br w:type="textWrapping"/>
            </w:r>
            <w:r>
              <w:rPr>
                <w:rFonts w:hint="eastAsia"/>
                <w:color w:val="auto"/>
                <w:sz w:val="20"/>
                <w:szCs w:val="20"/>
                <w:highlight w:val="none"/>
                <w:lang w:val="en-US" w:bidi="ar"/>
              </w:rPr>
              <w:t>12.CPU≥Intel  I5十代性能配置，内存≥ 8GB DDR4。硬盘≥256GB SSD固态硬盘，和整机的连接采用万兆级接口，传输速率≥10Gbps。采用按压式卡扣，无需工具就可快速拆卸电脑模块。</w:t>
            </w:r>
            <w:r>
              <w:rPr>
                <w:rFonts w:hint="eastAsia"/>
                <w:color w:val="auto"/>
                <w:sz w:val="20"/>
                <w:szCs w:val="20"/>
                <w:highlight w:val="none"/>
                <w:lang w:val="en-US" w:bidi="ar"/>
              </w:rPr>
              <w:br w:type="textWrapping"/>
            </w:r>
            <w:r>
              <w:rPr>
                <w:rFonts w:hint="eastAsia"/>
                <w:color w:val="auto"/>
                <w:sz w:val="20"/>
                <w:szCs w:val="20"/>
                <w:highlight w:val="none"/>
                <w:lang w:val="en-US" w:bidi="ar"/>
              </w:rPr>
              <w:t>二、多媒体课件制作展示软件功能</w:t>
            </w:r>
            <w:r>
              <w:rPr>
                <w:rFonts w:hint="eastAsia"/>
                <w:color w:val="auto"/>
                <w:sz w:val="20"/>
                <w:szCs w:val="20"/>
                <w:highlight w:val="none"/>
                <w:lang w:val="en-US" w:bidi="ar"/>
              </w:rPr>
              <w:br w:type="textWrapping"/>
            </w:r>
            <w:r>
              <w:rPr>
                <w:rFonts w:hint="eastAsia"/>
                <w:color w:val="auto"/>
                <w:sz w:val="20"/>
                <w:szCs w:val="20"/>
                <w:highlight w:val="none"/>
                <w:lang w:val="en-US" w:bidi="ar"/>
              </w:rPr>
              <w:t>1. 为教师提供可扩展，易于学校管理，安全可靠的云存储空间。</w:t>
            </w:r>
            <w:r>
              <w:rPr>
                <w:rFonts w:hint="eastAsia"/>
                <w:color w:val="auto"/>
                <w:sz w:val="20"/>
                <w:szCs w:val="20"/>
                <w:highlight w:val="none"/>
                <w:lang w:val="en-US" w:bidi="ar"/>
              </w:rPr>
              <w:br w:type="textWrapping"/>
            </w:r>
            <w:r>
              <w:rPr>
                <w:rFonts w:hint="eastAsia"/>
                <w:color w:val="auto"/>
                <w:sz w:val="20"/>
                <w:szCs w:val="20"/>
                <w:highlight w:val="none"/>
                <w:lang w:val="en-US" w:bidi="ar"/>
              </w:rPr>
              <w:t>2. 为使用方全体教师配备个人账号，形成一体的信息化教学账号体系；根据教师账号信息将教师云空间匹配至对应学校、学科校本资源库。支持通过数字账号、微信二维码、硬件密钥方式登录教师个人账号。</w:t>
            </w:r>
            <w:r>
              <w:rPr>
                <w:rFonts w:hint="eastAsia"/>
                <w:color w:val="auto"/>
                <w:sz w:val="20"/>
                <w:szCs w:val="20"/>
                <w:highlight w:val="none"/>
                <w:lang w:val="en-US" w:bidi="ar"/>
              </w:rPr>
              <w:br w:type="textWrapping"/>
            </w:r>
            <w:r>
              <w:rPr>
                <w:rFonts w:hint="eastAsia"/>
                <w:color w:val="auto"/>
                <w:sz w:val="20"/>
                <w:szCs w:val="20"/>
                <w:highlight w:val="none"/>
                <w:lang w:val="en-US" w:bidi="ar"/>
              </w:rPr>
              <w:t>3. 互动教学课件支持定向精准分享：分享者可将互动课件、课件组精准推送至指定接收方账号云空间，接收方可在云空间接收并打开分享课件。</w:t>
            </w:r>
            <w:r>
              <w:rPr>
                <w:rFonts w:hint="eastAsia"/>
                <w:color w:val="auto"/>
                <w:sz w:val="20"/>
                <w:szCs w:val="20"/>
                <w:highlight w:val="none"/>
                <w:lang w:val="en-US" w:bidi="ar"/>
              </w:rPr>
              <w:br w:type="textWrapping"/>
            </w:r>
            <w:r>
              <w:rPr>
                <w:rFonts w:hint="eastAsia"/>
                <w:color w:val="auto"/>
                <w:sz w:val="20"/>
                <w:szCs w:val="20"/>
                <w:highlight w:val="none"/>
                <w:lang w:val="en-US" w:bidi="ar"/>
              </w:rPr>
              <w:t>4. 接收方通过web链接或二维码的课件分享入口可预览互动课件内容并可触控课件互动元素，并能将互动课件转存至个人云空间，登陆云空间即可接收并打开互动课件。</w:t>
            </w:r>
            <w:r>
              <w:rPr>
                <w:rFonts w:hint="eastAsia"/>
                <w:color w:val="auto"/>
                <w:sz w:val="20"/>
                <w:szCs w:val="20"/>
                <w:highlight w:val="none"/>
                <w:lang w:val="en-US" w:bidi="ar"/>
              </w:rPr>
              <w:br w:type="textWrapping"/>
            </w:r>
            <w:r>
              <w:rPr>
                <w:rFonts w:hint="eastAsia"/>
                <w:color w:val="auto"/>
                <w:sz w:val="20"/>
                <w:szCs w:val="20"/>
                <w:highlight w:val="none"/>
                <w:lang w:val="en-US" w:bidi="ar"/>
              </w:rPr>
              <w:t>5. 互动课件内容的编辑修改无需人为保存即可自动同步至云空间，可根据教师需要调整云空间自动同步的时间间隔，避免教学资源的损坏、遗失。</w:t>
            </w:r>
            <w:r>
              <w:rPr>
                <w:rFonts w:hint="eastAsia"/>
                <w:color w:val="auto"/>
                <w:sz w:val="20"/>
                <w:szCs w:val="20"/>
                <w:highlight w:val="none"/>
                <w:lang w:val="en-US" w:bidi="ar"/>
              </w:rPr>
              <w:br w:type="textWrapping"/>
            </w:r>
            <w:r>
              <w:rPr>
                <w:rFonts w:hint="eastAsia"/>
                <w:color w:val="auto"/>
                <w:sz w:val="20"/>
                <w:szCs w:val="20"/>
                <w:highlight w:val="none"/>
                <w:lang w:val="en-US" w:bidi="ar"/>
              </w:rPr>
              <w:t>6.编辑多份互动课件时，教师可一键将所有处于编辑状态的课件同步到互动课件云空间。</w:t>
            </w:r>
            <w:r>
              <w:rPr>
                <w:rFonts w:hint="eastAsia"/>
                <w:color w:val="auto"/>
                <w:sz w:val="20"/>
                <w:szCs w:val="20"/>
                <w:highlight w:val="none"/>
                <w:lang w:val="en-US" w:bidi="ar"/>
              </w:rPr>
              <w:br w:type="textWrapping"/>
            </w:r>
            <w:r>
              <w:rPr>
                <w:rFonts w:hint="eastAsia"/>
                <w:color w:val="auto"/>
                <w:sz w:val="20"/>
                <w:szCs w:val="20"/>
                <w:highlight w:val="none"/>
                <w:lang w:val="en-US" w:bidi="ar"/>
              </w:rPr>
              <w:t>7. 内置图片处理功能，无需借助专业图片处理软件即可对课件内的图片进行快速抠图，图片主体处理后边缘无明显毛边，且处理后的图片可直接上传至教师云空间供后续复用。</w:t>
            </w:r>
            <w:r>
              <w:rPr>
                <w:rFonts w:hint="eastAsia"/>
                <w:color w:val="auto"/>
                <w:sz w:val="20"/>
                <w:szCs w:val="20"/>
                <w:highlight w:val="none"/>
                <w:lang w:val="en-US" w:bidi="ar"/>
              </w:rPr>
              <w:br w:type="textWrapping"/>
            </w:r>
            <w:r>
              <w:rPr>
                <w:rFonts w:hint="eastAsia"/>
                <w:color w:val="auto"/>
                <w:sz w:val="20"/>
                <w:szCs w:val="20"/>
                <w:highlight w:val="none"/>
                <w:lang w:val="en-US" w:bidi="ar"/>
              </w:rPr>
              <w:t>8. 具备图形自由创作工具，教师可自由绘制复杂的任意多边图形及曲边图形；教师自主创作的图形可直接在备课界面下存储至个人云空间，无需导出转存，便于后续使用。</w:t>
            </w:r>
            <w:r>
              <w:rPr>
                <w:rFonts w:hint="eastAsia"/>
                <w:color w:val="auto"/>
                <w:sz w:val="20"/>
                <w:szCs w:val="20"/>
                <w:highlight w:val="none"/>
                <w:lang w:val="en-US" w:bidi="ar"/>
              </w:rPr>
              <w:br w:type="textWrapping"/>
            </w:r>
            <w:r>
              <w:rPr>
                <w:rFonts w:hint="eastAsia"/>
                <w:color w:val="auto"/>
                <w:sz w:val="20"/>
                <w:szCs w:val="20"/>
                <w:highlight w:val="none"/>
                <w:lang w:val="en-US" w:bidi="ar"/>
              </w:rPr>
              <w:t xml:space="preserve">9. 支持对音频、视频文件进行关键帧标记，可在音、视频进度条任意位置自由设置关键帧播放节点，便于快速定位讲解关键教学内容。 </w:t>
            </w:r>
            <w:r>
              <w:rPr>
                <w:rFonts w:hint="eastAsia"/>
                <w:color w:val="auto"/>
                <w:sz w:val="20"/>
                <w:szCs w:val="20"/>
                <w:highlight w:val="none"/>
                <w:lang w:val="en-US" w:bidi="ar"/>
              </w:rPr>
              <w:br w:type="textWrapping"/>
            </w:r>
            <w:r>
              <w:rPr>
                <w:rFonts w:hint="eastAsia"/>
                <w:color w:val="auto"/>
                <w:sz w:val="20"/>
                <w:szCs w:val="20"/>
                <w:highlight w:val="none"/>
                <w:lang w:val="en-US" w:bidi="ar"/>
              </w:rPr>
              <w:t>10. 具备交互表格功能，课件可自由插入表格；表格支持自由输入文本，且根据文本内容可一键自动调整行列宽高；表格通过表格首行首列交接处的按键可一键精准增加行列；具备遮罩功能，授课模式点击即可取消遮罩，便于教师交互式教学</w:t>
            </w:r>
            <w:r>
              <w:rPr>
                <w:rFonts w:hint="eastAsia"/>
                <w:color w:val="auto"/>
                <w:sz w:val="20"/>
                <w:szCs w:val="20"/>
                <w:highlight w:val="none"/>
                <w:lang w:val="en-US" w:bidi="ar"/>
              </w:rPr>
              <w:br w:type="textWrapping"/>
            </w:r>
            <w:r>
              <w:rPr>
                <w:rFonts w:hint="eastAsia"/>
                <w:color w:val="auto"/>
                <w:sz w:val="20"/>
                <w:szCs w:val="20"/>
                <w:highlight w:val="none"/>
                <w:lang w:val="en-US" w:bidi="ar"/>
              </w:rPr>
              <w:t>11. 提供柱状图、折线图等互动图表，每类图表预置不少于4种样式，支持图表文字、背景、透明度设置；柱状图、折线图可一键转置互换坐标轴类别；图表支持三维模式旋转展示，生动形象。</w:t>
            </w:r>
            <w:r>
              <w:rPr>
                <w:rFonts w:hint="eastAsia"/>
                <w:color w:val="auto"/>
                <w:sz w:val="20"/>
                <w:szCs w:val="20"/>
                <w:highlight w:val="none"/>
                <w:lang w:val="en-US" w:bidi="ar"/>
              </w:rPr>
              <w:br w:type="textWrapping"/>
            </w:r>
            <w:r>
              <w:rPr>
                <w:rFonts w:hint="eastAsia"/>
                <w:color w:val="auto"/>
                <w:sz w:val="20"/>
                <w:szCs w:val="20"/>
                <w:highlight w:val="none"/>
                <w:lang w:val="en-US" w:bidi="ar"/>
              </w:rPr>
              <w:t>12. 平面几何工具：可自由绘制线条、线段及射线；可自由绘制任意边数及角度的图形，自动显示内角角度，支持编辑内角角度对图形进行精细调整，提供具有智能吸附的辅助线工具，教师可快速自由绘制所需辅助线。同类几何体相互靠近时，可智能识别吸附。</w:t>
            </w:r>
            <w:r>
              <w:rPr>
                <w:rFonts w:hint="eastAsia"/>
                <w:color w:val="auto"/>
                <w:sz w:val="20"/>
                <w:szCs w:val="20"/>
                <w:highlight w:val="none"/>
                <w:lang w:val="en-US" w:bidi="ar"/>
              </w:rPr>
              <w:br w:type="textWrapping"/>
            </w:r>
            <w:r>
              <w:rPr>
                <w:rFonts w:hint="eastAsia"/>
                <w:color w:val="auto"/>
                <w:sz w:val="20"/>
                <w:szCs w:val="20"/>
                <w:highlight w:val="none"/>
                <w:lang w:val="en-US" w:bidi="ar"/>
              </w:rPr>
              <w:t>13.空中课堂功能内置于交互式备授课软件中，无需额外安装部署直播软件，可实现语音直播、课件同步、互动工具等远程教学功能,教师可一键开课生成课程海报.</w:t>
            </w:r>
            <w:r>
              <w:rPr>
                <w:rFonts w:hint="eastAsia"/>
                <w:color w:val="auto"/>
                <w:sz w:val="20"/>
                <w:szCs w:val="20"/>
                <w:highlight w:val="none"/>
                <w:lang w:val="en-US" w:bidi="ar"/>
              </w:rPr>
              <w:br w:type="textWrapping"/>
            </w:r>
            <w:r>
              <w:rPr>
                <w:rFonts w:hint="eastAsia"/>
                <w:color w:val="auto"/>
                <w:sz w:val="20"/>
                <w:szCs w:val="20"/>
                <w:highlight w:val="none"/>
                <w:lang w:val="en-US" w:bidi="ar"/>
              </w:rPr>
              <w:t>三、设备运维管理软件</w:t>
            </w:r>
            <w:r>
              <w:rPr>
                <w:rFonts w:hint="eastAsia"/>
                <w:color w:val="auto"/>
                <w:sz w:val="20"/>
                <w:szCs w:val="20"/>
                <w:highlight w:val="none"/>
                <w:lang w:val="en-US" w:bidi="ar"/>
              </w:rPr>
              <w:br w:type="textWrapping"/>
            </w:r>
            <w:r>
              <w:rPr>
                <w:rFonts w:hint="eastAsia"/>
                <w:color w:val="auto"/>
                <w:sz w:val="20"/>
                <w:szCs w:val="20"/>
                <w:highlight w:val="none"/>
                <w:lang w:val="en-US" w:bidi="ar"/>
              </w:rPr>
              <w:t>1.支持创设系统还原点，实现磁盘级的系统还原保护，可根据教学需要自由选择磁盘分区设立还原点、取消还原点</w:t>
            </w:r>
            <w:r>
              <w:rPr>
                <w:rFonts w:hint="eastAsia"/>
                <w:color w:val="auto"/>
                <w:sz w:val="20"/>
                <w:szCs w:val="20"/>
                <w:highlight w:val="none"/>
                <w:lang w:val="en-US" w:bidi="ar"/>
              </w:rPr>
              <w:br w:type="textWrapping"/>
            </w:r>
            <w:r>
              <w:rPr>
                <w:rFonts w:hint="eastAsia"/>
                <w:color w:val="auto"/>
                <w:sz w:val="20"/>
                <w:szCs w:val="20"/>
                <w:highlight w:val="none"/>
                <w:lang w:val="en-US" w:bidi="ar"/>
              </w:rPr>
              <w:t>2.支持对外接移动存储设备进行病毒检查，可根据教学行为选择即时杀毒、定期查杀病毒，确保教学安全。</w:t>
            </w:r>
            <w:r>
              <w:rPr>
                <w:rFonts w:hint="eastAsia"/>
                <w:color w:val="auto"/>
                <w:sz w:val="20"/>
                <w:szCs w:val="20"/>
                <w:highlight w:val="none"/>
                <w:lang w:val="en-US" w:bidi="ar"/>
              </w:rPr>
              <w:br w:type="textWrapping"/>
            </w:r>
            <w:r>
              <w:rPr>
                <w:rFonts w:hint="eastAsia"/>
                <w:color w:val="auto"/>
                <w:sz w:val="20"/>
                <w:szCs w:val="20"/>
                <w:highlight w:val="none"/>
                <w:lang w:val="en-US" w:bidi="ar"/>
              </w:rPr>
              <w:t>3.病毒库提供针对Zip,RAR，PDF等30余种教学常用文件格式的扫描，病毒特征库包含300万个病毒的特征码，可侦测到携带勒索病毒的软件和文件，支持在线实时更新。</w:t>
            </w:r>
            <w:r>
              <w:rPr>
                <w:rFonts w:hint="eastAsia"/>
                <w:color w:val="auto"/>
                <w:sz w:val="20"/>
                <w:szCs w:val="20"/>
                <w:highlight w:val="none"/>
                <w:lang w:val="en-US" w:bidi="ar"/>
              </w:rPr>
              <w:br w:type="textWrapping"/>
            </w:r>
            <w:r>
              <w:rPr>
                <w:rFonts w:hint="eastAsia"/>
                <w:color w:val="auto"/>
                <w:sz w:val="20"/>
                <w:szCs w:val="20"/>
                <w:highlight w:val="none"/>
                <w:lang w:val="en-US" w:bidi="ar"/>
              </w:rPr>
              <w:t>4.支持对系统盘进行垃圾清理、大文件迁移，释放系统盘空间占用，提升设备运行速度。</w:t>
            </w:r>
            <w:r>
              <w:rPr>
                <w:rFonts w:hint="eastAsia"/>
                <w:color w:val="auto"/>
                <w:sz w:val="20"/>
                <w:szCs w:val="20"/>
                <w:highlight w:val="none"/>
                <w:lang w:val="en-US" w:bidi="ar"/>
              </w:rPr>
              <w:br w:type="textWrapping"/>
            </w:r>
            <w:r>
              <w:rPr>
                <w:rFonts w:hint="eastAsia"/>
                <w:color w:val="auto"/>
                <w:sz w:val="20"/>
                <w:szCs w:val="20"/>
                <w:highlight w:val="none"/>
                <w:lang w:val="en-US" w:bidi="ar"/>
              </w:rPr>
              <w:t>5.支持对软件应用弹窗进行无差别拦截，可自定义自动拦截、手动点选拦截，保证教学过程中无干扰。</w:t>
            </w:r>
            <w:r>
              <w:rPr>
                <w:rFonts w:hint="eastAsia"/>
                <w:color w:val="auto"/>
                <w:sz w:val="20"/>
                <w:szCs w:val="20"/>
                <w:highlight w:val="none"/>
                <w:lang w:val="en-US" w:bidi="ar"/>
              </w:rPr>
              <w:br w:type="textWrapping"/>
            </w:r>
            <w:r>
              <w:rPr>
                <w:rFonts w:hint="eastAsia"/>
                <w:color w:val="auto"/>
                <w:sz w:val="20"/>
                <w:szCs w:val="20"/>
                <w:highlight w:val="none"/>
                <w:lang w:val="en-US" w:bidi="ar"/>
              </w:rPr>
              <w:t>6.支持多层级权限管理，可将多类型的设备管理权限分配给多个管理员共同管理；高级管理员可添加普通管理员并修改普通管理员的权限，权限支持按页面功能模块管理、按设备分组管理。</w:t>
            </w:r>
            <w:r>
              <w:rPr>
                <w:rFonts w:hint="eastAsia"/>
                <w:color w:val="auto"/>
                <w:sz w:val="20"/>
                <w:szCs w:val="20"/>
                <w:highlight w:val="none"/>
                <w:lang w:val="en-US" w:bidi="ar"/>
              </w:rPr>
              <w:br w:type="textWrapping"/>
            </w:r>
            <w:r>
              <w:rPr>
                <w:rFonts w:hint="eastAsia"/>
                <w:color w:val="auto"/>
                <w:sz w:val="20"/>
                <w:szCs w:val="20"/>
                <w:highlight w:val="none"/>
                <w:lang w:val="en-US" w:bidi="ar"/>
              </w:rPr>
              <w:t>7.支持远程实时控制设备，可监测设备当前运行界面，并远程操作设备界面，适用于远程维护和修复设备软件问题</w:t>
            </w:r>
            <w:r>
              <w:rPr>
                <w:rFonts w:hint="eastAsia"/>
                <w:color w:val="auto"/>
                <w:sz w:val="20"/>
                <w:szCs w:val="20"/>
                <w:highlight w:val="none"/>
                <w:lang w:val="en-US" w:bidi="ar"/>
              </w:rPr>
              <w:br w:type="textWrapping"/>
            </w:r>
            <w:r>
              <w:rPr>
                <w:rFonts w:hint="eastAsia"/>
                <w:color w:val="auto"/>
                <w:sz w:val="20"/>
                <w:szCs w:val="20"/>
                <w:highlight w:val="none"/>
                <w:lang w:val="en-US" w:bidi="ar"/>
              </w:rPr>
              <w:t>8.支持导出某月的设备使用情况详细数据分析表格，便于自行分析以及呈报工作业绩</w:t>
            </w:r>
            <w:r>
              <w:rPr>
                <w:rFonts w:hint="eastAsia"/>
                <w:color w:val="auto"/>
                <w:sz w:val="20"/>
                <w:szCs w:val="20"/>
                <w:highlight w:val="none"/>
                <w:lang w:val="en-US" w:bidi="ar"/>
              </w:rPr>
              <w:br w:type="textWrapping"/>
            </w:r>
            <w:r>
              <w:rPr>
                <w:rFonts w:hint="eastAsia"/>
                <w:color w:val="auto"/>
                <w:sz w:val="20"/>
                <w:szCs w:val="20"/>
                <w:highlight w:val="none"/>
                <w:lang w:val="en-US" w:bidi="ar"/>
              </w:rPr>
              <w:t>9.支持实时统计开启系统还原保护的设备数量、安装系统还原保护的设备总数量、磁盘冻结状态等，并提供冰点风险提示。</w:t>
            </w:r>
            <w:r>
              <w:rPr>
                <w:rFonts w:hint="eastAsia"/>
                <w:color w:val="auto"/>
                <w:sz w:val="20"/>
                <w:szCs w:val="20"/>
                <w:highlight w:val="none"/>
                <w:lang w:val="en-US" w:bidi="ar"/>
              </w:rPr>
              <w:br w:type="textWrapping"/>
            </w:r>
            <w:r>
              <w:rPr>
                <w:rFonts w:hint="eastAsia"/>
                <w:color w:val="auto"/>
                <w:sz w:val="20"/>
                <w:szCs w:val="20"/>
                <w:highlight w:val="none"/>
                <w:lang w:val="en-US" w:bidi="ar"/>
              </w:rPr>
              <w:t>10.支持远程对运行状态下的交互智能设备批量设置、解除本地系统启动盘的系统还原点，对已设置系统还原点的设备进行的系统、数据更改无法保留。</w:t>
            </w:r>
            <w:r>
              <w:rPr>
                <w:rFonts w:hint="eastAsia"/>
                <w:color w:val="auto"/>
                <w:sz w:val="20"/>
                <w:szCs w:val="20"/>
                <w:highlight w:val="none"/>
                <w:lang w:val="en-US" w:bidi="ar"/>
              </w:rPr>
              <w:br w:type="textWrapping"/>
            </w:r>
            <w:r>
              <w:rPr>
                <w:rFonts w:hint="eastAsia"/>
                <w:color w:val="auto"/>
                <w:sz w:val="20"/>
                <w:szCs w:val="20"/>
                <w:highlight w:val="none"/>
                <w:lang w:val="en-US" w:bidi="ar"/>
              </w:rPr>
              <w:t>11.支持弹窗自动拦截功能的开启或关闭，开启后系统智能嗅探软件应用弹窗并自动屏蔽。后台实时统计弹窗拦截保护的设备数量及历史拦截弹窗总数量。自动统计设备装载的软件应用弹出弹窗的次数，并留存软件应用弹窗界面截图，便于管理者针对性设置弹窗拦截黑\白名单</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块</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14926"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2</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视频展台</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1.采用≥800万像素摄像头；采用 USB五伏电源直接供电，无需额外配置电源适配器，环保无辐射；箱内USB连线采用隐藏式设计，箱内无可见连线且USB口下出，有效防止积尘，且方便布线和返修。（提供国家广播电视产品质量监督检验中心所出具的权威检测报告）</w:t>
            </w:r>
            <w:r>
              <w:rPr>
                <w:rFonts w:hint="eastAsia"/>
                <w:color w:val="auto"/>
                <w:sz w:val="20"/>
                <w:szCs w:val="20"/>
                <w:highlight w:val="none"/>
                <w:lang w:val="en-US" w:bidi="ar"/>
              </w:rPr>
              <w:br w:type="textWrapping"/>
            </w:r>
            <w:r>
              <w:rPr>
                <w:rFonts w:hint="eastAsia"/>
                <w:color w:val="auto"/>
                <w:sz w:val="20"/>
                <w:szCs w:val="20"/>
                <w:highlight w:val="none"/>
                <w:lang w:val="en-US" w:bidi="ar"/>
              </w:rPr>
              <w:t>2.A4大小拍摄幅面，1080P动态视频预览达到30帧/秒；托板及挂墙部分采用金属加强，托板可承重3kg，整机壁挂式安装。（提供国家广播电视产品质量监督检验中心所出具的权威检测报告）</w:t>
            </w:r>
            <w:r>
              <w:rPr>
                <w:rFonts w:hint="eastAsia"/>
                <w:color w:val="auto"/>
                <w:sz w:val="20"/>
                <w:szCs w:val="20"/>
                <w:highlight w:val="none"/>
                <w:lang w:val="en-US" w:bidi="ar"/>
              </w:rPr>
              <w:br w:type="textWrapping"/>
            </w:r>
            <w:r>
              <w:rPr>
                <w:rFonts w:hint="eastAsia"/>
                <w:color w:val="auto"/>
                <w:sz w:val="20"/>
                <w:szCs w:val="20"/>
                <w:highlight w:val="none"/>
                <w:lang w:val="en-US" w:bidi="ar"/>
              </w:rPr>
              <w:t>3.支持展台成像画面实时批注，预设多种笔划粗细及颜色供选择，且支持对展台成像画面联同批注内容进行同步缩放、移动。</w:t>
            </w:r>
            <w:r>
              <w:rPr>
                <w:rFonts w:hint="eastAsia"/>
                <w:color w:val="auto"/>
                <w:sz w:val="20"/>
                <w:szCs w:val="20"/>
                <w:highlight w:val="none"/>
                <w:lang w:val="en-US" w:bidi="ar"/>
              </w:rPr>
              <w:br w:type="textWrapping"/>
            </w:r>
            <w:r>
              <w:rPr>
                <w:rFonts w:hint="eastAsia"/>
                <w:color w:val="auto"/>
                <w:sz w:val="20"/>
                <w:szCs w:val="20"/>
                <w:highlight w:val="none"/>
                <w:lang w:val="en-US" w:bidi="ar"/>
              </w:rPr>
              <w:t>4.整机采用圆弧式设计，无锐角；同时托板采用磁吸吸附式机构，防止托板打落，方便打开及固定，避免机械式锁具故障率高的问题。展示托板正上方具备LED补光灯，保证展示区域的亮度及展示效果，补光灯开关采用触摸按键设计，同时可通过交互智能平板中的软件直接控制开关；</w:t>
            </w:r>
            <w:r>
              <w:rPr>
                <w:rFonts w:hint="eastAsia"/>
                <w:color w:val="auto"/>
                <w:sz w:val="20"/>
                <w:szCs w:val="20"/>
                <w:highlight w:val="none"/>
                <w:lang w:val="en-US" w:bidi="ar"/>
              </w:rPr>
              <w:br w:type="textWrapping"/>
            </w:r>
            <w:r>
              <w:rPr>
                <w:rFonts w:hint="eastAsia"/>
                <w:color w:val="auto"/>
                <w:sz w:val="20"/>
                <w:szCs w:val="20"/>
                <w:highlight w:val="none"/>
                <w:lang w:val="en-US" w:bidi="ar"/>
              </w:rPr>
              <w:t>5.带自动对焦摄像头；外壳在摄像头部分带保护镜片密封，防止灰尘沾染摄像头，防护等级达到IP4X级别。</w:t>
            </w:r>
            <w:r>
              <w:rPr>
                <w:rFonts w:hint="eastAsia"/>
                <w:color w:val="auto"/>
                <w:sz w:val="20"/>
                <w:szCs w:val="20"/>
                <w:highlight w:val="none"/>
                <w:lang w:val="en-US" w:bidi="ar"/>
              </w:rPr>
              <w:br w:type="textWrapping"/>
            </w:r>
            <w:r>
              <w:rPr>
                <w:rFonts w:hint="eastAsia"/>
                <w:color w:val="auto"/>
                <w:sz w:val="20"/>
                <w:szCs w:val="20"/>
                <w:highlight w:val="none"/>
                <w:lang w:val="en-US" w:bidi="ar"/>
              </w:rPr>
              <w:t>6.具有故障自动检测功能：在调用展台却无法出现镜头采集画面信号时，可自动出现检测链接，并给出导致性原因（如硬件连接、摄像头占用、配套软件版本等问题）。</w:t>
            </w:r>
            <w:r>
              <w:rPr>
                <w:rFonts w:hint="eastAsia"/>
                <w:color w:val="auto"/>
                <w:sz w:val="20"/>
                <w:szCs w:val="20"/>
                <w:highlight w:val="none"/>
                <w:lang w:val="en-US" w:bidi="ar"/>
              </w:rPr>
              <w:br w:type="textWrapping"/>
            </w:r>
            <w:r>
              <w:rPr>
                <w:rFonts w:hint="eastAsia"/>
                <w:color w:val="auto"/>
                <w:sz w:val="20"/>
                <w:szCs w:val="20"/>
                <w:highlight w:val="none"/>
                <w:lang w:val="en-US" w:bidi="ar"/>
              </w:rPr>
              <w:t>7.为保证兼容性及稳定性，视频展台需与智慧黑板为同一品牌厂家，提供国家认证认可监督管理委员会认可的证书（例如CCC证书、自声明证书）复印件证明。</w:t>
            </w:r>
            <w:r>
              <w:rPr>
                <w:rFonts w:hint="eastAsia"/>
                <w:color w:val="auto"/>
                <w:sz w:val="20"/>
                <w:szCs w:val="20"/>
                <w:highlight w:val="none"/>
                <w:lang w:val="en-US" w:bidi="ar"/>
              </w:rPr>
              <w:br w:type="textWrapping"/>
            </w:r>
            <w:r>
              <w:rPr>
                <w:rFonts w:hint="eastAsia"/>
                <w:color w:val="auto"/>
                <w:sz w:val="20"/>
                <w:szCs w:val="20"/>
                <w:highlight w:val="none"/>
                <w:lang w:val="en-US" w:bidi="ar"/>
              </w:rPr>
              <w:t>8.支持对展台画面进行放大、缩小、旋转、自适应、冻结画面等操作。</w:t>
            </w:r>
            <w:r>
              <w:rPr>
                <w:rFonts w:hint="eastAsia"/>
                <w:color w:val="auto"/>
                <w:sz w:val="20"/>
                <w:szCs w:val="20"/>
                <w:highlight w:val="none"/>
                <w:lang w:val="en-US" w:bidi="ar"/>
              </w:rPr>
              <w:br w:type="textWrapping"/>
            </w:r>
            <w:r>
              <w:rPr>
                <w:rFonts w:hint="eastAsia"/>
                <w:color w:val="auto"/>
                <w:sz w:val="20"/>
                <w:szCs w:val="20"/>
                <w:highlight w:val="none"/>
                <w:lang w:val="en-US" w:bidi="ar"/>
              </w:rPr>
              <w:t>9.支持展台画面实时批注，预设多种笔划粗细及颜色供选择，且支持对展台画面联同批注内容进行同步缩放、移动。</w:t>
            </w:r>
            <w:r>
              <w:rPr>
                <w:rFonts w:hint="eastAsia"/>
                <w:color w:val="auto"/>
                <w:sz w:val="20"/>
                <w:szCs w:val="20"/>
                <w:highlight w:val="none"/>
                <w:lang w:val="en-US" w:bidi="ar"/>
              </w:rPr>
              <w:br w:type="textWrapping"/>
            </w:r>
            <w:r>
              <w:rPr>
                <w:rFonts w:hint="eastAsia"/>
                <w:color w:val="auto"/>
                <w:sz w:val="20"/>
                <w:szCs w:val="20"/>
                <w:highlight w:val="none"/>
                <w:lang w:val="en-US" w:bidi="ar"/>
              </w:rPr>
              <w:t>支持展台画面拍照截图并进行多图预览，可对任一图片进行全屏显示。</w:t>
            </w:r>
            <w:r>
              <w:rPr>
                <w:rFonts w:hint="eastAsia"/>
                <w:color w:val="auto"/>
                <w:sz w:val="20"/>
                <w:szCs w:val="20"/>
                <w:highlight w:val="none"/>
                <w:lang w:val="en-US" w:bidi="ar"/>
              </w:rPr>
              <w:br w:type="textWrapping"/>
            </w:r>
            <w:r>
              <w:rPr>
                <w:rFonts w:hint="eastAsia"/>
                <w:color w:val="auto"/>
                <w:sz w:val="20"/>
                <w:szCs w:val="20"/>
                <w:highlight w:val="none"/>
                <w:lang w:val="en-US" w:bidi="ar"/>
              </w:rPr>
              <w:t>10.老师可在一体机或电脑上选择延时拍照功能，支持5秒或10秒延时模式，预留充足时间以便调整拍摄内容。</w:t>
            </w:r>
            <w:r>
              <w:rPr>
                <w:rFonts w:hint="eastAsia"/>
                <w:color w:val="auto"/>
                <w:sz w:val="20"/>
                <w:szCs w:val="20"/>
                <w:highlight w:val="none"/>
                <w:lang w:val="en-US" w:bidi="ar"/>
              </w:rPr>
              <w:br w:type="textWrapping"/>
            </w:r>
            <w:r>
              <w:rPr>
                <w:rFonts w:hint="eastAsia"/>
                <w:color w:val="auto"/>
                <w:sz w:val="20"/>
                <w:szCs w:val="20"/>
                <w:highlight w:val="none"/>
                <w:lang w:val="en-US" w:bidi="ar"/>
              </w:rPr>
              <w:t>11.具备图像增强功能，可自动裁剪背景并增强文字显示，使文档画面更清晰。</w:t>
            </w:r>
            <w:r>
              <w:rPr>
                <w:rFonts w:hint="eastAsia"/>
                <w:color w:val="auto"/>
                <w:sz w:val="20"/>
                <w:szCs w:val="20"/>
                <w:highlight w:val="none"/>
                <w:lang w:val="en-US" w:bidi="ar"/>
              </w:rPr>
              <w:br w:type="textWrapping"/>
            </w:r>
            <w:r>
              <w:rPr>
                <w:rFonts w:hint="eastAsia"/>
                <w:color w:val="auto"/>
                <w:sz w:val="20"/>
                <w:szCs w:val="20"/>
                <w:highlight w:val="none"/>
                <w:lang w:val="en-US" w:bidi="ar"/>
              </w:rPr>
              <w:t>12.可选择图像、文本或动态等多种情景模式，适应不同展示内容。</w:t>
            </w:r>
            <w:r>
              <w:rPr>
                <w:rFonts w:hint="eastAsia"/>
                <w:color w:val="auto"/>
                <w:sz w:val="20"/>
                <w:szCs w:val="20"/>
                <w:highlight w:val="none"/>
                <w:lang w:val="en-US" w:bidi="ar"/>
              </w:rPr>
              <w:br w:type="textWrapping"/>
            </w:r>
            <w:r>
              <w:rPr>
                <w:rFonts w:hint="eastAsia"/>
                <w:color w:val="auto"/>
                <w:sz w:val="20"/>
                <w:szCs w:val="20"/>
                <w:highlight w:val="none"/>
                <w:lang w:val="en-US" w:bidi="ar"/>
              </w:rPr>
              <w:t>13.支持故障自动检测，在软件无法出现展台拍摄画面时，自动出现检测链接，帮助用户检测“无画面”的原因，并给出引导性解决方案。可判断硬件连接、显卡驱动、摄像头占用、软件版本等问题。</w:t>
            </w:r>
            <w:r>
              <w:rPr>
                <w:rFonts w:hint="eastAsia"/>
                <w:color w:val="auto"/>
                <w:sz w:val="20"/>
                <w:szCs w:val="20"/>
                <w:highlight w:val="none"/>
                <w:lang w:val="en-US" w:bidi="ar"/>
              </w:rPr>
              <w:br w:type="textWrapping"/>
            </w:r>
            <w:r>
              <w:rPr>
                <w:rFonts w:hint="eastAsia"/>
                <w:color w:val="auto"/>
                <w:sz w:val="20"/>
                <w:szCs w:val="20"/>
                <w:highlight w:val="none"/>
                <w:lang w:val="en-US" w:bidi="ar"/>
              </w:rPr>
              <w:t>14.支持二维码扫码功能：打开扫一扫功能后，将书本上的二维码放入扫描框内即可自动扫描，并进入系统浏览器获取二维码的链接内容，帮助老师快速获取电子教学资源。</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台</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4078"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黑板</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规格尺寸:1200mm*4000mm板面厚度采用0.3mm的专用书写彩钢板，板面颜色为墨绿色，无尘环保，好写好擦，整块板面色调一致。无反光，防潮、防滑、不变形,夹层采用聚苯乙烯泡沫板材，专业夹层，厚度不小于20mm，克重不小于1500g，具有细微的独立闭孔结构，导热系数低，不吸水，耐老化、耐腐蚀，面层平整，无折痕，不变形。背板采用≥0.2mm×1200mm镀锌金属板，采用符合国际标准的高强度胶合剂，保证粘结牢固，采用高档铝合金材料，边框耐磨性达到GB/T5273-2000标准，边框与板体结合牢固，无毛刺、锋利角，外型美观、高雅、不刮手。铝合金材质厚度&gt;1mm，包角采用防老化抗疲劳ABS工程塑料, R30mm的圆角，抗冲击力强。</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块</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6247"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4</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讲桌</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1、整体设计符合人机工程学</w:t>
            </w:r>
            <w:r>
              <w:rPr>
                <w:rFonts w:hint="eastAsia"/>
                <w:color w:val="auto"/>
                <w:sz w:val="20"/>
                <w:szCs w:val="20"/>
                <w:highlight w:val="none"/>
                <w:lang w:val="en-US" w:bidi="ar"/>
              </w:rPr>
              <w:br w:type="textWrapping"/>
            </w:r>
            <w:r>
              <w:rPr>
                <w:rFonts w:hint="eastAsia"/>
                <w:color w:val="auto"/>
                <w:sz w:val="20"/>
                <w:szCs w:val="20"/>
                <w:highlight w:val="none"/>
                <w:lang w:val="en-US" w:bidi="ar"/>
              </w:rPr>
              <w:t>2、整体采用分体式结构，规格为长1200mm、宽700mm、高1000mm；</w:t>
            </w:r>
            <w:r>
              <w:rPr>
                <w:rFonts w:hint="eastAsia"/>
                <w:color w:val="auto"/>
                <w:sz w:val="20"/>
                <w:szCs w:val="20"/>
                <w:highlight w:val="none"/>
                <w:lang w:val="en-US" w:bidi="ar"/>
              </w:rPr>
              <w:br w:type="textWrapping"/>
            </w:r>
            <w:r>
              <w:rPr>
                <w:rFonts w:hint="eastAsia"/>
                <w:color w:val="auto"/>
                <w:sz w:val="20"/>
                <w:szCs w:val="20"/>
                <w:highlight w:val="none"/>
                <w:lang w:val="en-US" w:bidi="ar"/>
              </w:rPr>
              <w:t>3、多媒体讲台整体采用1.0mm优质冷轧钢板，无接缝，边缘及拐角均采用圆弧设计，确保学生安全，耐冲击性强，防盗性能优越。</w:t>
            </w:r>
            <w:r>
              <w:rPr>
                <w:rFonts w:hint="eastAsia"/>
                <w:color w:val="auto"/>
                <w:sz w:val="20"/>
                <w:szCs w:val="20"/>
                <w:highlight w:val="none"/>
                <w:lang w:val="en-US" w:bidi="ar"/>
              </w:rPr>
              <w:br w:type="textWrapping"/>
            </w:r>
            <w:r>
              <w:rPr>
                <w:rFonts w:hint="eastAsia"/>
                <w:color w:val="auto"/>
                <w:sz w:val="20"/>
                <w:szCs w:val="20"/>
                <w:highlight w:val="none"/>
                <w:lang w:val="en-US" w:bidi="ar"/>
              </w:rPr>
              <w:t>4、颜色选用哑光灰白色，LOGO板及下体前门采用木纹色，表面经脱脂磷化工艺处理后选用优质塑粉静电喷涂而成，耐腐蚀性强，有效保护学生视力，美观耐用。</w:t>
            </w:r>
            <w:r>
              <w:rPr>
                <w:rFonts w:hint="eastAsia"/>
                <w:color w:val="auto"/>
                <w:sz w:val="20"/>
                <w:szCs w:val="20"/>
                <w:highlight w:val="none"/>
                <w:lang w:val="en-US" w:bidi="ar"/>
              </w:rPr>
              <w:br w:type="textWrapping"/>
            </w:r>
            <w:r>
              <w:rPr>
                <w:rFonts w:hint="eastAsia"/>
                <w:color w:val="auto"/>
                <w:sz w:val="20"/>
                <w:szCs w:val="20"/>
                <w:highlight w:val="none"/>
                <w:lang w:val="en-US" w:bidi="ar"/>
              </w:rPr>
              <w:t>5、配置翻转式显示器保护盖，可容纳23寸以下的显示器，结构独特新颖。</w:t>
            </w:r>
            <w:r>
              <w:rPr>
                <w:rFonts w:hint="eastAsia"/>
                <w:color w:val="auto"/>
                <w:sz w:val="20"/>
                <w:szCs w:val="20"/>
                <w:highlight w:val="none"/>
                <w:lang w:val="en-US" w:bidi="ar"/>
              </w:rPr>
              <w:br w:type="textWrapping"/>
            </w:r>
            <w:r>
              <w:rPr>
                <w:rFonts w:hint="eastAsia"/>
                <w:color w:val="auto"/>
                <w:sz w:val="20"/>
                <w:szCs w:val="20"/>
                <w:highlight w:val="none"/>
                <w:lang w:val="en-US" w:bidi="ar"/>
              </w:rPr>
              <w:t>6、键盘采用翻转式结构，节省空间，操作简单方便；键盘为标准键盘</w:t>
            </w:r>
            <w:r>
              <w:rPr>
                <w:rFonts w:hint="eastAsia"/>
                <w:color w:val="auto"/>
                <w:sz w:val="20"/>
                <w:szCs w:val="20"/>
                <w:highlight w:val="none"/>
                <w:lang w:val="en-US" w:bidi="ar"/>
              </w:rPr>
              <w:br w:type="textWrapping"/>
            </w:r>
            <w:r>
              <w:rPr>
                <w:rFonts w:hint="eastAsia"/>
                <w:color w:val="auto"/>
                <w:sz w:val="20"/>
                <w:szCs w:val="20"/>
                <w:highlight w:val="none"/>
                <w:lang w:val="en-US" w:bidi="ar"/>
              </w:rPr>
              <w:t>7、桌面右侧为隐藏式抽屉，可放置视频展台，空间560*540*200mm，承载重量≥12kg。</w:t>
            </w:r>
            <w:r>
              <w:rPr>
                <w:rFonts w:hint="eastAsia"/>
                <w:color w:val="auto"/>
                <w:sz w:val="20"/>
                <w:szCs w:val="20"/>
                <w:highlight w:val="none"/>
                <w:lang w:val="en-US" w:bidi="ar"/>
              </w:rPr>
              <w:br w:type="textWrapping"/>
            </w:r>
            <w:r>
              <w:rPr>
                <w:rFonts w:hint="eastAsia"/>
                <w:color w:val="auto"/>
                <w:sz w:val="20"/>
                <w:szCs w:val="20"/>
                <w:highlight w:val="none"/>
                <w:lang w:val="en-US" w:bidi="ar"/>
              </w:rPr>
              <w:t>8、键盘盒下方为中控，可放置260x160mm内的中央控制器，整体结构紧凑，空间设计合理。</w:t>
            </w:r>
            <w:r>
              <w:rPr>
                <w:rFonts w:hint="eastAsia"/>
                <w:color w:val="auto"/>
                <w:sz w:val="20"/>
                <w:szCs w:val="20"/>
                <w:highlight w:val="none"/>
                <w:lang w:val="en-US" w:bidi="ar"/>
              </w:rPr>
              <w:br w:type="textWrapping"/>
            </w:r>
            <w:r>
              <w:rPr>
                <w:rFonts w:hint="eastAsia"/>
                <w:color w:val="auto"/>
                <w:sz w:val="20"/>
                <w:szCs w:val="20"/>
                <w:highlight w:val="none"/>
                <w:lang w:val="en-US" w:bidi="ar"/>
              </w:rPr>
              <w:t>9、所有布线孔均采用绝缘品装置隔离电源线，安全可靠。</w:t>
            </w:r>
            <w:r>
              <w:rPr>
                <w:rFonts w:hint="eastAsia"/>
                <w:color w:val="auto"/>
                <w:sz w:val="20"/>
                <w:szCs w:val="20"/>
                <w:highlight w:val="none"/>
                <w:lang w:val="en-US" w:bidi="ar"/>
              </w:rPr>
              <w:br w:type="textWrapping"/>
            </w:r>
            <w:r>
              <w:rPr>
                <w:rFonts w:hint="eastAsia"/>
                <w:color w:val="auto"/>
                <w:sz w:val="20"/>
                <w:szCs w:val="20"/>
                <w:highlight w:val="none"/>
                <w:lang w:val="en-US" w:bidi="ar"/>
              </w:rPr>
              <w:t>10、全部的加工件均采用模具成型，先进的工装夹具、配合全自动焊接工艺，保障尺寸精度及各部件一致性。</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张</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1371"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5</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班级图书柜</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120×30×110cm橡木；三层，油漆采用环保型优质哑光聚脂漆，硬度大，耐磨性强、手感细腻，油漆无颗粒，无气泡，无渣点，颜色均匀，保证光亮平整，做圆角处理。</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个</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8146"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6</w:t>
            </w: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课桌凳</w:t>
            </w: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整体：整体规格：650mm*450mm*760mm。塑钢结构。</w:t>
            </w:r>
            <w:r>
              <w:rPr>
                <w:rFonts w:hint="eastAsia"/>
                <w:color w:val="auto"/>
                <w:sz w:val="20"/>
                <w:szCs w:val="20"/>
                <w:highlight w:val="none"/>
                <w:lang w:val="en-US" w:bidi="ar"/>
              </w:rPr>
              <w:br w:type="textWrapping"/>
            </w:r>
            <w:r>
              <w:rPr>
                <w:rFonts w:hint="eastAsia"/>
                <w:color w:val="auto"/>
                <w:sz w:val="20"/>
                <w:szCs w:val="20"/>
                <w:highlight w:val="none"/>
                <w:lang w:val="en-US" w:bidi="ar"/>
              </w:rPr>
              <w:t>面板： 面板材质选用ABS国际先进的原料，一次注塑而成，规格为650mm*450mm*30mm.底口有两道加强筋方块钢管。桌面板正前方一侧有直径60mm的圆形，并镶进桌面内侧，便于放置茶杯。桌面正前方高出平面5mm，使书本不易落地。并设有400mm*16mm的笔槽，靠近人体一侧，有凹进20mm的圆弧形。桌面四周光滑、平整、光泽明亮。</w:t>
            </w:r>
            <w:r>
              <w:rPr>
                <w:rFonts w:hint="eastAsia"/>
                <w:color w:val="auto"/>
                <w:sz w:val="20"/>
                <w:szCs w:val="20"/>
                <w:highlight w:val="none"/>
                <w:lang w:val="en-US" w:bidi="ar"/>
              </w:rPr>
              <w:br w:type="textWrapping"/>
            </w:r>
            <w:r>
              <w:rPr>
                <w:rFonts w:hint="eastAsia"/>
                <w:color w:val="auto"/>
                <w:sz w:val="20"/>
                <w:szCs w:val="20"/>
                <w:highlight w:val="none"/>
                <w:lang w:val="en-US" w:bidi="ar"/>
              </w:rPr>
              <w:t>桌架、底脚、站柱 桌架、底脚、站柱均采用30mm*60mm，厚度为1.2mm的扁圆管，桌插件采用25mm*50mm，厚度为1.2mm的扁圆管，桌插件上有5个升降孔，每两孔之间调节距离为30mm。插件与桌腿连接。桌肚下方有钢制书包斗，由6号钢筋折弯成型，规格为530mm*200mm*180mm，每组钢筋间隔均匀，错落有致。卓斗采用厚度为1.omm扎钢板一次折弯成型，底口并折有二道加强筋。桌斗两侧有塑料书包挂钩，每个挂钩承重量不低于20kg.</w:t>
            </w:r>
            <w:r>
              <w:rPr>
                <w:rFonts w:hint="eastAsia"/>
                <w:color w:val="auto"/>
                <w:sz w:val="20"/>
                <w:szCs w:val="20"/>
                <w:highlight w:val="none"/>
                <w:lang w:val="en-US" w:bidi="ar"/>
              </w:rPr>
              <w:br w:type="textWrapping"/>
            </w:r>
            <w:r>
              <w:rPr>
                <w:rFonts w:hint="eastAsia"/>
                <w:color w:val="auto"/>
                <w:sz w:val="20"/>
                <w:szCs w:val="20"/>
                <w:highlight w:val="none"/>
                <w:lang w:val="en-US" w:bidi="ar"/>
              </w:rPr>
              <w:t>塑钢凳 塑钢凳规格：390mm*290mm*440mm，塑料凳面材质和桌面材质相同。凳腿采用30mm*60mm厚度为1.2mm椭圆管，凳调节插管采用25mm*50mm*1.2mm的椭圆管，并有三档调节高度。桌凳面颜色可自行调节</w:t>
            </w:r>
            <w:r>
              <w:rPr>
                <w:rFonts w:hint="eastAsia"/>
                <w:color w:val="auto"/>
                <w:sz w:val="20"/>
                <w:szCs w:val="20"/>
                <w:highlight w:val="none"/>
                <w:lang w:val="en-US" w:bidi="ar"/>
              </w:rPr>
              <w:br w:type="textWrapping"/>
            </w:r>
            <w:r>
              <w:rPr>
                <w:rFonts w:hint="eastAsia"/>
                <w:color w:val="auto"/>
                <w:sz w:val="20"/>
                <w:szCs w:val="20"/>
                <w:highlight w:val="none"/>
                <w:lang w:val="en-US" w:bidi="ar"/>
              </w:rPr>
              <w:t>脚套 脚套由PP塑料一次注塑而成，具有美观、耐用、耐摩擦、抗冲击作用。</w:t>
            </w:r>
            <w:r>
              <w:rPr>
                <w:rFonts w:hint="eastAsia"/>
                <w:color w:val="auto"/>
                <w:sz w:val="20"/>
                <w:szCs w:val="20"/>
                <w:highlight w:val="none"/>
                <w:lang w:val="en-US" w:bidi="ar"/>
              </w:rPr>
              <w:br w:type="textWrapping"/>
            </w:r>
            <w:r>
              <w:rPr>
                <w:rFonts w:hint="eastAsia"/>
                <w:color w:val="auto"/>
                <w:sz w:val="20"/>
                <w:szCs w:val="20"/>
                <w:highlight w:val="none"/>
                <w:lang w:val="en-US" w:bidi="ar"/>
              </w:rPr>
              <w:t>以上所有 所有钢材要求做工精细，磷化、防锈处理，由二氧化碳气保焊接，静电喷粉，恒温烘干，精制而成。</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套</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300</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601"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47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0"/>
                <w:szCs w:val="20"/>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0"/>
                <w:szCs w:val="20"/>
                <w:highlight w:val="none"/>
              </w:rPr>
            </w:pPr>
            <w:r>
              <w:rPr>
                <w:rFonts w:hint="eastAsia"/>
                <w:b/>
                <w:bCs/>
                <w:color w:val="auto"/>
                <w:sz w:val="20"/>
                <w:szCs w:val="20"/>
                <w:highlight w:val="none"/>
                <w:lang w:val="en-US" w:bidi="ar"/>
              </w:rPr>
              <w:t>小计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b/>
                <w:bCs/>
                <w:color w:val="auto"/>
                <w:sz w:val="20"/>
                <w:szCs w:val="20"/>
                <w:highlight w:val="none"/>
              </w:rPr>
            </w:pPr>
          </w:p>
        </w:tc>
      </w:tr>
    </w:tbl>
    <w:p>
      <w:pPr>
        <w:rPr>
          <w:rFonts w:asciiTheme="minorEastAsia" w:hAnsiTheme="minorEastAsia" w:eastAsiaTheme="minorEastAsia"/>
          <w:color w:val="auto"/>
          <w:highlight w:val="none"/>
        </w:rPr>
      </w:pPr>
    </w:p>
    <w:p>
      <w:pPr>
        <w:rPr>
          <w:rFonts w:asciiTheme="minorEastAsia" w:hAnsiTheme="minorEastAsia" w:eastAsiaTheme="minorEastAsia"/>
          <w:color w:val="auto"/>
          <w:highlight w:val="none"/>
        </w:rPr>
      </w:pPr>
    </w:p>
    <w:p>
      <w:pPr>
        <w:pStyle w:val="27"/>
        <w:ind w:firstLine="220"/>
        <w:rPr>
          <w:color w:val="auto"/>
          <w:highlight w:val="none"/>
        </w:rPr>
      </w:pPr>
    </w:p>
    <w:tbl>
      <w:tblPr>
        <w:tblStyle w:val="22"/>
        <w:tblW w:w="8960" w:type="dxa"/>
        <w:tblInd w:w="93" w:type="dxa"/>
        <w:tblLayout w:type="fixed"/>
        <w:tblCellMar>
          <w:top w:w="0" w:type="dxa"/>
          <w:left w:w="108" w:type="dxa"/>
          <w:bottom w:w="0" w:type="dxa"/>
          <w:right w:w="108" w:type="dxa"/>
        </w:tblCellMar>
      </w:tblPr>
      <w:tblGrid>
        <w:gridCol w:w="534"/>
        <w:gridCol w:w="1959"/>
        <w:gridCol w:w="3250"/>
        <w:gridCol w:w="910"/>
        <w:gridCol w:w="821"/>
        <w:gridCol w:w="720"/>
        <w:gridCol w:w="766"/>
      </w:tblGrid>
      <w:tr>
        <w:tblPrEx>
          <w:tblCellMar>
            <w:top w:w="0" w:type="dxa"/>
            <w:left w:w="108" w:type="dxa"/>
            <w:bottom w:w="0" w:type="dxa"/>
            <w:right w:w="108" w:type="dxa"/>
          </w:tblCellMar>
        </w:tblPrEx>
        <w:trPr>
          <w:trHeight w:val="473" w:hRule="atLeast"/>
        </w:trPr>
        <w:tc>
          <w:tcPr>
            <w:tcW w:w="8960" w:type="dxa"/>
            <w:gridSpan w:val="7"/>
            <w:tcBorders>
              <w:top w:val="nil"/>
              <w:left w:val="nil"/>
              <w:bottom w:val="nil"/>
              <w:right w:val="nil"/>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周口市第六初级中学PVC地板</w:t>
            </w:r>
          </w:p>
        </w:tc>
      </w:tr>
      <w:tr>
        <w:tblPrEx>
          <w:tblCellMar>
            <w:top w:w="0" w:type="dxa"/>
            <w:left w:w="108" w:type="dxa"/>
            <w:bottom w:w="0" w:type="dxa"/>
            <w:right w:w="108" w:type="dxa"/>
          </w:tblCellMar>
        </w:tblPrEx>
        <w:trPr>
          <w:trHeight w:val="641"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序号</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名称</w:t>
            </w:r>
          </w:p>
        </w:tc>
        <w:tc>
          <w:tcPr>
            <w:tcW w:w="3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参数</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单位</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单价</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总价</w:t>
            </w:r>
          </w:p>
        </w:tc>
      </w:tr>
      <w:tr>
        <w:tblPrEx>
          <w:tblCellMar>
            <w:top w:w="0" w:type="dxa"/>
            <w:left w:w="108" w:type="dxa"/>
            <w:bottom w:w="0" w:type="dxa"/>
            <w:right w:w="108" w:type="dxa"/>
          </w:tblCellMar>
        </w:tblPrEx>
        <w:trPr>
          <w:trHeight w:val="76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1</w:t>
            </w:r>
          </w:p>
        </w:tc>
        <w:tc>
          <w:tcPr>
            <w:tcW w:w="1959"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教学楼南楼PVC地板</w:t>
            </w:r>
          </w:p>
        </w:tc>
        <w:tc>
          <w:tcPr>
            <w:tcW w:w="3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2.0mmPVC地板革（教学区一至五层走廊及办公区全区一至五层）</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 xml:space="preserve">1926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76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2</w:t>
            </w:r>
          </w:p>
        </w:tc>
        <w:tc>
          <w:tcPr>
            <w:tcW w:w="1959"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南楼室外楼梯PVC地板踏步</w:t>
            </w:r>
          </w:p>
        </w:tc>
        <w:tc>
          <w:tcPr>
            <w:tcW w:w="3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3.0mm通透PVC地板踏步含防滑护角</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m</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 xml:space="preserve">89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76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w:t>
            </w:r>
          </w:p>
        </w:tc>
        <w:tc>
          <w:tcPr>
            <w:tcW w:w="1959"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楼梯PVC地板踏步</w:t>
            </w:r>
          </w:p>
        </w:tc>
        <w:tc>
          <w:tcPr>
            <w:tcW w:w="3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3.0mmPVC地板踏步（八层每层24台阶1.4M）</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m</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 xml:space="preserve">268.8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765"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4</w:t>
            </w:r>
          </w:p>
        </w:tc>
        <w:tc>
          <w:tcPr>
            <w:tcW w:w="1959"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竹木纤维踢脚线</w:t>
            </w:r>
          </w:p>
        </w:tc>
        <w:tc>
          <w:tcPr>
            <w:tcW w:w="3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8cm宽竹木纤维踢脚线</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m</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 xml:space="preserve">2120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946"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5</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功能室PVC地板</w:t>
            </w:r>
          </w:p>
        </w:tc>
        <w:tc>
          <w:tcPr>
            <w:tcW w:w="3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2.0mmPVC地板革及美缝</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382.1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806" w:hRule="atLeast"/>
        </w:trPr>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3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0"/>
                <w:szCs w:val="20"/>
                <w:highlight w:val="none"/>
              </w:rPr>
            </w:pPr>
            <w:r>
              <w:rPr>
                <w:rFonts w:hint="eastAsia"/>
                <w:b/>
                <w:bCs/>
                <w:color w:val="auto"/>
                <w:sz w:val="20"/>
                <w:szCs w:val="20"/>
                <w:highlight w:val="none"/>
                <w:lang w:val="en-US" w:bidi="ar"/>
              </w:rPr>
              <w:t>小计</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b/>
                <w:bCs/>
                <w:color w:val="auto"/>
                <w:sz w:val="20"/>
                <w:szCs w:val="20"/>
                <w:highlight w:val="none"/>
              </w:rPr>
            </w:pPr>
          </w:p>
        </w:tc>
      </w:tr>
    </w:tbl>
    <w:p>
      <w:pPr>
        <w:rPr>
          <w:rFonts w:asciiTheme="minorEastAsia" w:hAnsiTheme="minorEastAsia" w:eastAsiaTheme="minorEastAsia"/>
          <w:color w:val="auto"/>
          <w:highlight w:val="none"/>
        </w:rPr>
      </w:pPr>
    </w:p>
    <w:tbl>
      <w:tblPr>
        <w:tblStyle w:val="22"/>
        <w:tblW w:w="8925" w:type="dxa"/>
        <w:tblInd w:w="93" w:type="dxa"/>
        <w:tblLayout w:type="autofit"/>
        <w:tblCellMar>
          <w:top w:w="0" w:type="dxa"/>
          <w:left w:w="108" w:type="dxa"/>
          <w:bottom w:w="0" w:type="dxa"/>
          <w:right w:w="108" w:type="dxa"/>
        </w:tblCellMar>
      </w:tblPr>
      <w:tblGrid>
        <w:gridCol w:w="901"/>
        <w:gridCol w:w="1828"/>
        <w:gridCol w:w="2590"/>
        <w:gridCol w:w="901"/>
        <w:gridCol w:w="901"/>
        <w:gridCol w:w="901"/>
        <w:gridCol w:w="903"/>
      </w:tblGrid>
      <w:tr>
        <w:tblPrEx>
          <w:tblCellMar>
            <w:top w:w="0" w:type="dxa"/>
            <w:left w:w="108" w:type="dxa"/>
            <w:bottom w:w="0" w:type="dxa"/>
            <w:right w:w="108" w:type="dxa"/>
          </w:tblCellMar>
        </w:tblPrEx>
        <w:trPr>
          <w:trHeight w:val="450" w:hRule="atLeast"/>
        </w:trPr>
        <w:tc>
          <w:tcPr>
            <w:tcW w:w="8925" w:type="dxa"/>
            <w:gridSpan w:val="7"/>
            <w:tcBorders>
              <w:top w:val="nil"/>
              <w:left w:val="nil"/>
              <w:bottom w:val="nil"/>
              <w:right w:val="nil"/>
            </w:tcBorders>
            <w:shd w:val="clear" w:color="auto" w:fill="auto"/>
            <w:noWrap/>
            <w:vAlign w:val="center"/>
          </w:tcPr>
          <w:p>
            <w:pPr>
              <w:widowControl/>
              <w:jc w:val="center"/>
              <w:textAlignment w:val="center"/>
              <w:rPr>
                <w:b/>
                <w:bCs/>
                <w:color w:val="auto"/>
                <w:sz w:val="36"/>
                <w:szCs w:val="36"/>
                <w:highlight w:val="none"/>
              </w:rPr>
            </w:pPr>
            <w:r>
              <w:rPr>
                <w:rFonts w:hint="eastAsia"/>
                <w:b/>
                <w:bCs/>
                <w:color w:val="auto"/>
                <w:sz w:val="36"/>
                <w:szCs w:val="36"/>
                <w:highlight w:val="none"/>
                <w:lang w:val="en-US" w:bidi="ar"/>
              </w:rPr>
              <w:t>周口市第六初级中学空调</w:t>
            </w:r>
          </w:p>
        </w:tc>
      </w:tr>
      <w:tr>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名称</w:t>
            </w:r>
          </w:p>
        </w:tc>
        <w:tc>
          <w:tcPr>
            <w:tcW w:w="3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highlight w:val="none"/>
              </w:rPr>
            </w:pPr>
            <w:r>
              <w:rPr>
                <w:rFonts w:hint="eastAsia"/>
                <w:b/>
                <w:bCs/>
                <w:color w:val="auto"/>
                <w:sz w:val="24"/>
                <w:szCs w:val="24"/>
                <w:highlight w:val="none"/>
                <w:lang w:val="en-US" w:bidi="ar"/>
              </w:rPr>
              <w:t>总价</w:t>
            </w:r>
          </w:p>
        </w:tc>
      </w:tr>
      <w:tr>
        <w:tblPrEx>
          <w:tblCellMar>
            <w:top w:w="0" w:type="dxa"/>
            <w:left w:w="108" w:type="dxa"/>
            <w:bottom w:w="0" w:type="dxa"/>
            <w:right w:w="108" w:type="dxa"/>
          </w:tblCellMar>
        </w:tblPrEx>
        <w:trPr>
          <w:trHeight w:val="5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学生宿舍空调</w:t>
            </w:r>
          </w:p>
        </w:tc>
        <w:tc>
          <w:tcPr>
            <w:tcW w:w="3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color w:val="auto"/>
                <w:sz w:val="20"/>
                <w:szCs w:val="20"/>
                <w:highlight w:val="none"/>
              </w:rPr>
            </w:pPr>
            <w:r>
              <w:rPr>
                <w:rFonts w:hint="eastAsia"/>
                <w:color w:val="auto"/>
                <w:sz w:val="20"/>
                <w:szCs w:val="20"/>
                <w:highlight w:val="none"/>
                <w:lang w:val="en-US" w:bidi="ar"/>
              </w:rPr>
              <w:t>空调类型：壁挂式空调</w:t>
            </w:r>
            <w:r>
              <w:rPr>
                <w:rFonts w:hint="eastAsia"/>
                <w:color w:val="auto"/>
                <w:sz w:val="20"/>
                <w:szCs w:val="20"/>
                <w:highlight w:val="none"/>
                <w:lang w:val="en-US" w:bidi="ar"/>
              </w:rPr>
              <w:br w:type="textWrapping"/>
            </w:r>
            <w:r>
              <w:rPr>
                <w:rFonts w:hint="eastAsia"/>
                <w:color w:val="auto"/>
                <w:sz w:val="20"/>
                <w:szCs w:val="20"/>
                <w:highlight w:val="none"/>
                <w:lang w:val="en-US" w:bidi="ar"/>
              </w:rPr>
              <w:t>冷暖类型：冷暖型</w:t>
            </w:r>
            <w:r>
              <w:rPr>
                <w:rFonts w:hint="eastAsia"/>
                <w:color w:val="auto"/>
                <w:sz w:val="20"/>
                <w:szCs w:val="20"/>
                <w:highlight w:val="none"/>
                <w:lang w:val="en-US" w:bidi="ar"/>
              </w:rPr>
              <w:br w:type="textWrapping"/>
            </w:r>
            <w:r>
              <w:rPr>
                <w:rFonts w:hint="eastAsia"/>
                <w:color w:val="auto"/>
                <w:sz w:val="20"/>
                <w:szCs w:val="20"/>
                <w:highlight w:val="none"/>
                <w:lang w:val="en-US" w:bidi="ar"/>
              </w:rPr>
              <w:t>变频/定频：变频</w:t>
            </w:r>
            <w:r>
              <w:rPr>
                <w:rFonts w:hint="eastAsia"/>
                <w:color w:val="auto"/>
                <w:sz w:val="20"/>
                <w:szCs w:val="20"/>
                <w:highlight w:val="none"/>
                <w:lang w:val="en-US" w:bidi="ar"/>
              </w:rPr>
              <w:br w:type="textWrapping"/>
            </w:r>
            <w:r>
              <w:rPr>
                <w:rFonts w:hint="eastAsia"/>
                <w:color w:val="auto"/>
                <w:sz w:val="20"/>
                <w:szCs w:val="20"/>
                <w:highlight w:val="none"/>
                <w:lang w:val="en-US" w:bidi="ar"/>
              </w:rPr>
              <w:t>空调匹数：1.5</w:t>
            </w:r>
            <w:r>
              <w:rPr>
                <w:rFonts w:hint="eastAsia"/>
                <w:color w:val="auto"/>
                <w:sz w:val="20"/>
                <w:szCs w:val="20"/>
                <w:highlight w:val="none"/>
                <w:lang w:val="en-US" w:bidi="ar"/>
              </w:rPr>
              <w:br w:type="textWrapping"/>
            </w:r>
            <w:r>
              <w:rPr>
                <w:rFonts w:hint="eastAsia"/>
                <w:color w:val="auto"/>
                <w:sz w:val="20"/>
                <w:szCs w:val="20"/>
                <w:highlight w:val="none"/>
                <w:lang w:val="en-US" w:bidi="ar"/>
              </w:rPr>
              <w:t>适用面积：15-22㎡</w:t>
            </w:r>
            <w:r>
              <w:rPr>
                <w:rFonts w:hint="eastAsia"/>
                <w:color w:val="auto"/>
                <w:sz w:val="20"/>
                <w:szCs w:val="20"/>
                <w:highlight w:val="none"/>
                <w:lang w:val="en-US" w:bidi="ar"/>
              </w:rPr>
              <w:br w:type="textWrapping"/>
            </w:r>
            <w:r>
              <w:rPr>
                <w:rFonts w:hint="eastAsia"/>
                <w:color w:val="auto"/>
                <w:sz w:val="20"/>
                <w:szCs w:val="20"/>
                <w:highlight w:val="none"/>
                <w:lang w:val="en-US" w:bidi="ar"/>
              </w:rPr>
              <w:t>能效等级：三级能效</w:t>
            </w:r>
            <w:r>
              <w:rPr>
                <w:rFonts w:hint="eastAsia"/>
                <w:color w:val="auto"/>
                <w:sz w:val="20"/>
                <w:szCs w:val="20"/>
                <w:highlight w:val="none"/>
                <w:lang w:val="en-US" w:bidi="ar"/>
              </w:rPr>
              <w:br w:type="textWrapping"/>
            </w:r>
            <w:r>
              <w:rPr>
                <w:rFonts w:hint="eastAsia"/>
                <w:color w:val="auto"/>
                <w:sz w:val="20"/>
                <w:szCs w:val="20"/>
                <w:highlight w:val="none"/>
                <w:lang w:val="en-US" w:bidi="ar"/>
              </w:rPr>
              <w:t>控制方式：遥控</w:t>
            </w:r>
            <w:r>
              <w:rPr>
                <w:rFonts w:hint="eastAsia"/>
                <w:color w:val="auto"/>
                <w:sz w:val="20"/>
                <w:szCs w:val="20"/>
                <w:highlight w:val="none"/>
                <w:lang w:val="en-US" w:bidi="ar"/>
              </w:rPr>
              <w:br w:type="textWrapping"/>
            </w:r>
            <w:r>
              <w:rPr>
                <w:rFonts w:hint="eastAsia"/>
                <w:color w:val="auto"/>
                <w:sz w:val="20"/>
                <w:szCs w:val="20"/>
                <w:highlight w:val="none"/>
                <w:lang w:val="en-US" w:bidi="ar"/>
              </w:rPr>
              <w:t>制冷量(W) ≥3500（200-4200）</w:t>
            </w:r>
            <w:r>
              <w:rPr>
                <w:rFonts w:hint="eastAsia"/>
                <w:color w:val="auto"/>
                <w:sz w:val="20"/>
                <w:szCs w:val="20"/>
                <w:highlight w:val="none"/>
                <w:lang w:val="en-US" w:bidi="ar"/>
              </w:rPr>
              <w:br w:type="textWrapping"/>
            </w:r>
            <w:r>
              <w:rPr>
                <w:rFonts w:hint="eastAsia"/>
                <w:color w:val="auto"/>
                <w:sz w:val="20"/>
                <w:szCs w:val="20"/>
                <w:highlight w:val="none"/>
                <w:lang w:val="en-US" w:bidi="ar"/>
              </w:rPr>
              <w:t>制冷功率(W) ≤955（130-1500）</w:t>
            </w:r>
            <w:r>
              <w:rPr>
                <w:rFonts w:hint="eastAsia"/>
                <w:color w:val="auto"/>
                <w:sz w:val="20"/>
                <w:szCs w:val="20"/>
                <w:highlight w:val="none"/>
                <w:lang w:val="en-US" w:bidi="ar"/>
              </w:rPr>
              <w:br w:type="textWrapping"/>
            </w:r>
            <w:r>
              <w:rPr>
                <w:rFonts w:hint="eastAsia"/>
                <w:color w:val="auto"/>
                <w:sz w:val="20"/>
                <w:szCs w:val="20"/>
                <w:highlight w:val="none"/>
                <w:lang w:val="en-US" w:bidi="ar"/>
              </w:rPr>
              <w:t>制热量(W) ≥4300（200-5600）</w:t>
            </w:r>
            <w:r>
              <w:rPr>
                <w:rFonts w:hint="eastAsia"/>
                <w:color w:val="auto"/>
                <w:sz w:val="20"/>
                <w:szCs w:val="20"/>
                <w:highlight w:val="none"/>
                <w:lang w:val="en-US" w:bidi="ar"/>
              </w:rPr>
              <w:br w:type="textWrapping"/>
            </w:r>
            <w:r>
              <w:rPr>
                <w:rFonts w:hint="eastAsia"/>
                <w:color w:val="auto"/>
                <w:sz w:val="20"/>
                <w:szCs w:val="20"/>
                <w:highlight w:val="none"/>
                <w:lang w:val="en-US" w:bidi="ar"/>
              </w:rPr>
              <w:t>制热功率(W) ≤1200（100-1800）</w:t>
            </w:r>
            <w:r>
              <w:rPr>
                <w:rFonts w:hint="eastAsia"/>
                <w:color w:val="auto"/>
                <w:sz w:val="20"/>
                <w:szCs w:val="20"/>
                <w:highlight w:val="none"/>
                <w:lang w:val="en-US" w:bidi="ar"/>
              </w:rPr>
              <w:br w:type="textWrapping"/>
            </w:r>
            <w:r>
              <w:rPr>
                <w:rFonts w:hint="eastAsia"/>
                <w:color w:val="auto"/>
                <w:sz w:val="20"/>
                <w:szCs w:val="20"/>
                <w:highlight w:val="none"/>
                <w:lang w:val="en-US" w:bidi="ar"/>
              </w:rPr>
              <w:t>APF ≥4.22</w:t>
            </w:r>
            <w:r>
              <w:rPr>
                <w:rFonts w:hint="eastAsia"/>
                <w:color w:val="auto"/>
                <w:sz w:val="20"/>
                <w:szCs w:val="20"/>
                <w:highlight w:val="none"/>
                <w:lang w:val="en-US" w:bidi="ar"/>
              </w:rPr>
              <w:br w:type="textWrapping"/>
            </w:r>
            <w:r>
              <w:rPr>
                <w:rFonts w:hint="eastAsia"/>
                <w:color w:val="auto"/>
                <w:sz w:val="20"/>
                <w:szCs w:val="20"/>
                <w:highlight w:val="none"/>
                <w:lang w:val="en-US" w:bidi="ar"/>
              </w:rPr>
              <w:t>循环风量(m³/h) ≥700</w:t>
            </w:r>
            <w:r>
              <w:rPr>
                <w:rFonts w:hint="eastAsia"/>
                <w:color w:val="auto"/>
                <w:sz w:val="20"/>
                <w:szCs w:val="20"/>
                <w:highlight w:val="none"/>
                <w:lang w:val="en-US" w:bidi="ar"/>
              </w:rPr>
              <w:br w:type="textWrapping"/>
            </w:r>
            <w:r>
              <w:rPr>
                <w:rFonts w:hint="eastAsia"/>
                <w:color w:val="auto"/>
                <w:sz w:val="20"/>
                <w:szCs w:val="20"/>
                <w:highlight w:val="none"/>
                <w:lang w:val="en-US" w:bidi="ar"/>
              </w:rPr>
              <w:t>电辅加热(W) ≥1050</w:t>
            </w:r>
            <w:r>
              <w:rPr>
                <w:rFonts w:hint="eastAsia"/>
                <w:color w:val="auto"/>
                <w:sz w:val="20"/>
                <w:szCs w:val="20"/>
                <w:highlight w:val="none"/>
                <w:lang w:val="en-US" w:bidi="ar"/>
              </w:rPr>
              <w:br w:type="textWrapping"/>
            </w:r>
            <w:r>
              <w:rPr>
                <w:rFonts w:hint="eastAsia"/>
                <w:color w:val="auto"/>
                <w:sz w:val="20"/>
                <w:szCs w:val="20"/>
                <w:highlight w:val="none"/>
                <w:lang w:val="en-US" w:bidi="ar"/>
              </w:rPr>
              <w:t>内机噪音dB(A) ≤41</w:t>
            </w:r>
            <w:r>
              <w:rPr>
                <w:rFonts w:hint="eastAsia"/>
                <w:color w:val="auto"/>
                <w:sz w:val="20"/>
                <w:szCs w:val="20"/>
                <w:highlight w:val="none"/>
                <w:lang w:val="en-US" w:bidi="ar"/>
              </w:rPr>
              <w:br w:type="textWrapping"/>
            </w:r>
            <w:r>
              <w:rPr>
                <w:rFonts w:hint="eastAsia"/>
                <w:color w:val="auto"/>
                <w:sz w:val="20"/>
                <w:szCs w:val="20"/>
                <w:highlight w:val="none"/>
                <w:lang w:val="en-US" w:bidi="ar"/>
              </w:rPr>
              <w:t>外机噪音dB(A) ≤51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0"/>
                <w:szCs w:val="20"/>
                <w:highlight w:val="none"/>
              </w:rPr>
            </w:pPr>
            <w:r>
              <w:rPr>
                <w:rFonts w:hint="eastAsia"/>
                <w:color w:val="auto"/>
                <w:sz w:val="20"/>
                <w:szCs w:val="20"/>
                <w:highlight w:val="none"/>
                <w:lang w:val="en-US"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0"/>
                <w:szCs w:val="20"/>
                <w:highlight w:val="none"/>
              </w:rPr>
            </w:pPr>
          </w:p>
        </w:tc>
      </w:tr>
      <w:tr>
        <w:tblPrEx>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0"/>
                <w:szCs w:val="20"/>
                <w:highlight w:val="none"/>
              </w:rPr>
            </w:pPr>
            <w:r>
              <w:rPr>
                <w:rFonts w:hint="eastAsia"/>
                <w:b/>
                <w:bCs/>
                <w:color w:val="auto"/>
                <w:sz w:val="20"/>
                <w:szCs w:val="20"/>
                <w:highlight w:val="none"/>
                <w:lang w:val="en-US"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b/>
                <w:bCs/>
                <w:color w:val="auto"/>
                <w:sz w:val="20"/>
                <w:szCs w:val="20"/>
                <w:highlight w:val="none"/>
              </w:rPr>
            </w:pPr>
          </w:p>
        </w:tc>
      </w:tr>
    </w:tbl>
    <w:p>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pPr>
        <w:pStyle w:val="4"/>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pPr>
        <w:pStyle w:val="2"/>
        <w:rPr>
          <w:rFonts w:asciiTheme="minorEastAsia" w:hAnsiTheme="minorEastAsia" w:eastAsiaTheme="minorEastAsia"/>
          <w:b/>
          <w:color w:val="auto"/>
          <w:sz w:val="20"/>
          <w:highlight w:val="none"/>
        </w:rPr>
      </w:pPr>
    </w:p>
    <w:p>
      <w:pPr>
        <w:pStyle w:val="2"/>
        <w:spacing w:before="7"/>
        <w:rPr>
          <w:rFonts w:asciiTheme="minorEastAsia" w:hAnsiTheme="minorEastAsia" w:eastAsiaTheme="minorEastAsia"/>
          <w:b/>
          <w:color w:val="auto"/>
          <w:sz w:val="19"/>
          <w:highlight w:val="none"/>
        </w:rPr>
      </w:pPr>
    </w:p>
    <w:p>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9</w:t>
      </w:r>
      <w:r>
        <w:rPr>
          <w:rFonts w:hint="eastAsia" w:cs="仿宋_GB2312" w:asciiTheme="minorEastAsia" w:hAnsiTheme="minorEastAsia" w:eastAsiaTheme="minorEastAsia"/>
          <w:color w:val="auto"/>
          <w:sz w:val="24"/>
          <w:szCs w:val="24"/>
          <w:highlight w:val="none"/>
        </w:rPr>
        <w:t>）其他资料</w:t>
      </w:r>
    </w:p>
    <w:p>
      <w:pPr>
        <w:adjustRightInd w:val="0"/>
        <w:spacing w:line="480" w:lineRule="auto"/>
        <w:ind w:firstLine="424" w:firstLineChars="177"/>
        <w:rPr>
          <w:color w:val="auto"/>
          <w:highlight w:val="none"/>
        </w:rPr>
      </w:pPr>
      <w:r>
        <w:rPr>
          <w:rFonts w:hint="eastAsia" w:cs="仿宋_GB2312" w:asciiTheme="minorEastAsia" w:hAnsiTheme="minorEastAsia" w:eastAsiaTheme="minorEastAsia"/>
          <w:color w:val="auto"/>
          <w:sz w:val="24"/>
          <w:szCs w:val="24"/>
          <w:highlight w:val="none"/>
        </w:rPr>
        <w:t>（10）政府采购供应商诚信承诺书</w:t>
      </w:r>
    </w:p>
    <w:p>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rPr>
        <w:t xml:space="preserve">     </w:t>
      </w:r>
      <w:r>
        <w:rPr>
          <w:rFonts w:hint="eastAsia" w:cs="仿宋_GB2312" w:asciiTheme="minorEastAsia" w:hAnsiTheme="minorEastAsia" w:eastAsiaTheme="minorEastAsia"/>
          <w:color w:val="auto"/>
          <w:sz w:val="24"/>
          <w:szCs w:val="24"/>
          <w:highlight w:val="none"/>
        </w:rPr>
        <w:t>。</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pPr>
        <w:adjustRightInd w:val="0"/>
        <w:spacing w:line="360" w:lineRule="auto"/>
        <w:rPr>
          <w:rFonts w:asciiTheme="minorEastAsia" w:hAnsiTheme="minorEastAsia" w:eastAsiaTheme="minorEastAsia"/>
          <w:color w:val="auto"/>
          <w:sz w:val="24"/>
          <w:szCs w:val="24"/>
          <w:highlight w:val="none"/>
        </w:rPr>
      </w:pPr>
    </w:p>
    <w:p>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r>
        <w:rPr>
          <w:rFonts w:hint="eastAsia" w:cs="仿宋_GB2312" w:asciiTheme="minorEastAsia" w:hAnsiTheme="minorEastAsia" w:eastAsiaTheme="minorEastAsia"/>
          <w:color w:val="auto"/>
          <w:sz w:val="24"/>
          <w:szCs w:val="24"/>
          <w:highlight w:val="none"/>
          <w:lang w:val="en-US"/>
        </w:rPr>
        <w:t>电子</w:t>
      </w:r>
      <w:r>
        <w:rPr>
          <w:rFonts w:hint="eastAsia" w:cs="仿宋_GB2312" w:asciiTheme="minorEastAsia" w:hAnsiTheme="minorEastAsia" w:eastAsiaTheme="minorEastAsia"/>
          <w:color w:val="auto"/>
          <w:sz w:val="24"/>
          <w:szCs w:val="24"/>
          <w:highlight w:val="none"/>
        </w:rPr>
        <w:t>签章）：</w:t>
      </w:r>
    </w:p>
    <w:p>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highlight w:val="none"/>
        </w:rPr>
        <w:sectPr>
          <w:pgSz w:w="11849" w:h="16792"/>
          <w:pgMar w:top="1400" w:right="1179" w:bottom="918" w:left="1582" w:header="0" w:footer="720" w:gutter="0"/>
          <w:cols w:space="0" w:num="1"/>
        </w:sectPr>
      </w:pPr>
    </w:p>
    <w:p>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pPr>
        <w:adjustRightInd w:val="0"/>
        <w:spacing w:line="240" w:lineRule="exact"/>
        <w:jc w:val="center"/>
        <w:rPr>
          <w:rFonts w:asciiTheme="minorEastAsia" w:hAnsiTheme="minorEastAsia" w:eastAsiaTheme="minorEastAsia"/>
          <w:color w:val="auto"/>
          <w:sz w:val="36"/>
          <w:szCs w:val="36"/>
          <w:highlight w:val="none"/>
        </w:rPr>
      </w:pP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right w:val="single" w:color="auto" w:sz="6" w:space="0"/>
            </w:tcBorders>
          </w:tcPr>
          <w:p>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color w:val="auto"/>
                <w:sz w:val="28"/>
                <w:szCs w:val="28"/>
                <w:highlight w:val="none"/>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pPr>
        <w:adjustRightInd w:val="0"/>
        <w:rPr>
          <w:rFonts w:asciiTheme="minorEastAsia" w:hAnsiTheme="minorEastAsia" w:eastAsiaTheme="minorEastAsia"/>
          <w:color w:val="auto"/>
          <w:sz w:val="24"/>
          <w:szCs w:val="24"/>
          <w:highlight w:val="none"/>
        </w:rPr>
      </w:pPr>
    </w:p>
    <w:p>
      <w:pPr>
        <w:adjustRightInd w:val="0"/>
        <w:rPr>
          <w:rFonts w:asciiTheme="minorEastAsia" w:hAnsiTheme="minorEastAsia" w:eastAsiaTheme="minorEastAsia"/>
          <w:color w:val="auto"/>
          <w:sz w:val="24"/>
          <w:szCs w:val="24"/>
          <w:highlight w:val="none"/>
        </w:rPr>
      </w:pPr>
    </w:p>
    <w:p>
      <w:pPr>
        <w:adjustRightInd w:val="0"/>
        <w:rPr>
          <w:rFonts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被授权人和</w:t>
      </w:r>
      <w:r>
        <w:rPr>
          <w:rFonts w:cs="仿宋_GB2312" w:asciiTheme="minorEastAsia" w:hAnsiTheme="minorEastAsia" w:eastAsiaTheme="minorEastAsia"/>
          <w:b/>
          <w:bCs/>
          <w:color w:val="auto"/>
          <w:sz w:val="24"/>
          <w:szCs w:val="24"/>
          <w:highlight w:val="none"/>
        </w:rPr>
        <w:t>法人：（</w:t>
      </w:r>
      <w:r>
        <w:rPr>
          <w:rFonts w:hint="eastAsia" w:cs="仿宋_GB2312" w:asciiTheme="minorEastAsia" w:hAnsiTheme="minorEastAsia" w:eastAsiaTheme="minorEastAsia"/>
          <w:b/>
          <w:bCs/>
          <w:color w:val="auto"/>
          <w:sz w:val="24"/>
          <w:szCs w:val="24"/>
          <w:highlight w:val="none"/>
        </w:rPr>
        <w:t>签字</w:t>
      </w:r>
      <w:r>
        <w:rPr>
          <w:rFonts w:cs="仿宋_GB2312" w:asciiTheme="minorEastAsia" w:hAnsiTheme="minorEastAsia" w:eastAsiaTheme="minorEastAsia"/>
          <w:b/>
          <w:bCs/>
          <w:color w:val="auto"/>
          <w:sz w:val="24"/>
          <w:szCs w:val="24"/>
          <w:highlight w:val="none"/>
        </w:rPr>
        <w:t>）</w:t>
      </w:r>
    </w:p>
    <w:p>
      <w:pPr>
        <w:pStyle w:val="27"/>
        <w:ind w:firstLine="220"/>
        <w:rPr>
          <w:color w:val="auto"/>
          <w:highlight w:val="none"/>
        </w:rPr>
      </w:pPr>
    </w:p>
    <w:p>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pPr>
        <w:adjustRightInd w:val="0"/>
        <w:rPr>
          <w:rFonts w:cs="仿宋_GB2312" w:asciiTheme="minorEastAsia" w:hAnsiTheme="minorEastAsia" w:eastAsiaTheme="minorEastAsia"/>
          <w:b/>
          <w:bCs/>
          <w:color w:val="auto"/>
          <w:sz w:val="24"/>
          <w:szCs w:val="24"/>
          <w:highlight w:val="none"/>
        </w:rPr>
      </w:pPr>
    </w:p>
    <w:p>
      <w:pPr>
        <w:adjustRightInd w:val="0"/>
        <w:rPr>
          <w:rFonts w:cs="仿宋_GB2312" w:asciiTheme="minorEastAsia" w:hAnsiTheme="minorEastAsia" w:eastAsiaTheme="minorEastAsia"/>
          <w:b/>
          <w:bCs/>
          <w:color w:val="auto"/>
          <w:sz w:val="24"/>
          <w:szCs w:val="24"/>
          <w:highlight w:val="none"/>
        </w:rPr>
      </w:pPr>
    </w:p>
    <w:p>
      <w:pPr>
        <w:adjustRightInd w:val="0"/>
        <w:rPr>
          <w:rFonts w:cs="仿宋_GB2312" w:asciiTheme="minorEastAsia" w:hAnsiTheme="minorEastAsia" w:eastAsiaTheme="minorEastAsia"/>
          <w:b/>
          <w:bCs/>
          <w:color w:val="auto"/>
          <w:sz w:val="24"/>
          <w:szCs w:val="24"/>
          <w:highlight w:val="none"/>
        </w:rPr>
      </w:pPr>
    </w:p>
    <w:p>
      <w:pPr>
        <w:adjustRightInd w:val="0"/>
        <w:rPr>
          <w:rFonts w:cs="仿宋_GB2312" w:asciiTheme="minorEastAsia" w:hAnsiTheme="minorEastAsia" w:eastAsiaTheme="minorEastAsia"/>
          <w:b/>
          <w:bCs/>
          <w:color w:val="auto"/>
          <w:sz w:val="24"/>
          <w:szCs w:val="24"/>
          <w:highlight w:val="none"/>
        </w:rPr>
      </w:pPr>
    </w:p>
    <w:p>
      <w:pPr>
        <w:adjustRightInd w:val="0"/>
        <w:rPr>
          <w:rFonts w:asciiTheme="minorEastAsia" w:hAnsiTheme="minorEastAsia" w:eastAsiaTheme="minorEastAsia"/>
          <w:color w:val="auto"/>
          <w:highlight w:val="none"/>
        </w:rPr>
        <w:sectPr>
          <w:pgSz w:w="11849" w:h="16792"/>
          <w:pgMar w:top="1400" w:right="1179" w:bottom="918" w:left="1582" w:header="0" w:footer="720" w:gutter="0"/>
          <w:cols w:space="0" w:num="1"/>
        </w:sectPr>
      </w:pPr>
    </w:p>
    <w:p>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pPr>
        <w:adjustRightInd w:val="0"/>
        <w:jc w:val="center"/>
        <w:rPr>
          <w:rFonts w:cs="仿宋_GB2312" w:asciiTheme="minorEastAsia" w:hAnsiTheme="minorEastAsia" w:eastAsiaTheme="minorEastAsia"/>
          <w:color w:val="auto"/>
          <w:sz w:val="24"/>
          <w:szCs w:val="24"/>
          <w:highlight w:val="none"/>
        </w:rPr>
      </w:pPr>
    </w:p>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tbl>
      <w:tblPr>
        <w:tblStyle w:val="22"/>
        <w:tblpPr w:leftFromText="180" w:rightFromText="180" w:vertAnchor="text" w:horzAnchor="page" w:tblpX="948" w:tblpY="276"/>
        <w:tblOverlap w:val="never"/>
        <w:tblW w:w="9356" w:type="dxa"/>
        <w:tblInd w:w="0" w:type="dxa"/>
        <w:tblLayout w:type="fixed"/>
        <w:tblCellMar>
          <w:top w:w="0" w:type="dxa"/>
          <w:left w:w="108" w:type="dxa"/>
          <w:bottom w:w="0" w:type="dxa"/>
          <w:right w:w="108" w:type="dxa"/>
        </w:tblCellMar>
      </w:tblPr>
      <w:tblGrid>
        <w:gridCol w:w="701"/>
        <w:gridCol w:w="206"/>
        <w:gridCol w:w="3912"/>
        <w:gridCol w:w="907"/>
        <w:gridCol w:w="907"/>
        <w:gridCol w:w="907"/>
        <w:gridCol w:w="908"/>
        <w:gridCol w:w="908"/>
      </w:tblGrid>
      <w:tr>
        <w:tblPrEx>
          <w:tblCellMar>
            <w:top w:w="0" w:type="dxa"/>
            <w:left w:w="108" w:type="dxa"/>
            <w:bottom w:w="0" w:type="dxa"/>
            <w:right w:w="108" w:type="dxa"/>
          </w:tblCellMar>
        </w:tblPrEx>
        <w:trPr>
          <w:trHeight w:val="731" w:hRule="atLeast"/>
        </w:trPr>
        <w:tc>
          <w:tcPr>
            <w:tcW w:w="701"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118" w:type="dxa"/>
            <w:gridSpan w:val="2"/>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货物名称（标明生产厂家、品牌、规格型号原产地等）</w:t>
            </w: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w:t>
            </w: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907"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备注</w:t>
            </w:r>
          </w:p>
        </w:tc>
      </w:tr>
      <w:tr>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374"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6" w:space="0"/>
              <w:left w:val="single" w:color="auto" w:sz="4"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6" w:space="0"/>
              <w:left w:val="single" w:color="auto" w:sz="6"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rPr>
          <w:trHeight w:val="477"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4" w:space="0"/>
              <w:left w:val="single" w:color="auto" w:sz="4" w:space="0"/>
              <w:bottom w:val="single" w:color="auto" w:sz="6" w:space="0"/>
              <w:right w:val="single" w:color="auto" w:sz="4" w:space="0"/>
            </w:tcBorders>
          </w:tcPr>
          <w:p>
            <w:pPr>
              <w:adjustRightInd w:val="0"/>
              <w:jc w:val="both"/>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其他费用</w:t>
            </w: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482" w:hRule="atLeast"/>
        </w:trPr>
        <w:tc>
          <w:tcPr>
            <w:tcW w:w="7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4118" w:type="dxa"/>
            <w:gridSpan w:val="2"/>
            <w:tcBorders>
              <w:top w:val="single" w:color="auto" w:sz="4" w:space="0"/>
              <w:left w:val="single" w:color="auto" w:sz="4" w:space="0"/>
              <w:bottom w:val="single" w:color="auto" w:sz="6" w:space="0"/>
              <w:right w:val="single" w:color="auto" w:sz="4" w:space="0"/>
            </w:tcBorders>
          </w:tcPr>
          <w:p>
            <w:pPr>
              <w:adjustRightInd w:val="0"/>
              <w:jc w:val="both"/>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合计</w:t>
            </w: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7"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908"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r>
        <w:tblPrEx>
          <w:tblCellMar>
            <w:top w:w="0" w:type="dxa"/>
            <w:left w:w="108" w:type="dxa"/>
            <w:bottom w:w="0" w:type="dxa"/>
            <w:right w:w="108" w:type="dxa"/>
          </w:tblCellMar>
        </w:tblPrEx>
        <w:trPr>
          <w:trHeight w:val="746" w:hRule="atLeast"/>
        </w:trPr>
        <w:tc>
          <w:tcPr>
            <w:tcW w:w="907" w:type="dxa"/>
            <w:gridSpan w:val="2"/>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c>
          <w:tcPr>
            <w:tcW w:w="7541" w:type="dxa"/>
            <w:gridSpan w:val="5"/>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c>
          <w:tcPr>
            <w:tcW w:w="90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color w:val="auto"/>
                <w:sz w:val="24"/>
                <w:szCs w:val="24"/>
                <w:highlight w:val="none"/>
              </w:rPr>
            </w:pPr>
          </w:p>
        </w:tc>
      </w:tr>
    </w:tbl>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p>
      <w:pPr>
        <w:adjustRightInd w:val="0"/>
        <w:jc w:val="center"/>
        <w:rPr>
          <w:rFonts w:cs="仿宋_GB2312" w:asciiTheme="minorEastAsia" w:hAnsiTheme="minorEastAsia" w:eastAsiaTheme="minorEastAsia"/>
          <w:color w:val="auto"/>
          <w:sz w:val="24"/>
          <w:szCs w:val="24"/>
          <w:highlight w:val="none"/>
        </w:rPr>
      </w:pPr>
    </w:p>
    <w:p>
      <w:pPr>
        <w:adjustRightInd w:val="0"/>
        <w:jc w:val="center"/>
        <w:rPr>
          <w:rFonts w:cs="仿宋_GB2312" w:asciiTheme="minorEastAsia" w:hAnsiTheme="minorEastAsia" w:eastAsiaTheme="minorEastAsia"/>
          <w:color w:val="auto"/>
          <w:sz w:val="24"/>
          <w:szCs w:val="24"/>
          <w:highlight w:val="none"/>
        </w:rPr>
      </w:pPr>
    </w:p>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w:t>
      </w:r>
    </w:p>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谈判供应商公章：</w:t>
      </w:r>
    </w:p>
    <w:p>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pPr>
        <w:adjustRightInd w:val="0"/>
        <w:jc w:val="center"/>
        <w:rPr>
          <w:rFonts w:cs="仿宋_GB2312"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b/>
          <w:bCs/>
          <w:color w:val="auto"/>
          <w:sz w:val="24"/>
          <w:szCs w:val="24"/>
          <w:highlight w:val="none"/>
        </w:rPr>
      </w:pPr>
    </w:p>
    <w:p>
      <w:pPr>
        <w:adjustRightInd w:val="0"/>
        <w:rPr>
          <w:rFonts w:cs="黑体" w:asciiTheme="minorEastAsia" w:hAnsiTheme="minorEastAsia" w:eastAsiaTheme="minorEastAsia"/>
          <w:b/>
          <w:bCs/>
          <w:color w:val="auto"/>
          <w:sz w:val="28"/>
          <w:szCs w:val="28"/>
          <w:highlight w:val="none"/>
        </w:rPr>
      </w:pPr>
    </w:p>
    <w:p>
      <w:pPr>
        <w:adjustRightInd w:val="0"/>
        <w:rPr>
          <w:rFonts w:cs="黑体" w:asciiTheme="minorEastAsia" w:hAnsiTheme="minorEastAsia" w:eastAsiaTheme="minorEastAsia"/>
          <w:b/>
          <w:bCs/>
          <w:color w:val="auto"/>
          <w:sz w:val="28"/>
          <w:szCs w:val="28"/>
          <w:highlight w:val="none"/>
        </w:rPr>
      </w:pPr>
    </w:p>
    <w:p>
      <w:pPr>
        <w:adjustRightInd w:val="0"/>
        <w:rPr>
          <w:rFonts w:cs="黑体" w:asciiTheme="minorEastAsia" w:hAnsiTheme="minorEastAsia" w:eastAsiaTheme="minorEastAsia"/>
          <w:b/>
          <w:bCs/>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pStyle w:val="2"/>
        <w:rPr>
          <w:rFonts w:cs="黑体" w:asciiTheme="minorEastAsia" w:hAnsiTheme="minorEastAsia" w:eastAsiaTheme="minorEastAsia"/>
          <w:color w:val="auto"/>
          <w:sz w:val="28"/>
          <w:szCs w:val="28"/>
          <w:highlight w:val="none"/>
        </w:rPr>
      </w:pPr>
    </w:p>
    <w:p>
      <w:pPr>
        <w:pStyle w:val="7"/>
        <w:rPr>
          <w:rFonts w:hint="default" w:cs="黑体" w:asciiTheme="minorEastAsia" w:hAnsiTheme="minorEastAsia" w:eastAsiaTheme="minorEastAsia"/>
          <w:color w:val="auto"/>
          <w:sz w:val="28"/>
          <w:szCs w:val="28"/>
          <w:highlight w:val="none"/>
        </w:rPr>
      </w:pPr>
    </w:p>
    <w:p>
      <w:pPr>
        <w:rPr>
          <w:rFonts w:cs="黑体" w:asciiTheme="minorEastAsia" w:hAnsiTheme="minorEastAsia" w:eastAsiaTheme="minorEastAsia"/>
          <w:color w:val="auto"/>
          <w:sz w:val="28"/>
          <w:szCs w:val="28"/>
          <w:highlight w:val="none"/>
        </w:rPr>
      </w:pPr>
    </w:p>
    <w:p>
      <w:pPr>
        <w:pStyle w:val="2"/>
        <w:rPr>
          <w:rFonts w:cs="黑体" w:asciiTheme="minorEastAsia" w:hAnsiTheme="minorEastAsia" w:eastAsiaTheme="minorEastAsia"/>
          <w:color w:val="auto"/>
          <w:sz w:val="28"/>
          <w:szCs w:val="28"/>
          <w:highlight w:val="none"/>
        </w:rPr>
      </w:pPr>
    </w:p>
    <w:p>
      <w:pPr>
        <w:pStyle w:val="7"/>
        <w:rPr>
          <w:rFonts w:hint="default" w:cs="黑体"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pPr>
        <w:adjustRightInd w:val="0"/>
        <w:rPr>
          <w:rFonts w:asciiTheme="minorEastAsia" w:hAnsiTheme="minorEastAsia" w:eastAsiaTheme="minorEastAsia"/>
          <w:color w:val="auto"/>
          <w:highlight w:val="none"/>
        </w:rPr>
      </w:pPr>
    </w:p>
    <w:p>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pPr>
              <w:ind w:firstLine="1100" w:firstLineChars="500"/>
              <w:jc w:val="both"/>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pPr>
              <w:jc w:val="center"/>
              <w:rPr>
                <w:color w:val="auto"/>
                <w:highlight w:val="none"/>
              </w:rPr>
            </w:pPr>
            <w:r>
              <w:rPr>
                <w:rFonts w:hint="eastAsia"/>
                <w:color w:val="auto"/>
                <w:highlight w:val="none"/>
              </w:rPr>
              <w:t>响应文件</w:t>
            </w:r>
          </w:p>
          <w:p>
            <w:pPr>
              <w:pStyle w:val="20"/>
              <w:ind w:firstLine="241"/>
              <w:rPr>
                <w:color w:val="auto"/>
                <w:highlight w:val="none"/>
              </w:rPr>
            </w:pPr>
            <w:r>
              <w:rPr>
                <w:rFonts w:hint="eastAsia"/>
                <w:b/>
                <w:color w:val="auto"/>
                <w:sz w:val="24"/>
                <w:szCs w:val="24"/>
                <w:highlight w:val="none"/>
                <w:lang w:val="en-US"/>
              </w:rPr>
              <w:t>品名品牌规格型号</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auto"/>
                <w:sz w:val="24"/>
                <w:szCs w:val="24"/>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color w:val="auto"/>
                <w:highlight w:val="none"/>
              </w:rPr>
            </w:pPr>
          </w:p>
        </w:tc>
      </w:tr>
    </w:tbl>
    <w:p>
      <w:pPr>
        <w:adjustRightInd w:val="0"/>
        <w:rPr>
          <w:rFonts w:asciiTheme="minorEastAsia" w:hAnsiTheme="minorEastAsia" w:eastAsiaTheme="minorEastAsia"/>
          <w:color w:val="auto"/>
          <w:sz w:val="24"/>
          <w:szCs w:val="24"/>
          <w:highlight w:val="none"/>
        </w:rPr>
      </w:pPr>
    </w:p>
    <w:p>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pPr>
        <w:adjustRightInd w:val="0"/>
        <w:rPr>
          <w:rFonts w:asciiTheme="minorEastAsia" w:hAnsiTheme="minorEastAsia" w:eastAsiaTheme="minorEastAsia"/>
          <w:color w:val="auto"/>
          <w:sz w:val="24"/>
          <w:szCs w:val="24"/>
          <w:highlight w:val="none"/>
        </w:rPr>
      </w:pP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pPr>
        <w:adjustRightInd w:val="0"/>
        <w:ind w:firstLine="390"/>
        <w:rPr>
          <w:rFonts w:asciiTheme="minorEastAsia" w:hAnsiTheme="minorEastAsia" w:eastAsiaTheme="minorEastAsia"/>
          <w:color w:val="auto"/>
          <w:sz w:val="18"/>
          <w:szCs w:val="1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pStyle w:val="27"/>
        <w:ind w:firstLine="280"/>
        <w:rPr>
          <w:rFonts w:cs="黑体" w:asciiTheme="minorEastAsia" w:hAnsiTheme="minorEastAsia" w:eastAsiaTheme="minorEastAsia"/>
          <w:color w:val="auto"/>
          <w:sz w:val="28"/>
          <w:szCs w:val="28"/>
          <w:highlight w:val="none"/>
        </w:rPr>
      </w:pPr>
    </w:p>
    <w:p>
      <w:pPr>
        <w:pStyle w:val="27"/>
        <w:ind w:firstLine="280"/>
        <w:rPr>
          <w:rFonts w:cs="黑体" w:asciiTheme="minorEastAsia" w:hAnsiTheme="minorEastAsia" w:eastAsiaTheme="minorEastAsia"/>
          <w:color w:val="auto"/>
          <w:sz w:val="28"/>
          <w:szCs w:val="28"/>
          <w:highlight w:val="none"/>
        </w:rPr>
      </w:pPr>
    </w:p>
    <w:p>
      <w:pPr>
        <w:pStyle w:val="27"/>
        <w:ind w:firstLine="280"/>
        <w:rPr>
          <w:rFonts w:cs="黑体" w:asciiTheme="minorEastAsia" w:hAnsiTheme="minorEastAsia" w:eastAsiaTheme="minorEastAsia"/>
          <w:color w:val="auto"/>
          <w:sz w:val="28"/>
          <w:szCs w:val="28"/>
          <w:highlight w:val="none"/>
        </w:rPr>
      </w:pPr>
    </w:p>
    <w:p>
      <w:pPr>
        <w:pStyle w:val="27"/>
        <w:ind w:firstLine="280"/>
        <w:rPr>
          <w:rFonts w:cs="黑体" w:asciiTheme="minorEastAsia" w:hAnsiTheme="minorEastAsia" w:eastAsiaTheme="minorEastAsia"/>
          <w:color w:val="auto"/>
          <w:sz w:val="28"/>
          <w:szCs w:val="28"/>
          <w:highlight w:val="none"/>
        </w:rPr>
      </w:pPr>
    </w:p>
    <w:p>
      <w:pPr>
        <w:pStyle w:val="27"/>
        <w:ind w:firstLine="280"/>
        <w:rPr>
          <w:rFonts w:cs="黑体" w:asciiTheme="minorEastAsia" w:hAnsiTheme="minorEastAsia" w:eastAsiaTheme="minorEastAsia"/>
          <w:color w:val="auto"/>
          <w:sz w:val="28"/>
          <w:szCs w:val="28"/>
          <w:highlight w:val="none"/>
        </w:rPr>
      </w:pPr>
    </w:p>
    <w:p>
      <w:pPr>
        <w:adjustRightInd w:val="0"/>
        <w:rPr>
          <w:rFonts w:cs="黑体" w:asciiTheme="minorEastAsia" w:hAnsiTheme="minorEastAsia" w:eastAsiaTheme="minorEastAsia"/>
          <w:color w:val="auto"/>
          <w:sz w:val="28"/>
          <w:szCs w:val="28"/>
          <w:highlight w:val="none"/>
        </w:rPr>
      </w:pPr>
    </w:p>
    <w:p>
      <w:pPr>
        <w:pStyle w:val="2"/>
        <w:rPr>
          <w:rFonts w:cs="黑体" w:asciiTheme="minorEastAsia" w:hAnsiTheme="minorEastAsia" w:eastAsiaTheme="minorEastAsia"/>
          <w:color w:val="auto"/>
          <w:sz w:val="28"/>
          <w:szCs w:val="28"/>
          <w:highlight w:val="none"/>
        </w:rPr>
      </w:pPr>
    </w:p>
    <w:p>
      <w:pPr>
        <w:pStyle w:val="7"/>
        <w:rPr>
          <w:rFonts w:hint="default"/>
          <w:color w:val="auto"/>
          <w:highlight w:val="none"/>
        </w:rPr>
      </w:pPr>
    </w:p>
    <w:p>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pPr>
        <w:adjustRightInd w:val="0"/>
        <w:jc w:val="center"/>
        <w:rPr>
          <w:rFonts w:cs="黑体" w:asciiTheme="minorEastAsia" w:hAnsiTheme="minorEastAsia" w:eastAsiaTheme="minorEastAsia"/>
          <w:b/>
          <w:bCs/>
          <w:color w:val="auto"/>
          <w:sz w:val="32"/>
          <w:szCs w:val="32"/>
          <w:highlight w:val="none"/>
        </w:rPr>
      </w:pPr>
    </w:p>
    <w:p>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pPr>
        <w:adjustRightInd w:val="0"/>
        <w:jc w:val="center"/>
        <w:rPr>
          <w:rFonts w:asciiTheme="minorEastAsia" w:hAnsiTheme="minorEastAsia" w:eastAsiaTheme="minorEastAsia"/>
          <w:color w:val="auto"/>
          <w:sz w:val="28"/>
          <w:szCs w:val="28"/>
          <w:highlight w:val="none"/>
        </w:rPr>
      </w:pPr>
    </w:p>
    <w:p>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sz w:val="24"/>
          <w:szCs w:val="24"/>
          <w:highlight w:val="none"/>
        </w:rPr>
      </w:pPr>
    </w:p>
    <w:p>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pPr>
        <w:adjustRightInd w:val="0"/>
        <w:rPr>
          <w:rFonts w:cs="楷体_GB2312" w:asciiTheme="minorEastAsia" w:hAnsiTheme="minorEastAsia" w:eastAsiaTheme="minorEastAsia"/>
          <w:color w:val="auto"/>
          <w:sz w:val="24"/>
          <w:szCs w:val="24"/>
          <w:highlight w:val="none"/>
        </w:rPr>
      </w:pPr>
    </w:p>
    <w:p>
      <w:pPr>
        <w:adjustRightInd w:val="0"/>
        <w:ind w:firstLine="280"/>
        <w:rPr>
          <w:rFonts w:cs="楷体_GB2312" w:asciiTheme="minorEastAsia" w:hAnsiTheme="minorEastAsia" w:eastAsiaTheme="minorEastAsia"/>
          <w:color w:val="auto"/>
          <w:sz w:val="24"/>
          <w:szCs w:val="24"/>
          <w:highlight w:val="none"/>
        </w:rPr>
      </w:pPr>
    </w:p>
    <w:p>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rPr>
        <w:t>电子</w:t>
      </w:r>
      <w:r>
        <w:rPr>
          <w:rFonts w:hint="eastAsia" w:cs="仿宋_GB2312" w:asciiTheme="minorEastAsia" w:hAnsiTheme="minorEastAsia" w:eastAsiaTheme="minorEastAsia"/>
          <w:color w:val="auto"/>
          <w:sz w:val="24"/>
          <w:szCs w:val="24"/>
          <w:highlight w:val="none"/>
        </w:rPr>
        <w:t>公章：</w:t>
      </w: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highlight w:val="none"/>
        </w:rPr>
        <w:sectPr>
          <w:pgSz w:w="11849" w:h="16792"/>
          <w:pgMar w:top="1400" w:right="1179" w:bottom="918" w:left="1582" w:header="0" w:footer="720" w:gutter="0"/>
          <w:cols w:space="0" w:num="1"/>
        </w:sectPr>
      </w:pPr>
    </w:p>
    <w:p>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pPr>
        <w:adjustRightInd w:val="0"/>
        <w:rPr>
          <w:rFonts w:asciiTheme="minorEastAsia" w:hAnsiTheme="minorEastAsia" w:eastAsiaTheme="minorEastAsia"/>
          <w:color w:val="auto"/>
          <w:sz w:val="36"/>
          <w:szCs w:val="36"/>
          <w:highlight w:val="none"/>
        </w:rPr>
      </w:pP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val="en-US"/>
        </w:rPr>
        <w:t>三证合一的不需要</w:t>
      </w:r>
      <w:r>
        <w:rPr>
          <w:rFonts w:hint="eastAsia" w:cs="仿宋_GB2312" w:asciiTheme="minorEastAsia" w:hAnsiTheme="minorEastAsia" w:eastAsiaTheme="minorEastAsia"/>
          <w:color w:val="auto"/>
          <w:sz w:val="24"/>
          <w:szCs w:val="24"/>
          <w:highlight w:val="none"/>
        </w:rPr>
        <w:t>）。</w:t>
      </w:r>
    </w:p>
    <w:p>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rPr>
        <w:t xml:space="preserve">   </w:t>
      </w:r>
      <w:r>
        <w:rPr>
          <w:rFonts w:hint="eastAsia" w:cs="仿宋_GB2312" w:asciiTheme="minorEastAsia" w:hAnsiTheme="minorEastAsia" w:eastAsiaTheme="minorEastAsia"/>
          <w:color w:val="auto"/>
          <w:sz w:val="24"/>
          <w:szCs w:val="24"/>
          <w:highlight w:val="none"/>
        </w:rPr>
        <w:t>6、其它证明文件或证件。</w:t>
      </w:r>
    </w:p>
    <w:p>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pPr>
        <w:adjustRightInd w:val="0"/>
        <w:ind w:firstLine="480"/>
        <w:rPr>
          <w:rFonts w:asciiTheme="minorEastAsia" w:hAnsiTheme="minorEastAsia" w:eastAsiaTheme="minorEastAsia"/>
          <w:color w:val="auto"/>
          <w:sz w:val="24"/>
          <w:szCs w:val="24"/>
          <w:highlight w:val="none"/>
        </w:rPr>
      </w:pPr>
    </w:p>
    <w:p>
      <w:pPr>
        <w:adjustRightInd w:val="0"/>
        <w:ind w:firstLine="480"/>
        <w:rPr>
          <w:rFonts w:asciiTheme="minorEastAsia" w:hAnsiTheme="minorEastAsia" w:eastAsiaTheme="minorEastAsia"/>
          <w:color w:val="auto"/>
          <w:sz w:val="24"/>
          <w:szCs w:val="24"/>
          <w:highlight w:val="none"/>
        </w:rPr>
      </w:pPr>
    </w:p>
    <w:p>
      <w:pPr>
        <w:adjustRightInd w:val="0"/>
        <w:ind w:firstLine="480"/>
        <w:rPr>
          <w:rFonts w:asciiTheme="minorEastAsia" w:hAnsiTheme="minorEastAsia" w:eastAsiaTheme="minorEastAsia"/>
          <w:color w:val="auto"/>
          <w:sz w:val="24"/>
          <w:szCs w:val="24"/>
          <w:highlight w:val="none"/>
        </w:rPr>
      </w:pPr>
    </w:p>
    <w:p>
      <w:pPr>
        <w:adjustRightInd w:val="0"/>
        <w:ind w:firstLine="480"/>
        <w:rPr>
          <w:rFonts w:asciiTheme="minorEastAsia" w:hAnsiTheme="minorEastAsia" w:eastAsiaTheme="minorEastAsia"/>
          <w:color w:val="auto"/>
          <w:sz w:val="24"/>
          <w:szCs w:val="24"/>
          <w:highlight w:val="none"/>
        </w:rPr>
      </w:pP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单位名称（签章）：</w:t>
      </w:r>
      <w:r>
        <w:rPr>
          <w:rFonts w:hint="eastAsia" w:cs="仿宋_GB2312" w:asciiTheme="minorEastAsia" w:hAnsiTheme="minorEastAsia" w:eastAsiaTheme="minorEastAsia"/>
          <w:color w:val="auto"/>
          <w:sz w:val="24"/>
          <w:szCs w:val="24"/>
          <w:highlight w:val="none"/>
          <w:lang w:val="en-US"/>
        </w:rPr>
        <w:t xml:space="preserve">    </w:t>
      </w:r>
      <w:r>
        <w:rPr>
          <w:rFonts w:hint="eastAsia" w:cs="仿宋_GB2312" w:asciiTheme="minorEastAsia" w:hAnsiTheme="minorEastAsia" w:eastAsiaTheme="minorEastAsia"/>
          <w:color w:val="auto"/>
          <w:sz w:val="24"/>
          <w:szCs w:val="24"/>
          <w:highlight w:val="none"/>
        </w:rPr>
        <w:t>法定代表人（签字）：</w:t>
      </w:r>
    </w:p>
    <w:p>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pPr>
        <w:adjustRightInd w:val="0"/>
        <w:rPr>
          <w:rFonts w:cs="仿宋_GB2312" w:asciiTheme="minorEastAsia" w:hAnsiTheme="minorEastAsia" w:eastAsiaTheme="minorEastAsia"/>
          <w:color w:val="auto"/>
          <w:sz w:val="24"/>
          <w:szCs w:val="24"/>
          <w:highlight w:val="none"/>
        </w:rPr>
      </w:pP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sz w:val="28"/>
          <w:szCs w:val="28"/>
          <w:highlight w:val="none"/>
        </w:rPr>
      </w:pPr>
    </w:p>
    <w:p>
      <w:pPr>
        <w:adjustRightInd w:val="0"/>
        <w:rPr>
          <w:rFonts w:asciiTheme="minorEastAsia" w:hAnsiTheme="minorEastAsia" w:eastAsiaTheme="minorEastAsia"/>
          <w:color w:val="auto"/>
          <w:highlight w:val="none"/>
        </w:rPr>
        <w:sectPr>
          <w:pgSz w:w="11849" w:h="16792"/>
          <w:pgMar w:top="1400" w:right="1179" w:bottom="918" w:left="1582" w:header="0" w:footer="720" w:gutter="0"/>
          <w:cols w:space="0" w:num="1"/>
        </w:sectPr>
      </w:pPr>
    </w:p>
    <w:p>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pPr>
        <w:adjustRightInd w:val="0"/>
        <w:jc w:val="center"/>
        <w:rPr>
          <w:rFonts w:asciiTheme="minorEastAsia" w:hAnsiTheme="minorEastAsia" w:eastAsiaTheme="minorEastAsia"/>
          <w:b/>
          <w:bCs/>
          <w:color w:val="auto"/>
          <w:sz w:val="32"/>
          <w:szCs w:val="32"/>
          <w:highlight w:val="none"/>
        </w:rPr>
      </w:pPr>
    </w:p>
    <w:p>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pPr>
        <w:adjustRightInd w:val="0"/>
        <w:rPr>
          <w:rFonts w:cs="仿宋_GB2312"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pPr>
        <w:adjustRightInd w:val="0"/>
        <w:rPr>
          <w:rFonts w:cs="仿宋_GB2312"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pPr>
        <w:adjustRightInd w:val="0"/>
        <w:rPr>
          <w:rFonts w:cs="仿宋_GB2312"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pPr>
        <w:adjustRightInd w:val="0"/>
        <w:rPr>
          <w:rFonts w:cs="仿宋_GB2312" w:asciiTheme="minorEastAsia" w:hAnsiTheme="minorEastAsia" w:eastAsiaTheme="minorEastAsia"/>
          <w:color w:val="auto"/>
          <w:sz w:val="24"/>
          <w:szCs w:val="24"/>
          <w:highlight w:val="none"/>
        </w:rPr>
      </w:pPr>
    </w:p>
    <w:p>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pPr>
        <w:adjustRightInd w:val="0"/>
        <w:rPr>
          <w:rFonts w:cs="仿宋_GB2312" w:asciiTheme="minorEastAsia" w:hAnsiTheme="minorEastAsia" w:eastAsiaTheme="minorEastAsia"/>
          <w:color w:val="auto"/>
          <w:sz w:val="24"/>
          <w:szCs w:val="24"/>
          <w:highlight w:val="none"/>
        </w:rPr>
      </w:pPr>
    </w:p>
    <w:p>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pPr>
        <w:adjustRightInd w:val="0"/>
        <w:rPr>
          <w:rFonts w:cs="仿宋_GB2312" w:asciiTheme="minorEastAsia" w:hAnsiTheme="minorEastAsia" w:eastAsiaTheme="minorEastAsia"/>
          <w:color w:val="auto"/>
          <w:sz w:val="24"/>
          <w:szCs w:val="24"/>
          <w:highlight w:val="none"/>
        </w:rPr>
      </w:pPr>
    </w:p>
    <w:p>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rPr>
        <w:t>字</w:t>
      </w:r>
      <w:r>
        <w:rPr>
          <w:rFonts w:hint="eastAsia" w:cs="仿宋_GB2312" w:asciiTheme="minorEastAsia" w:hAnsiTheme="minorEastAsia" w:eastAsiaTheme="minorEastAsia"/>
          <w:color w:val="auto"/>
          <w:sz w:val="24"/>
          <w:szCs w:val="24"/>
          <w:highlight w:val="none"/>
          <w:u w:val="single"/>
        </w:rPr>
        <w:t>）</w:t>
      </w:r>
    </w:p>
    <w:p>
      <w:pPr>
        <w:adjustRightInd w:val="0"/>
        <w:rPr>
          <w:rFonts w:cs="仿宋_GB2312" w:asciiTheme="minorEastAsia" w:hAnsiTheme="minorEastAsia" w:eastAsiaTheme="minorEastAsia"/>
          <w:color w:val="auto"/>
          <w:sz w:val="24"/>
          <w:szCs w:val="24"/>
          <w:highlight w:val="none"/>
        </w:rPr>
      </w:pPr>
    </w:p>
    <w:p>
      <w:pPr>
        <w:adjustRightInd w:val="0"/>
        <w:ind w:firstLine="480" w:firstLineChars="200"/>
        <w:rPr>
          <w:rFonts w:cs="仿宋_GB2312" w:asciiTheme="minorEastAsia" w:hAnsiTheme="minorEastAsia" w:eastAsiaTheme="minorEastAsia"/>
          <w:color w:val="auto"/>
          <w:sz w:val="24"/>
          <w:szCs w:val="24"/>
          <w:highlight w:val="none"/>
          <w:u w:val="single"/>
          <w:lang w:val="en-US"/>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rPr>
        <w:t xml:space="preserve">      </w:t>
      </w:r>
    </w:p>
    <w:p>
      <w:pPr>
        <w:adjustRightInd w:val="0"/>
        <w:rPr>
          <w:rFonts w:asciiTheme="minorEastAsia" w:hAnsiTheme="minorEastAsia" w:eastAsiaTheme="minorEastAsia"/>
          <w:color w:val="auto"/>
          <w:highlight w:val="none"/>
        </w:rPr>
      </w:pPr>
    </w:p>
    <w:p>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pStyle w:val="20"/>
        <w:ind w:firstLine="210"/>
        <w:rPr>
          <w:color w:val="auto"/>
          <w:highlight w:val="none"/>
        </w:rPr>
      </w:pPr>
    </w:p>
    <w:p>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rPr>
        <w:t>8</w:t>
      </w:r>
      <w:r>
        <w:rPr>
          <w:rFonts w:hint="eastAsia" w:cs="黑体" w:asciiTheme="minorEastAsia" w:hAnsiTheme="minorEastAsia" w:eastAsiaTheme="minorEastAsia"/>
          <w:color w:val="auto"/>
          <w:sz w:val="28"/>
          <w:szCs w:val="28"/>
          <w:highlight w:val="none"/>
        </w:rPr>
        <w:t>：</w:t>
      </w:r>
    </w:p>
    <w:p>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pPr>
        <w:pStyle w:val="2"/>
        <w:rPr>
          <w:rFonts w:asciiTheme="minorEastAsia" w:hAnsiTheme="minorEastAsia" w:eastAsiaTheme="minorEastAsia"/>
          <w:color w:val="auto"/>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pStyle w:val="27"/>
        <w:ind w:firstLine="240"/>
        <w:rPr>
          <w:rFonts w:cs="仿宋_GB2312" w:asciiTheme="minorEastAsia" w:hAnsiTheme="minorEastAsia" w:eastAsiaTheme="minorEastAsia"/>
          <w:color w:val="auto"/>
          <w:sz w:val="24"/>
          <w:szCs w:val="24"/>
          <w:highlight w:val="none"/>
        </w:rPr>
      </w:pPr>
    </w:p>
    <w:p>
      <w:pPr>
        <w:jc w:val="center"/>
        <w:rPr>
          <w:rFonts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rPr>
        <w:t>9</w:t>
      </w:r>
      <w:r>
        <w:rPr>
          <w:rFonts w:hint="eastAsia" w:cs="黑体" w:asciiTheme="minorEastAsia" w:hAnsiTheme="minorEastAsia" w:eastAsiaTheme="minorEastAsia"/>
          <w:b/>
          <w:bCs/>
          <w:color w:val="auto"/>
          <w:sz w:val="28"/>
          <w:szCs w:val="28"/>
          <w:highlight w:val="none"/>
        </w:rPr>
        <w:t>：中小企业声明函（货物）</w:t>
      </w:r>
    </w:p>
    <w:p>
      <w:pPr>
        <w:pStyle w:val="27"/>
        <w:ind w:firstLine="220"/>
        <w:rPr>
          <w:color w:val="auto"/>
          <w:highlight w:val="none"/>
        </w:rPr>
      </w:pPr>
    </w:p>
    <w:p>
      <w:pPr>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 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采购活动，提供的货物全部由符合政策要求的中小企业制造。相关企业（含联合体中的中小企业、签订分包意向协议的中小企业）的具体情况如下：</w:t>
      </w:r>
    </w:p>
    <w:p>
      <w:pPr>
        <w:ind w:firstLine="480" w:firstLineChars="200"/>
        <w:rPr>
          <w:color w:val="auto"/>
          <w:sz w:val="24"/>
          <w:szCs w:val="24"/>
          <w:highlight w:val="none"/>
        </w:rPr>
      </w:pPr>
      <w:r>
        <w:rPr>
          <w:rFonts w:hint="eastAsia"/>
          <w:color w:val="auto"/>
          <w:sz w:val="24"/>
          <w:szCs w:val="24"/>
          <w:highlight w:val="none"/>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零售业（采购文件中明确的所属行业）</w:t>
      </w:r>
      <w:r>
        <w:rPr>
          <w:rFonts w:hint="eastAsia"/>
          <w:color w:val="auto"/>
          <w:sz w:val="24"/>
          <w:szCs w:val="24"/>
          <w:highlight w:val="none"/>
        </w:rPr>
        <w:t>行业；制造商为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lang w:val="en-US"/>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（中型企业、小型企业、微型企业）</w:t>
      </w:r>
      <w:r>
        <w:rPr>
          <w:rFonts w:hint="eastAsia"/>
          <w:color w:val="auto"/>
          <w:sz w:val="24"/>
          <w:szCs w:val="24"/>
          <w:highlight w:val="none"/>
        </w:rPr>
        <w:t xml:space="preserve">； </w:t>
      </w:r>
    </w:p>
    <w:p>
      <w:pPr>
        <w:ind w:firstLine="480" w:firstLineChars="200"/>
        <w:rPr>
          <w:color w:val="auto"/>
          <w:sz w:val="24"/>
          <w:szCs w:val="24"/>
          <w:highlight w:val="none"/>
        </w:rPr>
      </w:pPr>
      <w:r>
        <w:rPr>
          <w:rFonts w:hint="eastAsia"/>
          <w:color w:val="auto"/>
          <w:sz w:val="24"/>
          <w:szCs w:val="24"/>
          <w:highlight w:val="none"/>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行业；制造商为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（中型企业、小型企业、微型企业）；</w:t>
      </w:r>
      <w:r>
        <w:rPr>
          <w:rFonts w:hint="eastAsia"/>
          <w:color w:val="auto"/>
          <w:sz w:val="24"/>
          <w:szCs w:val="24"/>
          <w:highlight w:val="none"/>
        </w:rPr>
        <w:t xml:space="preserve"> </w:t>
      </w:r>
    </w:p>
    <w:p>
      <w:pPr>
        <w:rPr>
          <w:color w:val="auto"/>
          <w:sz w:val="24"/>
          <w:szCs w:val="24"/>
          <w:highlight w:val="none"/>
        </w:rPr>
      </w:pPr>
      <w:r>
        <w:rPr>
          <w:rFonts w:hint="eastAsia"/>
          <w:color w:val="auto"/>
          <w:sz w:val="24"/>
          <w:szCs w:val="24"/>
          <w:highlight w:val="none"/>
        </w:rPr>
        <w:t>……</w:t>
      </w:r>
    </w:p>
    <w:p>
      <w:pPr>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pPr>
        <w:ind w:firstLine="480" w:firstLineChars="200"/>
        <w:rPr>
          <w:color w:val="auto"/>
          <w:sz w:val="24"/>
          <w:szCs w:val="24"/>
          <w:highlight w:val="none"/>
        </w:rPr>
      </w:pPr>
      <w:r>
        <w:rPr>
          <w:rFonts w:hint="eastAsia"/>
          <w:color w:val="auto"/>
          <w:sz w:val="24"/>
          <w:szCs w:val="24"/>
          <w:highlight w:val="none"/>
        </w:rPr>
        <w:t>本企业对上述声明内容的真实性负责。如有虚假，将依 法承担相应责任。</w:t>
      </w:r>
    </w:p>
    <w:p>
      <w:pPr>
        <w:ind w:firstLine="3840" w:firstLineChars="1600"/>
        <w:rPr>
          <w:color w:val="auto"/>
          <w:sz w:val="24"/>
          <w:szCs w:val="24"/>
          <w:highlight w:val="none"/>
        </w:rPr>
      </w:pPr>
      <w:r>
        <w:rPr>
          <w:rFonts w:hint="eastAsia"/>
          <w:color w:val="auto"/>
          <w:sz w:val="24"/>
          <w:szCs w:val="24"/>
          <w:highlight w:val="none"/>
        </w:rPr>
        <w:t xml:space="preserve">企业名称（盖章）： </w:t>
      </w:r>
    </w:p>
    <w:p>
      <w:pPr>
        <w:spacing w:line="360" w:lineRule="auto"/>
        <w:ind w:firstLine="5040" w:firstLineChars="2100"/>
        <w:jc w:val="both"/>
        <w:rPr>
          <w:color w:val="auto"/>
          <w:sz w:val="24"/>
          <w:szCs w:val="24"/>
          <w:highlight w:val="none"/>
        </w:rPr>
      </w:pPr>
      <w:r>
        <w:rPr>
          <w:rFonts w:hint="eastAsia"/>
          <w:color w:val="auto"/>
          <w:sz w:val="24"/>
          <w:szCs w:val="24"/>
          <w:highlight w:val="none"/>
        </w:rPr>
        <w:t>日 期：</w:t>
      </w:r>
    </w:p>
    <w:p>
      <w:pPr>
        <w:spacing w:line="360" w:lineRule="auto"/>
        <w:jc w:val="both"/>
        <w:rPr>
          <w:color w:val="auto"/>
          <w:sz w:val="24"/>
          <w:highlight w:val="none"/>
        </w:rPr>
      </w:pPr>
    </w:p>
    <w:p>
      <w:pPr>
        <w:rPr>
          <w:color w:val="auto"/>
          <w:highlight w:val="none"/>
        </w:rPr>
      </w:pPr>
    </w:p>
    <w:p>
      <w:pPr>
        <w:autoSpaceDE/>
        <w:autoSpaceDN/>
        <w:spacing w:line="360" w:lineRule="auto"/>
        <w:ind w:firstLine="440" w:firstLineChars="200"/>
        <w:rPr>
          <w:rFonts w:ascii="Times New Roman" w:hAnsi="Times New Roman" w:cs="Times New Roman"/>
          <w:color w:val="auto"/>
          <w:highlight w:val="none"/>
          <w:lang w:val="en-US"/>
        </w:rPr>
      </w:pPr>
      <w:r>
        <w:rPr>
          <w:rFonts w:hint="eastAsia" w:ascii="Times New Roman" w:hAnsi="Times New Roman" w:cs="Times New Roman"/>
          <w:color w:val="auto"/>
          <w:highlight w:val="none"/>
          <w:lang w:val="en-US"/>
        </w:rPr>
        <w:t>注：1.从业人员、营业收入、资产总额填报上一年度数据，无上一年度数据的新成立企业可不填报。</w:t>
      </w:r>
    </w:p>
    <w:p>
      <w:pPr>
        <w:autoSpaceDE/>
        <w:autoSpaceDN/>
        <w:spacing w:line="360" w:lineRule="auto"/>
        <w:ind w:firstLine="440" w:firstLineChars="200"/>
        <w:rPr>
          <w:rFonts w:ascii="Times New Roman" w:hAnsi="Times New Roman" w:cs="Times New Roman"/>
          <w:color w:val="auto"/>
          <w:highlight w:val="none"/>
          <w:lang w:val="en-US"/>
        </w:rPr>
      </w:pPr>
      <w:r>
        <w:rPr>
          <w:rFonts w:hint="eastAsia" w:ascii="Times New Roman" w:hAnsi="Times New Roman" w:cs="Times New Roman"/>
          <w:color w:val="auto"/>
          <w:highlight w:val="none"/>
          <w:lang w:val="en-US"/>
        </w:rPr>
        <w:t>2.本项目如是只面向中小企业采购的应当必须提供。</w:t>
      </w: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pStyle w:val="27"/>
        <w:ind w:firstLine="220"/>
        <w:rPr>
          <w:color w:val="auto"/>
          <w:highlight w:val="none"/>
        </w:rPr>
      </w:pPr>
    </w:p>
    <w:p>
      <w:pPr>
        <w:rPr>
          <w:color w:val="auto"/>
          <w:highlight w:val="none"/>
        </w:rPr>
      </w:pPr>
      <w:r>
        <w:rPr>
          <w:color w:val="auto"/>
          <w:highlight w:val="none"/>
        </w:rPr>
        <w:br w:type="page"/>
      </w:r>
    </w:p>
    <w:p>
      <w:pPr>
        <w:pStyle w:val="27"/>
        <w:ind w:firstLine="220"/>
        <w:rPr>
          <w:color w:val="auto"/>
          <w:highlight w:val="none"/>
        </w:rPr>
      </w:pPr>
    </w:p>
    <w:p>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rPr>
        <w:t>10</w:t>
      </w:r>
      <w:r>
        <w:rPr>
          <w:rFonts w:hint="eastAsia" w:cs="黑体" w:asciiTheme="minorEastAsia" w:hAnsiTheme="minorEastAsia" w:eastAsiaTheme="minorEastAsia"/>
          <w:color w:val="auto"/>
          <w:sz w:val="28"/>
          <w:szCs w:val="28"/>
          <w:highlight w:val="none"/>
        </w:rPr>
        <w:t>：</w:t>
      </w:r>
    </w:p>
    <w:p>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jc w:val="center"/>
        <w:rPr>
          <w:color w:val="auto"/>
          <w:sz w:val="24"/>
          <w:highlight w:val="none"/>
        </w:rPr>
      </w:pPr>
      <w:r>
        <w:rPr>
          <w:rFonts w:hint="eastAsia"/>
          <w:color w:val="auto"/>
          <w:sz w:val="24"/>
          <w:highlight w:val="none"/>
        </w:rPr>
        <w:t>（投标人可自行制作格式，附产品技术彩页和相关证书资料）</w:t>
      </w:r>
    </w:p>
    <w:p>
      <w:pPr>
        <w:jc w:val="center"/>
        <w:rPr>
          <w:color w:val="auto"/>
          <w:sz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rPr>
      </w:pPr>
    </w:p>
    <w:p>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rPr>
        <w:t>11</w:t>
      </w:r>
      <w:r>
        <w:rPr>
          <w:rFonts w:hint="eastAsia" w:cs="黑体" w:asciiTheme="minorEastAsia" w:hAnsiTheme="minorEastAsia" w:eastAsiaTheme="minorEastAsia"/>
          <w:color w:val="auto"/>
          <w:sz w:val="28"/>
          <w:szCs w:val="28"/>
          <w:highlight w:val="none"/>
        </w:rPr>
        <w:t>：</w:t>
      </w:r>
    </w:p>
    <w:p>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（十一）撞自或与与采购人串通或接受采购人要求，在履约合同中通过减少货物数量，更换品牌、降低配置、技术要求、质量和服务标准等，却仍按原合同进行虚假验收或终止政府采购合同;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法人代表和授权委托人：（签章）</w:t>
      </w:r>
    </w:p>
    <w:p>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pPr>
        <w:pStyle w:val="40"/>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pPr>
        <w:pStyle w:val="40"/>
        <w:adjustRightInd w:val="0"/>
        <w:spacing w:line="360" w:lineRule="auto"/>
        <w:ind w:firstLine="1440" w:firstLineChars="600"/>
        <w:rPr>
          <w:rFonts w:asciiTheme="minorEastAsia" w:hAnsiTheme="minorEastAsia" w:eastAsiaTheme="minorEastAsia"/>
          <w:color w:val="auto"/>
          <w:sz w:val="24"/>
          <w:szCs w:val="24"/>
          <w:highlight w:val="none"/>
        </w:rPr>
      </w:pPr>
    </w:p>
    <w:p>
      <w:pPr>
        <w:rPr>
          <w:rFonts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pPr>
        <w:pStyle w:val="4"/>
        <w:spacing w:before="0" w:line="500" w:lineRule="exact"/>
        <w:rPr>
          <w:rFonts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color w:val="auto"/>
          <w:highlight w:val="none"/>
          <w:lang w:val="en-US"/>
        </w:rPr>
        <w:t>第六部分  周口市政府采购合同（货物类）标准文本</w:t>
      </w:r>
    </w:p>
    <w:p>
      <w:pPr>
        <w:rPr>
          <w:rFonts w:ascii="黑体" w:hAnsi="黑体" w:eastAsia="黑体" w:cs="黑体"/>
          <w:color w:val="auto"/>
          <w:sz w:val="32"/>
          <w:szCs w:val="32"/>
          <w:highlight w:val="none"/>
          <w:lang w:val="en-US"/>
        </w:rPr>
      </w:pPr>
    </w:p>
    <w:p>
      <w:pPr>
        <w:pStyle w:val="43"/>
        <w:spacing w:beforeLines="0" w:afterLines="0"/>
        <w:ind w:left="0"/>
        <w:rPr>
          <w:rFonts w:ascii="黑体" w:hAnsi="黑体" w:eastAsia="黑体" w:cs="黑体"/>
          <w:color w:val="auto"/>
          <w:sz w:val="32"/>
          <w:szCs w:val="32"/>
          <w:highlight w:val="none"/>
          <w:lang w:val="en-US"/>
        </w:rPr>
      </w:pPr>
    </w:p>
    <w:p>
      <w:pPr>
        <w:pStyle w:val="43"/>
        <w:spacing w:beforeLines="0" w:afterLines="0"/>
        <w:ind w:left="0"/>
        <w:rPr>
          <w:rFonts w:ascii="黑体" w:hAnsi="黑体" w:eastAsia="黑体" w:cs="黑体"/>
          <w:color w:val="auto"/>
          <w:sz w:val="32"/>
          <w:szCs w:val="32"/>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pPr>
        <w:pStyle w:val="43"/>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rPr>
          <w:rFonts w:ascii="黑体" w:hAnsi="黑体" w:eastAsia="黑体" w:cs="黑体"/>
          <w:color w:val="auto"/>
          <w:sz w:val="30"/>
          <w:szCs w:val="30"/>
          <w:highlight w:val="none"/>
          <w:lang w:val="en-US"/>
        </w:rPr>
      </w:pPr>
    </w:p>
    <w:p>
      <w:pPr>
        <w:pStyle w:val="43"/>
        <w:spacing w:beforeLines="0" w:afterLines="0"/>
        <w:ind w:left="0"/>
        <w:jc w:val="center"/>
        <w:rPr>
          <w:rFonts w:ascii="方正小标宋简体" w:eastAsia="方正小标宋简体"/>
          <w:color w:val="auto"/>
          <w:sz w:val="32"/>
          <w:szCs w:val="32"/>
          <w:highlight w:val="none"/>
        </w:rPr>
      </w:pPr>
    </w:p>
    <w:p>
      <w:pPr>
        <w:pStyle w:val="43"/>
        <w:spacing w:beforeLines="0" w:afterLines="0" w:line="460" w:lineRule="exact"/>
        <w:ind w:left="0"/>
        <w:jc w:val="center"/>
        <w:rPr>
          <w:rFonts w:ascii="方正小标宋简体" w:eastAsia="方正小标宋简体"/>
          <w:color w:val="auto"/>
          <w:sz w:val="32"/>
          <w:szCs w:val="32"/>
          <w:highlight w:val="none"/>
        </w:rPr>
      </w:pPr>
    </w:p>
    <w:p>
      <w:pPr>
        <w:pStyle w:val="43"/>
        <w:spacing w:beforeLines="0" w:afterLines="0" w:line="460" w:lineRule="exact"/>
        <w:ind w:left="0"/>
        <w:jc w:val="center"/>
        <w:rPr>
          <w:rFonts w:ascii="方正小标宋简体" w:eastAsia="方正小标宋简体"/>
          <w:color w:val="auto"/>
          <w:sz w:val="32"/>
          <w:szCs w:val="32"/>
          <w:highlight w:val="none"/>
        </w:rPr>
      </w:pPr>
    </w:p>
    <w:p>
      <w:pPr>
        <w:pStyle w:val="43"/>
        <w:spacing w:beforeLines="0" w:afterLines="0" w:line="460" w:lineRule="exact"/>
        <w:ind w:left="0"/>
        <w:jc w:val="center"/>
        <w:rPr>
          <w:rFonts w:ascii="方正小标宋简体" w:eastAsia="方正小标宋简体"/>
          <w:color w:val="auto"/>
          <w:sz w:val="32"/>
          <w:szCs w:val="32"/>
          <w:highlight w:val="none"/>
        </w:rPr>
      </w:pPr>
    </w:p>
    <w:p>
      <w:pPr>
        <w:pStyle w:val="43"/>
        <w:spacing w:beforeLines="0" w:afterLines="0" w:line="460" w:lineRule="exact"/>
        <w:ind w:left="0"/>
        <w:jc w:val="center"/>
        <w:rPr>
          <w:rFonts w:ascii="方正小标宋简体" w:eastAsia="方正小标宋简体"/>
          <w:color w:val="auto"/>
          <w:sz w:val="32"/>
          <w:szCs w:val="32"/>
          <w:highlight w:val="none"/>
        </w:rPr>
      </w:pPr>
    </w:p>
    <w:p>
      <w:pPr>
        <w:pStyle w:val="43"/>
        <w:spacing w:beforeLines="0" w:afterLines="0" w:line="460" w:lineRule="exact"/>
        <w:ind w:left="0"/>
        <w:jc w:val="center"/>
        <w:rPr>
          <w:rFonts w:ascii="方正小标宋简体" w:eastAsia="方正小标宋简体"/>
          <w:color w:val="auto"/>
          <w:sz w:val="32"/>
          <w:szCs w:val="32"/>
          <w:highlight w:val="none"/>
        </w:rPr>
      </w:pPr>
    </w:p>
    <w:p>
      <w:pP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br w:type="page"/>
      </w:r>
    </w:p>
    <w:p>
      <w:pPr>
        <w:pStyle w:val="43"/>
        <w:spacing w:beforeLines="0" w:afterLines="0" w:line="46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pPr>
        <w:pStyle w:val="43"/>
        <w:spacing w:beforeLines="0" w:afterLines="0" w:line="460" w:lineRule="exact"/>
        <w:ind w:left="0" w:firstLine="420" w:firstLineChars="200"/>
        <w:jc w:val="both"/>
        <w:rPr>
          <w:color w:val="auto"/>
          <w:sz w:val="21"/>
          <w:szCs w:val="21"/>
          <w:highlight w:val="none"/>
        </w:rPr>
      </w:pPr>
    </w:p>
    <w:p>
      <w:pPr>
        <w:pStyle w:val="43"/>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pPr>
        <w:pStyle w:val="43"/>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pPr>
        <w:pStyle w:val="43"/>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43"/>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pPr>
        <w:pStyle w:val="43"/>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pPr>
        <w:pStyle w:val="43"/>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43"/>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pPr>
        <w:pStyle w:val="43"/>
        <w:spacing w:beforeLines="0" w:afterLines="0" w:line="460" w:lineRule="exact"/>
        <w:ind w:left="0" w:firstLine="640" w:firstLineChars="200"/>
        <w:jc w:val="center"/>
        <w:rPr>
          <w:rFonts w:ascii="方正小标宋简体" w:eastAsia="方正小标宋简体"/>
          <w:bCs/>
          <w:color w:val="auto"/>
          <w:sz w:val="32"/>
          <w:szCs w:val="32"/>
          <w:highlight w:val="none"/>
        </w:rPr>
      </w:pPr>
    </w:p>
    <w:p>
      <w:pPr>
        <w:spacing w:line="460" w:lineRule="auto"/>
        <w:ind w:firstLine="640"/>
        <w:jc w:val="center"/>
        <w:rPr>
          <w:rFonts w:ascii="方正小标宋简体" w:hAnsi="方正小标宋简体" w:eastAsia="方正小标宋简体" w:cs="方正小标宋简体"/>
          <w:color w:val="auto"/>
          <w:sz w:val="32"/>
          <w:highlight w:val="none"/>
        </w:rPr>
      </w:pPr>
      <w:r>
        <w:rPr>
          <w:color w:val="auto"/>
          <w:sz w:val="32"/>
          <w:highlight w:val="none"/>
        </w:rPr>
        <w:t>供应商履约验收指引</w:t>
      </w:r>
    </w:p>
    <w:p>
      <w:pPr>
        <w:numPr>
          <w:ilvl w:val="0"/>
          <w:numId w:val="21"/>
        </w:numPr>
        <w:spacing w:line="460" w:lineRule="auto"/>
        <w:ind w:firstLine="420"/>
        <w:rPr>
          <w:rFonts w:ascii="Times New Roman" w:hAnsi="Times New Roman" w:eastAsia="Times New Roman" w:cs="Times New Roman"/>
          <w:color w:val="auto"/>
          <w:highlight w:val="none"/>
        </w:rPr>
      </w:pPr>
      <w:r>
        <w:rPr>
          <w:color w:val="auto"/>
          <w:highlight w:val="none"/>
        </w:rPr>
        <w:t>供应商不得擅自变更合同标的物内容；</w:t>
      </w:r>
    </w:p>
    <w:p>
      <w:pPr>
        <w:spacing w:line="460" w:lineRule="auto"/>
        <w:ind w:firstLine="420"/>
        <w:rPr>
          <w:color w:val="auto"/>
          <w:highlight w:val="none"/>
        </w:rPr>
      </w:pPr>
      <w:r>
        <w:rPr>
          <w:color w:val="auto"/>
          <w:highlight w:val="none"/>
        </w:rPr>
        <w:t>2、不得以次充好、高投低配，</w:t>
      </w:r>
      <w:r>
        <w:rPr>
          <w:rFonts w:hint="eastAsia"/>
          <w:color w:val="auto"/>
          <w:highlight w:val="none"/>
        </w:rPr>
        <w:t>供应商在投标文件里需对此单独做出书面保证。</w:t>
      </w:r>
    </w:p>
    <w:p>
      <w:pPr>
        <w:spacing w:line="460" w:lineRule="auto"/>
        <w:ind w:firstLine="420"/>
        <w:rPr>
          <w:color w:val="auto"/>
          <w:highlight w:val="none"/>
        </w:rPr>
      </w:pPr>
      <w:r>
        <w:rPr>
          <w:color w:val="auto"/>
          <w:highlight w:val="none"/>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color w:val="auto"/>
          <w:highlight w:val="none"/>
        </w:rPr>
        <w:t>、在满足验收条件</w:t>
      </w:r>
      <w:r>
        <w:rPr>
          <w:rFonts w:ascii="Times New Roman" w:hAnsi="Times New Roman" w:eastAsia="Times New Roman" w:cs="Times New Roman"/>
          <w:color w:val="auto"/>
          <w:highlight w:val="none"/>
        </w:rPr>
        <w:t>5</w:t>
      </w:r>
      <w:r>
        <w:rPr>
          <w:color w:val="auto"/>
          <w:highlight w:val="none"/>
        </w:rPr>
        <w:t>个工作日内通知采购人组织验收；</w:t>
      </w:r>
    </w:p>
    <w:p>
      <w:pPr>
        <w:spacing w:line="460" w:lineRule="auto"/>
        <w:ind w:firstLine="420"/>
        <w:rPr>
          <w:color w:val="auto"/>
          <w:highlight w:val="none"/>
        </w:rPr>
      </w:pPr>
      <w:r>
        <w:rPr>
          <w:rFonts w:ascii="Times New Roman" w:hAnsi="Times New Roman" w:eastAsia="Times New Roman" w:cs="Times New Roman"/>
          <w:color w:val="auto"/>
          <w:highlight w:val="none"/>
        </w:rPr>
        <w:t>5</w:t>
      </w:r>
      <w:r>
        <w:rPr>
          <w:color w:val="auto"/>
          <w:highlight w:val="none"/>
        </w:rPr>
        <w:t>、供应商应提供需验收物品的清单、参数、使用手册、人员培训情况等资料；</w:t>
      </w:r>
    </w:p>
    <w:p>
      <w:pPr>
        <w:spacing w:line="460" w:lineRule="auto"/>
        <w:ind w:firstLine="420"/>
        <w:rPr>
          <w:color w:val="auto"/>
          <w:highlight w:val="none"/>
        </w:rPr>
      </w:pPr>
      <w:r>
        <w:rPr>
          <w:color w:val="auto"/>
          <w:highlight w:val="none"/>
        </w:rPr>
        <w:t>6、采、供双方约定的验收机构及相关人员组成情况。</w:t>
      </w:r>
    </w:p>
    <w:p>
      <w:pPr>
        <w:spacing w:line="460" w:lineRule="auto"/>
        <w:ind w:firstLine="420"/>
        <w:rPr>
          <w:rFonts w:ascii="Times New Roman" w:hAnsi="Times New Roman" w:eastAsia="Times New Roman" w:cs="Times New Roman"/>
          <w:color w:val="auto"/>
          <w:highlight w:val="none"/>
        </w:rPr>
      </w:pPr>
      <w:r>
        <w:rPr>
          <w:color w:val="auto"/>
          <w:highlight w:val="none"/>
        </w:rPr>
        <w:t>7、督促采购人在项目验收结束并达到相关要求后一个工作日内，在“周口市政府采购网”上进行“履约验收”公示。</w:t>
      </w:r>
    </w:p>
    <w:p>
      <w:pPr>
        <w:rPr>
          <w:color w:val="auto"/>
          <w:sz w:val="28"/>
          <w:highlight w:val="none"/>
        </w:rPr>
      </w:pPr>
      <w:r>
        <w:rPr>
          <w:color w:val="auto"/>
          <w:sz w:val="28"/>
          <w:highlight w:val="none"/>
        </w:rPr>
        <w:br w:type="page"/>
      </w:r>
    </w:p>
    <w:p>
      <w:pPr>
        <w:spacing w:line="520" w:lineRule="auto"/>
        <w:jc w:val="center"/>
        <w:rPr>
          <w:rFonts w:ascii="方正小标宋简体" w:hAnsi="方正小标宋简体" w:eastAsia="方正小标宋简体" w:cs="方正小标宋简体"/>
          <w:color w:val="auto"/>
          <w:sz w:val="28"/>
          <w:highlight w:val="none"/>
        </w:rPr>
      </w:pPr>
      <w:r>
        <w:rPr>
          <w:color w:val="auto"/>
          <w:sz w:val="28"/>
          <w:highlight w:val="none"/>
        </w:rPr>
        <w:t>采购合同内容</w:t>
      </w:r>
    </w:p>
    <w:p>
      <w:pPr>
        <w:spacing w:line="520" w:lineRule="auto"/>
        <w:ind w:firstLine="420"/>
        <w:rPr>
          <w:rFonts w:ascii="Times New Roman" w:hAnsi="Times New Roman" w:eastAsia="Times New Roman" w:cs="Times New Roman"/>
          <w:color w:val="auto"/>
          <w:highlight w:val="none"/>
        </w:rPr>
      </w:pPr>
    </w:p>
    <w:p>
      <w:pPr>
        <w:spacing w:line="360" w:lineRule="auto"/>
        <w:ind w:firstLine="420"/>
        <w:rPr>
          <w:rFonts w:ascii="Times New Roman" w:hAnsi="Times New Roman" w:eastAsia="Times New Roman" w:cs="Times New Roman"/>
          <w:color w:val="auto"/>
          <w:highlight w:val="none"/>
          <w:u w:val="single"/>
        </w:rPr>
      </w:pPr>
      <w:r>
        <w:rPr>
          <w:color w:val="auto"/>
          <w:highlight w:val="none"/>
        </w:rPr>
        <w:t>采购人（甲方）：</w:t>
      </w:r>
      <w:r>
        <w:rPr>
          <w:rFonts w:ascii="Times New Roman" w:hAnsi="Times New Roman" w:eastAsia="Times New Roman" w:cs="Times New Roman"/>
          <w:color w:val="auto"/>
          <w:highlight w:val="none"/>
        </w:rPr>
        <w:t xml:space="preserve"> </w:t>
      </w:r>
    </w:p>
    <w:p>
      <w:pPr>
        <w:spacing w:line="360" w:lineRule="auto"/>
        <w:ind w:firstLine="420"/>
        <w:rPr>
          <w:rFonts w:ascii="Times New Roman" w:hAnsi="Times New Roman" w:eastAsia="Times New Roman" w:cs="Times New Roman"/>
          <w:color w:val="auto"/>
          <w:highlight w:val="none"/>
        </w:rPr>
      </w:pPr>
      <w:r>
        <w:rPr>
          <w:color w:val="auto"/>
          <w:highlight w:val="none"/>
        </w:rPr>
        <w:t>供应商（乙方）：</w:t>
      </w:r>
    </w:p>
    <w:p>
      <w:pPr>
        <w:spacing w:line="360" w:lineRule="auto"/>
        <w:ind w:firstLine="420"/>
        <w:rPr>
          <w:rFonts w:ascii="Times New Roman" w:hAnsi="Times New Roman" w:eastAsia="Times New Roman" w:cs="Times New Roman"/>
          <w:color w:val="auto"/>
          <w:highlight w:val="none"/>
          <w:u w:val="single"/>
        </w:rPr>
      </w:pPr>
      <w:r>
        <w:rPr>
          <w:color w:val="auto"/>
          <w:highlight w:val="none"/>
        </w:rPr>
        <w:t>签订地点：</w:t>
      </w:r>
    </w:p>
    <w:p>
      <w:pPr>
        <w:spacing w:line="360" w:lineRule="auto"/>
        <w:ind w:firstLine="420"/>
        <w:rPr>
          <w:rFonts w:ascii="Times New Roman" w:hAnsi="Times New Roman" w:eastAsia="Times New Roman" w:cs="Times New Roman"/>
          <w:color w:val="auto"/>
          <w:highlight w:val="none"/>
          <w:u w:val="single"/>
        </w:rPr>
      </w:pPr>
      <w:r>
        <w:rPr>
          <w:color w:val="auto"/>
          <w:highlight w:val="none"/>
        </w:rPr>
        <w:t>项目名称：</w:t>
      </w:r>
    </w:p>
    <w:p>
      <w:pPr>
        <w:spacing w:line="360" w:lineRule="auto"/>
        <w:ind w:firstLine="420"/>
        <w:rPr>
          <w:rFonts w:ascii="Times New Roman" w:hAnsi="Times New Roman" w:eastAsia="Times New Roman" w:cs="Times New Roman"/>
          <w:color w:val="auto"/>
          <w:highlight w:val="none"/>
          <w:u w:val="single"/>
        </w:rPr>
      </w:pPr>
      <w:r>
        <w:rPr>
          <w:color w:val="auto"/>
          <w:highlight w:val="none"/>
        </w:rPr>
        <w:t>项目编号：</w:t>
      </w:r>
    </w:p>
    <w:p>
      <w:pPr>
        <w:spacing w:line="360" w:lineRule="auto"/>
        <w:ind w:firstLine="420"/>
        <w:rPr>
          <w:rFonts w:ascii="Times New Roman" w:hAnsi="Times New Roman" w:eastAsia="Times New Roman" w:cs="Times New Roman"/>
          <w:color w:val="auto"/>
          <w:highlight w:val="none"/>
        </w:rPr>
      </w:pPr>
      <w:r>
        <w:rPr>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color w:val="auto"/>
          <w:highlight w:val="none"/>
        </w:rPr>
        <w:t>财政资金项目必须填写</w:t>
      </w:r>
      <w:r>
        <w:rPr>
          <w:rFonts w:ascii="Times New Roman" w:hAnsi="Times New Roman" w:eastAsia="Times New Roman" w:cs="Times New Roman"/>
          <w:color w:val="auto"/>
          <w:highlight w:val="none"/>
        </w:rPr>
        <w:t>)</w:t>
      </w:r>
    </w:p>
    <w:p>
      <w:pPr>
        <w:spacing w:line="360" w:lineRule="auto"/>
        <w:ind w:firstLine="420"/>
        <w:rPr>
          <w:rFonts w:ascii="Times New Roman" w:hAnsi="Times New Roman" w:eastAsia="Times New Roman" w:cs="Times New Roman"/>
          <w:color w:val="auto"/>
          <w:highlight w:val="none"/>
        </w:rPr>
      </w:pPr>
      <w:r>
        <w:rPr>
          <w:color w:val="auto"/>
          <w:highlight w:val="none"/>
        </w:rPr>
        <w:t>本项目经批准采用</w:t>
      </w:r>
      <w:r>
        <w:rPr>
          <w:rFonts w:ascii="Times New Roman" w:hAnsi="Times New Roman" w:eastAsia="Times New Roman" w:cs="Times New Roman"/>
          <w:color w:val="auto"/>
          <w:highlight w:val="none"/>
          <w:u w:val="single"/>
        </w:rPr>
        <w:t xml:space="preserve">           </w:t>
      </w:r>
      <w:r>
        <w:rPr>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rPr>
          <w:rFonts w:ascii="Times New Roman" w:hAnsi="Times New Roman" w:eastAsia="Times New Roman" w:cs="Times New Roman"/>
          <w:color w:val="auto"/>
          <w:highlight w:val="none"/>
          <w:u w:val="single"/>
        </w:rPr>
      </w:pPr>
      <w:r>
        <w:rPr>
          <w:b/>
          <w:color w:val="auto"/>
          <w:highlight w:val="none"/>
        </w:rPr>
        <w:t>第一条</w:t>
      </w:r>
      <w:r>
        <w:rPr>
          <w:color w:val="auto"/>
          <w:highlight w:val="none"/>
        </w:rPr>
        <w:t> </w:t>
      </w:r>
      <w:r>
        <w:rPr>
          <w:rFonts w:ascii="Times New Roman" w:hAnsi="Times New Roman" w:eastAsia="Times New Roman" w:cs="Times New Roman"/>
          <w:color w:val="auto"/>
          <w:highlight w:val="none"/>
        </w:rPr>
        <w:t xml:space="preserve">  </w:t>
      </w:r>
      <w:r>
        <w:rPr>
          <w:color w:val="auto"/>
          <w:highlight w:val="none"/>
        </w:rPr>
        <w:t>产品的名称、品种、规格、数量和价格：（若产品过多则见附表，如有附表则必须加盖印章）</w:t>
      </w:r>
    </w:p>
    <w:tbl>
      <w:tblPr>
        <w:tblStyle w:val="22"/>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r>
              <w:rPr>
                <w:color w:val="auto"/>
                <w:highlight w:val="none"/>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color w:val="auto"/>
                <w:highlight w:val="none"/>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color w:val="auto"/>
                <w:highlight w:val="none"/>
              </w:rPr>
            </w:pPr>
            <w:r>
              <w:rPr>
                <w:color w:val="auto"/>
                <w:highlight w:val="none"/>
              </w:rPr>
              <w:t>合同总价款（大小写）：</w:t>
            </w:r>
          </w:p>
          <w:p>
            <w:pPr>
              <w:spacing w:line="360" w:lineRule="auto"/>
              <w:ind w:firstLine="420"/>
              <w:rPr>
                <w:color w:val="auto"/>
                <w:highlight w:val="none"/>
              </w:rPr>
            </w:pPr>
            <w:r>
              <w:rPr>
                <w:color w:val="auto"/>
                <w:highlight w:val="none"/>
              </w:rPr>
              <w:t>备注：上述产品报价含产品生产、运输</w:t>
            </w:r>
            <w:r>
              <w:rPr>
                <w:rFonts w:ascii="Times New Roman" w:hAnsi="Times New Roman" w:eastAsia="Times New Roman" w:cs="Times New Roman"/>
                <w:color w:val="auto"/>
                <w:highlight w:val="none"/>
              </w:rPr>
              <w:t>&lt;</w:t>
            </w:r>
            <w:r>
              <w:rPr>
                <w:color w:val="auto"/>
                <w:highlight w:val="none"/>
              </w:rPr>
              <w:t>送达至甲方指定地点并下货</w:t>
            </w:r>
            <w:r>
              <w:rPr>
                <w:rFonts w:ascii="Times New Roman" w:hAnsi="Times New Roman" w:eastAsia="Times New Roman" w:cs="Times New Roman"/>
                <w:color w:val="auto"/>
                <w:highlight w:val="none"/>
              </w:rPr>
              <w:t>&gt;</w:t>
            </w:r>
            <w:r>
              <w:rPr>
                <w:color w:val="auto"/>
                <w:highlight w:val="none"/>
              </w:rPr>
              <w:t>、安装、调试、检验及售后服务、税金、劳保基金、人员培训等费用。</w:t>
            </w:r>
          </w:p>
        </w:tc>
      </w:tr>
    </w:tbl>
    <w:p>
      <w:pPr>
        <w:spacing w:line="360" w:lineRule="auto"/>
        <w:ind w:firstLine="422"/>
        <w:rPr>
          <w:rFonts w:ascii="Times New Roman" w:hAnsi="Times New Roman" w:eastAsia="Times New Roman" w:cs="Times New Roman"/>
          <w:color w:val="auto"/>
          <w:highlight w:val="none"/>
        </w:rPr>
      </w:pPr>
      <w:r>
        <w:rPr>
          <w:b/>
          <w:color w:val="auto"/>
          <w:highlight w:val="none"/>
        </w:rPr>
        <w:t>第二条</w:t>
      </w:r>
      <w:r>
        <w:rPr>
          <w:rFonts w:ascii="Times New Roman" w:hAnsi="Times New Roman" w:eastAsia="Times New Roman" w:cs="Times New Roman"/>
          <w:b/>
          <w:color w:val="auto"/>
          <w:highlight w:val="none"/>
        </w:rPr>
        <w:t xml:space="preserve">  </w:t>
      </w:r>
      <w:r>
        <w:rPr>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color w:val="auto"/>
          <w:highlight w:val="none"/>
        </w:rPr>
        <w:t>）项执行：</w:t>
      </w:r>
    </w:p>
    <w:p>
      <w:pPr>
        <w:spacing w:line="360" w:lineRule="auto"/>
        <w:ind w:firstLine="420"/>
        <w:rPr>
          <w:rFonts w:ascii="Times New Roman" w:hAnsi="Times New Roman" w:eastAsia="Times New Roman" w:cs="Times New Roman"/>
          <w:color w:val="auto"/>
          <w:highlight w:val="none"/>
        </w:rPr>
      </w:pPr>
      <w:r>
        <w:rPr>
          <w:color w:val="auto"/>
          <w:highlight w:val="none"/>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color w:val="auto"/>
          <w:highlight w:val="none"/>
        </w:rPr>
      </w:pPr>
      <w:r>
        <w:rPr>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color w:val="auto"/>
          <w:highlight w:val="none"/>
        </w:rPr>
      </w:pPr>
      <w:r>
        <w:rPr>
          <w:color w:val="auto"/>
          <w:highlight w:val="none"/>
        </w:rPr>
        <w:t>进口产品的质量标准为</w:t>
      </w:r>
      <w:r>
        <w:rPr>
          <w:rFonts w:ascii="Times New Roman" w:hAnsi="Times New Roman" w:eastAsia="Times New Roman" w:cs="Times New Roman"/>
          <w:color w:val="auto"/>
          <w:highlight w:val="none"/>
        </w:rPr>
        <w:t xml:space="preserve">                                             </w:t>
      </w:r>
      <w:r>
        <w:rPr>
          <w:color w:val="auto"/>
          <w:highlight w:val="none"/>
        </w:rPr>
        <w:t>。</w:t>
      </w:r>
    </w:p>
    <w:p>
      <w:pPr>
        <w:spacing w:line="360" w:lineRule="auto"/>
        <w:ind w:firstLine="420"/>
        <w:rPr>
          <w:rFonts w:ascii="Times New Roman" w:hAnsi="Times New Roman" w:eastAsia="Times New Roman" w:cs="Times New Roman"/>
          <w:color w:val="auto"/>
          <w:highlight w:val="none"/>
        </w:rPr>
      </w:pPr>
      <w:r>
        <w:rPr>
          <w:color w:val="auto"/>
          <w:highlight w:val="none"/>
        </w:rPr>
        <w:t>乙方所提供的货物应是全新、未使用过的，是完全符合以上质量标准的正品；</w:t>
      </w:r>
      <w:r>
        <w:rPr>
          <w:rFonts w:hint="eastAsia"/>
          <w:color w:val="auto"/>
          <w:highlight w:val="none"/>
        </w:rPr>
        <w:t>并完全符合强制性的国家技术质量规范和采购文件规定的质量、规格、性能和技术规范等的要求服务期限内确保号码不停机;须提供承诺，否则视为不响应谈判文件。</w:t>
      </w:r>
      <w:r>
        <w:rPr>
          <w:color w:val="auto"/>
          <w:highlight w:val="none"/>
        </w:rPr>
        <w:t>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color w:val="auto"/>
          <w:sz w:val="24"/>
          <w:highlight w:val="none"/>
        </w:rPr>
      </w:pPr>
      <w:r>
        <w:rPr>
          <w:b/>
          <w:color w:val="auto"/>
          <w:sz w:val="24"/>
          <w:highlight w:val="none"/>
        </w:rPr>
        <w:t>第三条</w:t>
      </w:r>
      <w:r>
        <w:rPr>
          <w:color w:val="auto"/>
          <w:sz w:val="24"/>
          <w:highlight w:val="none"/>
        </w:rPr>
        <w:t>产品的包装标准和包装物的供应与回收</w:t>
      </w:r>
      <w:r>
        <w:rPr>
          <w:color w:val="auto"/>
          <w:sz w:val="24"/>
          <w:highlight w:val="none"/>
          <w:u w:val="single"/>
        </w:rPr>
        <w:t xml:space="preserve">                 </w:t>
      </w:r>
      <w:r>
        <w:rPr>
          <w:color w:val="auto"/>
          <w:sz w:val="24"/>
          <w:highlight w:val="none"/>
        </w:rPr>
        <w:t>。</w:t>
      </w:r>
    </w:p>
    <w:p>
      <w:pPr>
        <w:spacing w:line="360" w:lineRule="auto"/>
        <w:ind w:firstLine="420"/>
        <w:rPr>
          <w:rFonts w:ascii="Times New Roman" w:hAnsi="Times New Roman" w:eastAsia="Times New Roman" w:cs="Times New Roman"/>
          <w:color w:val="auto"/>
          <w:highlight w:val="none"/>
        </w:rPr>
      </w:pPr>
      <w:r>
        <w:rPr>
          <w:color w:val="auto"/>
          <w:highlight w:val="none"/>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color w:val="auto"/>
          <w:highlight w:val="none"/>
        </w:rPr>
      </w:pPr>
      <w:r>
        <w:rPr>
          <w:color w:val="auto"/>
          <w:highlight w:val="none"/>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color w:val="auto"/>
          <w:highlight w:val="none"/>
        </w:rPr>
      </w:pPr>
      <w:r>
        <w:rPr>
          <w:b/>
          <w:color w:val="auto"/>
          <w:highlight w:val="none"/>
        </w:rPr>
        <w:t>第四条</w:t>
      </w:r>
      <w:r>
        <w:rPr>
          <w:rFonts w:ascii="Times New Roman" w:hAnsi="Times New Roman" w:eastAsia="Times New Roman" w:cs="Times New Roman"/>
          <w:b/>
          <w:color w:val="auto"/>
          <w:highlight w:val="none"/>
        </w:rPr>
        <w:t xml:space="preserve">  </w:t>
      </w:r>
      <w:r>
        <w:rPr>
          <w:color w:val="auto"/>
          <w:highlight w:val="none"/>
        </w:rPr>
        <w:t>产品的交货方法、到货地点和交货期限</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交货方法，按下列第（</w:t>
      </w:r>
      <w:r>
        <w:rPr>
          <w:rFonts w:ascii="Times New Roman" w:hAnsi="Times New Roman" w:eastAsia="Times New Roman" w:cs="Times New Roman"/>
          <w:color w:val="auto"/>
          <w:highlight w:val="none"/>
        </w:rPr>
        <w:t xml:space="preserve"> </w:t>
      </w:r>
      <w:r>
        <w:rPr>
          <w:color w:val="auto"/>
          <w:highlight w:val="none"/>
        </w:rPr>
        <w:t>）项执行：</w:t>
      </w:r>
    </w:p>
    <w:p>
      <w:pPr>
        <w:spacing w:line="360" w:lineRule="auto"/>
        <w:ind w:firstLine="420"/>
        <w:rPr>
          <w:rFonts w:ascii="Times New Roman" w:hAnsi="Times New Roman" w:eastAsia="Times New Roman" w:cs="Times New Roman"/>
          <w:color w:val="auto"/>
          <w:highlight w:val="none"/>
        </w:rPr>
      </w:pPr>
      <w:r>
        <w:rPr>
          <w:color w:val="auto"/>
          <w:highlight w:val="none"/>
        </w:rPr>
        <w:t>①乙方送货上门；②乙方代运；③甲方自提自运。</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到货地点：</w:t>
      </w:r>
      <w:r>
        <w:rPr>
          <w:rFonts w:ascii="Times New Roman" w:hAnsi="Times New Roman" w:eastAsia="Times New Roman" w:cs="Times New Roman"/>
          <w:color w:val="auto"/>
          <w:highlight w:val="none"/>
          <w:u w:val="single"/>
        </w:rPr>
        <w:t xml:space="preserve">                 (</w:t>
      </w:r>
      <w:r>
        <w:rPr>
          <w:color w:val="auto"/>
          <w:highlight w:val="none"/>
        </w:rPr>
        <w:t>甲方指定的任何地点，安装并调试</w:t>
      </w:r>
      <w:r>
        <w:rPr>
          <w:rFonts w:ascii="Times New Roman" w:hAnsi="Times New Roman" w:eastAsia="Times New Roman" w:cs="Times New Roman"/>
          <w:color w:val="auto"/>
          <w:highlight w:val="none"/>
        </w:rPr>
        <w:t>.)</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产品的交货期限</w:t>
      </w:r>
      <w:r>
        <w:rPr>
          <w:color w:val="auto"/>
          <w:highlight w:val="none"/>
          <w:u w:val="single"/>
        </w:rPr>
        <w:t>                         </w:t>
      </w:r>
      <w:r>
        <w:rPr>
          <w:color w:val="auto"/>
          <w:highlight w:val="none"/>
        </w:rPr>
        <w:t>。</w:t>
      </w:r>
    </w:p>
    <w:p>
      <w:pPr>
        <w:spacing w:line="360" w:lineRule="auto"/>
        <w:ind w:firstLine="422"/>
        <w:rPr>
          <w:rFonts w:ascii="Times New Roman" w:hAnsi="Times New Roman" w:eastAsia="Times New Roman" w:cs="Times New Roman"/>
          <w:color w:val="auto"/>
          <w:highlight w:val="none"/>
        </w:rPr>
      </w:pPr>
      <w:r>
        <w:rPr>
          <w:b/>
          <w:color w:val="auto"/>
          <w:highlight w:val="none"/>
        </w:rPr>
        <w:t>第五条</w:t>
      </w:r>
      <w:r>
        <w:rPr>
          <w:rFonts w:ascii="Times New Roman" w:hAnsi="Times New Roman" w:eastAsia="Times New Roman" w:cs="Times New Roman"/>
          <w:color w:val="auto"/>
          <w:highlight w:val="none"/>
        </w:rPr>
        <w:t xml:space="preserve">  </w:t>
      </w:r>
      <w:r>
        <w:rPr>
          <w:color w:val="auto"/>
          <w:highlight w:val="none"/>
        </w:rPr>
        <w:t>合同总价款</w:t>
      </w:r>
    </w:p>
    <w:p>
      <w:pPr>
        <w:spacing w:line="360" w:lineRule="auto"/>
        <w:ind w:firstLine="420"/>
        <w:rPr>
          <w:rFonts w:ascii="Times New Roman" w:hAnsi="Times New Roman" w:eastAsia="Times New Roman" w:cs="Times New Roman"/>
          <w:color w:val="auto"/>
          <w:highlight w:val="none"/>
          <w:u w:val="single"/>
        </w:rPr>
      </w:pPr>
      <w:r>
        <w:rPr>
          <w:color w:val="auto"/>
          <w:highlight w:val="none"/>
        </w:rPr>
        <w:t>合同总价款（大小写）：</w:t>
      </w:r>
      <w:r>
        <w:rPr>
          <w:rFonts w:ascii="Times New Roman" w:hAnsi="Times New Roman" w:eastAsia="Times New Roman" w:cs="Times New Roman"/>
          <w:color w:val="auto"/>
          <w:highlight w:val="none"/>
          <w:u w:val="single"/>
        </w:rPr>
        <w:t xml:space="preserve">                        </w:t>
      </w:r>
    </w:p>
    <w:p>
      <w:pPr>
        <w:numPr>
          <w:ilvl w:val="0"/>
          <w:numId w:val="22"/>
        </w:numPr>
        <w:tabs>
          <w:tab w:val="left" w:pos="1125"/>
        </w:tabs>
        <w:spacing w:line="360" w:lineRule="auto"/>
        <w:ind w:firstLine="420"/>
        <w:rPr>
          <w:rFonts w:ascii="Times New Roman" w:hAnsi="Times New Roman" w:eastAsia="Times New Roman" w:cs="Times New Roman"/>
          <w:color w:val="auto"/>
          <w:highlight w:val="none"/>
        </w:rPr>
      </w:pPr>
      <w:r>
        <w:rPr>
          <w:color w:val="auto"/>
          <w:highlight w:val="none"/>
        </w:rPr>
        <w:t>付款条件</w:t>
      </w:r>
      <w:r>
        <w:rPr>
          <w:rFonts w:ascii="Times New Roman" w:hAnsi="Times New Roman" w:eastAsia="Times New Roman" w:cs="Times New Roman"/>
          <w:color w:val="auto"/>
          <w:highlight w:val="none"/>
        </w:rPr>
        <w:t xml:space="preserve">                  </w:t>
      </w:r>
    </w:p>
    <w:p>
      <w:pPr>
        <w:spacing w:line="360" w:lineRule="auto"/>
        <w:ind w:firstLine="420"/>
        <w:rPr>
          <w:rFonts w:ascii="Times New Roman" w:hAnsi="Times New Roman" w:eastAsia="Times New Roman" w:cs="Times New Roman"/>
          <w:color w:val="auto"/>
          <w:highlight w:val="none"/>
        </w:rPr>
      </w:pPr>
      <w:r>
        <w:rPr>
          <w:color w:val="auto"/>
          <w:highlight w:val="none"/>
        </w:rPr>
        <w:t>本合同以人民币付款。</w:t>
      </w:r>
    </w:p>
    <w:p>
      <w:pPr>
        <w:spacing w:line="360" w:lineRule="auto"/>
        <w:ind w:firstLine="420"/>
        <w:rPr>
          <w:rFonts w:ascii="Times New Roman" w:hAnsi="Times New Roman" w:eastAsia="Times New Roman" w:cs="Times New Roman"/>
          <w:color w:val="auto"/>
          <w:highlight w:val="none"/>
        </w:rPr>
      </w:pPr>
      <w:r>
        <w:rPr>
          <w:color w:val="auto"/>
          <w:highlight w:val="none"/>
        </w:rPr>
        <w:t>该项目是否实行预付款：</w:t>
      </w:r>
    </w:p>
    <w:p>
      <w:pPr>
        <w:spacing w:line="360" w:lineRule="auto"/>
        <w:ind w:firstLine="420"/>
        <w:rPr>
          <w:rFonts w:ascii="Times New Roman" w:hAnsi="Times New Roman" w:eastAsia="Times New Roman" w:cs="Times New Roman"/>
          <w:color w:val="auto"/>
          <w:highlight w:val="none"/>
        </w:rPr>
      </w:pPr>
      <w:r>
        <w:rPr>
          <w:color w:val="auto"/>
          <w:highlight w:val="none"/>
        </w:rPr>
        <w:t>实行预付款的条件和比例：</w:t>
      </w:r>
    </w:p>
    <w:p>
      <w:pPr>
        <w:spacing w:line="360" w:lineRule="auto"/>
        <w:ind w:firstLine="420"/>
        <w:rPr>
          <w:rFonts w:ascii="Times New Roman" w:hAnsi="Times New Roman" w:eastAsia="Times New Roman" w:cs="Times New Roman"/>
          <w:color w:val="auto"/>
          <w:highlight w:val="none"/>
        </w:rPr>
      </w:pPr>
      <w:r>
        <w:rPr>
          <w:color w:val="auto"/>
          <w:highlight w:val="none"/>
        </w:rPr>
        <w:t>合同款项结算方式和支付比例：</w:t>
      </w:r>
      <w:r>
        <w:rPr>
          <w:rFonts w:ascii="Times New Roman" w:hAnsi="Times New Roman" w:eastAsia="Times New Roman" w:cs="Times New Roman"/>
          <w:color w:val="auto"/>
          <w:highlight w:val="none"/>
        </w:rPr>
        <w:t xml:space="preserve">   </w:t>
      </w:r>
    </w:p>
    <w:p>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color w:val="auto"/>
          <w:highlight w:val="none"/>
        </w:rPr>
        <w:t>具体付款方式</w:t>
      </w:r>
      <w:r>
        <w:rPr>
          <w:color w:val="auto"/>
          <w:highlight w:val="none"/>
          <w:u w:val="single"/>
        </w:rPr>
        <w:t>按投标人须知前附表以及采、购双方的具体约定</w:t>
      </w:r>
    </w:p>
    <w:p>
      <w:pPr>
        <w:numPr>
          <w:ilvl w:val="0"/>
          <w:numId w:val="23"/>
        </w:numPr>
        <w:tabs>
          <w:tab w:val="left" w:pos="1125"/>
        </w:tabs>
        <w:spacing w:line="360" w:lineRule="auto"/>
        <w:ind w:firstLine="420"/>
        <w:rPr>
          <w:rFonts w:ascii="Times New Roman" w:hAnsi="Times New Roman" w:eastAsia="Times New Roman" w:cs="Times New Roman"/>
          <w:color w:val="auto"/>
          <w:highlight w:val="none"/>
        </w:rPr>
      </w:pPr>
      <w:r>
        <w:rPr>
          <w:color w:val="auto"/>
          <w:highlight w:val="none"/>
        </w:rPr>
        <w:t>验收方法</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乙方安装调试后，在</w:t>
      </w:r>
      <w:r>
        <w:rPr>
          <w:rFonts w:ascii="Times New Roman" w:hAnsi="Times New Roman" w:eastAsia="Times New Roman" w:cs="Times New Roman"/>
          <w:color w:val="auto"/>
          <w:highlight w:val="none"/>
        </w:rPr>
        <w:t xml:space="preserve">      </w:t>
      </w:r>
      <w:r>
        <w:rPr>
          <w:color w:val="auto"/>
          <w:highlight w:val="none"/>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甲方应承担项目验收的主体责任。</w:t>
      </w:r>
      <w:r>
        <w:rPr>
          <w:rFonts w:hint="eastAsia"/>
          <w:color w:val="auto"/>
          <w:sz w:val="24"/>
          <w:szCs w:val="27"/>
          <w:highlight w:val="none"/>
        </w:rPr>
        <w:t>供应商须保证如期完成供货，并协助采购人顺利完成验收工作，需在投标文件中承诺如期完成供货保证书。</w:t>
      </w:r>
      <w:r>
        <w:rPr>
          <w:color w:val="auto"/>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color w:val="auto"/>
          <w:highlight w:val="none"/>
        </w:rPr>
        <w:t>、甲方视情况可以邀请参加本项目的其他投标人或者第三方机构参与验收，参与验收的投标人或者第三方机构的意见作为验收书的参考资料一并存档。</w:t>
      </w:r>
      <w:r>
        <w:rPr>
          <w:rFonts w:hint="eastAsia"/>
          <w:color w:val="auto"/>
          <w:highlight w:val="none"/>
        </w:rPr>
        <w:t>乙方交货前对产品作出全面检查和对验收文件进行整理，并列出清单，作为甲方收货验收和使用的技术条件依据，检验的结果应随货物交甲方。投标人须提供一次性验收通过的承诺书，否则谈判文件将被拒绝。</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color w:val="auto"/>
          <w:highlight w:val="none"/>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color w:val="auto"/>
          <w:highlight w:val="none"/>
        </w:rPr>
      </w:pPr>
      <w:r>
        <w:rPr>
          <w:color w:val="auto"/>
          <w:highlight w:val="none"/>
        </w:rPr>
        <w:t>检测、验收费用承担方式：</w:t>
      </w:r>
    </w:p>
    <w:p>
      <w:pPr>
        <w:spacing w:line="360" w:lineRule="auto"/>
        <w:ind w:firstLine="422"/>
        <w:rPr>
          <w:rFonts w:ascii="Times New Roman" w:hAnsi="Times New Roman" w:eastAsia="Times New Roman" w:cs="Times New Roman"/>
          <w:color w:val="auto"/>
          <w:highlight w:val="none"/>
        </w:rPr>
      </w:pPr>
      <w:r>
        <w:rPr>
          <w:b/>
          <w:color w:val="auto"/>
          <w:highlight w:val="none"/>
        </w:rPr>
        <w:t>第八条 </w:t>
      </w:r>
      <w:r>
        <w:rPr>
          <w:rFonts w:ascii="Times New Roman" w:hAnsi="Times New Roman" w:eastAsia="Times New Roman" w:cs="Times New Roman"/>
          <w:color w:val="auto"/>
          <w:highlight w:val="none"/>
        </w:rPr>
        <w:t xml:space="preserve"> </w:t>
      </w:r>
      <w:r>
        <w:rPr>
          <w:color w:val="auto"/>
          <w:highlight w:val="none"/>
        </w:rPr>
        <w:t>对产品提出异议的时间和办法</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color w:val="auto"/>
          <w:highlight w:val="none"/>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甲方因使用、保管、保养不善等造成产品质量下降的，不得提出异议。</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color w:val="auto"/>
          <w:highlight w:val="none"/>
        </w:rPr>
        <w:t>工作日内负责处理，否则，即视为默认甲方提出的异议和处理意见。</w:t>
      </w:r>
    </w:p>
    <w:p>
      <w:pPr>
        <w:spacing w:line="360" w:lineRule="auto"/>
        <w:ind w:firstLine="422"/>
        <w:rPr>
          <w:rFonts w:ascii="Times New Roman" w:hAnsi="Times New Roman" w:eastAsia="Times New Roman" w:cs="Times New Roman"/>
          <w:color w:val="auto"/>
          <w:highlight w:val="none"/>
        </w:rPr>
      </w:pPr>
      <w:r>
        <w:rPr>
          <w:b/>
          <w:color w:val="auto"/>
          <w:highlight w:val="none"/>
        </w:rPr>
        <w:t>第九条</w:t>
      </w:r>
      <w:r>
        <w:rPr>
          <w:rFonts w:ascii="Times New Roman" w:hAnsi="Times New Roman" w:eastAsia="Times New Roman" w:cs="Times New Roman"/>
          <w:color w:val="auto"/>
          <w:highlight w:val="none"/>
        </w:rPr>
        <w:t xml:space="preserve">  </w:t>
      </w:r>
      <w:r>
        <w:rPr>
          <w:color w:val="auto"/>
          <w:highlight w:val="none"/>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保修</w:t>
      </w:r>
    </w:p>
    <w:p>
      <w:pPr>
        <w:spacing w:line="360" w:lineRule="auto"/>
        <w:ind w:firstLine="420"/>
        <w:rPr>
          <w:rFonts w:ascii="Times New Roman" w:hAnsi="Times New Roman" w:eastAsia="Times New Roman" w:cs="Times New Roman"/>
          <w:color w:val="auto"/>
          <w:highlight w:val="none"/>
        </w:rPr>
      </w:pPr>
      <w:r>
        <w:rPr>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color w:val="auto"/>
          <w:highlight w:val="none"/>
        </w:rPr>
        <w:t>年，保修期从</w:t>
      </w:r>
      <w:r>
        <w:rPr>
          <w:rFonts w:ascii="Times New Roman" w:hAnsi="Times New Roman" w:eastAsia="Times New Roman" w:cs="Times New Roman"/>
          <w:color w:val="auto"/>
          <w:highlight w:val="none"/>
          <w:u w:val="single"/>
        </w:rPr>
        <w:t xml:space="preserve">             </w:t>
      </w:r>
      <w:r>
        <w:rPr>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color w:val="auto"/>
          <w:highlight w:val="none"/>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color w:val="auto"/>
          <w:highlight w:val="none"/>
        </w:rPr>
      </w:pPr>
      <w:r>
        <w:rPr>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color w:val="auto"/>
          <w:highlight w:val="none"/>
        </w:rPr>
        <w:t>天内没有弥补缺陷，甲方可采取必要的补救措施，但费用和风险由乙方承担。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维修</w:t>
      </w:r>
    </w:p>
    <w:p>
      <w:pPr>
        <w:spacing w:after="120" w:line="360" w:lineRule="auto"/>
        <w:ind w:firstLine="420"/>
        <w:rPr>
          <w:rFonts w:ascii="Times New Roman" w:hAnsi="Times New Roman" w:eastAsia="Times New Roman" w:cs="Times New Roman"/>
          <w:color w:val="auto"/>
          <w:highlight w:val="none"/>
        </w:rPr>
      </w:pPr>
      <w:r>
        <w:rPr>
          <w:color w:val="auto"/>
          <w:highlight w:val="none"/>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color w:val="auto"/>
          <w:highlight w:val="none"/>
        </w:rPr>
      </w:pPr>
      <w:r>
        <w:rPr>
          <w:b/>
          <w:color w:val="auto"/>
          <w:highlight w:val="none"/>
        </w:rPr>
        <w:t>第十条</w:t>
      </w:r>
      <w:r>
        <w:rPr>
          <w:color w:val="auto"/>
          <w:highlight w:val="none"/>
        </w:rPr>
        <w:t> </w:t>
      </w:r>
      <w:r>
        <w:rPr>
          <w:rFonts w:ascii="Times New Roman" w:hAnsi="Times New Roman" w:eastAsia="Times New Roman" w:cs="Times New Roman"/>
          <w:color w:val="auto"/>
          <w:highlight w:val="none"/>
        </w:rPr>
        <w:t xml:space="preserve"> </w:t>
      </w:r>
      <w:r>
        <w:rPr>
          <w:color w:val="auto"/>
          <w:highlight w:val="none"/>
        </w:rPr>
        <w:t>乙方的违约责任</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乙方不能交货的，应向甲方偿付不能交货部分货款的</w:t>
      </w: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（通用产品的幅度为</w:t>
      </w:r>
      <w:r>
        <w:rPr>
          <w:rFonts w:ascii="Times New Roman" w:hAnsi="Times New Roman" w:eastAsia="Times New Roman" w:cs="Times New Roman"/>
          <w:color w:val="auto"/>
          <w:highlight w:val="none"/>
        </w:rPr>
        <w:t>1%</w:t>
      </w:r>
      <w:r>
        <w:rPr>
          <w:color w:val="auto"/>
          <w:highlight w:val="none"/>
        </w:rPr>
        <w:t>－</w:t>
      </w:r>
      <w:r>
        <w:rPr>
          <w:rFonts w:ascii="Times New Roman" w:hAnsi="Times New Roman" w:eastAsia="Times New Roman" w:cs="Times New Roman"/>
          <w:color w:val="auto"/>
          <w:highlight w:val="none"/>
        </w:rPr>
        <w:t>5%</w:t>
      </w:r>
      <w:r>
        <w:rPr>
          <w:color w:val="auto"/>
          <w:highlight w:val="none"/>
        </w:rPr>
        <w:t>，专用产品的幅度为</w:t>
      </w:r>
      <w:r>
        <w:rPr>
          <w:rFonts w:ascii="Times New Roman" w:hAnsi="Times New Roman" w:eastAsia="Times New Roman" w:cs="Times New Roman"/>
          <w:color w:val="auto"/>
          <w:highlight w:val="none"/>
        </w:rPr>
        <w:t>10%</w:t>
      </w:r>
      <w:r>
        <w:rPr>
          <w:color w:val="auto"/>
          <w:highlight w:val="none"/>
        </w:rPr>
        <w:t>－</w:t>
      </w:r>
      <w:r>
        <w:rPr>
          <w:rFonts w:ascii="Times New Roman" w:hAnsi="Times New Roman" w:eastAsia="Times New Roman" w:cs="Times New Roman"/>
          <w:color w:val="auto"/>
          <w:highlight w:val="none"/>
        </w:rPr>
        <w:t>30%</w:t>
      </w:r>
      <w:r>
        <w:rPr>
          <w:color w:val="auto"/>
          <w:highlight w:val="none"/>
        </w:rPr>
        <w:t>）的违约金。</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color w:val="auto"/>
          <w:highlight w:val="none"/>
        </w:rPr>
        <w:t>同时，乙方应按规定，对更换件相应延长质量保证期，并赔偿甲方相应的损失。乙方不能修理或者不能调换的，按不能交货处理。</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证，并附到响应文件中；</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40" w:firstLineChars="20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color w:val="auto"/>
          <w:highlight w:val="none"/>
        </w:rPr>
        <w:t>。一周按</w:t>
      </w:r>
      <w:r>
        <w:rPr>
          <w:rFonts w:ascii="Times New Roman" w:hAnsi="Times New Roman" w:eastAsia="Times New Roman" w:cs="Times New Roman"/>
          <w:color w:val="auto"/>
          <w:highlight w:val="none"/>
        </w:rPr>
        <w:t>7</w:t>
      </w:r>
      <w:r>
        <w:rPr>
          <w:color w:val="auto"/>
          <w:highlight w:val="none"/>
        </w:rPr>
        <w:t>天计算，不足</w:t>
      </w:r>
      <w:r>
        <w:rPr>
          <w:rFonts w:ascii="Times New Roman" w:hAnsi="Times New Roman" w:eastAsia="Times New Roman" w:cs="Times New Roman"/>
          <w:color w:val="auto"/>
          <w:highlight w:val="none"/>
        </w:rPr>
        <w:t>7</w:t>
      </w:r>
      <w:r>
        <w:rPr>
          <w:color w:val="auto"/>
          <w:highlight w:val="none"/>
        </w:rPr>
        <w:t>天按一周计算。如果达到最高限额，甲方应考虑终止合同，由此给甲方造成的损失由乙方承担。</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证，并附到响应文件中；</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color w:val="auto"/>
          <w:highlight w:val="none"/>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color w:val="auto"/>
          <w:highlight w:val="none"/>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color w:val="auto"/>
          <w:highlight w:val="none"/>
        </w:rPr>
        <w:t>违约金。</w:t>
      </w:r>
    </w:p>
    <w:p>
      <w:pPr>
        <w:spacing w:line="360" w:lineRule="auto"/>
        <w:ind w:firstLine="422"/>
        <w:rPr>
          <w:rFonts w:ascii="Times New Roman" w:hAnsi="Times New Roman" w:eastAsia="Times New Roman" w:cs="Times New Roman"/>
          <w:color w:val="auto"/>
          <w:highlight w:val="none"/>
        </w:rPr>
      </w:pPr>
      <w:r>
        <w:rPr>
          <w:b/>
          <w:color w:val="auto"/>
          <w:highlight w:val="none"/>
        </w:rPr>
        <w:t>第十一条</w:t>
      </w:r>
      <w:r>
        <w:rPr>
          <w:color w:val="auto"/>
          <w:highlight w:val="none"/>
        </w:rPr>
        <w:t> </w:t>
      </w:r>
      <w:r>
        <w:rPr>
          <w:rFonts w:ascii="Times New Roman" w:hAnsi="Times New Roman" w:eastAsia="Times New Roman" w:cs="Times New Roman"/>
          <w:color w:val="auto"/>
          <w:highlight w:val="none"/>
        </w:rPr>
        <w:t xml:space="preserve"> </w:t>
      </w:r>
      <w:r>
        <w:rPr>
          <w:color w:val="auto"/>
          <w:highlight w:val="none"/>
        </w:rPr>
        <w:t>甲方的违约责任</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甲方中途退货，应向乙方偿付退货部分货款</w:t>
      </w:r>
      <w:r>
        <w:rPr>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color w:val="auto"/>
          <w:highlight w:val="none"/>
        </w:rPr>
        <w:t>（通用产品的幅度为</w:t>
      </w:r>
      <w:r>
        <w:rPr>
          <w:rFonts w:ascii="Times New Roman" w:hAnsi="Times New Roman" w:eastAsia="Times New Roman" w:cs="Times New Roman"/>
          <w:color w:val="auto"/>
          <w:highlight w:val="none"/>
        </w:rPr>
        <w:t>1%~5%</w:t>
      </w:r>
      <w:r>
        <w:rPr>
          <w:color w:val="auto"/>
          <w:highlight w:val="none"/>
        </w:rPr>
        <w:t>专用产品的幅度为</w:t>
      </w:r>
      <w:r>
        <w:rPr>
          <w:rFonts w:ascii="Times New Roman" w:hAnsi="Times New Roman" w:eastAsia="Times New Roman" w:cs="Times New Roman"/>
          <w:color w:val="auto"/>
          <w:highlight w:val="none"/>
        </w:rPr>
        <w:t>15%-30%</w:t>
      </w:r>
      <w:r>
        <w:rPr>
          <w:color w:val="auto"/>
          <w:highlight w:val="none"/>
        </w:rPr>
        <w:t>）的违约金。</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甲方违反合同规定拒绝接货的，应当承担由此造成的损失。</w:t>
      </w:r>
    </w:p>
    <w:p>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color w:val="auto"/>
          <w:highlight w:val="none"/>
        </w:rPr>
        <w:t>元。</w:t>
      </w:r>
    </w:p>
    <w:p>
      <w:pPr>
        <w:spacing w:line="360" w:lineRule="auto"/>
        <w:ind w:firstLine="422"/>
        <w:rPr>
          <w:rFonts w:ascii="Times New Roman" w:hAnsi="Times New Roman" w:eastAsia="Times New Roman" w:cs="Times New Roman"/>
          <w:b/>
          <w:color w:val="auto"/>
          <w:highlight w:val="none"/>
        </w:rPr>
      </w:pPr>
      <w:r>
        <w:rPr>
          <w:b/>
          <w:color w:val="auto"/>
          <w:highlight w:val="none"/>
        </w:rPr>
        <w:t>第十二条 </w:t>
      </w:r>
      <w:r>
        <w:rPr>
          <w:rFonts w:ascii="Times New Roman" w:hAnsi="Times New Roman" w:eastAsia="Times New Roman" w:cs="Times New Roman"/>
          <w:color w:val="auto"/>
          <w:highlight w:val="none"/>
        </w:rPr>
        <w:t xml:space="preserve"> </w:t>
      </w:r>
      <w:r>
        <w:rPr>
          <w:color w:val="auto"/>
          <w:highlight w:val="none"/>
        </w:rPr>
        <w:t>不可抗力</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color w:val="auto"/>
          <w:highlight w:val="none"/>
        </w:rPr>
      </w:pPr>
      <w:r>
        <w:rPr>
          <w:b/>
          <w:color w:val="auto"/>
          <w:highlight w:val="none"/>
        </w:rPr>
        <w:t>第十三条</w:t>
      </w:r>
      <w:r>
        <w:rPr>
          <w:rFonts w:ascii="Times New Roman" w:hAnsi="Times New Roman" w:eastAsia="Times New Roman" w:cs="Times New Roman"/>
          <w:b/>
          <w:color w:val="auto"/>
          <w:highlight w:val="none"/>
        </w:rPr>
        <w:t xml:space="preserve">  </w:t>
      </w:r>
      <w:r>
        <w:rPr>
          <w:color w:val="auto"/>
          <w:highlight w:val="none"/>
        </w:rPr>
        <w:t>履约（或质量）保证金</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color w:val="auto"/>
          <w:highlight w:val="none"/>
        </w:rPr>
        <w:t>。</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如乙方未能履行其合同规定的任何义务，甲方有权从履约保证金中取得补偿。</w:t>
      </w:r>
    </w:p>
    <w:p>
      <w:pPr>
        <w:spacing w:line="360" w:lineRule="auto"/>
        <w:ind w:firstLine="422"/>
        <w:rPr>
          <w:rFonts w:ascii="Times New Roman" w:hAnsi="Times New Roman" w:eastAsia="Times New Roman" w:cs="Times New Roman"/>
          <w:b/>
          <w:color w:val="auto"/>
          <w:highlight w:val="none"/>
        </w:rPr>
      </w:pPr>
      <w:r>
        <w:rPr>
          <w:b/>
          <w:color w:val="auto"/>
          <w:highlight w:val="none"/>
        </w:rPr>
        <w:t>第十四条</w:t>
      </w:r>
      <w:r>
        <w:rPr>
          <w:rFonts w:ascii="Times New Roman" w:hAnsi="Times New Roman" w:eastAsia="Times New Roman" w:cs="Times New Roman"/>
          <w:b/>
          <w:color w:val="auto"/>
          <w:highlight w:val="none"/>
        </w:rPr>
        <w:t xml:space="preserve"> </w:t>
      </w:r>
      <w:r>
        <w:rPr>
          <w:color w:val="auto"/>
          <w:highlight w:val="none"/>
        </w:rPr>
        <w:t>转让与分包</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除甲方事先书面同意外，乙方不得部分转让或全部转让其应履行的合同义务。</w:t>
      </w:r>
    </w:p>
    <w:p>
      <w:pPr>
        <w:spacing w:line="360" w:lineRule="auto"/>
        <w:ind w:firstLine="440" w:firstLineChars="200"/>
        <w:rPr>
          <w:color w:val="auto"/>
          <w:highlight w:val="none"/>
        </w:rPr>
      </w:pPr>
      <w:r>
        <w:rPr>
          <w:rFonts w:ascii="Times New Roman" w:hAnsi="Times New Roman" w:eastAsia="Times New Roman" w:cs="Times New Roman"/>
          <w:color w:val="auto"/>
          <w:highlight w:val="none"/>
        </w:rPr>
        <w:t>2.</w:t>
      </w:r>
      <w:r>
        <w:rPr>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0" w:firstLineChars="200"/>
        <w:rPr>
          <w:rFonts w:ascii="Times New Roman" w:hAnsi="Times New Roman" w:eastAsia="Times New Roman" w:cs="Times New Roman"/>
          <w:color w:val="auto"/>
          <w:highlight w:val="none"/>
        </w:rPr>
      </w:pPr>
      <w:r>
        <w:rPr>
          <w:rFonts w:hint="eastAsia"/>
          <w:color w:val="auto"/>
          <w:highlight w:val="none"/>
        </w:rPr>
        <w:t>3. 供应商需在响应文件中出具声明函，声明本项目不挂靠、不转包、不违法分包，一旦发现挂靠、转包、违法分包等情形，甲方有权解除合同，且供应商承诺自愿接受甲方的经济处罚及其他处罚。</w:t>
      </w:r>
    </w:p>
    <w:p>
      <w:pPr>
        <w:spacing w:line="360" w:lineRule="auto"/>
        <w:ind w:firstLine="422"/>
        <w:rPr>
          <w:rFonts w:ascii="Times New Roman" w:hAnsi="Times New Roman" w:eastAsia="Times New Roman" w:cs="Times New Roman"/>
          <w:b/>
          <w:color w:val="auto"/>
          <w:highlight w:val="none"/>
        </w:rPr>
      </w:pPr>
      <w:r>
        <w:rPr>
          <w:b/>
          <w:color w:val="auto"/>
          <w:highlight w:val="none"/>
        </w:rPr>
        <w:t>第十五条</w:t>
      </w:r>
      <w:r>
        <w:rPr>
          <w:rFonts w:ascii="Times New Roman" w:hAnsi="Times New Roman" w:eastAsia="Times New Roman" w:cs="Times New Roman"/>
          <w:b/>
          <w:color w:val="auto"/>
          <w:highlight w:val="none"/>
        </w:rPr>
        <w:t xml:space="preserve"> </w:t>
      </w:r>
      <w:r>
        <w:rPr>
          <w:color w:val="auto"/>
          <w:highlight w:val="none"/>
        </w:rPr>
        <w:t>合同文件及资料的使用</w:t>
      </w:r>
    </w:p>
    <w:p>
      <w:pPr>
        <w:spacing w:line="360" w:lineRule="auto"/>
        <w:ind w:firstLine="440" w:firstLineChars="20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乙方在未经甲方同意的情况下，不得将合同、合同中的规定、有关计划、图纸、样本或甲方为上述内容向乙方提供的资料透露给任何人。</w:t>
      </w:r>
      <w:r>
        <w:rPr>
          <w:rFonts w:hint="eastAsia"/>
          <w:color w:val="auto"/>
          <w:highlight w:val="none"/>
        </w:rPr>
        <w:t>需在投标文件中单独做出书面声明。</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color w:val="auto"/>
          <w:highlight w:val="none"/>
        </w:rPr>
      </w:pPr>
      <w:r>
        <w:rPr>
          <w:b/>
          <w:color w:val="auto"/>
          <w:highlight w:val="none"/>
        </w:rPr>
        <w:t>第十六条 </w:t>
      </w:r>
      <w:r>
        <w:rPr>
          <w:color w:val="auto"/>
          <w:highlight w:val="none"/>
        </w:rPr>
        <w:t>合同纠纷调处</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color w:val="auto"/>
          <w:highlight w:val="none"/>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color w:val="auto"/>
          <w:highlight w:val="none"/>
        </w:rPr>
        <w:t>）项方式处理：①根据《中华人民共和国仲裁法》的规定向</w:t>
      </w:r>
      <w:r>
        <w:rPr>
          <w:b/>
          <w:color w:val="auto"/>
          <w:highlight w:val="none"/>
          <w:u w:val="single"/>
        </w:rPr>
        <w:t>周口仲裁委员会</w:t>
      </w:r>
      <w:r>
        <w:rPr>
          <w:color w:val="auto"/>
          <w:highlight w:val="none"/>
        </w:rPr>
        <w:t>申请仲裁。②向合同签订地有级别管辖权的人民法院起诉。</w:t>
      </w:r>
    </w:p>
    <w:p>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color w:val="auto"/>
          <w:highlight w:val="none"/>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color w:val="auto"/>
          <w:highlight w:val="none"/>
        </w:rPr>
      </w:pPr>
      <w:r>
        <w:rPr>
          <w:b/>
          <w:color w:val="auto"/>
          <w:highlight w:val="none"/>
        </w:rPr>
        <w:t>第十七条</w:t>
      </w:r>
      <w:r>
        <w:rPr>
          <w:rFonts w:ascii="Times New Roman" w:hAnsi="Times New Roman" w:eastAsia="Times New Roman" w:cs="Times New Roman"/>
          <w:b/>
          <w:color w:val="auto"/>
          <w:highlight w:val="none"/>
        </w:rPr>
        <w:t xml:space="preserve">  </w:t>
      </w:r>
      <w:r>
        <w:rPr>
          <w:color w:val="auto"/>
          <w:highlight w:val="none"/>
        </w:rPr>
        <w:t>下列关于周口市公共资源交易中心政府采购代理机构名称</w:t>
      </w:r>
      <w:r>
        <w:rPr>
          <w:color w:val="auto"/>
          <w:highlight w:val="none"/>
          <w:u w:val="single"/>
        </w:rPr>
        <w:t>某项目（项目编号：某编号）</w:t>
      </w:r>
      <w:r>
        <w:rPr>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color w:val="auto"/>
          <w:highlight w:val="none"/>
        </w:rPr>
        <w:t>本合同一式</w:t>
      </w:r>
      <w:r>
        <w:rPr>
          <w:rFonts w:ascii="Times New Roman" w:hAnsi="Times New Roman" w:eastAsia="Times New Roman" w:cs="Times New Roman"/>
          <w:color w:val="auto"/>
          <w:highlight w:val="none"/>
          <w:u w:val="single"/>
        </w:rPr>
        <w:t xml:space="preserve">   </w:t>
      </w:r>
      <w:r>
        <w:rPr>
          <w:color w:val="auto"/>
          <w:highlight w:val="none"/>
        </w:rPr>
        <w:t>份，甲乙双方各执</w:t>
      </w:r>
      <w:r>
        <w:rPr>
          <w:rFonts w:ascii="Times New Roman" w:hAnsi="Times New Roman" w:eastAsia="Times New Roman" w:cs="Times New Roman"/>
          <w:color w:val="auto"/>
          <w:highlight w:val="none"/>
          <w:u w:val="single"/>
        </w:rPr>
        <w:t xml:space="preserve">   </w:t>
      </w:r>
      <w:r>
        <w:rPr>
          <w:color w:val="auto"/>
          <w:highlight w:val="none"/>
        </w:rPr>
        <w:t>份，自双方当事人签字盖章之日起生效。</w:t>
      </w:r>
    </w:p>
    <w:p>
      <w:pPr>
        <w:spacing w:line="360" w:lineRule="auto"/>
        <w:ind w:firstLine="420"/>
        <w:rPr>
          <w:rFonts w:ascii="Times New Roman" w:hAnsi="Times New Roman" w:eastAsia="Times New Roman" w:cs="Times New Roman"/>
          <w:color w:val="auto"/>
          <w:highlight w:val="none"/>
        </w:rPr>
      </w:pPr>
    </w:p>
    <w:p>
      <w:pPr>
        <w:spacing w:line="360" w:lineRule="auto"/>
        <w:ind w:firstLine="420"/>
        <w:rPr>
          <w:rFonts w:ascii="Times New Roman" w:hAnsi="Times New Roman" w:eastAsia="Times New Roman" w:cs="Times New Roman"/>
          <w:color w:val="auto"/>
          <w:highlight w:val="none"/>
        </w:rPr>
      </w:pPr>
    </w:p>
    <w:p>
      <w:pPr>
        <w:spacing w:line="360" w:lineRule="auto"/>
        <w:ind w:firstLine="420"/>
        <w:rPr>
          <w:rFonts w:ascii="Times New Roman" w:hAnsi="Times New Roman" w:eastAsia="Times New Roman" w:cs="Times New Roman"/>
          <w:color w:val="auto"/>
          <w:highlight w:val="none"/>
        </w:rPr>
      </w:pPr>
      <w:r>
        <w:rPr>
          <w:color w:val="auto"/>
          <w:highlight w:val="none"/>
        </w:rPr>
        <w:t>采购人（甲方）：</w:t>
      </w:r>
      <w:r>
        <w:rPr>
          <w:rFonts w:ascii="Times New Roman" w:hAnsi="Times New Roman" w:eastAsia="Times New Roman" w:cs="Times New Roman"/>
          <w:color w:val="auto"/>
          <w:highlight w:val="none"/>
        </w:rPr>
        <w:t xml:space="preserve">    </w:t>
      </w:r>
      <w:r>
        <w:rPr>
          <w:color w:val="auto"/>
          <w:highlight w:val="none"/>
        </w:rPr>
        <w:t>（公章）</w:t>
      </w:r>
      <w:r>
        <w:rPr>
          <w:rFonts w:ascii="Times New Roman" w:hAnsi="Times New Roman" w:eastAsia="Times New Roman" w:cs="Times New Roman"/>
          <w:color w:val="auto"/>
          <w:highlight w:val="none"/>
        </w:rPr>
        <w:t xml:space="preserve">           </w:t>
      </w:r>
      <w:r>
        <w:rPr>
          <w:color w:val="auto"/>
          <w:highlight w:val="none"/>
        </w:rPr>
        <w:t>供货人（乙方）：</w:t>
      </w:r>
      <w:r>
        <w:rPr>
          <w:rFonts w:ascii="Times New Roman" w:hAnsi="Times New Roman" w:eastAsia="Times New Roman" w:cs="Times New Roman"/>
          <w:color w:val="auto"/>
          <w:highlight w:val="none"/>
        </w:rPr>
        <w:t xml:space="preserve">     </w:t>
      </w:r>
      <w:r>
        <w:rPr>
          <w:color w:val="auto"/>
          <w:highlight w:val="none"/>
        </w:rPr>
        <w:t>（公章）</w:t>
      </w:r>
      <w:r>
        <w:rPr>
          <w:rFonts w:ascii="Times New Roman" w:hAnsi="Times New Roman" w:eastAsia="Times New Roman" w:cs="Times New Roman"/>
          <w:color w:val="auto"/>
          <w:highlight w:val="none"/>
        </w:rPr>
        <w:t xml:space="preserve">  </w:t>
      </w:r>
    </w:p>
    <w:p>
      <w:pPr>
        <w:spacing w:line="360" w:lineRule="auto"/>
        <w:ind w:firstLine="420"/>
        <w:rPr>
          <w:rFonts w:ascii="Times New Roman" w:hAnsi="Times New Roman" w:eastAsia="Times New Roman" w:cs="Times New Roman"/>
          <w:color w:val="auto"/>
          <w:highlight w:val="none"/>
        </w:rPr>
      </w:pPr>
      <w:r>
        <w:rPr>
          <w:color w:val="auto"/>
          <w:highlight w:val="none"/>
        </w:rPr>
        <w:t>地址：</w:t>
      </w:r>
      <w:r>
        <w:rPr>
          <w:rFonts w:ascii="Times New Roman" w:hAnsi="Times New Roman" w:eastAsia="Times New Roman" w:cs="Times New Roman"/>
          <w:color w:val="auto"/>
          <w:highlight w:val="none"/>
        </w:rPr>
        <w:t xml:space="preserve">                               </w:t>
      </w:r>
      <w:r>
        <w:rPr>
          <w:color w:val="auto"/>
          <w:highlight w:val="none"/>
        </w:rPr>
        <w:t>地址：</w:t>
      </w:r>
    </w:p>
    <w:p>
      <w:pPr>
        <w:spacing w:line="360" w:lineRule="auto"/>
        <w:ind w:firstLine="420"/>
        <w:rPr>
          <w:rFonts w:ascii="Times New Roman" w:hAnsi="Times New Roman" w:eastAsia="Times New Roman" w:cs="Times New Roman"/>
          <w:color w:val="auto"/>
          <w:highlight w:val="none"/>
        </w:rPr>
      </w:pPr>
      <w:r>
        <w:rPr>
          <w:color w:val="auto"/>
          <w:highlight w:val="none"/>
        </w:rPr>
        <w:t>法定代表人：</w:t>
      </w:r>
      <w:r>
        <w:rPr>
          <w:rFonts w:ascii="Times New Roman" w:hAnsi="Times New Roman" w:eastAsia="Times New Roman" w:cs="Times New Roman"/>
          <w:color w:val="auto"/>
          <w:highlight w:val="none"/>
        </w:rPr>
        <w:t xml:space="preserve">                         </w:t>
      </w:r>
      <w:r>
        <w:rPr>
          <w:color w:val="auto"/>
          <w:highlight w:val="none"/>
        </w:rPr>
        <w:t>法定代表人：</w:t>
      </w:r>
    </w:p>
    <w:p>
      <w:pPr>
        <w:spacing w:line="360" w:lineRule="auto"/>
        <w:ind w:firstLine="420"/>
        <w:rPr>
          <w:rFonts w:ascii="Times New Roman" w:hAnsi="Times New Roman" w:eastAsia="Times New Roman" w:cs="Times New Roman"/>
          <w:color w:val="auto"/>
          <w:highlight w:val="none"/>
          <w:u w:val="single"/>
        </w:rPr>
      </w:pPr>
      <w:r>
        <w:rPr>
          <w:color w:val="auto"/>
          <w:highlight w:val="none"/>
        </w:rPr>
        <w:t>委托代理人：</w:t>
      </w:r>
      <w:r>
        <w:rPr>
          <w:rFonts w:ascii="Times New Roman" w:hAnsi="Times New Roman" w:eastAsia="Times New Roman" w:cs="Times New Roman"/>
          <w:color w:val="auto"/>
          <w:highlight w:val="none"/>
        </w:rPr>
        <w:t xml:space="preserve">                         </w:t>
      </w:r>
      <w:r>
        <w:rPr>
          <w:color w:val="auto"/>
          <w:highlight w:val="none"/>
        </w:rPr>
        <w:t>委托代理人：</w:t>
      </w:r>
    </w:p>
    <w:p>
      <w:pPr>
        <w:spacing w:line="360" w:lineRule="auto"/>
        <w:ind w:firstLine="420"/>
        <w:rPr>
          <w:rFonts w:ascii="Times New Roman" w:hAnsi="Times New Roman" w:eastAsia="Times New Roman" w:cs="Times New Roman"/>
          <w:color w:val="auto"/>
          <w:highlight w:val="none"/>
        </w:rPr>
      </w:pPr>
      <w:r>
        <w:rPr>
          <w:color w:val="auto"/>
          <w:highlight w:val="none"/>
        </w:rPr>
        <w:t>电话：</w:t>
      </w:r>
      <w:r>
        <w:rPr>
          <w:rFonts w:ascii="Times New Roman" w:hAnsi="Times New Roman" w:eastAsia="Times New Roman" w:cs="Times New Roman"/>
          <w:color w:val="auto"/>
          <w:highlight w:val="none"/>
        </w:rPr>
        <w:t xml:space="preserve">                               </w:t>
      </w:r>
      <w:r>
        <w:rPr>
          <w:color w:val="auto"/>
          <w:highlight w:val="none"/>
        </w:rPr>
        <w:t>电话：</w:t>
      </w:r>
    </w:p>
    <w:p>
      <w:pPr>
        <w:spacing w:line="360" w:lineRule="auto"/>
        <w:ind w:firstLine="420"/>
        <w:rPr>
          <w:rFonts w:ascii="Times New Roman" w:hAnsi="Times New Roman" w:eastAsia="Times New Roman" w:cs="Times New Roman"/>
          <w:color w:val="auto"/>
          <w:highlight w:val="none"/>
        </w:rPr>
      </w:pPr>
      <w:r>
        <w:rPr>
          <w:color w:val="auto"/>
          <w:highlight w:val="none"/>
        </w:rPr>
        <w:t>开户银行：</w:t>
      </w:r>
      <w:r>
        <w:rPr>
          <w:rFonts w:ascii="Times New Roman" w:hAnsi="Times New Roman" w:eastAsia="Times New Roman" w:cs="Times New Roman"/>
          <w:color w:val="auto"/>
          <w:highlight w:val="none"/>
        </w:rPr>
        <w:t xml:space="preserve">                           </w:t>
      </w:r>
      <w:r>
        <w:rPr>
          <w:color w:val="auto"/>
          <w:highlight w:val="none"/>
        </w:rPr>
        <w:t>开户银行：</w:t>
      </w:r>
    </w:p>
    <w:p>
      <w:pPr>
        <w:spacing w:line="360" w:lineRule="auto"/>
        <w:ind w:firstLine="420"/>
        <w:rPr>
          <w:rFonts w:ascii="Times New Roman" w:hAnsi="Times New Roman" w:eastAsia="Times New Roman" w:cs="Times New Roman"/>
          <w:color w:val="auto"/>
          <w:highlight w:val="none"/>
        </w:rPr>
      </w:pPr>
      <w:r>
        <w:rPr>
          <w:color w:val="auto"/>
          <w:highlight w:val="none"/>
        </w:rPr>
        <w:t>账号：</w:t>
      </w:r>
      <w:r>
        <w:rPr>
          <w:rFonts w:ascii="Times New Roman" w:hAnsi="Times New Roman" w:eastAsia="Times New Roman" w:cs="Times New Roman"/>
          <w:color w:val="auto"/>
          <w:highlight w:val="none"/>
        </w:rPr>
        <w:t xml:space="preserve">                               </w:t>
      </w:r>
      <w:r>
        <w:rPr>
          <w:color w:val="auto"/>
          <w:highlight w:val="none"/>
        </w:rPr>
        <w:t>账号：</w:t>
      </w:r>
    </w:p>
    <w:p>
      <w:pPr>
        <w:spacing w:line="640" w:lineRule="auto"/>
        <w:ind w:firstLine="1575"/>
        <w:rPr>
          <w:rFonts w:ascii="Times New Roman" w:hAnsi="Times New Roman" w:eastAsia="Times New Roman" w:cs="Times New Roman"/>
          <w:color w:val="auto"/>
          <w:highlight w:val="none"/>
          <w:u w:val="single"/>
        </w:rPr>
      </w:pPr>
    </w:p>
    <w:p>
      <w:pPr>
        <w:spacing w:line="500" w:lineRule="auto"/>
        <w:rPr>
          <w:rFonts w:ascii="Times New Roman" w:hAnsi="Times New Roman" w:eastAsia="Times New Roman" w:cs="Times New Roman"/>
          <w:color w:val="auto"/>
          <w:highlight w:val="none"/>
        </w:rPr>
      </w:pP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年</w:t>
      </w: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月</w:t>
      </w: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color w:val="auto"/>
          <w:highlight w:val="none"/>
        </w:rPr>
        <w:t>年</w:t>
      </w: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月</w:t>
      </w:r>
      <w:r>
        <w:rPr>
          <w:color w:val="auto"/>
          <w:highlight w:val="none"/>
          <w:u w:val="single"/>
        </w:rPr>
        <w:t> </w:t>
      </w:r>
      <w:r>
        <w:rPr>
          <w:rFonts w:ascii="Times New Roman" w:hAnsi="Times New Roman" w:eastAsia="Times New Roman" w:cs="Times New Roman"/>
          <w:color w:val="auto"/>
          <w:highlight w:val="none"/>
          <w:u w:val="single"/>
        </w:rPr>
        <w:t xml:space="preserve"> </w:t>
      </w:r>
      <w:r>
        <w:rPr>
          <w:color w:val="auto"/>
          <w:highlight w:val="none"/>
        </w:rPr>
        <w:t>日</w:t>
      </w:r>
    </w:p>
    <w:p>
      <w:pPr>
        <w:pStyle w:val="27"/>
        <w:ind w:left="440" w:firstLine="220"/>
        <w:jc w:val="center"/>
        <w:rPr>
          <w:b/>
          <w:color w:val="auto"/>
          <w:sz w:val="32"/>
          <w:szCs w:val="32"/>
          <w:highlight w:val="none"/>
        </w:rPr>
      </w:pPr>
      <w:r>
        <w:rPr>
          <w:rFonts w:hint="eastAsia"/>
          <w:b/>
          <w:color w:val="auto"/>
          <w:sz w:val="32"/>
          <w:szCs w:val="32"/>
          <w:highlight w:val="none"/>
        </w:rPr>
        <w:t>周口市政府采购合同融资政策告知函</w:t>
      </w:r>
    </w:p>
    <w:p>
      <w:pPr>
        <w:pStyle w:val="27"/>
        <w:ind w:firstLine="240"/>
        <w:rPr>
          <w:rFonts w:asciiTheme="minorEastAsia" w:hAnsiTheme="minorEastAsia" w:eastAsiaTheme="minorEastAsia"/>
          <w:color w:val="auto"/>
          <w:sz w:val="24"/>
          <w:szCs w:val="24"/>
          <w:highlight w:val="none"/>
        </w:rPr>
      </w:pPr>
    </w:p>
    <w:p>
      <w:pPr>
        <w:pStyle w:val="27"/>
        <w:ind w:firstLine="240"/>
        <w:rPr>
          <w:rFonts w:asciiTheme="minorEastAsia" w:hAnsiTheme="minorEastAsia" w:eastAsiaTheme="minorEastAsia"/>
          <w:color w:val="auto"/>
          <w:sz w:val="24"/>
          <w:highlight w:val="none"/>
        </w:rPr>
      </w:pPr>
    </w:p>
    <w:p>
      <w:pPr>
        <w:pStyle w:val="27"/>
        <w:ind w:firstLine="240"/>
        <w:rPr>
          <w:rFonts w:asciiTheme="minorEastAsia" w:hAnsiTheme="minorEastAsia" w:eastAsiaTheme="minorEastAsia"/>
          <w:color w:val="auto"/>
          <w:sz w:val="24"/>
          <w:highlight w:val="none"/>
        </w:rPr>
      </w:pPr>
    </w:p>
    <w:p>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pStyle w:val="19"/>
        <w:spacing w:before="0" w:beforeAutospacing="0" w:after="0" w:afterAutospacing="0" w:line="330" w:lineRule="atLeast"/>
        <w:rPr>
          <w:b/>
          <w:bCs/>
          <w:color w:val="auto"/>
          <w:sz w:val="21"/>
          <w:szCs w:val="21"/>
          <w:highlight w:val="none"/>
        </w:rPr>
      </w:pPr>
    </w:p>
    <w:p>
      <w:pPr>
        <w:spacing w:before="1"/>
        <w:ind w:left="218"/>
        <w:rPr>
          <w:rFonts w:asciiTheme="minorEastAsia" w:hAnsiTheme="minorEastAsia" w:eastAsiaTheme="minorEastAsia"/>
          <w:b/>
          <w:color w:val="auto"/>
          <w:sz w:val="28"/>
          <w:highlight w:val="none"/>
        </w:rPr>
      </w:pPr>
    </w:p>
    <w:sectPr>
      <w:pgSz w:w="11849" w:h="16792"/>
      <w:pgMar w:top="1400" w:right="1179" w:bottom="918" w:left="1582" w:header="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5A279D-F99B-4E0F-A395-BF76B1BE1E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E09C301-F53A-4DF7-9F98-7489F8B7D067}"/>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AB3334DC-EA7B-4AF6-BED3-E3EEBCAFDAE7}"/>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embedRegular r:id="rId4" w:fontKey="{488B205E-6B9E-4F1D-B61C-D3A1C4F41A38}"/>
  </w:font>
  <w:font w:name="楷体_GB2312">
    <w:panose1 w:val="02010609030101010101"/>
    <w:charset w:val="86"/>
    <w:family w:val="modern"/>
    <w:pitch w:val="default"/>
    <w:sig w:usb0="00000001" w:usb1="080E0000" w:usb2="00000000" w:usb3="00000000" w:csb0="00040000" w:csb1="00000000"/>
    <w:embedRegular r:id="rId5" w:fontKey="{E9E69FA7-8A59-4360-9682-BC0DCCD5519C}"/>
  </w:font>
  <w:font w:name="方正小标宋简体">
    <w:panose1 w:val="03000509000000000000"/>
    <w:charset w:val="86"/>
    <w:family w:val="auto"/>
    <w:pitch w:val="default"/>
    <w:sig w:usb0="00000001" w:usb1="080E0000" w:usb2="00000000" w:usb3="00000000" w:csb0="00040000" w:csb1="00000000"/>
    <w:embedRegular r:id="rId6" w:fontKey="{65AA8718-BCA4-42EE-81D9-B1CD6B33C1D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39A0D9AC"/>
    <w:multiLevelType w:val="singleLevel"/>
    <w:tmpl w:val="39A0D9AC"/>
    <w:lvl w:ilvl="0" w:tentative="0">
      <w:start w:val="1"/>
      <w:numFmt w:val="bullet"/>
      <w:lvlText w:val="•"/>
      <w:lvlJc w:val="left"/>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29F7852"/>
    <w:multiLevelType w:val="singleLevel"/>
    <w:tmpl w:val="629F7852"/>
    <w:lvl w:ilvl="0" w:tentative="0">
      <w:start w:val="1"/>
      <w:numFmt w:val="decimal"/>
      <w:lvlText w:val="%1."/>
      <w:lvlJc w:val="left"/>
    </w:lvl>
  </w:abstractNum>
  <w:num w:numId="1">
    <w:abstractNumId w:val="21"/>
  </w:num>
  <w:num w:numId="2">
    <w:abstractNumId w:val="11"/>
  </w:num>
  <w:num w:numId="3">
    <w:abstractNumId w:val="19"/>
  </w:num>
  <w:num w:numId="4">
    <w:abstractNumId w:val="5"/>
  </w:num>
  <w:num w:numId="5">
    <w:abstractNumId w:val="4"/>
  </w:num>
  <w:num w:numId="6">
    <w:abstractNumId w:val="12"/>
  </w:num>
  <w:num w:numId="7">
    <w:abstractNumId w:val="14"/>
  </w:num>
  <w:num w:numId="8">
    <w:abstractNumId w:val="10"/>
  </w:num>
  <w:num w:numId="9">
    <w:abstractNumId w:val="0"/>
  </w:num>
  <w:num w:numId="10">
    <w:abstractNumId w:val="20"/>
  </w:num>
  <w:num w:numId="11">
    <w:abstractNumId w:val="6"/>
  </w:num>
  <w:num w:numId="12">
    <w:abstractNumId w:val="18"/>
  </w:num>
  <w:num w:numId="13">
    <w:abstractNumId w:val="9"/>
  </w:num>
  <w:num w:numId="14">
    <w:abstractNumId w:val="8"/>
  </w:num>
  <w:num w:numId="15">
    <w:abstractNumId w:val="7"/>
  </w:num>
  <w:num w:numId="16">
    <w:abstractNumId w:val="2"/>
  </w:num>
  <w:num w:numId="17">
    <w:abstractNumId w:val="17"/>
  </w:num>
  <w:num w:numId="18">
    <w:abstractNumId w:val="3"/>
  </w:num>
  <w:num w:numId="19">
    <w:abstractNumId w:val="13"/>
  </w:num>
  <w:num w:numId="20">
    <w:abstractNumId w:val="16"/>
  </w:num>
  <w:num w:numId="21">
    <w:abstractNumId w:val="22"/>
  </w:num>
  <w:num w:numId="22">
    <w:abstractNumId w:val="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YTg0MDc3OTIyZGQ3YmQ3NDk3MjNjY2ExMWYwZDEifQ=="/>
  </w:docVars>
  <w:rsids>
    <w:rsidRoot w:val="00843AE4"/>
    <w:rsid w:val="000214D3"/>
    <w:rsid w:val="00023D3A"/>
    <w:rsid w:val="0007537E"/>
    <w:rsid w:val="00075905"/>
    <w:rsid w:val="000856A5"/>
    <w:rsid w:val="0008746A"/>
    <w:rsid w:val="000903A2"/>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459D0"/>
    <w:rsid w:val="00274BF5"/>
    <w:rsid w:val="00290C88"/>
    <w:rsid w:val="002B3530"/>
    <w:rsid w:val="002B52D9"/>
    <w:rsid w:val="002E3067"/>
    <w:rsid w:val="002E7A90"/>
    <w:rsid w:val="002F5123"/>
    <w:rsid w:val="003A215A"/>
    <w:rsid w:val="003C343D"/>
    <w:rsid w:val="00407AC4"/>
    <w:rsid w:val="004A586B"/>
    <w:rsid w:val="004B0A3A"/>
    <w:rsid w:val="00505A24"/>
    <w:rsid w:val="005D28DA"/>
    <w:rsid w:val="005E337B"/>
    <w:rsid w:val="00604592"/>
    <w:rsid w:val="00621DF6"/>
    <w:rsid w:val="00654A68"/>
    <w:rsid w:val="0067486A"/>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30C1F"/>
    <w:rsid w:val="00E56BC8"/>
    <w:rsid w:val="00E77C5F"/>
    <w:rsid w:val="00E9120C"/>
    <w:rsid w:val="00EA18C3"/>
    <w:rsid w:val="00EA6208"/>
    <w:rsid w:val="00EB0F60"/>
    <w:rsid w:val="00EE0293"/>
    <w:rsid w:val="00EE0911"/>
    <w:rsid w:val="00EF59CF"/>
    <w:rsid w:val="00F06423"/>
    <w:rsid w:val="00F162AD"/>
    <w:rsid w:val="00F55CEF"/>
    <w:rsid w:val="00F61B16"/>
    <w:rsid w:val="00F702F6"/>
    <w:rsid w:val="00F75AF7"/>
    <w:rsid w:val="00F77257"/>
    <w:rsid w:val="00FB5A7E"/>
    <w:rsid w:val="00FD399A"/>
    <w:rsid w:val="00FD5902"/>
    <w:rsid w:val="00FF3CEF"/>
    <w:rsid w:val="02B11C6C"/>
    <w:rsid w:val="02BA3FE2"/>
    <w:rsid w:val="02BB5ED4"/>
    <w:rsid w:val="03153493"/>
    <w:rsid w:val="04367644"/>
    <w:rsid w:val="05AB68B0"/>
    <w:rsid w:val="06EB6E0C"/>
    <w:rsid w:val="08F359E4"/>
    <w:rsid w:val="0B5C30E6"/>
    <w:rsid w:val="0B903ADE"/>
    <w:rsid w:val="0C471B3A"/>
    <w:rsid w:val="0D1F7AA3"/>
    <w:rsid w:val="0E59727F"/>
    <w:rsid w:val="0EC60D89"/>
    <w:rsid w:val="0F0E720B"/>
    <w:rsid w:val="0F6C1212"/>
    <w:rsid w:val="0F810069"/>
    <w:rsid w:val="10C77A27"/>
    <w:rsid w:val="127E6D86"/>
    <w:rsid w:val="12CA2AAD"/>
    <w:rsid w:val="12E049AE"/>
    <w:rsid w:val="13AD7D70"/>
    <w:rsid w:val="13B04B28"/>
    <w:rsid w:val="14636234"/>
    <w:rsid w:val="15230D37"/>
    <w:rsid w:val="16394093"/>
    <w:rsid w:val="168E0C63"/>
    <w:rsid w:val="16BD306B"/>
    <w:rsid w:val="17C42D0C"/>
    <w:rsid w:val="17D74D17"/>
    <w:rsid w:val="19884974"/>
    <w:rsid w:val="1BBC5D49"/>
    <w:rsid w:val="1C852C28"/>
    <w:rsid w:val="1D5022F0"/>
    <w:rsid w:val="1DB373D4"/>
    <w:rsid w:val="1E3D7258"/>
    <w:rsid w:val="1E547805"/>
    <w:rsid w:val="1F2B2B05"/>
    <w:rsid w:val="205630F0"/>
    <w:rsid w:val="21EF4232"/>
    <w:rsid w:val="24105AF0"/>
    <w:rsid w:val="26232D49"/>
    <w:rsid w:val="272B7C0B"/>
    <w:rsid w:val="27DB438A"/>
    <w:rsid w:val="2C370FFE"/>
    <w:rsid w:val="2DE12C65"/>
    <w:rsid w:val="2DF22389"/>
    <w:rsid w:val="2E926851"/>
    <w:rsid w:val="2EE93382"/>
    <w:rsid w:val="2F880A01"/>
    <w:rsid w:val="2FD724F6"/>
    <w:rsid w:val="30B80628"/>
    <w:rsid w:val="31DC6234"/>
    <w:rsid w:val="32BB78E1"/>
    <w:rsid w:val="34515A2A"/>
    <w:rsid w:val="35615417"/>
    <w:rsid w:val="356B0BA7"/>
    <w:rsid w:val="358768A1"/>
    <w:rsid w:val="35D5077B"/>
    <w:rsid w:val="36AC38A9"/>
    <w:rsid w:val="37E101C1"/>
    <w:rsid w:val="38B85990"/>
    <w:rsid w:val="3938118D"/>
    <w:rsid w:val="39942F7D"/>
    <w:rsid w:val="399C7DC6"/>
    <w:rsid w:val="39D83AD0"/>
    <w:rsid w:val="3A5355D6"/>
    <w:rsid w:val="3B0117C5"/>
    <w:rsid w:val="3B0279C2"/>
    <w:rsid w:val="3B6B5AD0"/>
    <w:rsid w:val="3B96663F"/>
    <w:rsid w:val="3BB246A3"/>
    <w:rsid w:val="3C8C7557"/>
    <w:rsid w:val="3CC94B8E"/>
    <w:rsid w:val="3DB00FA3"/>
    <w:rsid w:val="3E0B4D01"/>
    <w:rsid w:val="3EC160B0"/>
    <w:rsid w:val="3F2F421C"/>
    <w:rsid w:val="3FA3325E"/>
    <w:rsid w:val="4006602A"/>
    <w:rsid w:val="4023590A"/>
    <w:rsid w:val="40A555F3"/>
    <w:rsid w:val="41BD75A5"/>
    <w:rsid w:val="474E5F67"/>
    <w:rsid w:val="479447C0"/>
    <w:rsid w:val="48A70261"/>
    <w:rsid w:val="490A5016"/>
    <w:rsid w:val="4A1456AE"/>
    <w:rsid w:val="4A5360F1"/>
    <w:rsid w:val="4AE919E6"/>
    <w:rsid w:val="4B8E0947"/>
    <w:rsid w:val="4C3737C9"/>
    <w:rsid w:val="4C7B0EF5"/>
    <w:rsid w:val="4D1A5DC0"/>
    <w:rsid w:val="4D830B1D"/>
    <w:rsid w:val="4E90520C"/>
    <w:rsid w:val="4F99594A"/>
    <w:rsid w:val="502F1FA3"/>
    <w:rsid w:val="5067715E"/>
    <w:rsid w:val="50D54D02"/>
    <w:rsid w:val="50E11586"/>
    <w:rsid w:val="511F7DD9"/>
    <w:rsid w:val="5165265C"/>
    <w:rsid w:val="546B5875"/>
    <w:rsid w:val="551501A8"/>
    <w:rsid w:val="5569480F"/>
    <w:rsid w:val="55A05AEF"/>
    <w:rsid w:val="55C76964"/>
    <w:rsid w:val="569A4188"/>
    <w:rsid w:val="569F7D08"/>
    <w:rsid w:val="57BB500C"/>
    <w:rsid w:val="57FA2263"/>
    <w:rsid w:val="587970CA"/>
    <w:rsid w:val="588377B1"/>
    <w:rsid w:val="5A1F405C"/>
    <w:rsid w:val="5A751D2D"/>
    <w:rsid w:val="5AE93C04"/>
    <w:rsid w:val="5B111673"/>
    <w:rsid w:val="5B365500"/>
    <w:rsid w:val="5BA10100"/>
    <w:rsid w:val="5EB36BFA"/>
    <w:rsid w:val="5F351A0F"/>
    <w:rsid w:val="5FFC04A5"/>
    <w:rsid w:val="60140EAA"/>
    <w:rsid w:val="60253E1D"/>
    <w:rsid w:val="61442516"/>
    <w:rsid w:val="639A4B0E"/>
    <w:rsid w:val="6449616D"/>
    <w:rsid w:val="64A755D5"/>
    <w:rsid w:val="64BD3FC9"/>
    <w:rsid w:val="65284581"/>
    <w:rsid w:val="658971FF"/>
    <w:rsid w:val="65DA6C5D"/>
    <w:rsid w:val="66B90625"/>
    <w:rsid w:val="674768BC"/>
    <w:rsid w:val="67D7195F"/>
    <w:rsid w:val="67DC20FC"/>
    <w:rsid w:val="685C5F78"/>
    <w:rsid w:val="68FA09FF"/>
    <w:rsid w:val="68FF3990"/>
    <w:rsid w:val="69244569"/>
    <w:rsid w:val="696C155D"/>
    <w:rsid w:val="6A6F729D"/>
    <w:rsid w:val="6A7C310D"/>
    <w:rsid w:val="6C487FF0"/>
    <w:rsid w:val="6D0A227B"/>
    <w:rsid w:val="6D920165"/>
    <w:rsid w:val="6DD32C57"/>
    <w:rsid w:val="6E577820"/>
    <w:rsid w:val="70104587"/>
    <w:rsid w:val="706758D9"/>
    <w:rsid w:val="714D3798"/>
    <w:rsid w:val="71EB3391"/>
    <w:rsid w:val="740C72D8"/>
    <w:rsid w:val="762C59B9"/>
    <w:rsid w:val="78D34938"/>
    <w:rsid w:val="78E92B94"/>
    <w:rsid w:val="79E01FF4"/>
    <w:rsid w:val="7A3F58DE"/>
    <w:rsid w:val="7A97500D"/>
    <w:rsid w:val="7A9F54C7"/>
    <w:rsid w:val="7AC37DD1"/>
    <w:rsid w:val="7D2F777E"/>
    <w:rsid w:val="7D595B94"/>
    <w:rsid w:val="7F1249D2"/>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6"/>
    <w:qFormat/>
    <w:uiPriority w:val="1"/>
    <w:pPr>
      <w:ind w:left="218"/>
      <w:outlineLvl w:val="2"/>
    </w:pPr>
    <w:rPr>
      <w:b/>
      <w:bCs/>
      <w:sz w:val="30"/>
      <w:szCs w:val="30"/>
    </w:rPr>
  </w:style>
  <w:style w:type="paragraph" w:styleId="8">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7"/>
    <w:qFormat/>
    <w:uiPriority w:val="1"/>
    <w:rPr>
      <w:sz w:val="24"/>
      <w:szCs w:val="24"/>
    </w:rPr>
  </w:style>
  <w:style w:type="paragraph" w:styleId="6">
    <w:name w:val="Normal Indent"/>
    <w:basedOn w:val="1"/>
    <w:next w:val="7"/>
    <w:qFormat/>
    <w:uiPriority w:val="0"/>
    <w:pPr>
      <w:ind w:firstLine="420"/>
    </w:pPr>
    <w:rPr>
      <w:szCs w:val="20"/>
    </w:rPr>
  </w:style>
  <w:style w:type="paragraph" w:customStyle="1" w:styleId="7">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Body Text Indent"/>
    <w:basedOn w:val="1"/>
    <w:qFormat/>
    <w:uiPriority w:val="0"/>
    <w:pPr>
      <w:spacing w:after="120"/>
      <w:ind w:left="420" w:leftChars="200"/>
    </w:pPr>
    <w:rPr>
      <w:sz w:val="20"/>
    </w:rPr>
  </w:style>
  <w:style w:type="paragraph" w:styleId="11">
    <w:name w:val="Plain Text"/>
    <w:basedOn w:val="1"/>
    <w:next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6"/>
    <w:qFormat/>
    <w:uiPriority w:val="0"/>
    <w:rPr>
      <w:sz w:val="18"/>
      <w:szCs w:val="18"/>
    </w:rPr>
  </w:style>
  <w:style w:type="paragraph" w:styleId="14">
    <w:name w:val="footer"/>
    <w:basedOn w:val="1"/>
    <w:next w:val="15"/>
    <w:link w:val="35"/>
    <w:qFormat/>
    <w:uiPriority w:val="0"/>
    <w:pPr>
      <w:tabs>
        <w:tab w:val="center" w:pos="4153"/>
        <w:tab w:val="right" w:pos="8306"/>
      </w:tabs>
      <w:snapToGrid w:val="0"/>
    </w:pPr>
    <w:rPr>
      <w:sz w:val="18"/>
      <w:szCs w:val="18"/>
    </w:rPr>
  </w:style>
  <w:style w:type="paragraph" w:styleId="15">
    <w:name w:val="toc 2"/>
    <w:basedOn w:val="1"/>
    <w:next w:val="1"/>
    <w:qFormat/>
    <w:uiPriority w:val="39"/>
    <w:pPr>
      <w:ind w:left="420" w:leftChars="200"/>
    </w:pPr>
  </w:style>
  <w:style w:type="paragraph" w:styleId="16">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2"/>
    <w:next w:val="21"/>
    <w:link w:val="42"/>
    <w:qFormat/>
    <w:uiPriority w:val="0"/>
    <w:pPr>
      <w:autoSpaceDE/>
      <w:autoSpaceDN/>
      <w:spacing w:after="120"/>
      <w:ind w:firstLine="420" w:firstLineChars="100"/>
      <w:jc w:val="both"/>
    </w:pPr>
    <w:rPr>
      <w:kern w:val="2"/>
      <w:sz w:val="21"/>
      <w:szCs w:val="21"/>
    </w:rPr>
  </w:style>
  <w:style w:type="paragraph" w:styleId="21">
    <w:name w:val="Body Text First Indent 2"/>
    <w:basedOn w:val="10"/>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qFormat/>
    <w:uiPriority w:val="0"/>
    <w:rPr>
      <w:color w:val="0000FF" w:themeColor="hyperlink"/>
      <w:u w:val="single"/>
      <w14:textFill>
        <w14:solidFill>
          <w14:schemeClr w14:val="hlink"/>
        </w14:solidFill>
      </w14:textFill>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无间隔1"/>
    <w:next w:val="9"/>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semiHidden/>
    <w:unhideWhenUsed/>
    <w:qFormat/>
    <w:uiPriority w:val="2"/>
    <w:tblPr>
      <w:tblCellMar>
        <w:top w:w="0" w:type="dxa"/>
        <w:left w:w="0" w:type="dxa"/>
        <w:bottom w:w="0" w:type="dxa"/>
        <w:right w:w="0" w:type="dxa"/>
      </w:tblCellMar>
    </w:tblPr>
  </w:style>
  <w:style w:type="paragraph" w:styleId="32">
    <w:name w:val="List Paragraph"/>
    <w:basedOn w:val="1"/>
    <w:qFormat/>
    <w:uiPriority w:val="1"/>
    <w:pPr>
      <w:ind w:left="218" w:firstLine="239"/>
    </w:pPr>
  </w:style>
  <w:style w:type="paragraph" w:customStyle="1" w:styleId="33">
    <w:name w:val="Table Paragraph"/>
    <w:basedOn w:val="1"/>
    <w:qFormat/>
    <w:uiPriority w:val="1"/>
  </w:style>
  <w:style w:type="character" w:customStyle="1" w:styleId="34">
    <w:name w:val="页眉 字符"/>
    <w:basedOn w:val="24"/>
    <w:link w:val="16"/>
    <w:qFormat/>
    <w:uiPriority w:val="0"/>
    <w:rPr>
      <w:rFonts w:ascii="宋体" w:hAnsi="宋体" w:cs="宋体"/>
      <w:sz w:val="18"/>
      <w:szCs w:val="18"/>
      <w:lang w:val="zh-CN" w:bidi="zh-CN"/>
    </w:rPr>
  </w:style>
  <w:style w:type="character" w:customStyle="1" w:styleId="35">
    <w:name w:val="页脚 字符"/>
    <w:basedOn w:val="24"/>
    <w:link w:val="14"/>
    <w:qFormat/>
    <w:uiPriority w:val="0"/>
    <w:rPr>
      <w:rFonts w:ascii="宋体" w:hAnsi="宋体" w:cs="宋体"/>
      <w:sz w:val="18"/>
      <w:szCs w:val="18"/>
      <w:lang w:val="zh-CN" w:bidi="zh-CN"/>
    </w:rPr>
  </w:style>
  <w:style w:type="character" w:customStyle="1" w:styleId="36">
    <w:name w:val="批注框文本 字符"/>
    <w:basedOn w:val="24"/>
    <w:link w:val="13"/>
    <w:qFormat/>
    <w:uiPriority w:val="0"/>
    <w:rPr>
      <w:rFonts w:ascii="宋体" w:hAnsi="宋体" w:cs="宋体"/>
      <w:sz w:val="18"/>
      <w:szCs w:val="18"/>
      <w:lang w:val="zh-CN" w:bidi="zh-CN"/>
    </w:rPr>
  </w:style>
  <w:style w:type="character" w:customStyle="1" w:styleId="37">
    <w:name w:val="正文文本 字符"/>
    <w:basedOn w:val="24"/>
    <w:link w:val="2"/>
    <w:qFormat/>
    <w:uiPriority w:val="1"/>
    <w:rPr>
      <w:rFonts w:ascii="宋体" w:hAnsi="宋体" w:cs="宋体"/>
      <w:sz w:val="24"/>
      <w:szCs w:val="24"/>
      <w:lang w:val="zh-CN" w:bidi="zh-CN"/>
    </w:rPr>
  </w:style>
  <w:style w:type="paragraph" w:customStyle="1" w:styleId="38">
    <w:name w:val="列出段落1"/>
    <w:basedOn w:val="1"/>
    <w:qFormat/>
    <w:uiPriority w:val="0"/>
    <w:pPr>
      <w:ind w:left="218" w:firstLine="239"/>
    </w:pPr>
    <w:rPr>
      <w:lang w:bidi="ar-SA"/>
    </w:rPr>
  </w:style>
  <w:style w:type="paragraph" w:customStyle="1" w:styleId="39">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40">
    <w:name w:val="正文文本缩进1"/>
    <w:basedOn w:val="1"/>
    <w:qFormat/>
    <w:uiPriority w:val="0"/>
    <w:pPr>
      <w:widowControl/>
      <w:spacing w:line="400" w:lineRule="exact"/>
      <w:ind w:firstLine="420" w:firstLineChars="200"/>
    </w:pPr>
    <w:rPr>
      <w:sz w:val="20"/>
      <w:szCs w:val="20"/>
    </w:rPr>
  </w:style>
  <w:style w:type="character" w:customStyle="1" w:styleId="41">
    <w:name w:val="正文首行缩进 Char"/>
    <w:basedOn w:val="37"/>
    <w:qFormat/>
    <w:uiPriority w:val="0"/>
    <w:rPr>
      <w:rFonts w:ascii="宋体" w:hAnsi="宋体" w:cs="宋体"/>
      <w:sz w:val="22"/>
      <w:szCs w:val="22"/>
      <w:lang w:val="zh-CN" w:bidi="zh-CN"/>
    </w:rPr>
  </w:style>
  <w:style w:type="character" w:customStyle="1" w:styleId="42">
    <w:name w:val="正文文本首行缩进 字符"/>
    <w:basedOn w:val="37"/>
    <w:link w:val="20"/>
    <w:qFormat/>
    <w:uiPriority w:val="0"/>
    <w:rPr>
      <w:rFonts w:ascii="宋体" w:hAnsi="宋体" w:cs="宋体"/>
      <w:kern w:val="2"/>
      <w:sz w:val="21"/>
      <w:szCs w:val="21"/>
      <w:lang w:val="zh-CN" w:bidi="zh-CN"/>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Char Char Char Char Char Char Char1 Char"/>
    <w:basedOn w:val="1"/>
    <w:qFormat/>
    <w:uiPriority w:val="0"/>
    <w:rPr>
      <w:rFonts w:ascii="Tahoma" w:hAnsi="Tahoma"/>
    </w:rPr>
  </w:style>
  <w:style w:type="character" w:customStyle="1" w:styleId="45">
    <w:name w:val="font01"/>
    <w:basedOn w:val="24"/>
    <w:qFormat/>
    <w:uiPriority w:val="0"/>
    <w:rPr>
      <w:rFonts w:hint="eastAsia" w:ascii="宋体" w:hAnsi="宋体" w:eastAsia="宋体" w:cs="宋体"/>
      <w:color w:val="000000"/>
      <w:sz w:val="24"/>
      <w:szCs w:val="24"/>
      <w:u w:val="none"/>
    </w:rPr>
  </w:style>
  <w:style w:type="character" w:customStyle="1" w:styleId="46">
    <w:name w:val="font31"/>
    <w:basedOn w:val="24"/>
    <w:qFormat/>
    <w:uiPriority w:val="0"/>
    <w:rPr>
      <w:rFonts w:hint="eastAsia" w:ascii="宋体" w:hAnsi="宋体" w:eastAsia="宋体" w:cs="宋体"/>
      <w:color w:val="000000"/>
      <w:sz w:val="24"/>
      <w:szCs w:val="24"/>
      <w:u w:val="none"/>
    </w:rPr>
  </w:style>
  <w:style w:type="character" w:customStyle="1" w:styleId="47">
    <w:name w:val="font21"/>
    <w:basedOn w:val="24"/>
    <w:qFormat/>
    <w:uiPriority w:val="0"/>
    <w:rPr>
      <w:rFonts w:hint="default" w:ascii="Wingdings 2" w:hAnsi="Wingdings 2" w:eastAsia="Wingdings 2" w:cs="Wingdings 2"/>
      <w:color w:val="000000"/>
      <w:sz w:val="24"/>
      <w:szCs w:val="24"/>
      <w:u w:val="none"/>
    </w:rPr>
  </w:style>
  <w:style w:type="character" w:customStyle="1" w:styleId="48">
    <w:name w:val="font11"/>
    <w:basedOn w:val="24"/>
    <w:qFormat/>
    <w:uiPriority w:val="0"/>
    <w:rPr>
      <w:rFonts w:hint="default" w:ascii="Wingdings 2" w:hAnsi="Wingdings 2" w:eastAsia="Wingdings 2" w:cs="Wingdings 2"/>
      <w:color w:val="000000"/>
      <w:sz w:val="24"/>
      <w:szCs w:val="24"/>
      <w:u w:val="none"/>
    </w:rPr>
  </w:style>
  <w:style w:type="paragraph" w:customStyle="1" w:styleId="49">
    <w:name w:val="样式 样式 左侧:  2 字符 + 左侧:  0.85 厘米 首行缩进:  2 字符1"/>
    <w:basedOn w:val="1"/>
    <w:qFormat/>
    <w:uiPriority w:val="0"/>
    <w:pPr>
      <w:ind w:left="482" w:firstLine="200" w:firstLineChars="200"/>
    </w:pPr>
    <w:rPr>
      <w:szCs w:val="20"/>
    </w:rPr>
  </w:style>
  <w:style w:type="paragraph" w:customStyle="1" w:styleId="50">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Times New Roman"/>
      <w:color w:val="000000"/>
      <w:kern w:val="2"/>
      <w:sz w:val="21"/>
      <w:szCs w:val="21"/>
      <w:lang w:val="en-US" w:eastAsia="zh-CN" w:bidi="ar-SA"/>
    </w:rPr>
  </w:style>
  <w:style w:type="paragraph" w:customStyle="1" w:styleId="51">
    <w:name w:val="正文格式"/>
    <w:basedOn w:val="52"/>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52">
    <w:name w:val="正文_2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51</Pages>
  <Words>4459</Words>
  <Characters>25417</Characters>
  <Lines>211</Lines>
  <Paragraphs>59</Paragraphs>
  <TotalTime>3</TotalTime>
  <ScaleCrop>false</ScaleCrop>
  <LinksUpToDate>false</LinksUpToDate>
  <CharactersWithSpaces>29817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a5</cp:lastModifiedBy>
  <cp:lastPrinted>2020-04-29T04:44:00Z</cp:lastPrinted>
  <dcterms:modified xsi:type="dcterms:W3CDTF">2023-12-22T01:41:00Z</dcterms:modified>
  <dc:title>周口市政府采购中心招标文件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2052-12.1.0.15990</vt:lpwstr>
  </property>
  <property fmtid="{D5CDD505-2E9C-101B-9397-08002B2CF9AE}" pid="6" name="ICV">
    <vt:lpwstr>1B32877E1D8B4118AB8C193F60FE3C90</vt:lpwstr>
  </property>
</Properties>
</file>