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5"/>
        <w:jc w:val="center"/>
        <w:rPr>
          <w:rFonts w:hint="eastAsia" w:eastAsia="宋体"/>
          <w:sz w:val="96"/>
          <w:szCs w:val="96"/>
          <w:lang w:eastAsia="zh-CN"/>
        </w:rPr>
      </w:pPr>
      <w:bookmarkStart w:id="0" w:name="OLE_LINK15"/>
      <w:bookmarkStart w:id="1" w:name="OLE_LINK14"/>
      <w:r>
        <w:rPr>
          <w:rFonts w:hint="eastAsia" w:hAnsi="宋体" w:cs="Times New Roman"/>
          <w:b/>
          <w:shadow/>
          <w:color w:val="auto"/>
          <w:kern w:val="2"/>
          <w:sz w:val="48"/>
          <w:szCs w:val="48"/>
          <w:lang w:eastAsia="zh-CN"/>
        </w:rPr>
        <w:t>周口市第二人民医院（周口市老年医院）七一路院区部分病房安装中央空调项目</w:t>
      </w:r>
    </w:p>
    <w:bookmarkEnd w:id="0"/>
    <w:bookmarkEnd w:id="1"/>
    <w:p>
      <w:pPr>
        <w:pStyle w:val="155"/>
        <w:jc w:val="center"/>
        <w:rPr>
          <w:sz w:val="96"/>
          <w:szCs w:val="96"/>
        </w:rPr>
      </w:pPr>
    </w:p>
    <w:p>
      <w:pPr>
        <w:pStyle w:val="155"/>
        <w:jc w:val="center"/>
        <w:rPr>
          <w:sz w:val="96"/>
          <w:szCs w:val="96"/>
        </w:rPr>
      </w:pPr>
    </w:p>
    <w:p>
      <w:pPr>
        <w:pStyle w:val="155"/>
        <w:jc w:val="center"/>
        <w:rPr>
          <w:sz w:val="96"/>
          <w:szCs w:val="96"/>
        </w:rPr>
      </w:pPr>
      <w:r>
        <w:rPr>
          <w:rFonts w:hint="eastAsia"/>
          <w:sz w:val="96"/>
          <w:szCs w:val="96"/>
        </w:rPr>
        <w:t>竞争性谈判文件</w:t>
      </w:r>
    </w:p>
    <w:p>
      <w:pPr>
        <w:widowControl/>
        <w:adjustRightInd w:val="0"/>
        <w:snapToGrid w:val="0"/>
        <w:spacing w:line="520" w:lineRule="atLeast"/>
        <w:ind w:left="-255" w:leftChars="-85" w:firstLine="803" w:firstLineChars="250"/>
        <w:jc w:val="center"/>
        <w:rPr>
          <w:rFonts w:hint="eastAsia" w:ascii="宋体" w:hAnsi="宋体" w:eastAsia="宋体"/>
          <w:b/>
          <w:sz w:val="32"/>
          <w:szCs w:val="28"/>
          <w:lang w:eastAsia="zh-CN"/>
        </w:rPr>
      </w:pPr>
      <w:r>
        <w:rPr>
          <w:rFonts w:hint="eastAsia" w:ascii="宋体" w:hAnsi="宋体"/>
          <w:b/>
          <w:sz w:val="32"/>
          <w:szCs w:val="28"/>
        </w:rPr>
        <w:t>采购编号：：</w:t>
      </w:r>
      <w:r>
        <w:rPr>
          <w:rFonts w:hint="eastAsia" w:ascii="宋体" w:hAnsi="宋体"/>
          <w:b/>
          <w:sz w:val="32"/>
          <w:szCs w:val="28"/>
          <w:lang w:eastAsia="zh-CN"/>
        </w:rPr>
        <w:t>2023-12-277</w:t>
      </w:r>
    </w:p>
    <w:p>
      <w:pPr>
        <w:spacing w:line="276" w:lineRule="auto"/>
        <w:jc w:val="center"/>
        <w:rPr>
          <w:rFonts w:ascii="宋体" w:hAnsi="宋体"/>
          <w:b/>
          <w:sz w:val="28"/>
          <w:szCs w:val="28"/>
        </w:rPr>
      </w:pPr>
    </w:p>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p>
    <w:p>
      <w:pPr>
        <w:widowControl/>
        <w:ind w:firstLine="630" w:firstLineChars="196"/>
        <w:rPr>
          <w:rFonts w:ascii="宋体" w:hAnsi="宋体"/>
          <w:b/>
          <w:shadow/>
          <w:sz w:val="32"/>
          <w:szCs w:val="32"/>
        </w:rPr>
      </w:pPr>
      <w:r>
        <w:rPr>
          <w:rFonts w:hint="eastAsia" w:ascii="宋体" w:hAnsi="宋体"/>
          <w:b/>
          <w:shadow/>
          <w:sz w:val="32"/>
          <w:szCs w:val="32"/>
        </w:rPr>
        <w:t>采购人：</w:t>
      </w:r>
      <w:r>
        <w:rPr>
          <w:rFonts w:hint="eastAsia" w:ascii="宋体" w:hAnsi="宋体"/>
          <w:b/>
          <w:shadow/>
          <w:sz w:val="32"/>
          <w:szCs w:val="32"/>
          <w:u w:val="single"/>
          <w:lang w:eastAsia="zh-CN"/>
        </w:rPr>
        <w:t>周口市第二人民医院(周口市老年医院）</w:t>
      </w:r>
      <w:r>
        <w:rPr>
          <w:rFonts w:hint="eastAsia" w:ascii="宋体" w:hAnsi="宋体"/>
          <w:b/>
          <w:shadow/>
          <w:sz w:val="32"/>
          <w:szCs w:val="32"/>
        </w:rPr>
        <w:t>（盖章）</w:t>
      </w:r>
    </w:p>
    <w:p>
      <w:pPr>
        <w:spacing w:line="360" w:lineRule="auto"/>
        <w:ind w:firstLine="645"/>
        <w:rPr>
          <w:rFonts w:ascii="宋体" w:hAnsi="宋体"/>
          <w:b/>
          <w:shadow/>
          <w:sz w:val="32"/>
          <w:szCs w:val="32"/>
        </w:rPr>
      </w:pPr>
      <w:r>
        <w:rPr>
          <w:rFonts w:hint="eastAsia" w:ascii="宋体" w:hAnsi="宋体"/>
          <w:b/>
          <w:shadow/>
          <w:sz w:val="32"/>
          <w:szCs w:val="32"/>
        </w:rPr>
        <w:t>招标代理机构：</w:t>
      </w:r>
      <w:r>
        <w:rPr>
          <w:rFonts w:hint="eastAsia" w:ascii="宋体" w:hAnsi="宋体"/>
          <w:b/>
          <w:shadow/>
          <w:sz w:val="32"/>
          <w:szCs w:val="32"/>
          <w:u w:val="single"/>
        </w:rPr>
        <w:t>河南子鑫工程管理有限公司</w:t>
      </w:r>
      <w:r>
        <w:rPr>
          <w:rFonts w:hint="eastAsia" w:ascii="宋体" w:hAnsi="宋体"/>
          <w:b/>
          <w:shadow/>
          <w:sz w:val="32"/>
          <w:szCs w:val="32"/>
        </w:rPr>
        <w:t>（盖章）</w:t>
      </w:r>
    </w:p>
    <w:p>
      <w:pPr>
        <w:spacing w:line="360" w:lineRule="auto"/>
        <w:rPr>
          <w:rFonts w:ascii="宋体" w:hAnsi="宋体"/>
          <w:b/>
          <w:shadow/>
          <w:sz w:val="32"/>
          <w:szCs w:val="32"/>
          <w:u w:val="single"/>
        </w:rPr>
      </w:pPr>
      <w:r>
        <w:rPr>
          <w:rFonts w:hint="eastAsia" w:ascii="宋体" w:hAnsi="宋体"/>
          <w:b/>
          <w:shadow/>
          <w:sz w:val="32"/>
          <w:szCs w:val="32"/>
        </w:rPr>
        <w:t xml:space="preserve">    日     期：</w:t>
      </w:r>
      <w:r>
        <w:rPr>
          <w:rFonts w:hint="eastAsia" w:ascii="宋体" w:hAnsi="宋体"/>
          <w:b/>
          <w:shadow/>
          <w:sz w:val="32"/>
          <w:szCs w:val="32"/>
          <w:u w:val="single"/>
        </w:rPr>
        <w:t>二〇二三年十</w:t>
      </w:r>
      <w:r>
        <w:rPr>
          <w:rFonts w:hint="eastAsia" w:ascii="宋体" w:hAnsi="宋体"/>
          <w:b/>
          <w:shadow/>
          <w:sz w:val="32"/>
          <w:szCs w:val="32"/>
          <w:u w:val="single"/>
          <w:lang w:val="en-US" w:eastAsia="zh-CN"/>
        </w:rPr>
        <w:t>二</w:t>
      </w:r>
      <w:r>
        <w:rPr>
          <w:rFonts w:hint="eastAsia" w:ascii="宋体" w:hAnsi="宋体"/>
          <w:b/>
          <w:shadow/>
          <w:sz w:val="32"/>
          <w:szCs w:val="32"/>
          <w:u w:val="single"/>
        </w:rPr>
        <w:t>月</w:t>
      </w:r>
    </w:p>
    <w:p>
      <w:pPr>
        <w:spacing w:line="360" w:lineRule="auto"/>
        <w:rPr>
          <w:rFonts w:ascii="宋体" w:hAnsi="宋体"/>
          <w:b/>
          <w:shadow/>
          <w:sz w:val="32"/>
          <w:szCs w:val="32"/>
        </w:rPr>
      </w:pPr>
    </w:p>
    <w:p>
      <w:pPr>
        <w:spacing w:line="240" w:lineRule="auto"/>
        <w:jc w:val="center"/>
        <w:rPr>
          <w:rFonts w:hint="eastAsia"/>
          <w:b/>
          <w:bCs/>
          <w:sz w:val="36"/>
          <w:szCs w:val="36"/>
        </w:rPr>
        <w:sectPr>
          <w:footerReference r:id="rId6" w:type="first"/>
          <w:footerReference r:id="rId5" w:type="even"/>
          <w:pgSz w:w="11907" w:h="16840"/>
          <w:pgMar w:top="1418" w:right="1418" w:bottom="1418" w:left="1418" w:header="403" w:footer="1247" w:gutter="0"/>
          <w:cols w:space="720" w:num="1"/>
          <w:docGrid w:type="lines" w:linePitch="408" w:charSpace="0"/>
        </w:sectPr>
      </w:pPr>
    </w:p>
    <w:p>
      <w:pPr>
        <w:spacing w:line="240" w:lineRule="auto"/>
        <w:jc w:val="center"/>
      </w:pPr>
      <w:r>
        <w:rPr>
          <w:rFonts w:hint="eastAsia"/>
          <w:b/>
          <w:bCs/>
          <w:sz w:val="36"/>
          <w:szCs w:val="36"/>
        </w:rPr>
        <w:t>目录</w:t>
      </w:r>
      <w:r>
        <w:fldChar w:fldCharType="begin"/>
      </w:r>
      <w:r>
        <w:rPr>
          <w:rStyle w:val="39"/>
        </w:rPr>
        <w:instrText xml:space="preserve"> TOC \o "1-3" \h \z \u </w:instrText>
      </w:r>
      <w:r>
        <w:fldChar w:fldCharType="separate"/>
      </w:r>
    </w:p>
    <w:p>
      <w:pPr>
        <w:pStyle w:val="27"/>
        <w:tabs>
          <w:tab w:val="right" w:leader="dot" w:pos="9061"/>
        </w:tabs>
        <w:rPr>
          <w:rFonts w:asciiTheme="minorHAnsi" w:hAnsiTheme="minorHAnsi" w:eastAsiaTheme="minorEastAsia" w:cstheme="minorBidi"/>
          <w:b w:val="0"/>
          <w:bCs w:val="0"/>
          <w:sz w:val="21"/>
          <w:szCs w:val="22"/>
        </w:rPr>
      </w:pPr>
      <w:r>
        <w:rPr>
          <w:b w:val="0"/>
          <w:bCs w:val="0"/>
        </w:rPr>
        <w:fldChar w:fldCharType="begin"/>
      </w:r>
      <w:r>
        <w:rPr>
          <w:b w:val="0"/>
          <w:bCs w:val="0"/>
        </w:rPr>
        <w:instrText xml:space="preserve"> HYPERLINK \l "_Toc66260317" </w:instrText>
      </w:r>
      <w:r>
        <w:rPr>
          <w:b w:val="0"/>
          <w:bCs w:val="0"/>
        </w:rPr>
        <w:fldChar w:fldCharType="separate"/>
      </w:r>
      <w:r>
        <w:rPr>
          <w:rStyle w:val="39"/>
          <w:rFonts w:hint="eastAsia"/>
          <w:b w:val="0"/>
          <w:bCs w:val="0"/>
        </w:rPr>
        <w:t>第一部分</w:t>
      </w:r>
      <w:r>
        <w:rPr>
          <w:rStyle w:val="39"/>
          <w:b w:val="0"/>
          <w:bCs w:val="0"/>
        </w:rPr>
        <w:t xml:space="preserve">  </w:t>
      </w:r>
      <w:r>
        <w:rPr>
          <w:rStyle w:val="39"/>
          <w:rFonts w:hint="eastAsia"/>
          <w:b w:val="0"/>
          <w:bCs w:val="0"/>
        </w:rPr>
        <w:t>竞争性谈判公告</w:t>
      </w:r>
      <w:r>
        <w:rPr>
          <w:b w:val="0"/>
          <w:bCs w:val="0"/>
        </w:rPr>
        <w:fldChar w:fldCharType="end"/>
      </w:r>
    </w:p>
    <w:p>
      <w:pPr>
        <w:pStyle w:val="27"/>
        <w:tabs>
          <w:tab w:val="right" w:leader="dot" w:pos="9061"/>
        </w:tabs>
        <w:rPr>
          <w:rFonts w:asciiTheme="minorHAnsi" w:hAnsiTheme="minorHAnsi" w:eastAsiaTheme="minorEastAsia" w:cstheme="minorBidi"/>
          <w:b w:val="0"/>
          <w:bCs w:val="0"/>
          <w:sz w:val="21"/>
          <w:szCs w:val="22"/>
        </w:rPr>
      </w:pPr>
      <w:r>
        <w:rPr>
          <w:b w:val="0"/>
          <w:bCs w:val="0"/>
        </w:rPr>
        <w:fldChar w:fldCharType="begin"/>
      </w:r>
      <w:r>
        <w:rPr>
          <w:b w:val="0"/>
          <w:bCs w:val="0"/>
        </w:rPr>
        <w:instrText xml:space="preserve"> HYPERLINK \l "_Toc66260318" </w:instrText>
      </w:r>
      <w:r>
        <w:rPr>
          <w:b w:val="0"/>
          <w:bCs w:val="0"/>
        </w:rPr>
        <w:fldChar w:fldCharType="separate"/>
      </w:r>
      <w:r>
        <w:rPr>
          <w:rStyle w:val="39"/>
          <w:rFonts w:hint="eastAsia"/>
          <w:b w:val="0"/>
          <w:bCs w:val="0"/>
        </w:rPr>
        <w:t>第二部分</w:t>
      </w:r>
      <w:r>
        <w:rPr>
          <w:rStyle w:val="39"/>
          <w:b w:val="0"/>
          <w:bCs w:val="0"/>
        </w:rPr>
        <w:t xml:space="preserve">  </w:t>
      </w:r>
      <w:r>
        <w:rPr>
          <w:rStyle w:val="39"/>
          <w:rFonts w:hint="eastAsia"/>
          <w:b w:val="0"/>
          <w:bCs w:val="0"/>
        </w:rPr>
        <w:t>竞争性谈判申请人须知</w:t>
      </w:r>
      <w:r>
        <w:rPr>
          <w:b w:val="0"/>
          <w:bCs w:val="0"/>
        </w:rPr>
        <w:fldChar w:fldCharType="end"/>
      </w:r>
    </w:p>
    <w:p>
      <w:pPr>
        <w:pStyle w:val="30"/>
        <w:tabs>
          <w:tab w:val="right" w:leader="dot" w:pos="9061"/>
        </w:tabs>
        <w:ind w:left="600"/>
        <w:rPr>
          <w:rFonts w:asciiTheme="minorHAnsi" w:hAnsiTheme="minorHAnsi" w:eastAsiaTheme="minorEastAsia" w:cstheme="minorBidi"/>
          <w:b w:val="0"/>
          <w:bCs w:val="0"/>
          <w:sz w:val="21"/>
          <w:szCs w:val="22"/>
        </w:rPr>
      </w:pPr>
      <w:r>
        <w:rPr>
          <w:b w:val="0"/>
          <w:bCs w:val="0"/>
        </w:rPr>
        <w:fldChar w:fldCharType="begin"/>
      </w:r>
      <w:r>
        <w:rPr>
          <w:b w:val="0"/>
          <w:bCs w:val="0"/>
        </w:rPr>
        <w:instrText xml:space="preserve"> HYPERLINK \l "_Toc66260319" </w:instrText>
      </w:r>
      <w:r>
        <w:rPr>
          <w:b w:val="0"/>
          <w:bCs w:val="0"/>
        </w:rPr>
        <w:fldChar w:fldCharType="separate"/>
      </w:r>
      <w:r>
        <w:rPr>
          <w:rStyle w:val="39"/>
          <w:rFonts w:hint="eastAsia" w:ascii="宋体" w:hAnsi="宋体"/>
          <w:b w:val="0"/>
          <w:bCs w:val="0"/>
        </w:rPr>
        <w:t>竞争性谈判申请人须知前附表</w:t>
      </w:r>
      <w:r>
        <w:rPr>
          <w:b w:val="0"/>
          <w:bCs w:val="0"/>
        </w:rPr>
        <w:fldChar w:fldCharType="end"/>
      </w:r>
    </w:p>
    <w:p>
      <w:pPr>
        <w:pStyle w:val="30"/>
        <w:tabs>
          <w:tab w:val="right" w:leader="dot" w:pos="9061"/>
        </w:tabs>
        <w:ind w:left="600"/>
        <w:rPr>
          <w:rFonts w:asciiTheme="minorHAnsi" w:hAnsiTheme="minorHAnsi" w:eastAsiaTheme="minorEastAsia" w:cstheme="minorBidi"/>
          <w:b w:val="0"/>
          <w:bCs w:val="0"/>
          <w:sz w:val="21"/>
          <w:szCs w:val="22"/>
        </w:rPr>
      </w:pPr>
      <w:r>
        <w:rPr>
          <w:b w:val="0"/>
          <w:bCs w:val="0"/>
        </w:rPr>
        <w:fldChar w:fldCharType="begin"/>
      </w:r>
      <w:r>
        <w:rPr>
          <w:b w:val="0"/>
          <w:bCs w:val="0"/>
        </w:rPr>
        <w:instrText xml:space="preserve"> HYPERLINK \l "_Toc66260320" </w:instrText>
      </w:r>
      <w:r>
        <w:rPr>
          <w:b w:val="0"/>
          <w:bCs w:val="0"/>
        </w:rPr>
        <w:fldChar w:fldCharType="separate"/>
      </w:r>
      <w:r>
        <w:rPr>
          <w:rStyle w:val="39"/>
          <w:rFonts w:hint="eastAsia" w:ascii="宋体" w:hAnsi="宋体"/>
          <w:b w:val="0"/>
          <w:bCs w:val="0"/>
        </w:rPr>
        <w:t>一、导</w:t>
      </w:r>
      <w:r>
        <w:rPr>
          <w:rStyle w:val="39"/>
          <w:rFonts w:ascii="宋体" w:hAnsi="宋体"/>
          <w:b w:val="0"/>
          <w:bCs w:val="0"/>
        </w:rPr>
        <w:t xml:space="preserve">   </w:t>
      </w:r>
      <w:r>
        <w:rPr>
          <w:rStyle w:val="39"/>
          <w:rFonts w:hint="eastAsia" w:ascii="宋体" w:hAnsi="宋体"/>
          <w:b w:val="0"/>
          <w:bCs w:val="0"/>
        </w:rPr>
        <w:t>言</w:t>
      </w:r>
      <w:r>
        <w:rPr>
          <w:b w:val="0"/>
          <w:bCs w:val="0"/>
        </w:rPr>
        <w:fldChar w:fldCharType="end"/>
      </w:r>
    </w:p>
    <w:p>
      <w:pPr>
        <w:pStyle w:val="30"/>
        <w:tabs>
          <w:tab w:val="right" w:leader="dot" w:pos="9061"/>
        </w:tabs>
        <w:ind w:left="600"/>
        <w:rPr>
          <w:rFonts w:asciiTheme="minorHAnsi" w:hAnsiTheme="minorHAnsi" w:eastAsiaTheme="minorEastAsia" w:cstheme="minorBidi"/>
          <w:b w:val="0"/>
          <w:bCs w:val="0"/>
          <w:sz w:val="21"/>
          <w:szCs w:val="22"/>
        </w:rPr>
      </w:pPr>
      <w:r>
        <w:rPr>
          <w:b w:val="0"/>
          <w:bCs w:val="0"/>
        </w:rPr>
        <w:fldChar w:fldCharType="begin"/>
      </w:r>
      <w:r>
        <w:rPr>
          <w:b w:val="0"/>
          <w:bCs w:val="0"/>
        </w:rPr>
        <w:instrText xml:space="preserve"> HYPERLINK \l "_Toc66260321" </w:instrText>
      </w:r>
      <w:r>
        <w:rPr>
          <w:b w:val="0"/>
          <w:bCs w:val="0"/>
        </w:rPr>
        <w:fldChar w:fldCharType="separate"/>
      </w:r>
      <w:r>
        <w:rPr>
          <w:rStyle w:val="39"/>
          <w:rFonts w:hint="eastAsia" w:ascii="宋体" w:hAnsi="宋体"/>
          <w:b w:val="0"/>
          <w:bCs w:val="0"/>
        </w:rPr>
        <w:t>二、竞争性谈判文件</w:t>
      </w:r>
      <w:r>
        <w:rPr>
          <w:b w:val="0"/>
          <w:bCs w:val="0"/>
        </w:rPr>
        <w:fldChar w:fldCharType="end"/>
      </w:r>
    </w:p>
    <w:p>
      <w:pPr>
        <w:pStyle w:val="30"/>
        <w:tabs>
          <w:tab w:val="right" w:leader="dot" w:pos="9061"/>
        </w:tabs>
        <w:ind w:left="600"/>
        <w:rPr>
          <w:rFonts w:asciiTheme="minorHAnsi" w:hAnsiTheme="minorHAnsi" w:eastAsiaTheme="minorEastAsia" w:cstheme="minorBidi"/>
          <w:b w:val="0"/>
          <w:bCs w:val="0"/>
          <w:sz w:val="21"/>
          <w:szCs w:val="22"/>
        </w:rPr>
      </w:pPr>
      <w:r>
        <w:rPr>
          <w:b w:val="0"/>
          <w:bCs w:val="0"/>
        </w:rPr>
        <w:fldChar w:fldCharType="begin"/>
      </w:r>
      <w:r>
        <w:rPr>
          <w:b w:val="0"/>
          <w:bCs w:val="0"/>
        </w:rPr>
        <w:instrText xml:space="preserve"> HYPERLINK \l "_Toc66260322" </w:instrText>
      </w:r>
      <w:r>
        <w:rPr>
          <w:b w:val="0"/>
          <w:bCs w:val="0"/>
        </w:rPr>
        <w:fldChar w:fldCharType="separate"/>
      </w:r>
      <w:r>
        <w:rPr>
          <w:rStyle w:val="39"/>
          <w:rFonts w:hint="eastAsia" w:ascii="宋体" w:hAnsi="宋体"/>
          <w:b w:val="0"/>
          <w:bCs w:val="0"/>
        </w:rPr>
        <w:t>三、竞争性谈判申请文件的编制</w:t>
      </w:r>
      <w:r>
        <w:rPr>
          <w:b w:val="0"/>
          <w:bCs w:val="0"/>
        </w:rPr>
        <w:fldChar w:fldCharType="end"/>
      </w:r>
    </w:p>
    <w:p>
      <w:pPr>
        <w:pStyle w:val="30"/>
        <w:tabs>
          <w:tab w:val="right" w:leader="dot" w:pos="9061"/>
        </w:tabs>
        <w:ind w:left="600"/>
        <w:rPr>
          <w:rFonts w:asciiTheme="minorHAnsi" w:hAnsiTheme="minorHAnsi" w:eastAsiaTheme="minorEastAsia" w:cstheme="minorBidi"/>
          <w:b w:val="0"/>
          <w:bCs w:val="0"/>
          <w:sz w:val="21"/>
          <w:szCs w:val="22"/>
        </w:rPr>
      </w:pPr>
      <w:r>
        <w:rPr>
          <w:b w:val="0"/>
          <w:bCs w:val="0"/>
        </w:rPr>
        <w:fldChar w:fldCharType="begin"/>
      </w:r>
      <w:r>
        <w:rPr>
          <w:b w:val="0"/>
          <w:bCs w:val="0"/>
        </w:rPr>
        <w:instrText xml:space="preserve"> HYPERLINK \l "_Toc66260323" </w:instrText>
      </w:r>
      <w:r>
        <w:rPr>
          <w:b w:val="0"/>
          <w:bCs w:val="0"/>
        </w:rPr>
        <w:fldChar w:fldCharType="separate"/>
      </w:r>
      <w:r>
        <w:rPr>
          <w:rStyle w:val="39"/>
          <w:rFonts w:hint="eastAsia" w:ascii="宋体" w:hAnsi="宋体"/>
          <w:b w:val="0"/>
          <w:bCs w:val="0"/>
        </w:rPr>
        <w:t>四、竞争性谈判申请文件的密封与递交</w:t>
      </w:r>
      <w:r>
        <w:rPr>
          <w:b w:val="0"/>
          <w:bCs w:val="0"/>
        </w:rPr>
        <w:fldChar w:fldCharType="end"/>
      </w:r>
    </w:p>
    <w:p>
      <w:pPr>
        <w:pStyle w:val="30"/>
        <w:tabs>
          <w:tab w:val="right" w:leader="dot" w:pos="9061"/>
        </w:tabs>
        <w:ind w:left="600"/>
        <w:rPr>
          <w:rFonts w:asciiTheme="minorHAnsi" w:hAnsiTheme="minorHAnsi" w:eastAsiaTheme="minorEastAsia" w:cstheme="minorBidi"/>
          <w:b w:val="0"/>
          <w:bCs w:val="0"/>
          <w:sz w:val="21"/>
          <w:szCs w:val="22"/>
        </w:rPr>
      </w:pPr>
      <w:r>
        <w:rPr>
          <w:b w:val="0"/>
          <w:bCs w:val="0"/>
        </w:rPr>
        <w:fldChar w:fldCharType="begin"/>
      </w:r>
      <w:r>
        <w:rPr>
          <w:b w:val="0"/>
          <w:bCs w:val="0"/>
        </w:rPr>
        <w:instrText xml:space="preserve"> HYPERLINK \l "_Toc66260324" </w:instrText>
      </w:r>
      <w:r>
        <w:rPr>
          <w:b w:val="0"/>
          <w:bCs w:val="0"/>
        </w:rPr>
        <w:fldChar w:fldCharType="separate"/>
      </w:r>
      <w:r>
        <w:rPr>
          <w:rStyle w:val="39"/>
          <w:rFonts w:hint="eastAsia" w:ascii="宋体" w:hAnsi="宋体"/>
          <w:b w:val="0"/>
          <w:bCs w:val="0"/>
        </w:rPr>
        <w:t>五、竞争性谈判程序</w:t>
      </w:r>
      <w:r>
        <w:rPr>
          <w:b w:val="0"/>
          <w:bCs w:val="0"/>
        </w:rPr>
        <w:fldChar w:fldCharType="end"/>
      </w:r>
    </w:p>
    <w:p>
      <w:pPr>
        <w:pStyle w:val="27"/>
        <w:tabs>
          <w:tab w:val="right" w:leader="dot" w:pos="9061"/>
        </w:tabs>
        <w:rPr>
          <w:rFonts w:asciiTheme="minorHAnsi" w:hAnsiTheme="minorHAnsi" w:eastAsiaTheme="minorEastAsia" w:cstheme="minorBidi"/>
          <w:b w:val="0"/>
          <w:bCs w:val="0"/>
          <w:sz w:val="21"/>
          <w:szCs w:val="22"/>
        </w:rPr>
      </w:pPr>
      <w:r>
        <w:rPr>
          <w:b w:val="0"/>
          <w:bCs w:val="0"/>
        </w:rPr>
        <w:fldChar w:fldCharType="begin"/>
      </w:r>
      <w:r>
        <w:rPr>
          <w:b w:val="0"/>
          <w:bCs w:val="0"/>
        </w:rPr>
        <w:instrText xml:space="preserve"> HYPERLINK \l "_Toc66260325" </w:instrText>
      </w:r>
      <w:r>
        <w:rPr>
          <w:b w:val="0"/>
          <w:bCs w:val="0"/>
        </w:rPr>
        <w:fldChar w:fldCharType="separate"/>
      </w:r>
      <w:r>
        <w:rPr>
          <w:rStyle w:val="39"/>
          <w:rFonts w:hint="eastAsia"/>
          <w:b w:val="0"/>
          <w:bCs w:val="0"/>
        </w:rPr>
        <w:t>第三部分采购清单及技术参数</w:t>
      </w:r>
      <w:r>
        <w:rPr>
          <w:b w:val="0"/>
          <w:bCs w:val="0"/>
        </w:rPr>
        <w:fldChar w:fldCharType="end"/>
      </w:r>
    </w:p>
    <w:p>
      <w:pPr>
        <w:pStyle w:val="27"/>
        <w:tabs>
          <w:tab w:val="right" w:leader="dot" w:pos="9061"/>
        </w:tabs>
        <w:rPr>
          <w:rFonts w:asciiTheme="minorHAnsi" w:hAnsiTheme="minorHAnsi" w:eastAsiaTheme="minorEastAsia" w:cstheme="minorBidi"/>
          <w:b w:val="0"/>
          <w:bCs w:val="0"/>
          <w:sz w:val="21"/>
          <w:szCs w:val="22"/>
        </w:rPr>
      </w:pPr>
      <w:r>
        <w:rPr>
          <w:b w:val="0"/>
          <w:bCs w:val="0"/>
        </w:rPr>
        <w:fldChar w:fldCharType="begin"/>
      </w:r>
      <w:r>
        <w:rPr>
          <w:b w:val="0"/>
          <w:bCs w:val="0"/>
        </w:rPr>
        <w:instrText xml:space="preserve"> HYPERLINK \l "_Toc66260326" </w:instrText>
      </w:r>
      <w:r>
        <w:rPr>
          <w:b w:val="0"/>
          <w:bCs w:val="0"/>
        </w:rPr>
        <w:fldChar w:fldCharType="separate"/>
      </w:r>
      <w:r>
        <w:rPr>
          <w:rStyle w:val="39"/>
          <w:rFonts w:hint="eastAsia"/>
          <w:b w:val="0"/>
          <w:bCs w:val="0"/>
        </w:rPr>
        <w:t>第四部分</w:t>
      </w:r>
      <w:r>
        <w:rPr>
          <w:rStyle w:val="39"/>
          <w:b w:val="0"/>
          <w:bCs w:val="0"/>
        </w:rPr>
        <w:t xml:space="preserve"> </w:t>
      </w:r>
      <w:r>
        <w:rPr>
          <w:rStyle w:val="39"/>
          <w:rFonts w:hint="eastAsia"/>
          <w:b w:val="0"/>
          <w:bCs w:val="0"/>
        </w:rPr>
        <w:t>合同格式</w:t>
      </w:r>
      <w:r>
        <w:rPr>
          <w:b w:val="0"/>
          <w:bCs w:val="0"/>
        </w:rPr>
        <w:fldChar w:fldCharType="end"/>
      </w:r>
    </w:p>
    <w:p>
      <w:pPr>
        <w:pStyle w:val="27"/>
        <w:tabs>
          <w:tab w:val="right" w:leader="dot" w:pos="9061"/>
        </w:tabs>
        <w:rPr>
          <w:rFonts w:asciiTheme="minorHAnsi" w:hAnsiTheme="minorHAnsi" w:eastAsiaTheme="minorEastAsia" w:cstheme="minorBidi"/>
          <w:b w:val="0"/>
          <w:bCs w:val="0"/>
          <w:sz w:val="21"/>
          <w:szCs w:val="22"/>
        </w:rPr>
      </w:pPr>
      <w:r>
        <w:rPr>
          <w:b w:val="0"/>
          <w:bCs w:val="0"/>
        </w:rPr>
        <w:fldChar w:fldCharType="begin"/>
      </w:r>
      <w:r>
        <w:rPr>
          <w:b w:val="0"/>
          <w:bCs w:val="0"/>
        </w:rPr>
        <w:instrText xml:space="preserve"> HYPERLINK \l "_Toc66260327" </w:instrText>
      </w:r>
      <w:r>
        <w:rPr>
          <w:b w:val="0"/>
          <w:bCs w:val="0"/>
        </w:rPr>
        <w:fldChar w:fldCharType="separate"/>
      </w:r>
      <w:r>
        <w:rPr>
          <w:rStyle w:val="39"/>
          <w:rFonts w:hint="eastAsia"/>
          <w:b w:val="0"/>
          <w:bCs w:val="0"/>
        </w:rPr>
        <w:t>第五部分</w:t>
      </w:r>
      <w:r>
        <w:rPr>
          <w:rStyle w:val="39"/>
          <w:b w:val="0"/>
          <w:bCs w:val="0"/>
        </w:rPr>
        <w:t xml:space="preserve">  </w:t>
      </w:r>
      <w:r>
        <w:rPr>
          <w:rStyle w:val="39"/>
          <w:rFonts w:hint="eastAsia"/>
          <w:b w:val="0"/>
          <w:bCs w:val="0"/>
        </w:rPr>
        <w:t>竞争性谈判申请文件格式</w:t>
      </w:r>
      <w:r>
        <w:rPr>
          <w:b w:val="0"/>
          <w:bCs w:val="0"/>
        </w:rPr>
        <w:fldChar w:fldCharType="end"/>
      </w:r>
    </w:p>
    <w:p>
      <w:pPr>
        <w:rPr>
          <w:b w:val="0"/>
          <w:bCs w:val="0"/>
        </w:rPr>
      </w:pPr>
      <w:r>
        <w:rPr>
          <w:b w:val="0"/>
          <w:bCs w:val="0"/>
        </w:rPr>
        <w:br w:type="page"/>
      </w:r>
    </w:p>
    <w:p>
      <w:pPr>
        <w:widowControl/>
        <w:spacing w:line="420" w:lineRule="atLeast"/>
        <w:jc w:val="center"/>
      </w:pPr>
      <w:r>
        <w:fldChar w:fldCharType="end"/>
      </w:r>
      <w:bookmarkStart w:id="2" w:name="_Toc66260317"/>
      <w:r>
        <w:rPr>
          <w:rFonts w:hint="eastAsia"/>
        </w:rPr>
        <w:t>第一部分  竞争性谈判公告</w:t>
      </w:r>
      <w:bookmarkEnd w:id="2"/>
      <w:bookmarkStart w:id="3" w:name="_Toc289848429"/>
      <w:bookmarkStart w:id="4" w:name="_Toc276646849"/>
      <w:bookmarkStart w:id="5" w:name="_Toc66260318"/>
      <w:bookmarkStart w:id="6" w:name="_Toc289848540"/>
      <w:bookmarkStart w:id="7" w:name="_Toc289848356"/>
      <w:bookmarkStart w:id="8" w:name="_Toc289848514"/>
    </w:p>
    <w:p>
      <w:pPr>
        <w:jc w:val="center"/>
        <w:rPr>
          <w:rFonts w:hint="eastAsia"/>
          <w:sz w:val="28"/>
          <w:szCs w:val="28"/>
        </w:rPr>
      </w:pPr>
      <w:r>
        <w:rPr>
          <w:rFonts w:hint="eastAsia"/>
          <w:sz w:val="28"/>
          <w:szCs w:val="28"/>
        </w:rPr>
        <w:t>周口市第二人民医院（周口市老年医院）七一路院区部分病房安装中央空调项目-竞争性谈判公告</w:t>
      </w:r>
    </w:p>
    <w:p>
      <w:pPr>
        <w:spacing w:line="460" w:lineRule="exact"/>
        <w:rPr>
          <w:rFonts w:hint="eastAsia"/>
          <w:sz w:val="24"/>
          <w:szCs w:val="24"/>
        </w:rPr>
      </w:pPr>
      <w:r>
        <w:rPr>
          <w:rFonts w:hint="eastAsia"/>
          <w:sz w:val="24"/>
          <w:szCs w:val="24"/>
        </w:rPr>
        <w:t>项目概况</w:t>
      </w:r>
    </w:p>
    <w:p>
      <w:pPr>
        <w:spacing w:line="460" w:lineRule="exact"/>
        <w:ind w:firstLine="480" w:firstLineChars="200"/>
        <w:rPr>
          <w:rFonts w:hint="eastAsia"/>
          <w:sz w:val="24"/>
          <w:szCs w:val="24"/>
        </w:rPr>
      </w:pPr>
      <w:r>
        <w:rPr>
          <w:rFonts w:hint="eastAsia"/>
          <w:sz w:val="24"/>
          <w:szCs w:val="24"/>
        </w:rPr>
        <w:t>周口市第二人民医院（周口市老年医院）七一路院区部分病房安装中央空调项目招标项目的潜在投标人应在河南省周口市庆丰街昌建新世界A座13A18室获取招标文件，并于2024年01月02日15时00分（北京时间）前递交响应文件。</w:t>
      </w:r>
    </w:p>
    <w:p>
      <w:pPr>
        <w:spacing w:line="460" w:lineRule="exact"/>
        <w:rPr>
          <w:rFonts w:hint="eastAsia"/>
          <w:sz w:val="24"/>
          <w:szCs w:val="24"/>
        </w:rPr>
      </w:pPr>
      <w:r>
        <w:rPr>
          <w:rFonts w:hint="eastAsia"/>
          <w:sz w:val="24"/>
          <w:szCs w:val="24"/>
        </w:rPr>
        <w:t>一、项目基本情况</w:t>
      </w:r>
    </w:p>
    <w:p>
      <w:pPr>
        <w:spacing w:line="460" w:lineRule="exact"/>
        <w:ind w:firstLine="240" w:firstLineChars="100"/>
        <w:rPr>
          <w:rFonts w:hint="eastAsia"/>
          <w:sz w:val="24"/>
          <w:szCs w:val="24"/>
        </w:rPr>
      </w:pPr>
      <w:r>
        <w:rPr>
          <w:rFonts w:hint="eastAsia"/>
          <w:sz w:val="24"/>
          <w:szCs w:val="24"/>
        </w:rPr>
        <w:t>1、项目编号：2023-12-277</w:t>
      </w:r>
    </w:p>
    <w:p>
      <w:pPr>
        <w:spacing w:line="460" w:lineRule="exact"/>
        <w:ind w:firstLine="240" w:firstLineChars="100"/>
        <w:rPr>
          <w:rFonts w:hint="eastAsia"/>
          <w:sz w:val="24"/>
          <w:szCs w:val="24"/>
        </w:rPr>
      </w:pPr>
      <w:r>
        <w:rPr>
          <w:rFonts w:hint="eastAsia"/>
          <w:sz w:val="24"/>
          <w:szCs w:val="24"/>
        </w:rPr>
        <w:t>2、项目名称：周口市第二人民医院（周口市老年医院）七一路院区部分病房安装中央空调项目</w:t>
      </w:r>
    </w:p>
    <w:p>
      <w:pPr>
        <w:spacing w:line="460" w:lineRule="exact"/>
        <w:ind w:firstLine="240" w:firstLineChars="100"/>
        <w:rPr>
          <w:rFonts w:hint="eastAsia"/>
          <w:sz w:val="24"/>
          <w:szCs w:val="24"/>
        </w:rPr>
      </w:pPr>
      <w:r>
        <w:rPr>
          <w:rFonts w:hint="eastAsia"/>
          <w:sz w:val="24"/>
          <w:szCs w:val="24"/>
        </w:rPr>
        <w:t>3、采购方式：竞争性谈判</w:t>
      </w:r>
    </w:p>
    <w:p>
      <w:pPr>
        <w:spacing w:line="460" w:lineRule="exact"/>
        <w:ind w:firstLine="240" w:firstLineChars="100"/>
        <w:rPr>
          <w:rFonts w:hint="eastAsia"/>
          <w:sz w:val="24"/>
          <w:szCs w:val="24"/>
        </w:rPr>
      </w:pPr>
      <w:r>
        <w:rPr>
          <w:rFonts w:hint="eastAsia"/>
          <w:sz w:val="24"/>
          <w:szCs w:val="24"/>
        </w:rPr>
        <w:t>4、预算金额：380,000.00元</w:t>
      </w:r>
    </w:p>
    <w:p>
      <w:pPr>
        <w:spacing w:line="460" w:lineRule="exact"/>
        <w:ind w:firstLine="240" w:firstLineChars="100"/>
        <w:rPr>
          <w:rFonts w:hint="eastAsia"/>
          <w:sz w:val="24"/>
          <w:szCs w:val="24"/>
        </w:rPr>
      </w:pPr>
      <w:r>
        <w:rPr>
          <w:rFonts w:hint="eastAsia"/>
          <w:sz w:val="24"/>
          <w:szCs w:val="24"/>
        </w:rPr>
        <w:t>最高限价：380000元</w:t>
      </w:r>
    </w:p>
    <w:tbl>
      <w:tblPr>
        <w:tblStyle w:val="35"/>
        <w:tblW w:w="96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102"/>
        <w:gridCol w:w="3823"/>
        <w:gridCol w:w="1893"/>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45" w:type="dxa"/>
            <w:vAlign w:val="center"/>
          </w:tcPr>
          <w:p>
            <w:pPr>
              <w:spacing w:line="460" w:lineRule="exact"/>
              <w:rPr>
                <w:sz w:val="24"/>
                <w:szCs w:val="24"/>
              </w:rPr>
            </w:pPr>
            <w:r>
              <w:rPr>
                <w:rFonts w:hint="eastAsia"/>
                <w:sz w:val="24"/>
                <w:szCs w:val="24"/>
              </w:rPr>
              <w:t>序号</w:t>
            </w:r>
          </w:p>
        </w:tc>
        <w:tc>
          <w:tcPr>
            <w:tcW w:w="1102" w:type="dxa"/>
            <w:vAlign w:val="center"/>
          </w:tcPr>
          <w:p>
            <w:pPr>
              <w:spacing w:line="460" w:lineRule="exact"/>
              <w:rPr>
                <w:sz w:val="24"/>
                <w:szCs w:val="24"/>
              </w:rPr>
            </w:pPr>
            <w:r>
              <w:rPr>
                <w:rFonts w:hint="eastAsia"/>
                <w:sz w:val="24"/>
                <w:szCs w:val="24"/>
              </w:rPr>
              <w:t>包号</w:t>
            </w:r>
          </w:p>
        </w:tc>
        <w:tc>
          <w:tcPr>
            <w:tcW w:w="3823" w:type="dxa"/>
            <w:vAlign w:val="center"/>
          </w:tcPr>
          <w:p>
            <w:pPr>
              <w:spacing w:line="460" w:lineRule="exact"/>
              <w:rPr>
                <w:sz w:val="24"/>
                <w:szCs w:val="24"/>
              </w:rPr>
            </w:pPr>
            <w:r>
              <w:rPr>
                <w:rFonts w:hint="eastAsia"/>
                <w:sz w:val="24"/>
                <w:szCs w:val="24"/>
              </w:rPr>
              <w:t>包名称</w:t>
            </w:r>
          </w:p>
        </w:tc>
        <w:tc>
          <w:tcPr>
            <w:tcW w:w="1893" w:type="dxa"/>
            <w:vAlign w:val="center"/>
          </w:tcPr>
          <w:p>
            <w:pPr>
              <w:spacing w:line="460" w:lineRule="exact"/>
              <w:rPr>
                <w:sz w:val="24"/>
                <w:szCs w:val="24"/>
              </w:rPr>
            </w:pPr>
            <w:r>
              <w:rPr>
                <w:rFonts w:hint="eastAsia"/>
                <w:sz w:val="24"/>
                <w:szCs w:val="24"/>
              </w:rPr>
              <w:t>包预算（元）</w:t>
            </w:r>
          </w:p>
        </w:tc>
        <w:tc>
          <w:tcPr>
            <w:tcW w:w="1893" w:type="dxa"/>
            <w:vAlign w:val="center"/>
          </w:tcPr>
          <w:p>
            <w:pPr>
              <w:spacing w:line="460" w:lineRule="exact"/>
              <w:rPr>
                <w:sz w:val="24"/>
                <w:szCs w:val="24"/>
              </w:rPr>
            </w:pPr>
            <w:r>
              <w:rPr>
                <w:rFonts w:hint="eastAsia"/>
                <w:sz w:val="24"/>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945" w:type="dxa"/>
            <w:vAlign w:val="center"/>
          </w:tcPr>
          <w:p>
            <w:pPr>
              <w:spacing w:line="460" w:lineRule="exact"/>
              <w:rPr>
                <w:sz w:val="24"/>
                <w:szCs w:val="24"/>
              </w:rPr>
            </w:pPr>
            <w:r>
              <w:rPr>
                <w:rFonts w:hint="eastAsia"/>
                <w:sz w:val="24"/>
                <w:szCs w:val="24"/>
              </w:rPr>
              <w:t>1</w:t>
            </w:r>
          </w:p>
        </w:tc>
        <w:tc>
          <w:tcPr>
            <w:tcW w:w="1102" w:type="dxa"/>
            <w:vAlign w:val="center"/>
          </w:tcPr>
          <w:p>
            <w:pPr>
              <w:spacing w:line="460" w:lineRule="exact"/>
              <w:rPr>
                <w:sz w:val="24"/>
                <w:szCs w:val="24"/>
              </w:rPr>
            </w:pPr>
            <w:r>
              <w:rPr>
                <w:rFonts w:hint="eastAsia"/>
                <w:sz w:val="24"/>
                <w:szCs w:val="24"/>
              </w:rPr>
              <w:t>1</w:t>
            </w:r>
          </w:p>
        </w:tc>
        <w:tc>
          <w:tcPr>
            <w:tcW w:w="3823" w:type="dxa"/>
            <w:vAlign w:val="center"/>
          </w:tcPr>
          <w:p>
            <w:pPr>
              <w:spacing w:line="460" w:lineRule="exact"/>
              <w:rPr>
                <w:sz w:val="24"/>
                <w:szCs w:val="24"/>
              </w:rPr>
            </w:pPr>
            <w:r>
              <w:rPr>
                <w:rFonts w:hint="eastAsia"/>
                <w:sz w:val="24"/>
                <w:szCs w:val="24"/>
              </w:rPr>
              <w:t>周口市第二人民医院(周口市老年医院)七一路院区部分病房安装中央空调项目</w:t>
            </w:r>
          </w:p>
        </w:tc>
        <w:tc>
          <w:tcPr>
            <w:tcW w:w="1893" w:type="dxa"/>
            <w:vAlign w:val="center"/>
          </w:tcPr>
          <w:p>
            <w:pPr>
              <w:spacing w:line="460" w:lineRule="exact"/>
              <w:rPr>
                <w:sz w:val="24"/>
                <w:szCs w:val="24"/>
              </w:rPr>
            </w:pPr>
            <w:r>
              <w:rPr>
                <w:rFonts w:hint="eastAsia"/>
                <w:sz w:val="24"/>
                <w:szCs w:val="24"/>
              </w:rPr>
              <w:t>380000</w:t>
            </w:r>
          </w:p>
        </w:tc>
        <w:tc>
          <w:tcPr>
            <w:tcW w:w="1893" w:type="dxa"/>
            <w:vAlign w:val="center"/>
          </w:tcPr>
          <w:p>
            <w:pPr>
              <w:spacing w:line="460" w:lineRule="exact"/>
              <w:rPr>
                <w:sz w:val="24"/>
                <w:szCs w:val="24"/>
              </w:rPr>
            </w:pPr>
            <w:r>
              <w:rPr>
                <w:rFonts w:hint="eastAsia"/>
                <w:sz w:val="24"/>
                <w:szCs w:val="24"/>
              </w:rPr>
              <w:t>380000</w:t>
            </w:r>
          </w:p>
        </w:tc>
      </w:tr>
    </w:tbl>
    <w:p>
      <w:pPr>
        <w:spacing w:line="460" w:lineRule="exact"/>
        <w:ind w:firstLine="240" w:firstLineChars="100"/>
        <w:rPr>
          <w:rFonts w:hint="eastAsia"/>
          <w:sz w:val="24"/>
          <w:szCs w:val="24"/>
        </w:rPr>
      </w:pPr>
      <w:r>
        <w:rPr>
          <w:rFonts w:hint="eastAsia"/>
          <w:sz w:val="24"/>
          <w:szCs w:val="24"/>
        </w:rPr>
        <w:t>5、采购需求（包括但不限于标的的名称、数量、简要技术需求或服务要求等）</w:t>
      </w:r>
    </w:p>
    <w:p>
      <w:pPr>
        <w:spacing w:line="460" w:lineRule="exact"/>
        <w:ind w:firstLine="480" w:firstLineChars="200"/>
        <w:rPr>
          <w:rFonts w:hint="eastAsia"/>
          <w:sz w:val="24"/>
          <w:szCs w:val="24"/>
        </w:rPr>
      </w:pPr>
      <w:r>
        <w:rPr>
          <w:rFonts w:hint="eastAsia"/>
          <w:sz w:val="24"/>
          <w:szCs w:val="24"/>
        </w:rPr>
        <w:t>1）、采购内容：空调机组（详见竞争性谈判文件）</w:t>
      </w:r>
    </w:p>
    <w:p>
      <w:pPr>
        <w:spacing w:line="460" w:lineRule="exact"/>
        <w:ind w:firstLine="480" w:firstLineChars="200"/>
        <w:rPr>
          <w:rFonts w:hint="eastAsia"/>
          <w:sz w:val="24"/>
          <w:szCs w:val="24"/>
        </w:rPr>
      </w:pPr>
      <w:r>
        <w:rPr>
          <w:rFonts w:hint="eastAsia"/>
          <w:sz w:val="24"/>
          <w:szCs w:val="24"/>
        </w:rPr>
        <w:t>2）、标段划分：1个标段</w:t>
      </w:r>
    </w:p>
    <w:p>
      <w:pPr>
        <w:spacing w:line="460" w:lineRule="exact"/>
        <w:ind w:firstLine="480" w:firstLineChars="200"/>
        <w:rPr>
          <w:rFonts w:hint="eastAsia"/>
          <w:sz w:val="24"/>
          <w:szCs w:val="24"/>
        </w:rPr>
      </w:pPr>
      <w:r>
        <w:rPr>
          <w:rFonts w:hint="eastAsia"/>
          <w:sz w:val="24"/>
          <w:szCs w:val="24"/>
        </w:rPr>
        <w:t>3）、质 量：合 格</w:t>
      </w:r>
    </w:p>
    <w:p>
      <w:pPr>
        <w:spacing w:line="460" w:lineRule="exact"/>
        <w:ind w:firstLine="240" w:firstLineChars="100"/>
        <w:rPr>
          <w:rFonts w:hint="eastAsia"/>
          <w:sz w:val="24"/>
          <w:szCs w:val="24"/>
        </w:rPr>
      </w:pPr>
      <w:r>
        <w:rPr>
          <w:rFonts w:hint="eastAsia"/>
          <w:sz w:val="24"/>
          <w:szCs w:val="24"/>
        </w:rPr>
        <w:t>6、合同履行期限：15日历天</w:t>
      </w:r>
    </w:p>
    <w:p>
      <w:pPr>
        <w:spacing w:line="460" w:lineRule="exact"/>
        <w:ind w:firstLine="240" w:firstLineChars="100"/>
        <w:rPr>
          <w:rFonts w:hint="eastAsia"/>
          <w:sz w:val="24"/>
          <w:szCs w:val="24"/>
        </w:rPr>
      </w:pPr>
      <w:r>
        <w:rPr>
          <w:rFonts w:hint="eastAsia"/>
          <w:sz w:val="24"/>
          <w:szCs w:val="24"/>
        </w:rPr>
        <w:t>7、本项目是否接受联合体投标：否</w:t>
      </w:r>
    </w:p>
    <w:p>
      <w:pPr>
        <w:spacing w:line="460" w:lineRule="exact"/>
        <w:ind w:firstLine="240" w:firstLineChars="100"/>
        <w:rPr>
          <w:rFonts w:hint="eastAsia"/>
          <w:sz w:val="24"/>
          <w:szCs w:val="24"/>
        </w:rPr>
      </w:pPr>
      <w:r>
        <w:rPr>
          <w:rFonts w:hint="eastAsia"/>
          <w:sz w:val="24"/>
          <w:szCs w:val="24"/>
        </w:rPr>
        <w:t>8、是否接受进口产品：否</w:t>
      </w:r>
    </w:p>
    <w:p>
      <w:pPr>
        <w:spacing w:line="460" w:lineRule="exact"/>
        <w:rPr>
          <w:rFonts w:hint="eastAsia"/>
          <w:sz w:val="24"/>
          <w:szCs w:val="24"/>
        </w:rPr>
      </w:pPr>
      <w:r>
        <w:rPr>
          <w:rFonts w:hint="eastAsia"/>
          <w:sz w:val="24"/>
          <w:szCs w:val="24"/>
        </w:rPr>
        <w:t>二、申请人资格要求：</w:t>
      </w:r>
    </w:p>
    <w:p>
      <w:pPr>
        <w:spacing w:line="460" w:lineRule="exact"/>
        <w:ind w:firstLine="240" w:firstLineChars="100"/>
        <w:rPr>
          <w:rFonts w:hint="eastAsia"/>
          <w:sz w:val="24"/>
          <w:szCs w:val="24"/>
        </w:rPr>
      </w:pPr>
      <w:r>
        <w:rPr>
          <w:rFonts w:hint="eastAsia"/>
          <w:sz w:val="24"/>
          <w:szCs w:val="24"/>
        </w:rPr>
        <w:t>1、满足《中华人民共和国政府采购法》第二十二条规定；</w:t>
      </w:r>
    </w:p>
    <w:p>
      <w:pPr>
        <w:spacing w:line="460" w:lineRule="exact"/>
        <w:ind w:firstLine="240" w:firstLineChars="100"/>
        <w:rPr>
          <w:rFonts w:hint="eastAsia"/>
          <w:sz w:val="24"/>
          <w:szCs w:val="24"/>
        </w:rPr>
      </w:pPr>
      <w:r>
        <w:rPr>
          <w:rFonts w:hint="eastAsia"/>
          <w:sz w:val="24"/>
          <w:szCs w:val="24"/>
        </w:rPr>
        <w:t>2、落实政府采购政策满足的资格要求：</w:t>
      </w:r>
    </w:p>
    <w:p>
      <w:pPr>
        <w:spacing w:line="460" w:lineRule="exact"/>
        <w:ind w:firstLine="240" w:firstLineChars="100"/>
        <w:rPr>
          <w:rFonts w:hint="eastAsia"/>
          <w:sz w:val="24"/>
          <w:szCs w:val="24"/>
        </w:rPr>
      </w:pPr>
      <w:r>
        <w:rPr>
          <w:rFonts w:hint="eastAsia"/>
          <w:sz w:val="24"/>
          <w:szCs w:val="24"/>
        </w:rPr>
        <w:t>促进中小企业和监狱企业发展扶持政策、政府强制采购节能产品强制采购、节能产品及环境标志产品优先采购、促进残疾人就业政府采购政策。</w:t>
      </w:r>
    </w:p>
    <w:p>
      <w:pPr>
        <w:spacing w:line="460" w:lineRule="exact"/>
        <w:ind w:firstLine="240" w:firstLineChars="100"/>
        <w:rPr>
          <w:rFonts w:hint="eastAsia"/>
          <w:sz w:val="24"/>
          <w:szCs w:val="24"/>
        </w:rPr>
      </w:pPr>
      <w:r>
        <w:rPr>
          <w:rFonts w:hint="eastAsia"/>
          <w:sz w:val="24"/>
          <w:szCs w:val="24"/>
        </w:rPr>
        <w:t>3、本项目的特定资格要求</w:t>
      </w:r>
    </w:p>
    <w:p>
      <w:pPr>
        <w:spacing w:line="460" w:lineRule="exact"/>
        <w:ind w:firstLine="240" w:firstLineChars="100"/>
        <w:rPr>
          <w:rFonts w:hint="eastAsia"/>
          <w:sz w:val="24"/>
          <w:szCs w:val="24"/>
        </w:rPr>
      </w:pPr>
      <w:r>
        <w:rPr>
          <w:rFonts w:hint="eastAsia"/>
          <w:sz w:val="24"/>
          <w:szCs w:val="24"/>
        </w:rPr>
        <w:t>3.1依据财库[2016]125号文件规定，对列入失信被执行人、重大税收违法失信主体、政府采购严重违法失信行为记录名单及其他不符合《中华人民共和国政府采购法》第二十二条规定条件的供应商，拒绝其参与本次政府采购活动。投标人需通过“信用中国”网站(www.creditchina.gov.cn)对“列入失信被执行人、重大税收违法失信主体、政府采购严重违法失信行为记录名单”企业和法定代表人的查询，通过中国政府采购网(www.ccgp.gov.cn)对“政府采购严重违法失信行为信息记录”企业信用记录查询（投标文件中提供网站查询截屏，查询时间公告后有效）；</w:t>
      </w:r>
    </w:p>
    <w:p>
      <w:pPr>
        <w:spacing w:line="460" w:lineRule="exact"/>
        <w:rPr>
          <w:rFonts w:hint="eastAsia"/>
          <w:sz w:val="24"/>
          <w:szCs w:val="24"/>
        </w:rPr>
      </w:pPr>
      <w:r>
        <w:rPr>
          <w:rFonts w:hint="eastAsia"/>
          <w:sz w:val="24"/>
          <w:szCs w:val="24"/>
        </w:rPr>
        <w:t>三、获取采购文件</w:t>
      </w:r>
    </w:p>
    <w:p>
      <w:pPr>
        <w:spacing w:line="460" w:lineRule="exact"/>
        <w:ind w:firstLine="240" w:firstLineChars="100"/>
        <w:rPr>
          <w:rFonts w:hint="eastAsia"/>
          <w:sz w:val="24"/>
          <w:szCs w:val="24"/>
        </w:rPr>
      </w:pPr>
      <w:r>
        <w:rPr>
          <w:rFonts w:hint="eastAsia"/>
          <w:sz w:val="24"/>
          <w:szCs w:val="24"/>
        </w:rPr>
        <w:t>1.时间：2023年12月27日 至 2023年12月29日，每天上午08:30至12:00，下午14:30至17:00（北京时间，法定节假日除外。）</w:t>
      </w:r>
    </w:p>
    <w:p>
      <w:pPr>
        <w:spacing w:line="460" w:lineRule="exact"/>
        <w:ind w:firstLine="240" w:firstLineChars="100"/>
        <w:rPr>
          <w:rFonts w:hint="eastAsia"/>
          <w:sz w:val="24"/>
          <w:szCs w:val="24"/>
        </w:rPr>
      </w:pPr>
      <w:r>
        <w:rPr>
          <w:rFonts w:hint="eastAsia"/>
          <w:sz w:val="24"/>
          <w:szCs w:val="24"/>
        </w:rPr>
        <w:t>2.地点：河南省周口市庆丰街昌建新世界A座13A18室</w:t>
      </w:r>
    </w:p>
    <w:p>
      <w:pPr>
        <w:spacing w:line="460" w:lineRule="exact"/>
        <w:ind w:firstLine="240" w:firstLineChars="100"/>
        <w:rPr>
          <w:rFonts w:hint="eastAsia"/>
          <w:sz w:val="24"/>
          <w:szCs w:val="24"/>
        </w:rPr>
      </w:pPr>
      <w:r>
        <w:rPr>
          <w:rFonts w:hint="eastAsia"/>
          <w:sz w:val="24"/>
          <w:szCs w:val="24"/>
        </w:rPr>
        <w:t>3.方式：现场购买，购买谈判文件时需携带：法定代表人授权委托书、授权代表身份证，有效的企业营业执照及（竞争性谈判申请人资格要求）中的各项资质证书及证明材料，以上材料需提供复印件两套并加盖公司公章并胶装成册，查验原件、复印件留存。</w:t>
      </w:r>
    </w:p>
    <w:p>
      <w:pPr>
        <w:spacing w:line="460" w:lineRule="exact"/>
        <w:ind w:firstLine="240" w:firstLineChars="100"/>
        <w:rPr>
          <w:rFonts w:hint="eastAsia"/>
          <w:sz w:val="24"/>
          <w:szCs w:val="24"/>
        </w:rPr>
      </w:pPr>
      <w:r>
        <w:rPr>
          <w:rFonts w:hint="eastAsia"/>
          <w:sz w:val="24"/>
          <w:szCs w:val="24"/>
        </w:rPr>
        <w:t>4.售价：500元</w:t>
      </w:r>
    </w:p>
    <w:p>
      <w:pPr>
        <w:spacing w:line="460" w:lineRule="exact"/>
        <w:rPr>
          <w:rFonts w:hint="eastAsia"/>
          <w:sz w:val="24"/>
          <w:szCs w:val="24"/>
        </w:rPr>
      </w:pPr>
      <w:r>
        <w:rPr>
          <w:rFonts w:hint="eastAsia"/>
          <w:sz w:val="24"/>
          <w:szCs w:val="24"/>
        </w:rPr>
        <w:t>四、响应文件提交</w:t>
      </w:r>
    </w:p>
    <w:p>
      <w:pPr>
        <w:spacing w:line="460" w:lineRule="exact"/>
        <w:ind w:firstLine="240" w:firstLineChars="100"/>
        <w:rPr>
          <w:rFonts w:hint="eastAsia"/>
          <w:sz w:val="24"/>
          <w:szCs w:val="24"/>
        </w:rPr>
      </w:pPr>
      <w:r>
        <w:rPr>
          <w:rFonts w:hint="eastAsia"/>
          <w:sz w:val="24"/>
          <w:szCs w:val="24"/>
        </w:rPr>
        <w:t>1.截止时间：2024年01月02日15时00分（北京时间）</w:t>
      </w:r>
    </w:p>
    <w:p>
      <w:pPr>
        <w:spacing w:line="460" w:lineRule="exact"/>
        <w:ind w:firstLine="240" w:firstLineChars="100"/>
        <w:rPr>
          <w:rFonts w:hint="eastAsia"/>
          <w:sz w:val="24"/>
          <w:szCs w:val="24"/>
        </w:rPr>
      </w:pPr>
      <w:r>
        <w:rPr>
          <w:rFonts w:hint="eastAsia"/>
          <w:sz w:val="24"/>
          <w:szCs w:val="24"/>
        </w:rPr>
        <w:t>2.地点：河南省周口市庆丰街昌建新世界A座13A18室</w:t>
      </w:r>
    </w:p>
    <w:p>
      <w:pPr>
        <w:spacing w:line="460" w:lineRule="exact"/>
        <w:rPr>
          <w:rFonts w:hint="eastAsia"/>
          <w:sz w:val="24"/>
          <w:szCs w:val="24"/>
        </w:rPr>
      </w:pPr>
      <w:r>
        <w:rPr>
          <w:rFonts w:hint="eastAsia"/>
          <w:sz w:val="24"/>
          <w:szCs w:val="24"/>
        </w:rPr>
        <w:t>五、响应文件开启</w:t>
      </w:r>
    </w:p>
    <w:p>
      <w:pPr>
        <w:spacing w:line="460" w:lineRule="exact"/>
        <w:ind w:firstLine="240" w:firstLineChars="100"/>
        <w:rPr>
          <w:rFonts w:hint="eastAsia"/>
          <w:sz w:val="24"/>
          <w:szCs w:val="24"/>
        </w:rPr>
      </w:pPr>
      <w:r>
        <w:rPr>
          <w:rFonts w:hint="eastAsia"/>
          <w:sz w:val="24"/>
          <w:szCs w:val="24"/>
        </w:rPr>
        <w:t>1.时间：2024年01月02日15时00分（北京时间）</w:t>
      </w:r>
    </w:p>
    <w:p>
      <w:pPr>
        <w:spacing w:line="460" w:lineRule="exact"/>
        <w:ind w:firstLine="240" w:firstLineChars="100"/>
        <w:rPr>
          <w:rFonts w:hint="eastAsia"/>
          <w:sz w:val="24"/>
          <w:szCs w:val="24"/>
        </w:rPr>
      </w:pPr>
      <w:r>
        <w:rPr>
          <w:rFonts w:hint="eastAsia"/>
          <w:sz w:val="24"/>
          <w:szCs w:val="24"/>
        </w:rPr>
        <w:t>2.地点：河南省周口市庆丰街昌建新世界A座13A18室</w:t>
      </w:r>
    </w:p>
    <w:p>
      <w:pPr>
        <w:spacing w:line="460" w:lineRule="exact"/>
        <w:rPr>
          <w:rFonts w:hint="eastAsia"/>
          <w:sz w:val="24"/>
          <w:szCs w:val="24"/>
        </w:rPr>
      </w:pPr>
      <w:r>
        <w:rPr>
          <w:rFonts w:hint="eastAsia"/>
          <w:sz w:val="24"/>
          <w:szCs w:val="24"/>
        </w:rPr>
        <w:t>六、发布公告的媒介及招标公告期限</w:t>
      </w:r>
    </w:p>
    <w:p>
      <w:pPr>
        <w:spacing w:line="460" w:lineRule="exact"/>
        <w:ind w:firstLine="240" w:firstLineChars="100"/>
        <w:rPr>
          <w:rFonts w:hint="eastAsia"/>
          <w:sz w:val="24"/>
          <w:szCs w:val="24"/>
        </w:rPr>
      </w:pPr>
      <w:r>
        <w:rPr>
          <w:rFonts w:hint="eastAsia"/>
          <w:sz w:val="24"/>
          <w:szCs w:val="24"/>
        </w:rPr>
        <w:t>本次招标公告在《河南省政府采购网》《中国采购与招标网》、《中国招标投标公共服务平台》上发布， 招标公告期限为三个工作日 。</w:t>
      </w:r>
    </w:p>
    <w:p>
      <w:pPr>
        <w:spacing w:line="460" w:lineRule="exact"/>
        <w:rPr>
          <w:rFonts w:hint="eastAsia"/>
          <w:sz w:val="24"/>
          <w:szCs w:val="24"/>
        </w:rPr>
      </w:pPr>
      <w:r>
        <w:rPr>
          <w:rFonts w:hint="eastAsia"/>
          <w:sz w:val="24"/>
          <w:szCs w:val="24"/>
        </w:rPr>
        <w:t>七、其他补充事宜：无</w:t>
      </w:r>
    </w:p>
    <w:p>
      <w:pPr>
        <w:spacing w:line="460" w:lineRule="exact"/>
        <w:rPr>
          <w:rFonts w:hint="eastAsia"/>
          <w:sz w:val="24"/>
          <w:szCs w:val="24"/>
        </w:rPr>
      </w:pPr>
      <w:r>
        <w:rPr>
          <w:rFonts w:hint="eastAsia"/>
          <w:sz w:val="24"/>
          <w:szCs w:val="24"/>
        </w:rPr>
        <w:t>八、凡对本次招标提出询问，请按照以下方式联系</w:t>
      </w:r>
    </w:p>
    <w:p>
      <w:pPr>
        <w:spacing w:line="460" w:lineRule="exact"/>
        <w:ind w:firstLine="240" w:firstLineChars="100"/>
        <w:rPr>
          <w:rFonts w:hint="eastAsia"/>
          <w:sz w:val="24"/>
          <w:szCs w:val="24"/>
        </w:rPr>
      </w:pPr>
      <w:r>
        <w:rPr>
          <w:rFonts w:hint="eastAsia"/>
          <w:sz w:val="24"/>
          <w:szCs w:val="24"/>
        </w:rPr>
        <w:t>1. 采购人信息</w:t>
      </w:r>
    </w:p>
    <w:p>
      <w:pPr>
        <w:spacing w:line="460" w:lineRule="exact"/>
        <w:ind w:firstLine="240" w:firstLineChars="100"/>
        <w:rPr>
          <w:rFonts w:hint="eastAsia"/>
          <w:sz w:val="24"/>
          <w:szCs w:val="24"/>
        </w:rPr>
      </w:pPr>
      <w:r>
        <w:rPr>
          <w:rFonts w:hint="eastAsia"/>
          <w:sz w:val="24"/>
          <w:szCs w:val="24"/>
        </w:rPr>
        <w:t>名称：周口市第二人民医院(周口市老年医院）</w:t>
      </w:r>
    </w:p>
    <w:p>
      <w:pPr>
        <w:spacing w:line="460" w:lineRule="exact"/>
        <w:ind w:firstLine="240" w:firstLineChars="100"/>
        <w:rPr>
          <w:rFonts w:hint="eastAsia"/>
          <w:sz w:val="24"/>
          <w:szCs w:val="24"/>
        </w:rPr>
      </w:pPr>
      <w:r>
        <w:rPr>
          <w:rFonts w:hint="eastAsia"/>
          <w:sz w:val="24"/>
          <w:szCs w:val="24"/>
        </w:rPr>
        <w:t>地址：周口市川汇区</w:t>
      </w:r>
    </w:p>
    <w:p>
      <w:pPr>
        <w:spacing w:line="460" w:lineRule="exact"/>
        <w:ind w:firstLine="240" w:firstLineChars="100"/>
        <w:rPr>
          <w:rFonts w:hint="eastAsia"/>
          <w:sz w:val="24"/>
          <w:szCs w:val="24"/>
        </w:rPr>
      </w:pPr>
      <w:r>
        <w:rPr>
          <w:rFonts w:hint="eastAsia"/>
          <w:sz w:val="24"/>
          <w:szCs w:val="24"/>
        </w:rPr>
        <w:t>联系人：卢晓玲</w:t>
      </w:r>
    </w:p>
    <w:p>
      <w:pPr>
        <w:spacing w:line="460" w:lineRule="exact"/>
        <w:ind w:firstLine="240" w:firstLineChars="100"/>
        <w:rPr>
          <w:rFonts w:hint="eastAsia"/>
          <w:sz w:val="24"/>
          <w:szCs w:val="24"/>
        </w:rPr>
      </w:pPr>
      <w:r>
        <w:rPr>
          <w:rFonts w:hint="eastAsia"/>
          <w:sz w:val="24"/>
          <w:szCs w:val="24"/>
        </w:rPr>
        <w:t>联系方式：15836256619</w:t>
      </w:r>
    </w:p>
    <w:p>
      <w:pPr>
        <w:spacing w:line="460" w:lineRule="exact"/>
        <w:ind w:firstLine="240" w:firstLineChars="100"/>
        <w:rPr>
          <w:rFonts w:hint="eastAsia"/>
          <w:sz w:val="24"/>
          <w:szCs w:val="24"/>
        </w:rPr>
      </w:pPr>
      <w:r>
        <w:rPr>
          <w:rFonts w:hint="eastAsia"/>
          <w:sz w:val="24"/>
          <w:szCs w:val="24"/>
        </w:rPr>
        <w:t>2.采购代理机构信息（如有）</w:t>
      </w:r>
    </w:p>
    <w:p>
      <w:pPr>
        <w:spacing w:line="460" w:lineRule="exact"/>
        <w:ind w:firstLine="240" w:firstLineChars="100"/>
        <w:rPr>
          <w:rFonts w:hint="eastAsia"/>
          <w:sz w:val="24"/>
          <w:szCs w:val="24"/>
        </w:rPr>
      </w:pPr>
      <w:r>
        <w:rPr>
          <w:rFonts w:hint="eastAsia"/>
          <w:sz w:val="24"/>
          <w:szCs w:val="24"/>
        </w:rPr>
        <w:t>名称：河南子鑫工程管理有限公司</w:t>
      </w:r>
    </w:p>
    <w:p>
      <w:pPr>
        <w:spacing w:line="460" w:lineRule="exact"/>
        <w:ind w:firstLine="240" w:firstLineChars="100"/>
        <w:rPr>
          <w:rFonts w:hint="eastAsia"/>
          <w:sz w:val="24"/>
          <w:szCs w:val="24"/>
        </w:rPr>
      </w:pPr>
      <w:r>
        <w:rPr>
          <w:rFonts w:hint="eastAsia"/>
          <w:sz w:val="24"/>
          <w:szCs w:val="24"/>
        </w:rPr>
        <w:t>地址：河南省周口市庆丰街昌新世界A座13A18室</w:t>
      </w:r>
    </w:p>
    <w:p>
      <w:pPr>
        <w:spacing w:line="460" w:lineRule="exact"/>
        <w:ind w:firstLine="240" w:firstLineChars="100"/>
        <w:rPr>
          <w:rFonts w:hint="eastAsia"/>
          <w:sz w:val="24"/>
          <w:szCs w:val="24"/>
        </w:rPr>
      </w:pPr>
      <w:r>
        <w:rPr>
          <w:rFonts w:hint="eastAsia"/>
          <w:sz w:val="24"/>
          <w:szCs w:val="24"/>
        </w:rPr>
        <w:t>联系人：承建豪</w:t>
      </w:r>
    </w:p>
    <w:p>
      <w:pPr>
        <w:spacing w:line="460" w:lineRule="exact"/>
        <w:ind w:firstLine="240" w:firstLineChars="100"/>
        <w:rPr>
          <w:rFonts w:hint="eastAsia"/>
          <w:sz w:val="24"/>
          <w:szCs w:val="24"/>
        </w:rPr>
      </w:pPr>
      <w:r>
        <w:rPr>
          <w:rFonts w:hint="eastAsia"/>
          <w:sz w:val="24"/>
          <w:szCs w:val="24"/>
        </w:rPr>
        <w:t>联系方式：0394-8979111</w:t>
      </w:r>
    </w:p>
    <w:p>
      <w:pPr>
        <w:spacing w:line="460" w:lineRule="exact"/>
        <w:ind w:firstLine="240" w:firstLineChars="100"/>
        <w:rPr>
          <w:rFonts w:hint="eastAsia"/>
          <w:sz w:val="24"/>
          <w:szCs w:val="24"/>
        </w:rPr>
      </w:pPr>
      <w:r>
        <w:rPr>
          <w:rFonts w:hint="eastAsia"/>
          <w:sz w:val="24"/>
          <w:szCs w:val="24"/>
        </w:rPr>
        <w:t>3.项目联系方式</w:t>
      </w:r>
    </w:p>
    <w:p>
      <w:pPr>
        <w:spacing w:line="460" w:lineRule="exact"/>
        <w:ind w:firstLine="240" w:firstLineChars="100"/>
        <w:rPr>
          <w:rFonts w:hint="eastAsia"/>
          <w:sz w:val="24"/>
          <w:szCs w:val="24"/>
        </w:rPr>
      </w:pPr>
      <w:r>
        <w:rPr>
          <w:rFonts w:hint="eastAsia"/>
          <w:sz w:val="24"/>
          <w:szCs w:val="24"/>
        </w:rPr>
        <w:t>项目联系人：卢晓玲</w:t>
      </w:r>
    </w:p>
    <w:p>
      <w:pPr>
        <w:spacing w:line="460" w:lineRule="exact"/>
        <w:ind w:firstLine="240" w:firstLineChars="100"/>
        <w:rPr>
          <w:sz w:val="24"/>
          <w:szCs w:val="24"/>
        </w:rPr>
      </w:pPr>
      <w:r>
        <w:rPr>
          <w:rFonts w:hint="eastAsia"/>
          <w:sz w:val="24"/>
          <w:szCs w:val="24"/>
        </w:rPr>
        <w:t>联系方式：15836256619</w:t>
      </w:r>
    </w:p>
    <w:p>
      <w:pPr>
        <w:rPr>
          <w:sz w:val="24"/>
        </w:rPr>
      </w:pPr>
    </w:p>
    <w:p>
      <w:pPr>
        <w:rPr>
          <w:sz w:val="24"/>
        </w:rPr>
      </w:pPr>
    </w:p>
    <w:p>
      <w:pPr>
        <w:rPr>
          <w:sz w:val="24"/>
        </w:rPr>
      </w:pPr>
    </w:p>
    <w:p>
      <w:pPr>
        <w:rPr>
          <w:sz w:val="24"/>
        </w:rPr>
      </w:pPr>
    </w:p>
    <w:p>
      <w:pPr>
        <w:rPr>
          <w:sz w:val="24"/>
        </w:rPr>
      </w:pPr>
    </w:p>
    <w:p>
      <w:pPr>
        <w:rPr>
          <w:rFonts w:hint="eastAsia"/>
        </w:rPr>
      </w:pPr>
      <w:r>
        <w:rPr>
          <w:rFonts w:hint="eastAsia"/>
        </w:rPr>
        <w:br w:type="page"/>
      </w:r>
    </w:p>
    <w:p>
      <w:pPr>
        <w:pStyle w:val="2"/>
      </w:pPr>
      <w:r>
        <w:rPr>
          <w:rFonts w:hint="eastAsia"/>
        </w:rPr>
        <w:t>第二部分  竞争性谈判申请人须知</w:t>
      </w:r>
      <w:bookmarkEnd w:id="3"/>
      <w:bookmarkEnd w:id="4"/>
      <w:bookmarkEnd w:id="5"/>
      <w:bookmarkEnd w:id="6"/>
      <w:bookmarkEnd w:id="7"/>
      <w:bookmarkEnd w:id="8"/>
    </w:p>
    <w:p>
      <w:pPr>
        <w:pStyle w:val="3"/>
        <w:numPr>
          <w:ilvl w:val="1"/>
          <w:numId w:val="0"/>
        </w:numPr>
        <w:spacing w:before="0" w:after="0"/>
        <w:ind w:left="851" w:hanging="284"/>
        <w:rPr>
          <w:rFonts w:ascii="宋体" w:hAnsi="宋体" w:eastAsia="宋体"/>
          <w:sz w:val="30"/>
          <w:szCs w:val="30"/>
        </w:rPr>
      </w:pPr>
      <w:bookmarkStart w:id="9" w:name="_Toc289848430"/>
      <w:bookmarkStart w:id="10" w:name="_Toc289848515"/>
      <w:bookmarkStart w:id="11" w:name="_Toc289848541"/>
      <w:bookmarkStart w:id="12" w:name="_Toc66260319"/>
      <w:bookmarkStart w:id="13" w:name="_Toc276646850"/>
      <w:bookmarkStart w:id="14" w:name="_Toc289848357"/>
      <w:bookmarkStart w:id="15" w:name="_Toc289848438"/>
      <w:bookmarkStart w:id="16" w:name="_Toc289848365"/>
      <w:bookmarkStart w:id="17" w:name="_Toc276646858"/>
      <w:bookmarkStart w:id="18" w:name="_Toc289848523"/>
      <w:bookmarkStart w:id="19" w:name="_Toc289848549"/>
      <w:r>
        <w:rPr>
          <w:rFonts w:hint="eastAsia" w:ascii="宋体" w:hAnsi="宋体" w:eastAsia="宋体"/>
          <w:sz w:val="30"/>
          <w:szCs w:val="30"/>
        </w:rPr>
        <w:t>竞争性谈判申请人须知前附表</w:t>
      </w:r>
      <w:bookmarkEnd w:id="9"/>
      <w:bookmarkEnd w:id="10"/>
      <w:bookmarkEnd w:id="11"/>
      <w:bookmarkEnd w:id="12"/>
      <w:bookmarkEnd w:id="13"/>
      <w:bookmarkEnd w:id="14"/>
    </w:p>
    <w:tbl>
      <w:tblPr>
        <w:tblStyle w:val="34"/>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trPr>
        <w:tc>
          <w:tcPr>
            <w:tcW w:w="993" w:type="dxa"/>
            <w:vAlign w:val="center"/>
          </w:tcPr>
          <w:p>
            <w:pPr>
              <w:autoSpaceDE w:val="0"/>
              <w:autoSpaceDN w:val="0"/>
              <w:adjustRightInd w:val="0"/>
              <w:spacing w:line="312" w:lineRule="auto"/>
              <w:jc w:val="center"/>
              <w:rPr>
                <w:rFonts w:ascii="宋体" w:hAnsi="宋体"/>
                <w:b/>
                <w:kern w:val="0"/>
                <w:sz w:val="24"/>
              </w:rPr>
            </w:pPr>
            <w:r>
              <w:rPr>
                <w:rFonts w:hint="eastAsia" w:ascii="宋体" w:hAnsi="宋体"/>
                <w:b/>
                <w:kern w:val="0"/>
                <w:sz w:val="24"/>
              </w:rPr>
              <w:t>序号</w:t>
            </w:r>
          </w:p>
        </w:tc>
        <w:tc>
          <w:tcPr>
            <w:tcW w:w="8930" w:type="dxa"/>
            <w:vAlign w:val="center"/>
          </w:tcPr>
          <w:p>
            <w:pPr>
              <w:autoSpaceDE w:val="0"/>
              <w:autoSpaceDN w:val="0"/>
              <w:adjustRightInd w:val="0"/>
              <w:snapToGrid w:val="0"/>
              <w:spacing w:line="288" w:lineRule="auto"/>
              <w:jc w:val="center"/>
              <w:rPr>
                <w:rFonts w:ascii="宋体" w:hAnsi="宋体"/>
                <w:b/>
                <w:kern w:val="0"/>
                <w:sz w:val="24"/>
              </w:rPr>
            </w:pPr>
            <w:r>
              <w:rPr>
                <w:rFonts w:hint="eastAsia" w:ascii="宋体" w:hAnsi="宋体"/>
                <w:b/>
                <w:kern w:val="0"/>
                <w:sz w:val="24"/>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93" w:type="dxa"/>
            <w:vAlign w:val="center"/>
          </w:tcPr>
          <w:p>
            <w:pPr>
              <w:autoSpaceDE w:val="0"/>
              <w:autoSpaceDN w:val="0"/>
              <w:adjustRightInd w:val="0"/>
              <w:spacing w:line="312" w:lineRule="auto"/>
              <w:jc w:val="center"/>
              <w:rPr>
                <w:rFonts w:ascii="宋体" w:hAnsi="宋体"/>
                <w:kern w:val="0"/>
                <w:sz w:val="24"/>
              </w:rPr>
            </w:pPr>
            <w:r>
              <w:rPr>
                <w:rFonts w:ascii="宋体" w:hAnsi="宋体"/>
                <w:kern w:val="0"/>
                <w:sz w:val="24"/>
              </w:rPr>
              <w:t>1</w:t>
            </w:r>
          </w:p>
        </w:tc>
        <w:tc>
          <w:tcPr>
            <w:tcW w:w="8930" w:type="dxa"/>
            <w:vAlign w:val="center"/>
          </w:tcPr>
          <w:p>
            <w:pPr>
              <w:adjustRightInd w:val="0"/>
              <w:snapToGrid w:val="0"/>
              <w:spacing w:line="288" w:lineRule="auto"/>
              <w:rPr>
                <w:rFonts w:hint="eastAsia" w:ascii="宋体" w:hAnsi="宋体" w:eastAsia="宋体"/>
                <w:sz w:val="24"/>
                <w:lang w:eastAsia="zh-CN"/>
              </w:rPr>
            </w:pPr>
            <w:r>
              <w:rPr>
                <w:rFonts w:hint="eastAsia" w:ascii="宋体" w:hAnsi="宋体"/>
                <w:sz w:val="24"/>
              </w:rPr>
              <w:t>项目名称：</w:t>
            </w:r>
            <w:r>
              <w:rPr>
                <w:rFonts w:hint="eastAsia" w:ascii="宋体" w:hAnsi="宋体"/>
                <w:b w:val="0"/>
                <w:bCs/>
                <w:sz w:val="24"/>
                <w:lang w:eastAsia="zh-CN"/>
              </w:rPr>
              <w:t>周口市第二人民医院（周口市老年医院）七一路院区部分病房安装中央空调项目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93" w:type="dxa"/>
            <w:vAlign w:val="center"/>
          </w:tcPr>
          <w:p>
            <w:pPr>
              <w:autoSpaceDE w:val="0"/>
              <w:autoSpaceDN w:val="0"/>
              <w:adjustRightInd w:val="0"/>
              <w:spacing w:line="312" w:lineRule="auto"/>
              <w:jc w:val="center"/>
              <w:rPr>
                <w:rFonts w:ascii="宋体" w:hAnsi="宋体"/>
                <w:kern w:val="0"/>
                <w:sz w:val="24"/>
              </w:rPr>
            </w:pPr>
            <w:r>
              <w:rPr>
                <w:rFonts w:hint="eastAsia" w:ascii="宋体" w:hAnsi="宋体"/>
                <w:kern w:val="0"/>
                <w:sz w:val="24"/>
              </w:rPr>
              <w:t>2</w:t>
            </w:r>
          </w:p>
        </w:tc>
        <w:tc>
          <w:tcPr>
            <w:tcW w:w="8930" w:type="dxa"/>
            <w:vAlign w:val="center"/>
          </w:tcPr>
          <w:p>
            <w:pPr>
              <w:adjustRightInd w:val="0"/>
              <w:snapToGrid w:val="0"/>
              <w:spacing w:line="288" w:lineRule="auto"/>
              <w:rPr>
                <w:rFonts w:hint="eastAsia" w:ascii="宋体" w:hAnsi="宋体" w:eastAsia="宋体"/>
                <w:sz w:val="24"/>
                <w:lang w:eastAsia="zh-CN"/>
              </w:rPr>
            </w:pPr>
            <w:r>
              <w:rPr>
                <w:rFonts w:hint="eastAsia" w:ascii="宋体" w:hAnsi="宋体"/>
                <w:kern w:val="0"/>
                <w:sz w:val="24"/>
              </w:rPr>
              <w:t>采 购 人：</w:t>
            </w:r>
            <w:r>
              <w:rPr>
                <w:rFonts w:hint="eastAsia" w:ascii="宋体" w:hAnsi="宋体"/>
                <w:b w:val="0"/>
                <w:bCs w:val="0"/>
                <w:sz w:val="24"/>
                <w:lang w:eastAsia="zh-CN"/>
              </w:rPr>
              <w:t>周口市第二人民医院(周口市老年医院）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93" w:type="dxa"/>
            <w:vAlign w:val="center"/>
          </w:tcPr>
          <w:p>
            <w:pPr>
              <w:autoSpaceDE w:val="0"/>
              <w:autoSpaceDN w:val="0"/>
              <w:adjustRightInd w:val="0"/>
              <w:spacing w:line="312" w:lineRule="auto"/>
              <w:jc w:val="center"/>
              <w:rPr>
                <w:rFonts w:ascii="宋体" w:hAnsi="宋体"/>
                <w:kern w:val="0"/>
                <w:sz w:val="24"/>
              </w:rPr>
            </w:pPr>
            <w:r>
              <w:rPr>
                <w:rFonts w:ascii="宋体" w:hAnsi="宋体"/>
                <w:kern w:val="0"/>
                <w:sz w:val="24"/>
              </w:rPr>
              <w:t>3</w:t>
            </w:r>
          </w:p>
        </w:tc>
        <w:tc>
          <w:tcPr>
            <w:tcW w:w="8930" w:type="dxa"/>
            <w:vAlign w:val="center"/>
          </w:tcPr>
          <w:p>
            <w:pPr>
              <w:adjustRightInd w:val="0"/>
              <w:snapToGrid w:val="0"/>
              <w:spacing w:line="288" w:lineRule="auto"/>
              <w:rPr>
                <w:rFonts w:ascii="宋体" w:hAnsi="宋体"/>
                <w:kern w:val="0"/>
                <w:sz w:val="24"/>
              </w:rPr>
            </w:pPr>
            <w:r>
              <w:rPr>
                <w:rFonts w:hint="eastAsia" w:ascii="宋体" w:hAnsi="宋体"/>
                <w:bCs/>
                <w:kern w:val="0"/>
                <w:sz w:val="24"/>
              </w:rPr>
              <w:t>代理机构： 河南子鑫工程管理有限公司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3" w:type="dxa"/>
            <w:vAlign w:val="center"/>
          </w:tcPr>
          <w:p>
            <w:pPr>
              <w:autoSpaceDE w:val="0"/>
              <w:autoSpaceDN w:val="0"/>
              <w:adjustRightInd w:val="0"/>
              <w:spacing w:line="312" w:lineRule="auto"/>
              <w:jc w:val="center"/>
              <w:rPr>
                <w:rFonts w:ascii="宋体" w:hAnsi="宋体"/>
                <w:kern w:val="0"/>
                <w:sz w:val="24"/>
              </w:rPr>
            </w:pPr>
            <w:r>
              <w:rPr>
                <w:rFonts w:hint="eastAsia" w:ascii="宋体" w:hAnsi="宋体"/>
                <w:kern w:val="0"/>
                <w:sz w:val="24"/>
              </w:rPr>
              <w:t>4</w:t>
            </w:r>
          </w:p>
        </w:tc>
        <w:tc>
          <w:tcPr>
            <w:tcW w:w="8930" w:type="dxa"/>
            <w:vAlign w:val="center"/>
          </w:tcPr>
          <w:p>
            <w:pPr>
              <w:adjustRightInd w:val="0"/>
              <w:snapToGrid w:val="0"/>
              <w:spacing w:line="288" w:lineRule="auto"/>
              <w:rPr>
                <w:rFonts w:ascii="宋体" w:hAnsi="宋体"/>
                <w:kern w:val="0"/>
                <w:sz w:val="24"/>
              </w:rPr>
            </w:pPr>
            <w:r>
              <w:rPr>
                <w:rFonts w:hint="eastAsia" w:ascii="宋体" w:hAnsi="宋体"/>
                <w:kern w:val="0"/>
                <w:sz w:val="24"/>
              </w:rPr>
              <w:t>采购方式:竞争性谈判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93" w:type="dxa"/>
            <w:vAlign w:val="center"/>
          </w:tcPr>
          <w:p>
            <w:pPr>
              <w:autoSpaceDE w:val="0"/>
              <w:autoSpaceDN w:val="0"/>
              <w:adjustRightInd w:val="0"/>
              <w:spacing w:line="312" w:lineRule="auto"/>
              <w:jc w:val="center"/>
              <w:rPr>
                <w:rFonts w:ascii="宋体" w:hAnsi="宋体"/>
                <w:kern w:val="0"/>
                <w:sz w:val="24"/>
              </w:rPr>
            </w:pPr>
            <w:r>
              <w:rPr>
                <w:rFonts w:hint="eastAsia" w:ascii="宋体" w:hAnsi="宋体"/>
                <w:kern w:val="0"/>
                <w:sz w:val="24"/>
              </w:rPr>
              <w:t>5</w:t>
            </w:r>
          </w:p>
        </w:tc>
        <w:tc>
          <w:tcPr>
            <w:tcW w:w="8930" w:type="dxa"/>
            <w:vAlign w:val="center"/>
          </w:tcPr>
          <w:p>
            <w:pPr>
              <w:adjustRightInd w:val="0"/>
              <w:snapToGrid w:val="0"/>
              <w:spacing w:line="288" w:lineRule="auto"/>
              <w:rPr>
                <w:rFonts w:ascii="宋体" w:hAnsi="宋体"/>
                <w:kern w:val="0"/>
                <w:sz w:val="24"/>
              </w:rPr>
            </w:pPr>
            <w:r>
              <w:rPr>
                <w:rFonts w:hint="eastAsia" w:ascii="宋体" w:hAnsi="宋体"/>
                <w:kern w:val="0"/>
                <w:sz w:val="24"/>
              </w:rPr>
              <w:t>质 量：合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3" w:type="dxa"/>
            <w:vAlign w:val="center"/>
          </w:tcPr>
          <w:p>
            <w:pPr>
              <w:autoSpaceDE w:val="0"/>
              <w:autoSpaceDN w:val="0"/>
              <w:adjustRightInd w:val="0"/>
              <w:spacing w:line="312" w:lineRule="auto"/>
              <w:jc w:val="center"/>
              <w:rPr>
                <w:rFonts w:ascii="宋体" w:hAnsi="宋体"/>
                <w:kern w:val="0"/>
                <w:sz w:val="24"/>
              </w:rPr>
            </w:pPr>
            <w:r>
              <w:rPr>
                <w:rFonts w:hint="eastAsia" w:ascii="宋体" w:hAnsi="宋体"/>
                <w:kern w:val="0"/>
                <w:sz w:val="24"/>
              </w:rPr>
              <w:t>6</w:t>
            </w:r>
          </w:p>
        </w:tc>
        <w:tc>
          <w:tcPr>
            <w:tcW w:w="8930" w:type="dxa"/>
            <w:vAlign w:val="center"/>
          </w:tcPr>
          <w:p>
            <w:pPr>
              <w:spacing w:line="340" w:lineRule="exact"/>
              <w:jc w:val="left"/>
              <w:rPr>
                <w:sz w:val="24"/>
              </w:rPr>
            </w:pPr>
            <w:r>
              <w:rPr>
                <w:rFonts w:hint="eastAsia"/>
                <w:sz w:val="24"/>
              </w:rPr>
              <w:t xml:space="preserve">申请人资格要求： </w:t>
            </w:r>
          </w:p>
          <w:p>
            <w:pPr>
              <w:spacing w:line="460" w:lineRule="exact"/>
              <w:ind w:firstLine="240" w:firstLineChars="100"/>
              <w:rPr>
                <w:rFonts w:hint="eastAsia"/>
                <w:sz w:val="24"/>
                <w:szCs w:val="24"/>
              </w:rPr>
            </w:pPr>
            <w:r>
              <w:rPr>
                <w:rFonts w:hint="eastAsia"/>
                <w:sz w:val="24"/>
                <w:szCs w:val="24"/>
              </w:rPr>
              <w:t>1、满足《中华人民共和国政府采购法》第二十二条规定；</w:t>
            </w:r>
          </w:p>
          <w:p>
            <w:pPr>
              <w:spacing w:line="460" w:lineRule="exact"/>
              <w:ind w:firstLine="240" w:firstLineChars="100"/>
              <w:rPr>
                <w:rFonts w:hint="eastAsia"/>
                <w:sz w:val="24"/>
                <w:szCs w:val="24"/>
              </w:rPr>
            </w:pPr>
            <w:r>
              <w:rPr>
                <w:rFonts w:hint="eastAsia"/>
                <w:sz w:val="24"/>
                <w:szCs w:val="24"/>
              </w:rPr>
              <w:t>2、落实政府采购政策满足的资格要求：</w:t>
            </w:r>
          </w:p>
          <w:p>
            <w:pPr>
              <w:spacing w:line="460" w:lineRule="exact"/>
              <w:ind w:firstLine="240" w:firstLineChars="100"/>
              <w:rPr>
                <w:rFonts w:hint="eastAsia"/>
                <w:sz w:val="24"/>
                <w:szCs w:val="24"/>
              </w:rPr>
            </w:pPr>
            <w:r>
              <w:rPr>
                <w:rFonts w:hint="eastAsia"/>
                <w:sz w:val="24"/>
                <w:szCs w:val="24"/>
              </w:rPr>
              <w:t>促进中小企业和监狱企业发展扶持政策、政府强制采购节能产品强制采购、节能产品及环境标志产品优先采购、促进残疾人就业政府采购政策。</w:t>
            </w:r>
          </w:p>
          <w:p>
            <w:pPr>
              <w:spacing w:line="460" w:lineRule="exact"/>
              <w:ind w:firstLine="240" w:firstLineChars="100"/>
              <w:rPr>
                <w:rFonts w:hint="eastAsia"/>
                <w:sz w:val="24"/>
                <w:szCs w:val="24"/>
              </w:rPr>
            </w:pPr>
            <w:r>
              <w:rPr>
                <w:rFonts w:hint="eastAsia"/>
                <w:sz w:val="24"/>
                <w:szCs w:val="24"/>
              </w:rPr>
              <w:t>3、本项目的特定资格要求</w:t>
            </w:r>
          </w:p>
          <w:p>
            <w:pPr>
              <w:spacing w:line="460" w:lineRule="exact"/>
              <w:ind w:firstLine="240" w:firstLineChars="100"/>
              <w:rPr>
                <w:sz w:val="24"/>
              </w:rPr>
            </w:pPr>
            <w:r>
              <w:rPr>
                <w:rFonts w:hint="eastAsia"/>
                <w:sz w:val="24"/>
                <w:szCs w:val="24"/>
              </w:rPr>
              <w:t>3.1依据财库[2016]125号文件规定，对列入失信被执行人、重大税收违法失信主体、政府采购严重违法失信行为记录名单及其他不符合《中华人民共和国政府采购法》第二十二条规定条件的供应商，拒绝其参与本次政府采购活动。投标人需通过“信用中国”网站(www.creditchina.gov.cn)对“列入失信被执行人、重大税收违法失信主体、政府采购严重违法失信行为记录名单”企业和法定代表人的查询，通过中国政府采购网(www.ccgp.gov.cn)对“政府采购严重违法失信行为信息记录”企业信用记录查询（投标文件中提供网站查询截屏，查询时间公告后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3" w:type="dxa"/>
            <w:vAlign w:val="center"/>
          </w:tcPr>
          <w:p>
            <w:pPr>
              <w:autoSpaceDE w:val="0"/>
              <w:autoSpaceDN w:val="0"/>
              <w:adjustRightInd w:val="0"/>
              <w:spacing w:line="312" w:lineRule="auto"/>
              <w:jc w:val="center"/>
              <w:rPr>
                <w:rFonts w:ascii="宋体" w:hAnsi="宋体"/>
                <w:kern w:val="0"/>
                <w:sz w:val="24"/>
              </w:rPr>
            </w:pPr>
            <w:r>
              <w:rPr>
                <w:rFonts w:hint="eastAsia" w:ascii="宋体" w:hAnsi="宋体"/>
                <w:kern w:val="0"/>
                <w:sz w:val="24"/>
              </w:rPr>
              <w:t>7</w:t>
            </w:r>
          </w:p>
        </w:tc>
        <w:tc>
          <w:tcPr>
            <w:tcW w:w="8930" w:type="dxa"/>
            <w:tcBorders>
              <w:bottom w:val="single" w:color="auto" w:sz="4" w:space="0"/>
            </w:tcBorders>
            <w:vAlign w:val="center"/>
          </w:tcPr>
          <w:p>
            <w:pPr>
              <w:widowControl/>
              <w:spacing w:line="240" w:lineRule="auto"/>
              <w:jc w:val="left"/>
              <w:rPr>
                <w:rFonts w:ascii="宋体" w:hAnsi="宋体" w:cs="宋体"/>
                <w:sz w:val="21"/>
                <w:szCs w:val="21"/>
              </w:rPr>
            </w:pPr>
            <w:r>
              <w:rPr>
                <w:rFonts w:hint="eastAsia" w:ascii="宋体" w:hAnsi="宋体"/>
                <w:kern w:val="0"/>
                <w:sz w:val="24"/>
              </w:rPr>
              <w:t>投标保证金：</w:t>
            </w:r>
            <w:r>
              <w:rPr>
                <w:rFonts w:hint="eastAsia" w:ascii="宋体" w:hAnsi="宋体" w:cs="宋体"/>
                <w:sz w:val="21"/>
                <w:szCs w:val="21"/>
              </w:rPr>
              <w:t>0元整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993" w:type="dxa"/>
            <w:tcBorders>
              <w:bottom w:val="single" w:color="auto" w:sz="4" w:space="0"/>
            </w:tcBorders>
            <w:vAlign w:val="center"/>
          </w:tcPr>
          <w:p>
            <w:pPr>
              <w:autoSpaceDE w:val="0"/>
              <w:autoSpaceDN w:val="0"/>
              <w:adjustRightInd w:val="0"/>
              <w:spacing w:line="288" w:lineRule="auto"/>
              <w:ind w:firstLine="340" w:firstLineChars="142"/>
              <w:jc w:val="left"/>
              <w:rPr>
                <w:rFonts w:ascii="宋体" w:hAnsi="宋体"/>
                <w:kern w:val="0"/>
                <w:sz w:val="24"/>
              </w:rPr>
            </w:pPr>
            <w:r>
              <w:rPr>
                <w:rFonts w:hint="eastAsia" w:ascii="宋体" w:hAnsi="宋体"/>
                <w:kern w:val="0"/>
                <w:sz w:val="24"/>
              </w:rPr>
              <w:t>8</w:t>
            </w:r>
          </w:p>
        </w:tc>
        <w:tc>
          <w:tcPr>
            <w:tcW w:w="8930" w:type="dxa"/>
            <w:tcBorders>
              <w:bottom w:val="single" w:color="auto" w:sz="4" w:space="0"/>
            </w:tcBorders>
            <w:vAlign w:val="center"/>
          </w:tcPr>
          <w:p>
            <w:pPr>
              <w:autoSpaceDE w:val="0"/>
              <w:autoSpaceDN w:val="0"/>
              <w:adjustRightInd w:val="0"/>
              <w:snapToGrid w:val="0"/>
              <w:spacing w:line="288" w:lineRule="auto"/>
              <w:rPr>
                <w:rFonts w:ascii="宋体" w:hAnsi="宋体"/>
                <w:b/>
                <w:bCs/>
                <w:kern w:val="0"/>
                <w:sz w:val="28"/>
                <w:szCs w:val="28"/>
              </w:rPr>
            </w:pPr>
            <w:r>
              <w:rPr>
                <w:rFonts w:hint="eastAsia" w:ascii="宋体" w:hAnsi="宋体"/>
                <w:b/>
                <w:bCs/>
                <w:kern w:val="0"/>
                <w:sz w:val="28"/>
                <w:szCs w:val="28"/>
              </w:rPr>
              <w:t>竞争性谈判申请文件正本壹份, 副本</w:t>
            </w:r>
            <w:r>
              <w:rPr>
                <w:rFonts w:hint="eastAsia" w:ascii="宋体" w:hAnsi="宋体"/>
                <w:b/>
                <w:bCs/>
                <w:kern w:val="0"/>
                <w:sz w:val="28"/>
                <w:szCs w:val="28"/>
                <w:lang w:val="en-US" w:eastAsia="zh-CN"/>
              </w:rPr>
              <w:t>叁</w:t>
            </w:r>
            <w:r>
              <w:rPr>
                <w:rFonts w:hint="eastAsia" w:ascii="宋体" w:hAnsi="宋体"/>
                <w:b/>
                <w:bCs/>
                <w:kern w:val="0"/>
                <w:sz w:val="28"/>
                <w:szCs w:val="28"/>
              </w:rPr>
              <w:t>份</w:t>
            </w:r>
            <w:r>
              <w:rPr>
                <w:rFonts w:hint="eastAsia" w:ascii="宋体" w:hAnsi="宋体"/>
                <w:b/>
                <w:bCs/>
                <w:kern w:val="0"/>
                <w:sz w:val="28"/>
                <w:szCs w:val="28"/>
                <w:lang w:eastAsia="zh-CN"/>
              </w:rPr>
              <w:t>，</w:t>
            </w:r>
            <w:r>
              <w:rPr>
                <w:rFonts w:hint="eastAsia" w:ascii="宋体" w:hAnsi="宋体"/>
                <w:b/>
                <w:bCs/>
                <w:kern w:val="0"/>
                <w:sz w:val="28"/>
                <w:szCs w:val="28"/>
                <w:lang w:val="en-US" w:eastAsia="zh-CN"/>
              </w:rPr>
              <w:t>电子版U盘一份（单独密封）</w:t>
            </w:r>
            <w:r>
              <w:rPr>
                <w:rFonts w:hint="eastAsia" w:ascii="宋体" w:hAnsi="宋体"/>
                <w:b/>
                <w:bCs/>
                <w:kern w:val="0"/>
                <w:sz w:val="28"/>
                <w:szCs w:val="28"/>
              </w:rPr>
              <w:t>。</w:t>
            </w:r>
          </w:p>
          <w:p>
            <w:pPr>
              <w:autoSpaceDE w:val="0"/>
              <w:autoSpaceDN w:val="0"/>
              <w:adjustRightInd w:val="0"/>
              <w:snapToGrid w:val="0"/>
              <w:spacing w:line="288" w:lineRule="auto"/>
              <w:rPr>
                <w:rFonts w:hint="eastAsia" w:ascii="宋体" w:hAnsi="宋体" w:eastAsia="宋体" w:cs="Times New Roman"/>
                <w:kern w:val="0"/>
                <w:sz w:val="24"/>
              </w:rPr>
            </w:pPr>
            <w:r>
              <w:rPr>
                <w:rFonts w:hint="eastAsia" w:ascii="宋体" w:hAnsi="宋体" w:eastAsia="宋体" w:cs="Times New Roman"/>
                <w:kern w:val="0"/>
                <w:sz w:val="24"/>
              </w:rPr>
              <w:t>文件的装订：①按A4规格标准打印，胶装成册，文字要清晰，语意要明确，并按竞争性谈判文件的要求签字盖章。</w:t>
            </w:r>
          </w:p>
          <w:p>
            <w:pPr>
              <w:adjustRightInd w:val="0"/>
              <w:snapToGrid w:val="0"/>
              <w:spacing w:line="288" w:lineRule="auto"/>
              <w:rPr>
                <w:rFonts w:ascii="宋体" w:hAnsi="宋体"/>
                <w:kern w:val="0"/>
                <w:sz w:val="24"/>
              </w:rPr>
            </w:pPr>
            <w:r>
              <w:rPr>
                <w:rFonts w:hint="eastAsia" w:ascii="宋体" w:hAnsi="宋体" w:eastAsia="宋体" w:cs="Times New Roman"/>
                <w:kern w:val="0"/>
                <w:sz w:val="24"/>
              </w:rPr>
              <w:t>②电子版需提供，按照竞争性谈判文件的要求签字盖章后的投标文件正本扫描件。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6" w:hRule="atLeast"/>
        </w:trPr>
        <w:tc>
          <w:tcPr>
            <w:tcW w:w="993" w:type="dxa"/>
            <w:tcBorders>
              <w:bottom w:val="single" w:color="auto" w:sz="4" w:space="0"/>
            </w:tcBorders>
            <w:vAlign w:val="center"/>
          </w:tcPr>
          <w:p>
            <w:pPr>
              <w:autoSpaceDE w:val="0"/>
              <w:autoSpaceDN w:val="0"/>
              <w:adjustRightInd w:val="0"/>
              <w:spacing w:line="312" w:lineRule="auto"/>
              <w:jc w:val="center"/>
              <w:rPr>
                <w:rFonts w:ascii="宋体" w:hAnsi="宋体"/>
                <w:kern w:val="0"/>
                <w:sz w:val="24"/>
              </w:rPr>
            </w:pPr>
            <w:r>
              <w:rPr>
                <w:rFonts w:hint="eastAsia" w:ascii="宋体" w:hAnsi="宋体"/>
                <w:kern w:val="0"/>
                <w:sz w:val="24"/>
              </w:rPr>
              <w:t>9</w:t>
            </w:r>
          </w:p>
        </w:tc>
        <w:tc>
          <w:tcPr>
            <w:tcW w:w="8930" w:type="dxa"/>
            <w:tcBorders>
              <w:bottom w:val="single" w:color="auto" w:sz="4" w:space="0"/>
            </w:tcBorders>
            <w:vAlign w:val="center"/>
          </w:tcPr>
          <w:p>
            <w:pPr>
              <w:autoSpaceDE w:val="0"/>
              <w:autoSpaceDN w:val="0"/>
              <w:adjustRightInd w:val="0"/>
              <w:snapToGrid w:val="0"/>
              <w:spacing w:line="288" w:lineRule="auto"/>
              <w:rPr>
                <w:rFonts w:ascii="宋体" w:hAnsi="宋体"/>
                <w:kern w:val="0"/>
                <w:sz w:val="24"/>
              </w:rPr>
            </w:pPr>
            <w:r>
              <w:rPr>
                <w:rFonts w:hint="eastAsia" w:ascii="宋体" w:hAnsi="宋体"/>
                <w:kern w:val="0"/>
                <w:sz w:val="24"/>
              </w:rPr>
              <w:t>竞争性谈判申请文件的的密封：竞争性谈判申请单位应将竞争性谈判申请文件的正副本等文件密封在一个密封包内，包装封面上加盖竞争性谈判申请单位印鉴和法定代表人印鉴并标明如下内容：</w:t>
            </w:r>
          </w:p>
          <w:p>
            <w:pPr>
              <w:autoSpaceDE w:val="0"/>
              <w:autoSpaceDN w:val="0"/>
              <w:adjustRightInd w:val="0"/>
              <w:snapToGrid w:val="0"/>
              <w:spacing w:line="288" w:lineRule="auto"/>
              <w:rPr>
                <w:rFonts w:ascii="宋体" w:hAnsi="宋体"/>
                <w:kern w:val="0"/>
                <w:sz w:val="24"/>
              </w:rPr>
            </w:pPr>
            <w:r>
              <w:rPr>
                <w:rFonts w:hint="eastAsia" w:ascii="宋体" w:hAnsi="宋体"/>
                <w:kern w:val="0"/>
                <w:sz w:val="24"/>
              </w:rPr>
              <w:t>a) 采购人名称</w:t>
            </w:r>
          </w:p>
          <w:p>
            <w:pPr>
              <w:autoSpaceDE w:val="0"/>
              <w:autoSpaceDN w:val="0"/>
              <w:adjustRightInd w:val="0"/>
              <w:snapToGrid w:val="0"/>
              <w:spacing w:line="288" w:lineRule="auto"/>
              <w:rPr>
                <w:rFonts w:ascii="宋体" w:hAnsi="宋体"/>
                <w:kern w:val="0"/>
                <w:sz w:val="24"/>
              </w:rPr>
            </w:pPr>
            <w:r>
              <w:rPr>
                <w:rFonts w:hint="eastAsia" w:ascii="宋体" w:hAnsi="宋体"/>
                <w:kern w:val="0"/>
                <w:sz w:val="24"/>
              </w:rPr>
              <w:t>b) 项目名称</w:t>
            </w:r>
          </w:p>
          <w:p>
            <w:pPr>
              <w:autoSpaceDE w:val="0"/>
              <w:autoSpaceDN w:val="0"/>
              <w:adjustRightInd w:val="0"/>
              <w:snapToGrid w:val="0"/>
              <w:spacing w:line="288" w:lineRule="auto"/>
              <w:rPr>
                <w:rFonts w:ascii="宋体" w:hAnsi="宋体"/>
                <w:kern w:val="0"/>
                <w:sz w:val="24"/>
              </w:rPr>
            </w:pPr>
            <w:r>
              <w:rPr>
                <w:rFonts w:hint="eastAsia" w:ascii="宋体" w:hAnsi="宋体"/>
                <w:kern w:val="0"/>
                <w:sz w:val="24"/>
              </w:rPr>
              <w:t>c) 竞争性谈判申请单位名称、联系人及联系电话</w:t>
            </w:r>
          </w:p>
          <w:p>
            <w:pPr>
              <w:autoSpaceDE w:val="0"/>
              <w:autoSpaceDN w:val="0"/>
              <w:adjustRightInd w:val="0"/>
              <w:snapToGrid w:val="0"/>
              <w:spacing w:line="288" w:lineRule="auto"/>
              <w:rPr>
                <w:rFonts w:ascii="宋体" w:hAnsi="宋体"/>
                <w:kern w:val="0"/>
                <w:sz w:val="24"/>
              </w:rPr>
            </w:pPr>
            <w:r>
              <w:rPr>
                <w:rFonts w:hint="eastAsia" w:ascii="宋体" w:hAnsi="宋体"/>
                <w:b/>
                <w:kern w:val="0"/>
                <w:sz w:val="24"/>
              </w:rPr>
              <w:t xml:space="preserve">d）   </w:t>
            </w:r>
            <w:r>
              <w:rPr>
                <w:rFonts w:hint="eastAsia" w:ascii="宋体" w:hAnsi="宋体"/>
                <w:sz w:val="24"/>
                <w:u w:val="single"/>
              </w:rPr>
              <w:t>年   月  日    时  分</w:t>
            </w:r>
            <w:r>
              <w:rPr>
                <w:rFonts w:hint="eastAsia" w:ascii="宋体" w:hAnsi="宋体"/>
                <w:kern w:val="0"/>
                <w:sz w:val="24"/>
              </w:rPr>
              <w:t>前不得拆封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993" w:type="dxa"/>
            <w:tcBorders>
              <w:bottom w:val="single" w:color="auto" w:sz="4" w:space="0"/>
            </w:tcBorders>
            <w:vAlign w:val="center"/>
          </w:tcPr>
          <w:p>
            <w:pPr>
              <w:autoSpaceDE w:val="0"/>
              <w:autoSpaceDN w:val="0"/>
              <w:adjustRightInd w:val="0"/>
              <w:spacing w:line="312" w:lineRule="auto"/>
              <w:jc w:val="center"/>
              <w:rPr>
                <w:rFonts w:ascii="宋体" w:hAnsi="宋体"/>
                <w:kern w:val="0"/>
                <w:sz w:val="24"/>
              </w:rPr>
            </w:pPr>
            <w:r>
              <w:rPr>
                <w:rFonts w:hint="eastAsia" w:ascii="宋体" w:hAnsi="宋体"/>
                <w:kern w:val="0"/>
                <w:sz w:val="24"/>
              </w:rPr>
              <w:t>10</w:t>
            </w:r>
          </w:p>
        </w:tc>
        <w:tc>
          <w:tcPr>
            <w:tcW w:w="8930" w:type="dxa"/>
            <w:tcBorders>
              <w:bottom w:val="single" w:color="auto" w:sz="4" w:space="0"/>
            </w:tcBorders>
            <w:vAlign w:val="center"/>
          </w:tcPr>
          <w:p>
            <w:pPr>
              <w:autoSpaceDE w:val="0"/>
              <w:autoSpaceDN w:val="0"/>
              <w:adjustRightInd w:val="0"/>
              <w:snapToGrid w:val="0"/>
              <w:spacing w:line="288" w:lineRule="auto"/>
              <w:rPr>
                <w:rFonts w:ascii="宋体" w:hAnsi="宋体"/>
                <w:kern w:val="0"/>
                <w:sz w:val="24"/>
              </w:rPr>
            </w:pPr>
            <w:r>
              <w:rPr>
                <w:rFonts w:hint="eastAsia" w:ascii="宋体" w:hAnsi="宋体"/>
                <w:kern w:val="0"/>
                <w:sz w:val="24"/>
              </w:rPr>
              <w:t>竞争性谈判申请文件递交截止期：</w:t>
            </w:r>
            <w:bookmarkStart w:id="20" w:name="OLE_LINK1"/>
            <w:r>
              <w:rPr>
                <w:rFonts w:hint="eastAsia" w:asciiTheme="minorHAnsi" w:hAnsiTheme="minorHAnsi" w:eastAsiaTheme="minorEastAsia" w:cstheme="minorBidi"/>
                <w:b w:val="0"/>
                <w:bCs/>
                <w:sz w:val="24"/>
                <w:lang w:eastAsia="zh-CN"/>
              </w:rPr>
              <w:t>2024年01月02日15时00分</w:t>
            </w:r>
            <w:r>
              <w:rPr>
                <w:rFonts w:hint="eastAsia" w:ascii="宋体" w:hAnsi="宋体"/>
                <w:kern w:val="0"/>
                <w:sz w:val="24"/>
              </w:rPr>
              <w:t>（北京时间）</w:t>
            </w:r>
            <w:bookmarkEnd w:id="20"/>
          </w:p>
          <w:p>
            <w:pPr>
              <w:autoSpaceDE w:val="0"/>
              <w:autoSpaceDN w:val="0"/>
              <w:adjustRightInd w:val="0"/>
              <w:snapToGrid w:val="0"/>
              <w:spacing w:line="288" w:lineRule="auto"/>
              <w:rPr>
                <w:rFonts w:ascii="宋体" w:hAnsi="宋体"/>
                <w:kern w:val="0"/>
                <w:sz w:val="24"/>
              </w:rPr>
            </w:pPr>
            <w:r>
              <w:rPr>
                <w:rFonts w:hint="eastAsia" w:ascii="宋体" w:hAnsi="宋体"/>
                <w:kern w:val="0"/>
                <w:sz w:val="24"/>
              </w:rPr>
              <w:t>竞争性谈判响应文件递交地点：</w:t>
            </w:r>
            <w:r>
              <w:rPr>
                <w:rFonts w:hint="eastAsia"/>
                <w:b w:val="0"/>
                <w:bCs/>
                <w:sz w:val="24"/>
              </w:rPr>
              <w:t xml:space="preserve">河南省周口市庆丰街昌建新世界A座13A18室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993" w:type="dxa"/>
            <w:tcBorders>
              <w:bottom w:val="single" w:color="auto" w:sz="4" w:space="0"/>
            </w:tcBorders>
            <w:vAlign w:val="center"/>
          </w:tcPr>
          <w:p>
            <w:pPr>
              <w:autoSpaceDE w:val="0"/>
              <w:autoSpaceDN w:val="0"/>
              <w:adjustRightInd w:val="0"/>
              <w:spacing w:line="312" w:lineRule="auto"/>
              <w:jc w:val="center"/>
              <w:rPr>
                <w:rFonts w:ascii="宋体" w:hAnsi="宋体"/>
                <w:kern w:val="0"/>
                <w:sz w:val="24"/>
              </w:rPr>
            </w:pPr>
            <w:r>
              <w:rPr>
                <w:rFonts w:hint="eastAsia" w:ascii="宋体" w:hAnsi="宋体"/>
                <w:kern w:val="0"/>
                <w:sz w:val="24"/>
              </w:rPr>
              <w:t>11</w:t>
            </w:r>
          </w:p>
        </w:tc>
        <w:tc>
          <w:tcPr>
            <w:tcW w:w="8930" w:type="dxa"/>
            <w:tcBorders>
              <w:bottom w:val="single" w:color="auto" w:sz="4" w:space="0"/>
            </w:tcBorders>
            <w:vAlign w:val="center"/>
          </w:tcPr>
          <w:p>
            <w:pPr>
              <w:autoSpaceDE w:val="0"/>
              <w:autoSpaceDN w:val="0"/>
              <w:adjustRightInd w:val="0"/>
              <w:snapToGrid w:val="0"/>
              <w:spacing w:line="288" w:lineRule="auto"/>
              <w:rPr>
                <w:rFonts w:ascii="宋体" w:hAnsi="宋体"/>
                <w:kern w:val="0"/>
                <w:sz w:val="24"/>
              </w:rPr>
            </w:pPr>
            <w:r>
              <w:rPr>
                <w:rFonts w:hint="eastAsia" w:ascii="宋体" w:hAnsi="宋体"/>
                <w:kern w:val="0"/>
                <w:sz w:val="24"/>
              </w:rPr>
              <w:t>开标时间: 同竞争性谈判响应文件递交截止时间</w:t>
            </w:r>
          </w:p>
          <w:p>
            <w:pPr>
              <w:autoSpaceDE w:val="0"/>
              <w:autoSpaceDN w:val="0"/>
              <w:adjustRightInd w:val="0"/>
              <w:snapToGrid w:val="0"/>
              <w:spacing w:line="288" w:lineRule="auto"/>
              <w:rPr>
                <w:rFonts w:ascii="宋体" w:hAnsi="宋体"/>
                <w:kern w:val="0"/>
                <w:sz w:val="24"/>
              </w:rPr>
            </w:pPr>
            <w:r>
              <w:rPr>
                <w:rFonts w:hint="eastAsia" w:ascii="宋体" w:hAnsi="宋体"/>
                <w:kern w:val="0"/>
                <w:sz w:val="24"/>
              </w:rPr>
              <w:t>开标地点: 同竞争性谈判响应文件递交地点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993" w:type="dxa"/>
            <w:tcBorders>
              <w:bottom w:val="nil"/>
            </w:tcBorders>
            <w:vAlign w:val="center"/>
          </w:tcPr>
          <w:p>
            <w:pPr>
              <w:autoSpaceDE w:val="0"/>
              <w:autoSpaceDN w:val="0"/>
              <w:adjustRightInd w:val="0"/>
              <w:spacing w:line="312" w:lineRule="auto"/>
              <w:jc w:val="center"/>
              <w:rPr>
                <w:rFonts w:ascii="宋体" w:hAnsi="宋体"/>
                <w:kern w:val="0"/>
                <w:sz w:val="24"/>
              </w:rPr>
            </w:pPr>
            <w:r>
              <w:rPr>
                <w:rFonts w:hint="eastAsia" w:ascii="宋体" w:hAnsi="宋体"/>
                <w:kern w:val="0"/>
                <w:sz w:val="24"/>
              </w:rPr>
              <w:t>12</w:t>
            </w:r>
          </w:p>
        </w:tc>
        <w:tc>
          <w:tcPr>
            <w:tcW w:w="8930" w:type="dxa"/>
            <w:tcBorders>
              <w:bottom w:val="single" w:color="auto" w:sz="4" w:space="0"/>
            </w:tcBorders>
            <w:vAlign w:val="center"/>
          </w:tcPr>
          <w:p>
            <w:pPr>
              <w:adjustRightInd w:val="0"/>
              <w:snapToGrid w:val="0"/>
              <w:spacing w:line="288" w:lineRule="auto"/>
              <w:rPr>
                <w:rFonts w:ascii="宋体" w:hAnsi="宋体"/>
                <w:sz w:val="24"/>
              </w:rPr>
            </w:pPr>
            <w:r>
              <w:rPr>
                <w:rFonts w:hint="eastAsia" w:ascii="宋体" w:hAnsi="宋体"/>
                <w:sz w:val="24"/>
              </w:rPr>
              <w:t>现场考察时间:自行安排</w:t>
            </w:r>
          </w:p>
          <w:p>
            <w:pPr>
              <w:autoSpaceDE w:val="0"/>
              <w:autoSpaceDN w:val="0"/>
              <w:adjustRightInd w:val="0"/>
              <w:snapToGrid w:val="0"/>
              <w:spacing w:line="288" w:lineRule="auto"/>
              <w:rPr>
                <w:rFonts w:ascii="宋体" w:hAnsi="宋体"/>
                <w:kern w:val="0"/>
                <w:sz w:val="24"/>
              </w:rPr>
            </w:pPr>
            <w:r>
              <w:rPr>
                <w:rFonts w:hint="eastAsia" w:ascii="宋体" w:hAnsi="宋体"/>
                <w:sz w:val="24"/>
              </w:rPr>
              <w:t>地       点：项目所在地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93" w:type="dxa"/>
            <w:tcBorders>
              <w:bottom w:val="single" w:color="auto" w:sz="4" w:space="0"/>
            </w:tcBorders>
            <w:vAlign w:val="center"/>
          </w:tcPr>
          <w:p>
            <w:pPr>
              <w:autoSpaceDE w:val="0"/>
              <w:autoSpaceDN w:val="0"/>
              <w:adjustRightInd w:val="0"/>
              <w:spacing w:line="312" w:lineRule="auto"/>
              <w:jc w:val="center"/>
              <w:rPr>
                <w:rFonts w:ascii="宋体" w:hAnsi="宋体"/>
                <w:kern w:val="0"/>
                <w:sz w:val="24"/>
              </w:rPr>
            </w:pPr>
            <w:r>
              <w:rPr>
                <w:rFonts w:hint="eastAsia" w:ascii="宋体" w:hAnsi="宋体"/>
                <w:kern w:val="0"/>
                <w:sz w:val="24"/>
              </w:rPr>
              <w:t>13</w:t>
            </w:r>
          </w:p>
        </w:tc>
        <w:tc>
          <w:tcPr>
            <w:tcW w:w="8930" w:type="dxa"/>
            <w:vAlign w:val="center"/>
          </w:tcPr>
          <w:p>
            <w:pPr>
              <w:autoSpaceDE w:val="0"/>
              <w:autoSpaceDN w:val="0"/>
              <w:adjustRightInd w:val="0"/>
              <w:snapToGrid w:val="0"/>
              <w:spacing w:line="288" w:lineRule="auto"/>
              <w:rPr>
                <w:rFonts w:hint="default" w:ascii="宋体" w:hAnsi="宋体" w:eastAsia="宋体"/>
                <w:kern w:val="0"/>
                <w:sz w:val="24"/>
                <w:lang w:val="en-US" w:eastAsia="zh-CN"/>
              </w:rPr>
            </w:pPr>
            <w:r>
              <w:rPr>
                <w:rFonts w:hint="eastAsia" w:ascii="宋体" w:hAnsi="宋体" w:cs="宋体"/>
                <w:color w:val="000000"/>
                <w:kern w:val="0"/>
                <w:sz w:val="24"/>
              </w:rPr>
              <w:t>供货期: 15日历天</w:t>
            </w:r>
            <w:r>
              <w:rPr>
                <w:rFonts w:hint="eastAsia" w:ascii="宋体" w:hAnsi="宋体" w:cs="宋体"/>
                <w:color w:val="000000"/>
                <w:kern w:val="0"/>
                <w:sz w:val="24"/>
                <w:szCs w:val="21"/>
              </w:rPr>
              <w:t xml:space="preserve">  </w:t>
            </w:r>
            <w:r>
              <w:rPr>
                <w:rFonts w:hint="eastAsia" w:ascii="宋体" w:hAnsi="宋体"/>
                <w:sz w:val="24"/>
              </w:rPr>
              <w:t xml:space="preserve">   质量：合格     </w:t>
            </w:r>
            <w:r>
              <w:rPr>
                <w:rFonts w:hint="eastAsia" w:ascii="宋体" w:hAnsi="宋体"/>
                <w:sz w:val="24"/>
                <w:lang w:val="en-US" w:eastAsia="zh-CN"/>
              </w:rPr>
              <w:t xml:space="preserve">   </w:t>
            </w:r>
            <w:r>
              <w:rPr>
                <w:rFonts w:hint="eastAsia" w:ascii="宋体" w:hAnsi="宋体"/>
                <w:sz w:val="24"/>
              </w:rPr>
              <w:t>质保期：</w:t>
            </w:r>
            <w:r>
              <w:rPr>
                <w:rFonts w:hint="eastAsia" w:ascii="宋体" w:hAnsi="宋体"/>
                <w:sz w:val="24"/>
                <w:lang w:val="en-US" w:eastAsia="zh-CN"/>
              </w:rPr>
              <w:t>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993" w:type="dxa"/>
            <w:vAlign w:val="center"/>
          </w:tcPr>
          <w:p>
            <w:pPr>
              <w:autoSpaceDE w:val="0"/>
              <w:autoSpaceDN w:val="0"/>
              <w:adjustRightInd w:val="0"/>
              <w:spacing w:line="312" w:lineRule="auto"/>
              <w:jc w:val="center"/>
              <w:rPr>
                <w:rFonts w:ascii="宋体" w:hAnsi="宋体"/>
                <w:kern w:val="0"/>
                <w:sz w:val="24"/>
              </w:rPr>
            </w:pPr>
            <w:r>
              <w:rPr>
                <w:rFonts w:hint="eastAsia" w:ascii="宋体" w:hAnsi="宋体"/>
                <w:kern w:val="0"/>
                <w:sz w:val="24"/>
              </w:rPr>
              <w:t>14</w:t>
            </w:r>
          </w:p>
        </w:tc>
        <w:tc>
          <w:tcPr>
            <w:tcW w:w="8930" w:type="dxa"/>
            <w:tcBorders>
              <w:bottom w:val="single" w:color="auto" w:sz="4" w:space="0"/>
            </w:tcBorders>
            <w:vAlign w:val="center"/>
          </w:tcPr>
          <w:p>
            <w:pPr>
              <w:adjustRightInd w:val="0"/>
              <w:snapToGrid w:val="0"/>
              <w:spacing w:line="288" w:lineRule="auto"/>
              <w:rPr>
                <w:rFonts w:ascii="宋体" w:hAnsi="宋体"/>
                <w:sz w:val="24"/>
              </w:rPr>
            </w:pPr>
            <w:r>
              <w:rPr>
                <w:rFonts w:hint="eastAsia" w:ascii="宋体" w:hAnsi="宋体"/>
                <w:kern w:val="0"/>
                <w:sz w:val="24"/>
              </w:rPr>
              <w:t>竞争性谈判申请有效期：开标之日起60日历天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93" w:type="dxa"/>
            <w:tcBorders>
              <w:bottom w:val="single" w:color="auto" w:sz="4" w:space="0"/>
            </w:tcBorders>
            <w:vAlign w:val="center"/>
          </w:tcPr>
          <w:p>
            <w:pPr>
              <w:autoSpaceDE w:val="0"/>
              <w:autoSpaceDN w:val="0"/>
              <w:adjustRightInd w:val="0"/>
              <w:spacing w:line="312" w:lineRule="auto"/>
              <w:jc w:val="center"/>
              <w:rPr>
                <w:rFonts w:ascii="宋体" w:hAnsi="宋体"/>
                <w:kern w:val="0"/>
                <w:sz w:val="24"/>
              </w:rPr>
            </w:pPr>
            <w:r>
              <w:rPr>
                <w:rFonts w:hint="eastAsia" w:ascii="宋体" w:hAnsi="宋体"/>
                <w:kern w:val="0"/>
                <w:sz w:val="24"/>
              </w:rPr>
              <w:t>15</w:t>
            </w:r>
          </w:p>
        </w:tc>
        <w:tc>
          <w:tcPr>
            <w:tcW w:w="8930" w:type="dxa"/>
            <w:vAlign w:val="center"/>
          </w:tcPr>
          <w:p>
            <w:pPr>
              <w:autoSpaceDE w:val="0"/>
              <w:autoSpaceDN w:val="0"/>
              <w:adjustRightInd w:val="0"/>
              <w:snapToGrid w:val="0"/>
              <w:spacing w:line="288" w:lineRule="auto"/>
              <w:rPr>
                <w:rFonts w:ascii="宋体" w:hAnsi="宋体"/>
                <w:color w:val="FF0000"/>
                <w:kern w:val="0"/>
                <w:sz w:val="24"/>
              </w:rPr>
            </w:pPr>
            <w:r>
              <w:rPr>
                <w:rFonts w:hint="eastAsia" w:ascii="宋体" w:hAnsi="宋体"/>
                <w:kern w:val="0"/>
                <w:sz w:val="24"/>
              </w:rPr>
              <w:t>付款方式：与采购人协商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993" w:type="dxa"/>
            <w:vAlign w:val="center"/>
          </w:tcPr>
          <w:p>
            <w:pPr>
              <w:autoSpaceDE w:val="0"/>
              <w:autoSpaceDN w:val="0"/>
              <w:adjustRightInd w:val="0"/>
              <w:spacing w:line="312" w:lineRule="auto"/>
              <w:jc w:val="center"/>
              <w:rPr>
                <w:rFonts w:ascii="宋体" w:hAnsi="宋体"/>
                <w:kern w:val="0"/>
                <w:sz w:val="24"/>
              </w:rPr>
            </w:pPr>
            <w:r>
              <w:rPr>
                <w:rFonts w:hint="eastAsia" w:ascii="宋体" w:hAnsi="宋体"/>
                <w:kern w:val="0"/>
                <w:sz w:val="24"/>
              </w:rPr>
              <w:t>16</w:t>
            </w:r>
          </w:p>
        </w:tc>
        <w:tc>
          <w:tcPr>
            <w:tcW w:w="8930" w:type="dxa"/>
            <w:vAlign w:val="center"/>
          </w:tcPr>
          <w:p>
            <w:pPr>
              <w:adjustRightInd w:val="0"/>
              <w:snapToGrid w:val="0"/>
              <w:spacing w:line="288" w:lineRule="auto"/>
              <w:rPr>
                <w:rFonts w:ascii="宋体" w:hAnsi="宋体"/>
                <w:sz w:val="24"/>
              </w:rPr>
            </w:pPr>
            <w:r>
              <w:rPr>
                <w:rFonts w:hint="eastAsia" w:ascii="宋体" w:hAnsi="宋体"/>
                <w:sz w:val="24"/>
              </w:rPr>
              <w:t>交货地点：</w:t>
            </w:r>
            <w:r>
              <w:rPr>
                <w:rFonts w:hint="eastAsia" w:ascii="宋体" w:hAnsi="宋体"/>
                <w:kern w:val="0"/>
                <w:sz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93" w:type="dxa"/>
            <w:vAlign w:val="center"/>
          </w:tcPr>
          <w:p>
            <w:pPr>
              <w:autoSpaceDE w:val="0"/>
              <w:autoSpaceDN w:val="0"/>
              <w:adjustRightInd w:val="0"/>
              <w:spacing w:line="312" w:lineRule="auto"/>
              <w:jc w:val="center"/>
              <w:rPr>
                <w:rFonts w:ascii="宋体" w:hAnsi="宋体"/>
                <w:kern w:val="0"/>
                <w:sz w:val="24"/>
              </w:rPr>
            </w:pPr>
            <w:r>
              <w:rPr>
                <w:rFonts w:hint="eastAsia" w:ascii="宋体" w:hAnsi="宋体"/>
                <w:kern w:val="0"/>
                <w:sz w:val="24"/>
              </w:rPr>
              <w:t>17</w:t>
            </w:r>
          </w:p>
        </w:tc>
        <w:tc>
          <w:tcPr>
            <w:tcW w:w="8930" w:type="dxa"/>
            <w:vAlign w:val="center"/>
          </w:tcPr>
          <w:p>
            <w:pPr>
              <w:adjustRightInd w:val="0"/>
              <w:snapToGrid w:val="0"/>
              <w:spacing w:line="288" w:lineRule="auto"/>
              <w:rPr>
                <w:rFonts w:ascii="宋体" w:hAnsi="宋体"/>
                <w:sz w:val="24"/>
              </w:rPr>
            </w:pPr>
            <w:r>
              <w:rPr>
                <w:rFonts w:hint="eastAsia" w:ascii="宋体" w:hAnsi="宋体"/>
                <w:sz w:val="24"/>
              </w:rPr>
              <w:t>本次采购货物最高限价：380000.00元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993" w:type="dxa"/>
            <w:vAlign w:val="center"/>
          </w:tcPr>
          <w:p>
            <w:pPr>
              <w:autoSpaceDE w:val="0"/>
              <w:autoSpaceDN w:val="0"/>
              <w:adjustRightInd w:val="0"/>
              <w:spacing w:line="312" w:lineRule="auto"/>
              <w:jc w:val="center"/>
              <w:rPr>
                <w:rFonts w:ascii="宋体" w:hAnsi="宋体"/>
                <w:kern w:val="0"/>
                <w:sz w:val="24"/>
              </w:rPr>
            </w:pPr>
            <w:r>
              <w:rPr>
                <w:rFonts w:hint="eastAsia" w:ascii="宋体" w:hAnsi="宋体"/>
                <w:kern w:val="0"/>
                <w:sz w:val="24"/>
              </w:rPr>
              <w:t>18</w:t>
            </w:r>
          </w:p>
        </w:tc>
        <w:tc>
          <w:tcPr>
            <w:tcW w:w="8930" w:type="dxa"/>
            <w:vAlign w:val="center"/>
          </w:tcPr>
          <w:p>
            <w:pPr>
              <w:adjustRightInd w:val="0"/>
              <w:snapToGrid w:val="0"/>
              <w:spacing w:line="288" w:lineRule="auto"/>
              <w:rPr>
                <w:rFonts w:ascii="宋体" w:hAnsi="宋体"/>
                <w:sz w:val="24"/>
              </w:rPr>
            </w:pPr>
            <w:r>
              <w:rPr>
                <w:rFonts w:hint="eastAsia" w:ascii="宋体" w:hAnsi="宋体"/>
                <w:sz w:val="24"/>
              </w:rPr>
              <w:t>合同谈判与签约地点：根据采购人要求进行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993" w:type="dxa"/>
            <w:vAlign w:val="center"/>
          </w:tcPr>
          <w:p>
            <w:pPr>
              <w:autoSpaceDE w:val="0"/>
              <w:autoSpaceDN w:val="0"/>
              <w:adjustRightInd w:val="0"/>
              <w:spacing w:line="312" w:lineRule="auto"/>
              <w:jc w:val="center"/>
              <w:rPr>
                <w:rFonts w:ascii="宋体" w:hAnsi="宋体"/>
                <w:kern w:val="0"/>
                <w:sz w:val="24"/>
              </w:rPr>
            </w:pPr>
            <w:r>
              <w:rPr>
                <w:rFonts w:hint="eastAsia" w:ascii="宋体" w:hAnsi="宋体"/>
                <w:kern w:val="0"/>
                <w:sz w:val="24"/>
              </w:rPr>
              <w:t>18</w:t>
            </w:r>
          </w:p>
        </w:tc>
        <w:tc>
          <w:tcPr>
            <w:tcW w:w="8930" w:type="dxa"/>
            <w:vAlign w:val="center"/>
          </w:tcPr>
          <w:p>
            <w:pPr>
              <w:adjustRightInd w:val="0"/>
              <w:snapToGrid w:val="0"/>
              <w:spacing w:line="288" w:lineRule="auto"/>
              <w:rPr>
                <w:rFonts w:ascii="宋体" w:hAnsi="宋体"/>
                <w:sz w:val="24"/>
              </w:rPr>
            </w:pPr>
            <w:r>
              <w:rPr>
                <w:rFonts w:hint="eastAsia" w:ascii="宋体" w:hAnsi="宋体"/>
                <w:sz w:val="24"/>
              </w:rPr>
              <w:t>代理服务费:</w:t>
            </w:r>
            <w:r>
              <w:rPr>
                <w:rFonts w:ascii="宋体" w:hAnsi="宋体"/>
                <w:bCs/>
                <w:sz w:val="24"/>
              </w:rPr>
              <w:t xml:space="preserve"> 国家发展和改革委员会计价</w:t>
            </w:r>
            <w:r>
              <w:rPr>
                <w:rFonts w:hint="eastAsia" w:ascii="宋体" w:hAnsi="宋体"/>
                <w:bCs/>
                <w:sz w:val="24"/>
              </w:rPr>
              <w:t>格</w:t>
            </w:r>
            <w:r>
              <w:rPr>
                <w:rFonts w:ascii="宋体" w:hAnsi="宋体"/>
                <w:bCs/>
                <w:sz w:val="24"/>
              </w:rPr>
              <w:t>(2002)1980号</w:t>
            </w:r>
            <w:r>
              <w:rPr>
                <w:rFonts w:hint="eastAsia" w:ascii="宋体" w:hAnsi="宋体"/>
                <w:bCs/>
                <w:sz w:val="24"/>
              </w:rPr>
              <w:t>和《发改办价格[2003]857号2003/09/15》</w:t>
            </w:r>
            <w:r>
              <w:rPr>
                <w:rFonts w:ascii="宋体" w:hAnsi="宋体"/>
                <w:bCs/>
                <w:sz w:val="24"/>
              </w:rPr>
              <w:t>文件所规定的收费标准</w:t>
            </w:r>
            <w:r>
              <w:rPr>
                <w:rFonts w:hint="eastAsia" w:ascii="宋体" w:hAnsi="宋体"/>
                <w:bCs/>
                <w:sz w:val="24"/>
              </w:rPr>
              <w:t>由中标人向招标代理机构交纳。</w:t>
            </w:r>
          </w:p>
        </w:tc>
      </w:tr>
    </w:tbl>
    <w:p>
      <w:pPr>
        <w:pStyle w:val="3"/>
        <w:numPr>
          <w:ilvl w:val="1"/>
          <w:numId w:val="0"/>
        </w:numPr>
        <w:snapToGrid w:val="0"/>
        <w:spacing w:before="0" w:after="0" w:line="360" w:lineRule="auto"/>
        <w:ind w:left="851" w:hanging="284"/>
        <w:rPr>
          <w:rFonts w:ascii="宋体" w:hAnsi="宋体" w:eastAsia="宋体"/>
          <w:sz w:val="30"/>
          <w:szCs w:val="30"/>
        </w:rPr>
      </w:pPr>
      <w:bookmarkStart w:id="21" w:name="_Toc289848516"/>
      <w:bookmarkStart w:id="22" w:name="_Toc289848542"/>
      <w:bookmarkStart w:id="23" w:name="_Toc289848358"/>
      <w:bookmarkStart w:id="24" w:name="_Toc276646851"/>
      <w:bookmarkStart w:id="25" w:name="_Toc289848431"/>
      <w:r>
        <w:rPr>
          <w:rFonts w:ascii="宋体" w:hAnsi="宋体" w:eastAsia="宋体"/>
          <w:sz w:val="30"/>
          <w:szCs w:val="30"/>
        </w:rPr>
        <w:br w:type="page"/>
      </w:r>
      <w:bookmarkStart w:id="26" w:name="_Toc66260320"/>
      <w:r>
        <w:rPr>
          <w:rFonts w:hint="eastAsia" w:ascii="宋体" w:hAnsi="宋体" w:eastAsia="宋体"/>
          <w:sz w:val="30"/>
          <w:szCs w:val="30"/>
        </w:rPr>
        <w:t>一、导</w:t>
      </w:r>
      <w:r>
        <w:rPr>
          <w:rFonts w:ascii="宋体" w:hAnsi="宋体" w:eastAsia="宋体"/>
          <w:sz w:val="30"/>
          <w:szCs w:val="30"/>
        </w:rPr>
        <w:t xml:space="preserve">   言</w:t>
      </w:r>
      <w:bookmarkEnd w:id="21"/>
      <w:bookmarkEnd w:id="22"/>
      <w:bookmarkEnd w:id="23"/>
      <w:bookmarkEnd w:id="24"/>
      <w:bookmarkEnd w:id="25"/>
      <w:bookmarkEnd w:id="26"/>
    </w:p>
    <w:p>
      <w:pPr>
        <w:numPr>
          <w:ilvl w:val="0"/>
          <w:numId w:val="1"/>
        </w:numPr>
        <w:adjustRightInd w:val="0"/>
        <w:snapToGrid w:val="0"/>
        <w:spacing w:line="360" w:lineRule="auto"/>
        <w:rPr>
          <w:rFonts w:ascii="宋体" w:hAnsi="宋体"/>
          <w:b/>
          <w:sz w:val="24"/>
        </w:rPr>
      </w:pPr>
      <w:r>
        <w:rPr>
          <w:rFonts w:hint="eastAsia" w:ascii="宋体" w:hAnsi="宋体"/>
          <w:b/>
          <w:sz w:val="24"/>
        </w:rPr>
        <w:t>项目概况</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1.1本项目已由有关部门批准，现已具备招标条件并进行竞争性谈判。</w:t>
      </w:r>
    </w:p>
    <w:p>
      <w:pPr>
        <w:pStyle w:val="4"/>
        <w:snapToGrid w:val="0"/>
        <w:spacing w:line="360" w:lineRule="auto"/>
        <w:ind w:firstLine="480" w:firstLineChars="200"/>
        <w:rPr>
          <w:rFonts w:hint="eastAsia" w:ascii="宋体" w:hAnsi="宋体" w:eastAsia="宋体"/>
          <w:bCs/>
          <w:sz w:val="24"/>
          <w:szCs w:val="24"/>
          <w:lang w:eastAsia="zh-CN"/>
        </w:rPr>
      </w:pPr>
      <w:r>
        <w:rPr>
          <w:rFonts w:hint="eastAsia" w:ascii="宋体" w:hAnsi="宋体" w:eastAsia="宋体"/>
          <w:bCs/>
          <w:sz w:val="24"/>
          <w:szCs w:val="24"/>
        </w:rPr>
        <w:t>1.2采购人</w:t>
      </w:r>
      <w:r>
        <w:rPr>
          <w:rFonts w:ascii="宋体" w:hAnsi="宋体" w:eastAsia="宋体"/>
          <w:bCs/>
          <w:sz w:val="24"/>
          <w:szCs w:val="24"/>
        </w:rPr>
        <w:t>：</w:t>
      </w:r>
      <w:r>
        <w:rPr>
          <w:rFonts w:hint="eastAsia" w:ascii="宋体" w:hAnsi="宋体" w:eastAsia="宋体"/>
          <w:b/>
          <w:bCs/>
          <w:sz w:val="24"/>
          <w:szCs w:val="24"/>
          <w:lang w:eastAsia="zh-CN"/>
        </w:rPr>
        <w:t>周口市第二人民医院(周口市老年医院）</w:t>
      </w:r>
    </w:p>
    <w:p>
      <w:pPr>
        <w:pStyle w:val="4"/>
        <w:snapToGrid w:val="0"/>
        <w:spacing w:line="360" w:lineRule="auto"/>
        <w:ind w:firstLine="480" w:firstLineChars="200"/>
        <w:rPr>
          <w:rFonts w:hint="eastAsia" w:ascii="宋体" w:hAnsi="宋体" w:eastAsia="宋体"/>
          <w:bCs/>
          <w:sz w:val="24"/>
          <w:szCs w:val="24"/>
          <w:lang w:eastAsia="zh-CN"/>
        </w:rPr>
      </w:pPr>
      <w:r>
        <w:rPr>
          <w:rFonts w:hint="eastAsia" w:ascii="宋体" w:hAnsi="宋体" w:eastAsia="宋体"/>
          <w:bCs/>
          <w:sz w:val="24"/>
          <w:szCs w:val="24"/>
        </w:rPr>
        <w:t>1.3项目名称 :</w:t>
      </w:r>
      <w:r>
        <w:rPr>
          <w:rFonts w:hint="eastAsia" w:ascii="宋体" w:hAnsi="宋体" w:eastAsia="宋体"/>
          <w:b/>
          <w:bCs/>
          <w:sz w:val="24"/>
          <w:szCs w:val="24"/>
          <w:lang w:eastAsia="zh-CN"/>
        </w:rPr>
        <w:t>周口市第二人民医院（周口市老年医院）七一路院区部分病房安装中央空调项目</w:t>
      </w:r>
    </w:p>
    <w:p>
      <w:pPr>
        <w:numPr>
          <w:ilvl w:val="0"/>
          <w:numId w:val="2"/>
        </w:numPr>
        <w:adjustRightInd w:val="0"/>
        <w:snapToGrid w:val="0"/>
        <w:spacing w:line="360" w:lineRule="auto"/>
        <w:rPr>
          <w:rFonts w:ascii="宋体" w:hAnsi="宋体"/>
          <w:b/>
          <w:sz w:val="24"/>
        </w:rPr>
      </w:pPr>
      <w:r>
        <w:rPr>
          <w:rFonts w:hint="eastAsia"/>
          <w:b/>
          <w:sz w:val="24"/>
        </w:rPr>
        <w:t>招标范围</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2.1本次采购项目为</w:t>
      </w:r>
      <w:r>
        <w:rPr>
          <w:rFonts w:hint="eastAsia" w:ascii="宋体" w:hAnsi="宋体" w:eastAsia="宋体"/>
          <w:b/>
          <w:bCs/>
          <w:sz w:val="24"/>
          <w:szCs w:val="24"/>
          <w:lang w:eastAsia="zh-CN"/>
        </w:rPr>
        <w:t>周口市第二人民医院（周口市老年医院）七一路院区部分病房安装中央空调项目</w:t>
      </w:r>
      <w:r>
        <w:rPr>
          <w:rFonts w:hint="eastAsia" w:ascii="宋体" w:hAnsi="宋体" w:eastAsia="宋体"/>
          <w:bCs/>
          <w:sz w:val="24"/>
          <w:szCs w:val="24"/>
        </w:rPr>
        <w:t>。主要设备包括：详见采购要求及技术参数。竞标人应自行完成所需货物的供货、调试、以及后期维护等工作，并严格遵循本竞争性谈判文件“技术规范”中相关技术要求。</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2.3采购人有权调整中标单位的承包范围，中标单位不得有异议，也不能要求调整各单项报价，否则采购人有权终止中标单位的中标资格并没收其履约保证金。</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2.4详细内容见设备技术参数要求。</w:t>
      </w:r>
    </w:p>
    <w:p>
      <w:pPr>
        <w:numPr>
          <w:ilvl w:val="0"/>
          <w:numId w:val="3"/>
        </w:numPr>
        <w:adjustRightInd w:val="0"/>
        <w:snapToGrid w:val="0"/>
        <w:spacing w:line="360" w:lineRule="auto"/>
        <w:rPr>
          <w:rFonts w:ascii="宋体" w:hAnsi="宋体"/>
          <w:b/>
          <w:sz w:val="24"/>
        </w:rPr>
      </w:pPr>
      <w:r>
        <w:rPr>
          <w:rFonts w:hint="eastAsia" w:ascii="宋体" w:hAnsi="宋体"/>
          <w:b/>
          <w:sz w:val="24"/>
        </w:rPr>
        <w:t>竞争性谈判申请费用</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竞争性谈判申请单位在竞争性谈判申请过程中发生的一切费用，不论中标与否，均由其自行承担。竞标人一旦中标，将</w:t>
      </w:r>
      <w:r>
        <w:rPr>
          <w:rFonts w:ascii="宋体" w:hAnsi="宋体" w:eastAsia="宋体"/>
          <w:bCs/>
          <w:sz w:val="24"/>
          <w:szCs w:val="24"/>
        </w:rPr>
        <w:t>按照国家发展和改革委员会计价</w:t>
      </w:r>
      <w:r>
        <w:rPr>
          <w:rFonts w:hint="eastAsia" w:ascii="宋体" w:hAnsi="宋体" w:eastAsia="宋体"/>
          <w:bCs/>
          <w:sz w:val="24"/>
          <w:szCs w:val="24"/>
        </w:rPr>
        <w:t>格</w:t>
      </w:r>
      <w:r>
        <w:rPr>
          <w:rFonts w:ascii="宋体" w:hAnsi="宋体" w:eastAsia="宋体"/>
          <w:bCs/>
          <w:sz w:val="24"/>
          <w:szCs w:val="24"/>
        </w:rPr>
        <w:t>(2002)1980号文件所规定的收费标准和发改办价格(2003)857号文的规定</w:t>
      </w:r>
      <w:r>
        <w:rPr>
          <w:rFonts w:hint="eastAsia" w:ascii="宋体" w:hAnsi="宋体" w:eastAsia="宋体"/>
          <w:bCs/>
          <w:sz w:val="24"/>
          <w:szCs w:val="24"/>
        </w:rPr>
        <w:t>，按中标价格计算向招标代理机构付招标代理费用。</w:t>
      </w:r>
    </w:p>
    <w:p>
      <w:pPr>
        <w:numPr>
          <w:ilvl w:val="0"/>
          <w:numId w:val="4"/>
        </w:numPr>
        <w:adjustRightInd w:val="0"/>
        <w:snapToGrid w:val="0"/>
        <w:spacing w:line="360" w:lineRule="auto"/>
        <w:rPr>
          <w:rFonts w:ascii="宋体" w:hAnsi="宋体"/>
          <w:b/>
          <w:sz w:val="24"/>
        </w:rPr>
      </w:pPr>
      <w:r>
        <w:rPr>
          <w:rFonts w:hint="eastAsia" w:ascii="宋体" w:hAnsi="宋体"/>
          <w:b/>
          <w:sz w:val="24"/>
        </w:rPr>
        <w:t>供货期要求：</w:t>
      </w:r>
      <w:r>
        <w:rPr>
          <w:rFonts w:hint="eastAsia" w:ascii="宋体" w:hAnsi="宋体"/>
          <w:sz w:val="24"/>
        </w:rPr>
        <w:t>参看前附表内容要求。</w:t>
      </w:r>
    </w:p>
    <w:p>
      <w:pPr>
        <w:numPr>
          <w:ilvl w:val="0"/>
          <w:numId w:val="4"/>
        </w:numPr>
        <w:adjustRightInd w:val="0"/>
        <w:snapToGrid w:val="0"/>
        <w:spacing w:line="360" w:lineRule="auto"/>
        <w:rPr>
          <w:rFonts w:ascii="宋体" w:hAnsi="宋体"/>
          <w:b/>
          <w:sz w:val="24"/>
        </w:rPr>
      </w:pPr>
      <w:r>
        <w:rPr>
          <w:rFonts w:hint="eastAsia" w:ascii="宋体" w:hAnsi="宋体"/>
          <w:b/>
          <w:sz w:val="24"/>
        </w:rPr>
        <w:t>竞争性谈判申请资格条件：</w:t>
      </w:r>
      <w:r>
        <w:rPr>
          <w:rFonts w:hint="eastAsia" w:ascii="宋体" w:hAnsi="宋体"/>
          <w:sz w:val="24"/>
        </w:rPr>
        <w:t>参看前附表内容要求。</w:t>
      </w:r>
    </w:p>
    <w:p>
      <w:pPr>
        <w:numPr>
          <w:ilvl w:val="0"/>
          <w:numId w:val="4"/>
        </w:numPr>
        <w:adjustRightInd w:val="0"/>
        <w:snapToGrid w:val="0"/>
        <w:spacing w:line="360" w:lineRule="auto"/>
        <w:rPr>
          <w:rFonts w:ascii="宋体" w:hAnsi="宋体"/>
          <w:b/>
          <w:sz w:val="24"/>
        </w:rPr>
      </w:pPr>
      <w:r>
        <w:rPr>
          <w:rFonts w:hint="eastAsia" w:ascii="宋体" w:hAnsi="宋体"/>
          <w:b/>
          <w:sz w:val="24"/>
        </w:rPr>
        <w:t>竞争性谈判申请要求</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6.1本项目不允许同一竞争性谈判申请单位提交两份或两份以上不同实质内容的竞争性谈判申请文件。</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6.2不论竞争性谈判申请结果如何，招标单位对竞标人的竞争性谈判申请文件均不退还，且不对此作任何解释。</w:t>
      </w:r>
    </w:p>
    <w:p>
      <w:pPr>
        <w:numPr>
          <w:ilvl w:val="0"/>
          <w:numId w:val="5"/>
        </w:numPr>
        <w:adjustRightInd w:val="0"/>
        <w:snapToGrid w:val="0"/>
        <w:spacing w:line="360" w:lineRule="auto"/>
        <w:rPr>
          <w:rFonts w:ascii="宋体" w:hAnsi="宋体"/>
          <w:b/>
          <w:sz w:val="24"/>
        </w:rPr>
      </w:pPr>
      <w:r>
        <w:rPr>
          <w:rFonts w:hint="eastAsia" w:ascii="宋体" w:hAnsi="宋体"/>
          <w:b/>
          <w:sz w:val="24"/>
        </w:rPr>
        <w:t>定义及解释</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7.1货物：系指竞标人按竞争性谈判文件规定所提供的设备、工具、备品备件、手</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册及其他有关技术资料和材料。</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7.2服务：系指竞标人提供的培训、安装、调试、质保期服务、售后服务、与货物有关的运输和保险及其他伴随服务。</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7.3采购人（业主）：</w:t>
      </w:r>
      <w:r>
        <w:rPr>
          <w:rFonts w:hint="eastAsia" w:ascii="宋体" w:hAnsi="宋体" w:eastAsia="宋体"/>
          <w:b/>
          <w:bCs/>
          <w:sz w:val="24"/>
          <w:szCs w:val="24"/>
          <w:lang w:eastAsia="zh-CN"/>
        </w:rPr>
        <w:t>周口市第二人民医院(周口市老年医院）</w:t>
      </w:r>
      <w:r>
        <w:rPr>
          <w:rFonts w:hint="eastAsia" w:ascii="宋体" w:hAnsi="宋体" w:eastAsia="宋体"/>
          <w:bCs/>
          <w:sz w:val="24"/>
          <w:szCs w:val="24"/>
        </w:rPr>
        <w:t>。</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7.4竞标人：是指响应竞争性谈判、参加竞争性谈判申请竞争的法人或者其它组织。</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7.5招标代理机构： 河南子鑫工程管理有限公司。</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7.6竞争性谈判委员会：系指按照《中华人民共和国政府采购法》的规定依法组建的专门负责本次招标评标工作的临时机构。</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7.7日期：系指公历日。</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7.8竞争性谈判文件中所规定的“书面形式”，是指任何手写、打印或印刷的通讯，包括电报和传真发送。</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7.9合格的竞标人为资格审查通过的具有独立法人资格的生产商或生产商授权的代理商（经销商）。</w:t>
      </w:r>
    </w:p>
    <w:p>
      <w:pPr>
        <w:pStyle w:val="3"/>
        <w:numPr>
          <w:ilvl w:val="1"/>
          <w:numId w:val="0"/>
        </w:numPr>
        <w:snapToGrid w:val="0"/>
        <w:spacing w:before="0" w:after="0" w:line="360" w:lineRule="auto"/>
        <w:ind w:left="851" w:hanging="284"/>
        <w:rPr>
          <w:rFonts w:ascii="宋体" w:hAnsi="宋体" w:eastAsia="宋体"/>
          <w:sz w:val="30"/>
          <w:szCs w:val="30"/>
        </w:rPr>
      </w:pPr>
      <w:bookmarkStart w:id="27" w:name="_Toc289848359"/>
      <w:bookmarkStart w:id="28" w:name="_Toc289848517"/>
      <w:bookmarkStart w:id="29" w:name="_Toc289848432"/>
      <w:bookmarkStart w:id="30" w:name="_Toc289848543"/>
      <w:bookmarkStart w:id="31" w:name="_Toc276646852"/>
      <w:bookmarkStart w:id="32" w:name="_Toc66260321"/>
      <w:r>
        <w:rPr>
          <w:rFonts w:hint="eastAsia" w:ascii="宋体" w:hAnsi="宋体" w:eastAsia="宋体"/>
          <w:sz w:val="30"/>
          <w:szCs w:val="30"/>
        </w:rPr>
        <w:t>二、</w:t>
      </w:r>
      <w:bookmarkEnd w:id="27"/>
      <w:bookmarkEnd w:id="28"/>
      <w:bookmarkEnd w:id="29"/>
      <w:bookmarkEnd w:id="30"/>
      <w:bookmarkEnd w:id="31"/>
      <w:r>
        <w:rPr>
          <w:rFonts w:hint="eastAsia" w:ascii="宋体" w:hAnsi="宋体" w:eastAsia="宋体"/>
          <w:sz w:val="30"/>
          <w:szCs w:val="30"/>
        </w:rPr>
        <w:t>竞争性谈判文件</w:t>
      </w:r>
      <w:bookmarkEnd w:id="32"/>
    </w:p>
    <w:p>
      <w:pPr>
        <w:numPr>
          <w:ilvl w:val="0"/>
          <w:numId w:val="6"/>
        </w:numPr>
        <w:adjustRightInd w:val="0"/>
        <w:snapToGrid w:val="0"/>
        <w:spacing w:line="360" w:lineRule="auto"/>
        <w:rPr>
          <w:rFonts w:ascii="宋体" w:hAnsi="宋体"/>
          <w:b/>
          <w:sz w:val="24"/>
        </w:rPr>
      </w:pPr>
      <w:r>
        <w:rPr>
          <w:rFonts w:ascii="宋体" w:hAnsi="宋体"/>
          <w:b/>
          <w:sz w:val="24"/>
        </w:rPr>
        <w:t>竞争性谈判文件的组成</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9.1竞争性谈判文件包括下列内容及按第9.5、9.6</w:t>
      </w:r>
      <w:r>
        <w:rPr>
          <w:rFonts w:ascii="宋体" w:hAnsi="宋体" w:eastAsia="宋体"/>
          <w:bCs/>
          <w:sz w:val="24"/>
          <w:szCs w:val="24"/>
        </w:rPr>
        <w:t>条款内容发出的补充文件。</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第一部分竞争性谈判公告</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第二部分竞争性谈判申请人须知</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第三部分 采购设备要求及技术参数</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第四部分合同格式</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第五部分竞争性谈判申请文件格式</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9.2谈判人应详细阅读竞争性谈判文件中的所有条款内容、格式、表格和所涉及的相关规范。如果谈判人不按竞争性谈判文件的要求提交竞争性谈判申请文件和资料的，或者竞争性谈判申请文件没有对竞争性谈判文件提出的实质性要求和条件作出响应，将导致竞争性谈判申请文件不被接受，其后果由竞标人自己负责。</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9.3</w:t>
      </w:r>
      <w:r>
        <w:rPr>
          <w:rFonts w:ascii="宋体" w:hAnsi="宋体" w:eastAsia="宋体"/>
          <w:bCs/>
          <w:sz w:val="24"/>
          <w:szCs w:val="24"/>
        </w:rPr>
        <w:t>竞争性谈判文件的澄清</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要求澄清竞争性谈判文件的竞标人应以书面形式并加盖企业公章按竞争性谈判申请人须知前附表中的地址告知招标代理机构。招标代理机构将答复发给所有竞争性谈判文件收受人</w:t>
      </w:r>
      <w:r>
        <w:rPr>
          <w:rFonts w:ascii="宋体" w:hAnsi="宋体" w:eastAsia="宋体"/>
          <w:bCs/>
          <w:sz w:val="24"/>
          <w:szCs w:val="24"/>
        </w:rPr>
        <w:t xml:space="preserve">( </w:t>
      </w:r>
      <w:r>
        <w:rPr>
          <w:rFonts w:hint="eastAsia" w:ascii="宋体" w:hAnsi="宋体" w:eastAsia="宋体"/>
          <w:bCs/>
          <w:sz w:val="24"/>
          <w:szCs w:val="24"/>
        </w:rPr>
        <w:t>包括对要求澄清问题的说明，但不指明问题的来源</w:t>
      </w:r>
      <w:r>
        <w:rPr>
          <w:rFonts w:ascii="宋体" w:hAnsi="宋体" w:eastAsia="宋体"/>
          <w:bCs/>
          <w:sz w:val="24"/>
          <w:szCs w:val="24"/>
        </w:rPr>
        <w:t>)。</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9.4</w:t>
      </w:r>
      <w:r>
        <w:rPr>
          <w:rFonts w:ascii="宋体" w:hAnsi="宋体" w:eastAsia="宋体"/>
          <w:bCs/>
          <w:sz w:val="24"/>
          <w:szCs w:val="24"/>
        </w:rPr>
        <w:t>竞争性谈判文件的修正</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9.5在竞争性谈判申请截止前，</w:t>
      </w:r>
      <w:r>
        <w:rPr>
          <w:rFonts w:ascii="宋体" w:hAnsi="宋体" w:eastAsia="宋体"/>
          <w:bCs/>
          <w:sz w:val="24"/>
          <w:szCs w:val="24"/>
        </w:rPr>
        <w:t>无论出于何种原因，采购人可以用补充文件的方式修正竞争性谈判文件。该补充文件将成为竞争性谈判文件的一部分。</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9.6补充文件将以书面方式发给所有竞争性谈判文件收受人，竞争性谈判文件收受人应以书面形式回复招标代理机构确认收到每一份补充文件。</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9.7</w:t>
      </w:r>
      <w:r>
        <w:rPr>
          <w:rFonts w:ascii="宋体" w:hAnsi="宋体" w:eastAsia="宋体"/>
          <w:bCs/>
          <w:sz w:val="24"/>
          <w:szCs w:val="24"/>
        </w:rPr>
        <w:t>为使竞标人有足够的时间按修正的竞争性谈判文件准备竞争性谈判申请文件，采购人可以酌情延长竞争性谈判申请截止时间，并将此变更通知所有竞争性谈判文件收受人。</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9.8竞争性谈判文件中为简述货物品质、基本性能而标示的品牌或型号仅供竞标人选择货物在质量、水平上的比照参考，不具有限制性。竞标人可提供品质相同或优于同类产品的货物。</w:t>
      </w:r>
    </w:p>
    <w:p>
      <w:pPr>
        <w:pStyle w:val="4"/>
        <w:snapToGrid w:val="0"/>
        <w:spacing w:line="360" w:lineRule="auto"/>
        <w:ind w:left="480" w:leftChars="160" w:firstLine="0"/>
        <w:rPr>
          <w:rFonts w:ascii="宋体" w:hAnsi="宋体" w:eastAsia="宋体"/>
          <w:bCs/>
          <w:sz w:val="18"/>
          <w:szCs w:val="18"/>
        </w:rPr>
      </w:pPr>
    </w:p>
    <w:p>
      <w:pPr>
        <w:pStyle w:val="3"/>
        <w:numPr>
          <w:ilvl w:val="1"/>
          <w:numId w:val="0"/>
        </w:numPr>
        <w:snapToGrid w:val="0"/>
        <w:spacing w:before="0" w:after="0" w:line="360" w:lineRule="auto"/>
        <w:ind w:left="851" w:hanging="284"/>
        <w:rPr>
          <w:rFonts w:ascii="宋体" w:hAnsi="宋体" w:eastAsia="宋体"/>
          <w:sz w:val="30"/>
          <w:szCs w:val="30"/>
        </w:rPr>
      </w:pPr>
      <w:bookmarkStart w:id="33" w:name="_Toc289848433"/>
      <w:bookmarkStart w:id="34" w:name="_Toc66260322"/>
      <w:bookmarkStart w:id="35" w:name="_Toc289848544"/>
      <w:bookmarkStart w:id="36" w:name="_Toc289848360"/>
      <w:bookmarkStart w:id="37" w:name="_Toc276646853"/>
      <w:bookmarkStart w:id="38" w:name="_Toc289848518"/>
      <w:r>
        <w:rPr>
          <w:rFonts w:hint="eastAsia" w:ascii="宋体" w:hAnsi="宋体" w:eastAsia="宋体"/>
          <w:sz w:val="30"/>
          <w:szCs w:val="30"/>
        </w:rPr>
        <w:t>三、竞争性谈判申请文件的编制</w:t>
      </w:r>
      <w:bookmarkEnd w:id="33"/>
      <w:bookmarkEnd w:id="34"/>
      <w:bookmarkEnd w:id="35"/>
      <w:bookmarkEnd w:id="36"/>
      <w:bookmarkEnd w:id="37"/>
      <w:bookmarkEnd w:id="38"/>
    </w:p>
    <w:p>
      <w:pPr>
        <w:numPr>
          <w:ilvl w:val="0"/>
          <w:numId w:val="6"/>
        </w:numPr>
        <w:adjustRightInd w:val="0"/>
        <w:snapToGrid w:val="0"/>
        <w:spacing w:line="360" w:lineRule="auto"/>
        <w:rPr>
          <w:rFonts w:ascii="宋体" w:hAnsi="宋体"/>
          <w:b/>
          <w:sz w:val="24"/>
        </w:rPr>
      </w:pPr>
      <w:r>
        <w:rPr>
          <w:rFonts w:hint="eastAsia" w:ascii="宋体" w:hAnsi="宋体"/>
          <w:b/>
          <w:sz w:val="24"/>
        </w:rPr>
        <w:t>竞争性谈判申请文件</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10.1.竞争性谈判响应文件的组成</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10.1.1.竞争性谈判投标函</w:t>
      </w:r>
      <w:r>
        <w:rPr>
          <w:rFonts w:hint="eastAsia" w:ascii="宋体" w:hAnsi="宋体"/>
          <w:bCs/>
          <w:kern w:val="0"/>
          <w:sz w:val="24"/>
        </w:rPr>
        <w:tab/>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10.1.2.竞争性谈判投标函附表</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10.1.3.法定代表人授权委托书</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10.1.4.企业证件</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10.1.5.纳税证明、社保证明、财务报表</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10.1.6.竞争性谈判申请货物分项报价表</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10.1.7.反商业贿赂承诺书</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10.1.8.竞争性谈判申请货物技术参数</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10.1.9.竞争性谈判申请产品技术性能偏离表</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10.1.10.售后服务</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10.1.11.竞争性谈判申请人认为需要提供的其他证明性材料</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10.2竞争性谈判响应文件编制要求</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10.2.1竞争性谈判申请单位应按竞争性谈判文件提供的竞争性谈判申请格式和要求编制竞争性谈判响应文件。竞争性谈判响应文件应按A4规格标准打印，胶装成册，文字要清晰，语意要明确，并按竞争性谈判文件的要求签字盖章。</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10.2.2竞争性谈判响应文件应尽量避免涂改和插字，若为了改正错误必须这样做时，均应由法定代表人(或委托代理人)在修改处签名或加盖印鉴确认。</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10.2.3竞争性谈判响应文件正本和副本的封面或扉页应标明的内容详见“竞争性谈判响应文件格式”。</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10.2.4竞争性谈判响应文件的封面上应分别标明“正本”或“副本”字样。</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10.3竞争性谈判响应文件的份数</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详见竞争性谈判申请人须知前附表。</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10.4竞争性谈判响应文件的修改与撤回</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如竞标人需要修改或撤回其竞争性谈判响应文件，必须在本竞争性谈判文件规定的竞争性谈判申请截止时间前将修改或撤回其竞争性谈判响应文件的书面通知送达招标单位。上述书面通知应按本竞争性谈判文件的规定进行编制、密封和标记，并标明“修改”或“撤回”字样。竞标人不得在竞争性谈判申请截止时间后修改和撤回竞争性谈判响应文件。</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10.5竞争性谈判响应文件有效期</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竞争性谈判响应文件自本竞争性谈判文件规定的竞争性谈判申请截止时间起生效，其有效期为60天(日历天)。</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10.6特别说明</w:t>
      </w:r>
      <w:r>
        <w:rPr>
          <w:rFonts w:hint="eastAsia" w:ascii="宋体" w:hAnsi="宋体"/>
          <w:bCs/>
          <w:kern w:val="0"/>
          <w:sz w:val="24"/>
        </w:rPr>
        <w:tab/>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10.6.1竞争性谈判申请语言： 竞标人提交的竞争性谈判响应文件以及竞标人与采购人就有关竞争性谈判申请的所有往来函电均应使用中文。竞标人提供的支持文件和印刷的文件可以用英文，但相应内容应附有中文翻译本，在解释时以中文翻译本为准。</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10.6.2计量：在竞争性谈判响应文件中以及所有竞标人与采购人构往来文件中的所有计量单位和规格说明都必须用公制标准表示。</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 xml:space="preserve">10.7竞争性谈判申请货物和服务的报价 </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10.7.1竞标人对所投货物和服务自行填报竞争性谈判申请报价表。</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10.7.2 如竞争性谈判申请报价表中的大写金额和小写金额不一致的，以大写金额为准；总价金额与单价金额不一致的，以单价金额为准，但单价金额小数点有明显错误的除外；对不同文字文本竞争性谈判响应文件的解释发生异议的，以中文文本为准。</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10.7.3 竞标人只能提出一个不变价格，采购人不接受任何选择价。</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10.7.4 全部报价均应以人民币为计量币种，并以人民币进行结算。</w:t>
      </w:r>
    </w:p>
    <w:p>
      <w:pPr>
        <w:numPr>
          <w:ilvl w:val="0"/>
          <w:numId w:val="6"/>
        </w:numPr>
        <w:adjustRightInd w:val="0"/>
        <w:snapToGrid w:val="0"/>
        <w:spacing w:line="360" w:lineRule="auto"/>
        <w:rPr>
          <w:rFonts w:ascii="宋体" w:hAnsi="宋体"/>
          <w:b/>
          <w:sz w:val="24"/>
        </w:rPr>
      </w:pPr>
      <w:r>
        <w:rPr>
          <w:rFonts w:hint="eastAsia" w:ascii="宋体" w:hAnsi="宋体"/>
          <w:b/>
          <w:sz w:val="24"/>
        </w:rPr>
        <w:t>竞争性谈判保证金</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11</w:t>
      </w:r>
      <w:r>
        <w:rPr>
          <w:rFonts w:ascii="宋体" w:hAnsi="宋体" w:eastAsia="宋体"/>
          <w:bCs/>
          <w:sz w:val="24"/>
          <w:szCs w:val="24"/>
        </w:rPr>
        <w:t>.1作为竞争性谈判申请文件的组成部分，竞标人应提供竞争性谈判保证金</w:t>
      </w:r>
      <w:r>
        <w:rPr>
          <w:rFonts w:hint="eastAsia" w:ascii="宋体" w:hAnsi="宋体" w:eastAsia="宋体"/>
          <w:bCs/>
          <w:sz w:val="24"/>
          <w:szCs w:val="24"/>
        </w:rPr>
        <w:t>，并于竞争性谈判申请截止时间前由竞争性谈判申请人基本账户汇入指定账户，并至招标代理机构确认保证金到账情况</w:t>
      </w:r>
      <w:r>
        <w:rPr>
          <w:rFonts w:ascii="宋体" w:hAnsi="宋体" w:eastAsia="宋体"/>
          <w:bCs/>
          <w:sz w:val="24"/>
          <w:szCs w:val="24"/>
        </w:rPr>
        <w:t>。</w:t>
      </w:r>
      <w:r>
        <w:rPr>
          <w:rFonts w:hint="eastAsia" w:ascii="宋体" w:hAnsi="宋体" w:eastAsia="宋体"/>
          <w:bCs/>
          <w:sz w:val="24"/>
          <w:szCs w:val="24"/>
        </w:rPr>
        <w:t>如保证金未到账，一切责任由竞争性谈判申请人自行负责</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11</w:t>
      </w:r>
      <w:r>
        <w:rPr>
          <w:rFonts w:ascii="宋体" w:hAnsi="宋体" w:eastAsia="宋体"/>
          <w:bCs/>
          <w:sz w:val="24"/>
          <w:szCs w:val="24"/>
        </w:rPr>
        <w:t xml:space="preserve">.2 </w:t>
      </w:r>
      <w:r>
        <w:rPr>
          <w:rFonts w:hint="eastAsia" w:ascii="宋体" w:hAnsi="宋体" w:eastAsia="宋体"/>
          <w:bCs/>
          <w:sz w:val="24"/>
          <w:szCs w:val="24"/>
        </w:rPr>
        <w:t>未按竞争性谈判文件规定提供竞争性谈判保证金的竞争性谈判申请文件，将被拒绝接收。</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11</w:t>
      </w:r>
      <w:r>
        <w:rPr>
          <w:rFonts w:ascii="宋体" w:hAnsi="宋体" w:eastAsia="宋体"/>
          <w:bCs/>
          <w:sz w:val="24"/>
          <w:szCs w:val="24"/>
        </w:rPr>
        <w:t>.3</w:t>
      </w:r>
      <w:r>
        <w:rPr>
          <w:rFonts w:hint="eastAsia" w:ascii="宋体" w:hAnsi="宋体" w:eastAsia="宋体"/>
          <w:bCs/>
          <w:sz w:val="24"/>
          <w:szCs w:val="24"/>
        </w:rPr>
        <w:t xml:space="preserve"> 未中标人的竞争性谈判保证金在发出中标通知书后七个工作日内全额退还。</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11</w:t>
      </w:r>
      <w:r>
        <w:rPr>
          <w:rFonts w:ascii="宋体" w:hAnsi="宋体" w:eastAsia="宋体"/>
          <w:bCs/>
          <w:sz w:val="24"/>
          <w:szCs w:val="24"/>
        </w:rPr>
        <w:t>.4</w:t>
      </w:r>
      <w:r>
        <w:rPr>
          <w:rFonts w:hint="eastAsia" w:ascii="宋体" w:hAnsi="宋体" w:eastAsia="宋体"/>
          <w:bCs/>
          <w:sz w:val="24"/>
          <w:szCs w:val="24"/>
        </w:rPr>
        <w:t xml:space="preserve"> 中标人的竞争性谈判保证金在采购人与中标人签订合同并足额交纳招标代理费后七个工作日内退还。</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11</w:t>
      </w:r>
      <w:r>
        <w:rPr>
          <w:rFonts w:ascii="宋体" w:hAnsi="宋体" w:eastAsia="宋体"/>
          <w:bCs/>
          <w:sz w:val="24"/>
          <w:szCs w:val="24"/>
        </w:rPr>
        <w:t xml:space="preserve">.5 </w:t>
      </w:r>
      <w:r>
        <w:rPr>
          <w:rFonts w:hint="eastAsia" w:ascii="宋体" w:hAnsi="宋体" w:eastAsia="宋体"/>
          <w:bCs/>
          <w:sz w:val="24"/>
          <w:szCs w:val="24"/>
        </w:rPr>
        <w:t>若发生下列情况之一，竞争性谈判保证金将不再退还：</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11</w:t>
      </w:r>
      <w:r>
        <w:rPr>
          <w:rFonts w:ascii="宋体" w:hAnsi="宋体" w:eastAsia="宋体"/>
          <w:bCs/>
          <w:sz w:val="24"/>
          <w:szCs w:val="24"/>
        </w:rPr>
        <w:t>.5.1</w:t>
      </w:r>
      <w:r>
        <w:rPr>
          <w:rFonts w:hint="eastAsia" w:ascii="宋体" w:hAnsi="宋体" w:eastAsia="宋体"/>
          <w:bCs/>
          <w:sz w:val="24"/>
          <w:szCs w:val="24"/>
        </w:rPr>
        <w:t>在竞争性谈判申请有效期内，竞标人自行撤消竞争性谈判申请；</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11</w:t>
      </w:r>
      <w:r>
        <w:rPr>
          <w:rFonts w:ascii="宋体" w:hAnsi="宋体" w:eastAsia="宋体"/>
          <w:bCs/>
          <w:sz w:val="24"/>
          <w:szCs w:val="24"/>
        </w:rPr>
        <w:t xml:space="preserve">.5.2 </w:t>
      </w:r>
      <w:r>
        <w:rPr>
          <w:rFonts w:hint="eastAsia" w:ascii="宋体" w:hAnsi="宋体" w:eastAsia="宋体"/>
          <w:bCs/>
          <w:sz w:val="24"/>
          <w:szCs w:val="24"/>
        </w:rPr>
        <w:t>中标人未按竞争性谈判文件规定签订合同。</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11</w:t>
      </w:r>
      <w:r>
        <w:rPr>
          <w:rFonts w:ascii="宋体" w:hAnsi="宋体" w:eastAsia="宋体"/>
          <w:bCs/>
          <w:sz w:val="24"/>
          <w:szCs w:val="24"/>
        </w:rPr>
        <w:t>.5.</w:t>
      </w:r>
      <w:r>
        <w:rPr>
          <w:rFonts w:hint="eastAsia" w:ascii="宋体" w:hAnsi="宋体" w:eastAsia="宋体"/>
          <w:bCs/>
          <w:sz w:val="24"/>
          <w:szCs w:val="24"/>
        </w:rPr>
        <w:t>3 提供虚假证明材料的.</w:t>
      </w:r>
    </w:p>
    <w:p>
      <w:pPr>
        <w:pStyle w:val="3"/>
        <w:numPr>
          <w:ilvl w:val="1"/>
          <w:numId w:val="0"/>
        </w:numPr>
        <w:snapToGrid w:val="0"/>
        <w:spacing w:before="0" w:after="0" w:line="360" w:lineRule="auto"/>
        <w:ind w:left="851" w:hanging="284"/>
        <w:rPr>
          <w:rFonts w:ascii="宋体" w:hAnsi="宋体" w:eastAsia="宋体"/>
          <w:sz w:val="30"/>
          <w:szCs w:val="30"/>
        </w:rPr>
      </w:pPr>
      <w:bookmarkStart w:id="39" w:name="_Toc276646854"/>
      <w:bookmarkStart w:id="40" w:name="_Toc289848361"/>
      <w:bookmarkStart w:id="41" w:name="_Toc66260323"/>
      <w:bookmarkStart w:id="42" w:name="_Toc289848519"/>
      <w:bookmarkStart w:id="43" w:name="_Toc289848434"/>
      <w:bookmarkStart w:id="44" w:name="_Toc289848545"/>
      <w:r>
        <w:rPr>
          <w:rFonts w:hint="eastAsia" w:ascii="宋体" w:hAnsi="宋体" w:eastAsia="宋体"/>
          <w:sz w:val="30"/>
          <w:szCs w:val="30"/>
        </w:rPr>
        <w:t>四、竞争性谈判申请文件的密封与递交</w:t>
      </w:r>
      <w:bookmarkEnd w:id="39"/>
      <w:bookmarkEnd w:id="40"/>
      <w:bookmarkEnd w:id="41"/>
      <w:bookmarkEnd w:id="42"/>
      <w:bookmarkEnd w:id="43"/>
      <w:bookmarkEnd w:id="44"/>
    </w:p>
    <w:p>
      <w:pPr>
        <w:numPr>
          <w:ilvl w:val="0"/>
          <w:numId w:val="6"/>
        </w:numPr>
        <w:adjustRightInd w:val="0"/>
        <w:snapToGrid w:val="0"/>
        <w:spacing w:line="360" w:lineRule="auto"/>
        <w:rPr>
          <w:rFonts w:ascii="宋体" w:hAnsi="宋体"/>
          <w:b/>
          <w:sz w:val="24"/>
        </w:rPr>
      </w:pPr>
      <w:r>
        <w:rPr>
          <w:rFonts w:hint="eastAsia" w:ascii="宋体" w:hAnsi="宋体"/>
          <w:b/>
          <w:sz w:val="24"/>
        </w:rPr>
        <w:t>竞争性谈判申请文件的密封</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竞争性谈判申请单位应将竞争性谈判申请文件的正副本等文件密封在一个密封包内，包装封面上加盖竞争性谈判申请单位印鉴和法定代表人印鉴并标明如下内容：</w:t>
      </w:r>
    </w:p>
    <w:p>
      <w:pPr>
        <w:pStyle w:val="4"/>
        <w:snapToGrid w:val="0"/>
        <w:spacing w:line="360" w:lineRule="auto"/>
        <w:ind w:firstLine="480" w:firstLineChars="200"/>
        <w:rPr>
          <w:rFonts w:ascii="宋体" w:hAnsi="宋体" w:eastAsia="宋体"/>
          <w:b/>
          <w:bCs/>
          <w:sz w:val="24"/>
          <w:szCs w:val="24"/>
        </w:rPr>
      </w:pPr>
      <w:r>
        <w:rPr>
          <w:rFonts w:hint="eastAsia" w:ascii="宋体" w:hAnsi="宋体" w:eastAsia="宋体"/>
          <w:bCs/>
          <w:sz w:val="24"/>
          <w:szCs w:val="24"/>
        </w:rPr>
        <w:t>详见第五部分竞争性谈判申请文件格式</w:t>
      </w:r>
    </w:p>
    <w:p>
      <w:pPr>
        <w:numPr>
          <w:ilvl w:val="0"/>
          <w:numId w:val="6"/>
        </w:numPr>
        <w:adjustRightInd w:val="0"/>
        <w:snapToGrid w:val="0"/>
        <w:spacing w:line="360" w:lineRule="auto"/>
        <w:rPr>
          <w:rFonts w:ascii="宋体" w:hAnsi="宋体"/>
          <w:b/>
          <w:sz w:val="24"/>
        </w:rPr>
      </w:pPr>
      <w:r>
        <w:rPr>
          <w:rFonts w:hint="eastAsia" w:ascii="宋体" w:hAnsi="宋体"/>
          <w:b/>
          <w:sz w:val="24"/>
        </w:rPr>
        <w:t>竞争性谈判申请文件的递交</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竞标人应在竞争性谈判申请人须知前附表规定的时间将竞争性谈判申请文件递交至前附表指定的开标地点，密封不符合本谈判文件要求的竞争性谈判申请文件将被拒收。</w:t>
      </w:r>
    </w:p>
    <w:p>
      <w:pPr>
        <w:numPr>
          <w:ilvl w:val="0"/>
          <w:numId w:val="6"/>
        </w:numPr>
        <w:adjustRightInd w:val="0"/>
        <w:snapToGrid w:val="0"/>
        <w:spacing w:line="360" w:lineRule="auto"/>
        <w:rPr>
          <w:rFonts w:ascii="宋体" w:hAnsi="宋体"/>
          <w:b/>
          <w:sz w:val="24"/>
        </w:rPr>
      </w:pPr>
      <w:r>
        <w:rPr>
          <w:rFonts w:hint="eastAsia" w:ascii="宋体" w:hAnsi="宋体"/>
          <w:b/>
          <w:sz w:val="24"/>
        </w:rPr>
        <w:t>竞争性谈判申请截止时间</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竞争性谈判申请截止时间为竞争性谈判申请须知前附表规定的时间。</w:t>
      </w:r>
    </w:p>
    <w:p>
      <w:pPr>
        <w:numPr>
          <w:ilvl w:val="0"/>
          <w:numId w:val="6"/>
        </w:numPr>
        <w:adjustRightInd w:val="0"/>
        <w:snapToGrid w:val="0"/>
        <w:spacing w:line="360" w:lineRule="auto"/>
        <w:rPr>
          <w:rFonts w:ascii="宋体" w:hAnsi="宋体"/>
          <w:b/>
          <w:sz w:val="24"/>
        </w:rPr>
      </w:pPr>
      <w:r>
        <w:rPr>
          <w:rFonts w:hint="eastAsia" w:ascii="宋体" w:hAnsi="宋体"/>
          <w:b/>
          <w:sz w:val="24"/>
        </w:rPr>
        <w:t>迟到的竞争性谈判申请文件</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在本竞争性谈判文件规定的竞争性谈判申请截止时间以后送达的竞争性谈判申请文件，招标单位将拒收。</w:t>
      </w:r>
    </w:p>
    <w:p>
      <w:pPr>
        <w:pStyle w:val="3"/>
        <w:numPr>
          <w:ilvl w:val="1"/>
          <w:numId w:val="0"/>
        </w:numPr>
        <w:snapToGrid w:val="0"/>
        <w:spacing w:before="0" w:after="0" w:line="360" w:lineRule="auto"/>
        <w:ind w:left="851" w:hanging="284"/>
        <w:rPr>
          <w:rFonts w:ascii="宋体" w:hAnsi="宋体" w:eastAsia="宋体"/>
        </w:rPr>
      </w:pPr>
      <w:bookmarkStart w:id="45" w:name="_Toc289848435"/>
      <w:bookmarkStart w:id="46" w:name="_Toc289848546"/>
      <w:bookmarkStart w:id="47" w:name="_Toc289848362"/>
      <w:bookmarkStart w:id="48" w:name="_Toc276646855"/>
      <w:bookmarkStart w:id="49" w:name="_Toc289848520"/>
      <w:bookmarkStart w:id="50" w:name="_Toc66260324"/>
      <w:r>
        <w:rPr>
          <w:rFonts w:hint="eastAsia" w:ascii="宋体" w:hAnsi="宋体" w:eastAsia="宋体"/>
          <w:sz w:val="30"/>
          <w:szCs w:val="30"/>
        </w:rPr>
        <w:t>五、</w:t>
      </w:r>
      <w:bookmarkEnd w:id="45"/>
      <w:bookmarkEnd w:id="46"/>
      <w:bookmarkEnd w:id="47"/>
      <w:bookmarkEnd w:id="48"/>
      <w:bookmarkEnd w:id="49"/>
      <w:r>
        <w:rPr>
          <w:rFonts w:hint="eastAsia" w:ascii="宋体" w:hAnsi="宋体" w:eastAsia="宋体"/>
          <w:sz w:val="30"/>
          <w:szCs w:val="30"/>
        </w:rPr>
        <w:t>竞争性谈判程序</w:t>
      </w:r>
      <w:bookmarkEnd w:id="50"/>
    </w:p>
    <w:p>
      <w:pPr>
        <w:numPr>
          <w:ilvl w:val="0"/>
          <w:numId w:val="6"/>
        </w:numPr>
        <w:adjustRightInd w:val="0"/>
        <w:snapToGrid w:val="0"/>
        <w:spacing w:line="360" w:lineRule="auto"/>
        <w:rPr>
          <w:rFonts w:ascii="宋体" w:hAnsi="宋体"/>
          <w:b/>
          <w:sz w:val="24"/>
        </w:rPr>
      </w:pPr>
      <w:r>
        <w:rPr>
          <w:rFonts w:hint="eastAsia" w:ascii="宋体" w:hAnsi="宋体"/>
          <w:b/>
          <w:sz w:val="24"/>
        </w:rPr>
        <w:t>开标</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16.1 开标在竞争性谈判申请人须知前附表中规定的时间和地点公开开标。竞标人法人授权代表应持授权委托书与身份证签到以证明其出席。在竞争性谈判开标时，请竞标人携带好公章、授权委托书与密封最终报价的信封，在最终报价时使用。</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16.2 竞争性谈判申请文件有下列情形之一的，招标代理机构不予受理：</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16.2.1 竞争性谈判申请截止时间后送达的；</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16.2.2 未按竞争性谈判文件要求提供竞争性谈判保证金的；</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16.2.3 未按竞争性谈判文件要求密封及签章的；</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16.2.4 竞标人法人授权代表未到场的。</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16.3首先启封标明“竞争性谈判申请文件撤回通知”字样信封，并宣读竞标人名称，该撤回的竞争性谈判申请文件不予开封。</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16.4 开标按‘先投后开、后投先开’的顺序。监督人、采购人、竞标人代表共同验证竞争性谈判申请文件密封情况及是否正确签署。经确认无误后，当众拆启竞争性谈判申请文件并宣读竞标人的名称、竞争性谈判申请价格以及采购人认为适宜的其它内容。</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16.5 招标代理机构按唱标内容做好开标纪录，并由竞标人法定代表人或授权代表在开标现场及时在《开标记录表》上签字确认。</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16.6 开标会结束后转入评标程序，评委按照竞争性谈判文件的要求和唱标的顺序对竞标人竞争性谈判申请文件中有关证件进行验证。</w:t>
      </w:r>
    </w:p>
    <w:p>
      <w:pPr>
        <w:numPr>
          <w:ilvl w:val="0"/>
          <w:numId w:val="6"/>
        </w:numPr>
        <w:adjustRightInd w:val="0"/>
        <w:snapToGrid w:val="0"/>
        <w:spacing w:line="360" w:lineRule="auto"/>
        <w:rPr>
          <w:rFonts w:ascii="宋体" w:hAnsi="宋体"/>
          <w:b/>
          <w:sz w:val="24"/>
        </w:rPr>
      </w:pPr>
      <w:r>
        <w:rPr>
          <w:rFonts w:hint="eastAsia" w:ascii="宋体" w:hAnsi="宋体"/>
          <w:b/>
          <w:sz w:val="24"/>
        </w:rPr>
        <w:t>谈判委员会</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谈判委员会组成：按照《中华人民共和国政府采购法》和相关法律的规定，谈判由依法组建的谈判委员会负责。谈判委员会由采购人和有关技术、经济等方面的专家组成，成员人数为3人，参加评标的专家由采购人在有关人员的监督下于评标前从评标专家库中随机抽取。</w:t>
      </w:r>
    </w:p>
    <w:p>
      <w:pPr>
        <w:numPr>
          <w:ilvl w:val="0"/>
          <w:numId w:val="6"/>
        </w:numPr>
        <w:adjustRightInd w:val="0"/>
        <w:snapToGrid w:val="0"/>
        <w:spacing w:line="360" w:lineRule="auto"/>
        <w:rPr>
          <w:rFonts w:ascii="宋体" w:hAnsi="宋体"/>
          <w:b/>
          <w:sz w:val="24"/>
        </w:rPr>
      </w:pPr>
      <w:r>
        <w:rPr>
          <w:rFonts w:hint="eastAsia" w:ascii="宋体" w:hAnsi="宋体"/>
          <w:b/>
          <w:sz w:val="24"/>
        </w:rPr>
        <w:t>谈判原则</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18.1 公开、公平、公正，科学、择优。</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18.2 竞争性谈判申请产品质量先进、价格合理、使用寿命长。</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18.3 最低价中标。</w:t>
      </w:r>
    </w:p>
    <w:p>
      <w:pPr>
        <w:numPr>
          <w:ilvl w:val="0"/>
          <w:numId w:val="6"/>
        </w:numPr>
        <w:adjustRightInd w:val="0"/>
        <w:snapToGrid w:val="0"/>
        <w:spacing w:line="360" w:lineRule="auto"/>
        <w:rPr>
          <w:rFonts w:ascii="宋体" w:hAnsi="宋体"/>
          <w:b/>
          <w:sz w:val="24"/>
        </w:rPr>
      </w:pPr>
      <w:r>
        <w:rPr>
          <w:rFonts w:hint="eastAsia" w:ascii="宋体" w:hAnsi="宋体"/>
          <w:b/>
          <w:sz w:val="24"/>
        </w:rPr>
        <w:t>谈判纪律</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19.1谈判委员会成员和参与谈判工作的有关人员不得透露对竞争性谈判申请文件的评审比较、中标候选人的推荐情况以及与谈判有关的其它情况。</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19.2 除竞争性谈判申请人须知第9条款的规定以外，开标以后至授予中标通知书前，任何竞标人均不得就与其竞争性谈判申请文件有关的问题主动与采购人和招标代理机构联系。</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19.3如果竞标人试图对谈判委员会的谈判施加影响，将导致该竞标人的竞争性谈判申请文件被废标。</w:t>
      </w:r>
    </w:p>
    <w:p>
      <w:pPr>
        <w:numPr>
          <w:ilvl w:val="0"/>
          <w:numId w:val="6"/>
        </w:numPr>
        <w:adjustRightInd w:val="0"/>
        <w:snapToGrid w:val="0"/>
        <w:spacing w:line="360" w:lineRule="auto"/>
        <w:rPr>
          <w:rFonts w:ascii="宋体" w:hAnsi="宋体"/>
          <w:b/>
          <w:sz w:val="24"/>
        </w:rPr>
      </w:pPr>
      <w:r>
        <w:rPr>
          <w:rFonts w:hint="eastAsia" w:ascii="宋体" w:hAnsi="宋体"/>
          <w:b/>
          <w:sz w:val="24"/>
        </w:rPr>
        <w:t>竞争性谈判申请文件的澄清与修正</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20.1谈判委员会可以要求竞标人对竞争性谈判申请文件中含义不明确的内容作必要的澄清或者说明，但是澄清或者说明不得超出竞争性谈判申请文件的范围或者改变竞争性谈判申请文件的实质性内容。澄清的要求和竞标人的答复均应采取书面形式。竞标人的答复必须经法定代表人或授权代表签字，作为竞争性谈判申请文件的组成部分。</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20.2 算术错误将按以下方法更正，如果竞标人不接受对其错误的更正，其竞争性谈判申请将被拒绝：</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20.2.1总价金额与单价金额不一致的，以及分项价汇总之和与总价不一致的，则以单价和分项价为准修改总价，但单价金额小数点有明显错误的除外。</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20.2.2 如竞争性谈判申请报价表中大写金额与小写金额不一致的，以大写金额为准。</w:t>
      </w:r>
    </w:p>
    <w:p>
      <w:pPr>
        <w:numPr>
          <w:ilvl w:val="0"/>
          <w:numId w:val="6"/>
        </w:numPr>
        <w:adjustRightInd w:val="0"/>
        <w:snapToGrid w:val="0"/>
        <w:spacing w:line="360" w:lineRule="auto"/>
        <w:rPr>
          <w:rFonts w:ascii="宋体" w:hAnsi="宋体"/>
          <w:b/>
          <w:sz w:val="24"/>
        </w:rPr>
      </w:pPr>
      <w:bookmarkStart w:id="51" w:name="_Toc31446144"/>
      <w:r>
        <w:rPr>
          <w:rFonts w:hint="eastAsia" w:ascii="宋体" w:hAnsi="宋体"/>
          <w:b/>
          <w:sz w:val="24"/>
        </w:rPr>
        <w:t>谈判文件的</w:t>
      </w:r>
      <w:bookmarkEnd w:id="51"/>
      <w:r>
        <w:rPr>
          <w:rFonts w:hint="eastAsia" w:ascii="宋体" w:hAnsi="宋体"/>
          <w:b/>
          <w:sz w:val="24"/>
        </w:rPr>
        <w:t>评审</w:t>
      </w:r>
    </w:p>
    <w:p>
      <w:pPr>
        <w:pStyle w:val="4"/>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评标委员会首先对竞争性谈判响应文件进行检查，以确定竞争性谈判响应文件内容是否完整、有无计算错误、文件是否正确签署、竞争性谈判响应文件总体编排是否有序等。竞争性谈判响应文件有下列情况之一者，将视为无效标：</w:t>
      </w:r>
    </w:p>
    <w:p>
      <w:pPr>
        <w:pStyle w:val="4"/>
        <w:snapToGrid w:val="0"/>
        <w:spacing w:line="360" w:lineRule="auto"/>
        <w:ind w:firstLine="482" w:firstLineChars="200"/>
        <w:rPr>
          <w:rFonts w:ascii="宋体" w:hAnsi="宋体" w:eastAsia="宋体"/>
          <w:b/>
          <w:bCs w:val="0"/>
          <w:sz w:val="24"/>
          <w:szCs w:val="24"/>
        </w:rPr>
      </w:pPr>
      <w:r>
        <w:rPr>
          <w:rFonts w:hint="eastAsia" w:ascii="宋体" w:hAnsi="宋体" w:eastAsia="宋体"/>
          <w:b/>
          <w:bCs w:val="0"/>
          <w:sz w:val="24"/>
          <w:szCs w:val="24"/>
        </w:rPr>
        <w:t>21.1 未提供有效的营业执照；</w:t>
      </w:r>
    </w:p>
    <w:p>
      <w:pPr>
        <w:pStyle w:val="4"/>
        <w:snapToGrid w:val="0"/>
        <w:spacing w:line="360" w:lineRule="auto"/>
        <w:ind w:firstLine="482" w:firstLineChars="200"/>
        <w:rPr>
          <w:rFonts w:ascii="宋体" w:hAnsi="宋体" w:eastAsia="宋体"/>
          <w:b/>
          <w:bCs w:val="0"/>
          <w:sz w:val="24"/>
          <w:szCs w:val="24"/>
        </w:rPr>
      </w:pPr>
      <w:r>
        <w:rPr>
          <w:rFonts w:hint="eastAsia" w:ascii="宋体" w:hAnsi="宋体" w:eastAsia="宋体"/>
          <w:b/>
          <w:bCs w:val="0"/>
          <w:sz w:val="24"/>
          <w:szCs w:val="24"/>
        </w:rPr>
        <w:t>21.2竞争性谈判申请文件签字和加盖公章不符合要求；</w:t>
      </w:r>
    </w:p>
    <w:p>
      <w:pPr>
        <w:adjustRightInd w:val="0"/>
        <w:snapToGrid w:val="0"/>
        <w:spacing w:line="360" w:lineRule="auto"/>
        <w:ind w:firstLine="482" w:firstLineChars="200"/>
        <w:rPr>
          <w:rFonts w:ascii="宋体" w:hAnsi="宋体" w:cs="宋体"/>
          <w:b/>
          <w:bCs w:val="0"/>
          <w:kern w:val="0"/>
          <w:sz w:val="24"/>
          <w:lang w:bidi="en-US"/>
        </w:rPr>
      </w:pPr>
      <w:r>
        <w:rPr>
          <w:rFonts w:hint="eastAsia" w:ascii="宋体" w:hAnsi="宋体" w:cs="宋体"/>
          <w:b/>
          <w:bCs w:val="0"/>
          <w:kern w:val="0"/>
          <w:sz w:val="24"/>
          <w:lang w:bidi="en-US"/>
        </w:rPr>
        <w:t>21.3竞争性谈判申请文件没有载明招标项目完成期限或超过竞争性谈判文件规定的期限；</w:t>
      </w:r>
    </w:p>
    <w:p>
      <w:pPr>
        <w:adjustRightInd w:val="0"/>
        <w:snapToGrid w:val="0"/>
        <w:spacing w:line="360" w:lineRule="auto"/>
        <w:ind w:firstLine="482" w:firstLineChars="200"/>
        <w:rPr>
          <w:rFonts w:ascii="宋体" w:hAnsi="宋体" w:cs="宋体"/>
          <w:b/>
          <w:bCs w:val="0"/>
          <w:kern w:val="0"/>
          <w:sz w:val="24"/>
          <w:lang w:bidi="en-US"/>
        </w:rPr>
      </w:pPr>
      <w:r>
        <w:rPr>
          <w:rFonts w:hint="eastAsia" w:ascii="宋体" w:hAnsi="宋体" w:cs="宋体"/>
          <w:b/>
          <w:bCs w:val="0"/>
          <w:kern w:val="0"/>
          <w:sz w:val="24"/>
          <w:lang w:bidi="en-US"/>
        </w:rPr>
        <w:t>21.4竞标人的竞争性谈判申请报价超过货物采购限价；</w:t>
      </w:r>
    </w:p>
    <w:p>
      <w:pPr>
        <w:adjustRightInd w:val="0"/>
        <w:snapToGrid w:val="0"/>
        <w:spacing w:line="360" w:lineRule="auto"/>
        <w:ind w:firstLine="482" w:firstLineChars="200"/>
        <w:rPr>
          <w:rFonts w:ascii="宋体" w:hAnsi="宋体" w:cs="宋体"/>
          <w:b/>
          <w:bCs w:val="0"/>
          <w:kern w:val="0"/>
          <w:sz w:val="24"/>
          <w:lang w:bidi="en-US"/>
        </w:rPr>
      </w:pPr>
      <w:r>
        <w:rPr>
          <w:rFonts w:hint="eastAsia" w:ascii="宋体" w:hAnsi="宋体" w:cs="宋体"/>
          <w:b/>
          <w:bCs w:val="0"/>
          <w:kern w:val="0"/>
          <w:sz w:val="24"/>
          <w:lang w:bidi="en-US"/>
        </w:rPr>
        <w:t>21.5明显不符合技术规格、技术标准的要求；</w:t>
      </w:r>
    </w:p>
    <w:p>
      <w:pPr>
        <w:adjustRightInd w:val="0"/>
        <w:snapToGrid w:val="0"/>
        <w:spacing w:line="360" w:lineRule="auto"/>
        <w:ind w:firstLine="482" w:firstLineChars="200"/>
        <w:rPr>
          <w:rFonts w:ascii="宋体" w:hAnsi="宋体" w:cs="宋体"/>
          <w:b/>
          <w:bCs w:val="0"/>
          <w:kern w:val="0"/>
          <w:sz w:val="24"/>
          <w:lang w:bidi="en-US"/>
        </w:rPr>
      </w:pPr>
      <w:r>
        <w:rPr>
          <w:rFonts w:hint="eastAsia" w:ascii="宋体" w:hAnsi="宋体" w:cs="宋体"/>
          <w:b/>
          <w:bCs w:val="0"/>
          <w:kern w:val="0"/>
          <w:sz w:val="24"/>
          <w:lang w:bidi="en-US"/>
        </w:rPr>
        <w:t>21.6竞争性谈判申请文件附有采购人不能接受的条件。</w:t>
      </w:r>
    </w:p>
    <w:p>
      <w:pPr>
        <w:rPr>
          <w:b/>
          <w:kern w:val="0"/>
          <w:sz w:val="24"/>
          <w:lang w:bidi="en-US"/>
        </w:rPr>
      </w:pPr>
      <w:r>
        <w:rPr>
          <w:rFonts w:hint="eastAsia"/>
          <w:b/>
          <w:kern w:val="0"/>
          <w:sz w:val="24"/>
          <w:lang w:bidi="en-US"/>
        </w:rPr>
        <w:t>22.推荐中标候选人</w:t>
      </w:r>
    </w:p>
    <w:p>
      <w:pPr>
        <w:adjustRightInd w:val="0"/>
        <w:snapToGrid w:val="0"/>
        <w:spacing w:line="360" w:lineRule="auto"/>
        <w:ind w:firstLine="480" w:firstLineChars="200"/>
        <w:rPr>
          <w:rFonts w:ascii="宋体" w:hAnsi="宋体" w:cs="宋体"/>
          <w:kern w:val="0"/>
          <w:sz w:val="24"/>
          <w:lang w:bidi="en-US"/>
        </w:rPr>
      </w:pPr>
      <w:r>
        <w:rPr>
          <w:rFonts w:hint="eastAsia" w:ascii="宋体" w:hAnsi="宋体" w:cs="宋体"/>
          <w:kern w:val="0"/>
          <w:sz w:val="24"/>
          <w:lang w:bidi="en-US"/>
        </w:rPr>
        <w:t>通过审查的竞争性谈判申请人可进行再次报价，竞标人的排名按最终报价从低到高顺序排列。最低价者为第一中标</w:t>
      </w:r>
      <w:r>
        <w:rPr>
          <w:rFonts w:hint="eastAsia" w:ascii="宋体" w:hAnsi="宋体"/>
          <w:bCs/>
          <w:kern w:val="0"/>
          <w:sz w:val="24"/>
        </w:rPr>
        <w:t>候选人</w:t>
      </w:r>
      <w:r>
        <w:rPr>
          <w:rFonts w:hint="eastAsia" w:ascii="宋体" w:hAnsi="宋体" w:cs="宋体"/>
          <w:kern w:val="0"/>
          <w:sz w:val="24"/>
          <w:lang w:bidi="en-US"/>
        </w:rPr>
        <w:t>，依次类推。</w:t>
      </w:r>
    </w:p>
    <w:p>
      <w:pPr>
        <w:rPr>
          <w:b/>
          <w:kern w:val="0"/>
          <w:sz w:val="24"/>
          <w:lang w:bidi="en-US"/>
        </w:rPr>
      </w:pPr>
      <w:r>
        <w:rPr>
          <w:rFonts w:hint="eastAsia"/>
          <w:b/>
          <w:kern w:val="0"/>
          <w:sz w:val="24"/>
          <w:lang w:bidi="en-US"/>
        </w:rPr>
        <w:t>23.定标</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23.1谈判委员会按照竞争性谈判文件中谈判标准的规定评定竞标人名次。</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23.2竞标人的排名按报价从低到高顺序排列。</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23.2.1若前位中标候选人放弃中标、因不可抗力提出不能履行合同，可以按顺序向下确定中标人。</w:t>
      </w:r>
    </w:p>
    <w:p>
      <w:pPr>
        <w:adjustRightInd w:val="0"/>
        <w:snapToGrid w:val="0"/>
        <w:spacing w:line="360" w:lineRule="auto"/>
        <w:ind w:firstLine="480" w:firstLineChars="200"/>
        <w:rPr>
          <w:rFonts w:ascii="宋体" w:hAnsi="宋体" w:cs="宋体"/>
          <w:kern w:val="0"/>
          <w:sz w:val="24"/>
          <w:lang w:bidi="en-US"/>
        </w:rPr>
      </w:pPr>
      <w:r>
        <w:rPr>
          <w:rFonts w:hint="eastAsia" w:ascii="宋体" w:hAnsi="宋体"/>
          <w:bCs/>
          <w:kern w:val="0"/>
          <w:sz w:val="24"/>
        </w:rPr>
        <w:t>23.2.2 若前位中标候选人确有重大实质性问题或违法行为，经监督部门认可后中标无效。应当按照中标条件从其余竞</w:t>
      </w:r>
      <w:r>
        <w:rPr>
          <w:rFonts w:hint="eastAsia" w:ascii="宋体" w:hAnsi="宋体" w:cs="宋体"/>
          <w:kern w:val="0"/>
          <w:sz w:val="24"/>
          <w:lang w:bidi="en-US"/>
        </w:rPr>
        <w:t>标人中重新确定中标人或者重新招标。</w:t>
      </w:r>
    </w:p>
    <w:p>
      <w:pPr>
        <w:rPr>
          <w:b/>
          <w:kern w:val="0"/>
          <w:sz w:val="24"/>
          <w:lang w:bidi="en-US"/>
        </w:rPr>
      </w:pPr>
      <w:r>
        <w:rPr>
          <w:rFonts w:hint="eastAsia"/>
          <w:b/>
          <w:kern w:val="0"/>
          <w:sz w:val="24"/>
          <w:lang w:bidi="en-US"/>
        </w:rPr>
        <w:t>24.其它</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24.1本竞争性谈判文件未尽事宜按现行招标投标有关法律法规和规定执行。如竞争性谈判申请单位在本次竞争性谈判活动中有违反相关法律法规的将根据相关法律法规和规定对其进行处罚。</w:t>
      </w:r>
    </w:p>
    <w:p>
      <w:pPr>
        <w:adjustRightInd w:val="0"/>
        <w:snapToGrid w:val="0"/>
        <w:spacing w:line="360" w:lineRule="auto"/>
        <w:ind w:firstLine="480" w:firstLineChars="200"/>
        <w:rPr>
          <w:rFonts w:ascii="宋体" w:hAnsi="宋体" w:cs="宋体"/>
          <w:kern w:val="0"/>
          <w:sz w:val="24"/>
          <w:lang w:bidi="en-US"/>
        </w:rPr>
      </w:pPr>
      <w:r>
        <w:rPr>
          <w:rFonts w:hint="eastAsia" w:ascii="宋体" w:hAnsi="宋体"/>
          <w:bCs/>
          <w:kern w:val="0"/>
          <w:sz w:val="24"/>
        </w:rPr>
        <w:t>24.2本竞争性谈判文件</w:t>
      </w:r>
      <w:r>
        <w:rPr>
          <w:rFonts w:hint="eastAsia" w:ascii="宋体" w:hAnsi="宋体" w:cs="宋体"/>
          <w:kern w:val="0"/>
          <w:sz w:val="24"/>
          <w:lang w:bidi="en-US"/>
        </w:rPr>
        <w:t>根椐国家有关规定和参照国际惯例编制，解释权属采购人。</w:t>
      </w:r>
    </w:p>
    <w:p>
      <w:pPr>
        <w:rPr>
          <w:rFonts w:ascii="宋体" w:hAnsi="宋体"/>
          <w:b/>
          <w:kern w:val="0"/>
          <w:sz w:val="24"/>
          <w:lang w:bidi="en-US"/>
        </w:rPr>
      </w:pPr>
      <w:bookmarkStart w:id="52" w:name="_Toc403030974"/>
      <w:bookmarkStart w:id="53" w:name="_Toc25192"/>
      <w:bookmarkStart w:id="54" w:name="_Toc196563814"/>
      <w:bookmarkStart w:id="55" w:name="_Toc276646857"/>
      <w:bookmarkStart w:id="56" w:name="_Toc289848522"/>
      <w:bookmarkStart w:id="57" w:name="_Toc197258117"/>
      <w:bookmarkStart w:id="58" w:name="_Toc289848364"/>
      <w:bookmarkStart w:id="59" w:name="_Toc289848437"/>
      <w:bookmarkStart w:id="60" w:name="_Toc289848548"/>
      <w:r>
        <w:rPr>
          <w:rFonts w:hint="eastAsia" w:ascii="宋体" w:hAnsi="宋体"/>
          <w:b/>
          <w:kern w:val="0"/>
          <w:sz w:val="24"/>
          <w:lang w:bidi="en-US"/>
        </w:rPr>
        <w:t>六、授予合同</w:t>
      </w:r>
      <w:bookmarkEnd w:id="52"/>
      <w:bookmarkEnd w:id="53"/>
      <w:bookmarkEnd w:id="54"/>
      <w:bookmarkEnd w:id="55"/>
      <w:bookmarkEnd w:id="56"/>
      <w:bookmarkEnd w:id="57"/>
      <w:bookmarkEnd w:id="58"/>
      <w:bookmarkEnd w:id="59"/>
      <w:bookmarkEnd w:id="60"/>
    </w:p>
    <w:p>
      <w:pPr>
        <w:rPr>
          <w:b/>
          <w:kern w:val="0"/>
          <w:sz w:val="24"/>
          <w:lang w:bidi="en-US"/>
        </w:rPr>
      </w:pPr>
      <w:r>
        <w:rPr>
          <w:rFonts w:hint="eastAsia"/>
          <w:b/>
          <w:kern w:val="0"/>
          <w:sz w:val="24"/>
          <w:lang w:bidi="en-US"/>
        </w:rPr>
        <w:t>25.中标通知及签订合同</w:t>
      </w:r>
    </w:p>
    <w:p>
      <w:pPr>
        <w:adjustRightInd w:val="0"/>
        <w:snapToGrid w:val="0"/>
        <w:spacing w:line="360" w:lineRule="auto"/>
        <w:ind w:firstLine="480" w:firstLineChars="200"/>
        <w:rPr>
          <w:rFonts w:ascii="宋体" w:hAnsi="宋体" w:cs="宋体"/>
          <w:kern w:val="0"/>
          <w:sz w:val="24"/>
          <w:lang w:bidi="en-US"/>
        </w:rPr>
      </w:pPr>
      <w:r>
        <w:rPr>
          <w:rFonts w:hint="eastAsia" w:ascii="宋体" w:hAnsi="宋体" w:cs="宋体"/>
          <w:kern w:val="0"/>
          <w:sz w:val="24"/>
          <w:lang w:bidi="en-US"/>
        </w:rPr>
        <w:t>25.1在竞争性谈判</w:t>
      </w:r>
      <w:r>
        <w:rPr>
          <w:rFonts w:hint="eastAsia" w:ascii="宋体" w:hAnsi="宋体"/>
          <w:bCs/>
          <w:kern w:val="0"/>
          <w:sz w:val="24"/>
        </w:rPr>
        <w:t>申请</w:t>
      </w:r>
      <w:r>
        <w:rPr>
          <w:rFonts w:hint="eastAsia" w:ascii="宋体" w:hAnsi="宋体" w:cs="宋体"/>
          <w:kern w:val="0"/>
          <w:sz w:val="24"/>
          <w:lang w:bidi="en-US"/>
        </w:rPr>
        <w:t>有效期内，中标结果以书面形式通知中标人。</w:t>
      </w:r>
    </w:p>
    <w:p>
      <w:pPr>
        <w:adjustRightInd w:val="0"/>
        <w:snapToGrid w:val="0"/>
        <w:spacing w:line="360" w:lineRule="auto"/>
        <w:ind w:firstLine="480" w:firstLineChars="200"/>
        <w:rPr>
          <w:rFonts w:ascii="宋体" w:hAnsi="宋体" w:cs="宋体"/>
          <w:kern w:val="0"/>
          <w:sz w:val="24"/>
          <w:lang w:bidi="en-US"/>
        </w:rPr>
      </w:pPr>
      <w:r>
        <w:rPr>
          <w:rFonts w:hint="eastAsia" w:ascii="宋体" w:hAnsi="宋体" w:cs="宋体"/>
          <w:kern w:val="0"/>
          <w:sz w:val="24"/>
          <w:lang w:bidi="en-US"/>
        </w:rPr>
        <w:t>25.2对未中标的竞标人，不作任何未中标原因的解释，所有竞争性谈判响应文件不予退还。</w:t>
      </w:r>
    </w:p>
    <w:p>
      <w:pPr>
        <w:rPr>
          <w:b/>
          <w:kern w:val="0"/>
          <w:sz w:val="24"/>
          <w:lang w:bidi="en-US"/>
        </w:rPr>
      </w:pPr>
      <w:r>
        <w:rPr>
          <w:rFonts w:hint="eastAsia"/>
          <w:b/>
          <w:kern w:val="0"/>
          <w:sz w:val="24"/>
          <w:lang w:bidi="en-US"/>
        </w:rPr>
        <w:t>26.履约保证金：见须知前附表。</w:t>
      </w:r>
    </w:p>
    <w:p>
      <w:pPr>
        <w:rPr>
          <w:b/>
          <w:kern w:val="0"/>
          <w:sz w:val="24"/>
          <w:lang w:bidi="en-US"/>
        </w:rPr>
      </w:pPr>
      <w:r>
        <w:rPr>
          <w:rFonts w:hint="eastAsia"/>
          <w:b/>
          <w:kern w:val="0"/>
          <w:sz w:val="24"/>
          <w:lang w:bidi="en-US"/>
        </w:rPr>
        <w:t>27.签订合同</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27.1 中标人收到中标通知书后，应在30日内与采购人签订合同。</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27.2 竞争性谈判文件、中标人竞争性谈判响应文件以及中标人在评标时澄清问题的答复内容等均作为合同的不可分割的组成部分。</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27.3 若中标人未能或拒绝按竞争性谈判文件要求及其竞争性谈判响应文件内容与采购人签订合同，采购人可以根据推荐次序另选中标人。</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27.4 授标时更改招标服务、货物数量的权力</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采购人在授予合同时有</w:t>
      </w:r>
      <w:r>
        <w:rPr>
          <w:rFonts w:hint="eastAsia" w:ascii="宋体" w:hAnsi="宋体" w:cs="宋体"/>
          <w:kern w:val="0"/>
          <w:sz w:val="24"/>
          <w:lang w:bidi="en-US"/>
        </w:rPr>
        <w:t>权对竞争性谈判文件中规定的货物数量和服务予以增加或</w:t>
      </w:r>
      <w:r>
        <w:rPr>
          <w:rFonts w:hint="eastAsia" w:ascii="宋体" w:hAnsi="宋体"/>
          <w:bCs/>
          <w:kern w:val="0"/>
          <w:sz w:val="24"/>
        </w:rPr>
        <w:t>减少，但不得对单价或其它主要条款和条件做实质性改变。</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27.5 知识产权</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27.5.1竞标人应保证，采购人在中华人民共和国使用服务或货物时，如有第三方向采购人提出侵犯其专利权、商标权或其它知识产权的主张，该责任应由竞标人承担。</w:t>
      </w:r>
    </w:p>
    <w:p>
      <w:pPr>
        <w:adjustRightInd w:val="0"/>
        <w:snapToGrid w:val="0"/>
        <w:spacing w:line="360" w:lineRule="auto"/>
        <w:ind w:firstLine="480" w:firstLineChars="200"/>
        <w:rPr>
          <w:rFonts w:ascii="宋体" w:hAnsi="宋体"/>
          <w:bCs/>
          <w:kern w:val="0"/>
          <w:sz w:val="24"/>
        </w:rPr>
      </w:pPr>
      <w:r>
        <w:rPr>
          <w:rFonts w:hint="eastAsia" w:ascii="宋体" w:hAnsi="宋体"/>
          <w:bCs/>
          <w:kern w:val="0"/>
          <w:sz w:val="24"/>
        </w:rPr>
        <w:t>27.5.2竞争性谈判申请报价应包含所有应向所有权人支付的专利权、商标权或其它知识产权的有关税费</w:t>
      </w:r>
    </w:p>
    <w:p>
      <w:pPr>
        <w:adjustRightInd w:val="0"/>
        <w:snapToGrid w:val="0"/>
        <w:spacing w:line="360" w:lineRule="auto"/>
        <w:ind w:firstLine="480" w:firstLineChars="200"/>
        <w:rPr>
          <w:rFonts w:ascii="宋体" w:hAnsi="宋体"/>
          <w:bCs/>
          <w:kern w:val="0"/>
          <w:sz w:val="24"/>
        </w:rPr>
      </w:pPr>
    </w:p>
    <w:p>
      <w:pPr>
        <w:adjustRightInd w:val="0"/>
        <w:snapToGrid w:val="0"/>
        <w:spacing w:line="360" w:lineRule="auto"/>
        <w:ind w:firstLine="480" w:firstLineChars="200"/>
        <w:rPr>
          <w:rFonts w:ascii="宋体" w:hAnsi="宋体"/>
          <w:bCs/>
          <w:kern w:val="0"/>
          <w:sz w:val="24"/>
        </w:rPr>
        <w:sectPr>
          <w:footerReference r:id="rId7" w:type="default"/>
          <w:pgSz w:w="11907" w:h="16840"/>
          <w:pgMar w:top="1418" w:right="1418" w:bottom="1418" w:left="1418" w:header="403" w:footer="1020" w:gutter="0"/>
          <w:pgNumType w:fmt="decimal" w:start="1"/>
          <w:cols w:space="720" w:num="1"/>
          <w:docGrid w:type="lines" w:linePitch="408" w:charSpace="0"/>
        </w:sectPr>
      </w:pPr>
    </w:p>
    <w:p>
      <w:pPr>
        <w:pStyle w:val="2"/>
        <w:rPr>
          <w:color w:val="auto"/>
        </w:rPr>
      </w:pPr>
      <w:bookmarkStart w:id="61" w:name="_Toc66260325"/>
      <w:r>
        <w:rPr>
          <w:rFonts w:hint="eastAsia"/>
          <w:color w:val="auto"/>
        </w:rPr>
        <w:t>第三部分采购清单及技术参数</w:t>
      </w:r>
      <w:bookmarkEnd w:id="15"/>
      <w:bookmarkEnd w:id="16"/>
      <w:bookmarkEnd w:id="17"/>
      <w:bookmarkEnd w:id="18"/>
      <w:bookmarkEnd w:id="19"/>
      <w:bookmarkEnd w:id="61"/>
      <w:bookmarkStart w:id="62" w:name="_Toc289848439"/>
      <w:bookmarkStart w:id="63" w:name="_Toc289848550"/>
      <w:bookmarkStart w:id="64" w:name="_Toc276646859"/>
      <w:bookmarkStart w:id="65" w:name="_Toc289848524"/>
      <w:bookmarkStart w:id="66" w:name="_Toc289848366"/>
    </w:p>
    <w:p>
      <w:pPr>
        <w:widowControl/>
        <w:adjustRightInd w:val="0"/>
        <w:snapToGrid w:val="0"/>
        <w:spacing w:after="200" w:line="240" w:lineRule="auto"/>
        <w:jc w:val="left"/>
        <w:rPr>
          <w:rFonts w:ascii="Tahoma" w:hAnsi="Tahoma" w:eastAsia="微软雅黑"/>
          <w:kern w:val="0"/>
          <w:sz w:val="22"/>
          <w:szCs w:val="22"/>
        </w:rPr>
      </w:pPr>
      <w:bookmarkStart w:id="67" w:name="_Toc66260326"/>
    </w:p>
    <w:p>
      <w:pPr>
        <w:spacing w:line="360" w:lineRule="auto"/>
        <w:ind w:firstLine="700" w:firstLineChars="250"/>
        <w:rPr>
          <w:rFonts w:asciiTheme="minorHAnsi" w:hAnsiTheme="minorHAnsi" w:eastAsiaTheme="minorEastAsia" w:cstheme="minorBidi"/>
          <w:sz w:val="28"/>
          <w:szCs w:val="28"/>
        </w:rPr>
      </w:pPr>
    </w:p>
    <w:tbl>
      <w:tblPr>
        <w:tblStyle w:val="34"/>
        <w:tblW w:w="78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2010"/>
        <w:gridCol w:w="3510"/>
        <w:gridCol w:w="885"/>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变频多联机主机</w:t>
            </w:r>
          </w:p>
        </w:tc>
        <w:tc>
          <w:tcPr>
            <w:tcW w:w="3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制冷量14000W，制热量16500W，</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变频多联机内机</w:t>
            </w:r>
          </w:p>
        </w:tc>
        <w:tc>
          <w:tcPr>
            <w:tcW w:w="3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制冷量3600W，制热量4000W，</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变频多联机内机</w:t>
            </w:r>
          </w:p>
        </w:tc>
        <w:tc>
          <w:tcPr>
            <w:tcW w:w="3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制冷量2200W，制热量2500W，</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变频多联机内机</w:t>
            </w:r>
          </w:p>
        </w:tc>
        <w:tc>
          <w:tcPr>
            <w:tcW w:w="3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制冷量4500W，制热量5000W，</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空调铜管</w:t>
            </w:r>
          </w:p>
        </w:tc>
        <w:tc>
          <w:tcPr>
            <w:tcW w:w="3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r>
              <w:rPr>
                <w:rStyle w:val="160"/>
                <w:rFonts w:hint="eastAsia" w:ascii="宋体" w:hAnsi="宋体" w:eastAsia="宋体" w:cs="宋体"/>
                <w:sz w:val="24"/>
                <w:szCs w:val="24"/>
                <w:lang w:val="en-US" w:eastAsia="zh-CN" w:bidi="ar"/>
              </w:rPr>
              <w:t>专用</w:t>
            </w:r>
            <w:r>
              <w:rPr>
                <w:rStyle w:val="161"/>
                <w:rFonts w:hint="eastAsia" w:ascii="宋体" w:hAnsi="宋体" w:eastAsia="宋体" w:cs="宋体"/>
                <w:sz w:val="24"/>
                <w:szCs w:val="24"/>
                <w:lang w:val="en-US" w:eastAsia="zh-CN" w:bidi="ar"/>
              </w:rPr>
              <w:t>Ø</w:t>
            </w:r>
            <w:r>
              <w:rPr>
                <w:rStyle w:val="160"/>
                <w:rFonts w:hint="eastAsia" w:ascii="宋体" w:hAnsi="宋体" w:eastAsia="宋体" w:cs="宋体"/>
                <w:sz w:val="24"/>
                <w:szCs w:val="24"/>
                <w:lang w:val="en-US" w:eastAsia="zh-CN" w:bidi="ar"/>
              </w:rPr>
              <w:t>16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空调铜管</w:t>
            </w:r>
          </w:p>
        </w:tc>
        <w:tc>
          <w:tcPr>
            <w:tcW w:w="3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r>
              <w:rPr>
                <w:rStyle w:val="160"/>
                <w:rFonts w:hint="eastAsia" w:ascii="宋体" w:hAnsi="宋体" w:eastAsia="宋体" w:cs="宋体"/>
                <w:sz w:val="24"/>
                <w:szCs w:val="24"/>
                <w:lang w:val="en-US" w:eastAsia="zh-CN" w:bidi="ar"/>
              </w:rPr>
              <w:t>专用</w:t>
            </w:r>
            <w:r>
              <w:rPr>
                <w:rStyle w:val="161"/>
                <w:rFonts w:hint="eastAsia" w:ascii="宋体" w:hAnsi="宋体" w:eastAsia="宋体" w:cs="宋体"/>
                <w:sz w:val="24"/>
                <w:szCs w:val="24"/>
                <w:lang w:val="en-US" w:eastAsia="zh-CN" w:bidi="ar"/>
              </w:rPr>
              <w:t>Ø12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空调铜管</w:t>
            </w:r>
          </w:p>
        </w:tc>
        <w:tc>
          <w:tcPr>
            <w:tcW w:w="3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r>
              <w:rPr>
                <w:rStyle w:val="160"/>
                <w:rFonts w:hint="eastAsia" w:ascii="宋体" w:hAnsi="宋体" w:eastAsia="宋体" w:cs="宋体"/>
                <w:sz w:val="24"/>
                <w:szCs w:val="24"/>
                <w:lang w:val="en-US" w:eastAsia="zh-CN" w:bidi="ar"/>
              </w:rPr>
              <w:t>专用</w:t>
            </w:r>
            <w:r>
              <w:rPr>
                <w:rStyle w:val="161"/>
                <w:rFonts w:hint="eastAsia" w:ascii="宋体" w:hAnsi="宋体" w:eastAsia="宋体" w:cs="宋体"/>
                <w:sz w:val="24"/>
                <w:szCs w:val="24"/>
                <w:lang w:val="en-US" w:eastAsia="zh-CN" w:bidi="ar"/>
              </w:rPr>
              <w:t>Ø9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空调铜管</w:t>
            </w:r>
          </w:p>
        </w:tc>
        <w:tc>
          <w:tcPr>
            <w:tcW w:w="3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r>
              <w:rPr>
                <w:rStyle w:val="160"/>
                <w:rFonts w:hint="eastAsia" w:ascii="宋体" w:hAnsi="宋体" w:eastAsia="宋体" w:cs="宋体"/>
                <w:sz w:val="24"/>
                <w:szCs w:val="24"/>
                <w:lang w:val="en-US" w:eastAsia="zh-CN" w:bidi="ar"/>
              </w:rPr>
              <w:t>专用</w:t>
            </w:r>
            <w:r>
              <w:rPr>
                <w:rStyle w:val="161"/>
                <w:rFonts w:hint="eastAsia" w:ascii="宋体" w:hAnsi="宋体" w:eastAsia="宋体" w:cs="宋体"/>
                <w:sz w:val="24"/>
                <w:szCs w:val="24"/>
                <w:lang w:val="en-US" w:eastAsia="zh-CN" w:bidi="ar"/>
              </w:rPr>
              <w:t>Ø6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风道</w:t>
            </w:r>
          </w:p>
        </w:tc>
        <w:tc>
          <w:tcPr>
            <w:tcW w:w="3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单面彩钢酚醛</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w:t>
            </w:r>
          </w:p>
        </w:tc>
        <w:tc>
          <w:tcPr>
            <w:tcW w:w="3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橡塑B1级保温</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uPVC </w:t>
            </w:r>
          </w:p>
        </w:tc>
        <w:tc>
          <w:tcPr>
            <w:tcW w:w="3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Ø25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uPVC </w:t>
            </w:r>
          </w:p>
        </w:tc>
        <w:tc>
          <w:tcPr>
            <w:tcW w:w="3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Ø32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屏蔽电线</w:t>
            </w:r>
          </w:p>
        </w:tc>
        <w:tc>
          <w:tcPr>
            <w:tcW w:w="3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出风口</w:t>
            </w:r>
          </w:p>
        </w:tc>
        <w:tc>
          <w:tcPr>
            <w:tcW w:w="3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ABS </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回风口带网</w:t>
            </w:r>
          </w:p>
        </w:tc>
        <w:tc>
          <w:tcPr>
            <w:tcW w:w="3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ABS  </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液晶线控器</w:t>
            </w:r>
          </w:p>
        </w:tc>
        <w:tc>
          <w:tcPr>
            <w:tcW w:w="3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 吊死、帆布等</w:t>
            </w:r>
          </w:p>
        </w:tc>
        <w:tc>
          <w:tcPr>
            <w:tcW w:w="3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widowControl/>
        <w:adjustRightInd w:val="0"/>
        <w:snapToGrid w:val="0"/>
        <w:spacing w:after="200" w:line="240" w:lineRule="auto"/>
        <w:jc w:val="left"/>
        <w:rPr>
          <w:rFonts w:ascii="Tahoma" w:hAnsi="Tahoma" w:eastAsia="微软雅黑"/>
          <w:kern w:val="0"/>
          <w:sz w:val="22"/>
          <w:szCs w:val="22"/>
        </w:rPr>
      </w:pPr>
    </w:p>
    <w:p>
      <w:pPr>
        <w:widowControl/>
        <w:adjustRightInd w:val="0"/>
        <w:snapToGrid w:val="0"/>
        <w:spacing w:after="200" w:line="240" w:lineRule="auto"/>
        <w:jc w:val="left"/>
        <w:rPr>
          <w:rFonts w:ascii="Tahoma" w:hAnsi="Tahoma" w:eastAsia="微软雅黑"/>
          <w:kern w:val="0"/>
          <w:sz w:val="22"/>
          <w:szCs w:val="22"/>
        </w:rPr>
      </w:pPr>
    </w:p>
    <w:p>
      <w:pPr>
        <w:widowControl/>
        <w:adjustRightInd w:val="0"/>
        <w:snapToGrid w:val="0"/>
        <w:spacing w:after="200" w:line="240" w:lineRule="auto"/>
        <w:jc w:val="left"/>
        <w:rPr>
          <w:rFonts w:ascii="Tahoma" w:hAnsi="Tahoma" w:eastAsia="微软雅黑"/>
          <w:kern w:val="0"/>
          <w:sz w:val="22"/>
          <w:szCs w:val="22"/>
        </w:rPr>
      </w:pPr>
    </w:p>
    <w:p>
      <w:pPr>
        <w:widowControl/>
        <w:adjustRightInd w:val="0"/>
        <w:snapToGrid w:val="0"/>
        <w:spacing w:after="200" w:line="240" w:lineRule="auto"/>
        <w:jc w:val="left"/>
        <w:rPr>
          <w:rFonts w:ascii="Tahoma" w:hAnsi="Tahoma" w:eastAsia="微软雅黑"/>
          <w:kern w:val="0"/>
          <w:sz w:val="22"/>
          <w:szCs w:val="22"/>
        </w:rPr>
      </w:pPr>
    </w:p>
    <w:p>
      <w:pPr>
        <w:widowControl/>
        <w:adjustRightInd w:val="0"/>
        <w:snapToGrid w:val="0"/>
        <w:spacing w:after="200" w:line="240" w:lineRule="auto"/>
        <w:jc w:val="left"/>
        <w:rPr>
          <w:rFonts w:ascii="Tahoma" w:hAnsi="Tahoma" w:eastAsia="微软雅黑"/>
          <w:kern w:val="0"/>
          <w:sz w:val="22"/>
          <w:szCs w:val="22"/>
        </w:rPr>
      </w:pPr>
    </w:p>
    <w:p>
      <w:pPr>
        <w:widowControl/>
        <w:adjustRightInd w:val="0"/>
        <w:snapToGrid w:val="0"/>
        <w:spacing w:after="200" w:line="240" w:lineRule="auto"/>
        <w:jc w:val="left"/>
        <w:rPr>
          <w:rFonts w:ascii="Tahoma" w:hAnsi="Tahoma" w:eastAsia="微软雅黑"/>
          <w:kern w:val="0"/>
          <w:sz w:val="22"/>
          <w:szCs w:val="22"/>
        </w:rPr>
      </w:pPr>
    </w:p>
    <w:p>
      <w:pPr>
        <w:widowControl/>
        <w:adjustRightInd w:val="0"/>
        <w:snapToGrid w:val="0"/>
        <w:spacing w:after="200" w:line="240" w:lineRule="auto"/>
        <w:jc w:val="left"/>
        <w:rPr>
          <w:rFonts w:ascii="Tahoma" w:hAnsi="Tahoma" w:eastAsia="微软雅黑"/>
          <w:kern w:val="0"/>
          <w:sz w:val="22"/>
          <w:szCs w:val="22"/>
        </w:rPr>
      </w:pPr>
    </w:p>
    <w:p>
      <w:pPr>
        <w:widowControl/>
        <w:adjustRightInd w:val="0"/>
        <w:snapToGrid w:val="0"/>
        <w:spacing w:after="200" w:line="240" w:lineRule="auto"/>
        <w:jc w:val="left"/>
        <w:rPr>
          <w:rFonts w:ascii="Tahoma" w:hAnsi="Tahoma" w:eastAsia="微软雅黑"/>
          <w:kern w:val="0"/>
          <w:sz w:val="22"/>
          <w:szCs w:val="22"/>
        </w:rPr>
      </w:pPr>
    </w:p>
    <w:p>
      <w:pPr>
        <w:pStyle w:val="2"/>
      </w:pPr>
      <w:r>
        <w:rPr>
          <w:rFonts w:hint="eastAsia"/>
        </w:rPr>
        <w:t>第四部分 合同格式</w:t>
      </w:r>
      <w:bookmarkEnd w:id="62"/>
      <w:bookmarkEnd w:id="63"/>
      <w:bookmarkEnd w:id="64"/>
      <w:bookmarkEnd w:id="65"/>
      <w:bookmarkEnd w:id="66"/>
      <w:bookmarkEnd w:id="67"/>
    </w:p>
    <w:p>
      <w:pPr>
        <w:spacing w:line="480" w:lineRule="exact"/>
        <w:rPr>
          <w:rFonts w:ascii="宋体" w:hAnsi="宋体"/>
          <w:bCs/>
          <w:sz w:val="24"/>
        </w:rPr>
      </w:pPr>
    </w:p>
    <w:p>
      <w:pPr>
        <w:pStyle w:val="21"/>
        <w:spacing w:line="360" w:lineRule="auto"/>
        <w:rPr>
          <w:rFonts w:hAnsi="宋体"/>
          <w:b/>
          <w:sz w:val="24"/>
          <w:szCs w:val="24"/>
        </w:rPr>
      </w:pPr>
    </w:p>
    <w:p>
      <w:pPr>
        <w:pStyle w:val="21"/>
        <w:spacing w:line="360" w:lineRule="auto"/>
        <w:rPr>
          <w:rFonts w:hAnsi="宋体"/>
          <w:b/>
          <w:sz w:val="32"/>
          <w:szCs w:val="32"/>
        </w:rPr>
      </w:pPr>
    </w:p>
    <w:p>
      <w:pPr>
        <w:pStyle w:val="21"/>
        <w:spacing w:line="360" w:lineRule="auto"/>
        <w:ind w:firstLine="1051" w:firstLineChars="238"/>
        <w:rPr>
          <w:rFonts w:hAnsi="宋体"/>
          <w:b/>
          <w:sz w:val="44"/>
          <w:szCs w:val="44"/>
        </w:rPr>
      </w:pPr>
      <w:r>
        <w:rPr>
          <w:rFonts w:hint="eastAsia" w:hAnsi="宋体"/>
          <w:b/>
          <w:sz w:val="44"/>
          <w:szCs w:val="44"/>
        </w:rPr>
        <w:t>项目政府采购合同</w:t>
      </w:r>
    </w:p>
    <w:p>
      <w:pPr>
        <w:spacing w:line="480" w:lineRule="exact"/>
        <w:rPr>
          <w:rFonts w:ascii="宋体" w:hAnsi="宋体"/>
          <w:b/>
          <w:bCs/>
          <w:sz w:val="24"/>
        </w:rPr>
      </w:pPr>
    </w:p>
    <w:p>
      <w:pPr>
        <w:spacing w:line="480" w:lineRule="exact"/>
        <w:rPr>
          <w:rFonts w:ascii="宋体" w:hAnsi="宋体"/>
          <w:b/>
          <w:bCs/>
          <w:sz w:val="24"/>
        </w:rPr>
      </w:pPr>
    </w:p>
    <w:p>
      <w:pPr>
        <w:spacing w:line="480" w:lineRule="exact"/>
        <w:rPr>
          <w:rFonts w:ascii="宋体" w:hAnsi="宋体"/>
          <w:b/>
          <w:bCs/>
          <w:sz w:val="24"/>
        </w:rPr>
      </w:pPr>
    </w:p>
    <w:p>
      <w:pPr>
        <w:spacing w:line="480" w:lineRule="exact"/>
        <w:rPr>
          <w:rFonts w:ascii="宋体" w:hAnsi="宋体"/>
          <w:b/>
          <w:bCs/>
          <w:sz w:val="24"/>
        </w:rPr>
      </w:pPr>
    </w:p>
    <w:p>
      <w:pPr>
        <w:spacing w:line="480" w:lineRule="exact"/>
        <w:rPr>
          <w:rFonts w:ascii="宋体" w:hAnsi="宋体"/>
          <w:b/>
          <w:bCs/>
          <w:sz w:val="24"/>
        </w:rPr>
      </w:pPr>
    </w:p>
    <w:p>
      <w:pPr>
        <w:spacing w:line="480" w:lineRule="exact"/>
        <w:rPr>
          <w:rFonts w:ascii="宋体" w:hAnsi="宋体"/>
          <w:b/>
          <w:bCs/>
          <w:sz w:val="24"/>
        </w:rPr>
      </w:pPr>
    </w:p>
    <w:p>
      <w:pPr>
        <w:spacing w:line="480" w:lineRule="exact"/>
        <w:rPr>
          <w:rFonts w:ascii="宋体" w:hAnsi="宋体"/>
          <w:b/>
          <w:bCs/>
          <w:sz w:val="24"/>
        </w:rPr>
      </w:pPr>
    </w:p>
    <w:p>
      <w:pPr>
        <w:spacing w:line="480" w:lineRule="exact"/>
        <w:rPr>
          <w:rFonts w:ascii="宋体" w:hAnsi="宋体"/>
          <w:b/>
          <w:bCs/>
          <w:sz w:val="24"/>
        </w:rPr>
      </w:pPr>
    </w:p>
    <w:p>
      <w:pPr>
        <w:pStyle w:val="21"/>
        <w:spacing w:line="360" w:lineRule="auto"/>
        <w:rPr>
          <w:rFonts w:hAnsi="宋体"/>
          <w:b/>
          <w:bCs/>
          <w:sz w:val="24"/>
          <w:szCs w:val="24"/>
        </w:rPr>
      </w:pPr>
    </w:p>
    <w:p>
      <w:pPr>
        <w:pStyle w:val="21"/>
        <w:spacing w:line="480" w:lineRule="auto"/>
        <w:ind w:firstLine="1054" w:firstLineChars="375"/>
        <w:rPr>
          <w:rFonts w:hAnsi="宋体"/>
          <w:b/>
          <w:bCs/>
          <w:sz w:val="28"/>
          <w:szCs w:val="28"/>
          <w:u w:val="single"/>
        </w:rPr>
      </w:pPr>
      <w:r>
        <w:rPr>
          <w:rFonts w:hint="eastAsia" w:hAnsi="宋体"/>
          <w:b/>
          <w:sz w:val="28"/>
          <w:szCs w:val="28"/>
        </w:rPr>
        <w:t>合同编号：</w:t>
      </w:r>
    </w:p>
    <w:p>
      <w:pPr>
        <w:pStyle w:val="21"/>
        <w:spacing w:line="480" w:lineRule="auto"/>
        <w:ind w:firstLine="1054" w:firstLineChars="375"/>
        <w:rPr>
          <w:rFonts w:hAnsi="宋体"/>
          <w:b/>
          <w:sz w:val="28"/>
          <w:szCs w:val="28"/>
        </w:rPr>
      </w:pPr>
      <w:r>
        <w:rPr>
          <w:rFonts w:hint="eastAsia" w:hAnsi="宋体"/>
          <w:b/>
          <w:sz w:val="28"/>
          <w:szCs w:val="28"/>
        </w:rPr>
        <w:t>项目名称：</w:t>
      </w:r>
    </w:p>
    <w:p>
      <w:pPr>
        <w:pStyle w:val="21"/>
        <w:spacing w:line="480" w:lineRule="auto"/>
        <w:ind w:firstLine="1054" w:firstLineChars="375"/>
        <w:rPr>
          <w:rFonts w:hAnsi="宋体"/>
          <w:b/>
          <w:sz w:val="28"/>
          <w:szCs w:val="28"/>
        </w:rPr>
      </w:pPr>
      <w:r>
        <w:rPr>
          <w:rFonts w:hint="eastAsia" w:hAnsi="宋体"/>
          <w:b/>
          <w:sz w:val="28"/>
          <w:szCs w:val="28"/>
        </w:rPr>
        <w:t>合同名称：</w:t>
      </w:r>
    </w:p>
    <w:p>
      <w:pPr>
        <w:pStyle w:val="21"/>
        <w:spacing w:line="480" w:lineRule="auto"/>
        <w:ind w:firstLine="1054" w:firstLineChars="375"/>
        <w:rPr>
          <w:rFonts w:hAnsi="宋体"/>
          <w:b/>
          <w:sz w:val="28"/>
          <w:szCs w:val="28"/>
          <w:u w:val="single"/>
        </w:rPr>
      </w:pPr>
      <w:r>
        <w:rPr>
          <w:rFonts w:hint="eastAsia" w:hAnsi="宋体"/>
          <w:b/>
          <w:sz w:val="28"/>
          <w:szCs w:val="28"/>
        </w:rPr>
        <w:t>招标编号：</w:t>
      </w:r>
    </w:p>
    <w:p>
      <w:pPr>
        <w:pStyle w:val="21"/>
        <w:spacing w:line="480" w:lineRule="auto"/>
        <w:rPr>
          <w:rFonts w:hAnsi="宋体"/>
          <w:b/>
          <w:sz w:val="28"/>
          <w:szCs w:val="28"/>
          <w:u w:val="single"/>
        </w:rPr>
      </w:pPr>
    </w:p>
    <w:p>
      <w:pPr>
        <w:pStyle w:val="21"/>
        <w:spacing w:line="480" w:lineRule="auto"/>
        <w:rPr>
          <w:rFonts w:hAnsi="宋体"/>
          <w:b/>
          <w:sz w:val="28"/>
          <w:szCs w:val="28"/>
          <w:u w:val="single"/>
        </w:rPr>
      </w:pPr>
    </w:p>
    <w:p>
      <w:pPr>
        <w:pStyle w:val="21"/>
        <w:spacing w:line="480" w:lineRule="auto"/>
        <w:rPr>
          <w:rFonts w:hAnsi="宋体"/>
          <w:b/>
          <w:sz w:val="28"/>
          <w:szCs w:val="28"/>
          <w:u w:val="single"/>
        </w:rPr>
      </w:pPr>
    </w:p>
    <w:p>
      <w:pPr>
        <w:pStyle w:val="21"/>
        <w:spacing w:line="480" w:lineRule="auto"/>
        <w:rPr>
          <w:rFonts w:hAnsi="宋体"/>
          <w:b/>
          <w:sz w:val="28"/>
          <w:szCs w:val="28"/>
          <w:u w:val="single"/>
        </w:rPr>
      </w:pPr>
    </w:p>
    <w:p>
      <w:pPr>
        <w:pStyle w:val="21"/>
        <w:spacing w:line="480" w:lineRule="auto"/>
        <w:rPr>
          <w:rFonts w:hAnsi="宋体"/>
          <w:b/>
          <w:sz w:val="28"/>
          <w:szCs w:val="28"/>
          <w:u w:val="single"/>
        </w:rPr>
      </w:pPr>
    </w:p>
    <w:p>
      <w:pPr>
        <w:pStyle w:val="21"/>
        <w:spacing w:line="480" w:lineRule="auto"/>
        <w:rPr>
          <w:rFonts w:hAnsi="宋体"/>
          <w:b/>
          <w:sz w:val="28"/>
          <w:szCs w:val="28"/>
          <w:u w:val="single"/>
        </w:rPr>
      </w:pPr>
    </w:p>
    <w:p>
      <w:pPr>
        <w:pStyle w:val="21"/>
        <w:spacing w:line="360" w:lineRule="auto"/>
        <w:rPr>
          <w:rFonts w:hAnsi="宋体"/>
          <w:sz w:val="24"/>
          <w:szCs w:val="24"/>
        </w:rPr>
      </w:pPr>
      <w:r>
        <w:rPr>
          <w:rFonts w:hint="eastAsia" w:hAnsi="宋体"/>
          <w:sz w:val="24"/>
          <w:szCs w:val="24"/>
        </w:rPr>
        <w:t>甲方：</w:t>
      </w:r>
      <w:r>
        <w:rPr>
          <w:rFonts w:hint="eastAsia" w:hAnsi="宋体"/>
          <w:b/>
          <w:sz w:val="24"/>
          <w:szCs w:val="24"/>
          <w:u w:val="single"/>
        </w:rPr>
        <w:t xml:space="preserve">（采购人）                          </w:t>
      </w:r>
    </w:p>
    <w:p>
      <w:pPr>
        <w:pStyle w:val="21"/>
        <w:spacing w:line="360" w:lineRule="auto"/>
        <w:rPr>
          <w:rFonts w:hAnsi="宋体"/>
          <w:b/>
          <w:sz w:val="24"/>
          <w:szCs w:val="24"/>
        </w:rPr>
      </w:pPr>
      <w:r>
        <w:rPr>
          <w:rFonts w:hint="eastAsia" w:hAnsi="宋体"/>
          <w:sz w:val="24"/>
          <w:szCs w:val="24"/>
        </w:rPr>
        <w:t>乙方：</w:t>
      </w:r>
      <w:r>
        <w:rPr>
          <w:rFonts w:hint="eastAsia" w:hAnsi="宋体"/>
          <w:b/>
          <w:sz w:val="24"/>
          <w:szCs w:val="24"/>
          <w:u w:val="single"/>
        </w:rPr>
        <w:t xml:space="preserve">                        （中标人</w:t>
      </w:r>
      <w:r>
        <w:rPr>
          <w:rFonts w:hAnsi="宋体"/>
          <w:b/>
          <w:sz w:val="24"/>
          <w:szCs w:val="24"/>
          <w:u w:val="single"/>
        </w:rPr>
        <w:t>）</w:t>
      </w:r>
    </w:p>
    <w:p>
      <w:pPr>
        <w:pStyle w:val="21"/>
        <w:spacing w:line="360" w:lineRule="auto"/>
        <w:rPr>
          <w:rFonts w:hAnsi="宋体"/>
          <w:b/>
          <w:sz w:val="24"/>
          <w:szCs w:val="24"/>
        </w:rPr>
      </w:pPr>
      <w:r>
        <w:rPr>
          <w:rFonts w:hint="eastAsia" w:hAnsi="宋体"/>
          <w:b/>
          <w:sz w:val="24"/>
          <w:szCs w:val="24"/>
        </w:rPr>
        <w:t xml:space="preserve">1．总则 </w:t>
      </w:r>
    </w:p>
    <w:p>
      <w:pPr>
        <w:pStyle w:val="21"/>
        <w:spacing w:line="300" w:lineRule="auto"/>
        <w:ind w:firstLine="448" w:firstLineChars="187"/>
        <w:rPr>
          <w:rFonts w:hAnsi="宋体"/>
          <w:sz w:val="24"/>
          <w:szCs w:val="24"/>
        </w:rPr>
      </w:pPr>
      <w:r>
        <w:rPr>
          <w:rFonts w:hint="eastAsia" w:hAnsi="宋体"/>
          <w:sz w:val="24"/>
          <w:szCs w:val="24"/>
        </w:rPr>
        <w:t>甲、乙双方根据年月日(采购单位)的项目(以下简称本项目)的招标(或成交)结果，甲方同意接受乙方为本项目采购所做的竞争性谈判申请文件(或询价文件)，乙方必须完全按中标(或成交)通知书和本合同条款履行义务。甲、乙双方同意签署本合同。</w:t>
      </w:r>
    </w:p>
    <w:p>
      <w:pPr>
        <w:pStyle w:val="21"/>
        <w:spacing w:line="360" w:lineRule="auto"/>
        <w:rPr>
          <w:rFonts w:hAnsi="宋体"/>
          <w:b/>
          <w:sz w:val="24"/>
          <w:szCs w:val="24"/>
        </w:rPr>
      </w:pPr>
      <w:r>
        <w:rPr>
          <w:rFonts w:hint="eastAsia" w:hAnsi="宋体"/>
          <w:b/>
          <w:sz w:val="24"/>
          <w:szCs w:val="24"/>
        </w:rPr>
        <w:t>2．合同文件</w:t>
      </w:r>
    </w:p>
    <w:p>
      <w:pPr>
        <w:pStyle w:val="21"/>
        <w:spacing w:line="300" w:lineRule="auto"/>
        <w:ind w:firstLine="448" w:firstLineChars="187"/>
        <w:rPr>
          <w:rFonts w:hAnsi="宋体"/>
          <w:sz w:val="24"/>
          <w:szCs w:val="24"/>
        </w:rPr>
      </w:pPr>
      <w:r>
        <w:rPr>
          <w:rFonts w:hint="eastAsia" w:hAnsi="宋体"/>
          <w:sz w:val="24"/>
          <w:szCs w:val="24"/>
        </w:rPr>
        <w:t>2</w:t>
      </w:r>
      <w:r>
        <w:rPr>
          <w:rFonts w:hAnsi="宋体"/>
          <w:sz w:val="24"/>
          <w:szCs w:val="24"/>
        </w:rPr>
        <w:t>.</w:t>
      </w:r>
      <w:r>
        <w:rPr>
          <w:rFonts w:hint="eastAsia" w:hAnsi="宋体"/>
          <w:sz w:val="24"/>
          <w:szCs w:val="24"/>
        </w:rPr>
        <w:t>1   本合同条款。</w:t>
      </w:r>
    </w:p>
    <w:p>
      <w:pPr>
        <w:pStyle w:val="21"/>
        <w:spacing w:line="300" w:lineRule="auto"/>
        <w:ind w:firstLine="448" w:firstLineChars="187"/>
        <w:rPr>
          <w:rFonts w:hAnsi="宋体"/>
          <w:sz w:val="24"/>
          <w:szCs w:val="24"/>
        </w:rPr>
      </w:pPr>
      <w:r>
        <w:rPr>
          <w:rFonts w:hint="eastAsia" w:hAnsi="宋体"/>
          <w:sz w:val="24"/>
          <w:szCs w:val="24"/>
        </w:rPr>
        <w:t>2</w:t>
      </w:r>
      <w:r>
        <w:rPr>
          <w:rFonts w:hAnsi="宋体"/>
          <w:sz w:val="24"/>
          <w:szCs w:val="24"/>
        </w:rPr>
        <w:t>.</w:t>
      </w:r>
      <w:r>
        <w:rPr>
          <w:rFonts w:hint="eastAsia" w:hAnsi="宋体"/>
          <w:sz w:val="24"/>
          <w:szCs w:val="24"/>
        </w:rPr>
        <w:t>2   中标通知书(或成交通知书)。</w:t>
      </w:r>
    </w:p>
    <w:p>
      <w:pPr>
        <w:pStyle w:val="21"/>
        <w:spacing w:line="300" w:lineRule="auto"/>
        <w:ind w:firstLine="448" w:firstLineChars="187"/>
        <w:rPr>
          <w:rFonts w:hAnsi="宋体"/>
          <w:sz w:val="24"/>
          <w:szCs w:val="24"/>
        </w:rPr>
      </w:pPr>
      <w:r>
        <w:rPr>
          <w:rFonts w:hint="eastAsia" w:hAnsi="宋体"/>
          <w:sz w:val="24"/>
          <w:szCs w:val="24"/>
        </w:rPr>
        <w:t>2</w:t>
      </w:r>
      <w:r>
        <w:rPr>
          <w:rFonts w:hAnsi="宋体"/>
          <w:sz w:val="24"/>
          <w:szCs w:val="24"/>
        </w:rPr>
        <w:t>.</w:t>
      </w:r>
      <w:r>
        <w:rPr>
          <w:rFonts w:hint="eastAsia" w:hAnsi="宋体"/>
          <w:sz w:val="24"/>
          <w:szCs w:val="24"/>
        </w:rPr>
        <w:t>3   开标一览表。</w:t>
      </w:r>
    </w:p>
    <w:p>
      <w:pPr>
        <w:pStyle w:val="21"/>
        <w:spacing w:line="300" w:lineRule="auto"/>
        <w:ind w:firstLine="448" w:firstLineChars="187"/>
        <w:rPr>
          <w:rFonts w:hAnsi="宋体"/>
          <w:sz w:val="24"/>
          <w:szCs w:val="24"/>
        </w:rPr>
      </w:pPr>
      <w:r>
        <w:rPr>
          <w:rFonts w:hAnsi="宋体"/>
          <w:sz w:val="24"/>
          <w:szCs w:val="24"/>
        </w:rPr>
        <w:t>2.</w:t>
      </w:r>
      <w:r>
        <w:rPr>
          <w:rFonts w:hint="eastAsia" w:hAnsi="宋体"/>
          <w:sz w:val="24"/>
          <w:szCs w:val="24"/>
        </w:rPr>
        <w:t>4   变更补充文件。</w:t>
      </w:r>
    </w:p>
    <w:p>
      <w:pPr>
        <w:pStyle w:val="21"/>
        <w:spacing w:line="300" w:lineRule="auto"/>
        <w:ind w:firstLine="448" w:firstLineChars="187"/>
        <w:rPr>
          <w:rFonts w:hAnsi="宋体"/>
          <w:sz w:val="24"/>
          <w:szCs w:val="24"/>
        </w:rPr>
      </w:pPr>
      <w:r>
        <w:rPr>
          <w:rFonts w:hint="eastAsia" w:hAnsi="宋体"/>
          <w:sz w:val="24"/>
          <w:szCs w:val="24"/>
        </w:rPr>
        <w:t>2</w:t>
      </w:r>
      <w:r>
        <w:rPr>
          <w:rFonts w:hAnsi="宋体"/>
          <w:sz w:val="24"/>
          <w:szCs w:val="24"/>
        </w:rPr>
        <w:t>.</w:t>
      </w:r>
      <w:r>
        <w:rPr>
          <w:rFonts w:hint="eastAsia" w:hAnsi="宋体"/>
          <w:sz w:val="24"/>
          <w:szCs w:val="24"/>
        </w:rPr>
        <w:t>5   技术规格及要求。</w:t>
      </w:r>
    </w:p>
    <w:p>
      <w:pPr>
        <w:pStyle w:val="21"/>
        <w:spacing w:line="300" w:lineRule="auto"/>
        <w:ind w:firstLine="448" w:firstLineChars="187"/>
        <w:rPr>
          <w:rFonts w:hAnsi="宋体"/>
          <w:sz w:val="24"/>
          <w:szCs w:val="24"/>
        </w:rPr>
      </w:pPr>
      <w:r>
        <w:rPr>
          <w:rFonts w:hint="eastAsia" w:hAnsi="宋体"/>
          <w:sz w:val="24"/>
          <w:szCs w:val="24"/>
        </w:rPr>
        <w:t>2</w:t>
      </w:r>
      <w:r>
        <w:rPr>
          <w:rFonts w:hAnsi="宋体"/>
          <w:sz w:val="24"/>
          <w:szCs w:val="24"/>
        </w:rPr>
        <w:t>.</w:t>
      </w:r>
      <w:r>
        <w:rPr>
          <w:rFonts w:hint="eastAsia" w:hAnsi="宋体"/>
          <w:sz w:val="24"/>
          <w:szCs w:val="24"/>
        </w:rPr>
        <w:t>6   竞争性谈判文件。</w:t>
      </w:r>
    </w:p>
    <w:p>
      <w:pPr>
        <w:pStyle w:val="21"/>
        <w:spacing w:line="300" w:lineRule="auto"/>
        <w:ind w:firstLine="448" w:firstLineChars="187"/>
        <w:rPr>
          <w:rFonts w:hAnsi="宋体"/>
          <w:sz w:val="24"/>
          <w:szCs w:val="24"/>
        </w:rPr>
      </w:pPr>
      <w:r>
        <w:rPr>
          <w:rFonts w:hint="eastAsia" w:hAnsi="宋体"/>
          <w:sz w:val="24"/>
          <w:szCs w:val="24"/>
        </w:rPr>
        <w:t>2</w:t>
      </w:r>
      <w:r>
        <w:rPr>
          <w:rFonts w:hAnsi="宋体"/>
          <w:sz w:val="24"/>
          <w:szCs w:val="24"/>
        </w:rPr>
        <w:t>.</w:t>
      </w:r>
      <w:r>
        <w:rPr>
          <w:rFonts w:hint="eastAsia" w:hAnsi="宋体"/>
          <w:sz w:val="24"/>
          <w:szCs w:val="24"/>
        </w:rPr>
        <w:t>7   其它。</w:t>
      </w:r>
    </w:p>
    <w:p>
      <w:pPr>
        <w:pStyle w:val="21"/>
        <w:spacing w:line="300" w:lineRule="auto"/>
        <w:ind w:firstLine="448" w:firstLineChars="187"/>
        <w:rPr>
          <w:rFonts w:hAnsi="宋体"/>
          <w:sz w:val="24"/>
          <w:szCs w:val="24"/>
        </w:rPr>
      </w:pPr>
      <w:r>
        <w:rPr>
          <w:rFonts w:hint="eastAsia" w:hAnsi="宋体"/>
          <w:sz w:val="24"/>
          <w:szCs w:val="24"/>
        </w:rPr>
        <w:t>上述所指合同文件应认为是互相补充和解释的，但是有模棱两可或互相矛盾之处，以其所列内容先后顺序为准。</w:t>
      </w:r>
    </w:p>
    <w:p>
      <w:pPr>
        <w:pStyle w:val="21"/>
        <w:spacing w:line="360" w:lineRule="auto"/>
        <w:rPr>
          <w:rFonts w:hAnsi="宋体"/>
          <w:b/>
          <w:sz w:val="24"/>
          <w:szCs w:val="24"/>
        </w:rPr>
      </w:pPr>
      <w:r>
        <w:rPr>
          <w:rFonts w:hint="eastAsia" w:hAnsi="宋体"/>
          <w:b/>
          <w:sz w:val="24"/>
          <w:szCs w:val="24"/>
        </w:rPr>
        <w:t>3．货物名称、型号、规格、配置、技术参数、数量及合同价款</w:t>
      </w:r>
    </w:p>
    <w:tbl>
      <w:tblPr>
        <w:tblStyle w:val="34"/>
        <w:tblW w:w="0" w:type="auto"/>
        <w:tblInd w:w="108" w:type="dxa"/>
        <w:tblLayout w:type="fixed"/>
        <w:tblCellMar>
          <w:top w:w="0" w:type="dxa"/>
          <w:left w:w="108" w:type="dxa"/>
          <w:bottom w:w="0" w:type="dxa"/>
          <w:right w:w="108" w:type="dxa"/>
        </w:tblCellMar>
      </w:tblPr>
      <w:tblGrid>
        <w:gridCol w:w="689"/>
        <w:gridCol w:w="1261"/>
        <w:gridCol w:w="2940"/>
        <w:gridCol w:w="1110"/>
        <w:gridCol w:w="1200"/>
        <w:gridCol w:w="1200"/>
        <w:gridCol w:w="950"/>
      </w:tblGrid>
      <w:tr>
        <w:tblPrEx>
          <w:tblCellMar>
            <w:top w:w="0" w:type="dxa"/>
            <w:left w:w="108" w:type="dxa"/>
            <w:bottom w:w="0" w:type="dxa"/>
            <w:right w:w="108" w:type="dxa"/>
          </w:tblCellMar>
        </w:tblPrEx>
        <w:trPr>
          <w:trHeight w:val="20" w:hRule="atLeast"/>
        </w:trPr>
        <w:tc>
          <w:tcPr>
            <w:tcW w:w="689" w:type="dxa"/>
            <w:tcBorders>
              <w:top w:val="single" w:color="auto" w:sz="4" w:space="0"/>
              <w:left w:val="single" w:color="auto" w:sz="4" w:space="0"/>
              <w:bottom w:val="single" w:color="auto" w:sz="4" w:space="0"/>
              <w:right w:val="single" w:color="auto" w:sz="4" w:space="0"/>
            </w:tcBorders>
            <w:vAlign w:val="center"/>
          </w:tcPr>
          <w:p>
            <w:pPr>
              <w:pStyle w:val="21"/>
              <w:jc w:val="center"/>
              <w:rPr>
                <w:rFonts w:hAnsi="宋体"/>
                <w:szCs w:val="21"/>
              </w:rPr>
            </w:pPr>
            <w:r>
              <w:rPr>
                <w:rFonts w:hint="eastAsia" w:hAnsi="宋体"/>
                <w:szCs w:val="21"/>
              </w:rPr>
              <w:t>序号</w:t>
            </w:r>
          </w:p>
        </w:tc>
        <w:tc>
          <w:tcPr>
            <w:tcW w:w="1261" w:type="dxa"/>
            <w:tcBorders>
              <w:top w:val="single" w:color="auto" w:sz="4" w:space="0"/>
              <w:left w:val="single" w:color="auto" w:sz="4" w:space="0"/>
              <w:bottom w:val="single" w:color="auto" w:sz="4" w:space="0"/>
              <w:right w:val="single" w:color="auto" w:sz="4" w:space="0"/>
            </w:tcBorders>
            <w:vAlign w:val="center"/>
          </w:tcPr>
          <w:p>
            <w:pPr>
              <w:pStyle w:val="21"/>
              <w:jc w:val="center"/>
              <w:rPr>
                <w:rFonts w:hAnsi="宋体"/>
                <w:szCs w:val="21"/>
              </w:rPr>
            </w:pPr>
            <w:r>
              <w:rPr>
                <w:rFonts w:hint="eastAsia" w:hAnsi="宋体"/>
                <w:szCs w:val="21"/>
              </w:rPr>
              <w:t>货物名称</w:t>
            </w:r>
          </w:p>
        </w:tc>
        <w:tc>
          <w:tcPr>
            <w:tcW w:w="2940" w:type="dxa"/>
            <w:tcBorders>
              <w:top w:val="single" w:color="auto" w:sz="4" w:space="0"/>
              <w:left w:val="single" w:color="auto" w:sz="4" w:space="0"/>
              <w:bottom w:val="single" w:color="auto" w:sz="4" w:space="0"/>
              <w:right w:val="single" w:color="auto" w:sz="4" w:space="0"/>
            </w:tcBorders>
            <w:vAlign w:val="center"/>
          </w:tcPr>
          <w:p>
            <w:pPr>
              <w:pStyle w:val="21"/>
              <w:jc w:val="center"/>
              <w:rPr>
                <w:rFonts w:hAnsi="宋体"/>
                <w:szCs w:val="21"/>
              </w:rPr>
            </w:pPr>
            <w:r>
              <w:rPr>
                <w:rFonts w:hint="eastAsia" w:hAnsi="宋体"/>
                <w:szCs w:val="21"/>
              </w:rPr>
              <w:t>型号规格配置及技术参数</w:t>
            </w:r>
          </w:p>
        </w:tc>
        <w:tc>
          <w:tcPr>
            <w:tcW w:w="1110" w:type="dxa"/>
            <w:tcBorders>
              <w:top w:val="single" w:color="auto" w:sz="4" w:space="0"/>
              <w:left w:val="single" w:color="auto" w:sz="4" w:space="0"/>
              <w:bottom w:val="single" w:color="auto" w:sz="4" w:space="0"/>
              <w:right w:val="single" w:color="auto" w:sz="4" w:space="0"/>
            </w:tcBorders>
            <w:vAlign w:val="center"/>
          </w:tcPr>
          <w:p>
            <w:pPr>
              <w:pStyle w:val="21"/>
              <w:jc w:val="center"/>
              <w:rPr>
                <w:rFonts w:hAnsi="宋体"/>
                <w:szCs w:val="21"/>
              </w:rPr>
            </w:pPr>
            <w:r>
              <w:rPr>
                <w:rFonts w:hint="eastAsia" w:hAnsi="宋体"/>
                <w:szCs w:val="21"/>
              </w:rPr>
              <w:t>单价(元)</w:t>
            </w:r>
          </w:p>
        </w:tc>
        <w:tc>
          <w:tcPr>
            <w:tcW w:w="1200" w:type="dxa"/>
            <w:tcBorders>
              <w:top w:val="single" w:color="auto" w:sz="4" w:space="0"/>
              <w:left w:val="single" w:color="auto" w:sz="4" w:space="0"/>
              <w:bottom w:val="single" w:color="auto" w:sz="4" w:space="0"/>
              <w:right w:val="single" w:color="auto" w:sz="4" w:space="0"/>
            </w:tcBorders>
            <w:vAlign w:val="center"/>
          </w:tcPr>
          <w:p>
            <w:pPr>
              <w:pStyle w:val="21"/>
              <w:jc w:val="center"/>
              <w:rPr>
                <w:rFonts w:hAnsi="宋体"/>
                <w:szCs w:val="21"/>
              </w:rPr>
            </w:pPr>
            <w:r>
              <w:rPr>
                <w:rFonts w:hint="eastAsia" w:hAnsi="宋体"/>
                <w:szCs w:val="21"/>
              </w:rPr>
              <w:t>数量(台)</w:t>
            </w:r>
          </w:p>
        </w:tc>
        <w:tc>
          <w:tcPr>
            <w:tcW w:w="1200" w:type="dxa"/>
            <w:tcBorders>
              <w:top w:val="single" w:color="auto" w:sz="4" w:space="0"/>
              <w:left w:val="single" w:color="auto" w:sz="4" w:space="0"/>
              <w:bottom w:val="single" w:color="auto" w:sz="4" w:space="0"/>
              <w:right w:val="single" w:color="auto" w:sz="4" w:space="0"/>
            </w:tcBorders>
            <w:vAlign w:val="center"/>
          </w:tcPr>
          <w:p>
            <w:pPr>
              <w:pStyle w:val="21"/>
              <w:jc w:val="center"/>
              <w:rPr>
                <w:rFonts w:hAnsi="宋体"/>
                <w:szCs w:val="21"/>
              </w:rPr>
            </w:pPr>
            <w:r>
              <w:rPr>
                <w:rFonts w:hint="eastAsia" w:hAnsi="宋体"/>
                <w:szCs w:val="21"/>
              </w:rPr>
              <w:t>合价(元)</w:t>
            </w:r>
          </w:p>
        </w:tc>
        <w:tc>
          <w:tcPr>
            <w:tcW w:w="950" w:type="dxa"/>
            <w:tcBorders>
              <w:top w:val="single" w:color="auto" w:sz="4" w:space="0"/>
              <w:left w:val="single" w:color="auto" w:sz="4" w:space="0"/>
              <w:bottom w:val="single" w:color="auto" w:sz="4" w:space="0"/>
              <w:right w:val="single" w:color="auto" w:sz="4" w:space="0"/>
            </w:tcBorders>
            <w:vAlign w:val="center"/>
          </w:tcPr>
          <w:p>
            <w:pPr>
              <w:pStyle w:val="21"/>
              <w:jc w:val="center"/>
              <w:rPr>
                <w:rFonts w:hAnsi="宋体"/>
                <w:szCs w:val="21"/>
              </w:rPr>
            </w:pPr>
            <w:r>
              <w:rPr>
                <w:rFonts w:hint="eastAsia" w:hAnsi="宋体"/>
                <w:szCs w:val="21"/>
              </w:rPr>
              <w:t>备注</w:t>
            </w:r>
          </w:p>
        </w:tc>
      </w:tr>
      <w:tr>
        <w:tblPrEx>
          <w:tblCellMar>
            <w:top w:w="0" w:type="dxa"/>
            <w:left w:w="108" w:type="dxa"/>
            <w:bottom w:w="0" w:type="dxa"/>
            <w:right w:w="108" w:type="dxa"/>
          </w:tblCellMar>
        </w:tblPrEx>
        <w:trPr>
          <w:trHeight w:val="20" w:hRule="atLeast"/>
        </w:trPr>
        <w:tc>
          <w:tcPr>
            <w:tcW w:w="689"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294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95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r>
      <w:tr>
        <w:tblPrEx>
          <w:tblCellMar>
            <w:top w:w="0" w:type="dxa"/>
            <w:left w:w="108" w:type="dxa"/>
            <w:bottom w:w="0" w:type="dxa"/>
            <w:right w:w="108" w:type="dxa"/>
          </w:tblCellMar>
        </w:tblPrEx>
        <w:trPr>
          <w:trHeight w:val="20" w:hRule="atLeast"/>
        </w:trPr>
        <w:tc>
          <w:tcPr>
            <w:tcW w:w="689"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294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95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r>
      <w:tr>
        <w:tblPrEx>
          <w:tblCellMar>
            <w:top w:w="0" w:type="dxa"/>
            <w:left w:w="108" w:type="dxa"/>
            <w:bottom w:w="0" w:type="dxa"/>
            <w:right w:w="108" w:type="dxa"/>
          </w:tblCellMar>
        </w:tblPrEx>
        <w:trPr>
          <w:trHeight w:val="20" w:hRule="atLeast"/>
        </w:trPr>
        <w:tc>
          <w:tcPr>
            <w:tcW w:w="689"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pPr>
              <w:pStyle w:val="21"/>
              <w:rPr>
                <w:rFonts w:hAnsi="宋体"/>
                <w:szCs w:val="21"/>
              </w:rPr>
            </w:pPr>
            <w:r>
              <w:rPr>
                <w:rFonts w:hint="eastAsia" w:hAnsi="宋体"/>
                <w:szCs w:val="21"/>
              </w:rPr>
              <w:t>备品备件</w:t>
            </w:r>
          </w:p>
        </w:tc>
        <w:tc>
          <w:tcPr>
            <w:tcW w:w="294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95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r>
      <w:tr>
        <w:tblPrEx>
          <w:tblCellMar>
            <w:top w:w="0" w:type="dxa"/>
            <w:left w:w="108" w:type="dxa"/>
            <w:bottom w:w="0" w:type="dxa"/>
            <w:right w:w="108" w:type="dxa"/>
          </w:tblCellMar>
        </w:tblPrEx>
        <w:trPr>
          <w:trHeight w:val="20" w:hRule="atLeast"/>
        </w:trPr>
        <w:tc>
          <w:tcPr>
            <w:tcW w:w="689"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pPr>
              <w:pStyle w:val="21"/>
              <w:rPr>
                <w:rFonts w:hAnsi="宋体"/>
                <w:szCs w:val="21"/>
              </w:rPr>
            </w:pPr>
            <w:r>
              <w:rPr>
                <w:rFonts w:hint="eastAsia" w:hAnsi="宋体"/>
                <w:szCs w:val="21"/>
              </w:rPr>
              <w:t>配套工具</w:t>
            </w:r>
          </w:p>
        </w:tc>
        <w:tc>
          <w:tcPr>
            <w:tcW w:w="294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95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r>
      <w:tr>
        <w:tblPrEx>
          <w:tblCellMar>
            <w:top w:w="0" w:type="dxa"/>
            <w:left w:w="108" w:type="dxa"/>
            <w:bottom w:w="0" w:type="dxa"/>
            <w:right w:w="108" w:type="dxa"/>
          </w:tblCellMar>
        </w:tblPrEx>
        <w:trPr>
          <w:trHeight w:val="20" w:hRule="atLeast"/>
        </w:trPr>
        <w:tc>
          <w:tcPr>
            <w:tcW w:w="6000" w:type="dxa"/>
            <w:gridSpan w:val="4"/>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r>
              <w:rPr>
                <w:rFonts w:hint="eastAsia" w:hAnsi="宋体"/>
                <w:szCs w:val="21"/>
              </w:rPr>
              <w:t>合计</w:t>
            </w:r>
          </w:p>
        </w:tc>
        <w:tc>
          <w:tcPr>
            <w:tcW w:w="120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21"/>
              <w:ind w:firstLine="525" w:firstLineChars="250"/>
              <w:jc w:val="center"/>
              <w:rPr>
                <w:rFonts w:hAnsi="宋体"/>
                <w:szCs w:val="21"/>
              </w:rPr>
            </w:pPr>
          </w:p>
        </w:tc>
        <w:tc>
          <w:tcPr>
            <w:tcW w:w="950" w:type="dxa"/>
            <w:tcBorders>
              <w:top w:val="single" w:color="auto" w:sz="4" w:space="0"/>
              <w:left w:val="single" w:color="auto" w:sz="4" w:space="0"/>
              <w:bottom w:val="single" w:color="auto" w:sz="4" w:space="0"/>
              <w:right w:val="single" w:color="auto" w:sz="4" w:space="0"/>
            </w:tcBorders>
            <w:vAlign w:val="center"/>
          </w:tcPr>
          <w:p>
            <w:pPr>
              <w:pStyle w:val="21"/>
              <w:rPr>
                <w:rFonts w:hAnsi="宋体"/>
                <w:szCs w:val="21"/>
              </w:rPr>
            </w:pPr>
            <w:r>
              <w:rPr>
                <w:rFonts w:hint="eastAsia" w:hAnsi="宋体"/>
                <w:szCs w:val="21"/>
              </w:rPr>
              <w:t>----</w:t>
            </w:r>
          </w:p>
        </w:tc>
      </w:tr>
      <w:tr>
        <w:tblPrEx>
          <w:tblCellMar>
            <w:top w:w="0" w:type="dxa"/>
            <w:left w:w="108" w:type="dxa"/>
            <w:bottom w:w="0" w:type="dxa"/>
            <w:right w:w="108" w:type="dxa"/>
          </w:tblCellMar>
        </w:tblPrEx>
        <w:trPr>
          <w:trHeight w:val="20" w:hRule="atLeast"/>
        </w:trPr>
        <w:tc>
          <w:tcPr>
            <w:tcW w:w="6000" w:type="dxa"/>
            <w:gridSpan w:val="4"/>
            <w:tcBorders>
              <w:top w:val="single" w:color="auto" w:sz="4" w:space="0"/>
              <w:left w:val="single" w:color="auto" w:sz="4" w:space="0"/>
              <w:bottom w:val="single" w:color="auto" w:sz="4" w:space="0"/>
              <w:right w:val="single" w:color="auto" w:sz="4" w:space="0"/>
            </w:tcBorders>
            <w:vAlign w:val="center"/>
          </w:tcPr>
          <w:p>
            <w:pPr>
              <w:pStyle w:val="21"/>
              <w:rPr>
                <w:rFonts w:hAnsi="宋体"/>
                <w:szCs w:val="21"/>
              </w:rPr>
            </w:pPr>
            <w:r>
              <w:rPr>
                <w:rFonts w:hint="eastAsia" w:hAnsi="宋体"/>
                <w:szCs w:val="21"/>
              </w:rPr>
              <w:t>合同价款大写：</w:t>
            </w:r>
          </w:p>
        </w:tc>
        <w:tc>
          <w:tcPr>
            <w:tcW w:w="3350" w:type="dxa"/>
            <w:gridSpan w:val="3"/>
            <w:tcBorders>
              <w:top w:val="single" w:color="auto" w:sz="4" w:space="0"/>
              <w:left w:val="single" w:color="auto" w:sz="4" w:space="0"/>
              <w:bottom w:val="single" w:color="auto" w:sz="4" w:space="0"/>
              <w:right w:val="single" w:color="auto" w:sz="4" w:space="0"/>
            </w:tcBorders>
            <w:vAlign w:val="center"/>
          </w:tcPr>
          <w:p>
            <w:pPr>
              <w:pStyle w:val="21"/>
              <w:rPr>
                <w:rFonts w:hAnsi="宋体"/>
                <w:szCs w:val="21"/>
              </w:rPr>
            </w:pPr>
          </w:p>
        </w:tc>
      </w:tr>
    </w:tbl>
    <w:p>
      <w:pPr>
        <w:pStyle w:val="21"/>
        <w:spacing w:line="300" w:lineRule="auto"/>
        <w:ind w:firstLine="448" w:firstLineChars="187"/>
        <w:rPr>
          <w:rFonts w:hAnsi="宋体"/>
          <w:sz w:val="24"/>
          <w:szCs w:val="24"/>
        </w:rPr>
      </w:pPr>
      <w:r>
        <w:rPr>
          <w:rFonts w:hint="eastAsia" w:hAnsi="宋体"/>
          <w:sz w:val="24"/>
          <w:szCs w:val="24"/>
        </w:rPr>
        <w:t>（合同价款包括含货款、标准附件、备品备件、专用工具、包装、运输、装卸、保险、税金、货到就位以及安装、调试、培训、保修等一切税金和费用及其他因本项目而产生的一切费用）。</w:t>
      </w:r>
    </w:p>
    <w:p>
      <w:pPr>
        <w:snapToGrid w:val="0"/>
        <w:spacing w:line="360" w:lineRule="auto"/>
        <w:rPr>
          <w:rFonts w:ascii="宋体" w:hAnsi="宋体"/>
          <w:b/>
          <w:sz w:val="24"/>
        </w:rPr>
      </w:pPr>
      <w:r>
        <w:rPr>
          <w:rFonts w:hint="eastAsia" w:ascii="宋体" w:hAnsi="宋体"/>
          <w:b/>
          <w:sz w:val="24"/>
        </w:rPr>
        <w:t>4．合同的范围，交货时间、地点及方式。</w:t>
      </w:r>
    </w:p>
    <w:p>
      <w:pPr>
        <w:pStyle w:val="21"/>
        <w:spacing w:line="300" w:lineRule="auto"/>
        <w:ind w:firstLine="448" w:firstLineChars="187"/>
        <w:rPr>
          <w:rFonts w:hAnsi="宋体"/>
          <w:sz w:val="24"/>
          <w:szCs w:val="24"/>
        </w:rPr>
      </w:pPr>
      <w:r>
        <w:rPr>
          <w:rFonts w:hint="eastAsia" w:hAnsi="宋体"/>
          <w:sz w:val="24"/>
          <w:szCs w:val="24"/>
        </w:rPr>
        <w:t>4.</w:t>
      </w:r>
      <w:r>
        <w:rPr>
          <w:rFonts w:hAnsi="宋体"/>
          <w:sz w:val="24"/>
          <w:szCs w:val="24"/>
        </w:rPr>
        <w:t>1</w:t>
      </w:r>
      <w:r>
        <w:rPr>
          <w:rFonts w:hint="eastAsia" w:hAnsi="宋体"/>
          <w:sz w:val="24"/>
          <w:szCs w:val="24"/>
        </w:rPr>
        <w:t xml:space="preserve"> 合同的范围：仅指（采购单位）的项目采购。</w:t>
      </w:r>
    </w:p>
    <w:p>
      <w:pPr>
        <w:pStyle w:val="21"/>
        <w:spacing w:line="300" w:lineRule="auto"/>
        <w:ind w:firstLine="448" w:firstLineChars="187"/>
        <w:rPr>
          <w:rFonts w:hAnsi="宋体"/>
          <w:sz w:val="24"/>
          <w:szCs w:val="24"/>
        </w:rPr>
      </w:pPr>
      <w:r>
        <w:rPr>
          <w:rFonts w:hint="eastAsia" w:hAnsi="宋体"/>
          <w:sz w:val="24"/>
          <w:szCs w:val="24"/>
        </w:rPr>
        <w:t>4</w:t>
      </w:r>
      <w:r>
        <w:rPr>
          <w:rFonts w:hAnsi="宋体"/>
          <w:sz w:val="24"/>
          <w:szCs w:val="24"/>
        </w:rPr>
        <w:t>.</w:t>
      </w:r>
      <w:r>
        <w:rPr>
          <w:rFonts w:hint="eastAsia" w:hAnsi="宋体"/>
          <w:sz w:val="24"/>
          <w:szCs w:val="24"/>
        </w:rPr>
        <w:t>2 交货及安装时间：按采购人要求。</w:t>
      </w:r>
    </w:p>
    <w:p>
      <w:pPr>
        <w:pStyle w:val="21"/>
        <w:spacing w:line="300" w:lineRule="auto"/>
        <w:ind w:firstLine="448" w:firstLineChars="187"/>
        <w:rPr>
          <w:rFonts w:hAnsi="宋体"/>
          <w:sz w:val="24"/>
          <w:szCs w:val="24"/>
        </w:rPr>
      </w:pPr>
      <w:r>
        <w:rPr>
          <w:rFonts w:hint="eastAsia" w:hAnsi="宋体"/>
          <w:sz w:val="24"/>
          <w:szCs w:val="24"/>
        </w:rPr>
        <w:t>4</w:t>
      </w:r>
      <w:r>
        <w:rPr>
          <w:rFonts w:hAnsi="宋体"/>
          <w:sz w:val="24"/>
          <w:szCs w:val="24"/>
        </w:rPr>
        <w:t>.</w:t>
      </w:r>
      <w:r>
        <w:rPr>
          <w:rFonts w:hint="eastAsia" w:hAnsi="宋体"/>
          <w:sz w:val="24"/>
          <w:szCs w:val="24"/>
        </w:rPr>
        <w:t>3 交货地点：采购人指定地点。</w:t>
      </w:r>
    </w:p>
    <w:p>
      <w:pPr>
        <w:pStyle w:val="21"/>
        <w:spacing w:line="300" w:lineRule="auto"/>
        <w:ind w:firstLine="448" w:firstLineChars="187"/>
        <w:rPr>
          <w:rFonts w:hAnsi="宋体"/>
          <w:sz w:val="24"/>
          <w:szCs w:val="24"/>
        </w:rPr>
      </w:pPr>
      <w:r>
        <w:rPr>
          <w:rFonts w:hint="eastAsia" w:hAnsi="宋体"/>
          <w:sz w:val="24"/>
          <w:szCs w:val="24"/>
        </w:rPr>
        <w:t>4</w:t>
      </w:r>
      <w:r>
        <w:rPr>
          <w:rFonts w:hAnsi="宋体"/>
          <w:sz w:val="24"/>
          <w:szCs w:val="24"/>
        </w:rPr>
        <w:t>.</w:t>
      </w:r>
      <w:r>
        <w:rPr>
          <w:rFonts w:hint="eastAsia" w:hAnsi="宋体"/>
          <w:sz w:val="24"/>
          <w:szCs w:val="24"/>
        </w:rPr>
        <w:t>4 交货方式：乙方免费送至甲方指定地点并安装到位。</w:t>
      </w:r>
    </w:p>
    <w:p>
      <w:pPr>
        <w:pStyle w:val="17"/>
        <w:snapToGrid w:val="0"/>
        <w:spacing w:line="360" w:lineRule="auto"/>
        <w:ind w:firstLine="0"/>
        <w:rPr>
          <w:rFonts w:hAnsi="宋体"/>
          <w:b/>
          <w:sz w:val="24"/>
          <w:szCs w:val="24"/>
        </w:rPr>
      </w:pPr>
      <w:r>
        <w:rPr>
          <w:rFonts w:hint="eastAsia" w:hAnsi="宋体"/>
          <w:b/>
          <w:sz w:val="24"/>
          <w:szCs w:val="24"/>
        </w:rPr>
        <w:t>5．合同条款及特别条款</w:t>
      </w:r>
    </w:p>
    <w:p>
      <w:pPr>
        <w:pStyle w:val="21"/>
        <w:spacing w:line="300" w:lineRule="auto"/>
        <w:ind w:firstLine="448" w:firstLineChars="187"/>
        <w:rPr>
          <w:rFonts w:hAnsi="宋体"/>
          <w:sz w:val="24"/>
          <w:szCs w:val="24"/>
        </w:rPr>
      </w:pPr>
      <w:r>
        <w:rPr>
          <w:rFonts w:hint="eastAsia" w:hAnsi="宋体"/>
          <w:sz w:val="24"/>
          <w:szCs w:val="24"/>
        </w:rPr>
        <w:t>5</w:t>
      </w:r>
      <w:r>
        <w:rPr>
          <w:rFonts w:hAnsi="宋体"/>
          <w:sz w:val="24"/>
          <w:szCs w:val="24"/>
        </w:rPr>
        <w:t>.1</w:t>
      </w:r>
      <w:r>
        <w:rPr>
          <w:rFonts w:hint="eastAsia" w:hAnsi="宋体"/>
          <w:sz w:val="24"/>
          <w:szCs w:val="24"/>
        </w:rPr>
        <w:t xml:space="preserve"> 货物验收：</w:t>
      </w:r>
    </w:p>
    <w:p>
      <w:pPr>
        <w:pStyle w:val="21"/>
        <w:spacing w:line="300" w:lineRule="auto"/>
        <w:ind w:firstLine="448" w:firstLineChars="187"/>
        <w:rPr>
          <w:rFonts w:hAnsi="宋体"/>
          <w:sz w:val="24"/>
          <w:szCs w:val="24"/>
        </w:rPr>
      </w:pPr>
      <w:r>
        <w:rPr>
          <w:rFonts w:hint="eastAsia" w:hAnsi="宋体"/>
          <w:sz w:val="24"/>
          <w:szCs w:val="24"/>
        </w:rPr>
        <w:t>5.1.1 乙方交货前应对产品作出全面检查和产品资料的整理，作为甲方收货验收和使用的技术条件的主要依据。</w:t>
      </w:r>
    </w:p>
    <w:p>
      <w:pPr>
        <w:pStyle w:val="21"/>
        <w:spacing w:line="300" w:lineRule="auto"/>
        <w:ind w:firstLine="448" w:firstLineChars="187"/>
        <w:rPr>
          <w:rFonts w:hAnsi="宋体"/>
          <w:sz w:val="24"/>
          <w:szCs w:val="24"/>
        </w:rPr>
      </w:pPr>
      <w:r>
        <w:rPr>
          <w:rFonts w:hint="eastAsia" w:hAnsi="宋体"/>
          <w:sz w:val="24"/>
          <w:szCs w:val="24"/>
        </w:rPr>
        <w:t>5.1.2 甲方组织专家按照竞争性谈判申请文件清单及承诺内容对产品质量及服务验收，在验收时发现质量问题或是相关技术规格与竞争性谈判文件和竞争性谈判申请文件不符的，应及时向采购代理机构反映。</w:t>
      </w:r>
    </w:p>
    <w:p>
      <w:pPr>
        <w:pStyle w:val="21"/>
        <w:spacing w:line="300" w:lineRule="auto"/>
        <w:ind w:firstLine="448" w:firstLineChars="187"/>
        <w:rPr>
          <w:rFonts w:hAnsi="宋体"/>
          <w:sz w:val="24"/>
          <w:szCs w:val="24"/>
        </w:rPr>
      </w:pPr>
      <w:r>
        <w:rPr>
          <w:rFonts w:hint="eastAsia" w:hAnsi="宋体"/>
          <w:sz w:val="24"/>
          <w:szCs w:val="24"/>
        </w:rPr>
        <w:t>5.1.3 验收:</w:t>
      </w:r>
    </w:p>
    <w:p>
      <w:pPr>
        <w:pStyle w:val="21"/>
        <w:spacing w:line="300" w:lineRule="auto"/>
        <w:ind w:firstLine="448" w:firstLineChars="187"/>
        <w:rPr>
          <w:rFonts w:hAnsi="宋体"/>
          <w:sz w:val="24"/>
          <w:szCs w:val="24"/>
        </w:rPr>
      </w:pPr>
      <w:r>
        <w:rPr>
          <w:rFonts w:hint="eastAsia" w:hAnsi="宋体"/>
          <w:sz w:val="24"/>
          <w:szCs w:val="24"/>
        </w:rPr>
        <w:t>到场验收: 。</w:t>
      </w:r>
    </w:p>
    <w:p>
      <w:pPr>
        <w:pStyle w:val="21"/>
        <w:spacing w:line="300" w:lineRule="auto"/>
        <w:ind w:firstLine="448" w:firstLineChars="187"/>
        <w:rPr>
          <w:rFonts w:hAnsi="宋体"/>
          <w:sz w:val="24"/>
          <w:szCs w:val="24"/>
        </w:rPr>
      </w:pPr>
      <w:r>
        <w:rPr>
          <w:rFonts w:hint="eastAsia" w:hAnsi="宋体"/>
          <w:sz w:val="24"/>
          <w:szCs w:val="24"/>
        </w:rPr>
        <w:t>5.1.4 货物试运行期间，乙方都要指定专门技术人员全程跟踪服务，及时解决出现的所有问题。</w:t>
      </w:r>
    </w:p>
    <w:p>
      <w:pPr>
        <w:pStyle w:val="21"/>
        <w:spacing w:line="300" w:lineRule="auto"/>
        <w:ind w:firstLine="448" w:firstLineChars="187"/>
        <w:rPr>
          <w:rFonts w:hAnsi="宋体"/>
          <w:sz w:val="24"/>
          <w:szCs w:val="24"/>
        </w:rPr>
      </w:pPr>
      <w:r>
        <w:rPr>
          <w:rFonts w:hint="eastAsia" w:hAnsi="宋体"/>
          <w:sz w:val="24"/>
          <w:szCs w:val="24"/>
        </w:rPr>
        <w:t>5.1.5 甲方根据上述第5.1.3条规定进行验收，并不能免除乙方根据本合同质量保证条款规定所应承担的质量保证责任。</w:t>
      </w:r>
    </w:p>
    <w:p>
      <w:pPr>
        <w:snapToGrid w:val="0"/>
        <w:spacing w:line="360" w:lineRule="auto"/>
        <w:ind w:left="720" w:hanging="720"/>
        <w:rPr>
          <w:rFonts w:ascii="宋体" w:hAnsi="宋体"/>
          <w:b/>
          <w:sz w:val="24"/>
        </w:rPr>
      </w:pPr>
      <w:r>
        <w:rPr>
          <w:rFonts w:hint="eastAsia" w:ascii="宋体" w:hAnsi="宋体"/>
          <w:b/>
          <w:sz w:val="24"/>
        </w:rPr>
        <w:t>5</w:t>
      </w:r>
      <w:r>
        <w:rPr>
          <w:rFonts w:ascii="宋体" w:hAnsi="宋体"/>
          <w:b/>
          <w:sz w:val="24"/>
        </w:rPr>
        <w:t>.</w:t>
      </w:r>
      <w:r>
        <w:rPr>
          <w:rFonts w:hint="eastAsia" w:ascii="宋体" w:hAnsi="宋体"/>
          <w:b/>
          <w:sz w:val="24"/>
        </w:rPr>
        <w:t>2 质量保证、售后服务及故障处理</w:t>
      </w:r>
    </w:p>
    <w:p>
      <w:pPr>
        <w:pStyle w:val="21"/>
        <w:spacing w:line="300" w:lineRule="auto"/>
        <w:ind w:firstLine="448" w:firstLineChars="187"/>
        <w:rPr>
          <w:rFonts w:hAnsi="宋体"/>
          <w:sz w:val="24"/>
          <w:szCs w:val="24"/>
        </w:rPr>
      </w:pPr>
      <w:r>
        <w:rPr>
          <w:rFonts w:hint="eastAsia" w:hAnsi="宋体"/>
          <w:sz w:val="24"/>
          <w:szCs w:val="24"/>
        </w:rPr>
        <w:t>5.2.1 乙方应按竞争性谈判文件规定的货物性能、技术要求、质量标准向甲方提供未经使用的全新产品，按厂家承诺实行“三包”。</w:t>
      </w:r>
    </w:p>
    <w:p>
      <w:pPr>
        <w:pStyle w:val="21"/>
        <w:spacing w:line="300" w:lineRule="auto"/>
        <w:ind w:firstLine="448" w:firstLineChars="187"/>
        <w:rPr>
          <w:rFonts w:hAnsi="宋体"/>
          <w:sz w:val="24"/>
          <w:szCs w:val="24"/>
        </w:rPr>
      </w:pPr>
      <w:r>
        <w:rPr>
          <w:rFonts w:hint="eastAsia" w:hAnsi="宋体"/>
          <w:sz w:val="24"/>
          <w:szCs w:val="24"/>
        </w:rPr>
        <w:t>5.2.2 乙方提供本货物的质量保证期为自验收合格之日起不少于年，如乙方提供本身质量保证期超过年以上的，要根据乙方提供质保期执行。在质保期内发现因货物本身的质量问题，乙方应负责免费更换或免费修理或更换零部件。对达不到技术要求者，根据实际情况，经双方协商，可按以下办法处理：</w:t>
      </w:r>
    </w:p>
    <w:p>
      <w:pPr>
        <w:pStyle w:val="21"/>
        <w:spacing w:line="300" w:lineRule="auto"/>
        <w:ind w:firstLine="448" w:firstLineChars="187"/>
        <w:rPr>
          <w:rFonts w:hAnsi="宋体"/>
          <w:sz w:val="24"/>
          <w:szCs w:val="24"/>
        </w:rPr>
      </w:pPr>
      <w:r>
        <w:rPr>
          <w:rFonts w:hint="eastAsia" w:hAnsi="宋体"/>
          <w:sz w:val="24"/>
          <w:szCs w:val="24"/>
        </w:rPr>
        <w:t>⑴更    换：由乙方承担所发生的全部费用。</w:t>
      </w:r>
    </w:p>
    <w:p>
      <w:pPr>
        <w:pStyle w:val="21"/>
        <w:spacing w:line="300" w:lineRule="auto"/>
        <w:ind w:firstLine="448" w:firstLineChars="187"/>
        <w:rPr>
          <w:rFonts w:hAnsi="宋体"/>
          <w:sz w:val="24"/>
          <w:szCs w:val="24"/>
        </w:rPr>
      </w:pPr>
      <w:r>
        <w:rPr>
          <w:rFonts w:hint="eastAsia" w:hAnsi="宋体"/>
          <w:sz w:val="24"/>
          <w:szCs w:val="24"/>
        </w:rPr>
        <w:t>⑵贬值处理：由甲方、乙方双方合议定价。</w:t>
      </w:r>
    </w:p>
    <w:p>
      <w:pPr>
        <w:pStyle w:val="21"/>
        <w:spacing w:line="300" w:lineRule="auto"/>
        <w:ind w:firstLine="448" w:firstLineChars="187"/>
        <w:rPr>
          <w:rFonts w:hAnsi="宋体"/>
          <w:sz w:val="24"/>
          <w:szCs w:val="24"/>
        </w:rPr>
      </w:pPr>
      <w:r>
        <w:rPr>
          <w:rFonts w:hint="eastAsia" w:hAnsi="宋体"/>
          <w:sz w:val="24"/>
          <w:szCs w:val="24"/>
        </w:rPr>
        <w:t>⑶退货处理：乙方应退还甲方支付的货物款，同时应承担该货物的直接费用（运输、保险、检验、货款利息及银行手续费等）。</w:t>
      </w:r>
    </w:p>
    <w:p>
      <w:pPr>
        <w:pStyle w:val="21"/>
        <w:spacing w:line="300" w:lineRule="auto"/>
        <w:ind w:firstLine="448" w:firstLineChars="187"/>
        <w:rPr>
          <w:rFonts w:hAnsi="宋体"/>
          <w:sz w:val="24"/>
          <w:szCs w:val="24"/>
        </w:rPr>
      </w:pPr>
      <w:r>
        <w:rPr>
          <w:rFonts w:hint="eastAsia" w:hAnsi="宋体"/>
          <w:sz w:val="24"/>
          <w:szCs w:val="24"/>
        </w:rPr>
        <w:t>5.2.3 在质保期内，乙方应对货物出现的质量及安全问题负责处理解决并承担一切费用。</w:t>
      </w:r>
    </w:p>
    <w:p>
      <w:pPr>
        <w:pStyle w:val="21"/>
        <w:spacing w:line="300" w:lineRule="auto"/>
        <w:ind w:firstLine="448" w:firstLineChars="187"/>
        <w:rPr>
          <w:rFonts w:hAnsi="宋体"/>
          <w:sz w:val="24"/>
          <w:szCs w:val="24"/>
        </w:rPr>
      </w:pPr>
      <w:r>
        <w:rPr>
          <w:rFonts w:hint="eastAsia" w:hAnsi="宋体"/>
          <w:sz w:val="24"/>
          <w:szCs w:val="24"/>
        </w:rPr>
        <w:t>5.2.4 乙方须在质保期限满后提供全部货物的终身免费维护，因人为因素出现的故障（或不可抗力引起的故障）不在免费维护范围内。如货物出现故障需维修，乙方只收货物维修的材料费。</w:t>
      </w:r>
    </w:p>
    <w:p>
      <w:pPr>
        <w:pStyle w:val="21"/>
        <w:spacing w:line="300" w:lineRule="auto"/>
        <w:ind w:firstLine="448" w:firstLineChars="187"/>
        <w:rPr>
          <w:rFonts w:hAnsi="宋体"/>
          <w:sz w:val="24"/>
          <w:szCs w:val="24"/>
        </w:rPr>
      </w:pPr>
      <w:r>
        <w:rPr>
          <w:rFonts w:hint="eastAsia" w:hAnsi="宋体"/>
          <w:sz w:val="24"/>
          <w:szCs w:val="24"/>
        </w:rPr>
        <w:t>5.2.5 乙方应提供产品保修卡按产品规定保修期限及内容以及服务厂家的其它承诺条款实行保修，并提供终身维修服务卡。</w:t>
      </w:r>
    </w:p>
    <w:p>
      <w:pPr>
        <w:pStyle w:val="21"/>
        <w:spacing w:line="300" w:lineRule="auto"/>
        <w:ind w:firstLine="448" w:firstLineChars="187"/>
        <w:rPr>
          <w:rFonts w:hAnsi="宋体"/>
          <w:sz w:val="24"/>
          <w:szCs w:val="24"/>
        </w:rPr>
      </w:pPr>
      <w:r>
        <w:rPr>
          <w:rFonts w:hint="eastAsia" w:hAnsi="宋体"/>
          <w:sz w:val="24"/>
          <w:szCs w:val="24"/>
        </w:rPr>
        <w:t>5.2.6 乙方应对甲方的货物实行终身维护。</w:t>
      </w:r>
    </w:p>
    <w:p>
      <w:pPr>
        <w:snapToGrid w:val="0"/>
        <w:spacing w:line="360" w:lineRule="auto"/>
        <w:ind w:left="735" w:hanging="735"/>
        <w:rPr>
          <w:rFonts w:ascii="宋体" w:hAnsi="宋体"/>
          <w:b/>
          <w:sz w:val="24"/>
        </w:rPr>
      </w:pPr>
      <w:r>
        <w:rPr>
          <w:rFonts w:hint="eastAsia" w:ascii="宋体" w:hAnsi="宋体"/>
          <w:b/>
          <w:sz w:val="24"/>
        </w:rPr>
        <w:t>5</w:t>
      </w:r>
      <w:r>
        <w:rPr>
          <w:rFonts w:ascii="宋体" w:hAnsi="宋体"/>
          <w:b/>
          <w:sz w:val="24"/>
        </w:rPr>
        <w:t>.</w:t>
      </w:r>
      <w:r>
        <w:rPr>
          <w:rFonts w:hint="eastAsia" w:ascii="宋体" w:hAnsi="宋体"/>
          <w:b/>
          <w:sz w:val="24"/>
        </w:rPr>
        <w:t>3   竞争性谈判保证金、履约保证金和质量保证金</w:t>
      </w:r>
    </w:p>
    <w:p>
      <w:pPr>
        <w:pStyle w:val="21"/>
        <w:spacing w:line="300" w:lineRule="auto"/>
        <w:ind w:firstLine="448" w:firstLineChars="187"/>
        <w:rPr>
          <w:rFonts w:hAnsi="宋体"/>
          <w:sz w:val="24"/>
          <w:szCs w:val="24"/>
        </w:rPr>
      </w:pPr>
      <w:r>
        <w:rPr>
          <w:rFonts w:hint="eastAsia" w:hAnsi="宋体"/>
          <w:sz w:val="24"/>
          <w:szCs w:val="24"/>
        </w:rPr>
        <w:t>5.3.1 乙方须交纳元履约保证金后。</w:t>
      </w:r>
    </w:p>
    <w:p>
      <w:pPr>
        <w:pStyle w:val="21"/>
        <w:spacing w:line="300" w:lineRule="auto"/>
        <w:ind w:firstLine="448" w:firstLineChars="187"/>
        <w:rPr>
          <w:rFonts w:hAnsi="宋体"/>
          <w:sz w:val="24"/>
          <w:szCs w:val="24"/>
        </w:rPr>
      </w:pPr>
      <w:r>
        <w:rPr>
          <w:rFonts w:hint="eastAsia" w:hAnsi="宋体"/>
          <w:sz w:val="24"/>
          <w:szCs w:val="24"/>
        </w:rPr>
        <w:t>5.3.2 在履约期间，乙方不履行竞争性谈判文件规定及相关承诺的，甲方可以向采购代理机构提出不予返还履约保证金。</w:t>
      </w:r>
    </w:p>
    <w:p>
      <w:pPr>
        <w:pStyle w:val="21"/>
        <w:spacing w:line="300" w:lineRule="auto"/>
        <w:ind w:firstLine="448" w:firstLineChars="187"/>
        <w:rPr>
          <w:rFonts w:hAnsi="宋体"/>
          <w:sz w:val="24"/>
          <w:szCs w:val="24"/>
        </w:rPr>
      </w:pPr>
      <w:r>
        <w:rPr>
          <w:rFonts w:hint="eastAsia" w:hAnsi="宋体"/>
          <w:sz w:val="24"/>
          <w:szCs w:val="24"/>
        </w:rPr>
        <w:t>5.3.3 履约保证金在乙方完成履约责任后自动转为质量保证金。</w:t>
      </w:r>
    </w:p>
    <w:p>
      <w:pPr>
        <w:pStyle w:val="21"/>
        <w:spacing w:line="300" w:lineRule="auto"/>
        <w:ind w:firstLine="448" w:firstLineChars="187"/>
        <w:rPr>
          <w:rFonts w:hAnsi="宋体"/>
          <w:sz w:val="24"/>
          <w:szCs w:val="24"/>
        </w:rPr>
      </w:pPr>
      <w:r>
        <w:rPr>
          <w:rFonts w:hint="eastAsia" w:hAnsi="宋体"/>
          <w:sz w:val="24"/>
          <w:szCs w:val="24"/>
        </w:rPr>
        <w:t>5.3.4 货物的质保期限至少为</w:t>
      </w:r>
      <w:r>
        <w:rPr>
          <w:rFonts w:hint="eastAsia" w:hAnsi="宋体"/>
          <w:sz w:val="24"/>
          <w:szCs w:val="24"/>
          <w:u w:val="single"/>
        </w:rPr>
        <w:t xml:space="preserve">     </w:t>
      </w:r>
      <w:r>
        <w:rPr>
          <w:rFonts w:hint="eastAsia" w:hAnsi="宋体"/>
          <w:sz w:val="24"/>
          <w:szCs w:val="24"/>
        </w:rPr>
        <w:t>年。质保期满后由招标单位按规定程序退还质量保证金。如乙方在质保期内出现质量问题和服务问题及违反竞争性谈判文件规定的其他问题，甲方可以不予返还其部分或全部质量保证金，如质量保证金不足以因出现质量问题及其他问题产生的损失，按实际损失赔偿。</w:t>
      </w:r>
    </w:p>
    <w:p>
      <w:pPr>
        <w:snapToGrid w:val="0"/>
        <w:spacing w:line="360" w:lineRule="auto"/>
        <w:rPr>
          <w:rFonts w:ascii="宋体" w:hAnsi="宋体"/>
          <w:b/>
          <w:sz w:val="24"/>
        </w:rPr>
      </w:pPr>
      <w:r>
        <w:rPr>
          <w:rFonts w:hint="eastAsia" w:ascii="宋体" w:hAnsi="宋体"/>
          <w:b/>
          <w:sz w:val="24"/>
        </w:rPr>
        <w:t>6．违约行为</w:t>
      </w:r>
    </w:p>
    <w:p>
      <w:pPr>
        <w:pStyle w:val="21"/>
        <w:spacing w:line="300" w:lineRule="auto"/>
        <w:ind w:firstLine="448" w:firstLineChars="187"/>
        <w:rPr>
          <w:rFonts w:hAnsi="宋体"/>
          <w:sz w:val="24"/>
          <w:szCs w:val="24"/>
        </w:rPr>
      </w:pPr>
      <w:r>
        <w:rPr>
          <w:rFonts w:hint="eastAsia" w:hAnsi="宋体"/>
          <w:sz w:val="24"/>
          <w:szCs w:val="24"/>
        </w:rPr>
        <w:t>6.1乙方有下列行为将作为违约：</w:t>
      </w:r>
    </w:p>
    <w:p>
      <w:pPr>
        <w:pStyle w:val="21"/>
        <w:spacing w:line="300" w:lineRule="auto"/>
        <w:ind w:firstLine="448" w:firstLineChars="187"/>
        <w:rPr>
          <w:rFonts w:hAnsi="宋体"/>
          <w:sz w:val="24"/>
          <w:szCs w:val="24"/>
        </w:rPr>
      </w:pPr>
      <w:r>
        <w:rPr>
          <w:rFonts w:hint="eastAsia" w:hAnsi="宋体"/>
          <w:sz w:val="24"/>
          <w:szCs w:val="24"/>
        </w:rPr>
        <w:t>⑴逾期交货及延迟竣工，不可抗力除外。</w:t>
      </w:r>
    </w:p>
    <w:p>
      <w:pPr>
        <w:pStyle w:val="21"/>
        <w:spacing w:line="300" w:lineRule="auto"/>
        <w:ind w:firstLine="448" w:firstLineChars="187"/>
        <w:rPr>
          <w:rFonts w:hAnsi="宋体"/>
          <w:sz w:val="24"/>
          <w:szCs w:val="24"/>
        </w:rPr>
      </w:pPr>
      <w:r>
        <w:rPr>
          <w:rFonts w:hint="eastAsia" w:hAnsi="宋体"/>
          <w:sz w:val="24"/>
          <w:szCs w:val="24"/>
        </w:rPr>
        <w:t>⑵交付货物的规格和技术参数、质量等跟乙方的竞争性谈判申请文件中相关承诺存在着不符，并私自降低货物的规格和技术参数、质量等。</w:t>
      </w:r>
    </w:p>
    <w:p>
      <w:pPr>
        <w:pStyle w:val="21"/>
        <w:spacing w:line="300" w:lineRule="auto"/>
        <w:ind w:firstLine="448" w:firstLineChars="187"/>
        <w:rPr>
          <w:rFonts w:hAnsi="宋体"/>
          <w:sz w:val="24"/>
          <w:szCs w:val="24"/>
        </w:rPr>
      </w:pPr>
      <w:r>
        <w:rPr>
          <w:rFonts w:hint="eastAsia" w:hAnsi="宋体"/>
          <w:sz w:val="24"/>
          <w:szCs w:val="24"/>
        </w:rPr>
        <w:t>⑶本次招标设备及各种配件、易损件的价格高于市场平均价的。</w:t>
      </w:r>
    </w:p>
    <w:p>
      <w:pPr>
        <w:pStyle w:val="21"/>
        <w:spacing w:line="300" w:lineRule="auto"/>
        <w:ind w:firstLine="448" w:firstLineChars="187"/>
        <w:rPr>
          <w:rFonts w:hAnsi="宋体"/>
          <w:sz w:val="24"/>
          <w:szCs w:val="24"/>
        </w:rPr>
      </w:pPr>
      <w:r>
        <w:rPr>
          <w:rFonts w:hint="eastAsia" w:hAnsi="宋体"/>
          <w:sz w:val="24"/>
          <w:szCs w:val="24"/>
        </w:rPr>
        <w:t>⑷不履行合同条款或只履行部分合同条款，或拒绝履行合同义务。</w:t>
      </w:r>
    </w:p>
    <w:p>
      <w:pPr>
        <w:pStyle w:val="21"/>
        <w:spacing w:line="300" w:lineRule="auto"/>
        <w:ind w:firstLine="448" w:firstLineChars="187"/>
        <w:rPr>
          <w:rFonts w:hAnsi="宋体"/>
          <w:sz w:val="24"/>
          <w:szCs w:val="24"/>
        </w:rPr>
      </w:pPr>
      <w:r>
        <w:rPr>
          <w:rFonts w:hint="eastAsia" w:hAnsi="宋体"/>
          <w:sz w:val="24"/>
          <w:szCs w:val="24"/>
        </w:rPr>
        <w:t>⑸不履行售后服务承诺及相关的伴随服务。</w:t>
      </w:r>
    </w:p>
    <w:p>
      <w:pPr>
        <w:pStyle w:val="21"/>
        <w:spacing w:line="300" w:lineRule="auto"/>
        <w:ind w:firstLine="448" w:firstLineChars="187"/>
        <w:rPr>
          <w:rFonts w:hAnsi="宋体"/>
          <w:sz w:val="24"/>
          <w:szCs w:val="24"/>
        </w:rPr>
      </w:pPr>
      <w:r>
        <w:rPr>
          <w:rFonts w:hint="eastAsia" w:hAnsi="宋体"/>
          <w:sz w:val="24"/>
          <w:szCs w:val="24"/>
        </w:rPr>
        <w:t>⑹没有按本合同提供质量保证期。</w:t>
      </w:r>
    </w:p>
    <w:p>
      <w:pPr>
        <w:pStyle w:val="21"/>
        <w:spacing w:line="300" w:lineRule="auto"/>
        <w:ind w:firstLine="448" w:firstLineChars="187"/>
        <w:rPr>
          <w:rFonts w:hAnsi="宋体"/>
          <w:sz w:val="24"/>
          <w:szCs w:val="24"/>
        </w:rPr>
      </w:pPr>
      <w:r>
        <w:rPr>
          <w:rFonts w:hint="eastAsia" w:hAnsi="宋体"/>
          <w:sz w:val="24"/>
          <w:szCs w:val="24"/>
        </w:rPr>
        <w:t>⑺违反政府采购法和国家其他的相关法律法规。</w:t>
      </w:r>
    </w:p>
    <w:p>
      <w:pPr>
        <w:pStyle w:val="21"/>
        <w:spacing w:line="300" w:lineRule="auto"/>
        <w:ind w:firstLine="448" w:firstLineChars="187"/>
        <w:rPr>
          <w:rFonts w:hAnsi="宋体"/>
          <w:sz w:val="24"/>
          <w:szCs w:val="24"/>
        </w:rPr>
      </w:pPr>
      <w:r>
        <w:rPr>
          <w:rFonts w:hint="eastAsia" w:hAnsi="宋体"/>
          <w:sz w:val="24"/>
          <w:szCs w:val="24"/>
        </w:rPr>
        <w:t xml:space="preserve">6.2 甲方有下列行为将作为违约： </w:t>
      </w:r>
    </w:p>
    <w:p>
      <w:pPr>
        <w:pStyle w:val="21"/>
        <w:spacing w:line="300" w:lineRule="auto"/>
        <w:ind w:firstLine="448" w:firstLineChars="187"/>
        <w:rPr>
          <w:rFonts w:hAnsi="宋体"/>
          <w:sz w:val="24"/>
          <w:szCs w:val="24"/>
        </w:rPr>
      </w:pPr>
      <w:r>
        <w:rPr>
          <w:rFonts w:hint="eastAsia" w:hAnsi="宋体"/>
          <w:sz w:val="24"/>
          <w:szCs w:val="24"/>
        </w:rPr>
        <w:t>⑴无正当理由拒绝接受乙方交付的货物或逾期延迟验收。</w:t>
      </w:r>
    </w:p>
    <w:p>
      <w:pPr>
        <w:pStyle w:val="21"/>
        <w:spacing w:line="300" w:lineRule="auto"/>
        <w:ind w:firstLine="448" w:firstLineChars="187"/>
        <w:rPr>
          <w:rFonts w:hAnsi="宋体"/>
          <w:sz w:val="24"/>
          <w:szCs w:val="24"/>
        </w:rPr>
      </w:pPr>
      <w:r>
        <w:rPr>
          <w:rFonts w:hint="eastAsia" w:hAnsi="宋体"/>
          <w:sz w:val="24"/>
          <w:szCs w:val="24"/>
        </w:rPr>
        <w:t>⑵违反政府采购法和国家其他的相关法律法规。</w:t>
      </w:r>
    </w:p>
    <w:p>
      <w:pPr>
        <w:pStyle w:val="21"/>
        <w:snapToGrid w:val="0"/>
        <w:spacing w:line="360" w:lineRule="auto"/>
        <w:rPr>
          <w:rFonts w:hAnsi="宋体"/>
          <w:b/>
          <w:sz w:val="24"/>
          <w:szCs w:val="24"/>
        </w:rPr>
      </w:pPr>
      <w:r>
        <w:rPr>
          <w:rFonts w:hint="eastAsia" w:hAnsi="宋体"/>
          <w:b/>
          <w:sz w:val="24"/>
          <w:szCs w:val="24"/>
        </w:rPr>
        <w:t>7.违约责任</w:t>
      </w:r>
    </w:p>
    <w:p>
      <w:pPr>
        <w:pStyle w:val="21"/>
        <w:spacing w:line="300" w:lineRule="auto"/>
        <w:ind w:firstLine="448" w:firstLineChars="187"/>
        <w:rPr>
          <w:rFonts w:hAnsi="宋体"/>
          <w:sz w:val="24"/>
          <w:szCs w:val="24"/>
        </w:rPr>
      </w:pPr>
      <w:r>
        <w:rPr>
          <w:rFonts w:hint="eastAsia" w:hAnsi="宋体"/>
          <w:sz w:val="24"/>
          <w:szCs w:val="24"/>
        </w:rPr>
        <w:t>7.1 乙方违反本合同条款第6.1条的，将受到以下制裁：</w:t>
      </w:r>
    </w:p>
    <w:p>
      <w:pPr>
        <w:pStyle w:val="21"/>
        <w:spacing w:line="300" w:lineRule="auto"/>
        <w:ind w:firstLine="448" w:firstLineChars="187"/>
        <w:rPr>
          <w:rFonts w:hAnsi="宋体"/>
          <w:sz w:val="24"/>
          <w:szCs w:val="24"/>
        </w:rPr>
      </w:pPr>
      <w:r>
        <w:rPr>
          <w:rFonts w:hint="eastAsia" w:hAnsi="宋体"/>
          <w:sz w:val="24"/>
          <w:szCs w:val="24"/>
        </w:rPr>
        <w:t>⑴违反本合同条款第6.1条第⑴款时，乙方应按合同款的每日千分之二向甲方支付违约金，直至交货为止。但违约金的最高限额不超过合同款的百分之五。其中违约金由甲方从应付款中扣除。逾期超过约定日期三十个工作日不能交付的，甲方可单方解除本合同并不予返还履约保证金，并追加乙方承提因此造成的损失和相关法律责任。</w:t>
      </w:r>
    </w:p>
    <w:p>
      <w:pPr>
        <w:pStyle w:val="21"/>
        <w:spacing w:line="300" w:lineRule="auto"/>
        <w:ind w:firstLine="448" w:firstLineChars="187"/>
        <w:rPr>
          <w:rFonts w:hAnsi="宋体"/>
          <w:sz w:val="24"/>
          <w:szCs w:val="24"/>
        </w:rPr>
      </w:pPr>
      <w:r>
        <w:rPr>
          <w:rFonts w:hint="eastAsia" w:hAnsi="宋体"/>
          <w:sz w:val="24"/>
          <w:szCs w:val="24"/>
        </w:rPr>
        <w:t>⑵违反本合同条款第6.1条第⑵款时；一是甲方有权要求更换货物。而乙方愿意更换货物但逾期交货而造成交付延期的，则按乙方逾期交付处理；二是乙方拒绝更换货物的，甲方可单方面解除合同，并要求乙方承担甲方和采购代理机构因此造成的损失及相关法律责任；三是甲方也可以有权拒绝接受货物，甲方有权单方中止合同，并不予返还其履约保证金，并追加乙方承担因此造成的损失和相关法律责任。</w:t>
      </w:r>
    </w:p>
    <w:p>
      <w:pPr>
        <w:pStyle w:val="21"/>
        <w:spacing w:line="300" w:lineRule="auto"/>
        <w:ind w:firstLine="448" w:firstLineChars="187"/>
        <w:rPr>
          <w:rFonts w:hAnsi="宋体"/>
          <w:sz w:val="24"/>
          <w:szCs w:val="24"/>
        </w:rPr>
      </w:pPr>
      <w:r>
        <w:rPr>
          <w:rFonts w:hint="eastAsia" w:hAnsi="宋体"/>
          <w:sz w:val="24"/>
          <w:szCs w:val="24"/>
        </w:rPr>
        <w:t>⑶违反本合同条款第6.1条第⑶-⑹款时，甲方有权单方中止合同，并不予返还其质量保证金，并追加乙方承担因此造成的损失及相关法律责任。</w:t>
      </w:r>
    </w:p>
    <w:p>
      <w:pPr>
        <w:pStyle w:val="21"/>
        <w:spacing w:line="300" w:lineRule="auto"/>
        <w:ind w:firstLine="448" w:firstLineChars="187"/>
        <w:rPr>
          <w:rFonts w:hAnsi="宋体"/>
          <w:sz w:val="24"/>
          <w:szCs w:val="24"/>
        </w:rPr>
      </w:pPr>
      <w:r>
        <w:rPr>
          <w:rFonts w:hint="eastAsia" w:hAnsi="宋体"/>
          <w:sz w:val="24"/>
          <w:szCs w:val="24"/>
        </w:rPr>
        <w:t>⑷因乙方的违约行为导致甲方单方解除合同的，乙方应要承担相应的法律责任。而因乙方违约行为此造成的损失超出由乙方继续承担赔偿责任。</w:t>
      </w:r>
    </w:p>
    <w:p>
      <w:pPr>
        <w:pStyle w:val="21"/>
        <w:spacing w:line="300" w:lineRule="auto"/>
        <w:ind w:firstLine="448" w:firstLineChars="187"/>
        <w:rPr>
          <w:rFonts w:hAnsi="宋体"/>
          <w:sz w:val="24"/>
          <w:szCs w:val="24"/>
        </w:rPr>
      </w:pPr>
      <w:r>
        <w:rPr>
          <w:rFonts w:hint="eastAsia" w:hAnsi="宋体"/>
          <w:sz w:val="24"/>
          <w:szCs w:val="24"/>
        </w:rPr>
        <w:t>7.2   甲方违反本合同条款第6.2条的，将受到以下制裁：</w:t>
      </w:r>
    </w:p>
    <w:p>
      <w:pPr>
        <w:pStyle w:val="21"/>
        <w:spacing w:line="300" w:lineRule="auto"/>
        <w:ind w:firstLine="448" w:firstLineChars="187"/>
        <w:rPr>
          <w:rFonts w:hAnsi="宋体"/>
          <w:sz w:val="24"/>
          <w:szCs w:val="24"/>
        </w:rPr>
      </w:pPr>
      <w:r>
        <w:rPr>
          <w:rFonts w:hint="eastAsia" w:hAnsi="宋体"/>
          <w:sz w:val="24"/>
          <w:szCs w:val="24"/>
        </w:rPr>
        <w:t>⑴违反本合同条款第6.2条时，甲方应按货款的每日千分之二向乙方支付违约金，但违约金的最高限额不超过货款的百分之五。</w:t>
      </w:r>
    </w:p>
    <w:p>
      <w:pPr>
        <w:pStyle w:val="21"/>
        <w:spacing w:line="300" w:lineRule="auto"/>
        <w:ind w:firstLine="448" w:firstLineChars="187"/>
        <w:rPr>
          <w:rFonts w:hAnsi="宋体"/>
          <w:sz w:val="24"/>
          <w:szCs w:val="24"/>
        </w:rPr>
      </w:pPr>
      <w:r>
        <w:rPr>
          <w:rFonts w:hint="eastAsia" w:hAnsi="宋体"/>
          <w:sz w:val="24"/>
          <w:szCs w:val="24"/>
        </w:rPr>
        <w:t>⑵乙方可有权单方面解除本合同，并追加甲方承担因此造成的损失和相关法律责任。</w:t>
      </w:r>
    </w:p>
    <w:p>
      <w:pPr>
        <w:snapToGrid w:val="0"/>
        <w:spacing w:line="360" w:lineRule="auto"/>
        <w:rPr>
          <w:rFonts w:ascii="宋体" w:hAnsi="宋体"/>
          <w:b/>
          <w:sz w:val="24"/>
        </w:rPr>
      </w:pPr>
      <w:r>
        <w:rPr>
          <w:rFonts w:hint="eastAsia" w:ascii="宋体" w:hAnsi="宋体"/>
          <w:b/>
          <w:sz w:val="24"/>
        </w:rPr>
        <w:t>8．</w:t>
      </w:r>
      <w:r>
        <w:rPr>
          <w:rFonts w:hint="eastAsia" w:ascii="宋体" w:hAnsi="宋体"/>
          <w:sz w:val="24"/>
        </w:rPr>
        <w:t>付款方式：根据竞争性谈判文件内规定付款。</w:t>
      </w:r>
    </w:p>
    <w:p>
      <w:pPr>
        <w:snapToGrid w:val="0"/>
        <w:spacing w:line="360" w:lineRule="auto"/>
        <w:rPr>
          <w:rFonts w:ascii="宋体" w:hAnsi="宋体"/>
          <w:b/>
          <w:sz w:val="24"/>
        </w:rPr>
      </w:pPr>
      <w:r>
        <w:rPr>
          <w:rFonts w:hint="eastAsia" w:ascii="宋体" w:hAnsi="宋体"/>
          <w:b/>
          <w:sz w:val="24"/>
        </w:rPr>
        <w:t>9．合同生效</w:t>
      </w:r>
    </w:p>
    <w:p>
      <w:pPr>
        <w:pStyle w:val="21"/>
        <w:spacing w:line="300" w:lineRule="auto"/>
        <w:ind w:firstLine="448" w:firstLineChars="187"/>
        <w:rPr>
          <w:rFonts w:hAnsi="宋体"/>
          <w:sz w:val="24"/>
          <w:szCs w:val="24"/>
        </w:rPr>
      </w:pPr>
      <w:r>
        <w:rPr>
          <w:rFonts w:hint="eastAsia" w:hAnsi="宋体"/>
          <w:sz w:val="24"/>
          <w:szCs w:val="24"/>
        </w:rPr>
        <w:t>9</w:t>
      </w:r>
      <w:r>
        <w:rPr>
          <w:rFonts w:hAnsi="宋体"/>
          <w:sz w:val="24"/>
          <w:szCs w:val="24"/>
        </w:rPr>
        <w:t>.</w:t>
      </w:r>
      <w:r>
        <w:rPr>
          <w:rFonts w:hint="eastAsia" w:hAnsi="宋体"/>
          <w:sz w:val="24"/>
          <w:szCs w:val="24"/>
        </w:rPr>
        <w:t>1 本合同一式六份，甲、乙双方各两份，另两份报送监督机构和采购代理机构备案。</w:t>
      </w:r>
    </w:p>
    <w:p>
      <w:pPr>
        <w:pStyle w:val="21"/>
        <w:spacing w:line="300" w:lineRule="auto"/>
        <w:ind w:firstLine="448" w:firstLineChars="187"/>
        <w:rPr>
          <w:rFonts w:hAnsi="宋体"/>
          <w:sz w:val="24"/>
          <w:szCs w:val="24"/>
        </w:rPr>
      </w:pPr>
      <w:r>
        <w:rPr>
          <w:rFonts w:hint="eastAsia" w:hAnsi="宋体"/>
          <w:sz w:val="24"/>
          <w:szCs w:val="24"/>
        </w:rPr>
        <w:t>9</w:t>
      </w:r>
      <w:r>
        <w:rPr>
          <w:rFonts w:hAnsi="宋体"/>
          <w:sz w:val="24"/>
          <w:szCs w:val="24"/>
        </w:rPr>
        <w:t>.</w:t>
      </w:r>
      <w:r>
        <w:rPr>
          <w:rFonts w:hint="eastAsia" w:hAnsi="宋体"/>
          <w:sz w:val="24"/>
          <w:szCs w:val="24"/>
        </w:rPr>
        <w:t>2 本合同经双方法定代表人或委托代理人签字盖章后立即生效。</w:t>
      </w:r>
    </w:p>
    <w:p>
      <w:pPr>
        <w:snapToGrid w:val="0"/>
        <w:spacing w:line="360" w:lineRule="auto"/>
        <w:rPr>
          <w:rFonts w:ascii="宋体" w:hAnsi="宋体"/>
          <w:sz w:val="24"/>
        </w:rPr>
      </w:pPr>
    </w:p>
    <w:tbl>
      <w:tblPr>
        <w:tblStyle w:val="34"/>
        <w:tblW w:w="0" w:type="auto"/>
        <w:tblInd w:w="0" w:type="dxa"/>
        <w:tblLayout w:type="fixed"/>
        <w:tblCellMar>
          <w:top w:w="0" w:type="dxa"/>
          <w:left w:w="108" w:type="dxa"/>
          <w:bottom w:w="0" w:type="dxa"/>
          <w:right w:w="108" w:type="dxa"/>
        </w:tblCellMar>
      </w:tblPr>
      <w:tblGrid>
        <w:gridCol w:w="2088"/>
        <w:gridCol w:w="3599"/>
        <w:gridCol w:w="3600"/>
      </w:tblGrid>
      <w:tr>
        <w:tblPrEx>
          <w:tblCellMar>
            <w:top w:w="0" w:type="dxa"/>
            <w:left w:w="108" w:type="dxa"/>
            <w:bottom w:w="0" w:type="dxa"/>
            <w:right w:w="108" w:type="dxa"/>
          </w:tblCellMar>
        </w:tblPrEx>
        <w:trPr>
          <w:trHeight w:val="420" w:hRule="atLeast"/>
        </w:trPr>
        <w:tc>
          <w:tcPr>
            <w:tcW w:w="2088" w:type="dxa"/>
            <w:vMerge w:val="restart"/>
            <w:tcBorders>
              <w:top w:val="single" w:color="auto" w:sz="4" w:space="0"/>
              <w:left w:val="single" w:color="auto" w:sz="4" w:space="0"/>
              <w:right w:val="single" w:color="auto" w:sz="4" w:space="0"/>
              <w:tl2br w:val="single" w:color="auto" w:sz="4" w:space="0"/>
            </w:tcBorders>
            <w:vAlign w:val="center"/>
          </w:tcPr>
          <w:p>
            <w:pPr>
              <w:pStyle w:val="21"/>
              <w:spacing w:line="360" w:lineRule="auto"/>
              <w:ind w:firstLine="420" w:firstLineChars="175"/>
              <w:jc w:val="right"/>
              <w:rPr>
                <w:rFonts w:hAnsi="宋体"/>
                <w:sz w:val="24"/>
                <w:szCs w:val="24"/>
              </w:rPr>
            </w:pPr>
            <w:r>
              <w:rPr>
                <w:rFonts w:hint="eastAsia" w:hAnsi="宋体"/>
                <w:sz w:val="24"/>
                <w:szCs w:val="24"/>
              </w:rPr>
              <w:t>单位名称</w:t>
            </w:r>
          </w:p>
          <w:p>
            <w:pPr>
              <w:pStyle w:val="21"/>
              <w:spacing w:line="360" w:lineRule="auto"/>
              <w:rPr>
                <w:rFonts w:hAnsi="宋体"/>
                <w:sz w:val="24"/>
                <w:szCs w:val="24"/>
              </w:rPr>
            </w:pPr>
            <w:r>
              <w:rPr>
                <w:rFonts w:hint="eastAsia" w:hAnsi="宋体"/>
                <w:sz w:val="24"/>
                <w:szCs w:val="24"/>
              </w:rPr>
              <w:t>类别名称</w:t>
            </w:r>
          </w:p>
        </w:tc>
        <w:tc>
          <w:tcPr>
            <w:tcW w:w="3599" w:type="dxa"/>
            <w:tcBorders>
              <w:top w:val="single" w:color="auto" w:sz="4" w:space="0"/>
              <w:left w:val="single" w:color="auto" w:sz="4" w:space="0"/>
              <w:bottom w:val="single" w:color="auto" w:sz="4" w:space="0"/>
              <w:right w:val="single" w:color="auto" w:sz="4" w:space="0"/>
            </w:tcBorders>
            <w:vAlign w:val="center"/>
          </w:tcPr>
          <w:p>
            <w:pPr>
              <w:pStyle w:val="21"/>
              <w:spacing w:line="360" w:lineRule="auto"/>
              <w:ind w:left="2" w:hanging="2" w:hangingChars="1"/>
              <w:jc w:val="center"/>
              <w:rPr>
                <w:rFonts w:hAnsi="宋体"/>
                <w:sz w:val="24"/>
                <w:szCs w:val="24"/>
              </w:rPr>
            </w:pPr>
            <w:r>
              <w:rPr>
                <w:rFonts w:hint="eastAsia" w:hAnsi="宋体"/>
                <w:sz w:val="24"/>
                <w:szCs w:val="24"/>
              </w:rPr>
              <w:t>甲方(盖章)</w:t>
            </w:r>
          </w:p>
        </w:tc>
        <w:tc>
          <w:tcPr>
            <w:tcW w:w="3600" w:type="dxa"/>
            <w:tcBorders>
              <w:top w:val="single" w:color="auto" w:sz="4" w:space="0"/>
              <w:left w:val="single" w:color="auto" w:sz="4" w:space="0"/>
              <w:bottom w:val="single" w:color="auto" w:sz="4" w:space="0"/>
              <w:right w:val="single" w:color="auto" w:sz="4" w:space="0"/>
            </w:tcBorders>
            <w:vAlign w:val="center"/>
          </w:tcPr>
          <w:p>
            <w:pPr>
              <w:pStyle w:val="21"/>
              <w:spacing w:line="360" w:lineRule="auto"/>
              <w:ind w:left="130" w:hanging="129" w:hangingChars="54"/>
              <w:jc w:val="center"/>
              <w:rPr>
                <w:rFonts w:hAnsi="宋体"/>
                <w:sz w:val="24"/>
                <w:szCs w:val="24"/>
              </w:rPr>
            </w:pPr>
            <w:r>
              <w:rPr>
                <w:rFonts w:hint="eastAsia" w:hAnsi="宋体"/>
                <w:sz w:val="24"/>
                <w:szCs w:val="24"/>
              </w:rPr>
              <w:t>乙方(盖章)</w:t>
            </w:r>
          </w:p>
        </w:tc>
      </w:tr>
      <w:tr>
        <w:tblPrEx>
          <w:tblCellMar>
            <w:top w:w="0" w:type="dxa"/>
            <w:left w:w="108" w:type="dxa"/>
            <w:bottom w:w="0" w:type="dxa"/>
            <w:right w:w="108" w:type="dxa"/>
          </w:tblCellMar>
        </w:tblPrEx>
        <w:trPr>
          <w:trHeight w:val="510" w:hRule="atLeast"/>
        </w:trPr>
        <w:tc>
          <w:tcPr>
            <w:tcW w:w="2088" w:type="dxa"/>
            <w:vMerge w:val="continue"/>
            <w:tcBorders>
              <w:left w:val="single" w:color="auto" w:sz="4" w:space="0"/>
              <w:bottom w:val="single" w:color="auto" w:sz="4" w:space="0"/>
              <w:right w:val="single" w:color="auto" w:sz="4" w:space="0"/>
              <w:tl2br w:val="single" w:color="auto" w:sz="4" w:space="0"/>
            </w:tcBorders>
            <w:vAlign w:val="center"/>
          </w:tcPr>
          <w:p>
            <w:pPr>
              <w:pStyle w:val="21"/>
              <w:spacing w:line="360" w:lineRule="auto"/>
              <w:ind w:firstLine="420" w:firstLineChars="175"/>
              <w:jc w:val="distribute"/>
              <w:rPr>
                <w:rFonts w:hAnsi="宋体"/>
                <w:sz w:val="24"/>
                <w:szCs w:val="24"/>
              </w:rPr>
            </w:pPr>
          </w:p>
        </w:tc>
        <w:tc>
          <w:tcPr>
            <w:tcW w:w="3599" w:type="dxa"/>
            <w:tcBorders>
              <w:top w:val="single" w:color="auto" w:sz="4" w:space="0"/>
              <w:left w:val="single" w:color="auto" w:sz="4" w:space="0"/>
              <w:bottom w:val="single" w:color="auto" w:sz="4" w:space="0"/>
              <w:right w:val="single" w:color="auto" w:sz="4" w:space="0"/>
            </w:tcBorders>
            <w:vAlign w:val="center"/>
          </w:tcPr>
          <w:p>
            <w:pPr>
              <w:pStyle w:val="21"/>
              <w:spacing w:line="360" w:lineRule="auto"/>
              <w:ind w:left="2" w:hanging="2" w:hangingChars="1"/>
              <w:rPr>
                <w:rFonts w:hAnsi="宋体"/>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1"/>
              <w:spacing w:line="360" w:lineRule="auto"/>
              <w:ind w:left="130" w:hanging="129" w:hangingChars="54"/>
              <w:jc w:val="center"/>
              <w:rPr>
                <w:rFonts w:hAnsi="宋体"/>
                <w:sz w:val="24"/>
                <w:szCs w:val="24"/>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distribute"/>
              <w:rPr>
                <w:rFonts w:hAnsi="宋体"/>
                <w:sz w:val="24"/>
                <w:szCs w:val="24"/>
              </w:rPr>
            </w:pPr>
            <w:r>
              <w:rPr>
                <w:rFonts w:hint="eastAsia" w:hAnsi="宋体"/>
                <w:sz w:val="24"/>
                <w:szCs w:val="24"/>
              </w:rPr>
              <w:t>地    址</w:t>
            </w:r>
          </w:p>
        </w:tc>
        <w:tc>
          <w:tcPr>
            <w:tcW w:w="3599" w:type="dxa"/>
            <w:tcBorders>
              <w:top w:val="single" w:color="auto" w:sz="4" w:space="0"/>
              <w:left w:val="single" w:color="auto" w:sz="4" w:space="0"/>
              <w:bottom w:val="single" w:color="auto" w:sz="4" w:space="0"/>
              <w:right w:val="single" w:color="auto" w:sz="4" w:space="0"/>
            </w:tcBorders>
            <w:vAlign w:val="center"/>
          </w:tcPr>
          <w:p>
            <w:pPr>
              <w:pStyle w:val="21"/>
              <w:spacing w:line="360" w:lineRule="auto"/>
              <w:rPr>
                <w:rFonts w:hAnsi="宋体"/>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1"/>
              <w:spacing w:line="360" w:lineRule="auto"/>
              <w:ind w:firstLine="600"/>
              <w:jc w:val="center"/>
              <w:rPr>
                <w:rFonts w:hAnsi="宋体"/>
                <w:sz w:val="24"/>
                <w:szCs w:val="24"/>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distribute"/>
              <w:rPr>
                <w:rFonts w:hAnsi="宋体"/>
                <w:sz w:val="24"/>
                <w:szCs w:val="24"/>
              </w:rPr>
            </w:pPr>
            <w:r>
              <w:rPr>
                <w:rFonts w:hint="eastAsia" w:hAnsi="宋体"/>
                <w:sz w:val="24"/>
                <w:szCs w:val="24"/>
              </w:rPr>
              <w:t>法定代表人</w:t>
            </w:r>
          </w:p>
        </w:tc>
        <w:tc>
          <w:tcPr>
            <w:tcW w:w="3599" w:type="dxa"/>
            <w:tcBorders>
              <w:top w:val="single" w:color="auto" w:sz="4" w:space="0"/>
              <w:left w:val="single" w:color="auto" w:sz="4" w:space="0"/>
              <w:bottom w:val="single" w:color="auto" w:sz="4" w:space="0"/>
              <w:right w:val="single" w:color="auto" w:sz="4" w:space="0"/>
            </w:tcBorders>
            <w:vAlign w:val="center"/>
          </w:tcPr>
          <w:p>
            <w:pPr>
              <w:pStyle w:val="21"/>
              <w:spacing w:line="360" w:lineRule="auto"/>
              <w:ind w:firstLine="600"/>
              <w:jc w:val="center"/>
              <w:rPr>
                <w:rFonts w:hAnsi="宋体"/>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1"/>
              <w:spacing w:line="360" w:lineRule="auto"/>
              <w:ind w:firstLine="600"/>
              <w:jc w:val="center"/>
              <w:rPr>
                <w:rFonts w:hAnsi="宋体"/>
                <w:sz w:val="24"/>
                <w:szCs w:val="24"/>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distribute"/>
              <w:rPr>
                <w:rFonts w:hAnsi="宋体"/>
                <w:sz w:val="24"/>
                <w:szCs w:val="24"/>
              </w:rPr>
            </w:pPr>
            <w:r>
              <w:rPr>
                <w:rFonts w:hint="eastAsia" w:hAnsi="宋体"/>
                <w:sz w:val="24"/>
                <w:szCs w:val="24"/>
              </w:rPr>
              <w:t>或委托代理人</w:t>
            </w:r>
          </w:p>
        </w:tc>
        <w:tc>
          <w:tcPr>
            <w:tcW w:w="3599" w:type="dxa"/>
            <w:tcBorders>
              <w:top w:val="single" w:color="auto" w:sz="4" w:space="0"/>
              <w:left w:val="single" w:color="auto" w:sz="4" w:space="0"/>
              <w:bottom w:val="single" w:color="auto" w:sz="4" w:space="0"/>
              <w:right w:val="single" w:color="auto" w:sz="4" w:space="0"/>
            </w:tcBorders>
            <w:vAlign w:val="center"/>
          </w:tcPr>
          <w:p>
            <w:pPr>
              <w:pStyle w:val="21"/>
              <w:spacing w:line="360" w:lineRule="auto"/>
              <w:ind w:firstLine="600"/>
              <w:jc w:val="center"/>
              <w:rPr>
                <w:rFonts w:hAnsi="宋体"/>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1"/>
              <w:spacing w:line="360" w:lineRule="auto"/>
              <w:ind w:firstLine="600"/>
              <w:jc w:val="center"/>
              <w:rPr>
                <w:rFonts w:hAnsi="宋体"/>
                <w:sz w:val="24"/>
                <w:szCs w:val="24"/>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distribute"/>
              <w:rPr>
                <w:rFonts w:hAnsi="宋体"/>
                <w:sz w:val="24"/>
                <w:szCs w:val="24"/>
              </w:rPr>
            </w:pPr>
            <w:r>
              <w:rPr>
                <w:rFonts w:hint="eastAsia" w:hAnsi="宋体"/>
                <w:sz w:val="24"/>
                <w:szCs w:val="24"/>
              </w:rPr>
              <w:t>电话</w:t>
            </w:r>
          </w:p>
        </w:tc>
        <w:tc>
          <w:tcPr>
            <w:tcW w:w="3599" w:type="dxa"/>
            <w:tcBorders>
              <w:top w:val="single" w:color="auto" w:sz="4" w:space="0"/>
              <w:left w:val="single" w:color="auto" w:sz="4" w:space="0"/>
              <w:bottom w:val="single" w:color="auto" w:sz="4" w:space="0"/>
              <w:right w:val="single" w:color="auto" w:sz="4" w:space="0"/>
            </w:tcBorders>
            <w:vAlign w:val="center"/>
          </w:tcPr>
          <w:p>
            <w:pPr>
              <w:pStyle w:val="21"/>
              <w:spacing w:line="360" w:lineRule="auto"/>
              <w:rPr>
                <w:rFonts w:hAnsi="宋体"/>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1"/>
              <w:spacing w:line="360" w:lineRule="auto"/>
              <w:ind w:firstLine="600"/>
              <w:jc w:val="center"/>
              <w:rPr>
                <w:rFonts w:hAnsi="宋体"/>
                <w:sz w:val="24"/>
                <w:szCs w:val="24"/>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distribute"/>
              <w:rPr>
                <w:rFonts w:hAnsi="宋体"/>
                <w:sz w:val="24"/>
                <w:szCs w:val="24"/>
              </w:rPr>
            </w:pPr>
            <w:r>
              <w:rPr>
                <w:rFonts w:hint="eastAsia" w:hAnsi="宋体"/>
                <w:sz w:val="24"/>
                <w:szCs w:val="24"/>
              </w:rPr>
              <w:t>传真</w:t>
            </w:r>
          </w:p>
        </w:tc>
        <w:tc>
          <w:tcPr>
            <w:tcW w:w="3599" w:type="dxa"/>
            <w:tcBorders>
              <w:top w:val="single" w:color="auto" w:sz="4" w:space="0"/>
              <w:left w:val="single" w:color="auto" w:sz="4" w:space="0"/>
              <w:bottom w:val="single" w:color="auto" w:sz="4" w:space="0"/>
              <w:right w:val="single" w:color="auto" w:sz="4" w:space="0"/>
            </w:tcBorders>
            <w:vAlign w:val="center"/>
          </w:tcPr>
          <w:p>
            <w:pPr>
              <w:pStyle w:val="21"/>
              <w:spacing w:line="360" w:lineRule="auto"/>
              <w:rPr>
                <w:rFonts w:hAnsi="宋体"/>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1"/>
              <w:spacing w:line="360" w:lineRule="auto"/>
              <w:ind w:firstLine="600"/>
              <w:jc w:val="center"/>
              <w:rPr>
                <w:rFonts w:hAnsi="宋体"/>
                <w:sz w:val="24"/>
                <w:szCs w:val="24"/>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distribute"/>
              <w:rPr>
                <w:rFonts w:hAnsi="宋体"/>
                <w:sz w:val="24"/>
                <w:szCs w:val="24"/>
              </w:rPr>
            </w:pPr>
            <w:r>
              <w:rPr>
                <w:rFonts w:hint="eastAsia" w:hAnsi="宋体"/>
                <w:sz w:val="24"/>
                <w:szCs w:val="24"/>
              </w:rPr>
              <w:t>开户名称</w:t>
            </w:r>
          </w:p>
        </w:tc>
        <w:tc>
          <w:tcPr>
            <w:tcW w:w="3599" w:type="dxa"/>
            <w:tcBorders>
              <w:top w:val="single" w:color="auto" w:sz="4" w:space="0"/>
              <w:left w:val="single" w:color="auto" w:sz="4" w:space="0"/>
              <w:bottom w:val="single" w:color="auto" w:sz="4" w:space="0"/>
              <w:right w:val="single" w:color="auto" w:sz="4" w:space="0"/>
            </w:tcBorders>
            <w:vAlign w:val="center"/>
          </w:tcPr>
          <w:p>
            <w:pPr>
              <w:pStyle w:val="21"/>
              <w:spacing w:line="360" w:lineRule="auto"/>
              <w:ind w:firstLine="600"/>
              <w:jc w:val="center"/>
              <w:rPr>
                <w:rFonts w:hAnsi="宋体"/>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1"/>
              <w:spacing w:line="360" w:lineRule="auto"/>
              <w:ind w:firstLine="600"/>
              <w:jc w:val="center"/>
              <w:rPr>
                <w:rFonts w:hAnsi="宋体"/>
                <w:sz w:val="24"/>
                <w:szCs w:val="24"/>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distribute"/>
              <w:rPr>
                <w:rFonts w:hAnsi="宋体"/>
                <w:sz w:val="24"/>
                <w:szCs w:val="24"/>
              </w:rPr>
            </w:pPr>
            <w:r>
              <w:rPr>
                <w:rFonts w:hint="eastAsia" w:hAnsi="宋体"/>
                <w:sz w:val="24"/>
                <w:szCs w:val="24"/>
              </w:rPr>
              <w:t>开户银行</w:t>
            </w:r>
          </w:p>
        </w:tc>
        <w:tc>
          <w:tcPr>
            <w:tcW w:w="3599" w:type="dxa"/>
            <w:tcBorders>
              <w:top w:val="single" w:color="auto" w:sz="4" w:space="0"/>
              <w:left w:val="single" w:color="auto" w:sz="4" w:space="0"/>
              <w:bottom w:val="single" w:color="auto" w:sz="4" w:space="0"/>
              <w:right w:val="single" w:color="auto" w:sz="4" w:space="0"/>
            </w:tcBorders>
            <w:vAlign w:val="center"/>
          </w:tcPr>
          <w:p>
            <w:pPr>
              <w:pStyle w:val="21"/>
              <w:spacing w:line="360" w:lineRule="auto"/>
              <w:ind w:firstLine="600"/>
              <w:jc w:val="center"/>
              <w:rPr>
                <w:rFonts w:hAnsi="宋体"/>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1"/>
              <w:spacing w:line="360" w:lineRule="auto"/>
              <w:ind w:firstLine="600"/>
              <w:jc w:val="center"/>
              <w:rPr>
                <w:rFonts w:hAnsi="宋体"/>
                <w:sz w:val="24"/>
                <w:szCs w:val="24"/>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distribute"/>
              <w:rPr>
                <w:rFonts w:hAnsi="宋体"/>
                <w:sz w:val="24"/>
                <w:szCs w:val="24"/>
              </w:rPr>
            </w:pPr>
            <w:r>
              <w:rPr>
                <w:rFonts w:hint="eastAsia" w:hAnsi="宋体"/>
                <w:sz w:val="24"/>
                <w:szCs w:val="24"/>
              </w:rPr>
              <w:t>帐号</w:t>
            </w:r>
          </w:p>
        </w:tc>
        <w:tc>
          <w:tcPr>
            <w:tcW w:w="3599" w:type="dxa"/>
            <w:tcBorders>
              <w:top w:val="single" w:color="auto" w:sz="4" w:space="0"/>
              <w:left w:val="single" w:color="auto" w:sz="4" w:space="0"/>
              <w:bottom w:val="single" w:color="auto" w:sz="4" w:space="0"/>
              <w:right w:val="single" w:color="auto" w:sz="4" w:space="0"/>
            </w:tcBorders>
            <w:vAlign w:val="center"/>
          </w:tcPr>
          <w:p>
            <w:pPr>
              <w:pStyle w:val="21"/>
              <w:spacing w:line="360" w:lineRule="auto"/>
              <w:ind w:firstLine="600"/>
              <w:jc w:val="center"/>
              <w:rPr>
                <w:rFonts w:hAnsi="宋体"/>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1"/>
              <w:spacing w:line="360" w:lineRule="auto"/>
              <w:ind w:firstLine="600"/>
              <w:jc w:val="center"/>
              <w:rPr>
                <w:rFonts w:hAnsi="宋体"/>
                <w:sz w:val="24"/>
                <w:szCs w:val="24"/>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distribute"/>
              <w:rPr>
                <w:rFonts w:hAnsi="宋体"/>
                <w:sz w:val="24"/>
                <w:szCs w:val="24"/>
              </w:rPr>
            </w:pPr>
            <w:r>
              <w:rPr>
                <w:rFonts w:hint="eastAsia" w:hAnsi="宋体"/>
                <w:sz w:val="24"/>
                <w:szCs w:val="24"/>
              </w:rPr>
              <w:t>签订地点</w:t>
            </w:r>
          </w:p>
        </w:tc>
        <w:tc>
          <w:tcPr>
            <w:tcW w:w="7199" w:type="dxa"/>
            <w:gridSpan w:val="2"/>
            <w:tcBorders>
              <w:top w:val="single" w:color="auto" w:sz="4" w:space="0"/>
              <w:left w:val="single" w:color="auto" w:sz="4" w:space="0"/>
              <w:bottom w:val="single" w:color="auto" w:sz="4" w:space="0"/>
              <w:right w:val="single" w:color="auto" w:sz="4" w:space="0"/>
            </w:tcBorders>
            <w:vAlign w:val="center"/>
          </w:tcPr>
          <w:p>
            <w:pPr>
              <w:pStyle w:val="21"/>
              <w:spacing w:line="360" w:lineRule="auto"/>
              <w:rPr>
                <w:rFonts w:hAnsi="宋体"/>
                <w:sz w:val="24"/>
                <w:szCs w:val="24"/>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1"/>
              <w:spacing w:line="360" w:lineRule="auto"/>
              <w:jc w:val="distribute"/>
              <w:rPr>
                <w:rFonts w:hAnsi="宋体"/>
                <w:sz w:val="24"/>
                <w:szCs w:val="24"/>
              </w:rPr>
            </w:pPr>
            <w:r>
              <w:rPr>
                <w:rFonts w:hint="eastAsia" w:hAnsi="宋体"/>
                <w:sz w:val="24"/>
                <w:szCs w:val="24"/>
              </w:rPr>
              <w:t>签订日期</w:t>
            </w:r>
          </w:p>
        </w:tc>
        <w:tc>
          <w:tcPr>
            <w:tcW w:w="7199" w:type="dxa"/>
            <w:gridSpan w:val="2"/>
            <w:tcBorders>
              <w:top w:val="single" w:color="auto" w:sz="4" w:space="0"/>
              <w:left w:val="single" w:color="auto" w:sz="4" w:space="0"/>
              <w:bottom w:val="single" w:color="auto" w:sz="4" w:space="0"/>
              <w:right w:val="single" w:color="auto" w:sz="4" w:space="0"/>
            </w:tcBorders>
            <w:vAlign w:val="center"/>
          </w:tcPr>
          <w:p>
            <w:pPr>
              <w:pStyle w:val="21"/>
              <w:spacing w:line="360" w:lineRule="auto"/>
              <w:ind w:firstLine="3000" w:firstLineChars="1250"/>
              <w:jc w:val="center"/>
              <w:rPr>
                <w:rFonts w:hAnsi="宋体"/>
                <w:sz w:val="24"/>
                <w:szCs w:val="24"/>
              </w:rPr>
            </w:pPr>
            <w:r>
              <w:rPr>
                <w:rFonts w:hint="eastAsia" w:hAnsi="宋体"/>
                <w:sz w:val="24"/>
                <w:szCs w:val="24"/>
              </w:rPr>
              <w:t xml:space="preserve">    年  月  日</w:t>
            </w:r>
          </w:p>
        </w:tc>
      </w:tr>
    </w:tbl>
    <w:p>
      <w:pPr>
        <w:pStyle w:val="16"/>
        <w:rPr>
          <w:rFonts w:ascii="宋体" w:hAnsi="宋体"/>
          <w:szCs w:val="24"/>
        </w:rPr>
      </w:pPr>
    </w:p>
    <w:p>
      <w:pPr>
        <w:pStyle w:val="16"/>
        <w:jc w:val="right"/>
        <w:rPr>
          <w:rFonts w:ascii="宋体" w:hAnsi="宋体"/>
          <w:szCs w:val="24"/>
        </w:rPr>
      </w:pPr>
      <w:r>
        <w:rPr>
          <w:rFonts w:hint="eastAsia" w:ascii="宋体" w:hAnsi="宋体"/>
          <w:szCs w:val="24"/>
        </w:rPr>
        <w:t>本合同版本仅供参考，最终以采购人确定的版本为准。</w:t>
      </w:r>
    </w:p>
    <w:p>
      <w:pPr>
        <w:snapToGrid w:val="0"/>
        <w:spacing w:line="360" w:lineRule="auto"/>
        <w:jc w:val="center"/>
        <w:rPr>
          <w:rFonts w:ascii="宋体" w:hAnsi="宋体"/>
          <w:b/>
          <w:sz w:val="24"/>
        </w:rPr>
      </w:pPr>
    </w:p>
    <w:p>
      <w:pPr>
        <w:snapToGrid w:val="0"/>
        <w:spacing w:line="500" w:lineRule="exact"/>
        <w:jc w:val="center"/>
        <w:rPr>
          <w:rFonts w:ascii="宋体" w:hAnsi="宋体"/>
          <w:b/>
          <w:sz w:val="24"/>
        </w:rPr>
      </w:pPr>
    </w:p>
    <w:p>
      <w:pPr>
        <w:pStyle w:val="2"/>
      </w:pPr>
      <w:bookmarkStart w:id="68" w:name="_Toc289848525"/>
      <w:bookmarkStart w:id="69" w:name="_Toc289848367"/>
      <w:bookmarkStart w:id="70" w:name="_Toc289848551"/>
      <w:bookmarkStart w:id="71" w:name="_Toc276646860"/>
      <w:bookmarkStart w:id="72" w:name="_Toc289848440"/>
      <w:r>
        <w:br w:type="page"/>
      </w:r>
      <w:bookmarkStart w:id="73" w:name="_Toc66260327"/>
      <w:r>
        <w:rPr>
          <w:rFonts w:hint="eastAsia"/>
        </w:rPr>
        <w:t>第五部分  竞争性谈判申请文件格式</w:t>
      </w:r>
      <w:bookmarkEnd w:id="68"/>
      <w:bookmarkEnd w:id="69"/>
      <w:bookmarkEnd w:id="70"/>
      <w:bookmarkEnd w:id="71"/>
      <w:bookmarkEnd w:id="72"/>
      <w:bookmarkEnd w:id="73"/>
    </w:p>
    <w:p>
      <w:pPr>
        <w:snapToGrid w:val="0"/>
        <w:spacing w:line="500" w:lineRule="exact"/>
        <w:ind w:firstLine="480"/>
        <w:rPr>
          <w:rFonts w:ascii="宋体" w:hAnsi="宋体"/>
          <w:sz w:val="24"/>
        </w:rPr>
      </w:pPr>
    </w:p>
    <w:p>
      <w:pPr>
        <w:pStyle w:val="21"/>
        <w:rPr>
          <w:rFonts w:ascii="黑体" w:hAnsi="宋体" w:eastAsia="黑体"/>
          <w:sz w:val="24"/>
          <w:szCs w:val="24"/>
        </w:rPr>
      </w:pPr>
      <w:r>
        <w:rPr>
          <w:rFonts w:hint="eastAsia" w:ascii="黑体" w:hAnsi="宋体" w:eastAsia="黑体"/>
          <w:sz w:val="24"/>
        </w:rPr>
        <w:t>竞争性谈判申请文件</w:t>
      </w:r>
      <w:r>
        <w:rPr>
          <w:rFonts w:hint="eastAsia" w:ascii="黑体" w:hAnsi="宋体" w:eastAsia="黑体"/>
          <w:sz w:val="24"/>
          <w:szCs w:val="24"/>
        </w:rPr>
        <w:t>封面格式</w:t>
      </w:r>
    </w:p>
    <w:p>
      <w:pPr>
        <w:pStyle w:val="21"/>
        <w:jc w:val="right"/>
        <w:rPr>
          <w:rFonts w:hAnsi="宋体"/>
          <w:b/>
          <w:sz w:val="24"/>
        </w:rPr>
      </w:pPr>
      <w:r>
        <w:rPr>
          <w:rFonts w:hint="eastAsia" w:hAnsi="宋体"/>
          <w:b/>
          <w:sz w:val="24"/>
        </w:rPr>
        <w:t>正本或副本</w:t>
      </w:r>
    </w:p>
    <w:p>
      <w:pPr>
        <w:pStyle w:val="21"/>
        <w:jc w:val="right"/>
        <w:rPr>
          <w:rFonts w:hAnsi="宋体"/>
          <w:b/>
          <w:sz w:val="24"/>
        </w:rPr>
      </w:pPr>
    </w:p>
    <w:p>
      <w:pPr>
        <w:pStyle w:val="21"/>
        <w:jc w:val="right"/>
        <w:rPr>
          <w:rFonts w:hAnsi="宋体"/>
          <w:b/>
          <w:spacing w:val="20"/>
          <w:sz w:val="24"/>
          <w:szCs w:val="24"/>
        </w:rPr>
      </w:pPr>
      <w:bookmarkStart w:id="74" w:name="OLE_LINK8"/>
      <w:bookmarkStart w:id="75" w:name="OLE_LINK7"/>
    </w:p>
    <w:p>
      <w:pPr>
        <w:pStyle w:val="21"/>
        <w:jc w:val="center"/>
        <w:rPr>
          <w:rFonts w:hint="eastAsia" w:hAnsi="宋体" w:eastAsiaTheme="minorEastAsia"/>
          <w:b/>
          <w:spacing w:val="20"/>
          <w:sz w:val="28"/>
          <w:szCs w:val="28"/>
          <w:lang w:eastAsia="zh-CN"/>
        </w:rPr>
      </w:pPr>
      <w:bookmarkStart w:id="76" w:name="_Toc234300777"/>
      <w:bookmarkStart w:id="77" w:name="_Toc289848369"/>
      <w:bookmarkStart w:id="78" w:name="_Toc289848442"/>
      <w:bookmarkStart w:id="79" w:name="_Toc276646862"/>
      <w:bookmarkStart w:id="80" w:name="_Toc289848553"/>
      <w:bookmarkStart w:id="81" w:name="_Toc289848527"/>
      <w:bookmarkStart w:id="82" w:name="_Toc234295186"/>
      <w:r>
        <w:rPr>
          <w:rFonts w:hint="eastAsia" w:hAnsi="宋体"/>
          <w:b/>
          <w:spacing w:val="20"/>
          <w:sz w:val="28"/>
          <w:szCs w:val="28"/>
          <w:lang w:eastAsia="zh-CN"/>
        </w:rPr>
        <w:t>周口市第二人民医院（周口市老年医院）七一路院区部分病房安装中央空调项目</w:t>
      </w:r>
    </w:p>
    <w:p>
      <w:pPr>
        <w:pStyle w:val="21"/>
        <w:jc w:val="center"/>
        <w:rPr>
          <w:rFonts w:hAnsi="宋体"/>
          <w:b/>
          <w:spacing w:val="20"/>
          <w:sz w:val="28"/>
          <w:szCs w:val="28"/>
        </w:rPr>
      </w:pPr>
    </w:p>
    <w:p>
      <w:pPr>
        <w:pStyle w:val="21"/>
        <w:jc w:val="center"/>
        <w:rPr>
          <w:rFonts w:hAnsi="宋体"/>
          <w:b/>
          <w:spacing w:val="20"/>
          <w:sz w:val="28"/>
          <w:szCs w:val="28"/>
        </w:rPr>
      </w:pPr>
    </w:p>
    <w:p>
      <w:pPr>
        <w:pStyle w:val="21"/>
        <w:jc w:val="center"/>
        <w:rPr>
          <w:rFonts w:hAnsi="宋体"/>
          <w:b/>
          <w:spacing w:val="20"/>
          <w:sz w:val="28"/>
          <w:szCs w:val="28"/>
        </w:rPr>
      </w:pPr>
    </w:p>
    <w:p>
      <w:pPr>
        <w:pStyle w:val="21"/>
        <w:jc w:val="center"/>
        <w:rPr>
          <w:rFonts w:hAnsi="宋体"/>
          <w:b/>
          <w:spacing w:val="20"/>
          <w:sz w:val="28"/>
          <w:szCs w:val="28"/>
        </w:rPr>
      </w:pPr>
    </w:p>
    <w:p>
      <w:pPr>
        <w:pStyle w:val="21"/>
        <w:jc w:val="right"/>
        <w:rPr>
          <w:rFonts w:hAnsi="宋体"/>
          <w:b/>
          <w:spacing w:val="20"/>
          <w:sz w:val="24"/>
          <w:szCs w:val="24"/>
        </w:rPr>
      </w:pPr>
    </w:p>
    <w:p>
      <w:pPr>
        <w:pStyle w:val="21"/>
        <w:jc w:val="center"/>
        <w:rPr>
          <w:rFonts w:hint="eastAsia" w:hAnsi="宋体" w:eastAsiaTheme="minorEastAsia"/>
          <w:b/>
          <w:spacing w:val="20"/>
          <w:sz w:val="28"/>
          <w:szCs w:val="28"/>
          <w:lang w:eastAsia="zh-CN"/>
        </w:rPr>
      </w:pPr>
      <w:r>
        <w:rPr>
          <w:rFonts w:hint="eastAsia" w:hAnsi="宋体"/>
          <w:b/>
          <w:spacing w:val="20"/>
          <w:sz w:val="28"/>
          <w:szCs w:val="28"/>
        </w:rPr>
        <w:t>采购人 ：</w:t>
      </w:r>
      <w:r>
        <w:rPr>
          <w:rFonts w:hint="eastAsia" w:hAnsi="宋体"/>
          <w:b/>
          <w:spacing w:val="20"/>
          <w:sz w:val="28"/>
          <w:szCs w:val="28"/>
          <w:lang w:eastAsia="zh-CN"/>
        </w:rPr>
        <w:t>周口市第二人民医院(周口市老年医院）</w:t>
      </w:r>
    </w:p>
    <w:p>
      <w:pPr>
        <w:pStyle w:val="21"/>
        <w:jc w:val="center"/>
        <w:rPr>
          <w:rFonts w:hAnsi="宋体"/>
          <w:b/>
          <w:spacing w:val="20"/>
          <w:sz w:val="28"/>
          <w:szCs w:val="28"/>
        </w:rPr>
      </w:pPr>
    </w:p>
    <w:p>
      <w:pPr>
        <w:pStyle w:val="21"/>
        <w:jc w:val="center"/>
        <w:rPr>
          <w:rFonts w:hAnsi="宋体"/>
          <w:b/>
          <w:spacing w:val="20"/>
          <w:sz w:val="28"/>
          <w:szCs w:val="28"/>
        </w:rPr>
      </w:pPr>
    </w:p>
    <w:p>
      <w:pPr>
        <w:pStyle w:val="21"/>
        <w:jc w:val="left"/>
        <w:rPr>
          <w:rFonts w:hAnsi="宋体"/>
          <w:b/>
          <w:spacing w:val="20"/>
          <w:sz w:val="28"/>
          <w:szCs w:val="28"/>
          <w:u w:val="single"/>
        </w:rPr>
      </w:pPr>
      <w:r>
        <w:rPr>
          <w:rFonts w:hint="eastAsia" w:hAnsi="宋体"/>
          <w:b/>
          <w:sz w:val="28"/>
          <w:szCs w:val="28"/>
        </w:rPr>
        <w:t xml:space="preserve">           采购编号：</w:t>
      </w:r>
    </w:p>
    <w:p>
      <w:pPr>
        <w:jc w:val="center"/>
        <w:rPr>
          <w:rFonts w:ascii="宋体" w:hAnsi="宋体"/>
          <w:b/>
          <w:sz w:val="36"/>
          <w:szCs w:val="36"/>
        </w:rPr>
      </w:pPr>
    </w:p>
    <w:p>
      <w:pPr>
        <w:jc w:val="center"/>
        <w:rPr>
          <w:rFonts w:ascii="宋体" w:hAnsi="宋体"/>
          <w:b/>
          <w:sz w:val="72"/>
          <w:szCs w:val="72"/>
        </w:rPr>
      </w:pPr>
      <w:r>
        <w:rPr>
          <w:rFonts w:hint="eastAsia" w:ascii="宋体" w:hAnsi="宋体"/>
          <w:b/>
          <w:sz w:val="72"/>
          <w:szCs w:val="72"/>
        </w:rPr>
        <w:t>竞争性谈判响应文件</w:t>
      </w:r>
    </w:p>
    <w:p>
      <w:pPr>
        <w:spacing w:line="240" w:lineRule="auto"/>
        <w:jc w:val="center"/>
        <w:rPr>
          <w:rFonts w:ascii="宋体" w:hAnsi="宋体"/>
          <w:b/>
          <w:bCs/>
          <w:sz w:val="24"/>
        </w:rPr>
      </w:pPr>
    </w:p>
    <w:p>
      <w:pPr>
        <w:spacing w:line="240" w:lineRule="auto"/>
        <w:jc w:val="center"/>
        <w:rPr>
          <w:rFonts w:ascii="宋体" w:hAnsi="宋体"/>
          <w:b/>
          <w:sz w:val="28"/>
          <w:szCs w:val="28"/>
        </w:rPr>
      </w:pPr>
    </w:p>
    <w:p>
      <w:pPr>
        <w:spacing w:line="360" w:lineRule="auto"/>
        <w:ind w:firstLine="1498" w:firstLineChars="533"/>
        <w:rPr>
          <w:rFonts w:ascii="宋体" w:hAnsi="宋体"/>
          <w:b/>
          <w:sz w:val="28"/>
          <w:szCs w:val="28"/>
        </w:rPr>
      </w:pPr>
      <w:r>
        <w:rPr>
          <w:rFonts w:hint="eastAsia" w:ascii="宋体" w:hAnsi="宋体"/>
          <w:b/>
          <w:sz w:val="28"/>
          <w:szCs w:val="28"/>
        </w:rPr>
        <w:t>投  标  人：（盖章）</w:t>
      </w:r>
    </w:p>
    <w:p>
      <w:pPr>
        <w:spacing w:line="360" w:lineRule="auto"/>
        <w:ind w:firstLine="1498" w:firstLineChars="533"/>
        <w:rPr>
          <w:rFonts w:ascii="宋体" w:hAnsi="宋体"/>
          <w:b/>
          <w:sz w:val="28"/>
          <w:szCs w:val="28"/>
        </w:rPr>
      </w:pPr>
      <w:r>
        <w:rPr>
          <w:rFonts w:hint="eastAsia" w:ascii="宋体" w:hAnsi="宋体"/>
          <w:b/>
          <w:sz w:val="28"/>
          <w:szCs w:val="28"/>
        </w:rPr>
        <w:t>法定代表人：（签字或盖章）</w:t>
      </w:r>
    </w:p>
    <w:p>
      <w:pPr>
        <w:spacing w:line="360" w:lineRule="auto"/>
        <w:ind w:firstLine="1498" w:firstLineChars="533"/>
        <w:rPr>
          <w:rFonts w:ascii="宋体" w:hAnsi="宋体"/>
          <w:b/>
          <w:sz w:val="28"/>
          <w:szCs w:val="28"/>
        </w:rPr>
      </w:pPr>
      <w:r>
        <w:rPr>
          <w:rFonts w:hint="eastAsia" w:ascii="宋体" w:hAnsi="宋体"/>
          <w:b/>
          <w:sz w:val="28"/>
          <w:szCs w:val="28"/>
        </w:rPr>
        <w:t>详细地址：</w:t>
      </w:r>
    </w:p>
    <w:p>
      <w:pPr>
        <w:spacing w:line="360" w:lineRule="auto"/>
        <w:ind w:firstLine="1498" w:firstLineChars="533"/>
        <w:rPr>
          <w:rFonts w:ascii="宋体" w:hAnsi="宋体"/>
          <w:b/>
          <w:sz w:val="28"/>
          <w:szCs w:val="28"/>
        </w:rPr>
      </w:pPr>
      <w:r>
        <w:rPr>
          <w:rFonts w:hint="eastAsia" w:ascii="宋体" w:hAnsi="宋体"/>
          <w:b/>
          <w:sz w:val="28"/>
          <w:szCs w:val="28"/>
        </w:rPr>
        <w:t>邮政编码：</w:t>
      </w:r>
    </w:p>
    <w:p>
      <w:pPr>
        <w:spacing w:line="360" w:lineRule="auto"/>
        <w:ind w:firstLine="1498" w:firstLineChars="533"/>
        <w:rPr>
          <w:rFonts w:ascii="宋体" w:hAnsi="宋体"/>
          <w:b/>
          <w:sz w:val="28"/>
          <w:szCs w:val="28"/>
        </w:rPr>
      </w:pPr>
      <w:r>
        <w:rPr>
          <w:rFonts w:hint="eastAsia" w:ascii="宋体" w:hAnsi="宋体"/>
          <w:b/>
          <w:sz w:val="28"/>
          <w:szCs w:val="28"/>
        </w:rPr>
        <w:t>联系电话：</w:t>
      </w:r>
    </w:p>
    <w:p>
      <w:pPr>
        <w:spacing w:line="360" w:lineRule="auto"/>
        <w:ind w:firstLine="1498" w:firstLineChars="533"/>
        <w:rPr>
          <w:rFonts w:ascii="宋体" w:hAnsi="宋体"/>
          <w:sz w:val="24"/>
        </w:rPr>
      </w:pPr>
      <w:r>
        <w:rPr>
          <w:rFonts w:hint="eastAsia" w:ascii="宋体" w:hAnsi="宋体"/>
          <w:b/>
          <w:sz w:val="28"/>
          <w:szCs w:val="28"/>
        </w:rPr>
        <w:t>日    期：  年  月    日</w:t>
      </w: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r>
        <w:rPr>
          <w:rFonts w:hint="eastAsia"/>
          <w:b/>
          <w:sz w:val="32"/>
          <w:szCs w:val="32"/>
        </w:rPr>
        <w:t>目  录</w:t>
      </w: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pStyle w:val="21"/>
        <w:jc w:val="center"/>
        <w:rPr>
          <w:b/>
          <w:sz w:val="32"/>
          <w:szCs w:val="32"/>
        </w:rPr>
      </w:pPr>
    </w:p>
    <w:p>
      <w:pPr>
        <w:spacing w:line="600" w:lineRule="exact"/>
        <w:jc w:val="center"/>
        <w:outlineLvl w:val="1"/>
        <w:rPr>
          <w:b/>
        </w:rPr>
      </w:pPr>
      <w:bookmarkStart w:id="83" w:name="_Toc66260328"/>
      <w:r>
        <w:rPr>
          <w:rFonts w:hint="eastAsia"/>
          <w:b/>
        </w:rPr>
        <w:t>1</w:t>
      </w:r>
      <w:bookmarkEnd w:id="76"/>
      <w:bookmarkEnd w:id="77"/>
      <w:bookmarkEnd w:id="78"/>
      <w:bookmarkEnd w:id="79"/>
      <w:bookmarkEnd w:id="80"/>
      <w:bookmarkEnd w:id="81"/>
      <w:bookmarkEnd w:id="82"/>
      <w:r>
        <w:rPr>
          <w:rFonts w:hint="eastAsia"/>
          <w:b/>
        </w:rPr>
        <w:t>.竞争性谈判投标函</w:t>
      </w:r>
      <w:bookmarkEnd w:id="83"/>
    </w:p>
    <w:p>
      <w:pPr>
        <w:pStyle w:val="22"/>
        <w:spacing w:line="500" w:lineRule="exact"/>
        <w:rPr>
          <w:rFonts w:hAnsi="宋体"/>
          <w:sz w:val="24"/>
          <w:szCs w:val="24"/>
        </w:rPr>
      </w:pPr>
    </w:p>
    <w:p>
      <w:pPr>
        <w:pStyle w:val="22"/>
        <w:spacing w:line="500" w:lineRule="exact"/>
        <w:rPr>
          <w:rFonts w:hint="eastAsia" w:hAnsi="宋体" w:eastAsia="宋体"/>
          <w:sz w:val="24"/>
          <w:szCs w:val="24"/>
          <w:lang w:eastAsia="zh-CN"/>
        </w:rPr>
      </w:pPr>
      <w:r>
        <w:rPr>
          <w:rFonts w:hAnsi="宋体"/>
          <w:sz w:val="24"/>
          <w:szCs w:val="24"/>
        </w:rPr>
        <w:t>致：</w:t>
      </w:r>
      <w:r>
        <w:rPr>
          <w:rFonts w:hint="eastAsia" w:hAnsi="宋体"/>
          <w:b/>
          <w:sz w:val="24"/>
          <w:lang w:eastAsia="zh-CN"/>
        </w:rPr>
        <w:t>周口市第二人民医院(周口市老年医院）</w:t>
      </w:r>
    </w:p>
    <w:p>
      <w:pPr>
        <w:spacing w:line="500" w:lineRule="exact"/>
        <w:rPr>
          <w:rFonts w:ascii="宋体" w:hAnsi="宋体"/>
          <w:sz w:val="24"/>
        </w:rPr>
      </w:pPr>
      <w:r>
        <w:rPr>
          <w:rFonts w:hint="eastAsia" w:ascii="宋体" w:hAnsi="宋体"/>
          <w:sz w:val="24"/>
        </w:rPr>
        <w:t>　　我们收到了</w:t>
      </w:r>
      <w:r>
        <w:rPr>
          <w:rFonts w:hint="eastAsia" w:ascii="宋体" w:hAnsi="宋体"/>
          <w:sz w:val="24"/>
          <w:u w:val="single"/>
        </w:rPr>
        <w:t>（项目名称）</w:t>
      </w:r>
      <w:r>
        <w:rPr>
          <w:rFonts w:ascii="宋体" w:hAnsi="宋体"/>
          <w:sz w:val="24"/>
        </w:rPr>
        <w:t>的竞争性谈判文件，经详细研究，我们决定参加该项目</w:t>
      </w:r>
      <w:r>
        <w:rPr>
          <w:rFonts w:hint="eastAsia" w:ascii="宋体" w:hAnsi="宋体"/>
          <w:sz w:val="24"/>
        </w:rPr>
        <w:t>竞争性谈判</w:t>
      </w:r>
      <w:r>
        <w:rPr>
          <w:rFonts w:ascii="宋体" w:hAnsi="宋体"/>
          <w:sz w:val="24"/>
        </w:rPr>
        <w:t>活动并</w:t>
      </w:r>
      <w:r>
        <w:rPr>
          <w:rFonts w:hint="eastAsia" w:ascii="宋体" w:hAnsi="宋体"/>
          <w:sz w:val="24"/>
        </w:rPr>
        <w:t>参与谈判</w:t>
      </w:r>
      <w:r>
        <w:rPr>
          <w:rFonts w:ascii="宋体" w:hAnsi="宋体"/>
          <w:sz w:val="24"/>
        </w:rPr>
        <w:t>，我们郑重声明以下诸点并负法律责任。</w:t>
      </w:r>
    </w:p>
    <w:p>
      <w:pPr>
        <w:spacing w:line="500" w:lineRule="exact"/>
        <w:rPr>
          <w:rFonts w:ascii="宋体" w:hAnsi="宋体"/>
          <w:sz w:val="24"/>
        </w:rPr>
      </w:pPr>
      <w:r>
        <w:rPr>
          <w:rFonts w:hint="eastAsia" w:ascii="宋体" w:hAnsi="宋体"/>
          <w:sz w:val="24"/>
        </w:rPr>
        <w:t>　　</w:t>
      </w:r>
      <w:r>
        <w:rPr>
          <w:rFonts w:ascii="宋体" w:hAnsi="宋体"/>
          <w:sz w:val="24"/>
        </w:rPr>
        <w:t>(1) 愿按照竞争性谈判文件中的条款和要求，提供货物和服务，报价为：(人民币大写)__________元</w:t>
      </w:r>
      <w:r>
        <w:rPr>
          <w:rFonts w:hint="eastAsia" w:ascii="宋体" w:hAnsi="宋体"/>
          <w:sz w:val="24"/>
        </w:rPr>
        <w:t>（￥:</w:t>
      </w:r>
      <w:r>
        <w:rPr>
          <w:rFonts w:hint="eastAsia" w:ascii="宋体" w:hAnsi="宋体"/>
          <w:sz w:val="24"/>
          <w:u w:val="single"/>
        </w:rPr>
        <w:t xml:space="preserve">       </w:t>
      </w:r>
      <w:r>
        <w:rPr>
          <w:rFonts w:hint="eastAsia" w:ascii="宋体" w:hAnsi="宋体"/>
          <w:sz w:val="24"/>
        </w:rPr>
        <w:t>）</w:t>
      </w:r>
      <w:r>
        <w:rPr>
          <w:rFonts w:ascii="宋体" w:hAnsi="宋体"/>
          <w:sz w:val="24"/>
        </w:rPr>
        <w:t>，</w:t>
      </w:r>
      <w:r>
        <w:rPr>
          <w:rFonts w:hint="eastAsia" w:ascii="宋体" w:hAnsi="宋体"/>
          <w:sz w:val="24"/>
        </w:rPr>
        <w:t>质量：</w:t>
      </w:r>
      <w:r>
        <w:rPr>
          <w:rFonts w:hint="eastAsia" w:ascii="宋体" w:hAnsi="宋体"/>
          <w:sz w:val="24"/>
          <w:u w:val="single"/>
        </w:rPr>
        <w:t xml:space="preserve">      </w:t>
      </w:r>
      <w:r>
        <w:rPr>
          <w:rFonts w:hint="eastAsia" w:ascii="宋体" w:hAnsi="宋体"/>
          <w:sz w:val="24"/>
        </w:rPr>
        <w:t>。</w:t>
      </w:r>
      <w:r>
        <w:rPr>
          <w:rFonts w:ascii="宋体" w:hAnsi="宋体"/>
          <w:sz w:val="24"/>
        </w:rPr>
        <w:t>明细见“</w:t>
      </w:r>
      <w:r>
        <w:rPr>
          <w:rFonts w:hint="eastAsia" w:ascii="宋体" w:hAnsi="宋体"/>
          <w:bCs/>
          <w:sz w:val="24"/>
        </w:rPr>
        <w:t>竞争性谈判申请货物分项报价表</w:t>
      </w:r>
      <w:r>
        <w:rPr>
          <w:rFonts w:ascii="宋体" w:hAnsi="宋体"/>
          <w:sz w:val="24"/>
        </w:rPr>
        <w:t>”。</w:t>
      </w:r>
    </w:p>
    <w:p>
      <w:pPr>
        <w:spacing w:line="500" w:lineRule="exact"/>
        <w:rPr>
          <w:rFonts w:ascii="宋体" w:hAnsi="宋体"/>
          <w:sz w:val="24"/>
        </w:rPr>
      </w:pPr>
      <w:r>
        <w:rPr>
          <w:rFonts w:hint="eastAsia" w:ascii="宋体" w:hAnsi="宋体"/>
          <w:sz w:val="24"/>
        </w:rPr>
        <w:t>　　</w:t>
      </w:r>
      <w:r>
        <w:rPr>
          <w:rFonts w:ascii="宋体" w:hAnsi="宋体"/>
          <w:sz w:val="24"/>
        </w:rPr>
        <w:t>(2) 如果我们的竞争性谈判申请文件被接受，我们将履行竞争性谈判文件中规定的各项要求。</w:t>
      </w:r>
    </w:p>
    <w:p>
      <w:pPr>
        <w:spacing w:line="500" w:lineRule="exact"/>
        <w:rPr>
          <w:rFonts w:ascii="宋体" w:hAnsi="宋体"/>
          <w:sz w:val="24"/>
        </w:rPr>
      </w:pPr>
      <w:r>
        <w:rPr>
          <w:rFonts w:hint="eastAsia" w:ascii="宋体" w:hAnsi="宋体"/>
          <w:sz w:val="24"/>
        </w:rPr>
        <w:t>　　</w:t>
      </w:r>
      <w:r>
        <w:rPr>
          <w:rFonts w:ascii="宋体" w:hAnsi="宋体"/>
          <w:sz w:val="24"/>
        </w:rPr>
        <w:t>(3) 我们同意按竞争性谈判文件中的规定，本竞争性谈判申请文件的有效期为开标后60天。如果中标，有效期延长至合同终止日止。</w:t>
      </w:r>
    </w:p>
    <w:p>
      <w:pPr>
        <w:spacing w:line="500" w:lineRule="exact"/>
        <w:rPr>
          <w:rFonts w:ascii="宋体" w:hAnsi="宋体"/>
          <w:sz w:val="24"/>
        </w:rPr>
      </w:pPr>
      <w:r>
        <w:rPr>
          <w:rFonts w:ascii="宋体" w:hAnsi="宋体"/>
          <w:sz w:val="24"/>
        </w:rPr>
        <w:t xml:space="preserve">    (4) 我们愿提供竞争性谈判文件中要求的所有文件资料。</w:t>
      </w:r>
    </w:p>
    <w:p>
      <w:pPr>
        <w:spacing w:line="500" w:lineRule="exact"/>
        <w:rPr>
          <w:rFonts w:ascii="宋体" w:hAnsi="宋体"/>
          <w:sz w:val="24"/>
        </w:rPr>
      </w:pPr>
      <w:r>
        <w:rPr>
          <w:rFonts w:ascii="宋体" w:hAnsi="宋体"/>
          <w:sz w:val="24"/>
        </w:rPr>
        <w:t xml:space="preserve">    (5) 我们已经详细审核了全部竞争性谈判文件，包括修改、补充的文件(如果有的话)和参考资料及有关附件，我们完全理解并同意放弃对这方面有不明及误解的权利。</w:t>
      </w:r>
    </w:p>
    <w:p>
      <w:pPr>
        <w:spacing w:line="500" w:lineRule="exact"/>
        <w:ind w:firstLine="450"/>
        <w:rPr>
          <w:rFonts w:ascii="宋体" w:hAnsi="宋体"/>
          <w:sz w:val="24"/>
        </w:rPr>
      </w:pPr>
      <w:r>
        <w:rPr>
          <w:rFonts w:ascii="宋体" w:hAnsi="宋体"/>
          <w:sz w:val="24"/>
        </w:rPr>
        <w:t xml:space="preserve">(6) </w:t>
      </w:r>
      <w:r>
        <w:rPr>
          <w:rFonts w:hint="eastAsia" w:ascii="宋体" w:hAnsi="宋体"/>
          <w:sz w:val="24"/>
        </w:rPr>
        <w:t>我们愿按《中华人民共和国民法典》履行自己的全部责任。</w:t>
      </w:r>
    </w:p>
    <w:p>
      <w:pPr>
        <w:spacing w:line="500" w:lineRule="exact"/>
        <w:rPr>
          <w:rFonts w:ascii="宋体" w:hAnsi="宋体"/>
          <w:sz w:val="24"/>
        </w:rPr>
      </w:pPr>
      <w:r>
        <w:rPr>
          <w:rFonts w:ascii="宋体" w:hAnsi="宋体"/>
          <w:sz w:val="24"/>
        </w:rPr>
        <w:t xml:space="preserve">    (7) 与本竞争性谈判申请有关的正式通讯地址：</w:t>
      </w:r>
    </w:p>
    <w:p>
      <w:pPr>
        <w:spacing w:line="500" w:lineRule="exact"/>
        <w:ind w:firstLine="480"/>
        <w:rPr>
          <w:rFonts w:ascii="宋体" w:hAnsi="宋体"/>
          <w:sz w:val="24"/>
        </w:rPr>
      </w:pPr>
    </w:p>
    <w:p>
      <w:pPr>
        <w:spacing w:line="500" w:lineRule="exact"/>
        <w:ind w:firstLine="600" w:firstLineChars="250"/>
        <w:rPr>
          <w:rFonts w:ascii="宋体" w:hAnsi="宋体"/>
          <w:sz w:val="24"/>
        </w:rPr>
      </w:pPr>
      <w:r>
        <w:rPr>
          <w:rFonts w:ascii="宋体" w:hAnsi="宋体"/>
          <w:sz w:val="24"/>
        </w:rPr>
        <w:t xml:space="preserve"> </w:t>
      </w:r>
      <w:r>
        <w:rPr>
          <w:rFonts w:hint="eastAsia" w:ascii="宋体" w:hAnsi="宋体"/>
          <w:sz w:val="24"/>
        </w:rPr>
        <w:t>地址：                                  邮编：</w:t>
      </w:r>
    </w:p>
    <w:p>
      <w:pPr>
        <w:spacing w:line="500" w:lineRule="exact"/>
        <w:ind w:firstLine="600" w:firstLineChars="250"/>
        <w:rPr>
          <w:rFonts w:ascii="宋体" w:hAnsi="宋体"/>
          <w:sz w:val="24"/>
        </w:rPr>
      </w:pPr>
      <w:r>
        <w:rPr>
          <w:rFonts w:hint="eastAsia" w:ascii="宋体" w:hAnsi="宋体"/>
          <w:sz w:val="24"/>
        </w:rPr>
        <w:t xml:space="preserve"> 电话：</w:t>
      </w:r>
    </w:p>
    <w:p>
      <w:pPr>
        <w:spacing w:line="500" w:lineRule="exact"/>
        <w:ind w:firstLine="600" w:firstLineChars="250"/>
        <w:rPr>
          <w:rFonts w:ascii="宋体" w:hAnsi="宋体"/>
          <w:sz w:val="24"/>
        </w:rPr>
      </w:pPr>
      <w:r>
        <w:rPr>
          <w:rFonts w:hint="eastAsia" w:ascii="宋体" w:hAnsi="宋体"/>
          <w:sz w:val="24"/>
        </w:rPr>
        <w:t xml:space="preserve"> 竞标人名称：</w:t>
      </w:r>
      <w:r>
        <w:rPr>
          <w:rFonts w:ascii="宋体" w:hAnsi="宋体"/>
          <w:sz w:val="24"/>
        </w:rPr>
        <w:t xml:space="preserve">(盖章) </w:t>
      </w:r>
    </w:p>
    <w:p>
      <w:pPr>
        <w:spacing w:line="500" w:lineRule="exact"/>
        <w:ind w:firstLine="600" w:firstLineChars="250"/>
        <w:rPr>
          <w:rFonts w:ascii="宋体" w:hAnsi="宋体"/>
          <w:sz w:val="24"/>
        </w:rPr>
      </w:pPr>
      <w:r>
        <w:rPr>
          <w:rFonts w:hint="eastAsia" w:ascii="宋体" w:hAnsi="宋体"/>
          <w:sz w:val="24"/>
        </w:rPr>
        <w:t xml:space="preserve"> 法定代表人或授权代理人：</w:t>
      </w:r>
      <w:r>
        <w:rPr>
          <w:rFonts w:ascii="宋体" w:hAnsi="宋体"/>
          <w:sz w:val="24"/>
        </w:rPr>
        <w:t>(</w:t>
      </w:r>
      <w:r>
        <w:rPr>
          <w:rFonts w:hint="eastAsia" w:ascii="宋体" w:hAnsi="宋体"/>
          <w:sz w:val="24"/>
        </w:rPr>
        <w:t>签字或盖章</w:t>
      </w:r>
      <w:r>
        <w:rPr>
          <w:rFonts w:ascii="宋体" w:hAnsi="宋体"/>
          <w:sz w:val="24"/>
        </w:rPr>
        <w:t>)</w:t>
      </w:r>
    </w:p>
    <w:p>
      <w:pPr>
        <w:spacing w:line="500" w:lineRule="exact"/>
        <w:ind w:firstLine="5760" w:firstLineChars="2400"/>
        <w:rPr>
          <w:rFonts w:ascii="宋体" w:hAnsi="宋体"/>
          <w:sz w:val="24"/>
        </w:rPr>
      </w:pPr>
      <w:r>
        <w:rPr>
          <w:rFonts w:hint="eastAsia" w:ascii="宋体" w:hAnsi="宋体"/>
          <w:sz w:val="24"/>
        </w:rPr>
        <w:t>年 月  日</w:t>
      </w:r>
    </w:p>
    <w:p>
      <w:pPr>
        <w:spacing w:line="600" w:lineRule="exact"/>
        <w:jc w:val="center"/>
        <w:outlineLvl w:val="1"/>
        <w:rPr>
          <w:b/>
        </w:rPr>
      </w:pPr>
      <w:bookmarkStart w:id="84" w:name="_Toc276646863"/>
      <w:bookmarkStart w:id="85" w:name="_Toc289848443"/>
      <w:bookmarkStart w:id="86" w:name="_Toc289848528"/>
      <w:bookmarkStart w:id="87" w:name="_Toc289848370"/>
      <w:bookmarkStart w:id="88" w:name="_Toc289848554"/>
      <w:bookmarkStart w:id="89" w:name="_Toc128818793"/>
      <w:bookmarkStart w:id="90" w:name="_Toc97467174"/>
      <w:r>
        <w:rPr>
          <w:rFonts w:ascii="宋体" w:hAnsi="宋体"/>
        </w:rPr>
        <w:br w:type="page"/>
      </w:r>
      <w:bookmarkStart w:id="91" w:name="_Toc66260329"/>
      <w:r>
        <w:rPr>
          <w:rFonts w:hint="eastAsia"/>
          <w:b/>
        </w:rPr>
        <w:t>2.竞争性谈判投标函附表</w:t>
      </w:r>
      <w:bookmarkEnd w:id="84"/>
      <w:bookmarkEnd w:id="85"/>
      <w:bookmarkEnd w:id="86"/>
      <w:bookmarkEnd w:id="87"/>
      <w:bookmarkEnd w:id="88"/>
      <w:bookmarkEnd w:id="89"/>
      <w:bookmarkEnd w:id="90"/>
      <w:bookmarkEnd w:id="91"/>
    </w:p>
    <w:p>
      <w:pPr>
        <w:spacing w:line="240" w:lineRule="auto"/>
        <w:jc w:val="center"/>
        <w:rPr>
          <w:rFonts w:ascii="宋体" w:hAnsi="宋体"/>
          <w:sz w:val="18"/>
          <w:szCs w:val="18"/>
        </w:rPr>
      </w:pPr>
    </w:p>
    <w:tbl>
      <w:tblPr>
        <w:tblStyle w:val="34"/>
        <w:tblW w:w="94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7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946" w:type="dxa"/>
            <w:tcBorders>
              <w:top w:val="single" w:color="auto" w:sz="12" w:space="0"/>
              <w:left w:val="single" w:color="auto" w:sz="12" w:space="0"/>
            </w:tcBorders>
            <w:vAlign w:val="center"/>
          </w:tcPr>
          <w:p>
            <w:pPr>
              <w:tabs>
                <w:tab w:val="left" w:pos="360"/>
                <w:tab w:val="left" w:pos="1260"/>
              </w:tabs>
              <w:jc w:val="center"/>
              <w:rPr>
                <w:rFonts w:ascii="宋体" w:hAnsi="宋体"/>
                <w:bCs/>
                <w:sz w:val="28"/>
                <w:szCs w:val="28"/>
              </w:rPr>
            </w:pPr>
            <w:r>
              <w:rPr>
                <w:rFonts w:hint="eastAsia" w:ascii="宋体" w:hAnsi="宋体"/>
                <w:bCs/>
                <w:sz w:val="28"/>
                <w:szCs w:val="28"/>
              </w:rPr>
              <w:t>竞标项目</w:t>
            </w:r>
          </w:p>
        </w:tc>
        <w:tc>
          <w:tcPr>
            <w:tcW w:w="7486" w:type="dxa"/>
            <w:tcBorders>
              <w:top w:val="single" w:color="auto" w:sz="12" w:space="0"/>
              <w:right w:val="single" w:color="auto" w:sz="12" w:space="0"/>
            </w:tcBorders>
            <w:vAlign w:val="center"/>
          </w:tcPr>
          <w:p>
            <w:pPr>
              <w:tabs>
                <w:tab w:val="left" w:pos="360"/>
                <w:tab w:val="left" w:pos="1260"/>
              </w:tabs>
              <w:jc w:val="center"/>
              <w:rPr>
                <w:rFonts w:hint="eastAsia" w:ascii="宋体" w:hAnsi="宋体" w:eastAsia="宋体"/>
                <w:bCs/>
                <w:sz w:val="28"/>
                <w:szCs w:val="28"/>
                <w:lang w:eastAsia="zh-CN"/>
              </w:rPr>
            </w:pPr>
            <w:r>
              <w:rPr>
                <w:rFonts w:hint="eastAsia" w:ascii="宋体" w:hAnsi="宋体"/>
                <w:b/>
                <w:bCs/>
                <w:sz w:val="28"/>
                <w:szCs w:val="28"/>
                <w:lang w:eastAsia="zh-CN"/>
              </w:rPr>
              <w:t>周口市第二人民医院（周口市老年医院）七一路院区部分病房安装中央空调项目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946" w:type="dxa"/>
            <w:tcBorders>
              <w:left w:val="single" w:color="auto" w:sz="12" w:space="0"/>
            </w:tcBorders>
            <w:vAlign w:val="center"/>
          </w:tcPr>
          <w:p>
            <w:pPr>
              <w:tabs>
                <w:tab w:val="left" w:pos="360"/>
                <w:tab w:val="left" w:pos="1260"/>
              </w:tabs>
              <w:jc w:val="center"/>
              <w:rPr>
                <w:rFonts w:ascii="宋体" w:hAnsi="宋体"/>
                <w:bCs/>
                <w:sz w:val="28"/>
                <w:szCs w:val="28"/>
              </w:rPr>
            </w:pPr>
            <w:r>
              <w:rPr>
                <w:rFonts w:hint="eastAsia" w:ascii="宋体" w:hAnsi="宋体"/>
                <w:bCs/>
                <w:sz w:val="28"/>
                <w:szCs w:val="28"/>
              </w:rPr>
              <w:t>竞标人</w:t>
            </w:r>
          </w:p>
        </w:tc>
        <w:tc>
          <w:tcPr>
            <w:tcW w:w="7486" w:type="dxa"/>
            <w:tcBorders>
              <w:right w:val="single" w:color="auto" w:sz="12" w:space="0"/>
            </w:tcBorders>
            <w:vAlign w:val="center"/>
          </w:tcPr>
          <w:p>
            <w:pPr>
              <w:tabs>
                <w:tab w:val="left" w:pos="360"/>
                <w:tab w:val="left" w:pos="1260"/>
              </w:tabs>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1946" w:type="dxa"/>
            <w:tcBorders>
              <w:left w:val="single" w:color="auto" w:sz="12" w:space="0"/>
            </w:tcBorders>
            <w:vAlign w:val="center"/>
          </w:tcPr>
          <w:p>
            <w:pPr>
              <w:tabs>
                <w:tab w:val="left" w:pos="360"/>
                <w:tab w:val="left" w:pos="1260"/>
              </w:tabs>
              <w:jc w:val="center"/>
              <w:rPr>
                <w:rFonts w:ascii="宋体" w:hAnsi="宋体"/>
                <w:sz w:val="28"/>
              </w:rPr>
            </w:pPr>
            <w:r>
              <w:rPr>
                <w:rFonts w:hint="eastAsia" w:ascii="宋体" w:hAnsi="宋体"/>
                <w:sz w:val="28"/>
              </w:rPr>
              <w:t>竞标报价</w:t>
            </w:r>
          </w:p>
        </w:tc>
        <w:tc>
          <w:tcPr>
            <w:tcW w:w="7486" w:type="dxa"/>
            <w:tcBorders>
              <w:right w:val="single" w:color="auto" w:sz="12" w:space="0"/>
            </w:tcBorders>
            <w:vAlign w:val="center"/>
          </w:tcPr>
          <w:p>
            <w:pPr>
              <w:widowControl/>
              <w:spacing w:line="500" w:lineRule="exact"/>
              <w:jc w:val="center"/>
              <w:rPr>
                <w:rFonts w:ascii="宋体" w:hAnsi="宋体"/>
                <w:b/>
                <w:bCs/>
                <w:sz w:val="28"/>
                <w:szCs w:val="28"/>
              </w:rPr>
            </w:pPr>
            <w:r>
              <w:rPr>
                <w:rFonts w:hint="eastAsia" w:ascii="宋体" w:hAnsi="宋体"/>
                <w:b/>
                <w:bCs/>
                <w:sz w:val="28"/>
                <w:szCs w:val="28"/>
              </w:rPr>
              <w:t>大写：       元</w:t>
            </w:r>
          </w:p>
          <w:p>
            <w:pPr>
              <w:jc w:val="center"/>
              <w:rPr>
                <w:rFonts w:ascii="宋体" w:hAnsi="宋体"/>
                <w:sz w:val="28"/>
              </w:rPr>
            </w:pPr>
            <w:r>
              <w:rPr>
                <w:rFonts w:hint="eastAsia" w:ascii="宋体" w:hAnsi="宋体"/>
                <w:b/>
                <w:bCs/>
                <w:sz w:val="28"/>
                <w:szCs w:val="28"/>
              </w:rPr>
              <w:t>小写：</w:t>
            </w:r>
            <w:r>
              <w:rPr>
                <w:rFonts w:hint="eastAsia" w:ascii="宋体" w:hAnsi="宋体"/>
                <w:b/>
                <w:bCs/>
                <w:sz w:val="28"/>
                <w:szCs w:val="28"/>
                <w:u w:val="single"/>
              </w:rPr>
              <w:t xml:space="preserve">￥：           </w:t>
            </w:r>
            <w:r>
              <w:rPr>
                <w:rFonts w:hint="eastAsia" w:ascii="宋体" w:hAnsi="宋体"/>
                <w:b/>
                <w:bCs/>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946" w:type="dxa"/>
            <w:tcBorders>
              <w:left w:val="single" w:color="auto" w:sz="12" w:space="0"/>
            </w:tcBorders>
            <w:vAlign w:val="center"/>
          </w:tcPr>
          <w:p>
            <w:pPr>
              <w:tabs>
                <w:tab w:val="left" w:pos="360"/>
                <w:tab w:val="left" w:pos="1260"/>
              </w:tabs>
              <w:jc w:val="center"/>
              <w:rPr>
                <w:rFonts w:ascii="宋体" w:hAnsi="宋体"/>
                <w:sz w:val="28"/>
              </w:rPr>
            </w:pPr>
            <w:r>
              <w:rPr>
                <w:rFonts w:hint="eastAsia" w:ascii="宋体" w:hAnsi="宋体"/>
                <w:sz w:val="28"/>
              </w:rPr>
              <w:t>交货地点</w:t>
            </w:r>
          </w:p>
        </w:tc>
        <w:tc>
          <w:tcPr>
            <w:tcW w:w="7486" w:type="dxa"/>
            <w:tcBorders>
              <w:right w:val="single" w:color="auto" w:sz="12" w:space="0"/>
            </w:tcBorders>
            <w:vAlign w:val="center"/>
          </w:tcPr>
          <w:p>
            <w:pPr>
              <w:widowControl/>
              <w:spacing w:line="500" w:lineRule="exact"/>
              <w:jc w:val="center"/>
              <w:rPr>
                <w:rFonts w:ascii="宋体" w:hAnsi="宋体"/>
                <w:bCs/>
                <w:sz w:val="28"/>
                <w:szCs w:val="28"/>
              </w:rPr>
            </w:pPr>
            <w:r>
              <w:rPr>
                <w:rFonts w:hint="eastAsia" w:ascii="宋体" w:hAnsi="宋体"/>
                <w:bCs/>
                <w:sz w:val="28"/>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946" w:type="dxa"/>
            <w:tcBorders>
              <w:left w:val="single" w:color="auto" w:sz="12" w:space="0"/>
            </w:tcBorders>
            <w:vAlign w:val="center"/>
          </w:tcPr>
          <w:p>
            <w:pPr>
              <w:tabs>
                <w:tab w:val="left" w:pos="360"/>
              </w:tabs>
              <w:jc w:val="center"/>
              <w:rPr>
                <w:rFonts w:ascii="宋体" w:hAnsi="宋体"/>
                <w:sz w:val="28"/>
              </w:rPr>
            </w:pPr>
            <w:r>
              <w:rPr>
                <w:rFonts w:hint="eastAsia" w:ascii="宋体" w:hAnsi="宋体"/>
                <w:sz w:val="28"/>
              </w:rPr>
              <w:t>供货期</w:t>
            </w:r>
          </w:p>
        </w:tc>
        <w:tc>
          <w:tcPr>
            <w:tcW w:w="7486" w:type="dxa"/>
            <w:tcBorders>
              <w:right w:val="single" w:color="auto" w:sz="12" w:space="0"/>
            </w:tcBorders>
            <w:vAlign w:val="center"/>
          </w:tcPr>
          <w:p>
            <w:pPr>
              <w:tabs>
                <w:tab w:val="left" w:pos="360"/>
                <w:tab w:val="left" w:pos="1260"/>
              </w:tabs>
              <w:jc w:val="center"/>
              <w:rPr>
                <w:rFonts w:ascii="宋体" w:hAnsi="宋体"/>
                <w:sz w:val="28"/>
              </w:rPr>
            </w:pPr>
            <w:r>
              <w:rPr>
                <w:rFonts w:hint="eastAsia" w:ascii="宋体" w:hAnsi="宋体"/>
                <w:sz w:val="28"/>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946" w:type="dxa"/>
            <w:tcBorders>
              <w:left w:val="single" w:color="auto" w:sz="12" w:space="0"/>
            </w:tcBorders>
            <w:vAlign w:val="center"/>
          </w:tcPr>
          <w:p>
            <w:pPr>
              <w:tabs>
                <w:tab w:val="left" w:pos="360"/>
              </w:tabs>
              <w:jc w:val="center"/>
              <w:rPr>
                <w:rFonts w:ascii="宋体" w:hAnsi="宋体"/>
                <w:sz w:val="28"/>
              </w:rPr>
            </w:pPr>
            <w:r>
              <w:rPr>
                <w:rFonts w:hint="eastAsia" w:ascii="宋体" w:hAnsi="宋体"/>
                <w:sz w:val="28"/>
              </w:rPr>
              <w:t>质量</w:t>
            </w:r>
          </w:p>
        </w:tc>
        <w:tc>
          <w:tcPr>
            <w:tcW w:w="7486" w:type="dxa"/>
            <w:tcBorders>
              <w:right w:val="single" w:color="auto" w:sz="12" w:space="0"/>
            </w:tcBorders>
            <w:vAlign w:val="center"/>
          </w:tcPr>
          <w:p>
            <w:pPr>
              <w:tabs>
                <w:tab w:val="left" w:pos="360"/>
                <w:tab w:val="left" w:pos="1260"/>
              </w:tabs>
              <w:jc w:val="center"/>
              <w:rPr>
                <w:rFonts w:ascii="宋体" w:hAnsi="宋体"/>
                <w:sz w:val="28"/>
              </w:rPr>
            </w:pPr>
            <w:r>
              <w:rPr>
                <w:rFonts w:hint="eastAsia" w:ascii="宋体" w:hAnsi="宋体"/>
                <w:sz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946" w:type="dxa"/>
            <w:tcBorders>
              <w:left w:val="single" w:color="auto" w:sz="12" w:space="0"/>
              <w:bottom w:val="single" w:color="auto" w:sz="12" w:space="0"/>
            </w:tcBorders>
            <w:vAlign w:val="center"/>
          </w:tcPr>
          <w:p>
            <w:pPr>
              <w:tabs>
                <w:tab w:val="left" w:pos="360"/>
                <w:tab w:val="left" w:pos="1260"/>
              </w:tabs>
              <w:jc w:val="center"/>
              <w:rPr>
                <w:rFonts w:ascii="宋体" w:hAnsi="宋体"/>
                <w:sz w:val="28"/>
              </w:rPr>
            </w:pPr>
            <w:r>
              <w:rPr>
                <w:rFonts w:hint="eastAsia" w:ascii="宋体" w:hAnsi="宋体"/>
                <w:sz w:val="28"/>
              </w:rPr>
              <w:t>其他说明</w:t>
            </w:r>
          </w:p>
        </w:tc>
        <w:tc>
          <w:tcPr>
            <w:tcW w:w="7486" w:type="dxa"/>
            <w:tcBorders>
              <w:bottom w:val="single" w:color="auto" w:sz="12" w:space="0"/>
              <w:right w:val="single" w:color="auto" w:sz="12" w:space="0"/>
            </w:tcBorders>
          </w:tcPr>
          <w:p>
            <w:pPr>
              <w:tabs>
                <w:tab w:val="left" w:pos="360"/>
                <w:tab w:val="left" w:pos="1260"/>
              </w:tabs>
              <w:rPr>
                <w:rFonts w:ascii="宋体" w:hAnsi="宋体"/>
                <w:sz w:val="28"/>
              </w:rPr>
            </w:pPr>
          </w:p>
        </w:tc>
      </w:tr>
    </w:tbl>
    <w:p>
      <w:pPr>
        <w:rPr>
          <w:rFonts w:ascii="宋体" w:hAnsi="宋体"/>
          <w:sz w:val="24"/>
        </w:rPr>
      </w:pPr>
    </w:p>
    <w:p>
      <w:pPr>
        <w:spacing w:line="500" w:lineRule="exact"/>
        <w:ind w:firstLine="5100" w:firstLineChars="2125"/>
        <w:rPr>
          <w:rFonts w:ascii="宋体" w:hAnsi="宋体"/>
          <w:sz w:val="24"/>
        </w:rPr>
      </w:pPr>
      <w:bookmarkStart w:id="92" w:name="_Toc276646864"/>
      <w:bookmarkStart w:id="93" w:name="_Toc289848371"/>
      <w:bookmarkStart w:id="94" w:name="_Toc289848555"/>
      <w:bookmarkStart w:id="95" w:name="_Toc289848444"/>
      <w:bookmarkStart w:id="96" w:name="_Toc289848529"/>
      <w:r>
        <w:rPr>
          <w:rFonts w:hint="eastAsia" w:ascii="宋体" w:hAnsi="宋体"/>
          <w:sz w:val="24"/>
        </w:rPr>
        <w:t>竞标人：（盖章）</w:t>
      </w:r>
    </w:p>
    <w:p>
      <w:pPr>
        <w:spacing w:line="500" w:lineRule="exact"/>
        <w:ind w:firstLine="5100" w:firstLineChars="2125"/>
        <w:rPr>
          <w:rFonts w:ascii="宋体" w:hAnsi="宋体"/>
          <w:sz w:val="24"/>
        </w:rPr>
      </w:pPr>
      <w:r>
        <w:rPr>
          <w:rFonts w:hint="eastAsia" w:ascii="宋体" w:hAnsi="宋体"/>
          <w:sz w:val="24"/>
        </w:rPr>
        <w:t>法人代表或授权代表：（签字或盖章）</w:t>
      </w: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 xml:space="preserve">                                                         年    月    日</w:t>
      </w:r>
    </w:p>
    <w:p>
      <w:pPr>
        <w:spacing w:line="600" w:lineRule="exact"/>
        <w:jc w:val="center"/>
        <w:outlineLvl w:val="1"/>
      </w:pPr>
      <w:r>
        <w:rPr>
          <w:rFonts w:ascii="宋体" w:hAnsi="宋体"/>
        </w:rPr>
        <w:br w:type="page"/>
      </w:r>
      <w:bookmarkStart w:id="97" w:name="_Toc289848526"/>
      <w:bookmarkStart w:id="98" w:name="_Toc276646861"/>
      <w:bookmarkStart w:id="99" w:name="_Toc289848552"/>
      <w:bookmarkStart w:id="100" w:name="_Toc289848368"/>
      <w:bookmarkStart w:id="101" w:name="_Toc289848441"/>
      <w:bookmarkStart w:id="102" w:name="_Toc66260330"/>
      <w:r>
        <w:rPr>
          <w:rFonts w:hint="eastAsia"/>
          <w:b/>
        </w:rPr>
        <w:t>3.</w:t>
      </w:r>
      <w:bookmarkEnd w:id="97"/>
      <w:bookmarkEnd w:id="98"/>
      <w:bookmarkEnd w:id="99"/>
      <w:bookmarkEnd w:id="100"/>
      <w:bookmarkEnd w:id="101"/>
      <w:r>
        <w:rPr>
          <w:rFonts w:hint="eastAsia"/>
          <w:b/>
        </w:rPr>
        <w:t>法定代表人授权委托书</w:t>
      </w:r>
      <w:bookmarkEnd w:id="102"/>
    </w:p>
    <w:p>
      <w:pPr>
        <w:spacing w:line="500" w:lineRule="exact"/>
        <w:rPr>
          <w:rFonts w:ascii="宋体" w:hAnsi="宋体"/>
          <w:sz w:val="24"/>
          <w:u w:val="single"/>
        </w:rPr>
      </w:pPr>
      <w:r>
        <w:rPr>
          <w:rFonts w:hint="eastAsia" w:ascii="宋体" w:hAnsi="宋体"/>
          <w:sz w:val="24"/>
        </w:rPr>
        <w:t>致：</w:t>
      </w:r>
      <w:r>
        <w:rPr>
          <w:rFonts w:hint="eastAsia" w:ascii="宋体" w:hAnsi="宋体"/>
          <w:sz w:val="24"/>
          <w:u w:val="single"/>
        </w:rPr>
        <w:t xml:space="preserve">              采购人</w:t>
      </w:r>
    </w:p>
    <w:p>
      <w:pPr>
        <w:spacing w:line="520" w:lineRule="exact"/>
        <w:ind w:firstLine="480"/>
        <w:rPr>
          <w:rFonts w:ascii="宋体" w:hAnsi="宋体"/>
          <w:sz w:val="24"/>
        </w:rPr>
      </w:pPr>
      <w:r>
        <w:rPr>
          <w:rFonts w:hint="eastAsia" w:ascii="宋体" w:hAnsi="宋体"/>
          <w:sz w:val="24"/>
        </w:rPr>
        <w:t>兹授权代表我公司参加贵公司组织的竞争性谈判活动。该被授权人代表我公司所签署的一切合同等相关法律文书，均由我公司承担法律责任。</w:t>
      </w:r>
    </w:p>
    <w:p>
      <w:pPr>
        <w:spacing w:line="520" w:lineRule="exact"/>
        <w:ind w:firstLine="420"/>
        <w:rPr>
          <w:rFonts w:ascii="宋体" w:hAnsi="宋体"/>
          <w:sz w:val="24"/>
          <w:u w:val="single"/>
        </w:rPr>
      </w:pPr>
      <w:r>
        <w:rPr>
          <w:rFonts w:hint="eastAsia" w:ascii="宋体" w:hAnsi="宋体"/>
          <w:sz w:val="24"/>
        </w:rPr>
        <w:t>被授权人姓名：  性别：  年龄：</w:t>
      </w:r>
    </w:p>
    <w:p>
      <w:pPr>
        <w:spacing w:line="520" w:lineRule="exact"/>
        <w:ind w:firstLine="420"/>
        <w:rPr>
          <w:rFonts w:ascii="宋体" w:hAnsi="宋体"/>
          <w:sz w:val="24"/>
          <w:u w:val="single"/>
        </w:rPr>
      </w:pPr>
      <w:r>
        <w:rPr>
          <w:rFonts w:hint="eastAsia" w:ascii="宋体" w:hAnsi="宋体"/>
          <w:sz w:val="24"/>
        </w:rPr>
        <w:t>职务：       身份证号：</w:t>
      </w:r>
    </w:p>
    <w:p>
      <w:pPr>
        <w:spacing w:line="520" w:lineRule="exact"/>
        <w:ind w:firstLine="420"/>
        <w:rPr>
          <w:rFonts w:ascii="宋体" w:hAnsi="宋体"/>
          <w:sz w:val="24"/>
        </w:rPr>
      </w:pPr>
      <w:r>
        <w:rPr>
          <w:rFonts w:hint="eastAsia" w:ascii="宋体" w:hAnsi="宋体"/>
          <w:sz w:val="24"/>
        </w:rPr>
        <w:t>授权权限为：本项目谈判及履约期间。</w:t>
      </w:r>
    </w:p>
    <w:p>
      <w:pPr>
        <w:spacing w:line="520" w:lineRule="exact"/>
        <w:ind w:firstLine="420"/>
        <w:rPr>
          <w:rFonts w:ascii="宋体" w:hAnsi="宋体"/>
          <w:sz w:val="24"/>
        </w:rPr>
      </w:pPr>
    </w:p>
    <w:p>
      <w:pPr>
        <w:spacing w:line="520" w:lineRule="exact"/>
        <w:ind w:left="420"/>
        <w:rPr>
          <w:rFonts w:ascii="宋体" w:hAnsi="宋体"/>
          <w:sz w:val="24"/>
        </w:rPr>
      </w:pPr>
      <w:r>
        <w:rPr>
          <w:rFonts w:hint="eastAsia" w:ascii="宋体" w:hAnsi="宋体"/>
          <w:sz w:val="24"/>
        </w:rPr>
        <w:t>本授权书有效期限为：开标之日起60日历天，特此声明。</w:t>
      </w:r>
    </w:p>
    <w:p>
      <w:pPr>
        <w:spacing w:line="520" w:lineRule="exact"/>
        <w:ind w:firstLine="420"/>
        <w:rPr>
          <w:rFonts w:ascii="宋体" w:hAnsi="宋体"/>
          <w:sz w:val="24"/>
        </w:rPr>
      </w:pPr>
      <w:r>
        <w:rPr>
          <w:rFonts w:hint="eastAsia" w:ascii="宋体" w:hAnsi="宋体"/>
          <w:sz w:val="24"/>
        </w:rPr>
        <w:t>授权单位（公章）：</w:t>
      </w:r>
    </w:p>
    <w:p>
      <w:pPr>
        <w:spacing w:line="520" w:lineRule="exact"/>
        <w:ind w:firstLine="420"/>
        <w:rPr>
          <w:rFonts w:ascii="宋体" w:hAnsi="宋体"/>
          <w:sz w:val="24"/>
        </w:rPr>
      </w:pPr>
      <w:r>
        <w:rPr>
          <w:rFonts w:hint="eastAsia" w:ascii="宋体" w:hAnsi="宋体"/>
          <w:sz w:val="24"/>
        </w:rPr>
        <w:t>授权单位法人代表（签字）：</w:t>
      </w:r>
    </w:p>
    <w:p>
      <w:pPr>
        <w:spacing w:line="520" w:lineRule="exact"/>
        <w:ind w:firstLine="420"/>
        <w:rPr>
          <w:rFonts w:ascii="宋体" w:hAnsi="宋体"/>
          <w:sz w:val="24"/>
        </w:rPr>
      </w:pPr>
      <w:r>
        <w:rPr>
          <w:rFonts w:hint="eastAsia" w:ascii="宋体" w:hAnsi="宋体"/>
          <w:sz w:val="24"/>
        </w:rPr>
        <w:t>被授权人（签字）：</w:t>
      </w:r>
    </w:p>
    <w:p>
      <w:pPr>
        <w:spacing w:line="520" w:lineRule="exact"/>
        <w:ind w:firstLine="420"/>
        <w:rPr>
          <w:rFonts w:ascii="宋体" w:hAnsi="宋体"/>
          <w:sz w:val="24"/>
        </w:rPr>
      </w:pPr>
      <w:r>
        <w:rPr>
          <w:rFonts w:hint="eastAsia" w:ascii="宋体" w:hAnsi="宋体"/>
          <w:sz w:val="24"/>
        </w:rPr>
        <w:t>邮编：                                 电话：</w:t>
      </w:r>
    </w:p>
    <w:p>
      <w:pPr>
        <w:jc w:val="center"/>
        <w:rPr>
          <w:rFonts w:ascii="宋体" w:hAnsi="宋体"/>
          <w:sz w:val="24"/>
        </w:rPr>
      </w:pPr>
    </w:p>
    <w:p>
      <w:pPr>
        <w:jc w:val="left"/>
        <w:rPr>
          <w:rFonts w:ascii="宋体" w:hAnsi="宋体"/>
          <w:sz w:val="24"/>
        </w:rPr>
      </w:pPr>
      <w:r>
        <w:rPr>
          <w:rFonts w:hint="eastAsia" w:ascii="宋体" w:hAnsi="宋体"/>
          <w:sz w:val="24"/>
        </w:rPr>
        <w:t xml:space="preserve">  法定代表人及被授权人身份证复印件</w:t>
      </w:r>
    </w:p>
    <w:p>
      <w:pPr>
        <w:jc w:val="right"/>
        <w:rPr>
          <w:rFonts w:ascii="宋体" w:hAnsi="宋体"/>
          <w:sz w:val="24"/>
        </w:rPr>
      </w:pPr>
    </w:p>
    <w:p>
      <w:pPr>
        <w:jc w:val="right"/>
        <w:rPr>
          <w:rFonts w:ascii="宋体" w:hAnsi="宋体"/>
          <w:sz w:val="24"/>
        </w:rPr>
      </w:pPr>
      <w:r>
        <w:rPr>
          <w:rFonts w:hint="eastAsia" w:ascii="宋体" w:hAnsi="宋体"/>
          <w:sz w:val="24"/>
        </w:rPr>
        <w:t xml:space="preserve">      年     月    日</w:t>
      </w:r>
    </w:p>
    <w:p>
      <w:pPr>
        <w:jc w:val="right"/>
        <w:rPr>
          <w:rFonts w:ascii="宋体" w:hAnsi="宋体"/>
          <w:b/>
          <w:sz w:val="24"/>
        </w:rPr>
      </w:pPr>
    </w:p>
    <w:p>
      <w:pPr>
        <w:spacing w:line="600" w:lineRule="exact"/>
        <w:jc w:val="center"/>
        <w:outlineLvl w:val="1"/>
        <w:rPr>
          <w:rFonts w:ascii="宋体" w:hAnsi="宋体"/>
          <w:bCs/>
          <w:sz w:val="24"/>
        </w:rPr>
      </w:pPr>
      <w:r>
        <w:rPr>
          <w:rFonts w:ascii="宋体" w:hAnsi="宋体"/>
          <w:sz w:val="24"/>
        </w:rPr>
        <w:br w:type="page"/>
      </w:r>
      <w:bookmarkStart w:id="103" w:name="_Toc66260331"/>
      <w:r>
        <w:rPr>
          <w:rFonts w:hint="eastAsia"/>
          <w:b/>
        </w:rPr>
        <w:t>4.企业证件</w:t>
      </w:r>
      <w:bookmarkEnd w:id="103"/>
    </w:p>
    <w:p>
      <w:pPr>
        <w:spacing w:line="600" w:lineRule="exact"/>
        <w:jc w:val="center"/>
        <w:outlineLvl w:val="1"/>
        <w:rPr>
          <w:b/>
        </w:rPr>
      </w:pPr>
      <w:r>
        <w:rPr>
          <w:rFonts w:ascii="宋体" w:hAnsi="宋体"/>
        </w:rPr>
        <w:br w:type="page"/>
      </w:r>
      <w:bookmarkStart w:id="104" w:name="_Toc66260332"/>
      <w:r>
        <w:rPr>
          <w:rFonts w:hint="eastAsia" w:ascii="宋体" w:hAnsi="宋体"/>
          <w:b/>
        </w:rPr>
        <w:t>5.</w:t>
      </w:r>
      <w:bookmarkStart w:id="105" w:name="OLE_LINK13"/>
      <w:bookmarkStart w:id="106" w:name="OLE_LINK29"/>
      <w:r>
        <w:rPr>
          <w:rFonts w:hint="eastAsia"/>
          <w:b/>
        </w:rPr>
        <w:t>纳税证明、社保证明、财务报表</w:t>
      </w:r>
      <w:bookmarkEnd w:id="104"/>
      <w:r>
        <w:rPr>
          <w:rFonts w:hint="eastAsia"/>
          <w:b/>
        </w:rPr>
        <w:t>或审计报告</w:t>
      </w:r>
      <w:bookmarkEnd w:id="105"/>
      <w:bookmarkEnd w:id="106"/>
    </w:p>
    <w:p>
      <w:pPr>
        <w:spacing w:line="600" w:lineRule="exact"/>
        <w:jc w:val="center"/>
        <w:outlineLvl w:val="1"/>
        <w:rPr>
          <w:b/>
        </w:rPr>
      </w:pPr>
      <w:r>
        <w:br w:type="page"/>
      </w:r>
      <w:bookmarkStart w:id="107" w:name="_Toc66260333"/>
      <w:r>
        <w:rPr>
          <w:rFonts w:hint="eastAsia"/>
          <w:b/>
        </w:rPr>
        <w:t>6.竞争性谈判申请货物分项报价表</w:t>
      </w:r>
      <w:bookmarkEnd w:id="92"/>
      <w:bookmarkEnd w:id="93"/>
      <w:bookmarkEnd w:id="94"/>
      <w:bookmarkEnd w:id="95"/>
      <w:bookmarkEnd w:id="96"/>
      <w:bookmarkEnd w:id="107"/>
      <w:bookmarkStart w:id="108" w:name="_Toc66260334"/>
      <w:bookmarkStart w:id="109" w:name="_Toc289848559"/>
      <w:bookmarkStart w:id="110" w:name="_Toc289848375"/>
      <w:bookmarkStart w:id="111" w:name="_Toc289848533"/>
      <w:bookmarkStart w:id="112" w:name="_Toc276646868"/>
      <w:bookmarkStart w:id="113" w:name="_Toc289848448"/>
    </w:p>
    <w:p>
      <w:pPr>
        <w:spacing w:after="240" w:afterLines="100" w:line="240" w:lineRule="auto"/>
        <w:jc w:val="center"/>
      </w:pPr>
    </w:p>
    <w:tbl>
      <w:tblPr>
        <w:tblStyle w:val="34"/>
        <w:tblW w:w="9686"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604"/>
        <w:gridCol w:w="850"/>
        <w:gridCol w:w="1134"/>
        <w:gridCol w:w="1118"/>
        <w:gridCol w:w="8"/>
        <w:gridCol w:w="1461"/>
        <w:gridCol w:w="1256"/>
        <w:gridCol w:w="1292"/>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54" w:type="dxa"/>
            <w:vMerge w:val="restart"/>
            <w:vAlign w:val="center"/>
          </w:tcPr>
          <w:p>
            <w:pPr>
              <w:spacing w:line="500" w:lineRule="exact"/>
              <w:jc w:val="center"/>
              <w:rPr>
                <w:rFonts w:ascii="宋体" w:hAnsi="宋体"/>
                <w:sz w:val="24"/>
              </w:rPr>
            </w:pPr>
            <w:r>
              <w:rPr>
                <w:rFonts w:hint="eastAsia" w:ascii="宋体" w:hAnsi="宋体"/>
                <w:sz w:val="24"/>
              </w:rPr>
              <w:t>序号</w:t>
            </w:r>
          </w:p>
        </w:tc>
        <w:tc>
          <w:tcPr>
            <w:tcW w:w="1604" w:type="dxa"/>
            <w:vMerge w:val="restart"/>
            <w:vAlign w:val="center"/>
          </w:tcPr>
          <w:p>
            <w:pPr>
              <w:spacing w:line="500" w:lineRule="exact"/>
              <w:jc w:val="center"/>
              <w:rPr>
                <w:rFonts w:ascii="宋体" w:hAnsi="宋体"/>
                <w:sz w:val="24"/>
              </w:rPr>
            </w:pPr>
            <w:r>
              <w:rPr>
                <w:rFonts w:hint="eastAsia" w:ascii="宋体" w:hAnsi="宋体"/>
                <w:sz w:val="24"/>
              </w:rPr>
              <w:t>名称</w:t>
            </w:r>
          </w:p>
        </w:tc>
        <w:tc>
          <w:tcPr>
            <w:tcW w:w="850" w:type="dxa"/>
            <w:vMerge w:val="restart"/>
            <w:vAlign w:val="center"/>
          </w:tcPr>
          <w:p>
            <w:pPr>
              <w:spacing w:line="500" w:lineRule="exact"/>
              <w:jc w:val="center"/>
              <w:rPr>
                <w:rFonts w:ascii="宋体" w:hAnsi="宋体"/>
                <w:sz w:val="24"/>
              </w:rPr>
            </w:pPr>
            <w:r>
              <w:rPr>
                <w:rFonts w:hint="eastAsia" w:ascii="宋体" w:hAnsi="宋体"/>
                <w:sz w:val="24"/>
              </w:rPr>
              <w:t>品牌</w:t>
            </w:r>
          </w:p>
        </w:tc>
        <w:tc>
          <w:tcPr>
            <w:tcW w:w="1134" w:type="dxa"/>
            <w:vMerge w:val="restart"/>
            <w:vAlign w:val="center"/>
          </w:tcPr>
          <w:p>
            <w:pPr>
              <w:spacing w:line="500" w:lineRule="exact"/>
              <w:jc w:val="center"/>
              <w:rPr>
                <w:rFonts w:ascii="宋体" w:hAnsi="宋体"/>
                <w:sz w:val="24"/>
              </w:rPr>
            </w:pPr>
            <w:r>
              <w:rPr>
                <w:rFonts w:hint="eastAsia" w:ascii="宋体" w:hAnsi="宋体"/>
                <w:sz w:val="24"/>
              </w:rPr>
              <w:t>单位</w:t>
            </w:r>
          </w:p>
        </w:tc>
        <w:tc>
          <w:tcPr>
            <w:tcW w:w="1126" w:type="dxa"/>
            <w:gridSpan w:val="2"/>
            <w:vMerge w:val="restart"/>
            <w:vAlign w:val="center"/>
          </w:tcPr>
          <w:p>
            <w:pPr>
              <w:spacing w:line="500" w:lineRule="exact"/>
              <w:jc w:val="center"/>
              <w:rPr>
                <w:rFonts w:ascii="宋体" w:hAnsi="宋体"/>
                <w:sz w:val="24"/>
              </w:rPr>
            </w:pPr>
            <w:r>
              <w:rPr>
                <w:rFonts w:hint="eastAsia" w:ascii="宋体" w:hAnsi="宋体"/>
                <w:sz w:val="24"/>
              </w:rPr>
              <w:t>数量</w:t>
            </w:r>
          </w:p>
        </w:tc>
        <w:tc>
          <w:tcPr>
            <w:tcW w:w="1461" w:type="dxa"/>
            <w:vAlign w:val="center"/>
          </w:tcPr>
          <w:p>
            <w:pPr>
              <w:spacing w:line="500" w:lineRule="exact"/>
              <w:jc w:val="center"/>
              <w:rPr>
                <w:rFonts w:ascii="宋体" w:hAnsi="宋体"/>
                <w:sz w:val="24"/>
              </w:rPr>
            </w:pPr>
            <w:r>
              <w:rPr>
                <w:rFonts w:hint="eastAsia" w:ascii="宋体" w:hAnsi="宋体"/>
                <w:sz w:val="24"/>
              </w:rPr>
              <w:t>单价</w:t>
            </w:r>
          </w:p>
        </w:tc>
        <w:tc>
          <w:tcPr>
            <w:tcW w:w="1256" w:type="dxa"/>
            <w:vAlign w:val="center"/>
          </w:tcPr>
          <w:p>
            <w:pPr>
              <w:spacing w:line="500" w:lineRule="exact"/>
              <w:jc w:val="center"/>
              <w:rPr>
                <w:rFonts w:ascii="宋体" w:hAnsi="宋体"/>
                <w:sz w:val="24"/>
              </w:rPr>
            </w:pPr>
            <w:r>
              <w:rPr>
                <w:rFonts w:hint="eastAsia" w:ascii="宋体" w:hAnsi="宋体"/>
                <w:sz w:val="24"/>
              </w:rPr>
              <w:t>总价</w:t>
            </w:r>
          </w:p>
        </w:tc>
        <w:tc>
          <w:tcPr>
            <w:tcW w:w="1301" w:type="dxa"/>
            <w:gridSpan w:val="2"/>
            <w:vAlign w:val="center"/>
          </w:tcPr>
          <w:p>
            <w:pPr>
              <w:spacing w:line="5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954" w:type="dxa"/>
            <w:vMerge w:val="continue"/>
            <w:vAlign w:val="center"/>
          </w:tcPr>
          <w:p>
            <w:pPr>
              <w:spacing w:line="500" w:lineRule="exact"/>
              <w:jc w:val="center"/>
              <w:rPr>
                <w:rFonts w:ascii="宋体" w:hAnsi="宋体"/>
                <w:sz w:val="24"/>
              </w:rPr>
            </w:pPr>
          </w:p>
        </w:tc>
        <w:tc>
          <w:tcPr>
            <w:tcW w:w="1604" w:type="dxa"/>
            <w:vMerge w:val="continue"/>
            <w:vAlign w:val="center"/>
          </w:tcPr>
          <w:p>
            <w:pPr>
              <w:spacing w:line="500" w:lineRule="exact"/>
              <w:jc w:val="center"/>
              <w:rPr>
                <w:rFonts w:ascii="宋体" w:hAnsi="宋体"/>
                <w:sz w:val="24"/>
              </w:rPr>
            </w:pPr>
          </w:p>
        </w:tc>
        <w:tc>
          <w:tcPr>
            <w:tcW w:w="850" w:type="dxa"/>
            <w:vMerge w:val="continue"/>
            <w:vAlign w:val="center"/>
          </w:tcPr>
          <w:p>
            <w:pPr>
              <w:spacing w:line="500" w:lineRule="exact"/>
              <w:jc w:val="center"/>
              <w:rPr>
                <w:rFonts w:ascii="宋体" w:hAnsi="宋体"/>
                <w:sz w:val="24"/>
              </w:rPr>
            </w:pPr>
          </w:p>
        </w:tc>
        <w:tc>
          <w:tcPr>
            <w:tcW w:w="1134" w:type="dxa"/>
            <w:vMerge w:val="continue"/>
            <w:vAlign w:val="center"/>
          </w:tcPr>
          <w:p>
            <w:pPr>
              <w:spacing w:line="500" w:lineRule="exact"/>
              <w:jc w:val="center"/>
              <w:rPr>
                <w:rFonts w:ascii="宋体" w:hAnsi="宋体"/>
                <w:sz w:val="24"/>
              </w:rPr>
            </w:pPr>
          </w:p>
        </w:tc>
        <w:tc>
          <w:tcPr>
            <w:tcW w:w="1126" w:type="dxa"/>
            <w:gridSpan w:val="2"/>
            <w:vMerge w:val="continue"/>
            <w:vAlign w:val="center"/>
          </w:tcPr>
          <w:p>
            <w:pPr>
              <w:spacing w:line="500" w:lineRule="exact"/>
              <w:jc w:val="center"/>
              <w:rPr>
                <w:rFonts w:ascii="宋体" w:hAnsi="宋体"/>
                <w:sz w:val="24"/>
              </w:rPr>
            </w:pPr>
          </w:p>
        </w:tc>
        <w:tc>
          <w:tcPr>
            <w:tcW w:w="2717" w:type="dxa"/>
            <w:gridSpan w:val="2"/>
            <w:vAlign w:val="center"/>
          </w:tcPr>
          <w:p>
            <w:pPr>
              <w:spacing w:line="500" w:lineRule="exact"/>
              <w:jc w:val="center"/>
              <w:rPr>
                <w:rFonts w:ascii="宋体" w:hAnsi="宋体"/>
                <w:sz w:val="24"/>
              </w:rPr>
            </w:pPr>
            <w:r>
              <w:rPr>
                <w:rFonts w:hint="eastAsia" w:ascii="宋体" w:hAnsi="宋体"/>
                <w:sz w:val="24"/>
              </w:rPr>
              <w:t>金额（元）</w:t>
            </w:r>
          </w:p>
        </w:tc>
        <w:tc>
          <w:tcPr>
            <w:tcW w:w="1301" w:type="dxa"/>
            <w:gridSpan w:val="2"/>
            <w:vAlign w:val="center"/>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4" w:type="dxa"/>
          </w:tcPr>
          <w:p>
            <w:pPr>
              <w:spacing w:line="500" w:lineRule="exact"/>
              <w:jc w:val="center"/>
              <w:rPr>
                <w:rFonts w:ascii="宋体" w:hAnsi="宋体"/>
                <w:sz w:val="24"/>
              </w:rPr>
            </w:pPr>
            <w:r>
              <w:rPr>
                <w:rFonts w:hint="eastAsia" w:ascii="宋体" w:hAnsi="宋体"/>
                <w:sz w:val="24"/>
              </w:rPr>
              <w:t>1</w:t>
            </w:r>
          </w:p>
        </w:tc>
        <w:tc>
          <w:tcPr>
            <w:tcW w:w="1604" w:type="dxa"/>
          </w:tcPr>
          <w:p>
            <w:pPr>
              <w:spacing w:line="500" w:lineRule="exact"/>
              <w:jc w:val="center"/>
              <w:rPr>
                <w:rFonts w:ascii="宋体" w:hAnsi="宋体"/>
                <w:sz w:val="24"/>
              </w:rPr>
            </w:pPr>
          </w:p>
        </w:tc>
        <w:tc>
          <w:tcPr>
            <w:tcW w:w="850" w:type="dxa"/>
          </w:tcPr>
          <w:p>
            <w:pPr>
              <w:spacing w:line="500" w:lineRule="exact"/>
              <w:jc w:val="center"/>
              <w:rPr>
                <w:rFonts w:ascii="宋体" w:hAnsi="宋体"/>
                <w:sz w:val="24"/>
              </w:rPr>
            </w:pPr>
          </w:p>
        </w:tc>
        <w:tc>
          <w:tcPr>
            <w:tcW w:w="1134" w:type="dxa"/>
          </w:tcPr>
          <w:p>
            <w:pPr>
              <w:spacing w:line="500" w:lineRule="exact"/>
              <w:jc w:val="center"/>
              <w:rPr>
                <w:rFonts w:ascii="宋体" w:hAnsi="宋体"/>
                <w:sz w:val="24"/>
              </w:rPr>
            </w:pPr>
          </w:p>
        </w:tc>
        <w:tc>
          <w:tcPr>
            <w:tcW w:w="1126" w:type="dxa"/>
            <w:gridSpan w:val="2"/>
          </w:tcPr>
          <w:p>
            <w:pPr>
              <w:spacing w:line="500" w:lineRule="exact"/>
              <w:jc w:val="center"/>
              <w:rPr>
                <w:rFonts w:ascii="宋体" w:hAnsi="宋体"/>
                <w:sz w:val="24"/>
              </w:rPr>
            </w:pPr>
          </w:p>
        </w:tc>
        <w:tc>
          <w:tcPr>
            <w:tcW w:w="1461" w:type="dxa"/>
          </w:tcPr>
          <w:p>
            <w:pPr>
              <w:spacing w:line="500" w:lineRule="exact"/>
              <w:jc w:val="center"/>
              <w:rPr>
                <w:rFonts w:ascii="宋体" w:hAnsi="宋体"/>
                <w:sz w:val="24"/>
              </w:rPr>
            </w:pPr>
          </w:p>
        </w:tc>
        <w:tc>
          <w:tcPr>
            <w:tcW w:w="1256" w:type="dxa"/>
          </w:tcPr>
          <w:p>
            <w:pPr>
              <w:spacing w:line="500" w:lineRule="exact"/>
              <w:jc w:val="center"/>
              <w:rPr>
                <w:rFonts w:ascii="宋体" w:hAnsi="宋体"/>
                <w:sz w:val="24"/>
              </w:rPr>
            </w:pPr>
          </w:p>
        </w:tc>
        <w:tc>
          <w:tcPr>
            <w:tcW w:w="1301" w:type="dxa"/>
            <w:gridSpan w:val="2"/>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4" w:type="dxa"/>
          </w:tcPr>
          <w:p>
            <w:pPr>
              <w:spacing w:line="500" w:lineRule="exact"/>
              <w:jc w:val="center"/>
              <w:rPr>
                <w:rFonts w:ascii="宋体" w:hAnsi="宋体"/>
                <w:sz w:val="24"/>
              </w:rPr>
            </w:pPr>
            <w:r>
              <w:rPr>
                <w:rFonts w:hint="eastAsia" w:ascii="宋体" w:hAnsi="宋体"/>
                <w:sz w:val="24"/>
              </w:rPr>
              <w:t>2</w:t>
            </w:r>
          </w:p>
        </w:tc>
        <w:tc>
          <w:tcPr>
            <w:tcW w:w="1604" w:type="dxa"/>
          </w:tcPr>
          <w:p>
            <w:pPr>
              <w:spacing w:line="500" w:lineRule="exact"/>
              <w:jc w:val="center"/>
              <w:rPr>
                <w:rFonts w:ascii="宋体" w:hAnsi="宋体"/>
                <w:sz w:val="24"/>
              </w:rPr>
            </w:pPr>
          </w:p>
        </w:tc>
        <w:tc>
          <w:tcPr>
            <w:tcW w:w="850" w:type="dxa"/>
          </w:tcPr>
          <w:p>
            <w:pPr>
              <w:spacing w:line="500" w:lineRule="exact"/>
              <w:jc w:val="center"/>
              <w:rPr>
                <w:rFonts w:ascii="宋体" w:hAnsi="宋体"/>
                <w:sz w:val="24"/>
              </w:rPr>
            </w:pPr>
          </w:p>
        </w:tc>
        <w:tc>
          <w:tcPr>
            <w:tcW w:w="1134" w:type="dxa"/>
          </w:tcPr>
          <w:p>
            <w:pPr>
              <w:spacing w:line="500" w:lineRule="exact"/>
              <w:jc w:val="center"/>
              <w:rPr>
                <w:rFonts w:ascii="宋体" w:hAnsi="宋体"/>
                <w:sz w:val="24"/>
              </w:rPr>
            </w:pPr>
          </w:p>
        </w:tc>
        <w:tc>
          <w:tcPr>
            <w:tcW w:w="1126" w:type="dxa"/>
            <w:gridSpan w:val="2"/>
          </w:tcPr>
          <w:p>
            <w:pPr>
              <w:spacing w:line="500" w:lineRule="exact"/>
              <w:jc w:val="center"/>
              <w:rPr>
                <w:rFonts w:ascii="宋体" w:hAnsi="宋体"/>
                <w:sz w:val="24"/>
              </w:rPr>
            </w:pPr>
          </w:p>
        </w:tc>
        <w:tc>
          <w:tcPr>
            <w:tcW w:w="1461" w:type="dxa"/>
          </w:tcPr>
          <w:p>
            <w:pPr>
              <w:spacing w:line="500" w:lineRule="exact"/>
              <w:jc w:val="center"/>
              <w:rPr>
                <w:rFonts w:ascii="宋体" w:hAnsi="宋体"/>
                <w:sz w:val="24"/>
              </w:rPr>
            </w:pPr>
          </w:p>
        </w:tc>
        <w:tc>
          <w:tcPr>
            <w:tcW w:w="1256" w:type="dxa"/>
          </w:tcPr>
          <w:p>
            <w:pPr>
              <w:spacing w:line="500" w:lineRule="exact"/>
              <w:jc w:val="center"/>
              <w:rPr>
                <w:rFonts w:ascii="宋体" w:hAnsi="宋体"/>
                <w:sz w:val="24"/>
              </w:rPr>
            </w:pPr>
          </w:p>
        </w:tc>
        <w:tc>
          <w:tcPr>
            <w:tcW w:w="1301" w:type="dxa"/>
            <w:gridSpan w:val="2"/>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4" w:type="dxa"/>
          </w:tcPr>
          <w:p>
            <w:pPr>
              <w:spacing w:line="500" w:lineRule="exact"/>
              <w:jc w:val="center"/>
              <w:rPr>
                <w:rFonts w:ascii="宋体" w:hAnsi="宋体"/>
                <w:sz w:val="24"/>
              </w:rPr>
            </w:pPr>
            <w:r>
              <w:rPr>
                <w:rFonts w:hint="eastAsia" w:ascii="宋体" w:hAnsi="宋体"/>
                <w:sz w:val="24"/>
              </w:rPr>
              <w:t>3</w:t>
            </w:r>
          </w:p>
        </w:tc>
        <w:tc>
          <w:tcPr>
            <w:tcW w:w="1604" w:type="dxa"/>
          </w:tcPr>
          <w:p>
            <w:pPr>
              <w:spacing w:line="500" w:lineRule="exact"/>
              <w:jc w:val="center"/>
              <w:rPr>
                <w:rFonts w:ascii="宋体" w:hAnsi="宋体"/>
                <w:sz w:val="24"/>
              </w:rPr>
            </w:pPr>
          </w:p>
        </w:tc>
        <w:tc>
          <w:tcPr>
            <w:tcW w:w="850" w:type="dxa"/>
          </w:tcPr>
          <w:p>
            <w:pPr>
              <w:spacing w:line="500" w:lineRule="exact"/>
              <w:jc w:val="center"/>
              <w:rPr>
                <w:rFonts w:ascii="宋体" w:hAnsi="宋体"/>
                <w:sz w:val="24"/>
              </w:rPr>
            </w:pPr>
          </w:p>
        </w:tc>
        <w:tc>
          <w:tcPr>
            <w:tcW w:w="1134" w:type="dxa"/>
          </w:tcPr>
          <w:p>
            <w:pPr>
              <w:spacing w:line="500" w:lineRule="exact"/>
              <w:jc w:val="center"/>
              <w:rPr>
                <w:rFonts w:ascii="宋体" w:hAnsi="宋体"/>
                <w:sz w:val="24"/>
              </w:rPr>
            </w:pPr>
          </w:p>
        </w:tc>
        <w:tc>
          <w:tcPr>
            <w:tcW w:w="1126" w:type="dxa"/>
            <w:gridSpan w:val="2"/>
          </w:tcPr>
          <w:p>
            <w:pPr>
              <w:spacing w:line="500" w:lineRule="exact"/>
              <w:jc w:val="center"/>
              <w:rPr>
                <w:rFonts w:ascii="宋体" w:hAnsi="宋体"/>
                <w:sz w:val="24"/>
              </w:rPr>
            </w:pPr>
          </w:p>
        </w:tc>
        <w:tc>
          <w:tcPr>
            <w:tcW w:w="1461" w:type="dxa"/>
          </w:tcPr>
          <w:p>
            <w:pPr>
              <w:spacing w:line="500" w:lineRule="exact"/>
              <w:jc w:val="center"/>
              <w:rPr>
                <w:rFonts w:ascii="宋体" w:hAnsi="宋体"/>
                <w:sz w:val="24"/>
              </w:rPr>
            </w:pPr>
          </w:p>
        </w:tc>
        <w:tc>
          <w:tcPr>
            <w:tcW w:w="1256" w:type="dxa"/>
          </w:tcPr>
          <w:p>
            <w:pPr>
              <w:spacing w:line="500" w:lineRule="exact"/>
              <w:jc w:val="center"/>
              <w:rPr>
                <w:rFonts w:ascii="宋体" w:hAnsi="宋体"/>
                <w:sz w:val="24"/>
              </w:rPr>
            </w:pPr>
          </w:p>
        </w:tc>
        <w:tc>
          <w:tcPr>
            <w:tcW w:w="1301" w:type="dxa"/>
            <w:gridSpan w:val="2"/>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4" w:type="dxa"/>
            <w:vAlign w:val="center"/>
          </w:tcPr>
          <w:p>
            <w:pPr>
              <w:spacing w:line="500" w:lineRule="exact"/>
              <w:jc w:val="center"/>
              <w:rPr>
                <w:rFonts w:ascii="宋体" w:hAnsi="宋体"/>
                <w:sz w:val="24"/>
              </w:rPr>
            </w:pPr>
            <w:r>
              <w:rPr>
                <w:rFonts w:hint="eastAsia" w:ascii="宋体" w:hAnsi="宋体"/>
                <w:sz w:val="24"/>
              </w:rPr>
              <w:t>4</w:t>
            </w:r>
          </w:p>
        </w:tc>
        <w:tc>
          <w:tcPr>
            <w:tcW w:w="1604" w:type="dxa"/>
            <w:vAlign w:val="center"/>
          </w:tcPr>
          <w:p>
            <w:pPr>
              <w:spacing w:line="500" w:lineRule="exact"/>
              <w:jc w:val="center"/>
              <w:rPr>
                <w:rFonts w:ascii="宋体" w:hAnsi="宋体"/>
                <w:sz w:val="24"/>
              </w:rPr>
            </w:pPr>
          </w:p>
        </w:tc>
        <w:tc>
          <w:tcPr>
            <w:tcW w:w="850" w:type="dxa"/>
          </w:tcPr>
          <w:p>
            <w:pPr>
              <w:spacing w:line="500" w:lineRule="exact"/>
              <w:jc w:val="center"/>
              <w:rPr>
                <w:rFonts w:ascii="宋体" w:hAnsi="宋体"/>
                <w:sz w:val="24"/>
              </w:rPr>
            </w:pPr>
          </w:p>
        </w:tc>
        <w:tc>
          <w:tcPr>
            <w:tcW w:w="1134" w:type="dxa"/>
          </w:tcPr>
          <w:p>
            <w:pPr>
              <w:spacing w:line="500" w:lineRule="exact"/>
              <w:jc w:val="center"/>
              <w:rPr>
                <w:rFonts w:ascii="宋体" w:hAnsi="宋体"/>
                <w:sz w:val="24"/>
              </w:rPr>
            </w:pPr>
          </w:p>
        </w:tc>
        <w:tc>
          <w:tcPr>
            <w:tcW w:w="1126" w:type="dxa"/>
            <w:gridSpan w:val="2"/>
          </w:tcPr>
          <w:p>
            <w:pPr>
              <w:spacing w:line="500" w:lineRule="exact"/>
              <w:jc w:val="center"/>
              <w:rPr>
                <w:rFonts w:ascii="宋体" w:hAnsi="宋体"/>
                <w:sz w:val="24"/>
              </w:rPr>
            </w:pPr>
          </w:p>
        </w:tc>
        <w:tc>
          <w:tcPr>
            <w:tcW w:w="1461" w:type="dxa"/>
          </w:tcPr>
          <w:p>
            <w:pPr>
              <w:spacing w:line="500" w:lineRule="exact"/>
              <w:jc w:val="center"/>
              <w:rPr>
                <w:rFonts w:ascii="宋体" w:hAnsi="宋体"/>
                <w:sz w:val="24"/>
              </w:rPr>
            </w:pPr>
          </w:p>
        </w:tc>
        <w:tc>
          <w:tcPr>
            <w:tcW w:w="1256" w:type="dxa"/>
          </w:tcPr>
          <w:p>
            <w:pPr>
              <w:spacing w:line="500" w:lineRule="exact"/>
              <w:jc w:val="center"/>
              <w:rPr>
                <w:rFonts w:ascii="宋体" w:hAnsi="宋体"/>
                <w:sz w:val="24"/>
              </w:rPr>
            </w:pPr>
          </w:p>
        </w:tc>
        <w:tc>
          <w:tcPr>
            <w:tcW w:w="1301" w:type="dxa"/>
            <w:gridSpan w:val="2"/>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4" w:type="dxa"/>
            <w:vAlign w:val="center"/>
          </w:tcPr>
          <w:p>
            <w:pPr>
              <w:spacing w:line="500" w:lineRule="exact"/>
              <w:jc w:val="center"/>
              <w:rPr>
                <w:rFonts w:ascii="宋体" w:hAnsi="宋体"/>
                <w:sz w:val="24"/>
              </w:rPr>
            </w:pPr>
          </w:p>
        </w:tc>
        <w:tc>
          <w:tcPr>
            <w:tcW w:w="1604" w:type="dxa"/>
            <w:vAlign w:val="center"/>
          </w:tcPr>
          <w:p>
            <w:pPr>
              <w:spacing w:line="500" w:lineRule="exact"/>
              <w:jc w:val="center"/>
              <w:rPr>
                <w:rFonts w:ascii="宋体" w:hAnsi="宋体"/>
                <w:sz w:val="24"/>
              </w:rPr>
            </w:pPr>
          </w:p>
        </w:tc>
        <w:tc>
          <w:tcPr>
            <w:tcW w:w="850" w:type="dxa"/>
          </w:tcPr>
          <w:p>
            <w:pPr>
              <w:spacing w:line="500" w:lineRule="exact"/>
              <w:jc w:val="center"/>
              <w:rPr>
                <w:rFonts w:ascii="宋体" w:hAnsi="宋体"/>
                <w:sz w:val="24"/>
              </w:rPr>
            </w:pPr>
          </w:p>
        </w:tc>
        <w:tc>
          <w:tcPr>
            <w:tcW w:w="1134" w:type="dxa"/>
          </w:tcPr>
          <w:p>
            <w:pPr>
              <w:spacing w:line="500" w:lineRule="exact"/>
              <w:jc w:val="center"/>
              <w:rPr>
                <w:rFonts w:ascii="宋体" w:hAnsi="宋体"/>
                <w:sz w:val="24"/>
              </w:rPr>
            </w:pPr>
          </w:p>
        </w:tc>
        <w:tc>
          <w:tcPr>
            <w:tcW w:w="1126" w:type="dxa"/>
            <w:gridSpan w:val="2"/>
          </w:tcPr>
          <w:p>
            <w:pPr>
              <w:spacing w:line="500" w:lineRule="exact"/>
              <w:jc w:val="center"/>
              <w:rPr>
                <w:rFonts w:ascii="宋体" w:hAnsi="宋体"/>
                <w:sz w:val="24"/>
              </w:rPr>
            </w:pPr>
          </w:p>
        </w:tc>
        <w:tc>
          <w:tcPr>
            <w:tcW w:w="1461" w:type="dxa"/>
          </w:tcPr>
          <w:p>
            <w:pPr>
              <w:spacing w:line="500" w:lineRule="exact"/>
              <w:jc w:val="center"/>
              <w:rPr>
                <w:rFonts w:ascii="宋体" w:hAnsi="宋体"/>
                <w:sz w:val="24"/>
              </w:rPr>
            </w:pPr>
          </w:p>
        </w:tc>
        <w:tc>
          <w:tcPr>
            <w:tcW w:w="1256" w:type="dxa"/>
          </w:tcPr>
          <w:p>
            <w:pPr>
              <w:spacing w:line="500" w:lineRule="exact"/>
              <w:jc w:val="center"/>
              <w:rPr>
                <w:rFonts w:ascii="宋体" w:hAnsi="宋体"/>
                <w:sz w:val="24"/>
              </w:rPr>
            </w:pPr>
          </w:p>
        </w:tc>
        <w:tc>
          <w:tcPr>
            <w:tcW w:w="1301" w:type="dxa"/>
            <w:gridSpan w:val="2"/>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4" w:type="dxa"/>
            <w:vAlign w:val="center"/>
          </w:tcPr>
          <w:p>
            <w:pPr>
              <w:spacing w:line="500" w:lineRule="exact"/>
              <w:jc w:val="center"/>
              <w:rPr>
                <w:rFonts w:ascii="宋体" w:hAnsi="宋体"/>
                <w:sz w:val="24"/>
              </w:rPr>
            </w:pPr>
          </w:p>
        </w:tc>
        <w:tc>
          <w:tcPr>
            <w:tcW w:w="1604" w:type="dxa"/>
            <w:vAlign w:val="center"/>
          </w:tcPr>
          <w:p>
            <w:pPr>
              <w:spacing w:line="500" w:lineRule="exact"/>
              <w:jc w:val="center"/>
              <w:rPr>
                <w:rFonts w:ascii="宋体" w:hAnsi="宋体"/>
                <w:sz w:val="24"/>
              </w:rPr>
            </w:pPr>
          </w:p>
        </w:tc>
        <w:tc>
          <w:tcPr>
            <w:tcW w:w="850" w:type="dxa"/>
          </w:tcPr>
          <w:p>
            <w:pPr>
              <w:spacing w:line="500" w:lineRule="exact"/>
              <w:jc w:val="center"/>
              <w:rPr>
                <w:rFonts w:ascii="宋体" w:hAnsi="宋体"/>
                <w:sz w:val="24"/>
              </w:rPr>
            </w:pPr>
          </w:p>
        </w:tc>
        <w:tc>
          <w:tcPr>
            <w:tcW w:w="1134" w:type="dxa"/>
          </w:tcPr>
          <w:p>
            <w:pPr>
              <w:spacing w:line="500" w:lineRule="exact"/>
              <w:jc w:val="center"/>
              <w:rPr>
                <w:rFonts w:ascii="宋体" w:hAnsi="宋体"/>
                <w:sz w:val="24"/>
              </w:rPr>
            </w:pPr>
          </w:p>
        </w:tc>
        <w:tc>
          <w:tcPr>
            <w:tcW w:w="1126" w:type="dxa"/>
            <w:gridSpan w:val="2"/>
          </w:tcPr>
          <w:p>
            <w:pPr>
              <w:spacing w:line="500" w:lineRule="exact"/>
              <w:jc w:val="center"/>
              <w:rPr>
                <w:rFonts w:ascii="宋体" w:hAnsi="宋体"/>
                <w:sz w:val="24"/>
              </w:rPr>
            </w:pPr>
          </w:p>
        </w:tc>
        <w:tc>
          <w:tcPr>
            <w:tcW w:w="1461" w:type="dxa"/>
          </w:tcPr>
          <w:p>
            <w:pPr>
              <w:spacing w:line="500" w:lineRule="exact"/>
              <w:jc w:val="center"/>
              <w:rPr>
                <w:rFonts w:ascii="宋体" w:hAnsi="宋体"/>
                <w:sz w:val="24"/>
              </w:rPr>
            </w:pPr>
          </w:p>
        </w:tc>
        <w:tc>
          <w:tcPr>
            <w:tcW w:w="1256" w:type="dxa"/>
          </w:tcPr>
          <w:p>
            <w:pPr>
              <w:spacing w:line="500" w:lineRule="exact"/>
              <w:jc w:val="center"/>
              <w:rPr>
                <w:rFonts w:ascii="宋体" w:hAnsi="宋体"/>
                <w:sz w:val="24"/>
              </w:rPr>
            </w:pPr>
          </w:p>
        </w:tc>
        <w:tc>
          <w:tcPr>
            <w:tcW w:w="1301" w:type="dxa"/>
            <w:gridSpan w:val="2"/>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4" w:type="dxa"/>
            <w:vAlign w:val="center"/>
          </w:tcPr>
          <w:p>
            <w:pPr>
              <w:spacing w:line="500" w:lineRule="exact"/>
              <w:jc w:val="center"/>
              <w:rPr>
                <w:rFonts w:ascii="宋体" w:hAnsi="宋体"/>
                <w:sz w:val="24"/>
              </w:rPr>
            </w:pPr>
          </w:p>
        </w:tc>
        <w:tc>
          <w:tcPr>
            <w:tcW w:w="1604" w:type="dxa"/>
            <w:vAlign w:val="center"/>
          </w:tcPr>
          <w:p>
            <w:pPr>
              <w:spacing w:line="500" w:lineRule="exact"/>
              <w:jc w:val="center"/>
              <w:rPr>
                <w:rFonts w:ascii="宋体" w:hAnsi="宋体"/>
                <w:sz w:val="24"/>
              </w:rPr>
            </w:pPr>
          </w:p>
        </w:tc>
        <w:tc>
          <w:tcPr>
            <w:tcW w:w="850" w:type="dxa"/>
          </w:tcPr>
          <w:p>
            <w:pPr>
              <w:spacing w:line="500" w:lineRule="exact"/>
              <w:jc w:val="center"/>
              <w:rPr>
                <w:rFonts w:ascii="宋体" w:hAnsi="宋体"/>
                <w:sz w:val="24"/>
              </w:rPr>
            </w:pPr>
          </w:p>
        </w:tc>
        <w:tc>
          <w:tcPr>
            <w:tcW w:w="1134" w:type="dxa"/>
          </w:tcPr>
          <w:p>
            <w:pPr>
              <w:spacing w:line="500" w:lineRule="exact"/>
              <w:jc w:val="center"/>
              <w:rPr>
                <w:rFonts w:ascii="宋体" w:hAnsi="宋体"/>
                <w:sz w:val="24"/>
              </w:rPr>
            </w:pPr>
          </w:p>
        </w:tc>
        <w:tc>
          <w:tcPr>
            <w:tcW w:w="1126" w:type="dxa"/>
            <w:gridSpan w:val="2"/>
          </w:tcPr>
          <w:p>
            <w:pPr>
              <w:spacing w:line="500" w:lineRule="exact"/>
              <w:jc w:val="center"/>
              <w:rPr>
                <w:rFonts w:ascii="宋体" w:hAnsi="宋体"/>
                <w:sz w:val="24"/>
              </w:rPr>
            </w:pPr>
          </w:p>
        </w:tc>
        <w:tc>
          <w:tcPr>
            <w:tcW w:w="1461" w:type="dxa"/>
          </w:tcPr>
          <w:p>
            <w:pPr>
              <w:spacing w:line="500" w:lineRule="exact"/>
              <w:jc w:val="center"/>
              <w:rPr>
                <w:rFonts w:ascii="宋体" w:hAnsi="宋体"/>
                <w:sz w:val="24"/>
              </w:rPr>
            </w:pPr>
          </w:p>
        </w:tc>
        <w:tc>
          <w:tcPr>
            <w:tcW w:w="1256" w:type="dxa"/>
          </w:tcPr>
          <w:p>
            <w:pPr>
              <w:spacing w:line="500" w:lineRule="exact"/>
              <w:jc w:val="center"/>
              <w:rPr>
                <w:rFonts w:ascii="宋体" w:hAnsi="宋体"/>
                <w:sz w:val="24"/>
              </w:rPr>
            </w:pPr>
          </w:p>
        </w:tc>
        <w:tc>
          <w:tcPr>
            <w:tcW w:w="1301" w:type="dxa"/>
            <w:gridSpan w:val="2"/>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4" w:type="dxa"/>
            <w:vAlign w:val="center"/>
          </w:tcPr>
          <w:p>
            <w:pPr>
              <w:spacing w:line="500" w:lineRule="exact"/>
              <w:jc w:val="center"/>
              <w:rPr>
                <w:rFonts w:ascii="宋体" w:hAnsi="宋体"/>
                <w:sz w:val="24"/>
              </w:rPr>
            </w:pPr>
          </w:p>
        </w:tc>
        <w:tc>
          <w:tcPr>
            <w:tcW w:w="1604" w:type="dxa"/>
            <w:vAlign w:val="center"/>
          </w:tcPr>
          <w:p>
            <w:pPr>
              <w:spacing w:line="500" w:lineRule="exact"/>
              <w:jc w:val="center"/>
              <w:rPr>
                <w:rFonts w:ascii="宋体" w:hAnsi="宋体"/>
                <w:sz w:val="24"/>
              </w:rPr>
            </w:pPr>
          </w:p>
        </w:tc>
        <w:tc>
          <w:tcPr>
            <w:tcW w:w="850" w:type="dxa"/>
          </w:tcPr>
          <w:p>
            <w:pPr>
              <w:spacing w:line="500" w:lineRule="exact"/>
              <w:jc w:val="center"/>
              <w:rPr>
                <w:rFonts w:ascii="宋体" w:hAnsi="宋体"/>
                <w:sz w:val="24"/>
              </w:rPr>
            </w:pPr>
          </w:p>
        </w:tc>
        <w:tc>
          <w:tcPr>
            <w:tcW w:w="1134" w:type="dxa"/>
          </w:tcPr>
          <w:p>
            <w:pPr>
              <w:spacing w:line="500" w:lineRule="exact"/>
              <w:jc w:val="center"/>
              <w:rPr>
                <w:rFonts w:ascii="宋体" w:hAnsi="宋体"/>
                <w:sz w:val="24"/>
              </w:rPr>
            </w:pPr>
          </w:p>
        </w:tc>
        <w:tc>
          <w:tcPr>
            <w:tcW w:w="1126" w:type="dxa"/>
            <w:gridSpan w:val="2"/>
          </w:tcPr>
          <w:p>
            <w:pPr>
              <w:spacing w:line="500" w:lineRule="exact"/>
              <w:jc w:val="center"/>
              <w:rPr>
                <w:rFonts w:ascii="宋体" w:hAnsi="宋体"/>
                <w:sz w:val="24"/>
              </w:rPr>
            </w:pPr>
          </w:p>
        </w:tc>
        <w:tc>
          <w:tcPr>
            <w:tcW w:w="1461" w:type="dxa"/>
          </w:tcPr>
          <w:p>
            <w:pPr>
              <w:spacing w:line="500" w:lineRule="exact"/>
              <w:jc w:val="center"/>
              <w:rPr>
                <w:rFonts w:ascii="宋体" w:hAnsi="宋体"/>
                <w:sz w:val="24"/>
              </w:rPr>
            </w:pPr>
          </w:p>
        </w:tc>
        <w:tc>
          <w:tcPr>
            <w:tcW w:w="1256" w:type="dxa"/>
          </w:tcPr>
          <w:p>
            <w:pPr>
              <w:spacing w:line="500" w:lineRule="exact"/>
              <w:jc w:val="center"/>
              <w:rPr>
                <w:rFonts w:ascii="宋体" w:hAnsi="宋体"/>
                <w:sz w:val="24"/>
              </w:rPr>
            </w:pPr>
          </w:p>
        </w:tc>
        <w:tc>
          <w:tcPr>
            <w:tcW w:w="1301" w:type="dxa"/>
            <w:gridSpan w:val="2"/>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4" w:type="dxa"/>
            <w:vAlign w:val="center"/>
          </w:tcPr>
          <w:p>
            <w:pPr>
              <w:spacing w:line="500" w:lineRule="exact"/>
              <w:jc w:val="center"/>
              <w:rPr>
                <w:rFonts w:ascii="宋体" w:hAnsi="宋体"/>
                <w:sz w:val="24"/>
              </w:rPr>
            </w:pPr>
          </w:p>
        </w:tc>
        <w:tc>
          <w:tcPr>
            <w:tcW w:w="1604" w:type="dxa"/>
            <w:vAlign w:val="center"/>
          </w:tcPr>
          <w:p>
            <w:pPr>
              <w:spacing w:line="500" w:lineRule="exact"/>
              <w:jc w:val="center"/>
              <w:rPr>
                <w:rFonts w:ascii="宋体" w:hAnsi="宋体"/>
                <w:sz w:val="24"/>
              </w:rPr>
            </w:pPr>
          </w:p>
        </w:tc>
        <w:tc>
          <w:tcPr>
            <w:tcW w:w="850" w:type="dxa"/>
          </w:tcPr>
          <w:p>
            <w:pPr>
              <w:spacing w:line="500" w:lineRule="exact"/>
              <w:jc w:val="center"/>
              <w:rPr>
                <w:rFonts w:ascii="宋体" w:hAnsi="宋体"/>
                <w:sz w:val="24"/>
              </w:rPr>
            </w:pPr>
          </w:p>
        </w:tc>
        <w:tc>
          <w:tcPr>
            <w:tcW w:w="1134" w:type="dxa"/>
          </w:tcPr>
          <w:p>
            <w:pPr>
              <w:spacing w:line="500" w:lineRule="exact"/>
              <w:jc w:val="center"/>
              <w:rPr>
                <w:rFonts w:ascii="宋体" w:hAnsi="宋体"/>
                <w:sz w:val="24"/>
              </w:rPr>
            </w:pPr>
          </w:p>
        </w:tc>
        <w:tc>
          <w:tcPr>
            <w:tcW w:w="1126" w:type="dxa"/>
            <w:gridSpan w:val="2"/>
          </w:tcPr>
          <w:p>
            <w:pPr>
              <w:spacing w:line="500" w:lineRule="exact"/>
              <w:jc w:val="center"/>
              <w:rPr>
                <w:rFonts w:ascii="宋体" w:hAnsi="宋体"/>
                <w:sz w:val="24"/>
              </w:rPr>
            </w:pPr>
          </w:p>
        </w:tc>
        <w:tc>
          <w:tcPr>
            <w:tcW w:w="1461" w:type="dxa"/>
          </w:tcPr>
          <w:p>
            <w:pPr>
              <w:spacing w:line="500" w:lineRule="exact"/>
              <w:jc w:val="center"/>
              <w:rPr>
                <w:rFonts w:ascii="宋体" w:hAnsi="宋体"/>
                <w:sz w:val="24"/>
              </w:rPr>
            </w:pPr>
          </w:p>
        </w:tc>
        <w:tc>
          <w:tcPr>
            <w:tcW w:w="1256" w:type="dxa"/>
          </w:tcPr>
          <w:p>
            <w:pPr>
              <w:spacing w:line="500" w:lineRule="exact"/>
              <w:jc w:val="center"/>
              <w:rPr>
                <w:rFonts w:ascii="宋体" w:hAnsi="宋体"/>
                <w:sz w:val="24"/>
              </w:rPr>
            </w:pPr>
          </w:p>
        </w:tc>
        <w:tc>
          <w:tcPr>
            <w:tcW w:w="1301" w:type="dxa"/>
            <w:gridSpan w:val="2"/>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4" w:type="dxa"/>
            <w:vAlign w:val="center"/>
          </w:tcPr>
          <w:p>
            <w:pPr>
              <w:spacing w:line="500" w:lineRule="exact"/>
              <w:jc w:val="center"/>
              <w:rPr>
                <w:rFonts w:ascii="宋体" w:hAnsi="宋体"/>
                <w:sz w:val="24"/>
              </w:rPr>
            </w:pPr>
          </w:p>
        </w:tc>
        <w:tc>
          <w:tcPr>
            <w:tcW w:w="1604" w:type="dxa"/>
            <w:vAlign w:val="center"/>
          </w:tcPr>
          <w:p>
            <w:pPr>
              <w:spacing w:line="500" w:lineRule="exact"/>
              <w:jc w:val="center"/>
              <w:rPr>
                <w:rFonts w:ascii="宋体" w:hAnsi="宋体"/>
                <w:sz w:val="24"/>
              </w:rPr>
            </w:pPr>
          </w:p>
        </w:tc>
        <w:tc>
          <w:tcPr>
            <w:tcW w:w="850" w:type="dxa"/>
          </w:tcPr>
          <w:p>
            <w:pPr>
              <w:spacing w:line="500" w:lineRule="exact"/>
              <w:jc w:val="center"/>
              <w:rPr>
                <w:rFonts w:ascii="宋体" w:hAnsi="宋体"/>
                <w:sz w:val="24"/>
              </w:rPr>
            </w:pPr>
          </w:p>
        </w:tc>
        <w:tc>
          <w:tcPr>
            <w:tcW w:w="1134" w:type="dxa"/>
          </w:tcPr>
          <w:p>
            <w:pPr>
              <w:spacing w:line="500" w:lineRule="exact"/>
              <w:jc w:val="center"/>
              <w:rPr>
                <w:rFonts w:ascii="宋体" w:hAnsi="宋体"/>
                <w:sz w:val="24"/>
              </w:rPr>
            </w:pPr>
          </w:p>
        </w:tc>
        <w:tc>
          <w:tcPr>
            <w:tcW w:w="1126" w:type="dxa"/>
            <w:gridSpan w:val="2"/>
          </w:tcPr>
          <w:p>
            <w:pPr>
              <w:spacing w:line="500" w:lineRule="exact"/>
              <w:jc w:val="center"/>
              <w:rPr>
                <w:rFonts w:ascii="宋体" w:hAnsi="宋体"/>
                <w:sz w:val="24"/>
              </w:rPr>
            </w:pPr>
          </w:p>
        </w:tc>
        <w:tc>
          <w:tcPr>
            <w:tcW w:w="1461" w:type="dxa"/>
          </w:tcPr>
          <w:p>
            <w:pPr>
              <w:spacing w:line="500" w:lineRule="exact"/>
              <w:jc w:val="center"/>
              <w:rPr>
                <w:rFonts w:ascii="宋体" w:hAnsi="宋体"/>
                <w:sz w:val="24"/>
              </w:rPr>
            </w:pPr>
          </w:p>
        </w:tc>
        <w:tc>
          <w:tcPr>
            <w:tcW w:w="1256" w:type="dxa"/>
          </w:tcPr>
          <w:p>
            <w:pPr>
              <w:spacing w:line="500" w:lineRule="exact"/>
              <w:jc w:val="center"/>
              <w:rPr>
                <w:rFonts w:ascii="宋体" w:hAnsi="宋体"/>
                <w:sz w:val="24"/>
              </w:rPr>
            </w:pPr>
          </w:p>
        </w:tc>
        <w:tc>
          <w:tcPr>
            <w:tcW w:w="1301" w:type="dxa"/>
            <w:gridSpan w:val="2"/>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4" w:type="dxa"/>
            <w:vAlign w:val="center"/>
          </w:tcPr>
          <w:p>
            <w:pPr>
              <w:spacing w:line="500" w:lineRule="exact"/>
              <w:jc w:val="center"/>
              <w:rPr>
                <w:rFonts w:ascii="宋体" w:hAnsi="宋体"/>
                <w:sz w:val="24"/>
              </w:rPr>
            </w:pPr>
          </w:p>
        </w:tc>
        <w:tc>
          <w:tcPr>
            <w:tcW w:w="1604" w:type="dxa"/>
            <w:vAlign w:val="center"/>
          </w:tcPr>
          <w:p>
            <w:pPr>
              <w:spacing w:line="500" w:lineRule="exact"/>
              <w:jc w:val="center"/>
              <w:rPr>
                <w:rFonts w:ascii="宋体" w:hAnsi="宋体"/>
                <w:sz w:val="24"/>
              </w:rPr>
            </w:pPr>
          </w:p>
        </w:tc>
        <w:tc>
          <w:tcPr>
            <w:tcW w:w="850" w:type="dxa"/>
          </w:tcPr>
          <w:p>
            <w:pPr>
              <w:spacing w:line="500" w:lineRule="exact"/>
              <w:jc w:val="center"/>
              <w:rPr>
                <w:rFonts w:ascii="宋体" w:hAnsi="宋体"/>
                <w:sz w:val="24"/>
              </w:rPr>
            </w:pPr>
          </w:p>
        </w:tc>
        <w:tc>
          <w:tcPr>
            <w:tcW w:w="1134" w:type="dxa"/>
          </w:tcPr>
          <w:p>
            <w:pPr>
              <w:spacing w:line="500" w:lineRule="exact"/>
              <w:jc w:val="center"/>
              <w:rPr>
                <w:rFonts w:ascii="宋体" w:hAnsi="宋体"/>
                <w:sz w:val="24"/>
              </w:rPr>
            </w:pPr>
          </w:p>
        </w:tc>
        <w:tc>
          <w:tcPr>
            <w:tcW w:w="1126" w:type="dxa"/>
            <w:gridSpan w:val="2"/>
          </w:tcPr>
          <w:p>
            <w:pPr>
              <w:spacing w:line="500" w:lineRule="exact"/>
              <w:jc w:val="center"/>
              <w:rPr>
                <w:rFonts w:ascii="宋体" w:hAnsi="宋体"/>
                <w:sz w:val="24"/>
              </w:rPr>
            </w:pPr>
          </w:p>
        </w:tc>
        <w:tc>
          <w:tcPr>
            <w:tcW w:w="1461" w:type="dxa"/>
          </w:tcPr>
          <w:p>
            <w:pPr>
              <w:spacing w:line="500" w:lineRule="exact"/>
              <w:jc w:val="center"/>
              <w:rPr>
                <w:rFonts w:ascii="宋体" w:hAnsi="宋体"/>
                <w:sz w:val="24"/>
              </w:rPr>
            </w:pPr>
          </w:p>
        </w:tc>
        <w:tc>
          <w:tcPr>
            <w:tcW w:w="1256" w:type="dxa"/>
          </w:tcPr>
          <w:p>
            <w:pPr>
              <w:spacing w:line="500" w:lineRule="exact"/>
              <w:jc w:val="center"/>
              <w:rPr>
                <w:rFonts w:ascii="宋体" w:hAnsi="宋体"/>
                <w:sz w:val="24"/>
              </w:rPr>
            </w:pPr>
          </w:p>
        </w:tc>
        <w:tc>
          <w:tcPr>
            <w:tcW w:w="1301" w:type="dxa"/>
            <w:gridSpan w:val="2"/>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4" w:type="dxa"/>
            <w:vAlign w:val="center"/>
          </w:tcPr>
          <w:p>
            <w:pPr>
              <w:spacing w:line="500" w:lineRule="exact"/>
              <w:jc w:val="center"/>
              <w:rPr>
                <w:rFonts w:ascii="宋体" w:hAnsi="宋体"/>
                <w:sz w:val="24"/>
              </w:rPr>
            </w:pPr>
            <w:r>
              <w:rPr>
                <w:rFonts w:ascii="宋体" w:hAnsi="宋体"/>
                <w:sz w:val="24"/>
              </w:rPr>
              <w:t>…</w:t>
            </w:r>
          </w:p>
        </w:tc>
        <w:tc>
          <w:tcPr>
            <w:tcW w:w="1604" w:type="dxa"/>
            <w:vAlign w:val="center"/>
          </w:tcPr>
          <w:p>
            <w:pPr>
              <w:spacing w:line="500" w:lineRule="exact"/>
              <w:jc w:val="center"/>
              <w:rPr>
                <w:rFonts w:ascii="宋体" w:hAnsi="宋体"/>
                <w:sz w:val="24"/>
              </w:rPr>
            </w:pPr>
          </w:p>
        </w:tc>
        <w:tc>
          <w:tcPr>
            <w:tcW w:w="850" w:type="dxa"/>
          </w:tcPr>
          <w:p>
            <w:pPr>
              <w:spacing w:line="500" w:lineRule="exact"/>
              <w:jc w:val="center"/>
              <w:rPr>
                <w:rFonts w:ascii="宋体" w:hAnsi="宋体"/>
                <w:sz w:val="24"/>
              </w:rPr>
            </w:pPr>
          </w:p>
        </w:tc>
        <w:tc>
          <w:tcPr>
            <w:tcW w:w="1134" w:type="dxa"/>
          </w:tcPr>
          <w:p>
            <w:pPr>
              <w:spacing w:line="500" w:lineRule="exact"/>
              <w:jc w:val="center"/>
              <w:rPr>
                <w:rFonts w:ascii="宋体" w:hAnsi="宋体"/>
                <w:sz w:val="24"/>
              </w:rPr>
            </w:pPr>
          </w:p>
        </w:tc>
        <w:tc>
          <w:tcPr>
            <w:tcW w:w="1126" w:type="dxa"/>
            <w:gridSpan w:val="2"/>
          </w:tcPr>
          <w:p>
            <w:pPr>
              <w:spacing w:line="500" w:lineRule="exact"/>
              <w:jc w:val="center"/>
              <w:rPr>
                <w:rFonts w:ascii="宋体" w:hAnsi="宋体"/>
                <w:sz w:val="24"/>
              </w:rPr>
            </w:pPr>
          </w:p>
        </w:tc>
        <w:tc>
          <w:tcPr>
            <w:tcW w:w="1461" w:type="dxa"/>
          </w:tcPr>
          <w:p>
            <w:pPr>
              <w:spacing w:line="500" w:lineRule="exact"/>
              <w:jc w:val="center"/>
              <w:rPr>
                <w:rFonts w:ascii="宋体" w:hAnsi="宋体"/>
                <w:sz w:val="24"/>
              </w:rPr>
            </w:pPr>
          </w:p>
        </w:tc>
        <w:tc>
          <w:tcPr>
            <w:tcW w:w="1256" w:type="dxa"/>
          </w:tcPr>
          <w:p>
            <w:pPr>
              <w:spacing w:line="500" w:lineRule="exact"/>
              <w:jc w:val="center"/>
              <w:rPr>
                <w:rFonts w:ascii="宋体" w:hAnsi="宋体"/>
                <w:sz w:val="24"/>
              </w:rPr>
            </w:pPr>
          </w:p>
        </w:tc>
        <w:tc>
          <w:tcPr>
            <w:tcW w:w="1301" w:type="dxa"/>
            <w:gridSpan w:val="2"/>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612" w:hRule="atLeast"/>
        </w:trPr>
        <w:tc>
          <w:tcPr>
            <w:tcW w:w="2558" w:type="dxa"/>
            <w:gridSpan w:val="2"/>
            <w:vAlign w:val="center"/>
          </w:tcPr>
          <w:p>
            <w:pPr>
              <w:spacing w:line="500" w:lineRule="exact"/>
              <w:jc w:val="center"/>
              <w:rPr>
                <w:rFonts w:ascii="宋体" w:hAnsi="宋体"/>
                <w:sz w:val="24"/>
              </w:rPr>
            </w:pPr>
            <w:r>
              <w:rPr>
                <w:rFonts w:hint="eastAsia" w:ascii="宋体" w:hAnsi="宋体"/>
                <w:sz w:val="24"/>
              </w:rPr>
              <w:t>合计</w:t>
            </w:r>
          </w:p>
        </w:tc>
        <w:tc>
          <w:tcPr>
            <w:tcW w:w="3102" w:type="dxa"/>
            <w:gridSpan w:val="3"/>
            <w:vAlign w:val="center"/>
          </w:tcPr>
          <w:p>
            <w:pPr>
              <w:spacing w:line="500" w:lineRule="exact"/>
              <w:jc w:val="center"/>
              <w:rPr>
                <w:rFonts w:ascii="宋体" w:hAnsi="宋体"/>
                <w:sz w:val="24"/>
              </w:rPr>
            </w:pPr>
          </w:p>
        </w:tc>
        <w:tc>
          <w:tcPr>
            <w:tcW w:w="4017" w:type="dxa"/>
            <w:gridSpan w:val="4"/>
          </w:tcPr>
          <w:p>
            <w:pPr>
              <w:spacing w:line="500" w:lineRule="exact"/>
              <w:jc w:val="center"/>
              <w:rPr>
                <w:rFonts w:ascii="宋体" w:hAnsi="宋体"/>
                <w:sz w:val="24"/>
              </w:rPr>
            </w:pPr>
            <w:r>
              <w:rPr>
                <w:rFonts w:hint="eastAsia" w:ascii="宋体" w:hAnsi="宋体"/>
                <w:sz w:val="24"/>
              </w:rPr>
              <w:t xml:space="preserve">       （元）</w:t>
            </w:r>
          </w:p>
        </w:tc>
      </w:tr>
    </w:tbl>
    <w:p>
      <w:pPr>
        <w:spacing w:line="500" w:lineRule="exact"/>
        <w:rPr>
          <w:rFonts w:ascii="宋体" w:hAnsi="宋体"/>
          <w:sz w:val="24"/>
        </w:rPr>
      </w:pPr>
    </w:p>
    <w:p>
      <w:pPr>
        <w:spacing w:line="600" w:lineRule="exact"/>
        <w:jc w:val="left"/>
        <w:outlineLvl w:val="1"/>
        <w:rPr>
          <w:b/>
        </w:rPr>
      </w:pPr>
    </w:p>
    <w:p>
      <w:pPr>
        <w:spacing w:line="600" w:lineRule="exact"/>
        <w:jc w:val="center"/>
        <w:outlineLvl w:val="1"/>
        <w:rPr>
          <w:b/>
        </w:rPr>
      </w:pPr>
    </w:p>
    <w:p>
      <w:pPr>
        <w:spacing w:line="600" w:lineRule="exact"/>
        <w:jc w:val="center"/>
        <w:outlineLvl w:val="1"/>
        <w:rPr>
          <w:b/>
        </w:rPr>
      </w:pPr>
    </w:p>
    <w:p>
      <w:pPr>
        <w:spacing w:line="600" w:lineRule="exact"/>
        <w:jc w:val="center"/>
        <w:outlineLvl w:val="1"/>
        <w:rPr>
          <w:b/>
        </w:rPr>
      </w:pPr>
    </w:p>
    <w:p>
      <w:pPr>
        <w:spacing w:line="600" w:lineRule="exact"/>
        <w:jc w:val="center"/>
        <w:outlineLvl w:val="1"/>
        <w:rPr>
          <w:rFonts w:hAnsi="宋体"/>
        </w:rPr>
      </w:pPr>
    </w:p>
    <w:p>
      <w:pPr>
        <w:spacing w:line="600" w:lineRule="exact"/>
        <w:jc w:val="center"/>
        <w:outlineLvl w:val="1"/>
        <w:rPr>
          <w:b/>
        </w:rPr>
      </w:pPr>
      <w:r>
        <w:rPr>
          <w:rFonts w:hint="eastAsia" w:hAnsi="宋体"/>
        </w:rPr>
        <w:t>7.</w:t>
      </w:r>
      <w:r>
        <w:rPr>
          <w:rFonts w:hint="eastAsia"/>
          <w:b/>
        </w:rPr>
        <w:t>反商业贿赂承诺书</w:t>
      </w:r>
      <w:bookmarkEnd w:id="108"/>
    </w:p>
    <w:p>
      <w:pPr>
        <w:spacing w:line="240" w:lineRule="auto"/>
        <w:jc w:val="center"/>
        <w:rPr>
          <w:b/>
        </w:rPr>
      </w:pPr>
    </w:p>
    <w:p>
      <w:pPr>
        <w:pStyle w:val="22"/>
        <w:spacing w:line="500" w:lineRule="exact"/>
        <w:rPr>
          <w:rFonts w:hAnsi="宋体"/>
          <w:sz w:val="24"/>
          <w:szCs w:val="24"/>
        </w:rPr>
      </w:pPr>
      <w:r>
        <w:rPr>
          <w:rFonts w:hAnsi="宋体"/>
          <w:sz w:val="24"/>
          <w:szCs w:val="24"/>
        </w:rPr>
        <w:t>致：</w:t>
      </w:r>
      <w:r>
        <w:rPr>
          <w:rFonts w:hint="eastAsia" w:hAnsi="宋体"/>
          <w:sz w:val="24"/>
        </w:rPr>
        <w:t>采购人</w:t>
      </w:r>
    </w:p>
    <w:p>
      <w:pPr>
        <w:spacing w:line="360" w:lineRule="auto"/>
        <w:ind w:firstLine="448" w:firstLineChars="187"/>
        <w:rPr>
          <w:rFonts w:ascii="宋体" w:hAnsi="宋体"/>
          <w:sz w:val="24"/>
        </w:rPr>
      </w:pPr>
      <w:r>
        <w:rPr>
          <w:rFonts w:hint="eastAsia" w:ascii="宋体" w:hAnsi="宋体"/>
          <w:sz w:val="24"/>
        </w:rPr>
        <w:t>我公司承诺：</w:t>
      </w:r>
    </w:p>
    <w:p>
      <w:pPr>
        <w:spacing w:line="360" w:lineRule="auto"/>
        <w:ind w:firstLine="448" w:firstLineChars="187"/>
        <w:rPr>
          <w:rFonts w:ascii="宋体" w:hAnsi="宋体"/>
          <w:sz w:val="24"/>
        </w:rPr>
      </w:pPr>
      <w:r>
        <w:rPr>
          <w:rFonts w:hint="eastAsia" w:ascii="宋体" w:hAnsi="宋体"/>
          <w:sz w:val="24"/>
        </w:rPr>
        <w:t>在</w:t>
      </w:r>
      <w:r>
        <w:rPr>
          <w:rFonts w:hint="eastAsia" w:ascii="宋体" w:hAnsi="宋体"/>
          <w:sz w:val="24"/>
          <w:u w:val="single"/>
        </w:rPr>
        <w:t xml:space="preserve">   （竞争性谈判申请项目名称）</w:t>
      </w:r>
      <w:r>
        <w:rPr>
          <w:rFonts w:hint="eastAsia" w:ascii="宋体" w:hAnsi="宋体"/>
          <w:sz w:val="24"/>
        </w:rPr>
        <w:t>招标活动中，我公司保证做到：</w:t>
      </w:r>
    </w:p>
    <w:p>
      <w:pPr>
        <w:spacing w:line="360" w:lineRule="auto"/>
        <w:ind w:firstLine="448" w:firstLineChars="187"/>
        <w:rPr>
          <w:rFonts w:ascii="宋体" w:hAnsi="宋体"/>
          <w:sz w:val="24"/>
        </w:rPr>
      </w:pPr>
      <w:r>
        <w:rPr>
          <w:rFonts w:hint="eastAsia" w:ascii="宋体" w:hAnsi="宋体"/>
          <w:sz w:val="24"/>
        </w:rPr>
        <w:t>一、公平竞争参加本次招标活动。</w:t>
      </w:r>
    </w:p>
    <w:p>
      <w:pPr>
        <w:spacing w:line="360" w:lineRule="auto"/>
        <w:ind w:firstLine="448" w:firstLineChars="187"/>
        <w:rPr>
          <w:rFonts w:ascii="宋体" w:hAnsi="宋体"/>
          <w:sz w:val="24"/>
        </w:rPr>
      </w:pPr>
      <w:r>
        <w:rPr>
          <w:rFonts w:hint="eastAsia" w:ascii="宋体" w:hAnsi="宋体"/>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448" w:firstLineChars="187"/>
        <w:rPr>
          <w:rFonts w:ascii="宋体" w:hAnsi="宋体"/>
          <w:sz w:val="24"/>
        </w:rPr>
      </w:pPr>
      <w:r>
        <w:rPr>
          <w:rFonts w:hint="eastAsia" w:ascii="宋体" w:hAnsi="宋体"/>
          <w:sz w:val="24"/>
        </w:rPr>
        <w:t>三、若出现上述行为，我公司及参与竞争性谈判申请的工作人员愿意接受按照国家法律法规等有关规定给予的处罚。</w:t>
      </w:r>
    </w:p>
    <w:p>
      <w:pPr>
        <w:spacing w:line="360" w:lineRule="auto"/>
        <w:rPr>
          <w:rFonts w:ascii="宋体" w:hAnsi="宋体"/>
          <w:sz w:val="24"/>
        </w:rPr>
      </w:pPr>
    </w:p>
    <w:p>
      <w:pPr>
        <w:spacing w:line="360" w:lineRule="auto"/>
        <w:ind w:left="3240" w:leftChars="1080" w:firstLine="1720" w:firstLineChars="717"/>
        <w:rPr>
          <w:rFonts w:ascii="宋体" w:hAnsi="宋体"/>
          <w:sz w:val="24"/>
        </w:rPr>
      </w:pPr>
      <w:r>
        <w:rPr>
          <w:rFonts w:hint="eastAsia" w:ascii="宋体" w:hAnsi="宋体"/>
          <w:sz w:val="24"/>
        </w:rPr>
        <w:t>竞标人：（公章）</w:t>
      </w:r>
    </w:p>
    <w:p>
      <w:pPr>
        <w:spacing w:line="360" w:lineRule="auto"/>
        <w:ind w:left="3240" w:leftChars="1080" w:firstLine="1720" w:firstLineChars="717"/>
        <w:rPr>
          <w:rFonts w:ascii="宋体" w:hAnsi="宋体"/>
          <w:sz w:val="24"/>
        </w:rPr>
      </w:pPr>
      <w:r>
        <w:rPr>
          <w:rFonts w:hint="eastAsia" w:ascii="宋体" w:hAnsi="宋体"/>
          <w:sz w:val="24"/>
        </w:rPr>
        <w:t>公司法人代表（签字）：</w:t>
      </w:r>
    </w:p>
    <w:p>
      <w:pPr>
        <w:spacing w:line="360" w:lineRule="auto"/>
        <w:ind w:left="3240" w:leftChars="1080" w:firstLine="1720" w:firstLineChars="717"/>
        <w:rPr>
          <w:rFonts w:ascii="宋体" w:hAnsi="宋体"/>
          <w:sz w:val="24"/>
        </w:rPr>
      </w:pPr>
    </w:p>
    <w:p>
      <w:pPr>
        <w:pStyle w:val="21"/>
        <w:jc w:val="right"/>
        <w:rPr>
          <w:rFonts w:hAnsi="宋体"/>
          <w:sz w:val="24"/>
          <w:szCs w:val="24"/>
        </w:rPr>
      </w:pPr>
      <w:r>
        <w:rPr>
          <w:rFonts w:hint="eastAsia" w:hAnsi="宋体"/>
          <w:sz w:val="24"/>
          <w:szCs w:val="24"/>
        </w:rPr>
        <w:t>年   月   日</w:t>
      </w:r>
    </w:p>
    <w:p>
      <w:pPr>
        <w:pStyle w:val="21"/>
        <w:jc w:val="right"/>
        <w:rPr>
          <w:rFonts w:hAnsi="宋体"/>
          <w:sz w:val="24"/>
          <w:szCs w:val="24"/>
        </w:rPr>
      </w:pPr>
    </w:p>
    <w:p>
      <w:pPr>
        <w:spacing w:line="600" w:lineRule="exact"/>
        <w:jc w:val="center"/>
        <w:outlineLvl w:val="1"/>
        <w:rPr>
          <w:rFonts w:hAnsi="宋体"/>
        </w:rPr>
      </w:pPr>
    </w:p>
    <w:p>
      <w:pPr>
        <w:spacing w:line="600" w:lineRule="exact"/>
        <w:jc w:val="center"/>
        <w:outlineLvl w:val="1"/>
        <w:rPr>
          <w:rFonts w:hAnsi="宋体"/>
        </w:rPr>
      </w:pPr>
    </w:p>
    <w:p>
      <w:pPr>
        <w:spacing w:line="600" w:lineRule="exact"/>
        <w:jc w:val="center"/>
        <w:outlineLvl w:val="1"/>
        <w:rPr>
          <w:rFonts w:hAnsi="宋体"/>
        </w:rPr>
      </w:pPr>
    </w:p>
    <w:p>
      <w:pPr>
        <w:spacing w:line="600" w:lineRule="exact"/>
        <w:jc w:val="center"/>
        <w:outlineLvl w:val="1"/>
        <w:rPr>
          <w:rFonts w:hAnsi="宋体"/>
        </w:rPr>
      </w:pPr>
    </w:p>
    <w:p>
      <w:pPr>
        <w:spacing w:line="600" w:lineRule="exact"/>
        <w:jc w:val="center"/>
        <w:outlineLvl w:val="1"/>
        <w:rPr>
          <w:rFonts w:hAnsi="宋体"/>
        </w:rPr>
      </w:pPr>
    </w:p>
    <w:p>
      <w:pPr>
        <w:spacing w:line="600" w:lineRule="exact"/>
        <w:jc w:val="center"/>
        <w:outlineLvl w:val="1"/>
        <w:rPr>
          <w:rFonts w:hAnsi="宋体"/>
        </w:rPr>
      </w:pPr>
    </w:p>
    <w:p>
      <w:pPr>
        <w:spacing w:line="600" w:lineRule="exact"/>
        <w:jc w:val="center"/>
        <w:outlineLvl w:val="1"/>
        <w:rPr>
          <w:rFonts w:hAnsi="宋体"/>
        </w:rPr>
      </w:pPr>
    </w:p>
    <w:p>
      <w:pPr>
        <w:spacing w:line="600" w:lineRule="exact"/>
        <w:jc w:val="center"/>
        <w:outlineLvl w:val="1"/>
        <w:rPr>
          <w:rFonts w:hAnsi="宋体"/>
        </w:rPr>
      </w:pPr>
    </w:p>
    <w:p>
      <w:pPr>
        <w:spacing w:line="600" w:lineRule="exact"/>
        <w:jc w:val="center"/>
        <w:outlineLvl w:val="1"/>
        <w:rPr>
          <w:rFonts w:hAnsi="宋体"/>
        </w:rPr>
      </w:pPr>
    </w:p>
    <w:p>
      <w:pPr>
        <w:spacing w:line="600" w:lineRule="exact"/>
        <w:jc w:val="center"/>
        <w:outlineLvl w:val="1"/>
        <w:rPr>
          <w:rFonts w:hAnsi="宋体"/>
        </w:rPr>
      </w:pPr>
    </w:p>
    <w:p>
      <w:pPr>
        <w:spacing w:line="600" w:lineRule="exact"/>
        <w:jc w:val="center"/>
        <w:outlineLvl w:val="1"/>
        <w:rPr>
          <w:b/>
        </w:rPr>
      </w:pPr>
      <w:bookmarkStart w:id="114" w:name="_Toc66260335"/>
      <w:r>
        <w:rPr>
          <w:rFonts w:hint="eastAsia"/>
          <w:b/>
        </w:rPr>
        <w:t>8.竞争性谈判申请货物技术参数</w:t>
      </w:r>
      <w:bookmarkEnd w:id="114"/>
    </w:p>
    <w:p>
      <w:pPr>
        <w:spacing w:line="600" w:lineRule="exact"/>
        <w:jc w:val="center"/>
        <w:rPr>
          <w:rFonts w:ascii="宋体" w:hAnsi="宋体"/>
          <w:sz w:val="21"/>
          <w:szCs w:val="21"/>
        </w:rPr>
      </w:pPr>
    </w:p>
    <w:tbl>
      <w:tblPr>
        <w:tblStyle w:val="34"/>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665"/>
        <w:gridCol w:w="5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41" w:type="dxa"/>
            <w:vAlign w:val="center"/>
          </w:tcPr>
          <w:p>
            <w:pPr>
              <w:spacing w:line="500" w:lineRule="exact"/>
              <w:jc w:val="center"/>
              <w:rPr>
                <w:rFonts w:ascii="宋体" w:hAnsi="宋体"/>
                <w:sz w:val="24"/>
              </w:rPr>
            </w:pPr>
            <w:r>
              <w:rPr>
                <w:rFonts w:hint="eastAsia" w:ascii="宋体" w:hAnsi="宋体"/>
                <w:sz w:val="24"/>
              </w:rPr>
              <w:t>序号</w:t>
            </w:r>
          </w:p>
        </w:tc>
        <w:tc>
          <w:tcPr>
            <w:tcW w:w="1665" w:type="dxa"/>
            <w:vAlign w:val="center"/>
          </w:tcPr>
          <w:p>
            <w:pPr>
              <w:spacing w:line="500" w:lineRule="exact"/>
              <w:jc w:val="center"/>
              <w:rPr>
                <w:rFonts w:ascii="宋体" w:hAnsi="宋体"/>
                <w:sz w:val="24"/>
              </w:rPr>
            </w:pPr>
            <w:r>
              <w:rPr>
                <w:rFonts w:hint="eastAsia" w:ascii="宋体" w:hAnsi="宋体"/>
                <w:sz w:val="24"/>
              </w:rPr>
              <w:t>货物名称</w:t>
            </w:r>
          </w:p>
        </w:tc>
        <w:tc>
          <w:tcPr>
            <w:tcW w:w="5464" w:type="dxa"/>
            <w:vAlign w:val="center"/>
          </w:tcPr>
          <w:p>
            <w:pPr>
              <w:spacing w:line="500" w:lineRule="exact"/>
              <w:jc w:val="center"/>
              <w:rPr>
                <w:rFonts w:ascii="宋体" w:hAnsi="宋体"/>
                <w:sz w:val="24"/>
              </w:rPr>
            </w:pPr>
            <w:r>
              <w:rPr>
                <w:rFonts w:hint="eastAsia" w:ascii="宋体" w:hAnsi="宋体"/>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41" w:type="dxa"/>
          </w:tcPr>
          <w:p>
            <w:pPr>
              <w:spacing w:line="500" w:lineRule="exact"/>
              <w:jc w:val="center"/>
              <w:rPr>
                <w:rFonts w:ascii="宋体" w:hAnsi="宋体"/>
                <w:sz w:val="24"/>
              </w:rPr>
            </w:pPr>
            <w:r>
              <w:rPr>
                <w:rFonts w:hint="eastAsia" w:ascii="宋体" w:hAnsi="宋体"/>
                <w:sz w:val="24"/>
              </w:rPr>
              <w:t>1</w:t>
            </w:r>
          </w:p>
        </w:tc>
        <w:tc>
          <w:tcPr>
            <w:tcW w:w="1665" w:type="dxa"/>
          </w:tcPr>
          <w:p>
            <w:pPr>
              <w:spacing w:line="500" w:lineRule="exact"/>
              <w:jc w:val="center"/>
              <w:rPr>
                <w:rFonts w:ascii="宋体" w:hAnsi="宋体"/>
                <w:sz w:val="24"/>
              </w:rPr>
            </w:pPr>
          </w:p>
        </w:tc>
        <w:tc>
          <w:tcPr>
            <w:tcW w:w="5464" w:type="dxa"/>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1" w:type="dxa"/>
          </w:tcPr>
          <w:p>
            <w:pPr>
              <w:spacing w:line="500" w:lineRule="exact"/>
              <w:jc w:val="center"/>
              <w:rPr>
                <w:rFonts w:ascii="宋体" w:hAnsi="宋体"/>
                <w:sz w:val="24"/>
              </w:rPr>
            </w:pPr>
            <w:r>
              <w:rPr>
                <w:rFonts w:hint="eastAsia" w:ascii="宋体" w:hAnsi="宋体"/>
                <w:sz w:val="24"/>
              </w:rPr>
              <w:t>2</w:t>
            </w:r>
          </w:p>
        </w:tc>
        <w:tc>
          <w:tcPr>
            <w:tcW w:w="1665" w:type="dxa"/>
          </w:tcPr>
          <w:p>
            <w:pPr>
              <w:spacing w:line="500" w:lineRule="exact"/>
              <w:jc w:val="center"/>
              <w:rPr>
                <w:rFonts w:ascii="宋体" w:hAnsi="宋体"/>
                <w:sz w:val="24"/>
              </w:rPr>
            </w:pPr>
          </w:p>
        </w:tc>
        <w:tc>
          <w:tcPr>
            <w:tcW w:w="5464" w:type="dxa"/>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1" w:type="dxa"/>
          </w:tcPr>
          <w:p>
            <w:pPr>
              <w:spacing w:line="500" w:lineRule="exact"/>
              <w:jc w:val="center"/>
              <w:rPr>
                <w:rFonts w:ascii="宋体" w:hAnsi="宋体"/>
                <w:sz w:val="24"/>
              </w:rPr>
            </w:pPr>
            <w:r>
              <w:rPr>
                <w:rFonts w:hint="eastAsia" w:ascii="宋体" w:hAnsi="宋体"/>
                <w:sz w:val="24"/>
              </w:rPr>
              <w:t>3</w:t>
            </w:r>
          </w:p>
        </w:tc>
        <w:tc>
          <w:tcPr>
            <w:tcW w:w="1665" w:type="dxa"/>
          </w:tcPr>
          <w:p>
            <w:pPr>
              <w:spacing w:line="500" w:lineRule="exact"/>
              <w:jc w:val="center"/>
              <w:rPr>
                <w:rFonts w:ascii="宋体" w:hAnsi="宋体"/>
                <w:sz w:val="24"/>
              </w:rPr>
            </w:pPr>
          </w:p>
        </w:tc>
        <w:tc>
          <w:tcPr>
            <w:tcW w:w="5464" w:type="dxa"/>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1" w:type="dxa"/>
          </w:tcPr>
          <w:p>
            <w:pPr>
              <w:spacing w:line="500" w:lineRule="exact"/>
              <w:jc w:val="center"/>
              <w:rPr>
                <w:rFonts w:ascii="宋体" w:hAnsi="宋体"/>
                <w:sz w:val="24"/>
              </w:rPr>
            </w:pPr>
            <w:r>
              <w:rPr>
                <w:rFonts w:hint="eastAsia" w:ascii="宋体" w:hAnsi="宋体"/>
                <w:sz w:val="24"/>
              </w:rPr>
              <w:t>4</w:t>
            </w:r>
          </w:p>
        </w:tc>
        <w:tc>
          <w:tcPr>
            <w:tcW w:w="1665" w:type="dxa"/>
          </w:tcPr>
          <w:p>
            <w:pPr>
              <w:spacing w:line="500" w:lineRule="exact"/>
              <w:jc w:val="center"/>
              <w:rPr>
                <w:rFonts w:ascii="宋体" w:hAnsi="宋体"/>
                <w:sz w:val="24"/>
              </w:rPr>
            </w:pPr>
          </w:p>
        </w:tc>
        <w:tc>
          <w:tcPr>
            <w:tcW w:w="5464" w:type="dxa"/>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1" w:type="dxa"/>
          </w:tcPr>
          <w:p>
            <w:pPr>
              <w:spacing w:line="500" w:lineRule="exact"/>
              <w:jc w:val="center"/>
              <w:rPr>
                <w:rFonts w:ascii="宋体" w:hAnsi="宋体"/>
                <w:sz w:val="24"/>
              </w:rPr>
            </w:pPr>
            <w:r>
              <w:rPr>
                <w:rFonts w:hint="eastAsia" w:ascii="宋体" w:hAnsi="宋体"/>
                <w:sz w:val="24"/>
              </w:rPr>
              <w:t>5</w:t>
            </w:r>
          </w:p>
        </w:tc>
        <w:tc>
          <w:tcPr>
            <w:tcW w:w="1665" w:type="dxa"/>
          </w:tcPr>
          <w:p>
            <w:pPr>
              <w:spacing w:line="500" w:lineRule="exact"/>
              <w:jc w:val="center"/>
              <w:rPr>
                <w:rFonts w:ascii="宋体" w:hAnsi="宋体"/>
                <w:sz w:val="24"/>
              </w:rPr>
            </w:pPr>
          </w:p>
        </w:tc>
        <w:tc>
          <w:tcPr>
            <w:tcW w:w="5464" w:type="dxa"/>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1" w:type="dxa"/>
          </w:tcPr>
          <w:p>
            <w:pPr>
              <w:spacing w:line="500" w:lineRule="exact"/>
              <w:jc w:val="center"/>
              <w:rPr>
                <w:rFonts w:ascii="宋体" w:hAnsi="宋体"/>
                <w:sz w:val="24"/>
              </w:rPr>
            </w:pPr>
            <w:r>
              <w:rPr>
                <w:rFonts w:hint="eastAsia" w:ascii="宋体" w:hAnsi="宋体"/>
                <w:sz w:val="24"/>
              </w:rPr>
              <w:t>6</w:t>
            </w:r>
          </w:p>
        </w:tc>
        <w:tc>
          <w:tcPr>
            <w:tcW w:w="1665" w:type="dxa"/>
          </w:tcPr>
          <w:p>
            <w:pPr>
              <w:spacing w:line="500" w:lineRule="exact"/>
              <w:jc w:val="center"/>
              <w:rPr>
                <w:rFonts w:ascii="宋体" w:hAnsi="宋体"/>
                <w:sz w:val="24"/>
              </w:rPr>
            </w:pPr>
          </w:p>
        </w:tc>
        <w:tc>
          <w:tcPr>
            <w:tcW w:w="5464" w:type="dxa"/>
          </w:tcPr>
          <w:p>
            <w:pPr>
              <w:spacing w:line="500" w:lineRule="exact"/>
              <w:jc w:val="center"/>
              <w:rPr>
                <w:rFonts w:ascii="宋体" w:hAnsi="宋体"/>
                <w:sz w:val="24"/>
              </w:rPr>
            </w:pPr>
          </w:p>
        </w:tc>
      </w:tr>
    </w:tbl>
    <w:p>
      <w:pPr>
        <w:spacing w:line="500" w:lineRule="exact"/>
        <w:rPr>
          <w:rFonts w:ascii="宋体" w:hAnsi="宋体"/>
          <w:sz w:val="24"/>
        </w:rPr>
      </w:pPr>
    </w:p>
    <w:p>
      <w:pPr>
        <w:spacing w:line="500" w:lineRule="exact"/>
        <w:rPr>
          <w:rFonts w:ascii="宋体" w:hAnsi="宋体"/>
          <w:b/>
          <w:bCs/>
          <w:sz w:val="28"/>
          <w:szCs w:val="28"/>
        </w:rPr>
      </w:pPr>
    </w:p>
    <w:p>
      <w:pPr>
        <w:spacing w:line="500" w:lineRule="exact"/>
        <w:rPr>
          <w:rFonts w:ascii="宋体" w:hAnsi="宋体"/>
          <w:b/>
          <w:bCs/>
          <w:sz w:val="28"/>
          <w:szCs w:val="28"/>
        </w:rPr>
      </w:pPr>
      <w:r>
        <w:rPr>
          <w:rFonts w:hint="eastAsia" w:ascii="宋体" w:hAnsi="宋体"/>
          <w:sz w:val="24"/>
        </w:rPr>
        <w:t>注：如表格不足时竞争性谈判申请方可根据需要自行添加。</w:t>
      </w:r>
    </w:p>
    <w:p>
      <w:pPr>
        <w:spacing w:line="500" w:lineRule="exact"/>
        <w:rPr>
          <w:rFonts w:ascii="宋体" w:hAnsi="宋体"/>
          <w:b/>
          <w:bCs/>
          <w:sz w:val="28"/>
          <w:szCs w:val="28"/>
        </w:rPr>
      </w:pPr>
    </w:p>
    <w:p>
      <w:pPr>
        <w:pStyle w:val="21"/>
        <w:rPr>
          <w:rFonts w:eastAsia="宋体" w:cs="Times New Roman"/>
          <w:b/>
        </w:rPr>
      </w:pPr>
      <w:r>
        <w:rPr>
          <w:rFonts w:hAnsi="宋体" w:eastAsia="宋体" w:cs="Times New Roman"/>
        </w:rPr>
        <w:br w:type="page"/>
      </w:r>
    </w:p>
    <w:p>
      <w:pPr>
        <w:spacing w:line="600" w:lineRule="exact"/>
        <w:jc w:val="center"/>
        <w:outlineLvl w:val="1"/>
        <w:rPr>
          <w:b/>
        </w:rPr>
      </w:pPr>
      <w:bookmarkStart w:id="115" w:name="_Toc66260336"/>
      <w:bookmarkStart w:id="116" w:name="_Toc5092847"/>
      <w:r>
        <w:rPr>
          <w:rFonts w:hint="eastAsia"/>
          <w:b/>
        </w:rPr>
        <w:t>9.竞争性谈判申请产品技术性能偏离表</w:t>
      </w:r>
      <w:bookmarkEnd w:id="115"/>
      <w:bookmarkEnd w:id="116"/>
    </w:p>
    <w:p>
      <w:pPr>
        <w:spacing w:line="600" w:lineRule="exact"/>
        <w:jc w:val="center"/>
        <w:rPr>
          <w:b/>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209"/>
        <w:gridCol w:w="1559"/>
        <w:gridCol w:w="2552"/>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spacing w:line="480" w:lineRule="auto"/>
              <w:jc w:val="center"/>
              <w:rPr>
                <w:rFonts w:ascii="宋体" w:hAnsi="宋体"/>
                <w:sz w:val="24"/>
              </w:rPr>
            </w:pPr>
            <w:r>
              <w:rPr>
                <w:rFonts w:hint="eastAsia" w:ascii="宋体" w:hAnsi="宋体"/>
                <w:sz w:val="24"/>
              </w:rPr>
              <w:t>项号</w:t>
            </w:r>
          </w:p>
        </w:tc>
        <w:tc>
          <w:tcPr>
            <w:tcW w:w="2209" w:type="dxa"/>
          </w:tcPr>
          <w:p>
            <w:pPr>
              <w:spacing w:line="480" w:lineRule="auto"/>
              <w:jc w:val="center"/>
              <w:rPr>
                <w:rFonts w:ascii="宋体" w:hAnsi="宋体"/>
                <w:sz w:val="24"/>
              </w:rPr>
            </w:pPr>
            <w:r>
              <w:rPr>
                <w:rFonts w:hint="eastAsia" w:ascii="宋体" w:hAnsi="宋体"/>
                <w:sz w:val="24"/>
              </w:rPr>
              <w:t>货物（服务）名称</w:t>
            </w:r>
          </w:p>
        </w:tc>
        <w:tc>
          <w:tcPr>
            <w:tcW w:w="1559" w:type="dxa"/>
          </w:tcPr>
          <w:p>
            <w:pPr>
              <w:spacing w:line="480" w:lineRule="auto"/>
              <w:jc w:val="center"/>
              <w:rPr>
                <w:rFonts w:ascii="宋体" w:hAnsi="宋体"/>
                <w:sz w:val="24"/>
              </w:rPr>
            </w:pPr>
            <w:r>
              <w:rPr>
                <w:rFonts w:hint="eastAsia" w:ascii="宋体" w:hAnsi="宋体"/>
                <w:sz w:val="24"/>
              </w:rPr>
              <w:t>招标规格</w:t>
            </w:r>
          </w:p>
        </w:tc>
        <w:tc>
          <w:tcPr>
            <w:tcW w:w="2552" w:type="dxa"/>
          </w:tcPr>
          <w:p>
            <w:pPr>
              <w:spacing w:line="480" w:lineRule="auto"/>
              <w:jc w:val="center"/>
              <w:rPr>
                <w:rFonts w:ascii="宋体" w:hAnsi="宋体"/>
                <w:sz w:val="24"/>
              </w:rPr>
            </w:pPr>
            <w:r>
              <w:rPr>
                <w:rFonts w:hint="eastAsia" w:ascii="宋体" w:hAnsi="宋体"/>
                <w:sz w:val="24"/>
              </w:rPr>
              <w:t>竞争性谈判申请规格</w:t>
            </w:r>
          </w:p>
        </w:tc>
        <w:tc>
          <w:tcPr>
            <w:tcW w:w="1912" w:type="dxa"/>
          </w:tcPr>
          <w:p>
            <w:pPr>
              <w:spacing w:line="480" w:lineRule="auto"/>
              <w:jc w:val="center"/>
              <w:rPr>
                <w:rFonts w:ascii="宋体" w:hAnsi="宋体"/>
                <w:sz w:val="24"/>
              </w:rPr>
            </w:pPr>
            <w:r>
              <w:rPr>
                <w:rFonts w:hint="eastAsia" w:ascii="宋体" w:hAnsi="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spacing w:line="340" w:lineRule="atLeast"/>
              <w:jc w:val="center"/>
              <w:outlineLvl w:val="0"/>
              <w:rPr>
                <w:rFonts w:ascii="宋体" w:hAnsi="宋体"/>
                <w:b/>
                <w:bCs/>
              </w:rPr>
            </w:pPr>
          </w:p>
        </w:tc>
        <w:tc>
          <w:tcPr>
            <w:tcW w:w="2209" w:type="dxa"/>
          </w:tcPr>
          <w:p>
            <w:pPr>
              <w:spacing w:line="340" w:lineRule="atLeast"/>
              <w:jc w:val="center"/>
              <w:outlineLvl w:val="0"/>
              <w:rPr>
                <w:rFonts w:ascii="宋体" w:hAnsi="宋体"/>
                <w:b/>
                <w:bCs/>
              </w:rPr>
            </w:pPr>
          </w:p>
        </w:tc>
        <w:tc>
          <w:tcPr>
            <w:tcW w:w="1559" w:type="dxa"/>
          </w:tcPr>
          <w:p>
            <w:pPr>
              <w:spacing w:line="340" w:lineRule="atLeast"/>
              <w:jc w:val="center"/>
              <w:outlineLvl w:val="0"/>
              <w:rPr>
                <w:rFonts w:ascii="宋体" w:hAnsi="宋体"/>
                <w:b/>
                <w:bCs/>
              </w:rPr>
            </w:pPr>
          </w:p>
        </w:tc>
        <w:tc>
          <w:tcPr>
            <w:tcW w:w="2552" w:type="dxa"/>
          </w:tcPr>
          <w:p>
            <w:pPr>
              <w:spacing w:line="340" w:lineRule="atLeast"/>
              <w:jc w:val="center"/>
              <w:outlineLvl w:val="0"/>
              <w:rPr>
                <w:rFonts w:ascii="宋体" w:hAnsi="宋体"/>
                <w:b/>
                <w:bCs/>
              </w:rPr>
            </w:pPr>
          </w:p>
        </w:tc>
        <w:tc>
          <w:tcPr>
            <w:tcW w:w="1912" w:type="dxa"/>
          </w:tcPr>
          <w:p>
            <w:pPr>
              <w:spacing w:line="340" w:lineRule="atLeast"/>
              <w:jc w:val="center"/>
              <w:outlineLvl w:val="0"/>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spacing w:line="340" w:lineRule="atLeast"/>
              <w:jc w:val="center"/>
              <w:outlineLvl w:val="0"/>
              <w:rPr>
                <w:rFonts w:ascii="宋体" w:hAnsi="宋体"/>
                <w:b/>
                <w:bCs/>
              </w:rPr>
            </w:pPr>
          </w:p>
        </w:tc>
        <w:tc>
          <w:tcPr>
            <w:tcW w:w="2209" w:type="dxa"/>
          </w:tcPr>
          <w:p>
            <w:pPr>
              <w:spacing w:line="340" w:lineRule="atLeast"/>
              <w:jc w:val="center"/>
              <w:outlineLvl w:val="0"/>
              <w:rPr>
                <w:rFonts w:ascii="宋体" w:hAnsi="宋体"/>
                <w:b/>
                <w:bCs/>
              </w:rPr>
            </w:pPr>
          </w:p>
        </w:tc>
        <w:tc>
          <w:tcPr>
            <w:tcW w:w="1559" w:type="dxa"/>
          </w:tcPr>
          <w:p>
            <w:pPr>
              <w:spacing w:line="340" w:lineRule="atLeast"/>
              <w:jc w:val="center"/>
              <w:outlineLvl w:val="0"/>
              <w:rPr>
                <w:rFonts w:ascii="宋体" w:hAnsi="宋体"/>
                <w:b/>
                <w:bCs/>
              </w:rPr>
            </w:pPr>
          </w:p>
        </w:tc>
        <w:tc>
          <w:tcPr>
            <w:tcW w:w="2552" w:type="dxa"/>
          </w:tcPr>
          <w:p>
            <w:pPr>
              <w:spacing w:line="340" w:lineRule="atLeast"/>
              <w:jc w:val="center"/>
              <w:outlineLvl w:val="0"/>
              <w:rPr>
                <w:rFonts w:ascii="宋体" w:hAnsi="宋体"/>
                <w:b/>
                <w:bCs/>
              </w:rPr>
            </w:pPr>
          </w:p>
        </w:tc>
        <w:tc>
          <w:tcPr>
            <w:tcW w:w="1912" w:type="dxa"/>
          </w:tcPr>
          <w:p>
            <w:pPr>
              <w:spacing w:line="340" w:lineRule="atLeast"/>
              <w:jc w:val="center"/>
              <w:outlineLvl w:val="0"/>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spacing w:line="340" w:lineRule="atLeast"/>
              <w:jc w:val="center"/>
              <w:outlineLvl w:val="0"/>
              <w:rPr>
                <w:rFonts w:ascii="宋体" w:hAnsi="宋体"/>
                <w:b/>
                <w:bCs/>
              </w:rPr>
            </w:pPr>
          </w:p>
        </w:tc>
        <w:tc>
          <w:tcPr>
            <w:tcW w:w="2209" w:type="dxa"/>
          </w:tcPr>
          <w:p>
            <w:pPr>
              <w:spacing w:line="340" w:lineRule="atLeast"/>
              <w:jc w:val="center"/>
              <w:outlineLvl w:val="0"/>
              <w:rPr>
                <w:rFonts w:ascii="宋体" w:hAnsi="宋体"/>
                <w:b/>
                <w:bCs/>
              </w:rPr>
            </w:pPr>
          </w:p>
        </w:tc>
        <w:tc>
          <w:tcPr>
            <w:tcW w:w="1559" w:type="dxa"/>
          </w:tcPr>
          <w:p>
            <w:pPr>
              <w:spacing w:line="340" w:lineRule="atLeast"/>
              <w:jc w:val="center"/>
              <w:outlineLvl w:val="0"/>
              <w:rPr>
                <w:rFonts w:ascii="宋体" w:hAnsi="宋体"/>
                <w:b/>
                <w:bCs/>
              </w:rPr>
            </w:pPr>
          </w:p>
        </w:tc>
        <w:tc>
          <w:tcPr>
            <w:tcW w:w="2552" w:type="dxa"/>
          </w:tcPr>
          <w:p>
            <w:pPr>
              <w:spacing w:line="340" w:lineRule="atLeast"/>
              <w:jc w:val="center"/>
              <w:outlineLvl w:val="0"/>
              <w:rPr>
                <w:rFonts w:ascii="宋体" w:hAnsi="宋体"/>
                <w:b/>
                <w:bCs/>
              </w:rPr>
            </w:pPr>
          </w:p>
        </w:tc>
        <w:tc>
          <w:tcPr>
            <w:tcW w:w="1912" w:type="dxa"/>
          </w:tcPr>
          <w:p>
            <w:pPr>
              <w:spacing w:line="340" w:lineRule="atLeast"/>
              <w:jc w:val="center"/>
              <w:outlineLvl w:val="0"/>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spacing w:line="340" w:lineRule="atLeast"/>
              <w:jc w:val="center"/>
              <w:outlineLvl w:val="0"/>
              <w:rPr>
                <w:rFonts w:ascii="宋体" w:hAnsi="宋体"/>
                <w:b/>
                <w:bCs/>
              </w:rPr>
            </w:pPr>
          </w:p>
        </w:tc>
        <w:tc>
          <w:tcPr>
            <w:tcW w:w="2209" w:type="dxa"/>
          </w:tcPr>
          <w:p>
            <w:pPr>
              <w:spacing w:line="340" w:lineRule="atLeast"/>
              <w:jc w:val="center"/>
              <w:outlineLvl w:val="0"/>
              <w:rPr>
                <w:rFonts w:ascii="宋体" w:hAnsi="宋体"/>
                <w:b/>
                <w:bCs/>
              </w:rPr>
            </w:pPr>
          </w:p>
        </w:tc>
        <w:tc>
          <w:tcPr>
            <w:tcW w:w="1559" w:type="dxa"/>
          </w:tcPr>
          <w:p>
            <w:pPr>
              <w:spacing w:line="340" w:lineRule="atLeast"/>
              <w:jc w:val="center"/>
              <w:outlineLvl w:val="0"/>
              <w:rPr>
                <w:rFonts w:ascii="宋体" w:hAnsi="宋体"/>
                <w:b/>
                <w:bCs/>
              </w:rPr>
            </w:pPr>
          </w:p>
        </w:tc>
        <w:tc>
          <w:tcPr>
            <w:tcW w:w="2552" w:type="dxa"/>
          </w:tcPr>
          <w:p>
            <w:pPr>
              <w:spacing w:line="340" w:lineRule="atLeast"/>
              <w:jc w:val="center"/>
              <w:outlineLvl w:val="0"/>
              <w:rPr>
                <w:rFonts w:ascii="宋体" w:hAnsi="宋体"/>
                <w:b/>
                <w:bCs/>
              </w:rPr>
            </w:pPr>
          </w:p>
        </w:tc>
        <w:tc>
          <w:tcPr>
            <w:tcW w:w="1912" w:type="dxa"/>
          </w:tcPr>
          <w:p>
            <w:pPr>
              <w:spacing w:line="340" w:lineRule="atLeast"/>
              <w:jc w:val="center"/>
              <w:outlineLvl w:val="0"/>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spacing w:line="340" w:lineRule="atLeast"/>
              <w:jc w:val="center"/>
              <w:outlineLvl w:val="0"/>
              <w:rPr>
                <w:rFonts w:ascii="宋体" w:hAnsi="宋体"/>
                <w:b/>
                <w:bCs/>
              </w:rPr>
            </w:pPr>
          </w:p>
        </w:tc>
        <w:tc>
          <w:tcPr>
            <w:tcW w:w="2209" w:type="dxa"/>
          </w:tcPr>
          <w:p>
            <w:pPr>
              <w:spacing w:line="340" w:lineRule="atLeast"/>
              <w:jc w:val="center"/>
              <w:outlineLvl w:val="0"/>
              <w:rPr>
                <w:rFonts w:ascii="宋体" w:hAnsi="宋体"/>
                <w:b/>
                <w:bCs/>
              </w:rPr>
            </w:pPr>
          </w:p>
        </w:tc>
        <w:tc>
          <w:tcPr>
            <w:tcW w:w="1559" w:type="dxa"/>
          </w:tcPr>
          <w:p>
            <w:pPr>
              <w:spacing w:line="340" w:lineRule="atLeast"/>
              <w:jc w:val="center"/>
              <w:outlineLvl w:val="0"/>
              <w:rPr>
                <w:rFonts w:ascii="宋体" w:hAnsi="宋体"/>
                <w:b/>
                <w:bCs/>
              </w:rPr>
            </w:pPr>
          </w:p>
        </w:tc>
        <w:tc>
          <w:tcPr>
            <w:tcW w:w="2552" w:type="dxa"/>
          </w:tcPr>
          <w:p>
            <w:pPr>
              <w:spacing w:line="340" w:lineRule="atLeast"/>
              <w:jc w:val="center"/>
              <w:outlineLvl w:val="0"/>
              <w:rPr>
                <w:rFonts w:ascii="宋体" w:hAnsi="宋体"/>
                <w:b/>
                <w:bCs/>
              </w:rPr>
            </w:pPr>
          </w:p>
        </w:tc>
        <w:tc>
          <w:tcPr>
            <w:tcW w:w="1912" w:type="dxa"/>
          </w:tcPr>
          <w:p>
            <w:pPr>
              <w:spacing w:line="340" w:lineRule="atLeast"/>
              <w:jc w:val="center"/>
              <w:outlineLvl w:val="0"/>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spacing w:line="340" w:lineRule="atLeast"/>
              <w:jc w:val="center"/>
              <w:outlineLvl w:val="0"/>
              <w:rPr>
                <w:rFonts w:ascii="宋体" w:hAnsi="宋体"/>
                <w:b/>
                <w:bCs/>
              </w:rPr>
            </w:pPr>
          </w:p>
        </w:tc>
        <w:tc>
          <w:tcPr>
            <w:tcW w:w="2209" w:type="dxa"/>
          </w:tcPr>
          <w:p>
            <w:pPr>
              <w:spacing w:line="340" w:lineRule="atLeast"/>
              <w:jc w:val="center"/>
              <w:outlineLvl w:val="0"/>
              <w:rPr>
                <w:rFonts w:ascii="宋体" w:hAnsi="宋体"/>
                <w:b/>
                <w:bCs/>
              </w:rPr>
            </w:pPr>
          </w:p>
        </w:tc>
        <w:tc>
          <w:tcPr>
            <w:tcW w:w="1559" w:type="dxa"/>
          </w:tcPr>
          <w:p>
            <w:pPr>
              <w:spacing w:line="340" w:lineRule="atLeast"/>
              <w:jc w:val="center"/>
              <w:outlineLvl w:val="0"/>
              <w:rPr>
                <w:rFonts w:ascii="宋体" w:hAnsi="宋体"/>
                <w:b/>
                <w:bCs/>
              </w:rPr>
            </w:pPr>
          </w:p>
        </w:tc>
        <w:tc>
          <w:tcPr>
            <w:tcW w:w="2552" w:type="dxa"/>
          </w:tcPr>
          <w:p>
            <w:pPr>
              <w:spacing w:line="340" w:lineRule="atLeast"/>
              <w:jc w:val="center"/>
              <w:outlineLvl w:val="0"/>
              <w:rPr>
                <w:rFonts w:ascii="宋体" w:hAnsi="宋体"/>
                <w:b/>
                <w:bCs/>
              </w:rPr>
            </w:pPr>
          </w:p>
        </w:tc>
        <w:tc>
          <w:tcPr>
            <w:tcW w:w="1912" w:type="dxa"/>
          </w:tcPr>
          <w:p>
            <w:pPr>
              <w:spacing w:line="340" w:lineRule="atLeast"/>
              <w:jc w:val="center"/>
              <w:outlineLvl w:val="0"/>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spacing w:line="340" w:lineRule="atLeast"/>
              <w:jc w:val="center"/>
              <w:outlineLvl w:val="0"/>
              <w:rPr>
                <w:rFonts w:ascii="宋体" w:hAnsi="宋体"/>
                <w:b/>
                <w:bCs/>
              </w:rPr>
            </w:pPr>
          </w:p>
        </w:tc>
        <w:tc>
          <w:tcPr>
            <w:tcW w:w="2209" w:type="dxa"/>
          </w:tcPr>
          <w:p>
            <w:pPr>
              <w:spacing w:line="340" w:lineRule="atLeast"/>
              <w:jc w:val="center"/>
              <w:outlineLvl w:val="0"/>
              <w:rPr>
                <w:rFonts w:ascii="宋体" w:hAnsi="宋体"/>
                <w:b/>
                <w:bCs/>
              </w:rPr>
            </w:pPr>
          </w:p>
        </w:tc>
        <w:tc>
          <w:tcPr>
            <w:tcW w:w="1559" w:type="dxa"/>
          </w:tcPr>
          <w:p>
            <w:pPr>
              <w:spacing w:line="340" w:lineRule="atLeast"/>
              <w:jc w:val="center"/>
              <w:outlineLvl w:val="0"/>
              <w:rPr>
                <w:rFonts w:ascii="宋体" w:hAnsi="宋体"/>
                <w:b/>
                <w:bCs/>
              </w:rPr>
            </w:pPr>
          </w:p>
        </w:tc>
        <w:tc>
          <w:tcPr>
            <w:tcW w:w="2552" w:type="dxa"/>
          </w:tcPr>
          <w:p>
            <w:pPr>
              <w:spacing w:line="340" w:lineRule="atLeast"/>
              <w:jc w:val="center"/>
              <w:outlineLvl w:val="0"/>
              <w:rPr>
                <w:rFonts w:ascii="宋体" w:hAnsi="宋体"/>
                <w:b/>
                <w:bCs/>
              </w:rPr>
            </w:pPr>
          </w:p>
        </w:tc>
        <w:tc>
          <w:tcPr>
            <w:tcW w:w="1912" w:type="dxa"/>
          </w:tcPr>
          <w:p>
            <w:pPr>
              <w:spacing w:line="340" w:lineRule="atLeast"/>
              <w:jc w:val="center"/>
              <w:outlineLvl w:val="0"/>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spacing w:line="340" w:lineRule="atLeast"/>
              <w:jc w:val="center"/>
              <w:outlineLvl w:val="0"/>
              <w:rPr>
                <w:rFonts w:ascii="宋体" w:hAnsi="宋体"/>
                <w:b/>
                <w:bCs/>
              </w:rPr>
            </w:pPr>
          </w:p>
        </w:tc>
        <w:tc>
          <w:tcPr>
            <w:tcW w:w="2209" w:type="dxa"/>
          </w:tcPr>
          <w:p>
            <w:pPr>
              <w:spacing w:line="340" w:lineRule="atLeast"/>
              <w:jc w:val="center"/>
              <w:outlineLvl w:val="0"/>
              <w:rPr>
                <w:rFonts w:ascii="宋体" w:hAnsi="宋体"/>
                <w:b/>
                <w:bCs/>
              </w:rPr>
            </w:pPr>
          </w:p>
        </w:tc>
        <w:tc>
          <w:tcPr>
            <w:tcW w:w="1559" w:type="dxa"/>
          </w:tcPr>
          <w:p>
            <w:pPr>
              <w:spacing w:line="340" w:lineRule="atLeast"/>
              <w:jc w:val="center"/>
              <w:outlineLvl w:val="0"/>
              <w:rPr>
                <w:rFonts w:ascii="宋体" w:hAnsi="宋体"/>
                <w:b/>
                <w:bCs/>
              </w:rPr>
            </w:pPr>
          </w:p>
        </w:tc>
        <w:tc>
          <w:tcPr>
            <w:tcW w:w="2552" w:type="dxa"/>
          </w:tcPr>
          <w:p>
            <w:pPr>
              <w:spacing w:line="340" w:lineRule="atLeast"/>
              <w:jc w:val="center"/>
              <w:outlineLvl w:val="0"/>
              <w:rPr>
                <w:rFonts w:ascii="宋体" w:hAnsi="宋体"/>
                <w:b/>
                <w:bCs/>
              </w:rPr>
            </w:pPr>
          </w:p>
        </w:tc>
        <w:tc>
          <w:tcPr>
            <w:tcW w:w="1912" w:type="dxa"/>
          </w:tcPr>
          <w:p>
            <w:pPr>
              <w:spacing w:line="340" w:lineRule="atLeast"/>
              <w:jc w:val="center"/>
              <w:outlineLvl w:val="0"/>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spacing w:line="340" w:lineRule="atLeast"/>
              <w:jc w:val="center"/>
              <w:outlineLvl w:val="0"/>
              <w:rPr>
                <w:rFonts w:ascii="宋体" w:hAnsi="宋体"/>
                <w:b/>
                <w:bCs/>
              </w:rPr>
            </w:pPr>
          </w:p>
        </w:tc>
        <w:tc>
          <w:tcPr>
            <w:tcW w:w="2209" w:type="dxa"/>
          </w:tcPr>
          <w:p>
            <w:pPr>
              <w:spacing w:line="340" w:lineRule="atLeast"/>
              <w:jc w:val="center"/>
              <w:outlineLvl w:val="0"/>
              <w:rPr>
                <w:rFonts w:ascii="宋体" w:hAnsi="宋体"/>
                <w:b/>
                <w:bCs/>
              </w:rPr>
            </w:pPr>
          </w:p>
        </w:tc>
        <w:tc>
          <w:tcPr>
            <w:tcW w:w="1559" w:type="dxa"/>
          </w:tcPr>
          <w:p>
            <w:pPr>
              <w:spacing w:line="340" w:lineRule="atLeast"/>
              <w:jc w:val="center"/>
              <w:outlineLvl w:val="0"/>
              <w:rPr>
                <w:rFonts w:ascii="宋体" w:hAnsi="宋体"/>
                <w:b/>
                <w:bCs/>
              </w:rPr>
            </w:pPr>
          </w:p>
        </w:tc>
        <w:tc>
          <w:tcPr>
            <w:tcW w:w="2552" w:type="dxa"/>
          </w:tcPr>
          <w:p>
            <w:pPr>
              <w:spacing w:line="340" w:lineRule="atLeast"/>
              <w:jc w:val="center"/>
              <w:outlineLvl w:val="0"/>
              <w:rPr>
                <w:rFonts w:ascii="宋体" w:hAnsi="宋体"/>
                <w:b/>
                <w:bCs/>
              </w:rPr>
            </w:pPr>
          </w:p>
        </w:tc>
        <w:tc>
          <w:tcPr>
            <w:tcW w:w="1912" w:type="dxa"/>
          </w:tcPr>
          <w:p>
            <w:pPr>
              <w:spacing w:line="340" w:lineRule="atLeast"/>
              <w:jc w:val="center"/>
              <w:outlineLvl w:val="0"/>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spacing w:line="340" w:lineRule="atLeast"/>
              <w:jc w:val="center"/>
              <w:outlineLvl w:val="0"/>
              <w:rPr>
                <w:rFonts w:ascii="宋体" w:hAnsi="宋体"/>
                <w:b/>
                <w:bCs/>
              </w:rPr>
            </w:pPr>
          </w:p>
        </w:tc>
        <w:tc>
          <w:tcPr>
            <w:tcW w:w="2209" w:type="dxa"/>
          </w:tcPr>
          <w:p>
            <w:pPr>
              <w:spacing w:line="340" w:lineRule="atLeast"/>
              <w:jc w:val="center"/>
              <w:outlineLvl w:val="0"/>
              <w:rPr>
                <w:rFonts w:ascii="宋体" w:hAnsi="宋体"/>
                <w:b/>
                <w:bCs/>
              </w:rPr>
            </w:pPr>
          </w:p>
        </w:tc>
        <w:tc>
          <w:tcPr>
            <w:tcW w:w="1559" w:type="dxa"/>
          </w:tcPr>
          <w:p>
            <w:pPr>
              <w:spacing w:line="340" w:lineRule="atLeast"/>
              <w:jc w:val="center"/>
              <w:outlineLvl w:val="0"/>
              <w:rPr>
                <w:rFonts w:ascii="宋体" w:hAnsi="宋体"/>
                <w:b/>
                <w:bCs/>
              </w:rPr>
            </w:pPr>
          </w:p>
        </w:tc>
        <w:tc>
          <w:tcPr>
            <w:tcW w:w="2552" w:type="dxa"/>
          </w:tcPr>
          <w:p>
            <w:pPr>
              <w:spacing w:line="340" w:lineRule="atLeast"/>
              <w:jc w:val="center"/>
              <w:outlineLvl w:val="0"/>
              <w:rPr>
                <w:rFonts w:ascii="宋体" w:hAnsi="宋体"/>
                <w:b/>
                <w:bCs/>
              </w:rPr>
            </w:pPr>
          </w:p>
        </w:tc>
        <w:tc>
          <w:tcPr>
            <w:tcW w:w="1912" w:type="dxa"/>
          </w:tcPr>
          <w:p>
            <w:pPr>
              <w:spacing w:line="340" w:lineRule="atLeast"/>
              <w:jc w:val="center"/>
              <w:outlineLvl w:val="0"/>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spacing w:line="340" w:lineRule="atLeast"/>
              <w:jc w:val="center"/>
              <w:outlineLvl w:val="0"/>
              <w:rPr>
                <w:rFonts w:ascii="宋体" w:hAnsi="宋体"/>
                <w:b/>
                <w:bCs/>
              </w:rPr>
            </w:pPr>
          </w:p>
        </w:tc>
        <w:tc>
          <w:tcPr>
            <w:tcW w:w="2209" w:type="dxa"/>
          </w:tcPr>
          <w:p>
            <w:pPr>
              <w:spacing w:line="340" w:lineRule="atLeast"/>
              <w:jc w:val="center"/>
              <w:outlineLvl w:val="0"/>
              <w:rPr>
                <w:rFonts w:ascii="宋体" w:hAnsi="宋体"/>
                <w:b/>
                <w:bCs/>
              </w:rPr>
            </w:pPr>
          </w:p>
        </w:tc>
        <w:tc>
          <w:tcPr>
            <w:tcW w:w="1559" w:type="dxa"/>
          </w:tcPr>
          <w:p>
            <w:pPr>
              <w:spacing w:line="340" w:lineRule="atLeast"/>
              <w:jc w:val="center"/>
              <w:outlineLvl w:val="0"/>
              <w:rPr>
                <w:rFonts w:ascii="宋体" w:hAnsi="宋体"/>
                <w:b/>
                <w:bCs/>
              </w:rPr>
            </w:pPr>
          </w:p>
        </w:tc>
        <w:tc>
          <w:tcPr>
            <w:tcW w:w="2552" w:type="dxa"/>
          </w:tcPr>
          <w:p>
            <w:pPr>
              <w:spacing w:line="340" w:lineRule="atLeast"/>
              <w:jc w:val="center"/>
              <w:outlineLvl w:val="0"/>
              <w:rPr>
                <w:rFonts w:ascii="宋体" w:hAnsi="宋体"/>
                <w:b/>
                <w:bCs/>
              </w:rPr>
            </w:pPr>
          </w:p>
        </w:tc>
        <w:tc>
          <w:tcPr>
            <w:tcW w:w="1912" w:type="dxa"/>
          </w:tcPr>
          <w:p>
            <w:pPr>
              <w:spacing w:line="340" w:lineRule="atLeast"/>
              <w:jc w:val="center"/>
              <w:outlineLvl w:val="0"/>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spacing w:line="340" w:lineRule="atLeast"/>
              <w:jc w:val="center"/>
              <w:outlineLvl w:val="0"/>
              <w:rPr>
                <w:rFonts w:ascii="宋体" w:hAnsi="宋体"/>
                <w:b/>
                <w:bCs/>
              </w:rPr>
            </w:pPr>
          </w:p>
        </w:tc>
        <w:tc>
          <w:tcPr>
            <w:tcW w:w="2209" w:type="dxa"/>
          </w:tcPr>
          <w:p>
            <w:pPr>
              <w:spacing w:line="340" w:lineRule="atLeast"/>
              <w:jc w:val="center"/>
              <w:outlineLvl w:val="0"/>
              <w:rPr>
                <w:rFonts w:ascii="宋体" w:hAnsi="宋体"/>
                <w:b/>
                <w:bCs/>
              </w:rPr>
            </w:pPr>
          </w:p>
        </w:tc>
        <w:tc>
          <w:tcPr>
            <w:tcW w:w="1559" w:type="dxa"/>
          </w:tcPr>
          <w:p>
            <w:pPr>
              <w:spacing w:line="340" w:lineRule="atLeast"/>
              <w:jc w:val="center"/>
              <w:outlineLvl w:val="0"/>
              <w:rPr>
                <w:rFonts w:ascii="宋体" w:hAnsi="宋体"/>
                <w:b/>
                <w:bCs/>
              </w:rPr>
            </w:pPr>
          </w:p>
        </w:tc>
        <w:tc>
          <w:tcPr>
            <w:tcW w:w="2552" w:type="dxa"/>
          </w:tcPr>
          <w:p>
            <w:pPr>
              <w:spacing w:line="340" w:lineRule="atLeast"/>
              <w:jc w:val="center"/>
              <w:outlineLvl w:val="0"/>
              <w:rPr>
                <w:rFonts w:ascii="宋体" w:hAnsi="宋体"/>
                <w:b/>
                <w:bCs/>
              </w:rPr>
            </w:pPr>
          </w:p>
        </w:tc>
        <w:tc>
          <w:tcPr>
            <w:tcW w:w="1912" w:type="dxa"/>
          </w:tcPr>
          <w:p>
            <w:pPr>
              <w:spacing w:line="340" w:lineRule="atLeast"/>
              <w:jc w:val="center"/>
              <w:outlineLvl w:val="0"/>
              <w:rPr>
                <w:rFonts w:ascii="宋体" w:hAnsi="宋体"/>
                <w:b/>
                <w:bCs/>
              </w:rPr>
            </w:pPr>
          </w:p>
        </w:tc>
      </w:tr>
    </w:tbl>
    <w:p>
      <w:pPr>
        <w:spacing w:line="400" w:lineRule="exact"/>
        <w:rPr>
          <w:rFonts w:ascii="宋体" w:hAnsi="宋体"/>
          <w:b/>
          <w:bCs/>
          <w:sz w:val="24"/>
        </w:rPr>
      </w:pPr>
      <w:r>
        <w:rPr>
          <w:rFonts w:hint="eastAsia" w:ascii="宋体" w:hAnsi="宋体"/>
          <w:b/>
          <w:bCs/>
          <w:sz w:val="24"/>
        </w:rPr>
        <w:t>说明：</w:t>
      </w:r>
    </w:p>
    <w:p>
      <w:pPr>
        <w:spacing w:line="400" w:lineRule="exact"/>
        <w:rPr>
          <w:rFonts w:ascii="宋体" w:hAnsi="宋体"/>
          <w:sz w:val="24"/>
        </w:rPr>
      </w:pPr>
      <w:r>
        <w:rPr>
          <w:rFonts w:hint="eastAsia" w:ascii="宋体" w:hAnsi="宋体"/>
          <w:sz w:val="24"/>
        </w:rPr>
        <w:t>1、该表左列列明了竞争性谈判文件的要求，竞标人须在右列对相应的内容进行填报；</w:t>
      </w:r>
    </w:p>
    <w:p>
      <w:pPr>
        <w:spacing w:line="400" w:lineRule="exact"/>
        <w:rPr>
          <w:rFonts w:ascii="宋体" w:hAnsi="宋体"/>
          <w:sz w:val="24"/>
        </w:rPr>
      </w:pPr>
      <w:r>
        <w:rPr>
          <w:rFonts w:hint="eastAsia" w:ascii="宋体" w:hAnsi="宋体"/>
          <w:sz w:val="24"/>
        </w:rPr>
        <w:t>2、“有无偏差”一栏中竞标人应对所投产品的技术参数与竞争性谈判文件的要求进行对比，如无偏差请填写“无”的字样，如有偏差请注明“正偏差”或“负偏差”字样；</w:t>
      </w:r>
    </w:p>
    <w:p>
      <w:pPr>
        <w:spacing w:line="400" w:lineRule="exact"/>
        <w:rPr>
          <w:rFonts w:ascii="宋体" w:hAnsi="宋体"/>
          <w:sz w:val="24"/>
        </w:rPr>
      </w:pPr>
      <w:r>
        <w:rPr>
          <w:rFonts w:hint="eastAsia" w:ascii="宋体" w:hAnsi="宋体"/>
          <w:sz w:val="24"/>
        </w:rPr>
        <w:t>3、“偏差描述”一栏中由竞标人对所投产品的技术性能对应竞争性谈判文件要求就偏差之处作以重点描述；</w:t>
      </w:r>
    </w:p>
    <w:p>
      <w:pPr>
        <w:spacing w:line="400" w:lineRule="exact"/>
        <w:rPr>
          <w:rFonts w:ascii="宋体" w:hAnsi="宋体"/>
          <w:sz w:val="24"/>
        </w:rPr>
      </w:pPr>
      <w:r>
        <w:rPr>
          <w:rFonts w:hint="eastAsia" w:ascii="宋体" w:hAnsi="宋体"/>
          <w:sz w:val="24"/>
        </w:rPr>
        <w:t>4、表格由竞标人自行添加。</w:t>
      </w:r>
    </w:p>
    <w:p>
      <w:pPr>
        <w:spacing w:line="500" w:lineRule="exact"/>
        <w:ind w:firstLine="4800" w:firstLineChars="2000"/>
        <w:rPr>
          <w:rFonts w:ascii="宋体" w:hAnsi="宋体"/>
          <w:sz w:val="24"/>
        </w:rPr>
      </w:pPr>
      <w:r>
        <w:rPr>
          <w:rFonts w:hint="eastAsia" w:ascii="宋体" w:hAnsi="宋体"/>
          <w:sz w:val="24"/>
        </w:rPr>
        <w:t>竞标人：（盖章）</w:t>
      </w:r>
    </w:p>
    <w:p>
      <w:pPr>
        <w:spacing w:line="500" w:lineRule="exact"/>
        <w:ind w:firstLine="4800" w:firstLineChars="2000"/>
        <w:rPr>
          <w:rFonts w:ascii="宋体" w:hAnsi="宋体"/>
          <w:sz w:val="24"/>
        </w:rPr>
      </w:pPr>
      <w:r>
        <w:rPr>
          <w:rFonts w:hint="eastAsia" w:ascii="宋体" w:hAnsi="宋体"/>
          <w:sz w:val="24"/>
        </w:rPr>
        <w:t>法人代表或授权代表：（签字或盖章）</w:t>
      </w: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 xml:space="preserve">                                                         年    月    日</w:t>
      </w:r>
    </w:p>
    <w:p>
      <w:pPr>
        <w:tabs>
          <w:tab w:val="center" w:pos="4535"/>
          <w:tab w:val="right" w:pos="9071"/>
        </w:tabs>
        <w:spacing w:line="600" w:lineRule="exact"/>
        <w:jc w:val="left"/>
        <w:outlineLvl w:val="1"/>
        <w:rPr>
          <w:b/>
        </w:rPr>
      </w:pPr>
    </w:p>
    <w:p>
      <w:pPr>
        <w:spacing w:line="600" w:lineRule="exact"/>
        <w:jc w:val="center"/>
        <w:outlineLvl w:val="1"/>
        <w:rPr>
          <w:b/>
        </w:rPr>
      </w:pPr>
      <w:r>
        <w:rPr>
          <w:rFonts w:hAnsi="宋体"/>
        </w:rPr>
        <w:br w:type="page"/>
      </w:r>
      <w:bookmarkEnd w:id="109"/>
      <w:bookmarkEnd w:id="110"/>
      <w:bookmarkEnd w:id="111"/>
      <w:bookmarkEnd w:id="112"/>
      <w:bookmarkEnd w:id="113"/>
      <w:bookmarkStart w:id="117" w:name="_Toc66260337"/>
      <w:bookmarkStart w:id="118" w:name="_Toc503518698"/>
      <w:bookmarkStart w:id="119" w:name="_Toc197257505"/>
      <w:bookmarkStart w:id="120" w:name="_Toc193505088"/>
      <w:bookmarkStart w:id="121" w:name="_Toc210299562"/>
      <w:bookmarkStart w:id="122" w:name="_Toc197258133"/>
      <w:bookmarkStart w:id="123" w:name="_Toc225738986"/>
      <w:r>
        <w:rPr>
          <w:rFonts w:hint="eastAsia"/>
          <w:b/>
        </w:rPr>
        <w:t>10.售后服务</w:t>
      </w:r>
      <w:bookmarkEnd w:id="117"/>
    </w:p>
    <w:p>
      <w:pPr>
        <w:spacing w:line="600" w:lineRule="exact"/>
        <w:jc w:val="center"/>
        <w:outlineLvl w:val="1"/>
        <w:rPr>
          <w:b/>
        </w:rPr>
      </w:pPr>
    </w:p>
    <w:p>
      <w:pPr>
        <w:spacing w:line="600" w:lineRule="exact"/>
        <w:jc w:val="center"/>
        <w:outlineLvl w:val="1"/>
        <w:rPr>
          <w:b/>
        </w:rPr>
      </w:pPr>
    </w:p>
    <w:p>
      <w:pPr>
        <w:spacing w:line="600" w:lineRule="exact"/>
        <w:jc w:val="center"/>
        <w:outlineLvl w:val="1"/>
        <w:rPr>
          <w:b/>
        </w:rPr>
      </w:pPr>
    </w:p>
    <w:p>
      <w:pPr>
        <w:spacing w:line="600" w:lineRule="exact"/>
        <w:jc w:val="center"/>
        <w:outlineLvl w:val="1"/>
        <w:rPr>
          <w:b/>
        </w:rPr>
      </w:pPr>
    </w:p>
    <w:p>
      <w:pPr>
        <w:spacing w:line="600" w:lineRule="exact"/>
        <w:jc w:val="center"/>
        <w:outlineLvl w:val="1"/>
        <w:rPr>
          <w:b/>
        </w:rPr>
      </w:pPr>
    </w:p>
    <w:p>
      <w:pPr>
        <w:spacing w:line="600" w:lineRule="exact"/>
        <w:jc w:val="center"/>
        <w:outlineLvl w:val="1"/>
        <w:rPr>
          <w:b/>
        </w:rPr>
      </w:pPr>
    </w:p>
    <w:p>
      <w:pPr>
        <w:spacing w:line="600" w:lineRule="exact"/>
        <w:jc w:val="center"/>
        <w:outlineLvl w:val="1"/>
        <w:rPr>
          <w:b/>
        </w:rPr>
      </w:pPr>
    </w:p>
    <w:p>
      <w:pPr>
        <w:spacing w:line="600" w:lineRule="exact"/>
        <w:jc w:val="center"/>
        <w:outlineLvl w:val="1"/>
        <w:rPr>
          <w:b/>
        </w:rPr>
      </w:pPr>
    </w:p>
    <w:p>
      <w:pPr>
        <w:spacing w:line="600" w:lineRule="exact"/>
        <w:jc w:val="center"/>
        <w:outlineLvl w:val="1"/>
        <w:rPr>
          <w:b/>
        </w:rPr>
      </w:pPr>
    </w:p>
    <w:p>
      <w:pPr>
        <w:spacing w:line="600" w:lineRule="exact"/>
        <w:jc w:val="center"/>
        <w:outlineLvl w:val="1"/>
        <w:rPr>
          <w:b/>
        </w:rPr>
      </w:pPr>
    </w:p>
    <w:p>
      <w:pPr>
        <w:spacing w:line="600" w:lineRule="exact"/>
        <w:jc w:val="center"/>
        <w:outlineLvl w:val="1"/>
        <w:rPr>
          <w:b/>
        </w:rPr>
      </w:pPr>
    </w:p>
    <w:p>
      <w:pPr>
        <w:spacing w:line="600" w:lineRule="exact"/>
        <w:jc w:val="center"/>
        <w:outlineLvl w:val="1"/>
        <w:rPr>
          <w:b/>
        </w:rPr>
      </w:pPr>
    </w:p>
    <w:p>
      <w:pPr>
        <w:spacing w:line="600" w:lineRule="exact"/>
        <w:jc w:val="center"/>
        <w:outlineLvl w:val="1"/>
        <w:rPr>
          <w:b/>
        </w:rPr>
      </w:pPr>
    </w:p>
    <w:p>
      <w:pPr>
        <w:spacing w:line="600" w:lineRule="exact"/>
        <w:jc w:val="center"/>
        <w:outlineLvl w:val="1"/>
        <w:rPr>
          <w:b/>
        </w:rPr>
      </w:pPr>
    </w:p>
    <w:p>
      <w:pPr>
        <w:spacing w:line="600" w:lineRule="exact"/>
        <w:jc w:val="center"/>
        <w:outlineLvl w:val="1"/>
        <w:rPr>
          <w:b/>
        </w:rPr>
      </w:pPr>
    </w:p>
    <w:p>
      <w:pPr>
        <w:spacing w:line="600" w:lineRule="exact"/>
        <w:jc w:val="center"/>
        <w:outlineLvl w:val="1"/>
        <w:rPr>
          <w:b/>
        </w:rPr>
      </w:pPr>
    </w:p>
    <w:p>
      <w:pPr>
        <w:spacing w:line="600" w:lineRule="exact"/>
        <w:jc w:val="center"/>
        <w:outlineLvl w:val="1"/>
        <w:rPr>
          <w:b/>
        </w:rPr>
      </w:pPr>
    </w:p>
    <w:p>
      <w:pPr>
        <w:spacing w:line="600" w:lineRule="exact"/>
        <w:jc w:val="center"/>
        <w:outlineLvl w:val="1"/>
        <w:rPr>
          <w:b/>
        </w:rPr>
      </w:pPr>
    </w:p>
    <w:p>
      <w:pPr>
        <w:spacing w:line="600" w:lineRule="exact"/>
        <w:jc w:val="center"/>
        <w:outlineLvl w:val="1"/>
        <w:rPr>
          <w:b/>
        </w:rPr>
      </w:pPr>
    </w:p>
    <w:p>
      <w:pPr>
        <w:spacing w:line="600" w:lineRule="exact"/>
        <w:jc w:val="center"/>
        <w:outlineLvl w:val="1"/>
        <w:rPr>
          <w:b/>
        </w:rPr>
      </w:pPr>
    </w:p>
    <w:p>
      <w:pPr>
        <w:spacing w:line="600" w:lineRule="exact"/>
        <w:jc w:val="center"/>
        <w:outlineLvl w:val="1"/>
        <w:rPr>
          <w:b/>
        </w:rPr>
      </w:pPr>
    </w:p>
    <w:p>
      <w:pPr>
        <w:spacing w:line="600" w:lineRule="exact"/>
        <w:jc w:val="center"/>
        <w:outlineLvl w:val="1"/>
        <w:rPr>
          <w:rFonts w:ascii="宋体" w:hAnsi="宋体"/>
          <w:sz w:val="24"/>
        </w:rPr>
      </w:pPr>
    </w:p>
    <w:p>
      <w:pPr>
        <w:tabs>
          <w:tab w:val="center" w:pos="4535"/>
          <w:tab w:val="right" w:pos="9071"/>
        </w:tabs>
        <w:spacing w:line="600" w:lineRule="exact"/>
        <w:jc w:val="left"/>
        <w:outlineLvl w:val="1"/>
        <w:rPr>
          <w:b/>
        </w:rPr>
      </w:pPr>
      <w:r>
        <w:rPr>
          <w:rFonts w:ascii="宋体" w:hAnsi="宋体"/>
          <w:sz w:val="24"/>
        </w:rPr>
        <w:tab/>
      </w:r>
      <w:bookmarkStart w:id="124" w:name="_Toc66260338"/>
      <w:r>
        <w:rPr>
          <w:rFonts w:hint="eastAsia"/>
          <w:b/>
        </w:rPr>
        <w:t>11.竞争性谈判申请人认为需要提供的其他证明性材料</w:t>
      </w:r>
      <w:bookmarkEnd w:id="118"/>
      <w:bookmarkEnd w:id="124"/>
      <w:r>
        <w:rPr>
          <w:b/>
        </w:rPr>
        <w:tab/>
      </w:r>
    </w:p>
    <w:p>
      <w:pPr>
        <w:spacing w:line="540" w:lineRule="exact"/>
        <w:jc w:val="center"/>
        <w:rPr>
          <w:rFonts w:ascii="仿宋_GB2312" w:eastAsia="仿宋_GB2312"/>
          <w:sz w:val="32"/>
          <w:szCs w:val="32"/>
        </w:rPr>
      </w:pPr>
      <w:r>
        <w:rPr>
          <w:rFonts w:hint="eastAsia" w:ascii="仿宋_GB2312" w:eastAsia="仿宋_GB2312"/>
          <w:sz w:val="32"/>
          <w:szCs w:val="32"/>
        </w:rPr>
        <w:t>一</w:t>
      </w:r>
      <w:r>
        <w:rPr>
          <w:rFonts w:hint="eastAsia" w:ascii="宋体" w:hAnsi="宋体"/>
          <w:sz w:val="24"/>
        </w:rPr>
        <w:t>、</w:t>
      </w:r>
      <w:r>
        <w:rPr>
          <w:rFonts w:hint="eastAsia" w:ascii="仿宋_GB2312" w:eastAsia="仿宋_GB2312"/>
          <w:sz w:val="32"/>
          <w:szCs w:val="32"/>
        </w:rPr>
        <w:t>供应商诚信承诺书</w:t>
      </w:r>
    </w:p>
    <w:p>
      <w:pPr>
        <w:spacing w:line="420" w:lineRule="exact"/>
        <w:ind w:firstLine="480" w:firstLineChars="200"/>
        <w:rPr>
          <w:rFonts w:ascii="宋体" w:hAnsi="宋体"/>
          <w:sz w:val="24"/>
        </w:rPr>
      </w:pPr>
      <w:r>
        <w:rPr>
          <w:rFonts w:hint="eastAsia" w:ascii="宋体" w:hAnsi="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420" w:lineRule="exact"/>
        <w:ind w:firstLine="403" w:firstLineChars="168"/>
        <w:rPr>
          <w:rFonts w:ascii="宋体" w:hAnsi="宋体"/>
          <w:sz w:val="24"/>
        </w:rPr>
      </w:pPr>
      <w:r>
        <w:rPr>
          <w:rFonts w:hint="eastAsia" w:ascii="宋体" w:hAnsi="宋体"/>
          <w:sz w:val="24"/>
        </w:rPr>
        <w:t>（一）提供虚假材料谋取中标;</w:t>
      </w:r>
    </w:p>
    <w:p>
      <w:pPr>
        <w:spacing w:line="420" w:lineRule="exact"/>
        <w:ind w:firstLine="403" w:firstLineChars="168"/>
        <w:rPr>
          <w:rFonts w:ascii="宋体" w:hAnsi="宋体"/>
          <w:sz w:val="24"/>
        </w:rPr>
      </w:pPr>
      <w:r>
        <w:rPr>
          <w:rFonts w:hint="eastAsia" w:ascii="宋体" w:hAnsi="宋体"/>
          <w:sz w:val="24"/>
        </w:rPr>
        <w:t>（二）采取不正当手段诋毁、排挤其他供应商;</w:t>
      </w:r>
    </w:p>
    <w:p>
      <w:pPr>
        <w:spacing w:line="420" w:lineRule="exact"/>
        <w:ind w:firstLine="403" w:firstLineChars="168"/>
        <w:rPr>
          <w:rFonts w:ascii="宋体" w:hAnsi="宋体"/>
          <w:sz w:val="24"/>
        </w:rPr>
      </w:pPr>
      <w:r>
        <w:rPr>
          <w:rFonts w:hint="eastAsia" w:ascii="宋体" w:hAnsi="宋体"/>
          <w:sz w:val="24"/>
        </w:rPr>
        <w:t>（三）与招标采购单位、其他投标人恶意串通;</w:t>
      </w:r>
    </w:p>
    <w:p>
      <w:pPr>
        <w:spacing w:line="420" w:lineRule="exact"/>
        <w:ind w:firstLine="403" w:firstLineChars="168"/>
        <w:rPr>
          <w:rFonts w:ascii="宋体" w:hAnsi="宋体"/>
          <w:sz w:val="24"/>
        </w:rPr>
      </w:pPr>
      <w:r>
        <w:rPr>
          <w:rFonts w:hint="eastAsia" w:ascii="宋体" w:hAnsi="宋体"/>
          <w:sz w:val="24"/>
        </w:rPr>
        <w:t>（四）向招标采购单位或提供其他不正当利益;</w:t>
      </w:r>
    </w:p>
    <w:p>
      <w:pPr>
        <w:spacing w:line="420" w:lineRule="exact"/>
        <w:ind w:firstLine="403" w:firstLineChars="168"/>
        <w:rPr>
          <w:rFonts w:ascii="宋体" w:hAnsi="宋体"/>
          <w:sz w:val="24"/>
        </w:rPr>
      </w:pPr>
      <w:r>
        <w:rPr>
          <w:rFonts w:hint="eastAsia" w:ascii="宋体" w:hAnsi="宋体"/>
          <w:sz w:val="24"/>
        </w:rPr>
        <w:t>（五）在招标过程中与招标采购单位进行协商谈判、不按照招标文件和投标文件订立合同，或者与采购人另立背离合同实质性内容协议;</w:t>
      </w:r>
    </w:p>
    <w:p>
      <w:pPr>
        <w:spacing w:line="420" w:lineRule="exact"/>
        <w:ind w:firstLine="403" w:firstLineChars="168"/>
        <w:rPr>
          <w:rFonts w:ascii="宋体" w:hAnsi="宋体"/>
          <w:sz w:val="24"/>
        </w:rPr>
      </w:pPr>
      <w:r>
        <w:rPr>
          <w:rFonts w:hint="eastAsia" w:ascii="宋体" w:hAnsi="宋体"/>
          <w:sz w:val="24"/>
        </w:rPr>
        <w:t>（六）开标后擅自撤销投标，影响招标继续进行的或领取招标文件纳投标保证金后不投标导致废标;</w:t>
      </w:r>
    </w:p>
    <w:p>
      <w:pPr>
        <w:spacing w:line="420" w:lineRule="exact"/>
        <w:ind w:firstLine="403" w:firstLineChars="168"/>
        <w:rPr>
          <w:rFonts w:ascii="宋体" w:hAnsi="宋体"/>
          <w:sz w:val="24"/>
        </w:rPr>
      </w:pPr>
      <w:r>
        <w:rPr>
          <w:rFonts w:hint="eastAsia" w:ascii="宋体" w:hAnsi="宋体"/>
          <w:sz w:val="24"/>
        </w:rPr>
        <w:t>（七）中标后无正当理由，在规定时间内不与采购单位签订合同;</w:t>
      </w:r>
    </w:p>
    <w:p>
      <w:pPr>
        <w:spacing w:line="420" w:lineRule="exact"/>
        <w:ind w:firstLine="403" w:firstLineChars="168"/>
        <w:rPr>
          <w:rFonts w:ascii="宋体" w:hAnsi="宋体"/>
          <w:sz w:val="24"/>
        </w:rPr>
      </w:pPr>
      <w:r>
        <w:rPr>
          <w:rFonts w:hint="eastAsia" w:ascii="宋体" w:hAnsi="宋体"/>
          <w:sz w:val="24"/>
        </w:rPr>
        <w:t>（八）将中标项目转让给他人或非法分包他人;</w:t>
      </w:r>
    </w:p>
    <w:p>
      <w:pPr>
        <w:spacing w:line="420" w:lineRule="exact"/>
        <w:ind w:firstLine="403" w:firstLineChars="168"/>
        <w:rPr>
          <w:rFonts w:ascii="宋体" w:hAnsi="宋体"/>
          <w:sz w:val="24"/>
        </w:rPr>
      </w:pPr>
      <w:r>
        <w:rPr>
          <w:rFonts w:hint="eastAsia" w:ascii="宋体" w:hAnsi="宋体"/>
          <w:sz w:val="24"/>
        </w:rPr>
        <w:t>（九）无正当理由，拒绝履行合同义务;</w:t>
      </w:r>
    </w:p>
    <w:p>
      <w:pPr>
        <w:spacing w:line="420" w:lineRule="exact"/>
        <w:ind w:firstLine="403" w:firstLineChars="168"/>
        <w:rPr>
          <w:rFonts w:ascii="宋体" w:hAnsi="宋体"/>
          <w:sz w:val="24"/>
        </w:rPr>
      </w:pPr>
      <w:r>
        <w:rPr>
          <w:rFonts w:hint="eastAsia" w:ascii="宋体" w:hAnsi="宋体"/>
          <w:sz w:val="24"/>
        </w:rPr>
        <w:t>（十）无正当理由放弃中标（成交）项目;</w:t>
      </w:r>
    </w:p>
    <w:p>
      <w:pPr>
        <w:spacing w:line="420" w:lineRule="exact"/>
        <w:ind w:firstLine="403" w:firstLineChars="168"/>
        <w:rPr>
          <w:rFonts w:ascii="宋体" w:hAnsi="宋体"/>
          <w:sz w:val="24"/>
        </w:rPr>
      </w:pPr>
      <w:r>
        <w:rPr>
          <w:rFonts w:hint="eastAsia" w:ascii="宋体" w:hAnsi="宋体"/>
          <w:sz w:val="24"/>
        </w:rPr>
        <w:t>（十ー）擅自与采购人串通或接受采购人要求，在履约合同中通过减少货物数量，更换品牌、降低配置、技术要求、质量和服务标准等，却仍按原合同进行虚假验收或终止政府采购合同;</w:t>
      </w:r>
    </w:p>
    <w:p>
      <w:pPr>
        <w:spacing w:line="420" w:lineRule="exact"/>
        <w:ind w:firstLine="403" w:firstLineChars="168"/>
        <w:rPr>
          <w:rFonts w:ascii="宋体" w:hAnsi="宋体"/>
          <w:sz w:val="24"/>
        </w:rPr>
      </w:pPr>
      <w:r>
        <w:rPr>
          <w:rFonts w:hint="eastAsia" w:ascii="宋体" w:hAnsi="宋体"/>
          <w:sz w:val="24"/>
        </w:rPr>
        <w:t>（十二）与采购人串通，对尚未履约完毕的采购项目出具虚假验收报告；</w:t>
      </w:r>
    </w:p>
    <w:p>
      <w:pPr>
        <w:spacing w:line="420" w:lineRule="exact"/>
        <w:ind w:firstLine="403" w:firstLineChars="168"/>
        <w:rPr>
          <w:rFonts w:ascii="宋体" w:hAnsi="宋体"/>
          <w:sz w:val="24"/>
        </w:rPr>
      </w:pPr>
      <w:r>
        <w:rPr>
          <w:rFonts w:hint="eastAsia" w:ascii="宋体" w:hAnsi="宋体"/>
          <w:sz w:val="24"/>
        </w:rPr>
        <w:t>（十三）无不可抗力因素，拒绝提供</w:t>
      </w:r>
      <w:bookmarkStart w:id="131" w:name="_GoBack"/>
      <w:bookmarkEnd w:id="131"/>
      <w:r>
        <w:rPr>
          <w:rFonts w:hint="eastAsia" w:ascii="宋体" w:hAnsi="宋体"/>
          <w:sz w:val="24"/>
        </w:rPr>
        <w:t>售后服务、售后服务态度恶劣、故意提高维修配件价格（高于市场平均价）；</w:t>
      </w:r>
    </w:p>
    <w:p>
      <w:pPr>
        <w:spacing w:line="420" w:lineRule="exact"/>
        <w:ind w:firstLine="360" w:firstLineChars="150"/>
        <w:rPr>
          <w:rFonts w:ascii="宋体" w:hAnsi="宋体"/>
          <w:sz w:val="24"/>
        </w:rPr>
      </w:pPr>
      <w:r>
        <w:rPr>
          <w:rFonts w:hint="eastAsia" w:ascii="宋体" w:hAnsi="宋体"/>
          <w:sz w:val="24"/>
        </w:rPr>
        <w:t>（十四）开标后对招标文件的相关内容再进行质疑；</w:t>
      </w:r>
    </w:p>
    <w:p>
      <w:pPr>
        <w:spacing w:line="420" w:lineRule="exact"/>
        <w:ind w:firstLine="360" w:firstLineChars="150"/>
        <w:rPr>
          <w:rFonts w:ascii="宋体" w:hAnsi="宋体"/>
          <w:sz w:val="24"/>
        </w:rPr>
      </w:pPr>
      <w:r>
        <w:rPr>
          <w:rFonts w:hint="eastAsia" w:ascii="宋体" w:hAnsi="宋体"/>
          <w:sz w:val="24"/>
        </w:rPr>
        <w:t>（十五）恶意投诉的行为：投诉经查无实据的、捏造事实或者提供虚假设诉材料；</w:t>
      </w:r>
    </w:p>
    <w:p>
      <w:pPr>
        <w:spacing w:line="420" w:lineRule="exact"/>
        <w:ind w:firstLine="360" w:firstLineChars="150"/>
        <w:rPr>
          <w:rFonts w:ascii="宋体" w:hAnsi="宋体"/>
          <w:sz w:val="24"/>
        </w:rPr>
      </w:pPr>
      <w:r>
        <w:rPr>
          <w:rFonts w:hint="eastAsia" w:ascii="宋体" w:hAnsi="宋体"/>
          <w:sz w:val="24"/>
        </w:rPr>
        <w:t>（十六）拒绝有关部门监督检查或者提供虚假情况；</w:t>
      </w:r>
    </w:p>
    <w:p>
      <w:pPr>
        <w:spacing w:line="420" w:lineRule="exact"/>
        <w:ind w:firstLine="360" w:firstLineChars="150"/>
        <w:rPr>
          <w:rFonts w:ascii="宋体" w:hAnsi="宋体"/>
          <w:sz w:val="24"/>
        </w:rPr>
      </w:pPr>
      <w:r>
        <w:rPr>
          <w:rFonts w:hint="eastAsia" w:ascii="宋体" w:hAnsi="宋体"/>
          <w:sz w:val="24"/>
        </w:rPr>
        <w:t>（十七）政府采购监管部门认定的其他政府采购活动中的不诚信行为。</w:t>
      </w:r>
    </w:p>
    <w:p>
      <w:pPr>
        <w:spacing w:line="420" w:lineRule="exact"/>
        <w:jc w:val="left"/>
        <w:rPr>
          <w:rFonts w:ascii="宋体" w:hAnsi="宋体"/>
          <w:sz w:val="24"/>
        </w:rPr>
      </w:pPr>
      <w:r>
        <w:rPr>
          <w:rFonts w:hint="eastAsia" w:ascii="宋体" w:hAnsi="宋体"/>
          <w:sz w:val="24"/>
        </w:rPr>
        <w:t xml:space="preserve">    供应商名称：（盖章）</w:t>
      </w:r>
    </w:p>
    <w:p>
      <w:pPr>
        <w:spacing w:line="420" w:lineRule="exact"/>
        <w:ind w:right="640"/>
        <w:jc w:val="left"/>
        <w:rPr>
          <w:rFonts w:ascii="宋体" w:hAnsi="宋体"/>
          <w:sz w:val="24"/>
        </w:rPr>
      </w:pPr>
      <w:r>
        <w:rPr>
          <w:rFonts w:hint="eastAsia" w:ascii="宋体" w:hAnsi="宋体"/>
          <w:sz w:val="24"/>
        </w:rPr>
        <w:t xml:space="preserve">    法人代表或授权委托人： （签字）</w:t>
      </w:r>
    </w:p>
    <w:p>
      <w:pPr>
        <w:spacing w:line="420" w:lineRule="exact"/>
        <w:jc w:val="left"/>
        <w:rPr>
          <w:rFonts w:ascii="宋体" w:hAnsi="宋体"/>
          <w:sz w:val="24"/>
        </w:rPr>
      </w:pPr>
      <w:r>
        <w:rPr>
          <w:rFonts w:hint="eastAsia" w:ascii="宋体" w:hAnsi="宋体"/>
          <w:sz w:val="24"/>
        </w:rPr>
        <w:t xml:space="preserve">     日期：      年   月    日</w:t>
      </w:r>
    </w:p>
    <w:p>
      <w:pPr>
        <w:spacing w:line="420" w:lineRule="exact"/>
        <w:jc w:val="left"/>
        <w:rPr>
          <w:rFonts w:ascii="宋体" w:hAnsi="宋体"/>
          <w:sz w:val="24"/>
        </w:rPr>
      </w:pPr>
    </w:p>
    <w:p>
      <w:pPr>
        <w:spacing w:line="240" w:lineRule="auto"/>
        <w:jc w:val="center"/>
        <w:rPr>
          <w:rFonts w:ascii="仿宋_GB2312" w:eastAsia="仿宋_GB2312"/>
          <w:sz w:val="32"/>
          <w:szCs w:val="32"/>
        </w:rPr>
      </w:pPr>
      <w:r>
        <w:rPr>
          <w:rFonts w:hint="eastAsia"/>
        </w:rPr>
        <w:t>二、其他证明性材料</w:t>
      </w:r>
    </w:p>
    <w:p>
      <w:pPr>
        <w:spacing w:line="240" w:lineRule="auto"/>
        <w:jc w:val="center"/>
        <w:rPr>
          <w:rFonts w:ascii="仿宋_GB2312" w:eastAsia="仿宋_GB2312"/>
          <w:sz w:val="32"/>
          <w:szCs w:val="32"/>
        </w:rPr>
      </w:pPr>
    </w:p>
    <w:p>
      <w:pPr>
        <w:tabs>
          <w:tab w:val="center" w:pos="4535"/>
          <w:tab w:val="right" w:pos="9071"/>
        </w:tabs>
        <w:spacing w:line="600" w:lineRule="exact"/>
        <w:jc w:val="left"/>
        <w:outlineLvl w:val="1"/>
        <w:rPr>
          <w:rFonts w:ascii="宋体" w:hAnsi="宋体"/>
          <w:sz w:val="28"/>
          <w:szCs w:val="28"/>
        </w:rPr>
      </w:pPr>
    </w:p>
    <w:p>
      <w:pPr>
        <w:tabs>
          <w:tab w:val="center" w:pos="4535"/>
          <w:tab w:val="right" w:pos="9071"/>
        </w:tabs>
        <w:spacing w:line="600" w:lineRule="exact"/>
        <w:jc w:val="left"/>
        <w:outlineLvl w:val="1"/>
        <w:rPr>
          <w:rFonts w:ascii="宋体" w:hAnsi="宋体"/>
          <w:sz w:val="28"/>
          <w:szCs w:val="28"/>
        </w:rPr>
      </w:pPr>
    </w:p>
    <w:p>
      <w:pPr>
        <w:tabs>
          <w:tab w:val="center" w:pos="4535"/>
          <w:tab w:val="right" w:pos="9071"/>
        </w:tabs>
        <w:spacing w:line="600" w:lineRule="exact"/>
        <w:jc w:val="left"/>
        <w:outlineLvl w:val="1"/>
        <w:rPr>
          <w:rFonts w:ascii="宋体" w:hAnsi="宋体"/>
          <w:sz w:val="28"/>
          <w:szCs w:val="28"/>
        </w:rPr>
      </w:pPr>
    </w:p>
    <w:p>
      <w:pPr>
        <w:tabs>
          <w:tab w:val="center" w:pos="4535"/>
          <w:tab w:val="right" w:pos="9071"/>
        </w:tabs>
        <w:spacing w:line="600" w:lineRule="exact"/>
        <w:jc w:val="left"/>
        <w:outlineLvl w:val="1"/>
        <w:rPr>
          <w:rFonts w:ascii="宋体" w:hAnsi="宋体"/>
          <w:sz w:val="28"/>
          <w:szCs w:val="28"/>
        </w:rPr>
      </w:pPr>
    </w:p>
    <w:p>
      <w:pPr>
        <w:tabs>
          <w:tab w:val="center" w:pos="4535"/>
          <w:tab w:val="right" w:pos="9071"/>
        </w:tabs>
        <w:spacing w:line="600" w:lineRule="exact"/>
        <w:jc w:val="left"/>
        <w:outlineLvl w:val="1"/>
        <w:rPr>
          <w:rFonts w:ascii="宋体" w:hAnsi="宋体"/>
          <w:sz w:val="28"/>
          <w:szCs w:val="28"/>
        </w:rPr>
      </w:pPr>
    </w:p>
    <w:p>
      <w:pPr>
        <w:tabs>
          <w:tab w:val="center" w:pos="4535"/>
          <w:tab w:val="right" w:pos="9071"/>
        </w:tabs>
        <w:spacing w:line="600" w:lineRule="exact"/>
        <w:jc w:val="left"/>
        <w:outlineLvl w:val="1"/>
        <w:rPr>
          <w:rFonts w:ascii="宋体" w:hAnsi="宋体"/>
          <w:sz w:val="28"/>
          <w:szCs w:val="28"/>
        </w:rPr>
      </w:pPr>
    </w:p>
    <w:p>
      <w:pPr>
        <w:tabs>
          <w:tab w:val="center" w:pos="4535"/>
          <w:tab w:val="right" w:pos="9071"/>
        </w:tabs>
        <w:spacing w:line="600" w:lineRule="exact"/>
        <w:jc w:val="left"/>
        <w:outlineLvl w:val="1"/>
        <w:rPr>
          <w:rFonts w:ascii="宋体" w:hAnsi="宋体"/>
          <w:sz w:val="28"/>
          <w:szCs w:val="28"/>
        </w:rPr>
      </w:pPr>
    </w:p>
    <w:p>
      <w:pPr>
        <w:tabs>
          <w:tab w:val="center" w:pos="4535"/>
          <w:tab w:val="right" w:pos="9071"/>
        </w:tabs>
        <w:spacing w:line="600" w:lineRule="exact"/>
        <w:jc w:val="left"/>
        <w:outlineLvl w:val="1"/>
        <w:rPr>
          <w:rFonts w:ascii="宋体" w:hAnsi="宋体"/>
          <w:sz w:val="28"/>
          <w:szCs w:val="28"/>
        </w:rPr>
      </w:pPr>
    </w:p>
    <w:p>
      <w:pPr>
        <w:tabs>
          <w:tab w:val="center" w:pos="4535"/>
          <w:tab w:val="right" w:pos="9071"/>
        </w:tabs>
        <w:spacing w:line="600" w:lineRule="exact"/>
        <w:jc w:val="left"/>
        <w:outlineLvl w:val="1"/>
        <w:rPr>
          <w:rFonts w:ascii="宋体" w:hAnsi="宋体"/>
          <w:sz w:val="28"/>
          <w:szCs w:val="28"/>
        </w:rPr>
      </w:pPr>
    </w:p>
    <w:p>
      <w:pPr>
        <w:tabs>
          <w:tab w:val="center" w:pos="4535"/>
          <w:tab w:val="right" w:pos="9071"/>
        </w:tabs>
        <w:spacing w:line="600" w:lineRule="exact"/>
        <w:jc w:val="left"/>
        <w:outlineLvl w:val="1"/>
        <w:rPr>
          <w:rFonts w:ascii="宋体" w:hAnsi="宋体"/>
          <w:sz w:val="28"/>
          <w:szCs w:val="28"/>
        </w:rPr>
      </w:pPr>
    </w:p>
    <w:p>
      <w:pPr>
        <w:tabs>
          <w:tab w:val="center" w:pos="4535"/>
          <w:tab w:val="right" w:pos="9071"/>
        </w:tabs>
        <w:spacing w:line="600" w:lineRule="exact"/>
        <w:jc w:val="left"/>
        <w:outlineLvl w:val="1"/>
        <w:rPr>
          <w:rFonts w:ascii="宋体" w:hAnsi="宋体"/>
          <w:sz w:val="28"/>
          <w:szCs w:val="28"/>
        </w:rPr>
      </w:pPr>
    </w:p>
    <w:p>
      <w:pPr>
        <w:tabs>
          <w:tab w:val="center" w:pos="4535"/>
          <w:tab w:val="right" w:pos="9071"/>
        </w:tabs>
        <w:spacing w:line="600" w:lineRule="exact"/>
        <w:jc w:val="left"/>
        <w:outlineLvl w:val="1"/>
        <w:rPr>
          <w:rFonts w:ascii="宋体" w:hAnsi="宋体"/>
          <w:sz w:val="28"/>
          <w:szCs w:val="28"/>
        </w:rPr>
      </w:pPr>
    </w:p>
    <w:p>
      <w:pPr>
        <w:tabs>
          <w:tab w:val="center" w:pos="4535"/>
          <w:tab w:val="right" w:pos="9071"/>
        </w:tabs>
        <w:spacing w:line="600" w:lineRule="exact"/>
        <w:jc w:val="left"/>
        <w:outlineLvl w:val="1"/>
        <w:rPr>
          <w:rFonts w:ascii="宋体" w:hAnsi="宋体"/>
          <w:sz w:val="28"/>
          <w:szCs w:val="28"/>
        </w:rPr>
      </w:pPr>
    </w:p>
    <w:p>
      <w:pPr>
        <w:tabs>
          <w:tab w:val="center" w:pos="4535"/>
          <w:tab w:val="right" w:pos="9071"/>
        </w:tabs>
        <w:spacing w:line="600" w:lineRule="exact"/>
        <w:jc w:val="left"/>
        <w:outlineLvl w:val="1"/>
        <w:rPr>
          <w:rFonts w:ascii="宋体" w:hAnsi="宋体"/>
          <w:sz w:val="28"/>
          <w:szCs w:val="28"/>
        </w:rPr>
      </w:pPr>
    </w:p>
    <w:p>
      <w:pPr>
        <w:tabs>
          <w:tab w:val="center" w:pos="4535"/>
          <w:tab w:val="right" w:pos="9071"/>
        </w:tabs>
        <w:spacing w:line="600" w:lineRule="exact"/>
        <w:jc w:val="left"/>
        <w:outlineLvl w:val="1"/>
        <w:rPr>
          <w:rFonts w:ascii="宋体" w:hAnsi="宋体"/>
          <w:sz w:val="28"/>
          <w:szCs w:val="28"/>
        </w:rPr>
      </w:pPr>
    </w:p>
    <w:p>
      <w:pPr>
        <w:tabs>
          <w:tab w:val="center" w:pos="4535"/>
          <w:tab w:val="right" w:pos="9071"/>
        </w:tabs>
        <w:spacing w:line="600" w:lineRule="exact"/>
        <w:jc w:val="left"/>
        <w:outlineLvl w:val="1"/>
        <w:rPr>
          <w:b/>
        </w:rPr>
      </w:pPr>
    </w:p>
    <w:p>
      <w:pPr>
        <w:tabs>
          <w:tab w:val="center" w:pos="4535"/>
          <w:tab w:val="right" w:pos="9071"/>
        </w:tabs>
        <w:spacing w:line="600" w:lineRule="exact"/>
        <w:jc w:val="left"/>
        <w:outlineLvl w:val="1"/>
        <w:rPr>
          <w:b/>
        </w:rPr>
      </w:pPr>
    </w:p>
    <w:p>
      <w:pPr>
        <w:tabs>
          <w:tab w:val="center" w:pos="4535"/>
          <w:tab w:val="right" w:pos="9071"/>
        </w:tabs>
        <w:spacing w:line="600" w:lineRule="exact"/>
        <w:jc w:val="left"/>
        <w:outlineLvl w:val="1"/>
        <w:rPr>
          <w:b/>
        </w:rPr>
      </w:pPr>
    </w:p>
    <w:p>
      <w:pPr>
        <w:tabs>
          <w:tab w:val="center" w:pos="4535"/>
          <w:tab w:val="right" w:pos="9071"/>
        </w:tabs>
        <w:spacing w:line="600" w:lineRule="exact"/>
        <w:jc w:val="left"/>
        <w:outlineLvl w:val="1"/>
        <w:rPr>
          <w:b/>
        </w:rPr>
      </w:pPr>
    </w:p>
    <w:p>
      <w:pPr>
        <w:tabs>
          <w:tab w:val="center" w:pos="4535"/>
          <w:tab w:val="right" w:pos="9071"/>
        </w:tabs>
        <w:spacing w:line="600" w:lineRule="exact"/>
        <w:jc w:val="left"/>
        <w:outlineLvl w:val="1"/>
        <w:rPr>
          <w:b/>
        </w:rPr>
      </w:pPr>
    </w:p>
    <w:p>
      <w:pPr>
        <w:tabs>
          <w:tab w:val="center" w:pos="4535"/>
          <w:tab w:val="right" w:pos="9071"/>
        </w:tabs>
        <w:spacing w:line="600" w:lineRule="exact"/>
        <w:jc w:val="left"/>
        <w:outlineLvl w:val="1"/>
        <w:rPr>
          <w:b/>
        </w:rPr>
      </w:pPr>
    </w:p>
    <w:p>
      <w:pPr>
        <w:pStyle w:val="3"/>
        <w:jc w:val="left"/>
        <w:rPr>
          <w:rFonts w:asciiTheme="minorEastAsia" w:hAnsiTheme="minorEastAsia" w:eastAsiaTheme="minorEastAsia"/>
          <w:b w:val="0"/>
        </w:rPr>
      </w:pPr>
      <w:bookmarkStart w:id="125" w:name="_Toc518284643"/>
      <w:bookmarkStart w:id="126" w:name="_Toc503518700"/>
      <w:bookmarkStart w:id="127" w:name="_Toc503519241"/>
      <w:bookmarkStart w:id="128" w:name="_Toc503518699"/>
      <w:bookmarkStart w:id="129" w:name="_Toc517182698"/>
      <w:bookmarkStart w:id="130" w:name="_Toc66260339"/>
      <w:r>
        <w:rPr>
          <w:rFonts w:hint="eastAsia" w:asciiTheme="minorEastAsia" w:hAnsiTheme="minorEastAsia" w:eastAsiaTheme="minorEastAsia"/>
          <w:b w:val="0"/>
        </w:rPr>
        <w:t>附件：</w:t>
      </w:r>
      <w:bookmarkEnd w:id="125"/>
      <w:bookmarkEnd w:id="126"/>
      <w:bookmarkEnd w:id="127"/>
      <w:bookmarkEnd w:id="128"/>
      <w:bookmarkEnd w:id="129"/>
      <w:bookmarkEnd w:id="130"/>
    </w:p>
    <w:p>
      <w:pPr>
        <w:spacing w:line="360" w:lineRule="auto"/>
        <w:jc w:val="center"/>
        <w:rPr>
          <w:rFonts w:asciiTheme="minorEastAsia" w:hAnsiTheme="minorEastAsia" w:eastAsiaTheme="minorEastAsia"/>
          <w:b/>
          <w:szCs w:val="30"/>
        </w:rPr>
      </w:pPr>
      <w:r>
        <w:rPr>
          <w:rFonts w:hint="eastAsia" w:asciiTheme="minorEastAsia" w:hAnsiTheme="minorEastAsia" w:eastAsiaTheme="minorEastAsia"/>
          <w:b/>
          <w:szCs w:val="30"/>
          <w:lang w:eastAsia="zh-CN"/>
        </w:rPr>
        <w:t>周口市第二人民医院（周口市老年医院）七一路院区部分病房安装中央空调项目</w:t>
      </w:r>
      <w:r>
        <w:rPr>
          <w:rFonts w:hint="eastAsia" w:asciiTheme="minorEastAsia" w:hAnsiTheme="minorEastAsia" w:eastAsiaTheme="minorEastAsia"/>
          <w:b/>
          <w:szCs w:val="30"/>
        </w:rPr>
        <w:t>竞争性谈判最终报价单</w:t>
      </w:r>
    </w:p>
    <w:p>
      <w:pPr>
        <w:spacing w:line="360" w:lineRule="auto"/>
        <w:jc w:val="center"/>
        <w:rPr>
          <w:rFonts w:asciiTheme="minorEastAsia" w:hAnsiTheme="minorEastAsia" w:eastAsiaTheme="minorEastAsia"/>
          <w:sz w:val="24"/>
        </w:rPr>
      </w:pPr>
    </w:p>
    <w:p>
      <w:pPr>
        <w:pStyle w:val="22"/>
        <w:spacing w:line="360" w:lineRule="auto"/>
        <w:rPr>
          <w:rFonts w:hint="eastAsia" w:asciiTheme="minorEastAsia" w:hAnsiTheme="minorEastAsia" w:eastAsiaTheme="minorEastAsia"/>
          <w:b/>
          <w:sz w:val="30"/>
          <w:szCs w:val="30"/>
          <w:lang w:eastAsia="zh-CN"/>
        </w:rPr>
      </w:pPr>
      <w:r>
        <w:rPr>
          <w:rFonts w:asciiTheme="minorEastAsia" w:hAnsiTheme="minorEastAsia" w:eastAsiaTheme="minorEastAsia"/>
          <w:b/>
          <w:sz w:val="30"/>
          <w:szCs w:val="30"/>
        </w:rPr>
        <w:t>致：</w:t>
      </w:r>
      <w:r>
        <w:rPr>
          <w:rFonts w:hint="eastAsia" w:asciiTheme="minorEastAsia" w:hAnsiTheme="minorEastAsia" w:eastAsiaTheme="minorEastAsia"/>
          <w:b/>
          <w:sz w:val="30"/>
          <w:szCs w:val="30"/>
          <w:lang w:eastAsia="zh-CN"/>
        </w:rPr>
        <w:t>周口市第二人民医院(周口市老年医院）</w:t>
      </w:r>
    </w:p>
    <w:p>
      <w:pPr>
        <w:spacing w:line="360" w:lineRule="auto"/>
        <w:ind w:firstLine="523" w:firstLineChars="187"/>
        <w:rPr>
          <w:rFonts w:asciiTheme="minorEastAsia" w:hAnsiTheme="minorEastAsia" w:eastAsiaTheme="minorEastAsia"/>
          <w:sz w:val="28"/>
        </w:rPr>
      </w:pPr>
      <w:r>
        <w:rPr>
          <w:rFonts w:hint="eastAsia" w:asciiTheme="minorEastAsia" w:hAnsiTheme="minorEastAsia" w:eastAsiaTheme="minorEastAsia"/>
          <w:sz w:val="28"/>
        </w:rPr>
        <w:t>我单位经认真考虑，竞争性谈判申请文件技术要求完全响应竞争性谈判文件的最终报价为：大写：</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（小写：￥：</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元），并承诺：</w:t>
      </w:r>
      <w:r>
        <w:rPr>
          <w:rFonts w:asciiTheme="minorEastAsia" w:hAnsiTheme="minorEastAsia" w:eastAsiaTheme="minorEastAsia"/>
          <w:sz w:val="28"/>
        </w:rPr>
        <w:t>我们已经详细审核了全部竞争性谈判文件，包括修改、补充的文件(如果有的话)和参考资料及有关附件，我们完全理解并同意放弃对这方面有不明及误解的权利</w:t>
      </w:r>
      <w:r>
        <w:rPr>
          <w:rFonts w:hint="eastAsia" w:asciiTheme="minorEastAsia" w:hAnsiTheme="minorEastAsia" w:eastAsiaTheme="minorEastAsia"/>
          <w:sz w:val="28"/>
        </w:rPr>
        <w:t>，对我方的谈判澄清文件（若有）负责，完全履行谈判澄清文件的义务。我们愿按《中华人民共和国民法典》履行自己的全部责任。</w:t>
      </w:r>
    </w:p>
    <w:p>
      <w:pPr>
        <w:spacing w:line="360" w:lineRule="auto"/>
        <w:ind w:firstLine="448" w:firstLineChars="187"/>
        <w:rPr>
          <w:rFonts w:asciiTheme="minorEastAsia" w:hAnsiTheme="minorEastAsia" w:eastAsiaTheme="minorEastAsia"/>
          <w:sz w:val="24"/>
          <w:u w:val="single"/>
        </w:rPr>
      </w:pPr>
    </w:p>
    <w:bookmarkEnd w:id="119"/>
    <w:bookmarkEnd w:id="120"/>
    <w:bookmarkEnd w:id="121"/>
    <w:bookmarkEnd w:id="122"/>
    <w:bookmarkEnd w:id="123"/>
    <w:p>
      <w:pPr>
        <w:spacing w:line="500" w:lineRule="exact"/>
        <w:ind w:firstLine="3960" w:firstLineChars="1650"/>
        <w:jc w:val="right"/>
        <w:rPr>
          <w:rFonts w:asciiTheme="minorEastAsia" w:hAnsiTheme="minorEastAsia" w:eastAsiaTheme="minorEastAsia"/>
          <w:sz w:val="24"/>
        </w:rPr>
      </w:pPr>
      <w:r>
        <w:rPr>
          <w:rFonts w:hint="eastAsia" w:asciiTheme="minorEastAsia" w:hAnsiTheme="minorEastAsia" w:eastAsiaTheme="minorEastAsia"/>
          <w:sz w:val="24"/>
        </w:rPr>
        <w:t>竞标人：（盖章）</w:t>
      </w:r>
    </w:p>
    <w:p>
      <w:pPr>
        <w:spacing w:line="500" w:lineRule="exact"/>
        <w:ind w:firstLine="3960" w:firstLineChars="1650"/>
        <w:jc w:val="right"/>
        <w:rPr>
          <w:rFonts w:asciiTheme="minorEastAsia" w:hAnsiTheme="minorEastAsia" w:eastAsiaTheme="minorEastAsia"/>
          <w:sz w:val="24"/>
        </w:rPr>
      </w:pPr>
      <w:r>
        <w:rPr>
          <w:rFonts w:hint="eastAsia" w:asciiTheme="minorEastAsia" w:hAnsiTheme="minorEastAsia" w:eastAsiaTheme="minorEastAsia"/>
          <w:sz w:val="24"/>
        </w:rPr>
        <w:t>法人代表或授权代表：</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pPr>
        <w:spacing w:line="500" w:lineRule="exact"/>
        <w:ind w:firstLine="4392" w:firstLineChars="1830"/>
        <w:jc w:val="right"/>
        <w:rPr>
          <w:rFonts w:asciiTheme="minorEastAsia" w:hAnsiTheme="minorEastAsia" w:eastAsiaTheme="minorEastAsia"/>
          <w:sz w:val="24"/>
        </w:rPr>
      </w:pPr>
    </w:p>
    <w:p>
      <w:pPr>
        <w:spacing w:line="500" w:lineRule="exact"/>
        <w:ind w:firstLine="4392" w:firstLineChars="1830"/>
        <w:jc w:val="right"/>
        <w:rPr>
          <w:rFonts w:asciiTheme="minorEastAsia" w:hAnsiTheme="minorEastAsia" w:eastAsiaTheme="minorEastAsia"/>
          <w:sz w:val="24"/>
        </w:rPr>
      </w:pPr>
      <w:r>
        <w:rPr>
          <w:rFonts w:hint="eastAsia" w:asciiTheme="minorEastAsia" w:hAnsiTheme="minorEastAsia" w:eastAsiaTheme="minorEastAsia"/>
          <w:sz w:val="24"/>
        </w:rPr>
        <w:t xml:space="preserve">     年  月  日</w:t>
      </w:r>
    </w:p>
    <w:p>
      <w:pPr>
        <w:spacing w:line="360" w:lineRule="auto"/>
        <w:ind w:left="3240" w:hanging="3240" w:hangingChars="1350"/>
        <w:rPr>
          <w:rFonts w:asciiTheme="minorEastAsia" w:hAnsiTheme="minorEastAsia" w:eastAsiaTheme="minorEastAsia"/>
          <w:sz w:val="24"/>
        </w:rPr>
      </w:pPr>
    </w:p>
    <w:p>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此报价单为谈判后竞标人最终报价使用，在竞争性谈判申请文件中，竞标人无须附此项内容，在最终报价时使用。</w:t>
      </w:r>
      <w:bookmarkEnd w:id="74"/>
      <w:bookmarkEnd w:id="75"/>
    </w:p>
    <w:sectPr>
      <w:pgSz w:w="11907" w:h="16840"/>
      <w:pgMar w:top="1418" w:right="1418" w:bottom="1418" w:left="1418" w:header="403" w:footer="403" w:gutter="0"/>
      <w:pgNumType w:fmt="decimal"/>
      <w:cols w:space="720" w:num="1"/>
      <w:docGrid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roman"/>
    <w:pitch w:val="default"/>
    <w:sig w:usb0="00000000" w:usb1="00000000" w:usb2="00000000" w:usb3="00000000" w:csb0="00000000" w:csb1="0000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Museo Sans For Dell 300">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37"/>
      </w:rPr>
    </w:pPr>
    <w:r>
      <w:fldChar w:fldCharType="begin"/>
    </w:r>
    <w:r>
      <w:rPr>
        <w:rStyle w:val="37"/>
      </w:rPr>
      <w:instrText xml:space="preserve">PAGE  </w:instrText>
    </w:r>
    <w:r>
      <w:fldChar w:fldCharType="end"/>
    </w:r>
  </w:p>
  <w:p>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35</w:t>
    </w:r>
    <w:r>
      <w:rPr>
        <w:b/>
        <w:sz w:val="24"/>
        <w:szCs w:val="24"/>
      </w:rPr>
      <w:fldChar w:fldCharType="end"/>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szCs w:val="18"/>
      </w:rP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91A44"/>
    <w:multiLevelType w:val="multilevel"/>
    <w:tmpl w:val="10391A44"/>
    <w:lvl w:ilvl="0" w:tentative="0">
      <w:start w:val="7"/>
      <w:numFmt w:val="decimal"/>
      <w:lvlText w:val="%1."/>
      <w:lvlJc w:val="left"/>
      <w:pPr>
        <w:tabs>
          <w:tab w:val="left" w:pos="420"/>
        </w:tabs>
        <w:ind w:left="420" w:hanging="420"/>
      </w:pPr>
      <w:rPr>
        <w:rFonts w:hint="eastAsia"/>
      </w:rPr>
    </w:lvl>
    <w:lvl w:ilvl="1" w:tentative="0">
      <w:start w:val="1"/>
      <w:numFmt w:val="decimal"/>
      <w:lvlText w:val="6.%2"/>
      <w:lvlJc w:val="left"/>
      <w:pPr>
        <w:tabs>
          <w:tab w:val="left" w:pos="420"/>
        </w:tabs>
        <w:ind w:left="420" w:hanging="420"/>
      </w:pPr>
      <w:rPr>
        <w:rFonts w:hint="eastAsia"/>
      </w:rPr>
    </w:lvl>
    <w:lvl w:ilvl="2" w:tentative="0">
      <w:start w:val="1"/>
      <w:numFmt w:val="lowerRoman"/>
      <w:lvlText w:val="%3."/>
      <w:lvlJc w:val="right"/>
      <w:pPr>
        <w:tabs>
          <w:tab w:val="left" w:pos="720"/>
        </w:tabs>
        <w:ind w:left="720" w:hanging="420"/>
      </w:pPr>
      <w:rPr>
        <w:rFonts w:hint="eastAsia"/>
      </w:rPr>
    </w:lvl>
    <w:lvl w:ilvl="3" w:tentative="0">
      <w:start w:val="1"/>
      <w:numFmt w:val="decimal"/>
      <w:lvlText w:val="%2%4."/>
      <w:lvlJc w:val="left"/>
      <w:pPr>
        <w:tabs>
          <w:tab w:val="left" w:pos="1140"/>
        </w:tabs>
        <w:ind w:left="1140" w:hanging="420"/>
      </w:pPr>
      <w:rPr>
        <w:rFonts w:hint="eastAsia"/>
      </w:rPr>
    </w:lvl>
    <w:lvl w:ilvl="4" w:tentative="0">
      <w:start w:val="1"/>
      <w:numFmt w:val="lowerLetter"/>
      <w:lvlText w:val="%5)"/>
      <w:lvlJc w:val="left"/>
      <w:pPr>
        <w:tabs>
          <w:tab w:val="left" w:pos="1560"/>
        </w:tabs>
        <w:ind w:left="1560" w:hanging="420"/>
      </w:pPr>
      <w:rPr>
        <w:rFonts w:hint="eastAsia"/>
      </w:rPr>
    </w:lvl>
    <w:lvl w:ilvl="5" w:tentative="0">
      <w:start w:val="1"/>
      <w:numFmt w:val="lowerRoman"/>
      <w:lvlText w:val="%6."/>
      <w:lvlJc w:val="right"/>
      <w:pPr>
        <w:tabs>
          <w:tab w:val="left" w:pos="1980"/>
        </w:tabs>
        <w:ind w:left="1980" w:hanging="420"/>
      </w:pPr>
      <w:rPr>
        <w:rFonts w:hint="eastAsia"/>
      </w:rPr>
    </w:lvl>
    <w:lvl w:ilvl="6" w:tentative="0">
      <w:start w:val="1"/>
      <w:numFmt w:val="decimal"/>
      <w:lvlText w:val="%7."/>
      <w:lvlJc w:val="left"/>
      <w:pPr>
        <w:tabs>
          <w:tab w:val="left" w:pos="2400"/>
        </w:tabs>
        <w:ind w:left="2400" w:hanging="420"/>
      </w:pPr>
      <w:rPr>
        <w:rFonts w:hint="eastAsia"/>
      </w:rPr>
    </w:lvl>
    <w:lvl w:ilvl="7" w:tentative="0">
      <w:start w:val="1"/>
      <w:numFmt w:val="lowerLetter"/>
      <w:lvlText w:val="%8)"/>
      <w:lvlJc w:val="left"/>
      <w:pPr>
        <w:tabs>
          <w:tab w:val="left" w:pos="2820"/>
        </w:tabs>
        <w:ind w:left="2820" w:hanging="420"/>
      </w:pPr>
      <w:rPr>
        <w:rFonts w:hint="eastAsia"/>
      </w:rPr>
    </w:lvl>
    <w:lvl w:ilvl="8" w:tentative="0">
      <w:start w:val="1"/>
      <w:numFmt w:val="lowerRoman"/>
      <w:lvlText w:val="%9."/>
      <w:lvlJc w:val="right"/>
      <w:pPr>
        <w:tabs>
          <w:tab w:val="left" w:pos="3240"/>
        </w:tabs>
        <w:ind w:left="3240" w:hanging="420"/>
      </w:pPr>
      <w:rPr>
        <w:rFonts w:hint="eastAsia"/>
      </w:rPr>
    </w:lvl>
  </w:abstractNum>
  <w:abstractNum w:abstractNumId="1">
    <w:nsid w:val="13641D41"/>
    <w:multiLevelType w:val="multilevel"/>
    <w:tmpl w:val="13641D41"/>
    <w:lvl w:ilvl="0" w:tentative="0">
      <w:start w:val="4"/>
      <w:numFmt w:val="decimal"/>
      <w:lvlText w:val="%1."/>
      <w:lvlJc w:val="left"/>
      <w:pPr>
        <w:tabs>
          <w:tab w:val="left" w:pos="420"/>
        </w:tabs>
        <w:ind w:left="420" w:hanging="420"/>
      </w:pPr>
      <w:rPr>
        <w:rFonts w:hint="eastAsia"/>
      </w:rPr>
    </w:lvl>
    <w:lvl w:ilvl="1" w:tentative="0">
      <w:start w:val="1"/>
      <w:numFmt w:val="decimal"/>
      <w:lvlText w:val="3.%2"/>
      <w:lvlJc w:val="left"/>
      <w:pPr>
        <w:tabs>
          <w:tab w:val="left" w:pos="420"/>
        </w:tabs>
        <w:ind w:left="420" w:hanging="420"/>
      </w:pPr>
      <w:rPr>
        <w:rFonts w:hint="eastAsia"/>
      </w:rPr>
    </w:lvl>
    <w:lvl w:ilvl="2" w:tentative="0">
      <w:start w:val="1"/>
      <w:numFmt w:val="lowerRoman"/>
      <w:lvlText w:val="%3."/>
      <w:lvlJc w:val="right"/>
      <w:pPr>
        <w:tabs>
          <w:tab w:val="left" w:pos="720"/>
        </w:tabs>
        <w:ind w:left="720" w:hanging="420"/>
      </w:pPr>
      <w:rPr>
        <w:rFonts w:hint="eastAsia"/>
      </w:rPr>
    </w:lvl>
    <w:lvl w:ilvl="3" w:tentative="0">
      <w:start w:val="1"/>
      <w:numFmt w:val="decimal"/>
      <w:lvlText w:val="%2%4."/>
      <w:lvlJc w:val="left"/>
      <w:pPr>
        <w:tabs>
          <w:tab w:val="left" w:pos="1140"/>
        </w:tabs>
        <w:ind w:left="1140" w:hanging="420"/>
      </w:pPr>
      <w:rPr>
        <w:rFonts w:hint="eastAsia"/>
      </w:rPr>
    </w:lvl>
    <w:lvl w:ilvl="4" w:tentative="0">
      <w:start w:val="1"/>
      <w:numFmt w:val="lowerLetter"/>
      <w:lvlText w:val="%5)"/>
      <w:lvlJc w:val="left"/>
      <w:pPr>
        <w:tabs>
          <w:tab w:val="left" w:pos="1560"/>
        </w:tabs>
        <w:ind w:left="1560" w:hanging="420"/>
      </w:pPr>
      <w:rPr>
        <w:rFonts w:hint="eastAsia"/>
      </w:rPr>
    </w:lvl>
    <w:lvl w:ilvl="5" w:tentative="0">
      <w:start w:val="1"/>
      <w:numFmt w:val="lowerRoman"/>
      <w:lvlText w:val="%6."/>
      <w:lvlJc w:val="right"/>
      <w:pPr>
        <w:tabs>
          <w:tab w:val="left" w:pos="1980"/>
        </w:tabs>
        <w:ind w:left="1980" w:hanging="420"/>
      </w:pPr>
      <w:rPr>
        <w:rFonts w:hint="eastAsia"/>
      </w:rPr>
    </w:lvl>
    <w:lvl w:ilvl="6" w:tentative="0">
      <w:start w:val="1"/>
      <w:numFmt w:val="decimal"/>
      <w:lvlText w:val="%7."/>
      <w:lvlJc w:val="left"/>
      <w:pPr>
        <w:tabs>
          <w:tab w:val="left" w:pos="2400"/>
        </w:tabs>
        <w:ind w:left="2400" w:hanging="420"/>
      </w:pPr>
      <w:rPr>
        <w:rFonts w:hint="eastAsia"/>
      </w:rPr>
    </w:lvl>
    <w:lvl w:ilvl="7" w:tentative="0">
      <w:start w:val="1"/>
      <w:numFmt w:val="lowerLetter"/>
      <w:lvlText w:val="%8)"/>
      <w:lvlJc w:val="left"/>
      <w:pPr>
        <w:tabs>
          <w:tab w:val="left" w:pos="2820"/>
        </w:tabs>
        <w:ind w:left="2820" w:hanging="420"/>
      </w:pPr>
      <w:rPr>
        <w:rFonts w:hint="eastAsia"/>
      </w:rPr>
    </w:lvl>
    <w:lvl w:ilvl="8" w:tentative="0">
      <w:start w:val="1"/>
      <w:numFmt w:val="lowerRoman"/>
      <w:lvlText w:val="%9."/>
      <w:lvlJc w:val="right"/>
      <w:pPr>
        <w:tabs>
          <w:tab w:val="left" w:pos="3240"/>
        </w:tabs>
        <w:ind w:left="3240" w:hanging="420"/>
      </w:pPr>
      <w:rPr>
        <w:rFonts w:hint="eastAsia"/>
      </w:rPr>
    </w:lvl>
  </w:abstractNum>
  <w:abstractNum w:abstractNumId="2">
    <w:nsid w:val="268D176B"/>
    <w:multiLevelType w:val="multilevel"/>
    <w:tmpl w:val="268D176B"/>
    <w:lvl w:ilvl="0" w:tentative="0">
      <w:start w:val="3"/>
      <w:numFmt w:val="decimal"/>
      <w:lvlText w:val="%1."/>
      <w:lvlJc w:val="left"/>
      <w:pPr>
        <w:tabs>
          <w:tab w:val="left" w:pos="420"/>
        </w:tabs>
        <w:ind w:left="420" w:hanging="420"/>
      </w:pPr>
      <w:rPr>
        <w:rFonts w:hint="eastAsia"/>
      </w:rPr>
    </w:lvl>
    <w:lvl w:ilvl="1" w:tentative="0">
      <w:start w:val="1"/>
      <w:numFmt w:val="decimal"/>
      <w:lvlText w:val="1.%2"/>
      <w:lvlJc w:val="left"/>
      <w:pPr>
        <w:tabs>
          <w:tab w:val="left" w:pos="420"/>
        </w:tabs>
        <w:ind w:left="420" w:hanging="420"/>
      </w:pPr>
      <w:rPr>
        <w:rFonts w:hint="eastAsia"/>
      </w:rPr>
    </w:lvl>
    <w:lvl w:ilvl="2" w:tentative="0">
      <w:start w:val="1"/>
      <w:numFmt w:val="lowerRoman"/>
      <w:lvlText w:val="%3."/>
      <w:lvlJc w:val="right"/>
      <w:pPr>
        <w:tabs>
          <w:tab w:val="left" w:pos="720"/>
        </w:tabs>
        <w:ind w:left="720" w:hanging="420"/>
      </w:pPr>
      <w:rPr>
        <w:rFonts w:hint="eastAsia"/>
      </w:rPr>
    </w:lvl>
    <w:lvl w:ilvl="3" w:tentative="0">
      <w:start w:val="1"/>
      <w:numFmt w:val="decimal"/>
      <w:lvlText w:val="%2%4."/>
      <w:lvlJc w:val="left"/>
      <w:pPr>
        <w:tabs>
          <w:tab w:val="left" w:pos="1140"/>
        </w:tabs>
        <w:ind w:left="1140" w:hanging="420"/>
      </w:pPr>
      <w:rPr>
        <w:rFonts w:hint="eastAsia"/>
      </w:rPr>
    </w:lvl>
    <w:lvl w:ilvl="4" w:tentative="0">
      <w:start w:val="1"/>
      <w:numFmt w:val="lowerLetter"/>
      <w:lvlText w:val="%5)"/>
      <w:lvlJc w:val="left"/>
      <w:pPr>
        <w:tabs>
          <w:tab w:val="left" w:pos="1560"/>
        </w:tabs>
        <w:ind w:left="1560" w:hanging="420"/>
      </w:pPr>
      <w:rPr>
        <w:rFonts w:hint="eastAsia"/>
      </w:rPr>
    </w:lvl>
    <w:lvl w:ilvl="5" w:tentative="0">
      <w:start w:val="1"/>
      <w:numFmt w:val="lowerRoman"/>
      <w:lvlText w:val="%6."/>
      <w:lvlJc w:val="right"/>
      <w:pPr>
        <w:tabs>
          <w:tab w:val="left" w:pos="1980"/>
        </w:tabs>
        <w:ind w:left="1980" w:hanging="420"/>
      </w:pPr>
      <w:rPr>
        <w:rFonts w:hint="eastAsia"/>
      </w:rPr>
    </w:lvl>
    <w:lvl w:ilvl="6" w:tentative="0">
      <w:start w:val="1"/>
      <w:numFmt w:val="decimal"/>
      <w:lvlText w:val="%7."/>
      <w:lvlJc w:val="left"/>
      <w:pPr>
        <w:tabs>
          <w:tab w:val="left" w:pos="2400"/>
        </w:tabs>
        <w:ind w:left="2400" w:hanging="420"/>
      </w:pPr>
      <w:rPr>
        <w:rFonts w:hint="eastAsia"/>
      </w:rPr>
    </w:lvl>
    <w:lvl w:ilvl="7" w:tentative="0">
      <w:start w:val="1"/>
      <w:numFmt w:val="lowerLetter"/>
      <w:lvlText w:val="%8)"/>
      <w:lvlJc w:val="left"/>
      <w:pPr>
        <w:tabs>
          <w:tab w:val="left" w:pos="2820"/>
        </w:tabs>
        <w:ind w:left="2820" w:hanging="420"/>
      </w:pPr>
      <w:rPr>
        <w:rFonts w:hint="eastAsia"/>
      </w:rPr>
    </w:lvl>
    <w:lvl w:ilvl="8" w:tentative="0">
      <w:start w:val="1"/>
      <w:numFmt w:val="lowerRoman"/>
      <w:lvlText w:val="%9."/>
      <w:lvlJc w:val="right"/>
      <w:pPr>
        <w:tabs>
          <w:tab w:val="left" w:pos="3240"/>
        </w:tabs>
        <w:ind w:left="3240" w:hanging="420"/>
      </w:pPr>
      <w:rPr>
        <w:rFonts w:hint="eastAsia"/>
      </w:rPr>
    </w:lvl>
  </w:abstractNum>
  <w:abstractNum w:abstractNumId="3">
    <w:nsid w:val="46AA2936"/>
    <w:multiLevelType w:val="multilevel"/>
    <w:tmpl w:val="46AA2936"/>
    <w:lvl w:ilvl="0" w:tentative="0">
      <w:start w:val="2"/>
      <w:numFmt w:val="decimal"/>
      <w:lvlText w:val="%1."/>
      <w:lvlJc w:val="left"/>
      <w:pPr>
        <w:tabs>
          <w:tab w:val="left" w:pos="420"/>
        </w:tabs>
        <w:ind w:left="420" w:hanging="420"/>
      </w:pPr>
      <w:rPr>
        <w:rFonts w:hint="eastAsia"/>
      </w:rPr>
    </w:lvl>
    <w:lvl w:ilvl="1" w:tentative="0">
      <w:start w:val="1"/>
      <w:numFmt w:val="decimal"/>
      <w:lvlText w:val="2.%2"/>
      <w:lvlJc w:val="left"/>
      <w:pPr>
        <w:tabs>
          <w:tab w:val="left" w:pos="420"/>
        </w:tabs>
        <w:ind w:left="420" w:hanging="420"/>
      </w:pPr>
      <w:rPr>
        <w:rFonts w:hint="eastAsia"/>
      </w:rPr>
    </w:lvl>
    <w:lvl w:ilvl="2" w:tentative="0">
      <w:start w:val="1"/>
      <w:numFmt w:val="lowerRoman"/>
      <w:lvlText w:val="%3."/>
      <w:lvlJc w:val="right"/>
      <w:pPr>
        <w:tabs>
          <w:tab w:val="left" w:pos="720"/>
        </w:tabs>
        <w:ind w:left="720" w:hanging="420"/>
      </w:pPr>
      <w:rPr>
        <w:rFonts w:hint="eastAsia"/>
      </w:rPr>
    </w:lvl>
    <w:lvl w:ilvl="3" w:tentative="0">
      <w:start w:val="1"/>
      <w:numFmt w:val="decimal"/>
      <w:lvlText w:val="%2%4."/>
      <w:lvlJc w:val="left"/>
      <w:pPr>
        <w:tabs>
          <w:tab w:val="left" w:pos="1140"/>
        </w:tabs>
        <w:ind w:left="1140" w:hanging="420"/>
      </w:pPr>
      <w:rPr>
        <w:rFonts w:hint="eastAsia"/>
      </w:rPr>
    </w:lvl>
    <w:lvl w:ilvl="4" w:tentative="0">
      <w:start w:val="1"/>
      <w:numFmt w:val="lowerLetter"/>
      <w:lvlText w:val="%5)"/>
      <w:lvlJc w:val="left"/>
      <w:pPr>
        <w:tabs>
          <w:tab w:val="left" w:pos="1560"/>
        </w:tabs>
        <w:ind w:left="1560" w:hanging="420"/>
      </w:pPr>
      <w:rPr>
        <w:rFonts w:hint="eastAsia"/>
      </w:rPr>
    </w:lvl>
    <w:lvl w:ilvl="5" w:tentative="0">
      <w:start w:val="1"/>
      <w:numFmt w:val="lowerRoman"/>
      <w:lvlText w:val="%6."/>
      <w:lvlJc w:val="right"/>
      <w:pPr>
        <w:tabs>
          <w:tab w:val="left" w:pos="1980"/>
        </w:tabs>
        <w:ind w:left="1980" w:hanging="420"/>
      </w:pPr>
      <w:rPr>
        <w:rFonts w:hint="eastAsia"/>
      </w:rPr>
    </w:lvl>
    <w:lvl w:ilvl="6" w:tentative="0">
      <w:start w:val="1"/>
      <w:numFmt w:val="decimal"/>
      <w:lvlText w:val="%7."/>
      <w:lvlJc w:val="left"/>
      <w:pPr>
        <w:tabs>
          <w:tab w:val="left" w:pos="2400"/>
        </w:tabs>
        <w:ind w:left="2400" w:hanging="420"/>
      </w:pPr>
      <w:rPr>
        <w:rFonts w:hint="eastAsia"/>
      </w:rPr>
    </w:lvl>
    <w:lvl w:ilvl="7" w:tentative="0">
      <w:start w:val="1"/>
      <w:numFmt w:val="lowerLetter"/>
      <w:lvlText w:val="%8)"/>
      <w:lvlJc w:val="left"/>
      <w:pPr>
        <w:tabs>
          <w:tab w:val="left" w:pos="2820"/>
        </w:tabs>
        <w:ind w:left="2820" w:hanging="420"/>
      </w:pPr>
      <w:rPr>
        <w:rFonts w:hint="eastAsia"/>
      </w:rPr>
    </w:lvl>
    <w:lvl w:ilvl="8" w:tentative="0">
      <w:start w:val="1"/>
      <w:numFmt w:val="lowerRoman"/>
      <w:lvlText w:val="%9."/>
      <w:lvlJc w:val="right"/>
      <w:pPr>
        <w:tabs>
          <w:tab w:val="left" w:pos="3240"/>
        </w:tabs>
        <w:ind w:left="3240" w:hanging="420"/>
      </w:pPr>
      <w:rPr>
        <w:rFonts w:hint="eastAsia"/>
      </w:rPr>
    </w:lvl>
  </w:abstractNum>
  <w:abstractNum w:abstractNumId="4">
    <w:nsid w:val="530659A0"/>
    <w:multiLevelType w:val="multilevel"/>
    <w:tmpl w:val="530659A0"/>
    <w:lvl w:ilvl="0" w:tentative="0">
      <w:start w:val="8"/>
      <w:numFmt w:val="decimal"/>
      <w:lvlText w:val="%1."/>
      <w:lvlJc w:val="left"/>
      <w:pPr>
        <w:tabs>
          <w:tab w:val="left" w:pos="420"/>
        </w:tabs>
        <w:ind w:left="420" w:hanging="420"/>
      </w:pPr>
      <w:rPr>
        <w:rFonts w:hint="eastAsia"/>
      </w:rPr>
    </w:lvl>
    <w:lvl w:ilvl="1" w:tentative="0">
      <w:start w:val="1"/>
      <w:numFmt w:val="decimal"/>
      <w:lvlText w:val="9.%2"/>
      <w:lvlJc w:val="left"/>
      <w:pPr>
        <w:tabs>
          <w:tab w:val="left" w:pos="420"/>
        </w:tabs>
        <w:ind w:left="420" w:hanging="420"/>
      </w:pPr>
      <w:rPr>
        <w:rFonts w:hint="eastAsia"/>
      </w:rPr>
    </w:lvl>
    <w:lvl w:ilvl="2" w:tentative="0">
      <w:start w:val="1"/>
      <w:numFmt w:val="lowerRoman"/>
      <w:lvlText w:val="%3."/>
      <w:lvlJc w:val="right"/>
      <w:pPr>
        <w:tabs>
          <w:tab w:val="left" w:pos="720"/>
        </w:tabs>
        <w:ind w:left="720" w:hanging="420"/>
      </w:pPr>
      <w:rPr>
        <w:rFonts w:hint="eastAsia"/>
      </w:rPr>
    </w:lvl>
    <w:lvl w:ilvl="3" w:tentative="0">
      <w:start w:val="1"/>
      <w:numFmt w:val="decimal"/>
      <w:lvlText w:val="%2%4."/>
      <w:lvlJc w:val="left"/>
      <w:pPr>
        <w:tabs>
          <w:tab w:val="left" w:pos="1140"/>
        </w:tabs>
        <w:ind w:left="1140" w:hanging="420"/>
      </w:pPr>
      <w:rPr>
        <w:rFonts w:hint="eastAsia"/>
      </w:rPr>
    </w:lvl>
    <w:lvl w:ilvl="4" w:tentative="0">
      <w:start w:val="1"/>
      <w:numFmt w:val="lowerLetter"/>
      <w:lvlText w:val="%5)"/>
      <w:lvlJc w:val="left"/>
      <w:pPr>
        <w:tabs>
          <w:tab w:val="left" w:pos="1560"/>
        </w:tabs>
        <w:ind w:left="1560" w:hanging="420"/>
      </w:pPr>
      <w:rPr>
        <w:rFonts w:hint="eastAsia"/>
      </w:rPr>
    </w:lvl>
    <w:lvl w:ilvl="5" w:tentative="0">
      <w:start w:val="1"/>
      <w:numFmt w:val="lowerRoman"/>
      <w:lvlText w:val="%6."/>
      <w:lvlJc w:val="right"/>
      <w:pPr>
        <w:tabs>
          <w:tab w:val="left" w:pos="1980"/>
        </w:tabs>
        <w:ind w:left="1980" w:hanging="420"/>
      </w:pPr>
      <w:rPr>
        <w:rFonts w:hint="eastAsia"/>
      </w:rPr>
    </w:lvl>
    <w:lvl w:ilvl="6" w:tentative="0">
      <w:start w:val="1"/>
      <w:numFmt w:val="decimal"/>
      <w:lvlText w:val="%7."/>
      <w:lvlJc w:val="left"/>
      <w:pPr>
        <w:tabs>
          <w:tab w:val="left" w:pos="2400"/>
        </w:tabs>
        <w:ind w:left="2400" w:hanging="420"/>
      </w:pPr>
      <w:rPr>
        <w:rFonts w:hint="eastAsia"/>
      </w:rPr>
    </w:lvl>
    <w:lvl w:ilvl="7" w:tentative="0">
      <w:start w:val="1"/>
      <w:numFmt w:val="lowerLetter"/>
      <w:lvlText w:val="%8)"/>
      <w:lvlJc w:val="left"/>
      <w:pPr>
        <w:tabs>
          <w:tab w:val="left" w:pos="2820"/>
        </w:tabs>
        <w:ind w:left="2820" w:hanging="420"/>
      </w:pPr>
      <w:rPr>
        <w:rFonts w:hint="eastAsia"/>
      </w:rPr>
    </w:lvl>
    <w:lvl w:ilvl="8" w:tentative="0">
      <w:start w:val="1"/>
      <w:numFmt w:val="lowerRoman"/>
      <w:lvlText w:val="%9."/>
      <w:lvlJc w:val="right"/>
      <w:pPr>
        <w:tabs>
          <w:tab w:val="left" w:pos="3240"/>
        </w:tabs>
        <w:ind w:left="3240" w:hanging="420"/>
      </w:pPr>
      <w:rPr>
        <w:rFonts w:hint="eastAsia"/>
      </w:rPr>
    </w:lvl>
  </w:abstractNum>
  <w:abstractNum w:abstractNumId="5">
    <w:nsid w:val="551CDEF7"/>
    <w:multiLevelType w:val="multilevel"/>
    <w:tmpl w:val="551CDEF7"/>
    <w:lvl w:ilvl="0" w:tentative="0">
      <w:start w:val="1"/>
      <w:numFmt w:val="decimal"/>
      <w:lvlText w:val="%1."/>
      <w:lvlJc w:val="left"/>
      <w:pPr>
        <w:tabs>
          <w:tab w:val="left" w:pos="420"/>
        </w:tabs>
        <w:ind w:left="420" w:hanging="420"/>
      </w:pPr>
      <w:rPr>
        <w:rFonts w:hint="eastAsia"/>
      </w:rPr>
    </w:lvl>
    <w:lvl w:ilvl="1" w:tentative="0">
      <w:start w:val="2"/>
      <w:numFmt w:val="decimal"/>
      <w:lvlText w:val="1.%2"/>
      <w:lvlJc w:val="left"/>
      <w:pPr>
        <w:tabs>
          <w:tab w:val="left" w:pos="300"/>
        </w:tabs>
        <w:ind w:left="300" w:hanging="420"/>
      </w:pPr>
      <w:rPr>
        <w:rFonts w:hint="eastAsia"/>
      </w:rPr>
    </w:lvl>
    <w:lvl w:ilvl="2" w:tentative="0">
      <w:start w:val="1"/>
      <w:numFmt w:val="lowerRoman"/>
      <w:lvlText w:val="%3."/>
      <w:lvlJc w:val="right"/>
      <w:pPr>
        <w:tabs>
          <w:tab w:val="left" w:pos="720"/>
        </w:tabs>
        <w:ind w:left="720" w:hanging="420"/>
      </w:pPr>
      <w:rPr>
        <w:rFonts w:hint="eastAsia"/>
      </w:rPr>
    </w:lvl>
    <w:lvl w:ilvl="3" w:tentative="0">
      <w:start w:val="1"/>
      <w:numFmt w:val="decimal"/>
      <w:lvlText w:val="%2%4."/>
      <w:lvlJc w:val="left"/>
      <w:pPr>
        <w:tabs>
          <w:tab w:val="left" w:pos="1140"/>
        </w:tabs>
        <w:ind w:left="1140" w:hanging="420"/>
      </w:pPr>
      <w:rPr>
        <w:rFonts w:hint="eastAsia"/>
      </w:rPr>
    </w:lvl>
    <w:lvl w:ilvl="4" w:tentative="0">
      <w:start w:val="1"/>
      <w:numFmt w:val="lowerLetter"/>
      <w:lvlText w:val="%5)"/>
      <w:lvlJc w:val="left"/>
      <w:pPr>
        <w:tabs>
          <w:tab w:val="left" w:pos="1560"/>
        </w:tabs>
        <w:ind w:left="1560" w:hanging="420"/>
      </w:pPr>
      <w:rPr>
        <w:rFonts w:hint="eastAsia"/>
      </w:rPr>
    </w:lvl>
    <w:lvl w:ilvl="5" w:tentative="0">
      <w:start w:val="1"/>
      <w:numFmt w:val="lowerRoman"/>
      <w:lvlText w:val="%6."/>
      <w:lvlJc w:val="right"/>
      <w:pPr>
        <w:tabs>
          <w:tab w:val="left" w:pos="1980"/>
        </w:tabs>
        <w:ind w:left="1980" w:hanging="420"/>
      </w:pPr>
      <w:rPr>
        <w:rFonts w:hint="eastAsia"/>
      </w:rPr>
    </w:lvl>
    <w:lvl w:ilvl="6" w:tentative="0">
      <w:start w:val="1"/>
      <w:numFmt w:val="decimal"/>
      <w:lvlText w:val="%7."/>
      <w:lvlJc w:val="left"/>
      <w:pPr>
        <w:tabs>
          <w:tab w:val="left" w:pos="2400"/>
        </w:tabs>
        <w:ind w:left="2400" w:hanging="420"/>
      </w:pPr>
      <w:rPr>
        <w:rFonts w:hint="eastAsia"/>
      </w:rPr>
    </w:lvl>
    <w:lvl w:ilvl="7" w:tentative="0">
      <w:start w:val="1"/>
      <w:numFmt w:val="lowerLetter"/>
      <w:lvlText w:val="%8)"/>
      <w:lvlJc w:val="left"/>
      <w:pPr>
        <w:tabs>
          <w:tab w:val="left" w:pos="2820"/>
        </w:tabs>
        <w:ind w:left="2820" w:hanging="420"/>
      </w:pPr>
      <w:rPr>
        <w:rFonts w:hint="eastAsia"/>
      </w:rPr>
    </w:lvl>
    <w:lvl w:ilvl="8" w:tentative="0">
      <w:start w:val="1"/>
      <w:numFmt w:val="lowerRoman"/>
      <w:lvlText w:val="%9."/>
      <w:lvlJc w:val="right"/>
      <w:pPr>
        <w:tabs>
          <w:tab w:val="left" w:pos="3240"/>
        </w:tabs>
        <w:ind w:left="3240" w:hanging="420"/>
      </w:pPr>
      <w:rPr>
        <w:rFonts w:hint="eastAsia"/>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k3MTljMjFmNGQyMDhhMTQ1NzQyNzdkNjAxNGE2NjkifQ=="/>
  </w:docVars>
  <w:rsids>
    <w:rsidRoot w:val="0000168D"/>
    <w:rsid w:val="0000168D"/>
    <w:rsid w:val="0000321E"/>
    <w:rsid w:val="00012DB4"/>
    <w:rsid w:val="00013544"/>
    <w:rsid w:val="0001568C"/>
    <w:rsid w:val="0003066F"/>
    <w:rsid w:val="00031D35"/>
    <w:rsid w:val="00032863"/>
    <w:rsid w:val="00037548"/>
    <w:rsid w:val="0004553F"/>
    <w:rsid w:val="00046666"/>
    <w:rsid w:val="00051462"/>
    <w:rsid w:val="00060461"/>
    <w:rsid w:val="00071335"/>
    <w:rsid w:val="00090A26"/>
    <w:rsid w:val="00094033"/>
    <w:rsid w:val="00094BAF"/>
    <w:rsid w:val="00095AB3"/>
    <w:rsid w:val="000A1CC2"/>
    <w:rsid w:val="000A2D36"/>
    <w:rsid w:val="000A419D"/>
    <w:rsid w:val="000A6FDA"/>
    <w:rsid w:val="000B07CD"/>
    <w:rsid w:val="000B2747"/>
    <w:rsid w:val="000B2970"/>
    <w:rsid w:val="000B3571"/>
    <w:rsid w:val="000B460C"/>
    <w:rsid w:val="000B78EE"/>
    <w:rsid w:val="000C6180"/>
    <w:rsid w:val="000D2232"/>
    <w:rsid w:val="000D6516"/>
    <w:rsid w:val="000E099B"/>
    <w:rsid w:val="000E1B8B"/>
    <w:rsid w:val="000E23A6"/>
    <w:rsid w:val="000E6254"/>
    <w:rsid w:val="000E754C"/>
    <w:rsid w:val="000F12DD"/>
    <w:rsid w:val="00100E95"/>
    <w:rsid w:val="00102B68"/>
    <w:rsid w:val="0010641F"/>
    <w:rsid w:val="00114692"/>
    <w:rsid w:val="001148F9"/>
    <w:rsid w:val="0013466A"/>
    <w:rsid w:val="00150854"/>
    <w:rsid w:val="00155401"/>
    <w:rsid w:val="001556E6"/>
    <w:rsid w:val="001737F0"/>
    <w:rsid w:val="00176BEF"/>
    <w:rsid w:val="001773AB"/>
    <w:rsid w:val="00184888"/>
    <w:rsid w:val="00186250"/>
    <w:rsid w:val="00187B0B"/>
    <w:rsid w:val="001A71DF"/>
    <w:rsid w:val="001B4377"/>
    <w:rsid w:val="001B5491"/>
    <w:rsid w:val="001C1200"/>
    <w:rsid w:val="001C4190"/>
    <w:rsid w:val="001C5487"/>
    <w:rsid w:val="001D566F"/>
    <w:rsid w:val="001E3180"/>
    <w:rsid w:val="001E4B94"/>
    <w:rsid w:val="0021085E"/>
    <w:rsid w:val="00210ABB"/>
    <w:rsid w:val="002222DC"/>
    <w:rsid w:val="002224CB"/>
    <w:rsid w:val="002235C4"/>
    <w:rsid w:val="002249F0"/>
    <w:rsid w:val="00224E9B"/>
    <w:rsid w:val="00231313"/>
    <w:rsid w:val="0024378E"/>
    <w:rsid w:val="00244DE7"/>
    <w:rsid w:val="00250A80"/>
    <w:rsid w:val="00252FB1"/>
    <w:rsid w:val="00260C78"/>
    <w:rsid w:val="00271851"/>
    <w:rsid w:val="0027190A"/>
    <w:rsid w:val="00292BAB"/>
    <w:rsid w:val="002939B3"/>
    <w:rsid w:val="002949D6"/>
    <w:rsid w:val="002949FC"/>
    <w:rsid w:val="002A53EE"/>
    <w:rsid w:val="002B1B49"/>
    <w:rsid w:val="002B51F9"/>
    <w:rsid w:val="002C5D24"/>
    <w:rsid w:val="002C683A"/>
    <w:rsid w:val="002D1F15"/>
    <w:rsid w:val="002D43BE"/>
    <w:rsid w:val="002D50FE"/>
    <w:rsid w:val="002D5621"/>
    <w:rsid w:val="002E0116"/>
    <w:rsid w:val="002E142B"/>
    <w:rsid w:val="002E1959"/>
    <w:rsid w:val="002E4C56"/>
    <w:rsid w:val="002E5DB3"/>
    <w:rsid w:val="00304F01"/>
    <w:rsid w:val="00307D8F"/>
    <w:rsid w:val="00311A56"/>
    <w:rsid w:val="00312E28"/>
    <w:rsid w:val="00314D4C"/>
    <w:rsid w:val="00315254"/>
    <w:rsid w:val="003259FE"/>
    <w:rsid w:val="0033007B"/>
    <w:rsid w:val="00341243"/>
    <w:rsid w:val="0034324A"/>
    <w:rsid w:val="00354569"/>
    <w:rsid w:val="00366C37"/>
    <w:rsid w:val="003778D8"/>
    <w:rsid w:val="00380412"/>
    <w:rsid w:val="00383BA4"/>
    <w:rsid w:val="003A3F1B"/>
    <w:rsid w:val="003B0E40"/>
    <w:rsid w:val="003B1DF2"/>
    <w:rsid w:val="003C1E24"/>
    <w:rsid w:val="003C2451"/>
    <w:rsid w:val="003C2622"/>
    <w:rsid w:val="003D1F09"/>
    <w:rsid w:val="003E3BEB"/>
    <w:rsid w:val="003E46F3"/>
    <w:rsid w:val="003E62DB"/>
    <w:rsid w:val="003F135A"/>
    <w:rsid w:val="003F1DB4"/>
    <w:rsid w:val="003F4289"/>
    <w:rsid w:val="00403D5A"/>
    <w:rsid w:val="0040455D"/>
    <w:rsid w:val="00404625"/>
    <w:rsid w:val="00405EAA"/>
    <w:rsid w:val="0040721E"/>
    <w:rsid w:val="00410CDE"/>
    <w:rsid w:val="00421105"/>
    <w:rsid w:val="004268F6"/>
    <w:rsid w:val="00430184"/>
    <w:rsid w:val="0043056A"/>
    <w:rsid w:val="0043748C"/>
    <w:rsid w:val="00445B52"/>
    <w:rsid w:val="00454F69"/>
    <w:rsid w:val="00455DAB"/>
    <w:rsid w:val="0046537F"/>
    <w:rsid w:val="004665A8"/>
    <w:rsid w:val="00473C6B"/>
    <w:rsid w:val="004A01B1"/>
    <w:rsid w:val="004A561E"/>
    <w:rsid w:val="004A6C35"/>
    <w:rsid w:val="004B14CF"/>
    <w:rsid w:val="004C74F4"/>
    <w:rsid w:val="004C7FC8"/>
    <w:rsid w:val="004D058E"/>
    <w:rsid w:val="004D2F8B"/>
    <w:rsid w:val="004D5238"/>
    <w:rsid w:val="004D5CA8"/>
    <w:rsid w:val="004E48F4"/>
    <w:rsid w:val="005002E3"/>
    <w:rsid w:val="00501374"/>
    <w:rsid w:val="00510EA5"/>
    <w:rsid w:val="0051213C"/>
    <w:rsid w:val="00513A6B"/>
    <w:rsid w:val="00521149"/>
    <w:rsid w:val="00522C3F"/>
    <w:rsid w:val="00525381"/>
    <w:rsid w:val="00525546"/>
    <w:rsid w:val="005256E4"/>
    <w:rsid w:val="005329BE"/>
    <w:rsid w:val="00550371"/>
    <w:rsid w:val="00552C1A"/>
    <w:rsid w:val="00560AAE"/>
    <w:rsid w:val="00560B51"/>
    <w:rsid w:val="0056144D"/>
    <w:rsid w:val="0056777E"/>
    <w:rsid w:val="00574C0C"/>
    <w:rsid w:val="0057598A"/>
    <w:rsid w:val="00583F45"/>
    <w:rsid w:val="00587605"/>
    <w:rsid w:val="00595A6E"/>
    <w:rsid w:val="005A37DA"/>
    <w:rsid w:val="005A5DD6"/>
    <w:rsid w:val="005B1711"/>
    <w:rsid w:val="005D563E"/>
    <w:rsid w:val="005E2B0A"/>
    <w:rsid w:val="005F0C8E"/>
    <w:rsid w:val="00601193"/>
    <w:rsid w:val="0061532A"/>
    <w:rsid w:val="00617D73"/>
    <w:rsid w:val="00625C1B"/>
    <w:rsid w:val="00625DC4"/>
    <w:rsid w:val="00631C98"/>
    <w:rsid w:val="0064162D"/>
    <w:rsid w:val="006548F2"/>
    <w:rsid w:val="00656CFC"/>
    <w:rsid w:val="006636AA"/>
    <w:rsid w:val="0066529C"/>
    <w:rsid w:val="00665606"/>
    <w:rsid w:val="00686B79"/>
    <w:rsid w:val="006A1D6E"/>
    <w:rsid w:val="006A556A"/>
    <w:rsid w:val="006A62D0"/>
    <w:rsid w:val="006A6385"/>
    <w:rsid w:val="006A6D4A"/>
    <w:rsid w:val="006A7575"/>
    <w:rsid w:val="006B2FF4"/>
    <w:rsid w:val="006C5982"/>
    <w:rsid w:val="006D6BC7"/>
    <w:rsid w:val="006E18E5"/>
    <w:rsid w:val="00701689"/>
    <w:rsid w:val="0070284F"/>
    <w:rsid w:val="007110A7"/>
    <w:rsid w:val="00713E3B"/>
    <w:rsid w:val="007165CA"/>
    <w:rsid w:val="00720F11"/>
    <w:rsid w:val="007273E7"/>
    <w:rsid w:val="00730176"/>
    <w:rsid w:val="00731687"/>
    <w:rsid w:val="007325A3"/>
    <w:rsid w:val="00744B29"/>
    <w:rsid w:val="00750272"/>
    <w:rsid w:val="007518C7"/>
    <w:rsid w:val="007525CF"/>
    <w:rsid w:val="00760E2B"/>
    <w:rsid w:val="007656EA"/>
    <w:rsid w:val="00766297"/>
    <w:rsid w:val="007774C3"/>
    <w:rsid w:val="0078407F"/>
    <w:rsid w:val="00793A0A"/>
    <w:rsid w:val="007A0C00"/>
    <w:rsid w:val="007A5B1E"/>
    <w:rsid w:val="007B6FFF"/>
    <w:rsid w:val="007D7633"/>
    <w:rsid w:val="007E44E4"/>
    <w:rsid w:val="007F166B"/>
    <w:rsid w:val="007F50DE"/>
    <w:rsid w:val="00804B57"/>
    <w:rsid w:val="00805A80"/>
    <w:rsid w:val="0081285C"/>
    <w:rsid w:val="0082322F"/>
    <w:rsid w:val="008249BD"/>
    <w:rsid w:val="00827F38"/>
    <w:rsid w:val="0083358C"/>
    <w:rsid w:val="008344BC"/>
    <w:rsid w:val="00835951"/>
    <w:rsid w:val="00836DFA"/>
    <w:rsid w:val="00842A11"/>
    <w:rsid w:val="00843C42"/>
    <w:rsid w:val="00844213"/>
    <w:rsid w:val="0084732B"/>
    <w:rsid w:val="008568E4"/>
    <w:rsid w:val="0086341D"/>
    <w:rsid w:val="008774A6"/>
    <w:rsid w:val="008775D2"/>
    <w:rsid w:val="00877D92"/>
    <w:rsid w:val="00885CBF"/>
    <w:rsid w:val="00887497"/>
    <w:rsid w:val="008A0AC0"/>
    <w:rsid w:val="008A2662"/>
    <w:rsid w:val="008A45B9"/>
    <w:rsid w:val="008A637B"/>
    <w:rsid w:val="008B1F45"/>
    <w:rsid w:val="008B26D6"/>
    <w:rsid w:val="008B37B4"/>
    <w:rsid w:val="008C1495"/>
    <w:rsid w:val="008C2DC2"/>
    <w:rsid w:val="008C5F3F"/>
    <w:rsid w:val="008D7B81"/>
    <w:rsid w:val="008E0ED8"/>
    <w:rsid w:val="008E175B"/>
    <w:rsid w:val="008E2CE7"/>
    <w:rsid w:val="008E369E"/>
    <w:rsid w:val="008E6097"/>
    <w:rsid w:val="008E6F67"/>
    <w:rsid w:val="008F0B9B"/>
    <w:rsid w:val="008F616A"/>
    <w:rsid w:val="008F6A25"/>
    <w:rsid w:val="00900AFA"/>
    <w:rsid w:val="009100B4"/>
    <w:rsid w:val="00925DB5"/>
    <w:rsid w:val="00931DC5"/>
    <w:rsid w:val="00931FC3"/>
    <w:rsid w:val="0093227A"/>
    <w:rsid w:val="00932797"/>
    <w:rsid w:val="00940102"/>
    <w:rsid w:val="009475B5"/>
    <w:rsid w:val="00951A53"/>
    <w:rsid w:val="00956FCE"/>
    <w:rsid w:val="00957EC3"/>
    <w:rsid w:val="00964C09"/>
    <w:rsid w:val="00977703"/>
    <w:rsid w:val="0098138E"/>
    <w:rsid w:val="00983CE5"/>
    <w:rsid w:val="0098647F"/>
    <w:rsid w:val="009877C2"/>
    <w:rsid w:val="00996E91"/>
    <w:rsid w:val="00997842"/>
    <w:rsid w:val="009A47E2"/>
    <w:rsid w:val="009A6622"/>
    <w:rsid w:val="009B05AC"/>
    <w:rsid w:val="009C263E"/>
    <w:rsid w:val="009C4FEC"/>
    <w:rsid w:val="009D009A"/>
    <w:rsid w:val="009D194E"/>
    <w:rsid w:val="009D700E"/>
    <w:rsid w:val="009F09DC"/>
    <w:rsid w:val="009F4A60"/>
    <w:rsid w:val="009F55AD"/>
    <w:rsid w:val="009F6E75"/>
    <w:rsid w:val="00A11465"/>
    <w:rsid w:val="00A11E47"/>
    <w:rsid w:val="00A1590A"/>
    <w:rsid w:val="00A17225"/>
    <w:rsid w:val="00A23D32"/>
    <w:rsid w:val="00A26FAA"/>
    <w:rsid w:val="00A30510"/>
    <w:rsid w:val="00A30A96"/>
    <w:rsid w:val="00A34181"/>
    <w:rsid w:val="00A40397"/>
    <w:rsid w:val="00A44262"/>
    <w:rsid w:val="00A5004E"/>
    <w:rsid w:val="00A5509A"/>
    <w:rsid w:val="00A55982"/>
    <w:rsid w:val="00A57C33"/>
    <w:rsid w:val="00A626C8"/>
    <w:rsid w:val="00A67B11"/>
    <w:rsid w:val="00A848E1"/>
    <w:rsid w:val="00A86844"/>
    <w:rsid w:val="00A942CE"/>
    <w:rsid w:val="00AA096E"/>
    <w:rsid w:val="00AA3EBB"/>
    <w:rsid w:val="00AA444D"/>
    <w:rsid w:val="00AA4964"/>
    <w:rsid w:val="00AA7240"/>
    <w:rsid w:val="00AA79FF"/>
    <w:rsid w:val="00AB0E20"/>
    <w:rsid w:val="00AC175A"/>
    <w:rsid w:val="00AC652B"/>
    <w:rsid w:val="00AD33ED"/>
    <w:rsid w:val="00AD4409"/>
    <w:rsid w:val="00AD7A57"/>
    <w:rsid w:val="00AE4CCB"/>
    <w:rsid w:val="00AE7D34"/>
    <w:rsid w:val="00AF2F60"/>
    <w:rsid w:val="00AF3BA2"/>
    <w:rsid w:val="00B057E3"/>
    <w:rsid w:val="00B10B23"/>
    <w:rsid w:val="00B13BED"/>
    <w:rsid w:val="00B145F2"/>
    <w:rsid w:val="00B155BF"/>
    <w:rsid w:val="00B235B1"/>
    <w:rsid w:val="00B240C2"/>
    <w:rsid w:val="00B25206"/>
    <w:rsid w:val="00B258A1"/>
    <w:rsid w:val="00B265D7"/>
    <w:rsid w:val="00B4162B"/>
    <w:rsid w:val="00B43FC7"/>
    <w:rsid w:val="00B44BCD"/>
    <w:rsid w:val="00B61F7D"/>
    <w:rsid w:val="00B65C8C"/>
    <w:rsid w:val="00B7253D"/>
    <w:rsid w:val="00B7401D"/>
    <w:rsid w:val="00B757C6"/>
    <w:rsid w:val="00B76525"/>
    <w:rsid w:val="00B77122"/>
    <w:rsid w:val="00B80771"/>
    <w:rsid w:val="00B809C5"/>
    <w:rsid w:val="00B810AB"/>
    <w:rsid w:val="00B84089"/>
    <w:rsid w:val="00B848B5"/>
    <w:rsid w:val="00B84A51"/>
    <w:rsid w:val="00B97391"/>
    <w:rsid w:val="00B977F0"/>
    <w:rsid w:val="00BA0042"/>
    <w:rsid w:val="00BA15FA"/>
    <w:rsid w:val="00BA1FE6"/>
    <w:rsid w:val="00BA22EC"/>
    <w:rsid w:val="00BA5D63"/>
    <w:rsid w:val="00BB20C6"/>
    <w:rsid w:val="00BB7827"/>
    <w:rsid w:val="00BC175C"/>
    <w:rsid w:val="00BC29FF"/>
    <w:rsid w:val="00BD2321"/>
    <w:rsid w:val="00BF0E17"/>
    <w:rsid w:val="00BF0EF5"/>
    <w:rsid w:val="00BF311D"/>
    <w:rsid w:val="00BF59F0"/>
    <w:rsid w:val="00BF7DEC"/>
    <w:rsid w:val="00C17135"/>
    <w:rsid w:val="00C2207E"/>
    <w:rsid w:val="00C25438"/>
    <w:rsid w:val="00C2736F"/>
    <w:rsid w:val="00C35AAC"/>
    <w:rsid w:val="00C37B6A"/>
    <w:rsid w:val="00C4139E"/>
    <w:rsid w:val="00C4360D"/>
    <w:rsid w:val="00C71C96"/>
    <w:rsid w:val="00C7571D"/>
    <w:rsid w:val="00C87E86"/>
    <w:rsid w:val="00C913CC"/>
    <w:rsid w:val="00C94C64"/>
    <w:rsid w:val="00C94DC0"/>
    <w:rsid w:val="00CA0D2D"/>
    <w:rsid w:val="00CA3514"/>
    <w:rsid w:val="00CA52C4"/>
    <w:rsid w:val="00CA5FA0"/>
    <w:rsid w:val="00CB1585"/>
    <w:rsid w:val="00CB5D50"/>
    <w:rsid w:val="00CC22E5"/>
    <w:rsid w:val="00CC43A3"/>
    <w:rsid w:val="00CC47E0"/>
    <w:rsid w:val="00CE7578"/>
    <w:rsid w:val="00CF1717"/>
    <w:rsid w:val="00CF1793"/>
    <w:rsid w:val="00CF26CD"/>
    <w:rsid w:val="00CF50DB"/>
    <w:rsid w:val="00CF6677"/>
    <w:rsid w:val="00D06099"/>
    <w:rsid w:val="00D1098E"/>
    <w:rsid w:val="00D13A0C"/>
    <w:rsid w:val="00D159FB"/>
    <w:rsid w:val="00D17A2D"/>
    <w:rsid w:val="00D23A2C"/>
    <w:rsid w:val="00D309A2"/>
    <w:rsid w:val="00D333FE"/>
    <w:rsid w:val="00D34533"/>
    <w:rsid w:val="00D3554E"/>
    <w:rsid w:val="00D37ED5"/>
    <w:rsid w:val="00D4036C"/>
    <w:rsid w:val="00D4241B"/>
    <w:rsid w:val="00D43E4E"/>
    <w:rsid w:val="00D444FD"/>
    <w:rsid w:val="00D5081D"/>
    <w:rsid w:val="00D52B76"/>
    <w:rsid w:val="00D52D5E"/>
    <w:rsid w:val="00D75EB0"/>
    <w:rsid w:val="00D8206A"/>
    <w:rsid w:val="00D8697E"/>
    <w:rsid w:val="00D8764B"/>
    <w:rsid w:val="00D95845"/>
    <w:rsid w:val="00D9588D"/>
    <w:rsid w:val="00DA79ED"/>
    <w:rsid w:val="00DD67A2"/>
    <w:rsid w:val="00DE0D82"/>
    <w:rsid w:val="00DE200A"/>
    <w:rsid w:val="00DE6A94"/>
    <w:rsid w:val="00DF62F7"/>
    <w:rsid w:val="00DF679E"/>
    <w:rsid w:val="00E033B6"/>
    <w:rsid w:val="00E06529"/>
    <w:rsid w:val="00E26EDC"/>
    <w:rsid w:val="00E40492"/>
    <w:rsid w:val="00E41FDB"/>
    <w:rsid w:val="00E429C2"/>
    <w:rsid w:val="00E52CE2"/>
    <w:rsid w:val="00E54839"/>
    <w:rsid w:val="00E553A7"/>
    <w:rsid w:val="00E56FCE"/>
    <w:rsid w:val="00E57B33"/>
    <w:rsid w:val="00E65350"/>
    <w:rsid w:val="00E73AF2"/>
    <w:rsid w:val="00E91EE9"/>
    <w:rsid w:val="00E9514B"/>
    <w:rsid w:val="00E97A4D"/>
    <w:rsid w:val="00EA11E2"/>
    <w:rsid w:val="00EA4EDE"/>
    <w:rsid w:val="00EA538A"/>
    <w:rsid w:val="00EB0A38"/>
    <w:rsid w:val="00EB68CD"/>
    <w:rsid w:val="00EC2D35"/>
    <w:rsid w:val="00EC3397"/>
    <w:rsid w:val="00EC68B6"/>
    <w:rsid w:val="00EC6B54"/>
    <w:rsid w:val="00EC7842"/>
    <w:rsid w:val="00ED2FA5"/>
    <w:rsid w:val="00ED69C8"/>
    <w:rsid w:val="00EE2CAF"/>
    <w:rsid w:val="00EF115F"/>
    <w:rsid w:val="00F02FAC"/>
    <w:rsid w:val="00F2157F"/>
    <w:rsid w:val="00F26EBB"/>
    <w:rsid w:val="00F271F6"/>
    <w:rsid w:val="00F309BB"/>
    <w:rsid w:val="00F524D0"/>
    <w:rsid w:val="00F56370"/>
    <w:rsid w:val="00F63A57"/>
    <w:rsid w:val="00F65C53"/>
    <w:rsid w:val="00F73420"/>
    <w:rsid w:val="00F82143"/>
    <w:rsid w:val="00F95BD0"/>
    <w:rsid w:val="00FA0869"/>
    <w:rsid w:val="00FA2198"/>
    <w:rsid w:val="00FA21EF"/>
    <w:rsid w:val="00FA5CBE"/>
    <w:rsid w:val="00FB03B6"/>
    <w:rsid w:val="00FB5518"/>
    <w:rsid w:val="00FB6783"/>
    <w:rsid w:val="00FC0DFF"/>
    <w:rsid w:val="00FC5524"/>
    <w:rsid w:val="00FC61BD"/>
    <w:rsid w:val="00FC6350"/>
    <w:rsid w:val="00FD2C26"/>
    <w:rsid w:val="00FD3A7E"/>
    <w:rsid w:val="00FE5917"/>
    <w:rsid w:val="00FF0DFD"/>
    <w:rsid w:val="03A52548"/>
    <w:rsid w:val="03CF3A69"/>
    <w:rsid w:val="0A660800"/>
    <w:rsid w:val="0C98493D"/>
    <w:rsid w:val="10593038"/>
    <w:rsid w:val="11146F5F"/>
    <w:rsid w:val="195A6A21"/>
    <w:rsid w:val="216B497A"/>
    <w:rsid w:val="235A678A"/>
    <w:rsid w:val="26995AE5"/>
    <w:rsid w:val="28F11C08"/>
    <w:rsid w:val="29387837"/>
    <w:rsid w:val="2B32309A"/>
    <w:rsid w:val="35187D1C"/>
    <w:rsid w:val="363E2205"/>
    <w:rsid w:val="3B3911ED"/>
    <w:rsid w:val="3BFD442F"/>
    <w:rsid w:val="3FDF05B5"/>
    <w:rsid w:val="46CE31BB"/>
    <w:rsid w:val="49107BC6"/>
    <w:rsid w:val="4A361719"/>
    <w:rsid w:val="4FB8497E"/>
    <w:rsid w:val="54ED0C26"/>
    <w:rsid w:val="5D5B51F9"/>
    <w:rsid w:val="5E3D0296"/>
    <w:rsid w:val="61E82EA1"/>
    <w:rsid w:val="62351346"/>
    <w:rsid w:val="626C3AD2"/>
    <w:rsid w:val="68612013"/>
    <w:rsid w:val="69807E63"/>
    <w:rsid w:val="73830C7C"/>
    <w:rsid w:val="754461E9"/>
    <w:rsid w:val="7875636F"/>
    <w:rsid w:val="79C448C5"/>
    <w:rsid w:val="7B1228E5"/>
    <w:rsid w:val="7B6F68ED"/>
    <w:rsid w:val="7CF92A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24" w:lineRule="auto"/>
      <w:ind w:firstLine="0"/>
      <w:jc w:val="both"/>
    </w:pPr>
    <w:rPr>
      <w:rFonts w:ascii="Times New Roman" w:hAnsi="Times New Roman" w:eastAsia="宋体" w:cs="Times New Roman"/>
      <w:kern w:val="2"/>
      <w:sz w:val="30"/>
      <w:szCs w:val="24"/>
      <w:lang w:val="en-US" w:eastAsia="zh-CN" w:bidi="ar-SA"/>
    </w:rPr>
  </w:style>
  <w:style w:type="paragraph" w:styleId="2">
    <w:name w:val="heading 1"/>
    <w:basedOn w:val="3"/>
    <w:link w:val="41"/>
    <w:autoRedefine/>
    <w:qFormat/>
    <w:uiPriority w:val="0"/>
    <w:pPr>
      <w:spacing w:before="0" w:after="0"/>
      <w:ind w:left="0" w:firstLine="0"/>
      <w:outlineLvl w:val="0"/>
    </w:pPr>
    <w:rPr>
      <w:rFonts w:ascii="宋体" w:hAnsi="宋体" w:eastAsia="宋体"/>
      <w:kern w:val="44"/>
      <w:szCs w:val="32"/>
    </w:rPr>
  </w:style>
  <w:style w:type="paragraph" w:styleId="3">
    <w:name w:val="heading 2"/>
    <w:basedOn w:val="1"/>
    <w:next w:val="4"/>
    <w:link w:val="42"/>
    <w:autoRedefine/>
    <w:qFormat/>
    <w:uiPriority w:val="0"/>
    <w:pPr>
      <w:keepNext/>
      <w:keepLines/>
      <w:adjustRightInd w:val="0"/>
      <w:spacing w:before="160" w:after="160" w:line="240" w:lineRule="auto"/>
      <w:ind w:left="821" w:hanging="425"/>
      <w:jc w:val="center"/>
      <w:textAlignment w:val="baseline"/>
      <w:outlineLvl w:val="1"/>
    </w:pPr>
    <w:rPr>
      <w:rFonts w:ascii="黑体" w:hAnsi="Arial" w:eastAsia="华文楷体"/>
      <w:b/>
      <w:kern w:val="0"/>
      <w:sz w:val="32"/>
      <w:szCs w:val="20"/>
    </w:rPr>
  </w:style>
  <w:style w:type="paragraph" w:styleId="5">
    <w:name w:val="heading 3"/>
    <w:basedOn w:val="1"/>
    <w:next w:val="4"/>
    <w:link w:val="43"/>
    <w:autoRedefine/>
    <w:qFormat/>
    <w:uiPriority w:val="0"/>
    <w:pPr>
      <w:keepNext/>
      <w:keepLines/>
      <w:adjustRightInd w:val="0"/>
      <w:spacing w:before="160" w:after="160" w:line="240" w:lineRule="auto"/>
      <w:ind w:left="821" w:hanging="284"/>
      <w:jc w:val="left"/>
      <w:textAlignment w:val="baseline"/>
      <w:outlineLvl w:val="2"/>
    </w:pPr>
    <w:rPr>
      <w:rFonts w:ascii="黑体" w:eastAsia="华文楷体"/>
      <w:b/>
      <w:kern w:val="0"/>
      <w:sz w:val="28"/>
      <w:szCs w:val="20"/>
    </w:rPr>
  </w:style>
  <w:style w:type="paragraph" w:styleId="6">
    <w:name w:val="heading 4"/>
    <w:basedOn w:val="1"/>
    <w:next w:val="1"/>
    <w:link w:val="44"/>
    <w:autoRedefine/>
    <w:qFormat/>
    <w:uiPriority w:val="0"/>
    <w:pPr>
      <w:keepNext/>
      <w:keepLines/>
      <w:adjustRightInd w:val="0"/>
      <w:spacing w:before="280" w:after="290" w:line="376" w:lineRule="atLeast"/>
      <w:ind w:left="1670" w:hanging="425"/>
      <w:textAlignment w:val="baseline"/>
      <w:outlineLvl w:val="3"/>
    </w:pPr>
    <w:rPr>
      <w:rFonts w:ascii="Arial" w:hAnsi="Arial" w:eastAsia="黑体"/>
      <w:b/>
      <w:kern w:val="0"/>
      <w:sz w:val="28"/>
      <w:szCs w:val="20"/>
    </w:rPr>
  </w:style>
  <w:style w:type="paragraph" w:styleId="7">
    <w:name w:val="heading 5"/>
    <w:basedOn w:val="1"/>
    <w:next w:val="1"/>
    <w:link w:val="45"/>
    <w:autoRedefine/>
    <w:qFormat/>
    <w:uiPriority w:val="0"/>
    <w:pPr>
      <w:keepNext/>
      <w:keepLines/>
      <w:adjustRightInd w:val="0"/>
      <w:spacing w:before="280" w:after="290" w:line="376" w:lineRule="atLeast"/>
      <w:ind w:left="2095" w:hanging="425"/>
      <w:textAlignment w:val="baseline"/>
      <w:outlineLvl w:val="4"/>
    </w:pPr>
    <w:rPr>
      <w:b/>
      <w:kern w:val="0"/>
      <w:sz w:val="28"/>
      <w:szCs w:val="20"/>
    </w:rPr>
  </w:style>
  <w:style w:type="paragraph" w:styleId="8">
    <w:name w:val="heading 6"/>
    <w:basedOn w:val="1"/>
    <w:next w:val="1"/>
    <w:link w:val="46"/>
    <w:autoRedefine/>
    <w:qFormat/>
    <w:uiPriority w:val="0"/>
    <w:pPr>
      <w:keepNext/>
      <w:keepLines/>
      <w:adjustRightInd w:val="0"/>
      <w:spacing w:before="240" w:after="64" w:line="320" w:lineRule="atLeast"/>
      <w:ind w:left="2520" w:hanging="425"/>
      <w:textAlignment w:val="baseline"/>
      <w:outlineLvl w:val="5"/>
    </w:pPr>
    <w:rPr>
      <w:rFonts w:ascii="Arial" w:hAnsi="Arial" w:eastAsia="黑体"/>
      <w:b/>
      <w:kern w:val="0"/>
      <w:sz w:val="24"/>
      <w:szCs w:val="20"/>
    </w:rPr>
  </w:style>
  <w:style w:type="paragraph" w:styleId="9">
    <w:name w:val="heading 7"/>
    <w:basedOn w:val="1"/>
    <w:next w:val="1"/>
    <w:link w:val="47"/>
    <w:autoRedefine/>
    <w:qFormat/>
    <w:uiPriority w:val="0"/>
    <w:pPr>
      <w:keepNext/>
      <w:keepLines/>
      <w:adjustRightInd w:val="0"/>
      <w:spacing w:before="240" w:after="64" w:line="320" w:lineRule="atLeast"/>
      <w:ind w:left="2945" w:hanging="425"/>
      <w:textAlignment w:val="baseline"/>
      <w:outlineLvl w:val="6"/>
    </w:pPr>
    <w:rPr>
      <w:b/>
      <w:kern w:val="0"/>
      <w:sz w:val="24"/>
      <w:szCs w:val="20"/>
    </w:rPr>
  </w:style>
  <w:style w:type="paragraph" w:styleId="10">
    <w:name w:val="heading 8"/>
    <w:basedOn w:val="1"/>
    <w:next w:val="1"/>
    <w:link w:val="48"/>
    <w:autoRedefine/>
    <w:qFormat/>
    <w:uiPriority w:val="0"/>
    <w:pPr>
      <w:keepNext/>
      <w:keepLines/>
      <w:adjustRightInd w:val="0"/>
      <w:spacing w:before="240" w:after="64" w:line="320" w:lineRule="atLeast"/>
      <w:ind w:left="3370" w:hanging="425"/>
      <w:textAlignment w:val="baseline"/>
      <w:outlineLvl w:val="7"/>
    </w:pPr>
    <w:rPr>
      <w:rFonts w:ascii="Arial" w:hAnsi="Arial" w:eastAsia="黑体"/>
      <w:kern w:val="0"/>
      <w:sz w:val="24"/>
      <w:szCs w:val="20"/>
    </w:rPr>
  </w:style>
  <w:style w:type="paragraph" w:styleId="11">
    <w:name w:val="heading 9"/>
    <w:basedOn w:val="1"/>
    <w:next w:val="1"/>
    <w:link w:val="49"/>
    <w:autoRedefine/>
    <w:qFormat/>
    <w:uiPriority w:val="0"/>
    <w:pPr>
      <w:keepNext/>
      <w:keepLines/>
      <w:adjustRightInd w:val="0"/>
      <w:spacing w:before="240" w:after="64" w:line="320" w:lineRule="atLeast"/>
      <w:ind w:left="3795" w:hanging="425"/>
      <w:textAlignment w:val="baseline"/>
      <w:outlineLvl w:val="8"/>
    </w:pPr>
    <w:rPr>
      <w:rFonts w:ascii="Arial" w:hAnsi="Arial" w:eastAsia="黑体"/>
      <w:kern w:val="0"/>
      <w:sz w:val="21"/>
      <w:szCs w:val="20"/>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customStyle="1" w:styleId="4">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0"/>
    </w:rPr>
  </w:style>
  <w:style w:type="paragraph" w:styleId="12">
    <w:name w:val="Normal Indent"/>
    <w:basedOn w:val="1"/>
    <w:autoRedefine/>
    <w:qFormat/>
    <w:uiPriority w:val="0"/>
    <w:pPr>
      <w:spacing w:line="240" w:lineRule="auto"/>
      <w:ind w:firstLine="200" w:firstLineChars="200"/>
    </w:pPr>
    <w:rPr>
      <w:color w:val="000000"/>
      <w:sz w:val="24"/>
      <w:szCs w:val="20"/>
    </w:rPr>
  </w:style>
  <w:style w:type="paragraph" w:styleId="13">
    <w:name w:val="Document Map"/>
    <w:basedOn w:val="1"/>
    <w:link w:val="53"/>
    <w:autoRedefine/>
    <w:qFormat/>
    <w:uiPriority w:val="0"/>
    <w:rPr>
      <w:rFonts w:ascii="宋体" w:hAnsiTheme="minorHAnsi" w:eastAsiaTheme="minorEastAsia" w:cstheme="minorBidi"/>
      <w:sz w:val="18"/>
      <w:szCs w:val="18"/>
    </w:rPr>
  </w:style>
  <w:style w:type="paragraph" w:styleId="14">
    <w:name w:val="toa heading"/>
    <w:basedOn w:val="1"/>
    <w:next w:val="1"/>
    <w:autoRedefine/>
    <w:semiHidden/>
    <w:qFormat/>
    <w:uiPriority w:val="0"/>
    <w:pPr>
      <w:spacing w:before="120" w:line="240" w:lineRule="auto"/>
    </w:pPr>
    <w:rPr>
      <w:rFonts w:ascii="Arial" w:hAnsi="Arial" w:eastAsia="黑体"/>
      <w:color w:val="000000"/>
      <w:sz w:val="24"/>
      <w:szCs w:val="20"/>
    </w:rPr>
  </w:style>
  <w:style w:type="paragraph" w:styleId="15">
    <w:name w:val="annotation text"/>
    <w:basedOn w:val="1"/>
    <w:link w:val="61"/>
    <w:autoRedefine/>
    <w:unhideWhenUsed/>
    <w:qFormat/>
    <w:uiPriority w:val="0"/>
    <w:pPr>
      <w:jc w:val="left"/>
    </w:pPr>
  </w:style>
  <w:style w:type="paragraph" w:styleId="16">
    <w:name w:val="Body Text"/>
    <w:basedOn w:val="1"/>
    <w:link w:val="81"/>
    <w:autoRedefine/>
    <w:qFormat/>
    <w:uiPriority w:val="0"/>
    <w:pPr>
      <w:spacing w:line="360" w:lineRule="auto"/>
    </w:pPr>
    <w:rPr>
      <w:sz w:val="24"/>
      <w:szCs w:val="20"/>
    </w:rPr>
  </w:style>
  <w:style w:type="paragraph" w:styleId="17">
    <w:name w:val="Body Text Indent"/>
    <w:basedOn w:val="1"/>
    <w:link w:val="84"/>
    <w:autoRedefine/>
    <w:qFormat/>
    <w:uiPriority w:val="0"/>
    <w:pPr>
      <w:spacing w:line="240" w:lineRule="auto"/>
      <w:ind w:firstLine="645"/>
    </w:pPr>
    <w:rPr>
      <w:rFonts w:ascii="宋体"/>
      <w:sz w:val="32"/>
      <w:szCs w:val="20"/>
    </w:rPr>
  </w:style>
  <w:style w:type="paragraph" w:styleId="18">
    <w:name w:val="List 2"/>
    <w:basedOn w:val="1"/>
    <w:autoRedefine/>
    <w:qFormat/>
    <w:uiPriority w:val="0"/>
    <w:pPr>
      <w:spacing w:line="240" w:lineRule="auto"/>
      <w:ind w:left="100" w:leftChars="200" w:hanging="200" w:hangingChars="200"/>
      <w:contextualSpacing/>
    </w:pPr>
    <w:rPr>
      <w:sz w:val="21"/>
      <w:szCs w:val="20"/>
    </w:rPr>
  </w:style>
  <w:style w:type="paragraph" w:styleId="19">
    <w:name w:val="Block Text"/>
    <w:basedOn w:val="1"/>
    <w:autoRedefine/>
    <w:qFormat/>
    <w:uiPriority w:val="0"/>
    <w:pPr>
      <w:spacing w:line="360" w:lineRule="exact"/>
      <w:ind w:left="-120" w:right="26" w:firstLine="720"/>
    </w:pPr>
    <w:rPr>
      <w:color w:val="000000"/>
      <w:sz w:val="24"/>
      <w:szCs w:val="20"/>
    </w:rPr>
  </w:style>
  <w:style w:type="paragraph" w:styleId="20">
    <w:name w:val="toc 3"/>
    <w:basedOn w:val="1"/>
    <w:next w:val="1"/>
    <w:autoRedefine/>
    <w:qFormat/>
    <w:uiPriority w:val="39"/>
    <w:pPr>
      <w:ind w:left="840" w:leftChars="400"/>
    </w:pPr>
  </w:style>
  <w:style w:type="paragraph" w:styleId="21">
    <w:name w:val="Plain Text"/>
    <w:basedOn w:val="1"/>
    <w:link w:val="51"/>
    <w:autoRedefine/>
    <w:qFormat/>
    <w:uiPriority w:val="0"/>
    <w:pPr>
      <w:spacing w:line="240" w:lineRule="auto"/>
    </w:pPr>
    <w:rPr>
      <w:rFonts w:ascii="宋体" w:hAnsi="Courier New" w:eastAsiaTheme="minorEastAsia" w:cstheme="minorBidi"/>
      <w:sz w:val="21"/>
      <w:szCs w:val="22"/>
    </w:rPr>
  </w:style>
  <w:style w:type="paragraph" w:styleId="22">
    <w:name w:val="Date"/>
    <w:basedOn w:val="1"/>
    <w:next w:val="1"/>
    <w:link w:val="80"/>
    <w:autoRedefine/>
    <w:qFormat/>
    <w:uiPriority w:val="0"/>
    <w:pPr>
      <w:spacing w:line="240" w:lineRule="auto"/>
    </w:pPr>
    <w:rPr>
      <w:rFonts w:ascii="宋体"/>
      <w:sz w:val="32"/>
      <w:szCs w:val="20"/>
    </w:rPr>
  </w:style>
  <w:style w:type="paragraph" w:styleId="23">
    <w:name w:val="Body Text Indent 2"/>
    <w:basedOn w:val="1"/>
    <w:link w:val="57"/>
    <w:autoRedefine/>
    <w:qFormat/>
    <w:uiPriority w:val="0"/>
    <w:pPr>
      <w:spacing w:line="240" w:lineRule="auto"/>
      <w:ind w:firstLine="630"/>
    </w:pPr>
    <w:rPr>
      <w:rFonts w:ascii="宋体" w:hAnsiTheme="minorHAnsi" w:eastAsiaTheme="minorEastAsia" w:cstheme="minorBidi"/>
      <w:sz w:val="32"/>
      <w:szCs w:val="22"/>
    </w:rPr>
  </w:style>
  <w:style w:type="paragraph" w:styleId="24">
    <w:name w:val="Balloon Text"/>
    <w:basedOn w:val="1"/>
    <w:link w:val="77"/>
    <w:autoRedefine/>
    <w:semiHidden/>
    <w:qFormat/>
    <w:uiPriority w:val="0"/>
    <w:rPr>
      <w:sz w:val="18"/>
      <w:szCs w:val="18"/>
    </w:rPr>
  </w:style>
  <w:style w:type="paragraph" w:styleId="25">
    <w:name w:val="footer"/>
    <w:basedOn w:val="1"/>
    <w:link w:val="59"/>
    <w:autoRedefine/>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22"/>
    </w:rPr>
  </w:style>
  <w:style w:type="paragraph" w:styleId="26">
    <w:name w:val="header"/>
    <w:basedOn w:val="1"/>
    <w:link w:val="58"/>
    <w:autoRedefine/>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22"/>
    </w:rPr>
  </w:style>
  <w:style w:type="paragraph" w:styleId="27">
    <w:name w:val="toc 1"/>
    <w:basedOn w:val="1"/>
    <w:next w:val="1"/>
    <w:autoRedefine/>
    <w:qFormat/>
    <w:uiPriority w:val="39"/>
  </w:style>
  <w:style w:type="paragraph" w:styleId="28">
    <w:name w:val="Body Text Indent 3"/>
    <w:basedOn w:val="1"/>
    <w:link w:val="78"/>
    <w:autoRedefine/>
    <w:qFormat/>
    <w:uiPriority w:val="0"/>
    <w:pPr>
      <w:spacing w:after="120"/>
      <w:ind w:left="420" w:leftChars="200"/>
    </w:pPr>
    <w:rPr>
      <w:sz w:val="16"/>
      <w:szCs w:val="16"/>
    </w:rPr>
  </w:style>
  <w:style w:type="paragraph" w:styleId="29">
    <w:name w:val="table of figures"/>
    <w:basedOn w:val="1"/>
    <w:next w:val="1"/>
    <w:autoRedefine/>
    <w:semiHidden/>
    <w:qFormat/>
    <w:uiPriority w:val="0"/>
    <w:pPr>
      <w:spacing w:line="264" w:lineRule="auto"/>
      <w:ind w:left="840" w:leftChars="200" w:hanging="420" w:hangingChars="200"/>
    </w:pPr>
    <w:rPr>
      <w:color w:val="000000"/>
      <w:sz w:val="24"/>
    </w:rPr>
  </w:style>
  <w:style w:type="paragraph" w:styleId="30">
    <w:name w:val="toc 2"/>
    <w:basedOn w:val="1"/>
    <w:next w:val="1"/>
    <w:autoRedefine/>
    <w:qFormat/>
    <w:uiPriority w:val="39"/>
    <w:pPr>
      <w:ind w:left="420" w:leftChars="200"/>
    </w:pPr>
  </w:style>
  <w:style w:type="paragraph" w:styleId="31">
    <w:name w:val="Body Text 2"/>
    <w:basedOn w:val="1"/>
    <w:link w:val="85"/>
    <w:autoRedefine/>
    <w:qFormat/>
    <w:uiPriority w:val="0"/>
    <w:pPr>
      <w:spacing w:after="120" w:line="480" w:lineRule="auto"/>
    </w:pPr>
  </w:style>
  <w:style w:type="paragraph" w:styleId="32">
    <w:name w:val="Normal (Web)"/>
    <w:basedOn w:val="1"/>
    <w:autoRedefine/>
    <w:qFormat/>
    <w:uiPriority w:val="0"/>
    <w:pPr>
      <w:widowControl/>
      <w:spacing w:before="100" w:beforeAutospacing="1" w:after="100" w:afterAutospacing="1" w:line="240" w:lineRule="auto"/>
      <w:jc w:val="left"/>
    </w:pPr>
    <w:rPr>
      <w:rFonts w:ascii="宋体" w:hAnsi="宋体" w:cs="宋体"/>
      <w:kern w:val="0"/>
      <w:sz w:val="24"/>
    </w:rPr>
  </w:style>
  <w:style w:type="paragraph" w:styleId="33">
    <w:name w:val="annotation subject"/>
    <w:basedOn w:val="15"/>
    <w:next w:val="15"/>
    <w:link w:val="54"/>
    <w:autoRedefine/>
    <w:qFormat/>
    <w:uiPriority w:val="0"/>
    <w:rPr>
      <w:rFonts w:asciiTheme="minorHAnsi" w:hAnsiTheme="minorHAnsi" w:eastAsiaTheme="minorEastAsia" w:cstheme="minorBidi"/>
      <w:b/>
      <w:bCs/>
    </w:rPr>
  </w:style>
  <w:style w:type="table" w:styleId="35">
    <w:name w:val="Table Grid"/>
    <w:basedOn w:val="34"/>
    <w:autoRedefine/>
    <w:qFormat/>
    <w:uiPriority w:val="59"/>
    <w:pPr>
      <w:widowControl w:val="0"/>
      <w:ind w:firstLine="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page number"/>
    <w:basedOn w:val="36"/>
    <w:autoRedefine/>
    <w:qFormat/>
    <w:uiPriority w:val="0"/>
  </w:style>
  <w:style w:type="character" w:styleId="38">
    <w:name w:val="FollowedHyperlink"/>
    <w:autoRedefine/>
    <w:qFormat/>
    <w:uiPriority w:val="99"/>
    <w:rPr>
      <w:color w:val="800080"/>
      <w:u w:val="single"/>
    </w:rPr>
  </w:style>
  <w:style w:type="character" w:styleId="39">
    <w:name w:val="Hyperlink"/>
    <w:autoRedefine/>
    <w:qFormat/>
    <w:uiPriority w:val="99"/>
    <w:rPr>
      <w:color w:val="000033"/>
      <w:u w:val="none"/>
    </w:rPr>
  </w:style>
  <w:style w:type="character" w:styleId="40">
    <w:name w:val="annotation reference"/>
    <w:autoRedefine/>
    <w:qFormat/>
    <w:uiPriority w:val="0"/>
    <w:rPr>
      <w:sz w:val="21"/>
      <w:szCs w:val="21"/>
    </w:rPr>
  </w:style>
  <w:style w:type="character" w:customStyle="1" w:styleId="41">
    <w:name w:val="标题 1 Char"/>
    <w:basedOn w:val="36"/>
    <w:link w:val="2"/>
    <w:autoRedefine/>
    <w:qFormat/>
    <w:uiPriority w:val="0"/>
    <w:rPr>
      <w:rFonts w:ascii="宋体" w:hAnsi="宋体" w:eastAsia="宋体" w:cs="Times New Roman"/>
      <w:b/>
      <w:kern w:val="44"/>
      <w:sz w:val="32"/>
      <w:szCs w:val="32"/>
    </w:rPr>
  </w:style>
  <w:style w:type="character" w:customStyle="1" w:styleId="42">
    <w:name w:val="标题 2 Char"/>
    <w:basedOn w:val="36"/>
    <w:link w:val="3"/>
    <w:autoRedefine/>
    <w:qFormat/>
    <w:uiPriority w:val="0"/>
    <w:rPr>
      <w:rFonts w:ascii="黑体" w:hAnsi="Arial" w:eastAsia="华文楷体" w:cs="Times New Roman"/>
      <w:b/>
      <w:kern w:val="0"/>
      <w:sz w:val="32"/>
      <w:szCs w:val="20"/>
    </w:rPr>
  </w:style>
  <w:style w:type="character" w:customStyle="1" w:styleId="43">
    <w:name w:val="标题 3 Char"/>
    <w:basedOn w:val="36"/>
    <w:link w:val="5"/>
    <w:autoRedefine/>
    <w:qFormat/>
    <w:uiPriority w:val="0"/>
    <w:rPr>
      <w:rFonts w:ascii="黑体" w:hAnsi="Times New Roman" w:eastAsia="华文楷体" w:cs="Times New Roman"/>
      <w:b/>
      <w:kern w:val="0"/>
      <w:sz w:val="28"/>
      <w:szCs w:val="20"/>
    </w:rPr>
  </w:style>
  <w:style w:type="character" w:customStyle="1" w:styleId="44">
    <w:name w:val="标题 4 Char"/>
    <w:basedOn w:val="36"/>
    <w:link w:val="6"/>
    <w:autoRedefine/>
    <w:qFormat/>
    <w:uiPriority w:val="0"/>
    <w:rPr>
      <w:rFonts w:ascii="Arial" w:hAnsi="Arial" w:eastAsia="黑体" w:cs="Times New Roman"/>
      <w:b/>
      <w:kern w:val="0"/>
      <w:sz w:val="28"/>
      <w:szCs w:val="20"/>
    </w:rPr>
  </w:style>
  <w:style w:type="character" w:customStyle="1" w:styleId="45">
    <w:name w:val="标题 5 Char"/>
    <w:basedOn w:val="36"/>
    <w:link w:val="7"/>
    <w:autoRedefine/>
    <w:qFormat/>
    <w:uiPriority w:val="0"/>
    <w:rPr>
      <w:rFonts w:ascii="Times New Roman" w:hAnsi="Times New Roman" w:eastAsia="宋体" w:cs="Times New Roman"/>
      <w:b/>
      <w:kern w:val="0"/>
      <w:sz w:val="28"/>
      <w:szCs w:val="20"/>
    </w:rPr>
  </w:style>
  <w:style w:type="character" w:customStyle="1" w:styleId="46">
    <w:name w:val="标题 6 Char"/>
    <w:basedOn w:val="36"/>
    <w:link w:val="8"/>
    <w:autoRedefine/>
    <w:qFormat/>
    <w:uiPriority w:val="0"/>
    <w:rPr>
      <w:rFonts w:ascii="Arial" w:hAnsi="Arial" w:eastAsia="黑体" w:cs="Times New Roman"/>
      <w:b/>
      <w:kern w:val="0"/>
      <w:sz w:val="24"/>
      <w:szCs w:val="20"/>
    </w:rPr>
  </w:style>
  <w:style w:type="character" w:customStyle="1" w:styleId="47">
    <w:name w:val="标题 7 Char"/>
    <w:basedOn w:val="36"/>
    <w:link w:val="9"/>
    <w:autoRedefine/>
    <w:qFormat/>
    <w:uiPriority w:val="0"/>
    <w:rPr>
      <w:rFonts w:ascii="Times New Roman" w:hAnsi="Times New Roman" w:eastAsia="宋体" w:cs="Times New Roman"/>
      <w:b/>
      <w:kern w:val="0"/>
      <w:sz w:val="24"/>
      <w:szCs w:val="20"/>
    </w:rPr>
  </w:style>
  <w:style w:type="character" w:customStyle="1" w:styleId="48">
    <w:name w:val="标题 8 Char"/>
    <w:basedOn w:val="36"/>
    <w:link w:val="10"/>
    <w:autoRedefine/>
    <w:qFormat/>
    <w:uiPriority w:val="0"/>
    <w:rPr>
      <w:rFonts w:ascii="Arial" w:hAnsi="Arial" w:eastAsia="黑体" w:cs="Times New Roman"/>
      <w:kern w:val="0"/>
      <w:sz w:val="24"/>
      <w:szCs w:val="20"/>
    </w:rPr>
  </w:style>
  <w:style w:type="character" w:customStyle="1" w:styleId="49">
    <w:name w:val="标题 9 Char"/>
    <w:basedOn w:val="36"/>
    <w:link w:val="11"/>
    <w:autoRedefine/>
    <w:qFormat/>
    <w:uiPriority w:val="0"/>
    <w:rPr>
      <w:rFonts w:ascii="Arial" w:hAnsi="Arial" w:eastAsia="黑体" w:cs="Times New Roman"/>
      <w:kern w:val="0"/>
      <w:szCs w:val="20"/>
    </w:rPr>
  </w:style>
  <w:style w:type="character" w:customStyle="1" w:styleId="50">
    <w:name w:val="param_td12"/>
    <w:basedOn w:val="36"/>
    <w:autoRedefine/>
    <w:qFormat/>
    <w:uiPriority w:val="0"/>
  </w:style>
  <w:style w:type="character" w:customStyle="1" w:styleId="51">
    <w:name w:val="纯文本 Char"/>
    <w:link w:val="21"/>
    <w:autoRedefine/>
    <w:qFormat/>
    <w:uiPriority w:val="0"/>
    <w:rPr>
      <w:rFonts w:ascii="宋体" w:hAnsi="Courier New"/>
    </w:rPr>
  </w:style>
  <w:style w:type="character" w:customStyle="1" w:styleId="52">
    <w:name w:val="ca-7"/>
    <w:basedOn w:val="36"/>
    <w:autoRedefine/>
    <w:qFormat/>
    <w:uiPriority w:val="0"/>
  </w:style>
  <w:style w:type="character" w:customStyle="1" w:styleId="53">
    <w:name w:val="文档结构图 Char"/>
    <w:link w:val="13"/>
    <w:autoRedefine/>
    <w:qFormat/>
    <w:uiPriority w:val="0"/>
    <w:rPr>
      <w:rFonts w:ascii="宋体"/>
      <w:sz w:val="18"/>
      <w:szCs w:val="18"/>
    </w:rPr>
  </w:style>
  <w:style w:type="character" w:customStyle="1" w:styleId="54">
    <w:name w:val="批注主题 Char"/>
    <w:link w:val="33"/>
    <w:autoRedefine/>
    <w:qFormat/>
    <w:uiPriority w:val="0"/>
    <w:rPr>
      <w:b/>
      <w:bCs/>
      <w:sz w:val="30"/>
      <w:szCs w:val="24"/>
    </w:rPr>
  </w:style>
  <w:style w:type="character" w:customStyle="1" w:styleId="55">
    <w:name w:val="批注文字 Char"/>
    <w:autoRedefine/>
    <w:qFormat/>
    <w:uiPriority w:val="0"/>
    <w:rPr>
      <w:kern w:val="2"/>
      <w:sz w:val="30"/>
      <w:szCs w:val="24"/>
    </w:rPr>
  </w:style>
  <w:style w:type="character" w:customStyle="1" w:styleId="56">
    <w:name w:val="ca-4"/>
    <w:basedOn w:val="36"/>
    <w:autoRedefine/>
    <w:qFormat/>
    <w:uiPriority w:val="0"/>
  </w:style>
  <w:style w:type="character" w:customStyle="1" w:styleId="57">
    <w:name w:val="正文文本缩进 2 Char"/>
    <w:link w:val="23"/>
    <w:autoRedefine/>
    <w:qFormat/>
    <w:uiPriority w:val="0"/>
    <w:rPr>
      <w:rFonts w:ascii="宋体"/>
      <w:sz w:val="32"/>
    </w:rPr>
  </w:style>
  <w:style w:type="character" w:customStyle="1" w:styleId="58">
    <w:name w:val="页眉 Char"/>
    <w:link w:val="26"/>
    <w:autoRedefine/>
    <w:qFormat/>
    <w:uiPriority w:val="99"/>
    <w:rPr>
      <w:sz w:val="18"/>
    </w:rPr>
  </w:style>
  <w:style w:type="character" w:customStyle="1" w:styleId="59">
    <w:name w:val="页脚 Char"/>
    <w:link w:val="25"/>
    <w:autoRedefine/>
    <w:qFormat/>
    <w:uiPriority w:val="99"/>
    <w:rPr>
      <w:sz w:val="18"/>
    </w:rPr>
  </w:style>
  <w:style w:type="character" w:customStyle="1" w:styleId="60">
    <w:name w:val="文档结构图 Char1"/>
    <w:basedOn w:val="36"/>
    <w:autoRedefine/>
    <w:semiHidden/>
    <w:qFormat/>
    <w:uiPriority w:val="99"/>
    <w:rPr>
      <w:rFonts w:ascii="宋体" w:hAnsi="Times New Roman" w:eastAsia="宋体" w:cs="Times New Roman"/>
      <w:sz w:val="18"/>
      <w:szCs w:val="18"/>
    </w:rPr>
  </w:style>
  <w:style w:type="character" w:customStyle="1" w:styleId="61">
    <w:name w:val="批注文字 Char1"/>
    <w:basedOn w:val="36"/>
    <w:link w:val="15"/>
    <w:autoRedefine/>
    <w:semiHidden/>
    <w:qFormat/>
    <w:uiPriority w:val="99"/>
    <w:rPr>
      <w:rFonts w:ascii="Times New Roman" w:hAnsi="Times New Roman" w:eastAsia="宋体" w:cs="Times New Roman"/>
      <w:sz w:val="30"/>
      <w:szCs w:val="24"/>
    </w:rPr>
  </w:style>
  <w:style w:type="character" w:customStyle="1" w:styleId="62">
    <w:name w:val="批注主题 Char1"/>
    <w:basedOn w:val="61"/>
    <w:autoRedefine/>
    <w:semiHidden/>
    <w:qFormat/>
    <w:uiPriority w:val="99"/>
    <w:rPr>
      <w:rFonts w:ascii="Times New Roman" w:hAnsi="Times New Roman" w:eastAsia="宋体" w:cs="Times New Roman"/>
      <w:b/>
      <w:bCs/>
      <w:sz w:val="30"/>
      <w:szCs w:val="24"/>
    </w:rPr>
  </w:style>
  <w:style w:type="paragraph" w:customStyle="1" w:styleId="63">
    <w:name w:val="xl94"/>
    <w:basedOn w:val="1"/>
    <w:autoRedefine/>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64">
    <w:name w:val="xl92"/>
    <w:basedOn w:val="1"/>
    <w:autoRedefine/>
    <w:qFormat/>
    <w:uiPriority w:val="0"/>
    <w:pPr>
      <w:widowControl/>
      <w:pBdr>
        <w:top w:val="dotted" w:color="auto" w:sz="4" w:space="0"/>
        <w:left w:val="dotted"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65">
    <w:name w:val="+正文 Char Char"/>
    <w:basedOn w:val="1"/>
    <w:autoRedefine/>
    <w:qFormat/>
    <w:uiPriority w:val="0"/>
    <w:pPr>
      <w:spacing w:line="360" w:lineRule="auto"/>
      <w:ind w:firstLine="200" w:firstLineChars="200"/>
    </w:pPr>
    <w:rPr>
      <w:color w:val="000000"/>
      <w:sz w:val="24"/>
      <w:szCs w:val="28"/>
    </w:rPr>
  </w:style>
  <w:style w:type="paragraph" w:customStyle="1" w:styleId="66">
    <w:name w:val="section编号"/>
    <w:basedOn w:val="1"/>
    <w:autoRedefine/>
    <w:qFormat/>
    <w:uiPriority w:val="0"/>
    <w:pPr>
      <w:widowControl/>
      <w:spacing w:before="200" w:after="160" w:line="420" w:lineRule="exact"/>
      <w:jc w:val="center"/>
    </w:pPr>
    <w:rPr>
      <w:rFonts w:ascii="Arial" w:hAnsi="Arial" w:eastAsia="黑体"/>
      <w:color w:val="000000"/>
      <w:spacing w:val="40"/>
      <w:sz w:val="28"/>
      <w:szCs w:val="20"/>
    </w:rPr>
  </w:style>
  <w:style w:type="paragraph" w:customStyle="1" w:styleId="67">
    <w:name w:val="xl85"/>
    <w:basedOn w:val="1"/>
    <w:autoRedefine/>
    <w:qFormat/>
    <w:uiPriority w:val="0"/>
    <w:pPr>
      <w:widowControl/>
      <w:pBdr>
        <w:top w:val="dotted" w:color="auto" w:sz="4" w:space="0"/>
        <w:left w:val="dotted"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68">
    <w:name w:val="表标题"/>
    <w:basedOn w:val="1"/>
    <w:autoRedefine/>
    <w:qFormat/>
    <w:uiPriority w:val="0"/>
    <w:pPr>
      <w:spacing w:line="500" w:lineRule="exact"/>
    </w:pPr>
    <w:rPr>
      <w:color w:val="000000"/>
      <w:spacing w:val="10"/>
      <w:sz w:val="24"/>
      <w:szCs w:val="20"/>
    </w:rPr>
  </w:style>
  <w:style w:type="paragraph" w:customStyle="1" w:styleId="69">
    <w:name w:val="1)"/>
    <w:basedOn w:val="1"/>
    <w:autoRedefine/>
    <w:qFormat/>
    <w:uiPriority w:val="0"/>
    <w:pPr>
      <w:tabs>
        <w:tab w:val="left" w:pos="1814"/>
      </w:tabs>
      <w:spacing w:line="264" w:lineRule="auto"/>
      <w:ind w:left="1814" w:hanging="453"/>
    </w:pPr>
    <w:rPr>
      <w:color w:val="000000"/>
      <w:sz w:val="24"/>
      <w:szCs w:val="20"/>
    </w:rPr>
  </w:style>
  <w:style w:type="paragraph" w:customStyle="1" w:styleId="70">
    <w:name w:val="xl75"/>
    <w:basedOn w:val="1"/>
    <w:autoRedefine/>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left"/>
    </w:pPr>
    <w:rPr>
      <w:color w:val="000000"/>
      <w:kern w:val="0"/>
      <w:sz w:val="20"/>
      <w:szCs w:val="20"/>
    </w:rPr>
  </w:style>
  <w:style w:type="paragraph" w:customStyle="1" w:styleId="71">
    <w:name w:val="xl72"/>
    <w:basedOn w:val="1"/>
    <w:autoRedefine/>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72">
    <w:name w:val="xl76"/>
    <w:basedOn w:val="1"/>
    <w:autoRedefine/>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left"/>
    </w:pPr>
    <w:rPr>
      <w:kern w:val="0"/>
      <w:sz w:val="20"/>
      <w:szCs w:val="20"/>
    </w:rPr>
  </w:style>
  <w:style w:type="paragraph" w:customStyle="1" w:styleId="73">
    <w:name w:val="xl79"/>
    <w:basedOn w:val="1"/>
    <w:autoRedefine/>
    <w:qFormat/>
    <w:uiPriority w:val="0"/>
    <w:pPr>
      <w:widowControl/>
      <w:pBdr>
        <w:top w:val="dotted" w:color="auto" w:sz="4" w:space="0"/>
        <w:left w:val="single" w:color="auto" w:sz="4" w:space="0"/>
        <w:bottom w:val="single"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74">
    <w:name w:val="font8"/>
    <w:basedOn w:val="1"/>
    <w:autoRedefine/>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75">
    <w:name w:val="表格文字"/>
    <w:basedOn w:val="17"/>
    <w:autoRedefine/>
    <w:qFormat/>
    <w:uiPriority w:val="0"/>
    <w:pPr>
      <w:spacing w:before="20" w:after="20"/>
      <w:ind w:firstLine="0"/>
    </w:pPr>
    <w:rPr>
      <w:rFonts w:ascii="Century Gothic" w:hAnsi="Century Gothic"/>
      <w:sz w:val="20"/>
    </w:rPr>
  </w:style>
  <w:style w:type="paragraph" w:customStyle="1" w:styleId="76">
    <w:name w:val="xl102"/>
    <w:basedOn w:val="1"/>
    <w:autoRedefine/>
    <w:qFormat/>
    <w:uiPriority w:val="0"/>
    <w:pPr>
      <w:widowControl/>
      <w:pBdr>
        <w:bottom w:val="single" w:color="auto" w:sz="4" w:space="0"/>
      </w:pBdr>
      <w:spacing w:before="100" w:beforeAutospacing="1" w:after="100" w:afterAutospacing="1" w:line="240" w:lineRule="auto"/>
      <w:jc w:val="center"/>
    </w:pPr>
    <w:rPr>
      <w:rFonts w:ascii="宋体" w:hAnsi="宋体" w:cs="宋体"/>
      <w:kern w:val="0"/>
      <w:sz w:val="24"/>
    </w:rPr>
  </w:style>
  <w:style w:type="character" w:customStyle="1" w:styleId="77">
    <w:name w:val="批注框文本 Char"/>
    <w:basedOn w:val="36"/>
    <w:link w:val="24"/>
    <w:autoRedefine/>
    <w:semiHidden/>
    <w:qFormat/>
    <w:uiPriority w:val="0"/>
    <w:rPr>
      <w:rFonts w:ascii="Times New Roman" w:hAnsi="Times New Roman" w:eastAsia="宋体" w:cs="Times New Roman"/>
      <w:sz w:val="18"/>
      <w:szCs w:val="18"/>
    </w:rPr>
  </w:style>
  <w:style w:type="character" w:customStyle="1" w:styleId="78">
    <w:name w:val="正文文本缩进 3 Char"/>
    <w:basedOn w:val="36"/>
    <w:link w:val="28"/>
    <w:autoRedefine/>
    <w:qFormat/>
    <w:uiPriority w:val="0"/>
    <w:rPr>
      <w:rFonts w:ascii="Times New Roman" w:hAnsi="Times New Roman" w:eastAsia="宋体" w:cs="Times New Roman"/>
      <w:sz w:val="16"/>
      <w:szCs w:val="16"/>
    </w:rPr>
  </w:style>
  <w:style w:type="character" w:customStyle="1" w:styleId="79">
    <w:name w:val="页眉 Char1"/>
    <w:basedOn w:val="36"/>
    <w:autoRedefine/>
    <w:semiHidden/>
    <w:qFormat/>
    <w:uiPriority w:val="99"/>
    <w:rPr>
      <w:rFonts w:ascii="Times New Roman" w:hAnsi="Times New Roman" w:eastAsia="宋体" w:cs="Times New Roman"/>
      <w:sz w:val="18"/>
      <w:szCs w:val="18"/>
    </w:rPr>
  </w:style>
  <w:style w:type="character" w:customStyle="1" w:styleId="80">
    <w:name w:val="日期 Char"/>
    <w:basedOn w:val="36"/>
    <w:link w:val="22"/>
    <w:autoRedefine/>
    <w:qFormat/>
    <w:uiPriority w:val="0"/>
    <w:rPr>
      <w:rFonts w:ascii="宋体" w:hAnsi="Times New Roman" w:eastAsia="宋体" w:cs="Times New Roman"/>
      <w:sz w:val="32"/>
      <w:szCs w:val="20"/>
    </w:rPr>
  </w:style>
  <w:style w:type="character" w:customStyle="1" w:styleId="81">
    <w:name w:val="正文文本 Char"/>
    <w:basedOn w:val="36"/>
    <w:link w:val="16"/>
    <w:autoRedefine/>
    <w:qFormat/>
    <w:uiPriority w:val="0"/>
    <w:rPr>
      <w:rFonts w:ascii="Times New Roman" w:hAnsi="Times New Roman" w:eastAsia="宋体" w:cs="Times New Roman"/>
      <w:sz w:val="24"/>
      <w:szCs w:val="20"/>
    </w:rPr>
  </w:style>
  <w:style w:type="character" w:customStyle="1" w:styleId="82">
    <w:name w:val="页脚 Char1"/>
    <w:basedOn w:val="36"/>
    <w:autoRedefine/>
    <w:semiHidden/>
    <w:qFormat/>
    <w:uiPriority w:val="99"/>
    <w:rPr>
      <w:rFonts w:ascii="Times New Roman" w:hAnsi="Times New Roman" w:eastAsia="宋体" w:cs="Times New Roman"/>
      <w:sz w:val="18"/>
      <w:szCs w:val="18"/>
    </w:rPr>
  </w:style>
  <w:style w:type="character" w:customStyle="1" w:styleId="83">
    <w:name w:val="正文文本缩进 2 Char1"/>
    <w:basedOn w:val="36"/>
    <w:autoRedefine/>
    <w:semiHidden/>
    <w:qFormat/>
    <w:uiPriority w:val="99"/>
    <w:rPr>
      <w:rFonts w:ascii="Times New Roman" w:hAnsi="Times New Roman" w:eastAsia="宋体" w:cs="Times New Roman"/>
      <w:sz w:val="30"/>
      <w:szCs w:val="24"/>
    </w:rPr>
  </w:style>
  <w:style w:type="character" w:customStyle="1" w:styleId="84">
    <w:name w:val="正文文本缩进 Char"/>
    <w:basedOn w:val="36"/>
    <w:link w:val="17"/>
    <w:autoRedefine/>
    <w:qFormat/>
    <w:uiPriority w:val="0"/>
    <w:rPr>
      <w:rFonts w:ascii="宋体" w:hAnsi="Times New Roman" w:eastAsia="宋体" w:cs="Times New Roman"/>
      <w:sz w:val="32"/>
      <w:szCs w:val="20"/>
    </w:rPr>
  </w:style>
  <w:style w:type="character" w:customStyle="1" w:styleId="85">
    <w:name w:val="正文文本 2 Char"/>
    <w:basedOn w:val="36"/>
    <w:link w:val="31"/>
    <w:autoRedefine/>
    <w:qFormat/>
    <w:uiPriority w:val="0"/>
    <w:rPr>
      <w:rFonts w:ascii="Times New Roman" w:hAnsi="Times New Roman" w:eastAsia="宋体" w:cs="Times New Roman"/>
      <w:sz w:val="30"/>
      <w:szCs w:val="24"/>
    </w:rPr>
  </w:style>
  <w:style w:type="character" w:customStyle="1" w:styleId="86">
    <w:name w:val="纯文本 Char1"/>
    <w:basedOn w:val="36"/>
    <w:autoRedefine/>
    <w:semiHidden/>
    <w:qFormat/>
    <w:uiPriority w:val="99"/>
    <w:rPr>
      <w:rFonts w:ascii="宋体" w:hAnsi="Courier New" w:eastAsia="宋体" w:cs="Courier New"/>
      <w:szCs w:val="21"/>
    </w:rPr>
  </w:style>
  <w:style w:type="paragraph" w:customStyle="1" w:styleId="87">
    <w:name w:val="text"/>
    <w:basedOn w:val="1"/>
    <w:autoRedefine/>
    <w:qFormat/>
    <w:uiPriority w:val="0"/>
    <w:pPr>
      <w:widowControl/>
      <w:overflowPunct w:val="0"/>
      <w:autoSpaceDE w:val="0"/>
      <w:autoSpaceDN w:val="0"/>
      <w:adjustRightInd w:val="0"/>
      <w:spacing w:before="120" w:after="120" w:line="240" w:lineRule="auto"/>
      <w:ind w:left="851"/>
      <w:textAlignment w:val="baseline"/>
    </w:pPr>
    <w:rPr>
      <w:rFonts w:ascii="宋体"/>
      <w:color w:val="000000"/>
      <w:kern w:val="0"/>
      <w:sz w:val="24"/>
      <w:szCs w:val="20"/>
    </w:rPr>
  </w:style>
  <w:style w:type="paragraph" w:customStyle="1" w:styleId="88">
    <w:name w:val="xl101"/>
    <w:basedOn w:val="1"/>
    <w:autoRedefine/>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89">
    <w:name w:val="xl84"/>
    <w:basedOn w:val="1"/>
    <w:autoRedefine/>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90">
    <w:name w:val="xl93"/>
    <w:basedOn w:val="1"/>
    <w:autoRedefine/>
    <w:qFormat/>
    <w:uiPriority w:val="0"/>
    <w:pPr>
      <w:widowControl/>
      <w:pBdr>
        <w:top w:val="single" w:color="auto" w:sz="4" w:space="0"/>
        <w:left w:val="dotted" w:color="auto" w:sz="4" w:space="0"/>
        <w:bottom w:val="dotted" w:color="auto" w:sz="4" w:space="0"/>
        <w:right w:val="dotted"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91">
    <w:name w:val="i."/>
    <w:basedOn w:val="1"/>
    <w:autoRedefine/>
    <w:qFormat/>
    <w:uiPriority w:val="0"/>
    <w:pPr>
      <w:tabs>
        <w:tab w:val="left" w:pos="2268"/>
        <w:tab w:val="left" w:pos="2534"/>
      </w:tabs>
      <w:spacing w:line="264" w:lineRule="auto"/>
      <w:ind w:left="2268" w:hanging="454"/>
    </w:pPr>
    <w:rPr>
      <w:color w:val="000000"/>
      <w:sz w:val="24"/>
      <w:szCs w:val="20"/>
    </w:rPr>
  </w:style>
  <w:style w:type="paragraph" w:customStyle="1" w:styleId="92">
    <w:name w:val="默认段落字体 Para Char Char Char Char"/>
    <w:basedOn w:val="1"/>
    <w:autoRedefine/>
    <w:qFormat/>
    <w:uiPriority w:val="0"/>
    <w:pPr>
      <w:snapToGrid w:val="0"/>
      <w:spacing w:line="360" w:lineRule="auto"/>
      <w:ind w:firstLine="200" w:firstLineChars="200"/>
    </w:pPr>
    <w:rPr>
      <w:rFonts w:eastAsia="仿宋_GB2312"/>
      <w:sz w:val="24"/>
    </w:rPr>
  </w:style>
  <w:style w:type="paragraph" w:customStyle="1" w:styleId="93">
    <w:name w:val="(a)正文"/>
    <w:basedOn w:val="1"/>
    <w:autoRedefine/>
    <w:qFormat/>
    <w:uiPriority w:val="0"/>
    <w:pPr>
      <w:widowControl/>
      <w:tabs>
        <w:tab w:val="left" w:pos="1871"/>
        <w:tab w:val="left" w:pos="2081"/>
      </w:tabs>
      <w:spacing w:line="360" w:lineRule="exact"/>
      <w:ind w:left="1871" w:hanging="510"/>
    </w:pPr>
    <w:rPr>
      <w:color w:val="000000"/>
      <w:sz w:val="24"/>
      <w:szCs w:val="20"/>
    </w:rPr>
  </w:style>
  <w:style w:type="paragraph" w:customStyle="1" w:styleId="94">
    <w:name w:val="xl81"/>
    <w:basedOn w:val="1"/>
    <w:autoRedefine/>
    <w:qFormat/>
    <w:uiPriority w:val="0"/>
    <w:pPr>
      <w:widowControl/>
      <w:pBdr>
        <w:top w:val="dotted" w:color="auto" w:sz="4" w:space="0"/>
        <w:left w:val="dotted" w:color="auto" w:sz="4" w:space="0"/>
        <w:bottom w:val="single"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95">
    <w:name w:val="xl90"/>
    <w:basedOn w:val="1"/>
    <w:autoRedefine/>
    <w:qFormat/>
    <w:uiPriority w:val="0"/>
    <w:pPr>
      <w:widowControl/>
      <w:pBdr>
        <w:bottom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96">
    <w:name w:val="xl83"/>
    <w:basedOn w:val="1"/>
    <w:autoRedefine/>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97">
    <w:name w:val="正文-宋4行25"/>
    <w:basedOn w:val="1"/>
    <w:autoRedefine/>
    <w:qFormat/>
    <w:uiPriority w:val="0"/>
    <w:pPr>
      <w:adjustRightInd w:val="0"/>
      <w:snapToGrid w:val="0"/>
      <w:spacing w:line="500" w:lineRule="exact"/>
      <w:ind w:firstLine="567"/>
      <w:textAlignment w:val="baseline"/>
    </w:pPr>
    <w:rPr>
      <w:rFonts w:ascii="宋体"/>
      <w:kern w:val="0"/>
      <w:sz w:val="27"/>
      <w:szCs w:val="20"/>
    </w:rPr>
  </w:style>
  <w:style w:type="paragraph" w:customStyle="1" w:styleId="98">
    <w:name w:val="xl91"/>
    <w:basedOn w:val="1"/>
    <w:autoRedefine/>
    <w:qFormat/>
    <w:uiPriority w:val="0"/>
    <w:pPr>
      <w:widowControl/>
      <w:pBdr>
        <w:top w:val="dotted" w:color="auto" w:sz="4" w:space="0"/>
        <w:left w:val="dotted" w:color="auto" w:sz="4" w:space="0"/>
        <w:bottom w:val="single"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99">
    <w:name w:val="xl99"/>
    <w:basedOn w:val="1"/>
    <w:autoRedefine/>
    <w:qFormat/>
    <w:uiPriority w:val="0"/>
    <w:pPr>
      <w:widowControl/>
      <w:spacing w:before="100" w:beforeAutospacing="1" w:after="100" w:afterAutospacing="1" w:line="240" w:lineRule="auto"/>
      <w:jc w:val="right"/>
    </w:pPr>
    <w:rPr>
      <w:rFonts w:ascii="宋体" w:hAnsi="宋体" w:cs="宋体"/>
      <w:kern w:val="0"/>
      <w:sz w:val="20"/>
      <w:szCs w:val="20"/>
    </w:rPr>
  </w:style>
  <w:style w:type="paragraph" w:customStyle="1" w:styleId="100">
    <w:name w:val="xl96"/>
    <w:basedOn w:val="1"/>
    <w:autoRedefine/>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left"/>
    </w:pPr>
    <w:rPr>
      <w:color w:val="000000"/>
      <w:kern w:val="0"/>
      <w:sz w:val="20"/>
      <w:szCs w:val="20"/>
    </w:rPr>
  </w:style>
  <w:style w:type="paragraph" w:customStyle="1" w:styleId="101">
    <w:name w:val="xl64"/>
    <w:basedOn w:val="1"/>
    <w:autoRedefine/>
    <w:qFormat/>
    <w:uiPriority w:val="0"/>
    <w:pPr>
      <w:widowControl/>
      <w:spacing w:before="100" w:beforeAutospacing="1" w:after="100" w:afterAutospacing="1" w:line="240" w:lineRule="auto"/>
      <w:jc w:val="center"/>
    </w:pPr>
    <w:rPr>
      <w:rFonts w:ascii="宋体" w:hAnsi="宋体" w:cs="宋体"/>
      <w:kern w:val="0"/>
      <w:sz w:val="24"/>
    </w:rPr>
  </w:style>
  <w:style w:type="paragraph" w:customStyle="1" w:styleId="102">
    <w:name w:val="xl97"/>
    <w:basedOn w:val="1"/>
    <w:autoRedefine/>
    <w:qFormat/>
    <w:uiPriority w:val="0"/>
    <w:pPr>
      <w:widowControl/>
      <w:spacing w:before="100" w:beforeAutospacing="1" w:after="100" w:afterAutospacing="1" w:line="240" w:lineRule="auto"/>
      <w:jc w:val="center"/>
    </w:pPr>
    <w:rPr>
      <w:rFonts w:ascii="宋体" w:hAnsi="宋体" w:cs="宋体"/>
      <w:kern w:val="0"/>
      <w:sz w:val="20"/>
      <w:szCs w:val="20"/>
    </w:rPr>
  </w:style>
  <w:style w:type="paragraph" w:customStyle="1" w:styleId="103">
    <w:name w:val="font9"/>
    <w:basedOn w:val="1"/>
    <w:autoRedefine/>
    <w:qFormat/>
    <w:uiPriority w:val="0"/>
    <w:pPr>
      <w:widowControl/>
      <w:spacing w:before="100" w:beforeAutospacing="1" w:after="100" w:afterAutospacing="1" w:line="240" w:lineRule="auto"/>
      <w:jc w:val="left"/>
    </w:pPr>
    <w:rPr>
      <w:rFonts w:ascii="Arial" w:hAnsi="Arial" w:cs="Arial"/>
      <w:color w:val="000000"/>
      <w:kern w:val="0"/>
      <w:sz w:val="20"/>
      <w:szCs w:val="20"/>
    </w:rPr>
  </w:style>
  <w:style w:type="paragraph" w:customStyle="1" w:styleId="104">
    <w:name w:val="xl87"/>
    <w:basedOn w:val="1"/>
    <w:autoRedefine/>
    <w:qFormat/>
    <w:uiPriority w:val="0"/>
    <w:pPr>
      <w:widowControl/>
      <w:pBdr>
        <w:top w:val="single" w:color="000000" w:sz="8"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05">
    <w:name w:val="Revision"/>
    <w:autoRedefine/>
    <w:semiHidden/>
    <w:qFormat/>
    <w:uiPriority w:val="99"/>
    <w:pPr>
      <w:ind w:firstLine="0"/>
    </w:pPr>
    <w:rPr>
      <w:rFonts w:ascii="Times New Roman" w:hAnsi="Times New Roman" w:eastAsia="宋体" w:cs="Times New Roman"/>
      <w:kern w:val="2"/>
      <w:sz w:val="30"/>
      <w:szCs w:val="24"/>
      <w:lang w:val="en-US" w:eastAsia="zh-CN" w:bidi="ar-SA"/>
    </w:rPr>
  </w:style>
  <w:style w:type="paragraph" w:customStyle="1" w:styleId="106">
    <w:name w:val="head4"/>
    <w:basedOn w:val="1"/>
    <w:autoRedefine/>
    <w:qFormat/>
    <w:uiPriority w:val="0"/>
    <w:pPr>
      <w:widowControl/>
      <w:spacing w:before="120" w:after="120" w:line="240" w:lineRule="auto"/>
    </w:pPr>
    <w:rPr>
      <w:rFonts w:ascii="宋体"/>
      <w:kern w:val="0"/>
      <w:sz w:val="24"/>
      <w:szCs w:val="20"/>
    </w:rPr>
  </w:style>
  <w:style w:type="paragraph" w:customStyle="1" w:styleId="107">
    <w:name w:val="space"/>
    <w:autoRedefine/>
    <w:qFormat/>
    <w:uiPriority w:val="0"/>
    <w:pPr>
      <w:ind w:firstLine="0"/>
    </w:pPr>
    <w:rPr>
      <w:rFonts w:ascii="Times New Roman" w:hAnsi="Times New Roman" w:eastAsia="宋体" w:cs="Times New Roman"/>
      <w:caps/>
      <w:kern w:val="0"/>
      <w:sz w:val="20"/>
      <w:szCs w:val="20"/>
      <w:lang w:val="en-US" w:eastAsia="zh-CN" w:bidi="ar-SA"/>
    </w:rPr>
  </w:style>
  <w:style w:type="paragraph" w:customStyle="1" w:styleId="108">
    <w:name w:val="xl66"/>
    <w:basedOn w:val="1"/>
    <w:autoRedefine/>
    <w:qFormat/>
    <w:uiPriority w:val="0"/>
    <w:pPr>
      <w:widowControl/>
      <w:pBdr>
        <w:top w:val="single" w:color="auto" w:sz="4" w:space="0"/>
        <w:left w:val="single"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09">
    <w:name w:val="xl65"/>
    <w:basedOn w:val="1"/>
    <w:autoRedefine/>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10">
    <w:name w:val="xl77"/>
    <w:basedOn w:val="1"/>
    <w:autoRedefine/>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center"/>
    </w:pPr>
    <w:rPr>
      <w:color w:val="000000"/>
      <w:kern w:val="0"/>
      <w:sz w:val="20"/>
      <w:szCs w:val="20"/>
    </w:rPr>
  </w:style>
  <w:style w:type="paragraph" w:customStyle="1" w:styleId="111">
    <w:name w:val="font7"/>
    <w:basedOn w:val="1"/>
    <w:autoRedefine/>
    <w:qFormat/>
    <w:uiPriority w:val="0"/>
    <w:pPr>
      <w:widowControl/>
      <w:spacing w:before="100" w:beforeAutospacing="1" w:after="100" w:afterAutospacing="1" w:line="240" w:lineRule="auto"/>
      <w:jc w:val="left"/>
    </w:pPr>
    <w:rPr>
      <w:kern w:val="0"/>
      <w:sz w:val="20"/>
      <w:szCs w:val="20"/>
    </w:rPr>
  </w:style>
  <w:style w:type="paragraph" w:customStyle="1" w:styleId="112">
    <w:name w:val="xl74"/>
    <w:basedOn w:val="1"/>
    <w:autoRedefine/>
    <w:qFormat/>
    <w:uiPriority w:val="0"/>
    <w:pPr>
      <w:widowControl/>
      <w:pBdr>
        <w:top w:val="dotted" w:color="auto" w:sz="4" w:space="0"/>
        <w:left w:val="dotted" w:color="auto" w:sz="4" w:space="0"/>
        <w:bottom w:val="dotted" w:color="auto" w:sz="4" w:space="0"/>
        <w:right w:val="dotted" w:color="auto" w:sz="4" w:space="0"/>
      </w:pBdr>
      <w:shd w:val="clear" w:color="000000" w:fill="FFFFFF"/>
      <w:spacing w:before="100" w:beforeAutospacing="1" w:after="100" w:afterAutospacing="1" w:line="240" w:lineRule="auto"/>
      <w:jc w:val="left"/>
    </w:pPr>
    <w:rPr>
      <w:kern w:val="0"/>
      <w:sz w:val="20"/>
      <w:szCs w:val="20"/>
    </w:rPr>
  </w:style>
  <w:style w:type="paragraph" w:customStyle="1" w:styleId="113">
    <w:name w:val="xl95"/>
    <w:basedOn w:val="1"/>
    <w:autoRedefine/>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114">
    <w:name w:val="xl63"/>
    <w:basedOn w:val="1"/>
    <w:autoRedefine/>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115">
    <w:name w:val="1."/>
    <w:basedOn w:val="1"/>
    <w:autoRedefine/>
    <w:qFormat/>
    <w:uiPriority w:val="0"/>
    <w:pPr>
      <w:tabs>
        <w:tab w:val="left" w:pos="907"/>
      </w:tabs>
      <w:spacing w:line="264" w:lineRule="auto"/>
      <w:ind w:left="907" w:hanging="453"/>
    </w:pPr>
    <w:rPr>
      <w:color w:val="000000"/>
      <w:sz w:val="24"/>
      <w:szCs w:val="20"/>
    </w:rPr>
  </w:style>
  <w:style w:type="paragraph" w:customStyle="1" w:styleId="116">
    <w:name w:val="1.正文"/>
    <w:basedOn w:val="1"/>
    <w:autoRedefine/>
    <w:qFormat/>
    <w:uiPriority w:val="0"/>
    <w:pPr>
      <w:widowControl/>
      <w:spacing w:line="240" w:lineRule="auto"/>
    </w:pPr>
    <w:rPr>
      <w:color w:val="000000"/>
      <w:sz w:val="24"/>
      <w:szCs w:val="20"/>
    </w:rPr>
  </w:style>
  <w:style w:type="paragraph" w:customStyle="1" w:styleId="117">
    <w:name w:val="xl89"/>
    <w:basedOn w:val="1"/>
    <w:autoRedefine/>
    <w:qFormat/>
    <w:uiPriority w:val="0"/>
    <w:pPr>
      <w:widowControl/>
      <w:pBdr>
        <w:bottom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18">
    <w:name w:val="a)"/>
    <w:basedOn w:val="1"/>
    <w:autoRedefine/>
    <w:qFormat/>
    <w:uiPriority w:val="0"/>
    <w:pPr>
      <w:tabs>
        <w:tab w:val="left" w:pos="1361"/>
      </w:tabs>
      <w:spacing w:line="264" w:lineRule="auto"/>
      <w:ind w:left="1361" w:hanging="454"/>
    </w:pPr>
    <w:rPr>
      <w:color w:val="000000"/>
      <w:sz w:val="24"/>
      <w:szCs w:val="20"/>
    </w:rPr>
  </w:style>
  <w:style w:type="paragraph" w:customStyle="1" w:styleId="119">
    <w:name w:val="A."/>
    <w:basedOn w:val="1"/>
    <w:autoRedefine/>
    <w:qFormat/>
    <w:uiPriority w:val="0"/>
    <w:pPr>
      <w:widowControl/>
      <w:tabs>
        <w:tab w:val="left" w:pos="454"/>
      </w:tabs>
      <w:spacing w:line="264" w:lineRule="auto"/>
      <w:ind w:left="454" w:hanging="454"/>
    </w:pPr>
    <w:rPr>
      <w:color w:val="000000"/>
      <w:sz w:val="24"/>
      <w:szCs w:val="20"/>
    </w:rPr>
  </w:style>
  <w:style w:type="paragraph" w:customStyle="1" w:styleId="120">
    <w:name w:val="font6"/>
    <w:basedOn w:val="1"/>
    <w:autoRedefine/>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21">
    <w:name w:val="xl98"/>
    <w:basedOn w:val="1"/>
    <w:autoRedefine/>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22">
    <w:name w:val="xl68"/>
    <w:basedOn w:val="1"/>
    <w:autoRedefine/>
    <w:qFormat/>
    <w:uiPriority w:val="0"/>
    <w:pPr>
      <w:widowControl/>
      <w:pBdr>
        <w:top w:val="single" w:color="auto" w:sz="4" w:space="0"/>
        <w:left w:val="dotted" w:color="auto" w:sz="4" w:space="0"/>
        <w:bottom w:val="dotted"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23">
    <w:name w:val="(i)正文"/>
    <w:basedOn w:val="1"/>
    <w:autoRedefine/>
    <w:qFormat/>
    <w:uiPriority w:val="0"/>
    <w:pPr>
      <w:widowControl/>
      <w:tabs>
        <w:tab w:val="left" w:pos="2381"/>
        <w:tab w:val="left" w:pos="2951"/>
      </w:tabs>
      <w:spacing w:line="360" w:lineRule="exact"/>
      <w:ind w:left="2381" w:hanging="510"/>
    </w:pPr>
    <w:rPr>
      <w:color w:val="000000"/>
      <w:sz w:val="24"/>
      <w:szCs w:val="20"/>
    </w:rPr>
  </w:style>
  <w:style w:type="paragraph" w:customStyle="1" w:styleId="124">
    <w:name w:val="xl100"/>
    <w:basedOn w:val="1"/>
    <w:autoRedefine/>
    <w:qFormat/>
    <w:uiPriority w:val="0"/>
    <w:pPr>
      <w:widowControl/>
      <w:spacing w:before="100" w:beforeAutospacing="1" w:after="100" w:afterAutospacing="1" w:line="240" w:lineRule="auto"/>
      <w:jc w:val="left"/>
    </w:pPr>
    <w:rPr>
      <w:rFonts w:ascii="Arial" w:hAnsi="Arial" w:cs="Arial"/>
      <w:color w:val="000000"/>
      <w:kern w:val="0"/>
      <w:sz w:val="20"/>
      <w:szCs w:val="20"/>
    </w:rPr>
  </w:style>
  <w:style w:type="paragraph" w:customStyle="1" w:styleId="125">
    <w:name w:val="xl71"/>
    <w:basedOn w:val="1"/>
    <w:autoRedefine/>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left"/>
    </w:pPr>
    <w:rPr>
      <w:color w:val="000000"/>
      <w:kern w:val="0"/>
      <w:sz w:val="20"/>
      <w:szCs w:val="20"/>
    </w:rPr>
  </w:style>
  <w:style w:type="paragraph" w:customStyle="1" w:styleId="126">
    <w:name w:val="xl88"/>
    <w:basedOn w:val="1"/>
    <w:autoRedefine/>
    <w:qFormat/>
    <w:uiPriority w:val="0"/>
    <w:pPr>
      <w:widowControl/>
      <w:pBdr>
        <w:top w:val="single" w:color="000000" w:sz="8" w:space="0"/>
        <w:right w:val="single" w:color="000000" w:sz="8"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27">
    <w:name w:val="font5"/>
    <w:basedOn w:val="1"/>
    <w:autoRedefine/>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128">
    <w:name w:val="样式1"/>
    <w:basedOn w:val="1"/>
    <w:autoRedefine/>
    <w:qFormat/>
    <w:uiPriority w:val="0"/>
    <w:pPr>
      <w:tabs>
        <w:tab w:val="left" w:pos="1440"/>
      </w:tabs>
      <w:spacing w:line="240" w:lineRule="auto"/>
      <w:ind w:left="425" w:hanging="425"/>
    </w:pPr>
    <w:rPr>
      <w:color w:val="000000"/>
      <w:sz w:val="24"/>
      <w:szCs w:val="20"/>
    </w:rPr>
  </w:style>
  <w:style w:type="paragraph" w:customStyle="1" w:styleId="129">
    <w:name w:val="1.1编号"/>
    <w:basedOn w:val="1"/>
    <w:autoRedefine/>
    <w:qFormat/>
    <w:uiPriority w:val="0"/>
    <w:pPr>
      <w:widowControl/>
      <w:tabs>
        <w:tab w:val="left" w:pos="567"/>
      </w:tabs>
      <w:spacing w:before="120" w:after="80" w:line="380" w:lineRule="exact"/>
    </w:pPr>
    <w:rPr>
      <w:b/>
      <w:color w:val="000000"/>
      <w:spacing w:val="20"/>
      <w:sz w:val="24"/>
      <w:szCs w:val="20"/>
    </w:rPr>
  </w:style>
  <w:style w:type="paragraph" w:customStyle="1" w:styleId="130">
    <w:name w:val="正文首缩"/>
    <w:basedOn w:val="1"/>
    <w:next w:val="6"/>
    <w:autoRedefine/>
    <w:qFormat/>
    <w:uiPriority w:val="0"/>
    <w:pPr>
      <w:wordWrap w:val="0"/>
      <w:overflowPunct w:val="0"/>
      <w:adjustRightInd w:val="0"/>
      <w:spacing w:before="120" w:line="326" w:lineRule="auto"/>
      <w:ind w:firstLine="425"/>
      <w:jc w:val="left"/>
      <w:textAlignment w:val="baseline"/>
    </w:pPr>
    <w:rPr>
      <w:kern w:val="0"/>
      <w:sz w:val="28"/>
      <w:szCs w:val="20"/>
    </w:rPr>
  </w:style>
  <w:style w:type="paragraph" w:customStyle="1" w:styleId="131">
    <w:name w:val="Char Char Char"/>
    <w:basedOn w:val="1"/>
    <w:autoRedefine/>
    <w:qFormat/>
    <w:uiPriority w:val="0"/>
    <w:pPr>
      <w:spacing w:line="240" w:lineRule="auto"/>
    </w:pPr>
    <w:rPr>
      <w:rFonts w:ascii="Tahoma" w:hAnsi="Tahoma"/>
      <w:sz w:val="24"/>
      <w:szCs w:val="20"/>
    </w:rPr>
  </w:style>
  <w:style w:type="paragraph" w:customStyle="1" w:styleId="132">
    <w:name w:val="xl70"/>
    <w:basedOn w:val="1"/>
    <w:autoRedefine/>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133">
    <w:name w:val="1"/>
    <w:basedOn w:val="1"/>
    <w:next w:val="12"/>
    <w:autoRedefine/>
    <w:qFormat/>
    <w:uiPriority w:val="0"/>
    <w:pPr>
      <w:spacing w:line="240" w:lineRule="auto"/>
      <w:ind w:firstLine="420"/>
    </w:pPr>
    <w:rPr>
      <w:color w:val="000000"/>
      <w:sz w:val="28"/>
      <w:szCs w:val="20"/>
    </w:rPr>
  </w:style>
  <w:style w:type="paragraph" w:customStyle="1" w:styleId="134">
    <w:name w:val="xl78"/>
    <w:basedOn w:val="1"/>
    <w:autoRedefine/>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left"/>
      <w:textAlignment w:val="bottom"/>
    </w:pPr>
    <w:rPr>
      <w:color w:val="000000"/>
      <w:kern w:val="0"/>
      <w:sz w:val="20"/>
      <w:szCs w:val="20"/>
    </w:rPr>
  </w:style>
  <w:style w:type="paragraph" w:customStyle="1" w:styleId="135">
    <w:name w:val="xl80"/>
    <w:basedOn w:val="1"/>
    <w:autoRedefine/>
    <w:qFormat/>
    <w:uiPriority w:val="0"/>
    <w:pPr>
      <w:widowControl/>
      <w:pBdr>
        <w:top w:val="dotted" w:color="auto" w:sz="4" w:space="0"/>
        <w:left w:val="dotted" w:color="auto" w:sz="4" w:space="0"/>
        <w:bottom w:val="single" w:color="auto" w:sz="4" w:space="0"/>
        <w:right w:val="dotted"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136">
    <w:name w:val="font0"/>
    <w:basedOn w:val="1"/>
    <w:autoRedefine/>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137">
    <w:name w:val="m3"/>
    <w:basedOn w:val="1"/>
    <w:autoRedefine/>
    <w:qFormat/>
    <w:uiPriority w:val="0"/>
    <w:pPr>
      <w:adjustRightInd w:val="0"/>
      <w:spacing w:line="400" w:lineRule="atLeast"/>
      <w:jc w:val="center"/>
      <w:textAlignment w:val="bottom"/>
    </w:pPr>
    <w:rPr>
      <w:rFonts w:eastAsia="楷体"/>
      <w:kern w:val="0"/>
      <w:sz w:val="28"/>
      <w:szCs w:val="20"/>
    </w:rPr>
  </w:style>
  <w:style w:type="paragraph" w:customStyle="1" w:styleId="138">
    <w:name w:val="xl67"/>
    <w:basedOn w:val="1"/>
    <w:autoRedefine/>
    <w:qFormat/>
    <w:uiPriority w:val="0"/>
    <w:pPr>
      <w:widowControl/>
      <w:pBdr>
        <w:top w:val="single" w:color="auto" w:sz="4" w:space="0"/>
        <w:left w:val="dotted"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39">
    <w:name w:val="表格"/>
    <w:basedOn w:val="1"/>
    <w:autoRedefine/>
    <w:qFormat/>
    <w:uiPriority w:val="0"/>
    <w:pPr>
      <w:adjustRightInd w:val="0"/>
      <w:spacing w:line="400" w:lineRule="atLeast"/>
      <w:textAlignment w:val="baseline"/>
    </w:pPr>
    <w:rPr>
      <w:rFonts w:ascii="仿宋_GB2312" w:eastAsia="仿宋_GB2312"/>
      <w:kern w:val="0"/>
      <w:sz w:val="28"/>
      <w:szCs w:val="20"/>
    </w:rPr>
  </w:style>
  <w:style w:type="paragraph" w:customStyle="1" w:styleId="140">
    <w:name w:val="xl86"/>
    <w:basedOn w:val="1"/>
    <w:autoRedefine/>
    <w:qFormat/>
    <w:uiPriority w:val="0"/>
    <w:pPr>
      <w:widowControl/>
      <w:pBdr>
        <w:top w:val="single" w:color="000000" w:sz="8" w:space="0"/>
        <w:left w:val="single" w:color="000000" w:sz="8"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41">
    <w:name w:val="部分编号"/>
    <w:basedOn w:val="1"/>
    <w:autoRedefine/>
    <w:qFormat/>
    <w:uiPriority w:val="0"/>
    <w:pPr>
      <w:widowControl/>
      <w:tabs>
        <w:tab w:val="left" w:pos="360"/>
        <w:tab w:val="left" w:pos="1531"/>
      </w:tabs>
      <w:spacing w:before="160" w:after="120" w:line="400" w:lineRule="exact"/>
      <w:ind w:left="360" w:hanging="360"/>
    </w:pPr>
    <w:rPr>
      <w:rFonts w:ascii="Arial" w:hAnsi="Arial" w:eastAsia="黑体"/>
      <w:color w:val="000000"/>
      <w:spacing w:val="30"/>
      <w:sz w:val="24"/>
      <w:szCs w:val="20"/>
    </w:rPr>
  </w:style>
  <w:style w:type="paragraph" w:customStyle="1" w:styleId="142">
    <w:name w:val="插图"/>
    <w:basedOn w:val="29"/>
    <w:next w:val="1"/>
    <w:autoRedefine/>
    <w:qFormat/>
    <w:uiPriority w:val="0"/>
    <w:pPr>
      <w:spacing w:line="240" w:lineRule="auto"/>
      <w:ind w:left="0" w:leftChars="0" w:firstLine="0" w:firstLineChars="0"/>
      <w:jc w:val="center"/>
    </w:pPr>
    <w:rPr>
      <w:rFonts w:ascii="仿宋_GB2312" w:eastAsia="仿宋_GB2312"/>
    </w:rPr>
  </w:style>
  <w:style w:type="paragraph" w:customStyle="1" w:styleId="143">
    <w:name w:val="Char Char1 Char Char Char Char Char Char"/>
    <w:basedOn w:val="1"/>
    <w:autoRedefine/>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144">
    <w:name w:val="xl69"/>
    <w:basedOn w:val="1"/>
    <w:autoRedefine/>
    <w:qFormat/>
    <w:uiPriority w:val="0"/>
    <w:pPr>
      <w:widowControl/>
      <w:pBdr>
        <w:top w:val="dotted" w:color="auto" w:sz="4" w:space="0"/>
        <w:left w:val="single"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45">
    <w:name w:val="默认段落字体 Para Char"/>
    <w:basedOn w:val="1"/>
    <w:autoRedefine/>
    <w:qFormat/>
    <w:uiPriority w:val="0"/>
    <w:pPr>
      <w:spacing w:line="240" w:lineRule="auto"/>
    </w:pPr>
    <w:rPr>
      <w:sz w:val="21"/>
      <w:szCs w:val="20"/>
    </w:rPr>
  </w:style>
  <w:style w:type="paragraph" w:customStyle="1" w:styleId="146">
    <w:name w:val="xl73"/>
    <w:basedOn w:val="1"/>
    <w:autoRedefine/>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47">
    <w:name w:val="表格内文字"/>
    <w:basedOn w:val="1"/>
    <w:autoRedefine/>
    <w:qFormat/>
    <w:uiPriority w:val="0"/>
    <w:pPr>
      <w:adjustRightInd w:val="0"/>
      <w:snapToGrid w:val="0"/>
      <w:spacing w:before="80" w:line="240" w:lineRule="exact"/>
      <w:jc w:val="center"/>
    </w:pPr>
    <w:rPr>
      <w:snapToGrid w:val="0"/>
      <w:color w:val="000000"/>
      <w:spacing w:val="6"/>
      <w:kern w:val="0"/>
      <w:sz w:val="24"/>
      <w:szCs w:val="20"/>
    </w:rPr>
  </w:style>
  <w:style w:type="paragraph" w:customStyle="1" w:styleId="148">
    <w:name w:val="xl82"/>
    <w:basedOn w:val="1"/>
    <w:autoRedefine/>
    <w:qFormat/>
    <w:uiPriority w:val="0"/>
    <w:pPr>
      <w:widowControl/>
      <w:spacing w:before="100" w:beforeAutospacing="1" w:after="100" w:afterAutospacing="1" w:line="240" w:lineRule="auto"/>
      <w:jc w:val="center"/>
    </w:pPr>
    <w:rPr>
      <w:rFonts w:ascii="宋体" w:hAnsi="宋体" w:cs="宋体"/>
      <w:kern w:val="0"/>
      <w:sz w:val="20"/>
      <w:szCs w:val="20"/>
    </w:rPr>
  </w:style>
  <w:style w:type="paragraph" w:customStyle="1" w:styleId="149">
    <w:name w:val="A.正文"/>
    <w:basedOn w:val="1"/>
    <w:autoRedefine/>
    <w:qFormat/>
    <w:uiPriority w:val="0"/>
    <w:pPr>
      <w:widowControl/>
      <w:spacing w:line="520" w:lineRule="exact"/>
    </w:pPr>
    <w:rPr>
      <w:color w:val="000000"/>
      <w:spacing w:val="-8"/>
      <w:sz w:val="24"/>
      <w:szCs w:val="20"/>
    </w:rPr>
  </w:style>
  <w:style w:type="paragraph" w:customStyle="1" w:styleId="150">
    <w:name w:val="Pa3"/>
    <w:basedOn w:val="1"/>
    <w:next w:val="1"/>
    <w:autoRedefine/>
    <w:qFormat/>
    <w:uiPriority w:val="99"/>
    <w:pPr>
      <w:widowControl/>
      <w:autoSpaceDE w:val="0"/>
      <w:autoSpaceDN w:val="0"/>
      <w:adjustRightInd w:val="0"/>
      <w:spacing w:line="161" w:lineRule="atLeast"/>
      <w:jc w:val="left"/>
    </w:pPr>
    <w:rPr>
      <w:rFonts w:ascii="Museo Sans For Dell 300" w:eastAsia="Museo Sans For Dell 300"/>
      <w:kern w:val="0"/>
      <w:sz w:val="24"/>
    </w:rPr>
  </w:style>
  <w:style w:type="paragraph" w:customStyle="1" w:styleId="151">
    <w:name w:val="无间隔1"/>
    <w:autoRedefine/>
    <w:qFormat/>
    <w:uiPriority w:val="1"/>
    <w:pPr>
      <w:widowControl w:val="0"/>
      <w:ind w:firstLine="0"/>
      <w:jc w:val="both"/>
    </w:pPr>
    <w:rPr>
      <w:rFonts w:ascii="Calibri" w:hAnsi="Calibri" w:eastAsia="宋体" w:cs="Times New Roman"/>
      <w:kern w:val="2"/>
      <w:sz w:val="21"/>
      <w:szCs w:val="22"/>
      <w:lang w:val="en-US" w:eastAsia="zh-CN" w:bidi="ar-SA"/>
    </w:rPr>
  </w:style>
  <w:style w:type="paragraph" w:customStyle="1" w:styleId="152">
    <w:name w:val="列出段落1"/>
    <w:basedOn w:val="1"/>
    <w:autoRedefine/>
    <w:qFormat/>
    <w:uiPriority w:val="0"/>
    <w:pPr>
      <w:spacing w:line="240" w:lineRule="auto"/>
      <w:ind w:firstLine="420" w:firstLineChars="200"/>
    </w:pPr>
    <w:rPr>
      <w:rFonts w:ascii="Calibri" w:hAnsi="Calibri"/>
      <w:sz w:val="21"/>
      <w:szCs w:val="22"/>
    </w:rPr>
  </w:style>
  <w:style w:type="paragraph" w:styleId="153">
    <w:name w:val="List Paragraph"/>
    <w:basedOn w:val="1"/>
    <w:autoRedefine/>
    <w:qFormat/>
    <w:uiPriority w:val="34"/>
    <w:pPr>
      <w:spacing w:line="240" w:lineRule="auto"/>
      <w:ind w:firstLine="420" w:firstLineChars="200"/>
    </w:pPr>
    <w:rPr>
      <w:rFonts w:asciiTheme="minorHAnsi" w:hAnsiTheme="minorHAnsi" w:eastAsiaTheme="minorEastAsia" w:cstheme="minorBidi"/>
      <w:sz w:val="21"/>
      <w:szCs w:val="22"/>
    </w:rPr>
  </w:style>
  <w:style w:type="character" w:customStyle="1" w:styleId="154">
    <w:name w:val="font11"/>
    <w:basedOn w:val="36"/>
    <w:autoRedefine/>
    <w:qFormat/>
    <w:uiPriority w:val="0"/>
    <w:rPr>
      <w:rFonts w:hint="eastAsia" w:ascii="宋体" w:hAnsi="宋体" w:eastAsia="宋体" w:cs="宋体"/>
      <w:b/>
      <w:color w:val="000000"/>
      <w:sz w:val="21"/>
      <w:szCs w:val="21"/>
      <w:u w:val="none"/>
    </w:rPr>
  </w:style>
  <w:style w:type="paragraph" w:customStyle="1" w:styleId="155">
    <w:name w:val="Default"/>
    <w:autoRedefine/>
    <w:qFormat/>
    <w:uiPriority w:val="0"/>
    <w:pPr>
      <w:widowControl w:val="0"/>
      <w:autoSpaceDE w:val="0"/>
      <w:autoSpaceDN w:val="0"/>
      <w:adjustRightInd w:val="0"/>
      <w:ind w:firstLine="0"/>
    </w:pPr>
    <w:rPr>
      <w:rFonts w:ascii="宋体" w:hAnsi="Times New Roman" w:eastAsia="宋体" w:cs="宋体"/>
      <w:color w:val="000000"/>
      <w:kern w:val="0"/>
      <w:sz w:val="24"/>
      <w:szCs w:val="24"/>
      <w:lang w:val="en-US" w:eastAsia="zh-CN" w:bidi="ar-SA"/>
    </w:rPr>
  </w:style>
  <w:style w:type="table" w:customStyle="1" w:styleId="156">
    <w:name w:val="网格型1"/>
    <w:basedOn w:val="34"/>
    <w:autoRedefine/>
    <w:qFormat/>
    <w:uiPriority w:val="59"/>
    <w:pPr>
      <w:ind w:firstLine="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57">
    <w:name w:val="网格型2"/>
    <w:basedOn w:val="34"/>
    <w:autoRedefine/>
    <w:qFormat/>
    <w:uiPriority w:val="59"/>
    <w:pPr>
      <w:ind w:firstLine="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58">
    <w:name w:val="网格型3"/>
    <w:basedOn w:val="34"/>
    <w:autoRedefine/>
    <w:qFormat/>
    <w:uiPriority w:val="59"/>
    <w:pPr>
      <w:widowControl w:val="0"/>
      <w:ind w:firstLine="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
    <w:name w:val="网格型4"/>
    <w:basedOn w:val="34"/>
    <w:autoRedefine/>
    <w:qFormat/>
    <w:uiPriority w:val="0"/>
    <w:pPr>
      <w:ind w:firstLine="0"/>
    </w:pPr>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60">
    <w:name w:val="font31"/>
    <w:basedOn w:val="36"/>
    <w:autoRedefine/>
    <w:qFormat/>
    <w:uiPriority w:val="0"/>
    <w:rPr>
      <w:rFonts w:hint="eastAsia" w:ascii="宋体" w:hAnsi="宋体" w:eastAsia="宋体" w:cs="宋体"/>
      <w:color w:val="000000"/>
      <w:sz w:val="22"/>
      <w:szCs w:val="22"/>
      <w:u w:val="none"/>
    </w:rPr>
  </w:style>
  <w:style w:type="character" w:customStyle="1" w:styleId="161">
    <w:name w:val="font41"/>
    <w:basedOn w:val="36"/>
    <w:autoRedefine/>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FFAC28-6EC2-485C-A125-A893D91B204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2606</Words>
  <Characters>14857</Characters>
  <Lines>123</Lines>
  <Paragraphs>34</Paragraphs>
  <TotalTime>0</TotalTime>
  <ScaleCrop>false</ScaleCrop>
  <LinksUpToDate>false</LinksUpToDate>
  <CharactersWithSpaces>17429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2019-07-17T16:00:00Z</dcterms:created>
  <dc:creator>NTKO</dc:creator>
  <cp:lastModifiedBy>社畜偷懒神器</cp:lastModifiedBy>
  <cp:lastPrinted>2023-10-12T06:11:00Z</cp:lastPrinted>
  <dcterms:modified xsi:type="dcterms:W3CDTF">2023-12-29T01:18:34Z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1FCEDC86584E48BA9245878A74D5CCE3_12</vt:lpwstr>
  </property>
</Properties>
</file>