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120" w:after="120" w:line="360" w:lineRule="auto"/>
        <w:jc w:val="center"/>
        <w:rPr>
          <w:rFonts w:ascii="黑体" w:hAnsi="黑体" w:eastAsia="黑体" w:cs="仿宋_GB2312"/>
          <w:sz w:val="36"/>
          <w:szCs w:val="32"/>
        </w:rPr>
      </w:pPr>
      <w:r>
        <w:rPr>
          <w:rFonts w:hint="eastAsia" w:ascii="黑体" w:hAnsi="黑体" w:eastAsia="黑体" w:cs="仿宋_GB2312"/>
          <w:sz w:val="32"/>
          <w:szCs w:val="32"/>
        </w:rPr>
        <w:t>西华经开区发展规划、国土空间规划编制项目</w:t>
      </w:r>
    </w:p>
    <w:p>
      <w:pPr>
        <w:spacing w:line="360" w:lineRule="auto"/>
        <w:ind w:firstLine="480" w:firstLineChars="200"/>
        <w:outlineLvl w:val="1"/>
        <w:rPr>
          <w:rFonts w:ascii="宋体" w:hAnsi="宋体"/>
          <w:sz w:val="24"/>
          <w:szCs w:val="21"/>
        </w:rPr>
      </w:pPr>
      <w:r>
        <w:rPr>
          <w:rFonts w:hint="eastAsia" w:ascii="宋体" w:hAnsi="宋体"/>
          <w:sz w:val="24"/>
          <w:szCs w:val="21"/>
        </w:rPr>
        <w:t>为引导西华经开区高质量发展，按照国家有关法律法规规定和《中共河南省委河南省人民政府关于推动河南省开发区高质量发展的指导意见》（豫发〔2021〕21号）的要求，贯彻落实做好开发区国土空间开发保护利用的总体安排和综合部署，为西华经开区实施土地要素保障和建设项目许可提供依据，开展本次西华经开区发展规划、国土空间规划编制工作。</w:t>
      </w:r>
    </w:p>
    <w:p>
      <w:pPr>
        <w:pStyle w:val="18"/>
        <w:numPr>
          <w:ilvl w:val="0"/>
          <w:numId w:val="1"/>
        </w:numPr>
        <w:ind w:firstLineChars="0"/>
        <w:rPr>
          <w:b/>
          <w:sz w:val="28"/>
          <w:szCs w:val="28"/>
        </w:rPr>
      </w:pPr>
      <w:bookmarkStart w:id="0" w:name="_Toc35089492"/>
      <w:r>
        <w:rPr>
          <w:rFonts w:hint="eastAsia"/>
          <w:b/>
          <w:sz w:val="28"/>
          <w:szCs w:val="28"/>
        </w:rPr>
        <w:t>服务内容</w:t>
      </w:r>
      <w:bookmarkEnd w:id="0"/>
    </w:p>
    <w:p>
      <w:pPr>
        <w:spacing w:line="360" w:lineRule="auto"/>
        <w:ind w:firstLine="480" w:firstLineChars="200"/>
        <w:outlineLvl w:val="1"/>
        <w:rPr>
          <w:rFonts w:ascii="宋体" w:hAnsi="宋体"/>
          <w:sz w:val="24"/>
          <w:szCs w:val="21"/>
        </w:rPr>
      </w:pPr>
      <w:bookmarkStart w:id="1" w:name="_Toc238530903"/>
      <w:r>
        <w:rPr>
          <w:rFonts w:hint="eastAsia" w:ascii="宋体" w:hAnsi="宋体"/>
          <w:sz w:val="24"/>
          <w:szCs w:val="21"/>
        </w:rPr>
        <w:t>1、招标内容：西华经开区发展规划、国土空间规划编制项目。</w:t>
      </w:r>
    </w:p>
    <w:p>
      <w:pPr>
        <w:spacing w:line="360" w:lineRule="auto"/>
        <w:ind w:firstLine="480" w:firstLineChars="200"/>
        <w:outlineLvl w:val="1"/>
        <w:rPr>
          <w:rFonts w:ascii="宋体" w:hAnsi="宋体"/>
          <w:sz w:val="24"/>
          <w:szCs w:val="21"/>
        </w:rPr>
      </w:pPr>
      <w:r>
        <w:rPr>
          <w:rFonts w:hint="eastAsia" w:ascii="宋体" w:hAnsi="宋体"/>
          <w:sz w:val="24"/>
          <w:szCs w:val="21"/>
        </w:rPr>
        <w:t>2. 质量标准：符合国家和地方现行规范和标准要求。</w:t>
      </w:r>
    </w:p>
    <w:p>
      <w:pPr>
        <w:spacing w:line="360" w:lineRule="auto"/>
        <w:ind w:firstLine="480" w:firstLineChars="200"/>
        <w:outlineLvl w:val="1"/>
        <w:rPr>
          <w:rFonts w:ascii="宋体" w:hAnsi="宋体"/>
          <w:sz w:val="24"/>
          <w:szCs w:val="21"/>
        </w:rPr>
      </w:pPr>
      <w:r>
        <w:rPr>
          <w:rFonts w:hint="eastAsia" w:ascii="宋体" w:hAnsi="宋体"/>
          <w:sz w:val="24"/>
          <w:szCs w:val="21"/>
        </w:rPr>
        <w:t>3. 服务周期：自签订合同协议书之日起</w:t>
      </w:r>
      <w:r>
        <w:rPr>
          <w:rFonts w:ascii="宋体" w:hAnsi="宋体"/>
          <w:sz w:val="24"/>
          <w:szCs w:val="21"/>
        </w:rPr>
        <w:t>180</w:t>
      </w:r>
      <w:r>
        <w:rPr>
          <w:rFonts w:hint="eastAsia" w:ascii="宋体" w:hAnsi="宋体"/>
          <w:sz w:val="24"/>
          <w:szCs w:val="21"/>
        </w:rPr>
        <w:t>日历天完成。</w:t>
      </w:r>
    </w:p>
    <w:p>
      <w:pPr>
        <w:rPr>
          <w:b/>
          <w:sz w:val="28"/>
          <w:szCs w:val="28"/>
        </w:rPr>
      </w:pPr>
      <w:bookmarkStart w:id="2" w:name="_Toc35089493"/>
      <w:r>
        <w:rPr>
          <w:rFonts w:hint="eastAsia"/>
          <w:b/>
          <w:sz w:val="28"/>
          <w:szCs w:val="28"/>
        </w:rPr>
        <w:t>二、服务要求</w:t>
      </w:r>
      <w:bookmarkEnd w:id="2"/>
    </w:p>
    <w:bookmarkEnd w:id="1"/>
    <w:p>
      <w:pPr>
        <w:spacing w:line="360" w:lineRule="auto"/>
        <w:ind w:firstLine="482" w:firstLineChars="200"/>
        <w:outlineLvl w:val="2"/>
        <w:rPr>
          <w:rFonts w:ascii="宋体" w:hAnsi="宋体"/>
          <w:b/>
          <w:bCs/>
          <w:sz w:val="24"/>
          <w:szCs w:val="21"/>
        </w:rPr>
      </w:pPr>
      <w:bookmarkStart w:id="3" w:name="_Toc35089506"/>
      <w:r>
        <w:rPr>
          <w:rFonts w:ascii="宋体" w:hAnsi="宋体"/>
          <w:b/>
          <w:bCs/>
          <w:sz w:val="24"/>
          <w:szCs w:val="21"/>
        </w:rPr>
        <w:t>1</w:t>
      </w:r>
      <w:r>
        <w:rPr>
          <w:rFonts w:hint="eastAsia" w:ascii="宋体" w:hAnsi="宋体"/>
          <w:b/>
          <w:bCs/>
          <w:sz w:val="24"/>
          <w:szCs w:val="21"/>
        </w:rPr>
        <w:t>、规划期限</w:t>
      </w:r>
      <w:bookmarkEnd w:id="3"/>
    </w:p>
    <w:p>
      <w:pPr>
        <w:spacing w:line="360" w:lineRule="auto"/>
        <w:ind w:firstLine="480" w:firstLineChars="200"/>
        <w:outlineLvl w:val="1"/>
        <w:rPr>
          <w:rFonts w:ascii="宋体" w:hAnsi="宋体"/>
          <w:sz w:val="24"/>
          <w:szCs w:val="21"/>
        </w:rPr>
      </w:pPr>
      <w:r>
        <w:rPr>
          <w:rFonts w:hint="eastAsia" w:ascii="宋体" w:hAnsi="宋体"/>
          <w:sz w:val="24"/>
          <w:szCs w:val="21"/>
        </w:rPr>
        <w:t>按照前瞻 30 年、做细 15 年、做实“十四五”的要求，开发区国土空间规划期限与市县国土空间总体规划保持一致，近期至 2025年，远期至 2035 年。</w:t>
      </w:r>
    </w:p>
    <w:p>
      <w:pPr>
        <w:spacing w:line="360" w:lineRule="auto"/>
        <w:ind w:firstLine="482" w:firstLineChars="200"/>
        <w:outlineLvl w:val="2"/>
        <w:rPr>
          <w:rFonts w:ascii="宋体" w:hAnsi="宋体"/>
          <w:b/>
          <w:bCs/>
          <w:sz w:val="24"/>
          <w:szCs w:val="21"/>
        </w:rPr>
      </w:pPr>
      <w:bookmarkStart w:id="4" w:name="_Toc35089507"/>
      <w:r>
        <w:rPr>
          <w:rFonts w:ascii="宋体" w:hAnsi="宋体"/>
          <w:b/>
          <w:bCs/>
          <w:sz w:val="24"/>
          <w:szCs w:val="21"/>
        </w:rPr>
        <w:t>2</w:t>
      </w:r>
      <w:r>
        <w:rPr>
          <w:rFonts w:hint="eastAsia" w:ascii="宋体" w:hAnsi="宋体"/>
          <w:b/>
          <w:bCs/>
          <w:sz w:val="24"/>
          <w:szCs w:val="21"/>
        </w:rPr>
        <w:t>、规划范围</w:t>
      </w:r>
      <w:bookmarkEnd w:id="4"/>
    </w:p>
    <w:p>
      <w:pPr>
        <w:spacing w:line="360" w:lineRule="auto"/>
        <w:ind w:firstLine="480" w:firstLineChars="200"/>
        <w:outlineLvl w:val="1"/>
        <w:rPr>
          <w:rFonts w:ascii="宋体" w:hAnsi="宋体"/>
          <w:sz w:val="24"/>
          <w:szCs w:val="21"/>
        </w:rPr>
      </w:pPr>
      <w:bookmarkStart w:id="5" w:name="_Toc35089508"/>
      <w:r>
        <w:rPr>
          <w:rFonts w:hint="eastAsia" w:ascii="宋体" w:hAnsi="宋体"/>
          <w:sz w:val="24"/>
          <w:szCs w:val="21"/>
        </w:rPr>
        <w:t>规划范围为</w:t>
      </w:r>
      <w:r>
        <w:rPr>
          <w:rFonts w:ascii="宋体" w:hAnsi="宋体"/>
          <w:sz w:val="24"/>
          <w:szCs w:val="21"/>
        </w:rPr>
        <w:t>西华经开区扩区后总面积为19.69平方公里。其中，原经开区17.37平方公里、循环经济产业园区2.31平方公里。</w:t>
      </w:r>
    </w:p>
    <w:p>
      <w:pPr>
        <w:spacing w:line="360" w:lineRule="auto"/>
        <w:ind w:firstLine="482" w:firstLineChars="200"/>
        <w:outlineLvl w:val="2"/>
        <w:rPr>
          <w:rFonts w:ascii="宋体" w:hAnsi="宋体"/>
          <w:b/>
          <w:bCs/>
          <w:sz w:val="24"/>
          <w:szCs w:val="21"/>
        </w:rPr>
      </w:pPr>
      <w:r>
        <w:rPr>
          <w:rFonts w:ascii="宋体" w:hAnsi="宋体"/>
          <w:b/>
          <w:bCs/>
          <w:sz w:val="24"/>
          <w:szCs w:val="21"/>
        </w:rPr>
        <w:t>3</w:t>
      </w:r>
      <w:r>
        <w:rPr>
          <w:rFonts w:hint="eastAsia" w:ascii="宋体" w:hAnsi="宋体"/>
          <w:b/>
          <w:bCs/>
          <w:sz w:val="24"/>
          <w:szCs w:val="21"/>
        </w:rPr>
        <w:t>、</w:t>
      </w:r>
      <w:bookmarkEnd w:id="5"/>
      <w:r>
        <w:rPr>
          <w:rFonts w:hint="eastAsia" w:ascii="宋体" w:hAnsi="宋体"/>
          <w:b/>
          <w:bCs/>
          <w:sz w:val="24"/>
          <w:szCs w:val="21"/>
        </w:rPr>
        <w:t>规划编制依据</w:t>
      </w:r>
    </w:p>
    <w:p>
      <w:pPr>
        <w:spacing w:line="360" w:lineRule="auto"/>
        <w:ind w:firstLine="480" w:firstLineChars="200"/>
        <w:outlineLvl w:val="1"/>
        <w:rPr>
          <w:rFonts w:ascii="宋体" w:hAnsi="宋体"/>
          <w:sz w:val="24"/>
          <w:szCs w:val="21"/>
        </w:rPr>
      </w:pPr>
      <w:r>
        <w:rPr>
          <w:rFonts w:hint="eastAsia" w:ascii="宋体" w:hAnsi="宋体"/>
          <w:sz w:val="24"/>
          <w:szCs w:val="21"/>
        </w:rPr>
        <w:t>（1）《中共中央国务院关于建立国土空间总体规划体系并监督实施的若干意见（中发&lt;2019&gt;18 号；</w:t>
      </w:r>
    </w:p>
    <w:p>
      <w:pPr>
        <w:spacing w:line="360" w:lineRule="auto"/>
        <w:ind w:firstLine="480" w:firstLineChars="200"/>
        <w:outlineLvl w:val="1"/>
        <w:rPr>
          <w:rFonts w:ascii="宋体" w:hAnsi="宋体"/>
          <w:sz w:val="24"/>
          <w:szCs w:val="21"/>
        </w:rPr>
      </w:pPr>
      <w:r>
        <w:rPr>
          <w:rFonts w:hint="eastAsia" w:ascii="宋体" w:hAnsi="宋体"/>
          <w:sz w:val="24"/>
          <w:szCs w:val="21"/>
        </w:rPr>
        <w:t>（2）《关于全面开展国土空间总体规划工作的通知》（自然资发&lt;2019&gt;87号）；</w:t>
      </w:r>
    </w:p>
    <w:p>
      <w:pPr>
        <w:spacing w:line="360" w:lineRule="auto"/>
        <w:ind w:firstLine="480" w:firstLineChars="200"/>
        <w:outlineLvl w:val="1"/>
        <w:rPr>
          <w:rFonts w:ascii="宋体" w:hAnsi="宋体"/>
          <w:sz w:val="24"/>
          <w:szCs w:val="21"/>
        </w:rPr>
      </w:pPr>
      <w:r>
        <w:rPr>
          <w:rFonts w:hint="eastAsia" w:ascii="宋体" w:hAnsi="宋体"/>
          <w:sz w:val="24"/>
          <w:szCs w:val="21"/>
        </w:rPr>
        <w:t>（</w:t>
      </w:r>
      <w:r>
        <w:rPr>
          <w:rFonts w:ascii="宋体" w:hAnsi="宋体"/>
          <w:sz w:val="24"/>
          <w:szCs w:val="21"/>
        </w:rPr>
        <w:t>3</w:t>
      </w:r>
      <w:r>
        <w:rPr>
          <w:rFonts w:hint="eastAsia" w:ascii="宋体" w:hAnsi="宋体"/>
          <w:sz w:val="24"/>
          <w:szCs w:val="21"/>
        </w:rPr>
        <w:t>）《河南省自然资源厅关于全面开展市县国土空间总体规划工作的通知（豫自然资发&lt;2019&gt;47 号）》；</w:t>
      </w:r>
    </w:p>
    <w:p>
      <w:pPr>
        <w:spacing w:line="360" w:lineRule="auto"/>
        <w:ind w:firstLine="480" w:firstLineChars="200"/>
        <w:outlineLvl w:val="1"/>
        <w:rPr>
          <w:rFonts w:ascii="宋体" w:hAnsi="宋体"/>
          <w:sz w:val="24"/>
          <w:szCs w:val="21"/>
        </w:rPr>
      </w:pPr>
      <w:r>
        <w:rPr>
          <w:rFonts w:hint="eastAsia" w:ascii="宋体" w:hAnsi="宋体"/>
          <w:sz w:val="24"/>
          <w:szCs w:val="21"/>
        </w:rPr>
        <w:t>（</w:t>
      </w:r>
      <w:r>
        <w:rPr>
          <w:rFonts w:ascii="宋体" w:hAnsi="宋体"/>
          <w:sz w:val="24"/>
          <w:szCs w:val="21"/>
        </w:rPr>
        <w:t>4</w:t>
      </w:r>
      <w:r>
        <w:rPr>
          <w:rFonts w:hint="eastAsia" w:ascii="宋体" w:hAnsi="宋体"/>
          <w:sz w:val="24"/>
          <w:szCs w:val="21"/>
        </w:rPr>
        <w:t>）《中共河南省委河南省人民政府关于建立国土空间总体规划体系并监督实施的实施意见（豫发&lt;2020&gt;6 号）》；</w:t>
      </w:r>
    </w:p>
    <w:p>
      <w:pPr>
        <w:spacing w:line="360" w:lineRule="auto"/>
        <w:ind w:firstLine="480" w:firstLineChars="200"/>
        <w:outlineLvl w:val="1"/>
        <w:rPr>
          <w:rFonts w:ascii="宋体" w:hAnsi="宋体"/>
          <w:sz w:val="24"/>
          <w:szCs w:val="21"/>
        </w:rPr>
      </w:pPr>
      <w:r>
        <w:rPr>
          <w:rFonts w:hint="eastAsia" w:ascii="宋体" w:hAnsi="宋体"/>
          <w:sz w:val="24"/>
          <w:szCs w:val="21"/>
        </w:rPr>
        <w:t>（</w:t>
      </w:r>
      <w:r>
        <w:rPr>
          <w:rFonts w:ascii="宋体" w:hAnsi="宋体"/>
          <w:sz w:val="24"/>
          <w:szCs w:val="21"/>
        </w:rPr>
        <w:t>5</w:t>
      </w:r>
      <w:r>
        <w:rPr>
          <w:rFonts w:hint="eastAsia" w:ascii="宋体" w:hAnsi="宋体"/>
          <w:sz w:val="24"/>
          <w:szCs w:val="21"/>
        </w:rPr>
        <w:t>）河南省政府办公厅印发《关于推进开发区高质量发展的指导意见》</w:t>
      </w:r>
    </w:p>
    <w:p>
      <w:pPr>
        <w:spacing w:line="360" w:lineRule="auto"/>
        <w:ind w:firstLine="480" w:firstLineChars="200"/>
        <w:outlineLvl w:val="1"/>
        <w:rPr>
          <w:rFonts w:ascii="宋体" w:hAnsi="宋体"/>
          <w:sz w:val="24"/>
          <w:szCs w:val="21"/>
        </w:rPr>
      </w:pPr>
      <w:r>
        <w:rPr>
          <w:rFonts w:hint="eastAsia" w:ascii="宋体" w:hAnsi="宋体"/>
          <w:sz w:val="24"/>
          <w:szCs w:val="21"/>
        </w:rPr>
        <w:t>（</w:t>
      </w:r>
      <w:r>
        <w:rPr>
          <w:rFonts w:ascii="宋体" w:hAnsi="宋体"/>
          <w:sz w:val="24"/>
          <w:szCs w:val="21"/>
        </w:rPr>
        <w:t>6</w:t>
      </w:r>
      <w:r>
        <w:rPr>
          <w:rFonts w:hint="eastAsia" w:ascii="宋体" w:hAnsi="宋体"/>
          <w:sz w:val="24"/>
          <w:szCs w:val="21"/>
        </w:rPr>
        <w:t xml:space="preserve">）河南省自然资源厅办公室《关于在国土空间规划中做深做细工业用地规划统筹划定工业用地红线的通知》。 </w:t>
      </w:r>
    </w:p>
    <w:p>
      <w:pPr>
        <w:spacing w:line="360" w:lineRule="auto"/>
        <w:ind w:firstLine="480" w:firstLineChars="200"/>
        <w:outlineLvl w:val="1"/>
        <w:rPr>
          <w:rFonts w:ascii="宋体" w:hAnsi="宋体"/>
          <w:sz w:val="24"/>
          <w:szCs w:val="21"/>
        </w:rPr>
      </w:pPr>
      <w:r>
        <w:rPr>
          <w:rFonts w:hint="eastAsia" w:ascii="宋体" w:hAnsi="宋体"/>
          <w:sz w:val="24"/>
          <w:szCs w:val="21"/>
        </w:rPr>
        <w:t>（</w:t>
      </w:r>
      <w:r>
        <w:rPr>
          <w:rFonts w:ascii="宋体" w:hAnsi="宋体"/>
          <w:sz w:val="24"/>
          <w:szCs w:val="21"/>
        </w:rPr>
        <w:t>7</w:t>
      </w:r>
      <w:r>
        <w:rPr>
          <w:rFonts w:hint="eastAsia" w:ascii="宋体" w:hAnsi="宋体"/>
          <w:sz w:val="24"/>
          <w:szCs w:val="21"/>
        </w:rPr>
        <w:t>）《河南省开发区国土空间规划编制审批规程（试行）》</w:t>
      </w:r>
    </w:p>
    <w:p>
      <w:pPr>
        <w:spacing w:line="360" w:lineRule="auto"/>
        <w:ind w:firstLine="482" w:firstLineChars="200"/>
        <w:outlineLvl w:val="2"/>
        <w:rPr>
          <w:rFonts w:ascii="宋体" w:hAnsi="宋体"/>
          <w:b/>
          <w:bCs/>
          <w:sz w:val="24"/>
          <w:szCs w:val="21"/>
        </w:rPr>
      </w:pPr>
      <w:r>
        <w:rPr>
          <w:rFonts w:ascii="宋体" w:hAnsi="宋体"/>
          <w:b/>
          <w:bCs/>
          <w:sz w:val="24"/>
          <w:szCs w:val="21"/>
        </w:rPr>
        <w:t>4</w:t>
      </w:r>
      <w:r>
        <w:rPr>
          <w:rFonts w:hint="eastAsia" w:ascii="宋体" w:hAnsi="宋体"/>
          <w:b/>
          <w:bCs/>
          <w:sz w:val="24"/>
          <w:szCs w:val="21"/>
        </w:rPr>
        <w:t>、规划编制依据及深度</w:t>
      </w:r>
    </w:p>
    <w:p>
      <w:pPr>
        <w:spacing w:line="360" w:lineRule="auto"/>
        <w:ind w:firstLine="480" w:firstLineChars="200"/>
        <w:outlineLvl w:val="1"/>
        <w:rPr>
          <w:rFonts w:ascii="宋体" w:hAnsi="宋体"/>
          <w:sz w:val="24"/>
          <w:szCs w:val="21"/>
        </w:rPr>
      </w:pPr>
      <w:r>
        <w:rPr>
          <w:rFonts w:ascii="宋体" w:hAnsi="宋体"/>
          <w:sz w:val="24"/>
          <w:szCs w:val="21"/>
        </w:rPr>
        <w:t>本次规划编制内容包括西华经开区发展规划、国土空间规划，</w:t>
      </w:r>
      <w:r>
        <w:rPr>
          <w:rFonts w:hint="eastAsia" w:ascii="宋体" w:hAnsi="宋体"/>
          <w:sz w:val="24"/>
          <w:szCs w:val="21"/>
        </w:rPr>
        <w:t>规划内容和工作深度应符合国家、河南省有关国土空间规划编制的技术指南、导则要求，并做好与西华县国土空间总体规划的衔接。</w:t>
      </w:r>
    </w:p>
    <w:p>
      <w:pPr>
        <w:spacing w:line="360" w:lineRule="auto"/>
        <w:ind w:firstLine="482" w:firstLineChars="200"/>
        <w:outlineLvl w:val="2"/>
        <w:rPr>
          <w:rFonts w:ascii="宋体" w:hAnsi="宋体"/>
          <w:b/>
          <w:bCs/>
          <w:sz w:val="24"/>
          <w:szCs w:val="21"/>
        </w:rPr>
      </w:pPr>
      <w:r>
        <w:rPr>
          <w:rFonts w:ascii="宋体" w:hAnsi="宋体"/>
          <w:b/>
          <w:bCs/>
          <w:sz w:val="24"/>
          <w:szCs w:val="21"/>
        </w:rPr>
        <w:t>5</w:t>
      </w:r>
      <w:r>
        <w:rPr>
          <w:rFonts w:hint="eastAsia" w:ascii="宋体" w:hAnsi="宋体"/>
          <w:b/>
          <w:bCs/>
          <w:sz w:val="24"/>
          <w:szCs w:val="21"/>
        </w:rPr>
        <w:t>、成果要求</w:t>
      </w:r>
    </w:p>
    <w:p>
      <w:pPr>
        <w:spacing w:line="360" w:lineRule="auto"/>
        <w:ind w:firstLine="480" w:firstLineChars="200"/>
        <w:jc w:val="left"/>
        <w:rPr>
          <w:rFonts w:ascii="宋体" w:hAnsi="宋体"/>
          <w:sz w:val="24"/>
          <w:szCs w:val="21"/>
        </w:rPr>
      </w:pPr>
      <w:r>
        <w:rPr>
          <w:rFonts w:hint="eastAsia" w:ascii="宋体" w:hAnsi="宋体"/>
          <w:sz w:val="24"/>
          <w:szCs w:val="21"/>
        </w:rPr>
        <w:t>成果的表达应当清晰、规范，内容包括规划文本、规划图件、规划数据库及附件。提供规划成果文件本册</w:t>
      </w:r>
      <w:r>
        <w:rPr>
          <w:rFonts w:ascii="宋体" w:hAnsi="宋体"/>
          <w:sz w:val="24"/>
          <w:szCs w:val="21"/>
        </w:rPr>
        <w:t>6套，</w:t>
      </w:r>
      <w:r>
        <w:rPr>
          <w:rFonts w:hint="eastAsia" w:ascii="宋体" w:hAnsi="宋体"/>
          <w:sz w:val="24"/>
          <w:szCs w:val="21"/>
        </w:rPr>
        <w:t>规划数据库须提供光盘。</w:t>
      </w:r>
    </w:p>
    <w:p>
      <w:pPr>
        <w:snapToGrid w:val="0"/>
        <w:spacing w:line="360" w:lineRule="auto"/>
        <w:ind w:firstLine="480" w:firstLineChars="200"/>
        <w:jc w:val="left"/>
        <w:rPr>
          <w:sz w:val="24"/>
        </w:rPr>
      </w:pPr>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011255"/>
    <w:multiLevelType w:val="multilevel"/>
    <w:tmpl w:val="53011255"/>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FjNWNkZDc3ZjFjNTUzNDljZmY1YmQyNDk5OTA1MGMifQ=="/>
  </w:docVars>
  <w:rsids>
    <w:rsidRoot w:val="00732CFD"/>
    <w:rsid w:val="001F59CE"/>
    <w:rsid w:val="00213F0C"/>
    <w:rsid w:val="002400EF"/>
    <w:rsid w:val="00344D26"/>
    <w:rsid w:val="00384E1B"/>
    <w:rsid w:val="0039062E"/>
    <w:rsid w:val="00412280"/>
    <w:rsid w:val="004319E9"/>
    <w:rsid w:val="005411D4"/>
    <w:rsid w:val="005859D4"/>
    <w:rsid w:val="00592EE9"/>
    <w:rsid w:val="00630D52"/>
    <w:rsid w:val="00683DBE"/>
    <w:rsid w:val="00721BE9"/>
    <w:rsid w:val="00732CFD"/>
    <w:rsid w:val="0074018B"/>
    <w:rsid w:val="007544DC"/>
    <w:rsid w:val="007970AC"/>
    <w:rsid w:val="00880696"/>
    <w:rsid w:val="008D12C8"/>
    <w:rsid w:val="008E5F0D"/>
    <w:rsid w:val="008F01BF"/>
    <w:rsid w:val="009C2AD4"/>
    <w:rsid w:val="00C30646"/>
    <w:rsid w:val="00CC099E"/>
    <w:rsid w:val="00CD61AB"/>
    <w:rsid w:val="00DC32A4"/>
    <w:rsid w:val="00F2232E"/>
    <w:rsid w:val="00FB5D91"/>
    <w:rsid w:val="371E733A"/>
    <w:rsid w:val="52E76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qFormat="1" w:unhideWhenUsed="0" w:uiPriority="0"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1"/>
    <w:autoRedefine/>
    <w:qFormat/>
    <w:uiPriority w:val="0"/>
    <w:pPr>
      <w:keepNext/>
      <w:keepLines/>
      <w:spacing w:before="340" w:after="330" w:line="578" w:lineRule="auto"/>
      <w:outlineLvl w:val="0"/>
    </w:pPr>
    <w:rPr>
      <w:b/>
      <w:bCs/>
      <w:kern w:val="44"/>
      <w:sz w:val="44"/>
      <w:szCs w:val="44"/>
    </w:rPr>
  </w:style>
  <w:style w:type="paragraph" w:styleId="6">
    <w:name w:val="heading 3"/>
    <w:basedOn w:val="1"/>
    <w:next w:val="1"/>
    <w:link w:val="15"/>
    <w:semiHidden/>
    <w:unhideWhenUsed/>
    <w:qFormat/>
    <w:uiPriority w:val="9"/>
    <w:pPr>
      <w:keepNext/>
      <w:keepLines/>
      <w:spacing w:before="260" w:after="260" w:line="416" w:lineRule="auto"/>
      <w:outlineLvl w:val="2"/>
    </w:pPr>
    <w:rPr>
      <w:b/>
      <w:bCs/>
      <w:sz w:val="32"/>
      <w:szCs w:val="32"/>
    </w:rPr>
  </w:style>
  <w:style w:type="character" w:default="1" w:styleId="10">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First Indent"/>
    <w:basedOn w:val="3"/>
    <w:next w:val="4"/>
    <w:link w:val="14"/>
    <w:qFormat/>
    <w:uiPriority w:val="0"/>
    <w:pPr>
      <w:ind w:firstLine="420"/>
    </w:pPr>
    <w:rPr>
      <w:rFonts w:eastAsia="楷体_GB2312"/>
      <w:sz w:val="32"/>
      <w:szCs w:val="32"/>
    </w:rPr>
  </w:style>
  <w:style w:type="paragraph" w:styleId="3">
    <w:name w:val="Body Text"/>
    <w:basedOn w:val="1"/>
    <w:link w:val="13"/>
    <w:semiHidden/>
    <w:unhideWhenUsed/>
    <w:uiPriority w:val="99"/>
    <w:pPr>
      <w:spacing w:after="120"/>
    </w:pPr>
  </w:style>
  <w:style w:type="paragraph" w:styleId="4">
    <w:name w:val="Note Heading"/>
    <w:basedOn w:val="1"/>
    <w:next w:val="1"/>
    <w:link w:val="12"/>
    <w:qFormat/>
    <w:uiPriority w:val="0"/>
    <w:pPr>
      <w:jc w:val="center"/>
    </w:pPr>
    <w:rPr>
      <w:rFonts w:ascii="Calibri" w:hAnsi="Calibri"/>
      <w:kern w:val="0"/>
      <w:sz w:val="24"/>
    </w:rPr>
  </w:style>
  <w:style w:type="paragraph" w:styleId="7">
    <w:name w:val="footer"/>
    <w:basedOn w:val="1"/>
    <w:link w:val="17"/>
    <w:unhideWhenUsed/>
    <w:uiPriority w:val="99"/>
    <w:pPr>
      <w:tabs>
        <w:tab w:val="center" w:pos="4153"/>
        <w:tab w:val="right" w:pos="8306"/>
      </w:tabs>
      <w:snapToGrid w:val="0"/>
      <w:jc w:val="left"/>
    </w:pPr>
    <w:rPr>
      <w:sz w:val="18"/>
      <w:szCs w:val="18"/>
    </w:rPr>
  </w:style>
  <w:style w:type="paragraph" w:styleId="8">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11">
    <w:name w:val="标题 1 Char"/>
    <w:basedOn w:val="10"/>
    <w:link w:val="5"/>
    <w:uiPriority w:val="0"/>
    <w:rPr>
      <w:rFonts w:ascii="Times New Roman" w:hAnsi="Times New Roman" w:eastAsia="宋体" w:cs="Times New Roman"/>
      <w:b/>
      <w:bCs/>
      <w:kern w:val="44"/>
      <w:sz w:val="44"/>
      <w:szCs w:val="44"/>
    </w:rPr>
  </w:style>
  <w:style w:type="character" w:customStyle="1" w:styleId="12">
    <w:name w:val="注释标题 Char"/>
    <w:basedOn w:val="10"/>
    <w:link w:val="4"/>
    <w:uiPriority w:val="0"/>
    <w:rPr>
      <w:rFonts w:ascii="Calibri" w:hAnsi="Calibri" w:eastAsia="宋体" w:cs="Times New Roman"/>
      <w:kern w:val="0"/>
      <w:sz w:val="24"/>
      <w:szCs w:val="24"/>
    </w:rPr>
  </w:style>
  <w:style w:type="character" w:customStyle="1" w:styleId="13">
    <w:name w:val="正文文本 Char"/>
    <w:basedOn w:val="10"/>
    <w:link w:val="3"/>
    <w:semiHidden/>
    <w:uiPriority w:val="99"/>
    <w:rPr>
      <w:rFonts w:ascii="Times New Roman" w:hAnsi="Times New Roman" w:eastAsia="宋体" w:cs="Times New Roman"/>
      <w:szCs w:val="24"/>
    </w:rPr>
  </w:style>
  <w:style w:type="character" w:customStyle="1" w:styleId="14">
    <w:name w:val="正文首行缩进 Char"/>
    <w:basedOn w:val="13"/>
    <w:link w:val="2"/>
    <w:uiPriority w:val="0"/>
    <w:rPr>
      <w:rFonts w:ascii="Times New Roman" w:hAnsi="Times New Roman" w:eastAsia="楷体_GB2312" w:cs="Times New Roman"/>
      <w:sz w:val="32"/>
      <w:szCs w:val="32"/>
    </w:rPr>
  </w:style>
  <w:style w:type="character" w:customStyle="1" w:styleId="15">
    <w:name w:val="标题 3 Char"/>
    <w:basedOn w:val="10"/>
    <w:link w:val="6"/>
    <w:semiHidden/>
    <w:uiPriority w:val="9"/>
    <w:rPr>
      <w:rFonts w:ascii="Times New Roman" w:hAnsi="Times New Roman" w:eastAsia="宋体" w:cs="Times New Roman"/>
      <w:b/>
      <w:bCs/>
      <w:sz w:val="32"/>
      <w:szCs w:val="32"/>
    </w:rPr>
  </w:style>
  <w:style w:type="character" w:customStyle="1" w:styleId="16">
    <w:name w:val="页眉 Char"/>
    <w:basedOn w:val="10"/>
    <w:link w:val="8"/>
    <w:uiPriority w:val="99"/>
    <w:rPr>
      <w:rFonts w:ascii="Times New Roman" w:hAnsi="Times New Roman" w:eastAsia="宋体" w:cs="Times New Roman"/>
      <w:sz w:val="18"/>
      <w:szCs w:val="18"/>
    </w:rPr>
  </w:style>
  <w:style w:type="character" w:customStyle="1" w:styleId="17">
    <w:name w:val="页脚 Char"/>
    <w:basedOn w:val="10"/>
    <w:link w:val="7"/>
    <w:uiPriority w:val="99"/>
    <w:rPr>
      <w:rFonts w:ascii="Times New Roman" w:hAnsi="Times New Roman" w:eastAsia="宋体" w:cs="Times New Roman"/>
      <w:sz w:val="18"/>
      <w:szCs w:val="18"/>
    </w:rPr>
  </w:style>
  <w:style w:type="paragraph" w:styleId="18">
    <w:name w:val="List Paragraph"/>
    <w:basedOn w:val="1"/>
    <w:qFormat/>
    <w:uiPriority w:val="34"/>
    <w:pPr>
      <w:ind w:firstLine="420" w:firstLineChars="200"/>
    </w:pPr>
  </w:style>
  <w:style w:type="paragraph" w:customStyle="1" w:styleId="19">
    <w:name w:val="hkys"/>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824</Words>
  <Characters>878</Characters>
  <Lines>6</Lines>
  <Paragraphs>1</Paragraphs>
  <TotalTime>10</TotalTime>
  <ScaleCrop>false</ScaleCrop>
  <LinksUpToDate>false</LinksUpToDate>
  <CharactersWithSpaces>891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2023-06-30T02:06:00Z</dcterms:created>
  <dc:creator>ffggfghhh</dc:creator>
  <cp:lastModifiedBy>杨建设</cp:lastModifiedBy>
  <dcterms:modified xsi:type="dcterms:W3CDTF">2024-01-09T08:02:54Z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D8C9D99076C34A0E85AAE97E4F998727_13</vt:lpwstr>
  </property>
</Properties>
</file>