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pPr>
        <w:tabs>
          <w:tab w:val="left" w:pos="315"/>
          <w:tab w:val="left" w:pos="8820"/>
        </w:tabs>
        <w:spacing w:line="500" w:lineRule="auto"/>
        <w:ind w:right="267"/>
        <w:jc w:val="center"/>
        <w:rPr>
          <w:rFonts w:ascii="仿宋_GB2312" w:hAnsi="仿宋_GB2312" w:eastAsia="仿宋_GB2312" w:cs="仿宋_GB2312"/>
          <w:b/>
          <w:sz w:val="48"/>
          <w:highlight w:val="none"/>
        </w:rPr>
      </w:pPr>
    </w:p>
    <w:p>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pPr>
        <w:tabs>
          <w:tab w:val="left" w:pos="315"/>
          <w:tab w:val="left" w:pos="8820"/>
        </w:tabs>
        <w:spacing w:line="500" w:lineRule="auto"/>
        <w:ind w:right="267"/>
        <w:jc w:val="center"/>
        <w:rPr>
          <w:rFonts w:ascii="仿宋_GB2312" w:hAnsi="仿宋_GB2312" w:eastAsia="仿宋_GB2312" w:cs="仿宋_GB2312"/>
          <w:sz w:val="44"/>
          <w:highlight w:val="none"/>
        </w:rPr>
      </w:pPr>
    </w:p>
    <w:p>
      <w:pPr>
        <w:tabs>
          <w:tab w:val="left" w:pos="315"/>
          <w:tab w:val="left" w:pos="8820"/>
        </w:tabs>
        <w:ind w:right="267"/>
        <w:rPr>
          <w:rFonts w:ascii="仿宋_GB2312" w:hAnsi="仿宋_GB2312" w:eastAsia="仿宋_GB2312" w:cs="仿宋_GB2312"/>
          <w:sz w:val="44"/>
          <w:highlight w:val="none"/>
        </w:rPr>
      </w:pPr>
    </w:p>
    <w:p>
      <w:pPr>
        <w:tabs>
          <w:tab w:val="left" w:pos="315"/>
          <w:tab w:val="left" w:pos="8820"/>
        </w:tabs>
        <w:spacing w:line="500" w:lineRule="auto"/>
        <w:ind w:right="267"/>
        <w:rPr>
          <w:rFonts w:ascii="仿宋_GB2312" w:hAnsi="仿宋_GB2312" w:eastAsia="仿宋_GB2312" w:cs="仿宋_GB2312"/>
          <w:b/>
          <w:sz w:val="36"/>
          <w:highlight w:val="none"/>
        </w:rPr>
      </w:pPr>
    </w:p>
    <w:p>
      <w:pPr>
        <w:tabs>
          <w:tab w:val="left" w:pos="315"/>
          <w:tab w:val="left" w:pos="8820"/>
        </w:tabs>
        <w:spacing w:line="500" w:lineRule="auto"/>
        <w:ind w:right="267"/>
        <w:jc w:val="both"/>
        <w:rPr>
          <w:rFonts w:ascii="宋体" w:hAnsi="宋体" w:eastAsia="宋体" w:cs="宋体"/>
          <w:sz w:val="32"/>
          <w:highlight w:val="none"/>
        </w:rPr>
      </w:pPr>
    </w:p>
    <w:p>
      <w:pPr>
        <w:pStyle w:val="21"/>
        <w:rPr>
          <w:rFonts w:ascii="宋体" w:hAnsi="宋体" w:eastAsia="宋体" w:cs="宋体"/>
          <w:sz w:val="32"/>
          <w:highlight w:val="none"/>
        </w:rPr>
      </w:pPr>
    </w:p>
    <w:p>
      <w:pPr>
        <w:pStyle w:val="21"/>
        <w:rPr>
          <w:rFonts w:ascii="宋体" w:hAnsi="宋体" w:eastAsia="宋体" w:cs="宋体"/>
          <w:sz w:val="32"/>
          <w:highlight w:val="none"/>
        </w:rPr>
      </w:pPr>
    </w:p>
    <w:p>
      <w:pPr>
        <w:pStyle w:val="21"/>
        <w:rPr>
          <w:rFonts w:ascii="宋体" w:hAnsi="宋体" w:eastAsia="宋体" w:cs="宋体"/>
          <w:sz w:val="32"/>
          <w:highlight w:val="none"/>
        </w:rPr>
      </w:pPr>
    </w:p>
    <w:p>
      <w:pPr>
        <w:tabs>
          <w:tab w:val="left" w:pos="315"/>
          <w:tab w:val="left" w:pos="8820"/>
        </w:tabs>
        <w:spacing w:line="500" w:lineRule="auto"/>
        <w:ind w:right="267"/>
        <w:jc w:val="center"/>
        <w:rPr>
          <w:rFonts w:ascii="微软简标宋" w:hAnsi="微软简标宋" w:eastAsia="微软简标宋" w:cs="微软简标宋"/>
          <w:b/>
          <w:sz w:val="52"/>
          <w:highlight w:val="none"/>
        </w:rPr>
      </w:pPr>
    </w:p>
    <w:p>
      <w:pPr>
        <w:tabs>
          <w:tab w:val="left" w:pos="315"/>
          <w:tab w:val="left" w:pos="8820"/>
        </w:tabs>
        <w:spacing w:line="600" w:lineRule="auto"/>
        <w:ind w:left="1606" w:leftChars="0" w:right="267" w:hanging="1606" w:hangingChars="500"/>
        <w:jc w:val="left"/>
        <w:rPr>
          <w:rFonts w:hint="eastAsia" w:ascii="宋体" w:hAnsi="宋体" w:eastAsia="宋体" w:cs="宋体"/>
          <w:b/>
          <w:sz w:val="32"/>
          <w:szCs w:val="18"/>
          <w:highlight w:val="none"/>
          <w:lang w:eastAsia="zh-CN"/>
        </w:rPr>
      </w:pPr>
      <w:r>
        <w:rPr>
          <w:rFonts w:ascii="宋体" w:hAnsi="宋体" w:eastAsia="宋体" w:cs="宋体"/>
          <w:b/>
          <w:sz w:val="32"/>
          <w:szCs w:val="18"/>
          <w:highlight w:val="none"/>
        </w:rPr>
        <w:t>项目名称:</w:t>
      </w:r>
      <w:r>
        <w:rPr>
          <w:rFonts w:hint="eastAsia" w:ascii="宋体" w:hAnsi="宋体" w:eastAsia="宋体" w:cs="宋体"/>
          <w:b/>
          <w:bCs/>
          <w:sz w:val="32"/>
          <w:szCs w:val="32"/>
          <w:highlight w:val="none"/>
          <w:lang w:eastAsia="zh-CN"/>
        </w:rPr>
        <w:t>项城市范集镇中心卫生院医疗设备购置项目</w:t>
      </w:r>
    </w:p>
    <w:p>
      <w:pPr>
        <w:tabs>
          <w:tab w:val="left" w:pos="315"/>
          <w:tab w:val="left" w:pos="8820"/>
        </w:tabs>
        <w:spacing w:line="600" w:lineRule="auto"/>
        <w:ind w:left="0" w:leftChars="0" w:right="267" w:firstLine="0" w:firstLineChars="0"/>
        <w:jc w:val="left"/>
        <w:rPr>
          <w:rFonts w:hint="default" w:ascii="宋体" w:hAnsi="宋体" w:eastAsia="宋体" w:cs="宋体"/>
          <w:b/>
          <w:sz w:val="32"/>
          <w:szCs w:val="18"/>
          <w:highlight w:val="none"/>
          <w:lang w:val="en-US" w:eastAsia="zh-CN"/>
        </w:rPr>
      </w:pPr>
      <w:r>
        <w:rPr>
          <w:rFonts w:ascii="宋体" w:hAnsi="宋体" w:eastAsia="宋体" w:cs="宋体"/>
          <w:b/>
          <w:sz w:val="32"/>
          <w:szCs w:val="18"/>
          <w:highlight w:val="none"/>
        </w:rPr>
        <w:t>项目编号:</w:t>
      </w:r>
      <w:r>
        <w:rPr>
          <w:rFonts w:hint="eastAsia" w:ascii="宋体" w:hAnsi="宋体" w:eastAsia="宋体" w:cs="宋体"/>
          <w:b/>
          <w:sz w:val="32"/>
          <w:szCs w:val="18"/>
          <w:highlight w:val="none"/>
          <w:lang w:eastAsia="zh-CN"/>
        </w:rPr>
        <w:t>2024-01-15</w:t>
      </w:r>
    </w:p>
    <w:p>
      <w:pPr>
        <w:spacing w:after="120"/>
        <w:jc w:val="center"/>
        <w:rPr>
          <w:rFonts w:ascii="宋体" w:hAnsi="宋体" w:eastAsia="宋体" w:cs="宋体"/>
          <w:sz w:val="20"/>
          <w:highlight w:val="none"/>
        </w:rPr>
      </w:pPr>
    </w:p>
    <w:p>
      <w:pPr>
        <w:tabs>
          <w:tab w:val="left" w:pos="315"/>
          <w:tab w:val="left" w:pos="8820"/>
        </w:tabs>
        <w:spacing w:line="600" w:lineRule="auto"/>
        <w:ind w:left="0" w:leftChars="0" w:right="267" w:firstLine="643" w:firstLineChars="200"/>
        <w:jc w:val="center"/>
        <w:rPr>
          <w:rFonts w:hint="eastAsia" w:ascii="宋体" w:hAnsi="宋体" w:eastAsia="宋体" w:cs="宋体"/>
          <w:b/>
          <w:sz w:val="32"/>
          <w:szCs w:val="18"/>
          <w:highlight w:val="none"/>
        </w:rPr>
      </w:pPr>
      <w:r>
        <w:rPr>
          <w:rFonts w:hint="eastAsia" w:ascii="宋体" w:hAnsi="宋体" w:eastAsia="宋体" w:cs="宋体"/>
          <w:b/>
          <w:sz w:val="32"/>
          <w:szCs w:val="18"/>
          <w:highlight w:val="none"/>
          <w:lang w:val="en-US" w:eastAsia="zh-CN"/>
        </w:rPr>
        <w:t>2024</w:t>
      </w:r>
      <w:r>
        <w:rPr>
          <w:rFonts w:hint="eastAsia" w:ascii="宋体" w:hAnsi="宋体" w:eastAsia="宋体" w:cs="宋体"/>
          <w:b/>
          <w:sz w:val="32"/>
          <w:szCs w:val="18"/>
          <w:highlight w:val="none"/>
        </w:rPr>
        <w:t>年</w:t>
      </w:r>
      <w:r>
        <w:rPr>
          <w:rFonts w:hint="eastAsia" w:ascii="宋体" w:hAnsi="宋体" w:eastAsia="宋体" w:cs="宋体"/>
          <w:b/>
          <w:sz w:val="32"/>
          <w:szCs w:val="18"/>
          <w:highlight w:val="none"/>
          <w:lang w:val="en-US" w:eastAsia="zh-CN"/>
        </w:rPr>
        <w:t>01</w:t>
      </w:r>
      <w:r>
        <w:rPr>
          <w:rFonts w:hint="eastAsia" w:ascii="宋体" w:hAnsi="宋体" w:eastAsia="宋体" w:cs="宋体"/>
          <w:b/>
          <w:sz w:val="32"/>
          <w:szCs w:val="18"/>
          <w:highlight w:val="none"/>
        </w:rPr>
        <w:t>月</w:t>
      </w:r>
    </w:p>
    <w:p>
      <w:pPr>
        <w:spacing w:after="120"/>
        <w:jc w:val="center"/>
        <w:rPr>
          <w:rFonts w:ascii="宋体" w:hAnsi="宋体" w:eastAsia="宋体" w:cs="宋体"/>
          <w:b/>
          <w:sz w:val="32"/>
          <w:highlight w:val="none"/>
        </w:rPr>
      </w:pPr>
    </w:p>
    <w:p>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pPr>
        <w:spacing w:line="800" w:lineRule="auto"/>
        <w:rPr>
          <w:rFonts w:ascii="宋体" w:hAnsi="宋体" w:eastAsia="宋体" w:cs="宋体"/>
          <w:b/>
          <w:sz w:val="32"/>
          <w:highlight w:val="none"/>
        </w:rPr>
      </w:pPr>
    </w:p>
    <w:p>
      <w:pPr>
        <w:spacing w:line="800" w:lineRule="auto"/>
        <w:rPr>
          <w:rFonts w:ascii="宋体" w:hAnsi="宋体" w:eastAsia="宋体" w:cs="宋体"/>
          <w:b/>
          <w:sz w:val="32"/>
          <w:highlight w:val="none"/>
        </w:rPr>
      </w:pPr>
    </w:p>
    <w:p>
      <w:pPr>
        <w:spacing w:line="800" w:lineRule="auto"/>
        <w:rPr>
          <w:rFonts w:ascii="宋体" w:hAnsi="宋体" w:eastAsia="宋体" w:cs="宋体"/>
          <w:b/>
          <w:sz w:val="32"/>
          <w:highlight w:val="none"/>
        </w:rPr>
      </w:pPr>
    </w:p>
    <w:p>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pPr>
        <w:ind w:firstLine="420"/>
        <w:jc w:val="left"/>
        <w:rPr>
          <w:rFonts w:ascii="Times New Roman" w:hAnsi="Times New Roman" w:eastAsia="Times New Roman" w:cs="Times New Roman"/>
          <w:sz w:val="22"/>
          <w:highlight w:val="none"/>
        </w:rPr>
      </w:pPr>
    </w:p>
    <w:p>
      <w:pPr>
        <w:ind w:firstLine="420"/>
        <w:jc w:val="left"/>
        <w:rPr>
          <w:rFonts w:ascii="Times New Roman" w:hAnsi="Times New Roman" w:eastAsia="Times New Roman" w:cs="Times New Roman"/>
          <w:sz w:val="22"/>
          <w:highlight w:val="none"/>
        </w:rPr>
      </w:pPr>
    </w:p>
    <w:p>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pPr>
        <w:ind w:firstLine="480"/>
        <w:rPr>
          <w:rFonts w:ascii="Times New Roman" w:hAnsi="Times New Roman" w:eastAsia="Times New Roman" w:cs="Times New Roman"/>
          <w:sz w:val="24"/>
          <w:highlight w:val="none"/>
        </w:rPr>
      </w:pPr>
      <w:r>
        <w:rPr>
          <w:rFonts w:ascii="宋体" w:hAnsi="宋体" w:eastAsia="宋体" w:cs="宋体"/>
          <w:sz w:val="24"/>
          <w:highlight w:val="none"/>
        </w:rPr>
        <w:t>项目概况</w:t>
      </w:r>
    </w:p>
    <w:p>
      <w:pPr>
        <w:ind w:firstLine="480"/>
        <w:rPr>
          <w:rFonts w:ascii="Times New Roman" w:hAnsi="Times New Roman" w:eastAsia="Times New Roman" w:cs="Times New Roman"/>
          <w:sz w:val="24"/>
          <w:highlight w:val="none"/>
        </w:rPr>
      </w:pPr>
      <w:r>
        <w:rPr>
          <w:rFonts w:hint="eastAsia" w:ascii="Times New Roman" w:hAnsi="Times New Roman" w:eastAsia="宋体" w:cs="Times New Roman"/>
          <w:sz w:val="24"/>
          <w:highlight w:val="none"/>
          <w:u w:val="none"/>
          <w:lang w:eastAsia="zh-CN"/>
        </w:rPr>
        <w:t>项城市范集镇中心卫生院医疗设备购置项目</w:t>
      </w:r>
      <w:r>
        <w:rPr>
          <w:rFonts w:ascii="宋体" w:hAnsi="宋体" w:eastAsia="宋体" w:cs="宋体"/>
          <w:sz w:val="24"/>
          <w:highlight w:val="none"/>
        </w:rPr>
        <w:t>的潜在供应商应在周口市公共资源交易中心网获取采购文件，并于</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日</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（北京时间）前提交响应文件。</w:t>
      </w:r>
    </w:p>
    <w:p>
      <w:pPr>
        <w:rPr>
          <w:rFonts w:ascii="Times New Roman" w:hAnsi="Times New Roman" w:eastAsia="Times New Roman" w:cs="Times New Roman"/>
          <w:sz w:val="24"/>
          <w:highlight w:val="none"/>
        </w:rPr>
      </w:pP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一、项目基本情况</w:t>
      </w:r>
    </w:p>
    <w:p>
      <w:pPr>
        <w:spacing w:line="360" w:lineRule="auto"/>
        <w:ind w:firstLine="480"/>
        <w:rPr>
          <w:rFonts w:hint="eastAsia" w:ascii="Times New Roman" w:hAnsi="Times New Roman" w:eastAsia="宋体" w:cs="Times New Roman"/>
          <w:sz w:val="24"/>
          <w:highlight w:val="none"/>
          <w:lang w:eastAsia="zh-CN"/>
        </w:rPr>
      </w:pPr>
      <w:r>
        <w:rPr>
          <w:rFonts w:ascii="宋体" w:hAnsi="宋体" w:eastAsia="宋体" w:cs="宋体"/>
          <w:sz w:val="24"/>
          <w:highlight w:val="none"/>
        </w:rPr>
        <w:t>项目编号：</w:t>
      </w:r>
      <w:r>
        <w:rPr>
          <w:rFonts w:hint="eastAsia" w:ascii="宋体" w:hAnsi="宋体" w:eastAsia="宋体" w:cs="宋体"/>
          <w:sz w:val="24"/>
          <w:highlight w:val="none"/>
          <w:lang w:eastAsia="zh-CN"/>
        </w:rPr>
        <w:t>2024-01-15</w:t>
      </w:r>
    </w:p>
    <w:p>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项城市范集镇中心卫生院医疗设备购置项目</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eastAsia="zh-CN"/>
        </w:rPr>
        <w:t>1200000.00元</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eastAsia="zh-CN"/>
        </w:rPr>
        <w:t>1200000.00元</w:t>
      </w:r>
    </w:p>
    <w:p>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17"/>
        <w:tblW w:w="4999" w:type="pct"/>
        <w:tblInd w:w="0" w:type="dxa"/>
        <w:tblLayout w:type="autofit"/>
        <w:tblCellMar>
          <w:top w:w="0" w:type="dxa"/>
          <w:left w:w="10" w:type="dxa"/>
          <w:bottom w:w="0" w:type="dxa"/>
          <w:right w:w="10" w:type="dxa"/>
        </w:tblCellMar>
      </w:tblPr>
      <w:tblGrid>
        <w:gridCol w:w="804"/>
        <w:gridCol w:w="5246"/>
        <w:gridCol w:w="2470"/>
      </w:tblGrid>
      <w:tr>
        <w:tblPrEx>
          <w:tblCellMar>
            <w:top w:w="0" w:type="dxa"/>
            <w:left w:w="10" w:type="dxa"/>
            <w:bottom w:w="0" w:type="dxa"/>
            <w:right w:w="10" w:type="dxa"/>
          </w:tblCellMar>
        </w:tblPrEx>
        <w:trPr>
          <w:trHeight w:val="1" w:hRule="atLeast"/>
        </w:trPr>
        <w:tc>
          <w:tcPr>
            <w:tcW w:w="472"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07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44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tblPrEx>
          <w:tblCellMar>
            <w:top w:w="0" w:type="dxa"/>
            <w:left w:w="10" w:type="dxa"/>
            <w:bottom w:w="0" w:type="dxa"/>
            <w:right w:w="10" w:type="dxa"/>
          </w:tblCellMar>
        </w:tblPrEx>
        <w:tc>
          <w:tcPr>
            <w:tcW w:w="472"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07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hint="eastAsia" w:eastAsiaTheme="minorEastAsia"/>
                <w:highlight w:val="none"/>
                <w:lang w:eastAsia="zh-CN"/>
              </w:rPr>
            </w:pPr>
            <w:r>
              <w:rPr>
                <w:rFonts w:hint="eastAsia" w:ascii="Times New Roman" w:hAnsi="Times New Roman" w:eastAsia="宋体" w:cs="Times New Roman"/>
                <w:sz w:val="24"/>
                <w:highlight w:val="none"/>
                <w:lang w:eastAsia="zh-CN"/>
              </w:rPr>
              <w:t>项城市范集镇中心卫生院医疗设备购置项目</w:t>
            </w:r>
          </w:p>
        </w:tc>
        <w:tc>
          <w:tcPr>
            <w:tcW w:w="144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hint="eastAsia" w:eastAsiaTheme="minorEastAsia"/>
                <w:highlight w:val="none"/>
                <w:lang w:eastAsia="zh-CN"/>
              </w:rPr>
            </w:pPr>
            <w:r>
              <w:rPr>
                <w:rFonts w:hint="eastAsia" w:ascii="宋体" w:hAnsi="宋体" w:eastAsia="宋体" w:cs="宋体"/>
                <w:sz w:val="24"/>
                <w:highlight w:val="none"/>
                <w:lang w:eastAsia="zh-CN"/>
              </w:rPr>
              <w:t>1200000.00</w:t>
            </w:r>
          </w:p>
        </w:tc>
      </w:tr>
    </w:tbl>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其他医疗设备</w:t>
      </w:r>
      <w:r>
        <w:rPr>
          <w:rFonts w:ascii="宋体" w:hAnsi="宋体" w:eastAsia="宋体" w:cs="宋体"/>
          <w:sz w:val="24"/>
          <w:highlight w:val="none"/>
        </w:rPr>
        <w:t>（包括但不限于标的的名称、数量、简要技术需求或服务要求等）</w:t>
      </w:r>
    </w:p>
    <w:p>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eastAsia="zh-CN"/>
        </w:rPr>
        <w:t>合同签订后20日历天</w:t>
      </w:r>
    </w:p>
    <w:p>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w:t>
      </w:r>
      <w:r>
        <w:rPr>
          <w:rFonts w:hint="eastAsia" w:ascii="宋体" w:hAnsi="宋体" w:eastAsia="宋体" w:cs="宋体"/>
          <w:sz w:val="24"/>
          <w:szCs w:val="24"/>
          <w:highlight w:val="none"/>
          <w:lang w:val="en-US" w:eastAsia="zh-CN"/>
        </w:rPr>
        <w:t>否</w:t>
      </w:r>
      <w:r>
        <w:rPr>
          <w:rFonts w:hint="eastAsia" w:ascii="宋体" w:hAnsi="宋体" w:eastAsia="宋体" w:cs="宋体"/>
          <w:sz w:val="24"/>
          <w:szCs w:val="24"/>
          <w:highlight w:val="none"/>
          <w:lang w:val="en-US"/>
        </w:rPr>
        <w:t>。</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政府采购严重违法失信行为记录名单</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的供应商和法定代表人</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)的“政府采购严重违法失信行为记录名单”的供应商，将拒绝其参加政府采购活动；在标书中附网页查询</w:t>
      </w:r>
      <w:r>
        <w:rPr>
          <w:rFonts w:hint="eastAsia" w:ascii="宋体" w:hAnsi="宋体" w:eastAsia="宋体" w:cs="宋体"/>
          <w:i w:val="0"/>
          <w:iCs w:val="0"/>
          <w:sz w:val="24"/>
          <w:szCs w:val="24"/>
          <w:lang w:eastAsia="zh-CN"/>
        </w:rPr>
        <w:t>截图</w:t>
      </w:r>
      <w:r>
        <w:rPr>
          <w:rFonts w:hint="eastAsia" w:ascii="宋体" w:hAnsi="宋体" w:eastAsia="宋体" w:cs="宋体"/>
          <w:i w:val="0"/>
          <w:iCs w:val="0"/>
          <w:sz w:val="24"/>
          <w:szCs w:val="24"/>
        </w:rPr>
        <w:t>，查询日期为公告发布之日起至投标截止之日止。</w:t>
      </w:r>
      <w:r>
        <w:rPr>
          <w:rFonts w:hint="eastAsia" w:ascii="宋体" w:hAnsi="宋体" w:eastAsia="宋体" w:cs="宋体"/>
          <w:i w:val="0"/>
          <w:i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val="en-US" w:eastAsia="zh-CN"/>
        </w:rPr>
        <w:t>2</w:t>
      </w:r>
      <w:r>
        <w:rPr>
          <w:rFonts w:hint="eastAsia" w:ascii="宋体" w:hAnsi="宋体" w:eastAsia="宋体" w:cs="宋体"/>
          <w:i w:val="0"/>
          <w:iCs w:val="0"/>
          <w:sz w:val="24"/>
          <w:szCs w:val="24"/>
          <w:highlight w:val="none"/>
        </w:rPr>
        <w:t>）</w:t>
      </w:r>
      <w:r>
        <w:rPr>
          <w:rFonts w:hint="eastAsia" w:ascii="宋体" w:hAnsi="宋体" w:cs="宋体"/>
          <w:sz w:val="24"/>
          <w:highlight w:val="none"/>
        </w:rPr>
        <w:t>供应商</w:t>
      </w:r>
      <w:r>
        <w:rPr>
          <w:rFonts w:hint="eastAsia" w:ascii="宋体" w:hAnsi="宋体" w:eastAsia="宋体" w:cs="宋体"/>
          <w:bCs/>
          <w:kern w:val="2"/>
          <w:sz w:val="24"/>
          <w:szCs w:val="24"/>
          <w:lang w:val="en-US" w:eastAsia="zh-CN" w:bidi="ar-SA"/>
        </w:rPr>
        <w:t>为经销商时应具有《医疗器械经营许可证》或《二类医疗器械经营备案凭证》；当</w:t>
      </w:r>
      <w:r>
        <w:rPr>
          <w:rFonts w:hint="eastAsia" w:ascii="宋体" w:hAnsi="宋体" w:cs="宋体"/>
          <w:sz w:val="24"/>
          <w:highlight w:val="none"/>
        </w:rPr>
        <w:t>供应商</w:t>
      </w:r>
      <w:r>
        <w:rPr>
          <w:rFonts w:hint="eastAsia" w:ascii="宋体" w:hAnsi="宋体" w:eastAsia="宋体" w:cs="宋体"/>
          <w:bCs/>
          <w:kern w:val="2"/>
          <w:sz w:val="24"/>
          <w:szCs w:val="24"/>
          <w:lang w:val="en-US" w:eastAsia="zh-CN" w:bidi="ar-SA"/>
        </w:rPr>
        <w:t>为生产厂家时，需具有《医疗器械生产许可证》。</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lang w:val="en-US" w:eastAsia="zh-CN"/>
        </w:rPr>
        <w:t>2024</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hint="eastAsia" w:ascii="宋体" w:hAnsi="宋体" w:eastAsia="宋体" w:cs="宋体"/>
          <w:sz w:val="24"/>
          <w:highlight w:val="none"/>
          <w:u w:val="single"/>
          <w:lang w:val="en-US" w:eastAsia="zh-CN"/>
        </w:rPr>
        <w:t>1</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12</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日</w:t>
      </w:r>
      <w:r>
        <w:rPr>
          <w:rFonts w:ascii="宋体" w:hAnsi="宋体" w:eastAsia="宋体" w:cs="宋体"/>
          <w:sz w:val="24"/>
          <w:highlight w:val="none"/>
        </w:rPr>
        <w:t>至</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2024</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19</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地点：周口市公共资源交易中心网（http://jyzx.zhoukou.gov.cn）</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2024</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hint="eastAsia" w:ascii="宋体" w:hAnsi="宋体" w:eastAsia="宋体" w:cs="宋体"/>
          <w:sz w:val="24"/>
          <w:highlight w:val="none"/>
          <w:u w:val="single"/>
          <w:lang w:val="en-US" w:eastAsia="zh-CN"/>
        </w:rPr>
        <w:t>1</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月</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23</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日</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w:t>
      </w:r>
    </w:p>
    <w:p>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z w:val="24"/>
          <w:highlight w:val="none"/>
          <w:u w:val="single"/>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2024</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hint="eastAsia" w:ascii="宋体" w:hAnsi="宋体" w:eastAsia="宋体" w:cs="宋体"/>
          <w:sz w:val="24"/>
          <w:highlight w:val="none"/>
          <w:u w:val="single"/>
          <w:lang w:val="en-US" w:eastAsia="zh-CN"/>
        </w:rPr>
        <w:t>1</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月</w:t>
      </w:r>
      <w:r>
        <w:rPr>
          <w:rFonts w:hint="eastAsia" w:ascii="宋体" w:hAnsi="宋体" w:eastAsia="宋体" w:cs="宋体"/>
          <w:sz w:val="24"/>
          <w:highlight w:val="none"/>
          <w:u w:val="single"/>
          <w:lang w:val="en-US" w:eastAsia="zh-CN"/>
        </w:rPr>
        <w:t>23</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日</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点</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0</w:t>
      </w:r>
      <w:bookmarkStart w:id="3" w:name="_GoBack"/>
      <w:bookmarkEnd w:id="3"/>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w:t>
      </w:r>
    </w:p>
    <w:p>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1.采购人信息</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cs="宋体"/>
          <w:i w:val="0"/>
          <w:iCs w:val="0"/>
          <w:sz w:val="24"/>
          <w:szCs w:val="24"/>
          <w:lang w:eastAsia="zh-CN"/>
        </w:rPr>
        <w:t xml:space="preserve">项城市范集镇卫生院 </w:t>
      </w:r>
      <w:r>
        <w:rPr>
          <w:rFonts w:ascii="宋体" w:hAnsi="宋体" w:eastAsia="宋体" w:cs="宋体"/>
          <w:color w:val="auto"/>
          <w:spacing w:val="0"/>
          <w:position w:val="0"/>
          <w:sz w:val="24"/>
          <w:shd w:val="clear" w:fill="auto"/>
        </w:rPr>
        <w:t>　　　　　　　　　　　</w:t>
      </w:r>
    </w:p>
    <w:p>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val="en-US" w:eastAsia="zh-CN"/>
        </w:rPr>
        <w:t>项城市</w:t>
      </w:r>
      <w:r>
        <w:rPr>
          <w:rFonts w:ascii="宋体" w:hAnsi="宋体" w:eastAsia="宋体" w:cs="宋体"/>
          <w:color w:val="auto"/>
          <w:spacing w:val="0"/>
          <w:position w:val="0"/>
          <w:sz w:val="24"/>
          <w:shd w:val="clear" w:fill="auto"/>
        </w:rPr>
        <w:t>　　　　　　　　　　　　</w:t>
      </w:r>
    </w:p>
    <w:p>
      <w:pPr>
        <w:spacing w:line="360" w:lineRule="auto"/>
        <w:ind w:firstLine="480"/>
        <w:jc w:val="left"/>
        <w:rPr>
          <w:rFonts w:ascii="宋体" w:hAnsi="宋体" w:eastAsia="宋体" w:cs="宋体"/>
          <w:sz w:val="24"/>
          <w:highlight w:val="none"/>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张锦灿</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13949994175</w:t>
      </w:r>
      <w:r>
        <w:rPr>
          <w:rFonts w:ascii="宋体" w:hAnsi="宋体" w:eastAsia="宋体" w:cs="宋体"/>
          <w:sz w:val="24"/>
          <w:highlight w:val="none"/>
        </w:rPr>
        <w:t xml:space="preserve">　　　　　 </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2.采购代理机构信息</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名 称：周口市公共资源交易中心政府采购中心　　　　　　　　　　　　</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　址：周口市光明路与政通路交叉口向北100米路东</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项目联系人：              联系方式：　　　　　　　　</w:t>
      </w:r>
    </w:p>
    <w:p>
      <w:pPr>
        <w:pStyle w:val="21"/>
        <w:numPr>
          <w:ilvl w:val="0"/>
          <w:numId w:val="0"/>
        </w:numPr>
        <w:ind w:firstLine="480" w:firstLineChars="200"/>
        <w:rPr>
          <w:rFonts w:hint="eastAsia" w:ascii="宋体" w:hAnsi="宋体" w:cs="宋体" w:eastAsiaTheme="minorEastAsia"/>
          <w:sz w:val="24"/>
          <w:szCs w:val="24"/>
          <w:lang w:val="en-US" w:eastAsia="zh-CN" w:bidi="ar-SA"/>
        </w:rPr>
      </w:pPr>
      <w:r>
        <w:rPr>
          <w:rFonts w:hint="eastAsia" w:ascii="宋体" w:hAnsi="宋体" w:cs="宋体" w:eastAsiaTheme="minorEastAsia"/>
          <w:sz w:val="24"/>
          <w:szCs w:val="24"/>
          <w:lang w:val="en-US" w:eastAsia="zh-CN" w:bidi="ar-SA"/>
        </w:rPr>
        <w:t>3.监督单位：项城市财政局采购科</w:t>
      </w:r>
    </w:p>
    <w:p>
      <w:pPr>
        <w:pStyle w:val="21"/>
        <w:numPr>
          <w:ilvl w:val="0"/>
          <w:numId w:val="0"/>
        </w:numPr>
        <w:ind w:firstLine="480" w:firstLineChars="200"/>
        <w:rPr>
          <w:rFonts w:hint="eastAsia" w:ascii="宋体" w:hAnsi="宋体" w:cs="宋体"/>
          <w:sz w:val="24"/>
          <w:szCs w:val="24"/>
          <w:highlight w:val="none"/>
          <w:lang w:val="en-US" w:eastAsia="zh-CN"/>
        </w:rPr>
      </w:pPr>
      <w:r>
        <w:rPr>
          <w:rFonts w:hint="eastAsia" w:ascii="宋体" w:hAnsi="宋体" w:cs="宋体" w:eastAsiaTheme="minorEastAsia"/>
          <w:sz w:val="24"/>
          <w:szCs w:val="24"/>
          <w:lang w:val="en-US" w:eastAsia="zh-CN" w:bidi="ar-SA"/>
        </w:rPr>
        <w:t>联系方式： 0394-4315676</w:t>
      </w:r>
    </w:p>
    <w:p>
      <w:pPr>
        <w:pStyle w:val="21"/>
        <w:numPr>
          <w:ilvl w:val="0"/>
          <w:numId w:val="0"/>
        </w:numPr>
        <w:ind w:firstLine="480" w:firstLineChars="200"/>
        <w:rPr>
          <w:rFonts w:hint="eastAsia" w:ascii="宋体" w:hAnsi="宋体" w:eastAsia="宋体" w:cs="宋体"/>
          <w:i w:val="0"/>
          <w:iCs w:val="0"/>
          <w:sz w:val="24"/>
          <w:szCs w:val="24"/>
          <w:lang w:val="en-US" w:eastAsia="zh-CN"/>
        </w:rPr>
      </w:pPr>
    </w:p>
    <w:p>
      <w:pPr>
        <w:pStyle w:val="21"/>
        <w:ind w:firstLine="480" w:firstLineChars="200"/>
        <w:rPr>
          <w:rFonts w:hint="eastAsia" w:asciiTheme="minorEastAsia" w:hAnsiTheme="minorEastAsia" w:eastAsiaTheme="minorEastAsia" w:cstheme="minorEastAsia"/>
          <w:b w:val="0"/>
          <w:i w:val="0"/>
          <w:iCs w:val="0"/>
          <w:sz w:val="24"/>
          <w:szCs w:val="24"/>
        </w:rPr>
      </w:pPr>
    </w:p>
    <w:p>
      <w:pPr>
        <w:pStyle w:val="21"/>
        <w:ind w:firstLine="480" w:firstLineChars="200"/>
        <w:rPr>
          <w:rFonts w:hint="eastAsia" w:ascii="宋体" w:hAnsi="宋体" w:cs="宋体"/>
          <w:sz w:val="24"/>
          <w:szCs w:val="24"/>
          <w:highlight w:val="none"/>
        </w:rPr>
      </w:pPr>
    </w:p>
    <w:p>
      <w:pPr>
        <w:ind w:firstLine="420"/>
        <w:jc w:val="left"/>
        <w:rPr>
          <w:rFonts w:ascii="Times New Roman" w:hAnsi="Times New Roman" w:eastAsia="Times New Roman" w:cs="Times New Roman"/>
          <w:sz w:val="22"/>
          <w:highlight w:val="none"/>
        </w:rPr>
      </w:pPr>
    </w:p>
    <w:p>
      <w:pPr>
        <w:spacing w:after="120" w:line="360" w:lineRule="auto"/>
        <w:ind w:left="0" w:leftChars="0" w:firstLine="3780" w:firstLineChars="1575"/>
        <w:rPr>
          <w:rFonts w:ascii="宋体" w:hAnsi="宋体" w:eastAsia="宋体" w:cs="宋体"/>
          <w:sz w:val="24"/>
          <w:highlight w:val="none"/>
        </w:rPr>
      </w:pPr>
      <w:r>
        <w:rPr>
          <w:rFonts w:ascii="宋体" w:hAnsi="宋体" w:eastAsia="宋体" w:cs="宋体"/>
          <w:sz w:val="24"/>
          <w:highlight w:val="none"/>
        </w:rPr>
        <w:t>周口市公共资源交易中心政府采购中心</w:t>
      </w:r>
    </w:p>
    <w:p>
      <w:pPr>
        <w:tabs>
          <w:tab w:val="left" w:pos="0"/>
          <w:tab w:val="left" w:pos="993"/>
          <w:tab w:val="left" w:pos="1134"/>
        </w:tabs>
        <w:ind w:firstLine="5040" w:firstLineChars="2100"/>
        <w:rPr>
          <w:rFonts w:ascii="宋体" w:hAnsi="宋体" w:eastAsia="宋体" w:cs="宋体"/>
          <w:sz w:val="24"/>
          <w:highlight w:val="none"/>
        </w:rPr>
      </w:pPr>
      <w:r>
        <w:rPr>
          <w:rFonts w:hint="eastAsia" w:ascii="宋体" w:hAnsi="宋体" w:eastAsia="宋体" w:cs="宋体"/>
          <w:sz w:val="24"/>
          <w:highlight w:val="none"/>
          <w:lang w:val="en-US" w:eastAsia="zh-CN"/>
        </w:rPr>
        <w:t>2024</w:t>
      </w:r>
      <w:r>
        <w:rPr>
          <w:rFonts w:ascii="宋体" w:hAnsi="宋体" w:eastAsia="宋体" w:cs="宋体"/>
          <w:sz w:val="24"/>
          <w:highlight w:val="none"/>
        </w:rPr>
        <w:t>年</w:t>
      </w:r>
      <w:r>
        <w:rPr>
          <w:rFonts w:hint="eastAsia" w:ascii="宋体" w:hAnsi="宋体" w:eastAsia="宋体" w:cs="宋体"/>
          <w:sz w:val="24"/>
          <w:highlight w:val="none"/>
          <w:lang w:val="en-US" w:eastAsia="zh-CN"/>
        </w:rPr>
        <w:t>01</w:t>
      </w:r>
      <w:r>
        <w:rPr>
          <w:rFonts w:ascii="宋体" w:hAnsi="宋体" w:eastAsia="宋体" w:cs="宋体"/>
          <w:sz w:val="24"/>
          <w:highlight w:val="none"/>
        </w:rPr>
        <w:t>月</w:t>
      </w: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rPr>
          <w:rFonts w:ascii="宋体" w:hAnsi="宋体" w:eastAsia="宋体" w:cs="宋体"/>
          <w:b/>
          <w:sz w:val="24"/>
          <w:highlight w:val="none"/>
        </w:rPr>
      </w:pPr>
      <w:r>
        <w:rPr>
          <w:rFonts w:ascii="宋体" w:hAnsi="宋体" w:eastAsia="宋体" w:cs="宋体"/>
          <w:b/>
          <w:sz w:val="24"/>
          <w:highlight w:val="none"/>
        </w:rPr>
        <w:br w:type="page"/>
      </w:r>
    </w:p>
    <w:p>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17"/>
        <w:tblW w:w="0" w:type="auto"/>
        <w:tblInd w:w="108" w:type="dxa"/>
        <w:tblLayout w:type="autofit"/>
        <w:tblCellMar>
          <w:top w:w="0" w:type="dxa"/>
          <w:left w:w="10" w:type="dxa"/>
          <w:bottom w:w="0" w:type="dxa"/>
          <w:right w:w="10" w:type="dxa"/>
        </w:tblCellMar>
      </w:tblPr>
      <w:tblGrid>
        <w:gridCol w:w="856"/>
        <w:gridCol w:w="1673"/>
        <w:gridCol w:w="5885"/>
      </w:tblGrid>
      <w:tr>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供应商须知前附表</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内  容</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Times New Roman" w:hAnsi="Times New Roman" w:eastAsia="宋体" w:cs="Times New Roman"/>
                <w:sz w:val="24"/>
                <w:highlight w:val="none"/>
                <w:u w:val="none"/>
                <w:lang w:eastAsia="zh-CN"/>
              </w:rPr>
              <w:t>项城市范集镇中心卫生院医疗设备购置项目</w:t>
            </w:r>
          </w:p>
          <w:p>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其他医疗设备（详见磋商文件）</w:t>
            </w:r>
          </w:p>
          <w:p>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Times New Roman" w:hAnsi="Times New Roman" w:eastAsia="宋体" w:cs="Times New Roman"/>
                <w:sz w:val="24"/>
                <w:highlight w:val="none"/>
                <w:u w:val="none"/>
                <w:lang w:eastAsia="zh-CN"/>
              </w:rPr>
              <w:t>项城市范集镇卫生院 　</w:t>
            </w:r>
          </w:p>
          <w:p>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rPr>
                <w:rFonts w:ascii="宋体" w:hAnsi="宋体" w:eastAsia="宋体" w:cs="宋体"/>
                <w:highlight w:val="none"/>
              </w:rPr>
            </w:pPr>
            <w:r>
              <w:rPr>
                <w:rFonts w:ascii="宋体" w:hAnsi="宋体" w:eastAsia="宋体" w:cs="宋体"/>
                <w:sz w:val="24"/>
                <w:highlight w:val="none"/>
              </w:rPr>
              <w:t>见竞争性磋商邀请函</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无论报价和磋商的过程和结果如何，供应商自行</w:t>
            </w:r>
            <w:r>
              <w:rPr>
                <w:rFonts w:hint="eastAsia" w:ascii="宋体" w:hAnsi="宋体" w:eastAsia="宋体" w:cs="宋体"/>
                <w:sz w:val="24"/>
                <w:highlight w:val="none"/>
                <w:lang w:val="en-US" w:eastAsia="zh-CN"/>
              </w:rPr>
              <w:t>承诺</w:t>
            </w:r>
            <w:r>
              <w:rPr>
                <w:rFonts w:ascii="宋体" w:hAnsi="宋体" w:eastAsia="宋体" w:cs="宋体"/>
                <w:sz w:val="24"/>
                <w:highlight w:val="none"/>
              </w:rPr>
              <w:t>承担所有与参加报价及磋商有关活动的全部费用。</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中文</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6"/>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人民币</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响应文件递交截止期后60日内有效</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highlight w:val="none"/>
              </w:rPr>
            </w:pPr>
            <w:r>
              <w:rPr>
                <w:rFonts w:ascii="宋体" w:hAnsi="宋体" w:eastAsia="宋体" w:cs="宋体"/>
                <w:sz w:val="24"/>
                <w:highlight w:val="none"/>
              </w:rPr>
              <w:t>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sz w:val="24"/>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p>
            <w:pPr>
              <w:rPr>
                <w:rFonts w:ascii="宋体" w:hAnsi="宋体" w:eastAsia="宋体" w:cs="宋体"/>
                <w:highlight w:val="none"/>
              </w:rPr>
            </w:pP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0"/>
                <w:highlight w:val="none"/>
              </w:rPr>
              <w:t>******</w:t>
            </w:r>
            <w:r>
              <w:rPr>
                <w:rFonts w:ascii="宋体" w:hAnsi="宋体" w:eastAsia="宋体" w:cs="宋体"/>
                <w:sz w:val="24"/>
                <w:highlight w:val="none"/>
              </w:rPr>
              <w:t xml:space="preserve">年 </w:t>
            </w:r>
            <w:r>
              <w:rPr>
                <w:rFonts w:ascii="宋体" w:hAnsi="宋体" w:eastAsia="宋体" w:cs="宋体"/>
                <w:sz w:val="20"/>
                <w:highlight w:val="none"/>
              </w:rPr>
              <w:t>******</w:t>
            </w:r>
            <w:r>
              <w:rPr>
                <w:rFonts w:ascii="宋体" w:hAnsi="宋体" w:eastAsia="宋体" w:cs="宋体"/>
                <w:sz w:val="24"/>
                <w:highlight w:val="none"/>
              </w:rPr>
              <w:t xml:space="preserve"> 月</w:t>
            </w:r>
            <w:r>
              <w:rPr>
                <w:rFonts w:ascii="宋体" w:hAnsi="宋体" w:eastAsia="宋体" w:cs="宋体"/>
                <w:sz w:val="20"/>
                <w:highlight w:val="none"/>
              </w:rPr>
              <w:t>******</w:t>
            </w:r>
            <w:r>
              <w:rPr>
                <w:rFonts w:ascii="宋体" w:hAnsi="宋体" w:eastAsia="宋体" w:cs="宋体"/>
                <w:sz w:val="24"/>
                <w:highlight w:val="none"/>
              </w:rPr>
              <w:t xml:space="preserve">日上午   （见磋商公告） </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sz w:val="24"/>
                <w:highlight w:val="none"/>
              </w:rPr>
            </w:pPr>
            <w:r>
              <w:rPr>
                <w:rFonts w:hint="eastAsia" w:ascii="宋体" w:hAnsi="宋体"/>
                <w:sz w:val="24"/>
                <w:highlight w:val="none"/>
              </w:rPr>
              <w:t>周口市公共资源交易中心网</w:t>
            </w:r>
          </w:p>
          <w:p>
            <w:pPr>
              <w:rPr>
                <w:rFonts w:ascii="宋体" w:hAnsi="宋体" w:cs="宋体"/>
                <w:sz w:val="24"/>
                <w:szCs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color w:val="000000"/>
                <w:highlight w:val="none"/>
              </w:rPr>
              <w:t>http://jyzx.zhoukou.gov.cn）</w:t>
            </w:r>
          </w:p>
          <w:p>
            <w:pPr>
              <w:spacing w:line="560" w:lineRule="auto"/>
              <w:rPr>
                <w:rFonts w:ascii="宋体" w:hAnsi="宋体" w:eastAsia="宋体" w:cs="宋体"/>
                <w:highlight w:val="none"/>
              </w:rPr>
            </w:pPr>
            <w:r>
              <w:rPr>
                <w:rFonts w:hint="eastAsia" w:ascii="宋体" w:hAnsi="宋体" w:eastAsia="宋体" w:cs="宋体"/>
                <w:sz w:val="24"/>
                <w:szCs w:val="24"/>
                <w:highlight w:val="none"/>
              </w:rPr>
              <w:t>（本项目实行网上远程开标无须到现场提交响应文件）</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highlight w:val="none"/>
              </w:rPr>
            </w:pPr>
            <w:r>
              <w:rPr>
                <w:rFonts w:ascii="宋体" w:hAnsi="宋体" w:eastAsia="宋体" w:cs="宋体"/>
                <w:sz w:val="20"/>
                <w:highlight w:val="none"/>
              </w:rPr>
              <w:t>******</w:t>
            </w:r>
            <w:r>
              <w:rPr>
                <w:rFonts w:ascii="宋体" w:hAnsi="宋体" w:eastAsia="宋体" w:cs="宋体"/>
                <w:sz w:val="24"/>
                <w:highlight w:val="none"/>
              </w:rPr>
              <w:t>年</w:t>
            </w:r>
            <w:r>
              <w:rPr>
                <w:rFonts w:ascii="宋体" w:hAnsi="宋体" w:eastAsia="宋体" w:cs="宋体"/>
                <w:sz w:val="20"/>
                <w:highlight w:val="none"/>
              </w:rPr>
              <w:t>******</w:t>
            </w:r>
            <w:r>
              <w:rPr>
                <w:rFonts w:ascii="宋体" w:hAnsi="宋体" w:eastAsia="宋体" w:cs="宋体"/>
                <w:sz w:val="24"/>
                <w:highlight w:val="none"/>
              </w:rPr>
              <w:t>月</w:t>
            </w:r>
            <w:r>
              <w:rPr>
                <w:rFonts w:ascii="宋体" w:hAnsi="宋体" w:eastAsia="宋体" w:cs="宋体"/>
                <w:sz w:val="20"/>
                <w:highlight w:val="none"/>
              </w:rPr>
              <w:t>******</w:t>
            </w:r>
            <w:r>
              <w:rPr>
                <w:rFonts w:ascii="宋体" w:hAnsi="宋体" w:eastAsia="宋体" w:cs="宋体"/>
                <w:sz w:val="24"/>
                <w:highlight w:val="none"/>
              </w:rPr>
              <w:t>日上午    见磋商公告</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sz w:val="24"/>
                <w:highlight w:val="none"/>
              </w:rPr>
            </w:pPr>
            <w:r>
              <w:rPr>
                <w:rFonts w:ascii="宋体" w:hAnsi="宋体" w:eastAsia="宋体" w:cs="宋体"/>
                <w:sz w:val="24"/>
                <w:highlight w:val="none"/>
              </w:rPr>
              <w:t>详见磋商文件第二章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sz w:val="24"/>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highlight w:val="none"/>
              </w:rPr>
            </w:pPr>
            <w:r>
              <w:rPr>
                <w:rFonts w:ascii="宋体" w:hAnsi="宋体" w:eastAsia="宋体" w:cs="宋体"/>
                <w:sz w:val="24"/>
                <w:highlight w:val="none"/>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sz w:val="24"/>
                <w:highlight w:val="none"/>
              </w:rPr>
            </w:pPr>
            <w:r>
              <w:rPr>
                <w:rFonts w:ascii="宋体" w:hAnsi="宋体" w:eastAsia="宋体" w:cs="宋体"/>
                <w:sz w:val="24"/>
                <w:highlight w:val="none"/>
              </w:rPr>
              <w:t>本磋商文件、响应文件及磋商、评审过程中有关澄清、承诺文件的内容，将作为签订合同的主要内容。</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highlight w:val="none"/>
              </w:rPr>
            </w:pPr>
            <w:r>
              <w:rPr>
                <w:rFonts w:ascii="宋体" w:hAnsi="宋体" w:eastAsia="宋体" w:cs="宋体"/>
                <w:sz w:val="24"/>
                <w:highlight w:val="none"/>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both"/>
              <w:rPr>
                <w:rFonts w:hint="eastAsia" w:ascii="宋体" w:hAnsi="宋体" w:eastAsia="宋体" w:cs="宋体"/>
                <w:sz w:val="24"/>
                <w:highlight w:val="none"/>
                <w:lang w:eastAsia="zh-CN"/>
              </w:rPr>
            </w:pPr>
            <w:r>
              <w:rPr>
                <w:rFonts w:hint="eastAsia" w:ascii="宋体" w:hAnsi="宋体" w:eastAsia="宋体" w:cs="宋体"/>
                <w:sz w:val="24"/>
                <w:highlight w:val="none"/>
              </w:rPr>
              <w:t>不需要缴纳投标保证金</w:t>
            </w:r>
            <w:r>
              <w:rPr>
                <w:rFonts w:hint="eastAsia" w:ascii="宋体" w:hAnsi="宋体" w:eastAsia="宋体" w:cs="宋体"/>
                <w:sz w:val="24"/>
                <w:highlight w:val="none"/>
                <w:lang w:eastAsia="zh-CN"/>
              </w:rPr>
              <w:t>。</w:t>
            </w:r>
          </w:p>
          <w:p>
            <w:pPr>
              <w:tabs>
                <w:tab w:val="left" w:pos="8640"/>
              </w:tabs>
              <w:ind w:left="-2"/>
              <w:jc w:val="both"/>
              <w:rPr>
                <w:rFonts w:ascii="宋体" w:hAnsi="宋体" w:eastAsia="宋体" w:cs="宋体"/>
                <w:sz w:val="24"/>
                <w:highlight w:val="none"/>
              </w:rPr>
            </w:pP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合同签订后20日历天</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highlight w:val="none"/>
              </w:rPr>
            </w:pPr>
            <w:r>
              <w:rPr>
                <w:rFonts w:ascii="宋体" w:hAnsi="宋体" w:eastAsia="宋体" w:cs="宋体"/>
                <w:sz w:val="24"/>
                <w:highlight w:val="none"/>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sz w:val="24"/>
                <w:highlight w:val="none"/>
                <w:lang w:eastAsia="zh-CN"/>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签订合同货到验收合格后付总金额的 9</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%，下余</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%一年后一次性付清</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highlight w:val="none"/>
              </w:rPr>
            </w:pPr>
            <w:r>
              <w:rPr>
                <w:rFonts w:ascii="宋体" w:hAnsi="宋体" w:eastAsia="宋体" w:cs="宋体"/>
                <w:sz w:val="24"/>
                <w:highlight w:val="none"/>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不组织</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56" w:beforeLines="50"/>
              <w:ind w:firstLine="14" w:firstLineChars="6"/>
              <w:jc w:val="center"/>
              <w:rPr>
                <w:rFonts w:ascii="宋体" w:hAnsi="宋体" w:eastAsia="宋体" w:cs="宋体"/>
                <w:color w:val="FF0000"/>
                <w:highlight w:val="none"/>
              </w:rPr>
            </w:pPr>
            <w:r>
              <w:rPr>
                <w:rFonts w:hint="eastAsia" w:ascii="宋体" w:hAnsi="宋体" w:cs="宋体"/>
                <w:b/>
                <w:bCs/>
                <w:sz w:val="24"/>
                <w:highlight w:val="none"/>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color w:val="FF0000"/>
                <w:highlight w:val="none"/>
              </w:rPr>
            </w:pPr>
            <w:r>
              <w:rPr>
                <w:rFonts w:hint="eastAsia" w:ascii="宋体" w:hAnsi="宋体" w:cs="宋体"/>
                <w:b/>
                <w:bCs/>
                <w:sz w:val="24"/>
                <w:highlight w:val="none"/>
              </w:rPr>
              <w:t>一次报价</w:t>
            </w:r>
          </w:p>
        </w:tc>
      </w:tr>
    </w:tbl>
    <w:p>
      <w:pPr>
        <w:tabs>
          <w:tab w:val="left" w:pos="0"/>
          <w:tab w:val="left" w:pos="993"/>
          <w:tab w:val="left" w:pos="1134"/>
        </w:tabs>
        <w:rPr>
          <w:rFonts w:ascii="宋体" w:hAnsi="宋体" w:eastAsia="宋体" w:cs="宋体"/>
          <w:b/>
          <w:sz w:val="24"/>
          <w:highlight w:val="none"/>
        </w:rPr>
      </w:pPr>
    </w:p>
    <w:p>
      <w:pPr>
        <w:spacing w:line="720" w:lineRule="auto"/>
        <w:jc w:val="center"/>
        <w:rPr>
          <w:rFonts w:ascii="宋体" w:hAnsi="宋体" w:eastAsia="宋体" w:cs="宋体"/>
          <w:b/>
          <w:sz w:val="24"/>
          <w:highlight w:val="none"/>
        </w:rPr>
      </w:pPr>
    </w:p>
    <w:p>
      <w:pPr>
        <w:spacing w:line="720" w:lineRule="auto"/>
        <w:rPr>
          <w:rFonts w:ascii="宋体" w:hAnsi="宋体" w:eastAsia="宋体" w:cs="宋体"/>
          <w:b/>
          <w:sz w:val="24"/>
          <w:highlight w:val="none"/>
        </w:rPr>
      </w:pPr>
    </w:p>
    <w:p>
      <w:pPr>
        <w:pStyle w:val="21"/>
        <w:ind w:firstLine="210"/>
        <w:rPr>
          <w:highlight w:val="none"/>
        </w:rPr>
      </w:pPr>
    </w:p>
    <w:p>
      <w:pPr>
        <w:pStyle w:val="21"/>
        <w:ind w:firstLine="210"/>
        <w:rPr>
          <w:rFonts w:hint="eastAsia"/>
          <w:highlight w:val="none"/>
        </w:rPr>
      </w:pPr>
    </w:p>
    <w:p>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pPr>
        <w:spacing w:line="560" w:lineRule="auto"/>
        <w:ind w:firstLine="482"/>
        <w:rPr>
          <w:rFonts w:ascii="宋体" w:hAnsi="宋体" w:eastAsia="宋体" w:cs="宋体"/>
          <w:sz w:val="24"/>
          <w:highlight w:val="none"/>
        </w:rPr>
      </w:pPr>
      <w:r>
        <w:rPr>
          <w:rFonts w:ascii="宋体" w:hAnsi="宋体" w:eastAsia="宋体" w:cs="宋体"/>
          <w:b/>
          <w:sz w:val="24"/>
          <w:highlight w:val="none"/>
        </w:rPr>
        <w:t>1．适用范围</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2．定义</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pPr>
        <w:tabs>
          <w:tab w:val="left" w:pos="0"/>
        </w:tabs>
        <w:spacing w:line="560" w:lineRule="auto"/>
        <w:ind w:firstLine="480"/>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Times New Roman" w:hAnsi="Times New Roman" w:eastAsia="宋体" w:cs="Times New Roman"/>
          <w:sz w:val="24"/>
          <w:highlight w:val="none"/>
          <w:u w:val="none"/>
          <w:lang w:eastAsia="zh-CN"/>
        </w:rPr>
        <w:t>项城市范集镇卫生院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注：单位负责人为同一人或者存在直接控股、管理关系的不同供应商，不得参加同一合同项下的政府采购活</w:t>
      </w:r>
      <w:r>
        <w:rPr>
          <w:rFonts w:hint="eastAsia" w:ascii="宋体" w:hAnsi="宋体" w:eastAsia="宋体" w:cs="宋体"/>
          <w:sz w:val="24"/>
          <w:highlight w:val="none"/>
        </w:rPr>
        <w:t>动，并提供承诺，否则视为无效响应。</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pPr>
        <w:tabs>
          <w:tab w:val="left" w:pos="0"/>
          <w:tab w:val="left" w:pos="993"/>
          <w:tab w:val="left" w:pos="1134"/>
        </w:tabs>
        <w:ind w:firstLine="480"/>
        <w:rPr>
          <w:rFonts w:ascii="宋体" w:hAnsi="宋体" w:eastAsia="宋体" w:cs="宋体"/>
          <w:sz w:val="24"/>
          <w:highlight w:val="none"/>
        </w:rPr>
      </w:pPr>
    </w:p>
    <w:p>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pPr>
        <w:pStyle w:val="21"/>
        <w:ind w:firstLine="210"/>
        <w:rPr>
          <w:highlight w:val="none"/>
        </w:rPr>
      </w:pPr>
    </w:p>
    <w:p>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pPr>
        <w:rPr>
          <w:rFonts w:ascii="宋体" w:hAnsi="宋体" w:eastAsia="宋体" w:cs="宋体"/>
          <w:sz w:val="24"/>
          <w:highlight w:val="none"/>
        </w:rPr>
      </w:pPr>
    </w:p>
    <w:tbl>
      <w:tblPr>
        <w:tblStyle w:val="17"/>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2"/>
                <w:highlight w:val="none"/>
              </w:rPr>
            </w:pP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2"/>
                <w:highlight w:val="none"/>
              </w:rPr>
            </w:pP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pPr>
        <w:rPr>
          <w:rFonts w:ascii="宋体" w:hAnsi="宋体" w:eastAsia="宋体" w:cs="宋体"/>
          <w:sz w:val="24"/>
          <w:highlight w:val="none"/>
        </w:rPr>
      </w:pPr>
    </w:p>
    <w:p>
      <w:pPr>
        <w:rPr>
          <w:rFonts w:ascii="宋体" w:hAnsi="宋体" w:eastAsia="宋体" w:cs="宋体"/>
          <w:sz w:val="24"/>
          <w:highlight w:val="none"/>
        </w:rPr>
      </w:pP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pPr>
        <w:spacing w:line="560" w:lineRule="exact"/>
        <w:ind w:firstLine="480" w:firstLineChars="200"/>
        <w:rPr>
          <w:rFonts w:ascii="宋体" w:hAnsi="宋体" w:eastAsia="宋体" w:cs="宋体"/>
          <w:sz w:val="24"/>
          <w:highlight w:val="none"/>
          <w:lang w:val="zh-CN"/>
        </w:rPr>
      </w:pPr>
      <w:r>
        <w:rPr>
          <w:rFonts w:hint="eastAsia" w:ascii="宋体" w:hAnsi="宋体" w:eastAsia="宋体" w:cs="宋体"/>
          <w:sz w:val="24"/>
          <w:highlight w:val="none"/>
          <w:lang w:val="zh-CN"/>
        </w:rPr>
        <w:t>一次报价依据</w:t>
      </w:r>
      <w:r>
        <w:rPr>
          <w:rFonts w:hint="eastAsia" w:ascii="宋体" w:hAnsi="宋体" w:eastAsia="宋体" w:cs="宋体"/>
          <w:sz w:val="24"/>
          <w:highlight w:val="none"/>
        </w:rPr>
        <w:t>是</w:t>
      </w:r>
      <w:r>
        <w:rPr>
          <w:rFonts w:hint="eastAsia" w:ascii="宋体" w:hAnsi="宋体" w:eastAsia="宋体" w:cs="宋体"/>
          <w:sz w:val="24"/>
          <w:highlight w:val="none"/>
          <w:lang w:val="zh-CN"/>
        </w:rPr>
        <w:t>供应商的投标函和开标记</w:t>
      </w:r>
      <w:r>
        <w:rPr>
          <w:rFonts w:hint="eastAsia" w:ascii="宋体" w:hAnsi="宋体" w:cs="宋体"/>
          <w:color w:val="auto"/>
          <w:sz w:val="24"/>
          <w:highlight w:val="none"/>
          <w:lang w:val="zh-CN"/>
        </w:rPr>
        <w:t>录表</w:t>
      </w:r>
      <w:r>
        <w:rPr>
          <w:rFonts w:hint="eastAsia" w:ascii="宋体" w:hAnsi="宋体" w:eastAsia="宋体" w:cs="宋体"/>
          <w:sz w:val="24"/>
          <w:highlight w:val="none"/>
          <w:lang w:val="zh-CN"/>
        </w:rPr>
        <w:t>。</w:t>
      </w:r>
    </w:p>
    <w:p>
      <w:pPr>
        <w:spacing w:line="560" w:lineRule="auto"/>
        <w:rPr>
          <w:rFonts w:ascii="宋体" w:hAnsi="宋体" w:eastAsia="宋体" w:cs="宋体"/>
          <w:b/>
          <w:sz w:val="24"/>
          <w:highlight w:val="none"/>
        </w:rPr>
      </w:pPr>
    </w:p>
    <w:p>
      <w:pPr>
        <w:spacing w:line="720" w:lineRule="auto"/>
        <w:jc w:val="center"/>
        <w:rPr>
          <w:rFonts w:ascii="宋体" w:hAnsi="宋体" w:eastAsia="宋体" w:cs="宋体"/>
          <w:b/>
          <w:sz w:val="24"/>
          <w:highlight w:val="none"/>
        </w:rPr>
      </w:pPr>
      <w:r>
        <w:rPr>
          <w:rFonts w:ascii="宋体" w:hAnsi="宋体" w:eastAsia="宋体" w:cs="宋体"/>
          <w:b/>
          <w:sz w:val="24"/>
          <w:highlight w:val="none"/>
        </w:rPr>
        <w:t>六、评定标准</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p>
      <w:pPr>
        <w:tabs>
          <w:tab w:val="left" w:pos="0"/>
          <w:tab w:val="left" w:pos="993"/>
          <w:tab w:val="left" w:pos="1134"/>
        </w:tabs>
        <w:ind w:firstLine="480"/>
        <w:rPr>
          <w:rFonts w:ascii="宋体" w:hAnsi="宋体" w:eastAsia="宋体" w:cs="宋体"/>
          <w:sz w:val="24"/>
          <w:highlight w:val="none"/>
        </w:rPr>
      </w:pPr>
    </w:p>
    <w:tbl>
      <w:tblPr>
        <w:tblStyle w:val="17"/>
        <w:tblW w:w="5099" w:type="pct"/>
        <w:tblInd w:w="-173"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1386"/>
        <w:gridCol w:w="1502"/>
        <w:gridCol w:w="5803"/>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7" w:hRule="atLeast"/>
        </w:trPr>
        <w:tc>
          <w:tcPr>
            <w:tcW w:w="797" w:type="pct"/>
            <w:tcBorders>
              <w:top w:val="single" w:color="auto" w:sz="4" w:space="0"/>
              <w:bottom w:val="single" w:color="auto" w:sz="4" w:space="0"/>
            </w:tcBorders>
            <w:vAlign w:val="center"/>
          </w:tcPr>
          <w:p>
            <w:pPr>
              <w:spacing w:line="360" w:lineRule="auto"/>
              <w:rPr>
                <w:rFonts w:hint="eastAsia" w:ascii="宋体" w:hAnsi="宋体" w:eastAsia="宋体" w:cs="宋体"/>
                <w:color w:val="auto"/>
                <w:sz w:val="24"/>
                <w:szCs w:val="24"/>
              </w:rPr>
            </w:pPr>
            <w:bookmarkStart w:id="0" w:name="_Toc265756570"/>
            <w:bookmarkStart w:id="1" w:name="_Toc378503943"/>
            <w:r>
              <w:rPr>
                <w:rFonts w:hint="eastAsia" w:ascii="宋体" w:hAnsi="宋体" w:eastAsia="宋体" w:cs="宋体"/>
                <w:color w:val="auto"/>
                <w:sz w:val="24"/>
                <w:szCs w:val="24"/>
              </w:rPr>
              <w:t>投标报价</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分）</w:t>
            </w:r>
          </w:p>
        </w:tc>
        <w:tc>
          <w:tcPr>
            <w:tcW w:w="864" w:type="pct"/>
            <w:tcBorders>
              <w:top w:val="single" w:color="auto" w:sz="4" w:space="0"/>
              <w:bottom w:val="single" w:color="auto" w:sz="4" w:space="0"/>
            </w:tcBorders>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报价分（</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分）</w:t>
            </w:r>
          </w:p>
        </w:tc>
        <w:tc>
          <w:tcPr>
            <w:tcW w:w="3338" w:type="pct"/>
            <w:tcBorders>
              <w:top w:val="single" w:color="auto" w:sz="4" w:space="0"/>
              <w:bottom w:val="single" w:color="auto" w:sz="4" w:space="0"/>
            </w:tcBorders>
            <w:vAlign w:val="top"/>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1）价格分采用低价优先法计算，即通过资格性和符合性审查且投标价格最低的投标报价为评标基准价，其价格得分为满分</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分。</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2）其他投标人的价格分统一按照下列公式计算：</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投标报价得分=(评标基准价／投标报价)×</w:t>
            </w:r>
            <w:r>
              <w:rPr>
                <w:rFonts w:hint="eastAsia" w:ascii="宋体" w:hAnsi="宋体" w:eastAsia="宋体" w:cs="宋体"/>
                <w:color w:val="auto"/>
                <w:sz w:val="24"/>
                <w:szCs w:val="24"/>
                <w:lang w:val="en-US" w:eastAsia="zh-CN"/>
              </w:rPr>
              <w:t>30</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备注：价格分计算保留小数点后二位。</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根据财政部、工信部关于印发《政府采购促进中小企业发展管理办法》的通知（财库〔2020〕46号 ）文件规定：</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（1）对小微企业报价给予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%扣除，请按照《政府采购促进中小企业发展管理办法》要求提供中小企业声明函。</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（2）关于监狱企业：视同小微企业。须提供由省级以上监狱管理局、戒毒管理局（含新疆生产建设兵团）出具的属于监狱企业的证明文件，否则不考虑价格扣除。</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7" w:hRule="atLeast"/>
        </w:trPr>
        <w:tc>
          <w:tcPr>
            <w:tcW w:w="797" w:type="pct"/>
            <w:vMerge w:val="restart"/>
            <w:tcBorders>
              <w:top w:val="single" w:color="auto" w:sz="4" w:space="0"/>
            </w:tcBorders>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技术部分</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50</w:t>
            </w:r>
            <w:r>
              <w:rPr>
                <w:rFonts w:hint="eastAsia" w:ascii="宋体" w:hAnsi="宋体" w:eastAsia="宋体" w:cs="宋体"/>
                <w:color w:val="auto"/>
                <w:sz w:val="24"/>
                <w:szCs w:val="24"/>
              </w:rPr>
              <w:t>分）</w:t>
            </w:r>
          </w:p>
        </w:tc>
        <w:tc>
          <w:tcPr>
            <w:tcW w:w="864" w:type="pct"/>
            <w:tcBorders>
              <w:top w:val="single" w:color="auto" w:sz="4" w:space="0"/>
            </w:tcBorders>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技术参数响应情况（</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分）</w:t>
            </w:r>
          </w:p>
        </w:tc>
        <w:tc>
          <w:tcPr>
            <w:tcW w:w="3338" w:type="pct"/>
            <w:tcBorders>
              <w:top w:val="single" w:color="auto" w:sz="4" w:space="0"/>
              <w:bottom w:val="single" w:color="auto" w:sz="4" w:space="0"/>
            </w:tcBorders>
            <w:vAlign w:val="top"/>
          </w:tcPr>
          <w:p>
            <w:pPr>
              <w:bidi w:val="0"/>
              <w:spacing w:line="360" w:lineRule="auto"/>
              <w:rPr>
                <w:rFonts w:hint="eastAsia"/>
                <w:sz w:val="24"/>
                <w:szCs w:val="22"/>
                <w:highlight w:val="none"/>
              </w:rPr>
            </w:pPr>
            <w:r>
              <w:rPr>
                <w:rFonts w:hint="eastAsia"/>
                <w:sz w:val="24"/>
                <w:szCs w:val="22"/>
                <w:highlight w:val="none"/>
                <w:lang w:val="en-US" w:eastAsia="zh-CN"/>
              </w:rPr>
              <w:t>1、</w:t>
            </w:r>
            <w:r>
              <w:rPr>
                <w:rFonts w:hint="eastAsia"/>
                <w:sz w:val="24"/>
                <w:szCs w:val="22"/>
                <w:highlight w:val="none"/>
              </w:rPr>
              <w:t>投标货物技术性能及产品功能全部满足招标文件要求得基本分</w:t>
            </w:r>
            <w:r>
              <w:rPr>
                <w:rFonts w:hint="eastAsia"/>
                <w:sz w:val="24"/>
                <w:szCs w:val="22"/>
                <w:highlight w:val="none"/>
                <w:lang w:val="en-US" w:eastAsia="zh-CN"/>
              </w:rPr>
              <w:t>30</w:t>
            </w:r>
            <w:r>
              <w:rPr>
                <w:rFonts w:hint="eastAsia"/>
                <w:sz w:val="24"/>
                <w:szCs w:val="22"/>
                <w:highlight w:val="none"/>
              </w:rPr>
              <w:t>分。</w:t>
            </w:r>
          </w:p>
          <w:p>
            <w:pPr>
              <w:bidi w:val="0"/>
              <w:spacing w:line="360" w:lineRule="auto"/>
              <w:rPr>
                <w:rFonts w:hint="eastAsia"/>
                <w:sz w:val="24"/>
                <w:szCs w:val="22"/>
                <w:highlight w:val="none"/>
              </w:rPr>
            </w:pPr>
            <w:r>
              <w:rPr>
                <w:rFonts w:hint="eastAsia"/>
                <w:sz w:val="24"/>
                <w:szCs w:val="22"/>
                <w:highlight w:val="none"/>
                <w:lang w:val="en-US" w:eastAsia="zh-CN"/>
              </w:rPr>
              <w:t>2、</w:t>
            </w:r>
            <w:r>
              <w:rPr>
                <w:rFonts w:hint="eastAsia"/>
                <w:sz w:val="24"/>
                <w:szCs w:val="22"/>
                <w:highlight w:val="none"/>
              </w:rPr>
              <w:t>招标文件参数序号前有</w:t>
            </w:r>
            <w:r>
              <w:rPr>
                <w:rFonts w:hint="eastAsia" w:ascii="宋体" w:hAnsi="宋体" w:eastAsia="宋体" w:cs="宋体"/>
                <w:i w:val="0"/>
                <w:iCs w:val="0"/>
                <w:color w:val="000000"/>
                <w:kern w:val="0"/>
                <w:sz w:val="24"/>
                <w:szCs w:val="24"/>
                <w:highlight w:val="none"/>
                <w:u w:val="none"/>
                <w:lang w:val="en-US" w:eastAsia="zh-CN" w:bidi="ar"/>
              </w:rPr>
              <w:t>★</w:t>
            </w:r>
            <w:r>
              <w:rPr>
                <w:rFonts w:hint="eastAsia"/>
                <w:sz w:val="24"/>
                <w:szCs w:val="22"/>
                <w:highlight w:val="none"/>
              </w:rPr>
              <w:t>重点标注的，投标人每负偏离一处扣</w:t>
            </w:r>
            <w:r>
              <w:rPr>
                <w:rFonts w:hint="eastAsia"/>
                <w:sz w:val="24"/>
                <w:szCs w:val="22"/>
                <w:highlight w:val="none"/>
                <w:lang w:val="en-US" w:eastAsia="zh-CN"/>
              </w:rPr>
              <w:t>2</w:t>
            </w:r>
            <w:r>
              <w:rPr>
                <w:rFonts w:hint="eastAsia"/>
                <w:sz w:val="24"/>
                <w:szCs w:val="22"/>
                <w:highlight w:val="none"/>
              </w:rPr>
              <w:t>分，其他常规参数有负偏离的每处扣</w:t>
            </w:r>
            <w:r>
              <w:rPr>
                <w:rFonts w:hint="eastAsia"/>
                <w:sz w:val="24"/>
                <w:szCs w:val="22"/>
                <w:highlight w:val="none"/>
                <w:lang w:val="en-US" w:eastAsia="zh-CN"/>
              </w:rPr>
              <w:t>1</w:t>
            </w:r>
            <w:r>
              <w:rPr>
                <w:rFonts w:hint="eastAsia"/>
                <w:sz w:val="24"/>
                <w:szCs w:val="22"/>
                <w:highlight w:val="none"/>
              </w:rPr>
              <w:t>分</w:t>
            </w:r>
            <w:r>
              <w:rPr>
                <w:rFonts w:hint="eastAsia"/>
                <w:sz w:val="24"/>
                <w:szCs w:val="22"/>
                <w:highlight w:val="none"/>
                <w:lang w:eastAsia="zh-CN"/>
              </w:rPr>
              <w:t>，</w:t>
            </w:r>
            <w:r>
              <w:rPr>
                <w:rFonts w:hint="eastAsia"/>
                <w:sz w:val="24"/>
                <w:szCs w:val="22"/>
                <w:highlight w:val="none"/>
              </w:rPr>
              <w:t>扣完为止。</w:t>
            </w:r>
          </w:p>
          <w:p>
            <w:pPr>
              <w:spacing w:line="360" w:lineRule="auto"/>
              <w:rPr>
                <w:rFonts w:hint="eastAsia" w:ascii="宋体" w:hAnsi="宋体" w:eastAsia="宋体" w:cs="宋体"/>
                <w:color w:val="auto"/>
                <w:sz w:val="24"/>
                <w:szCs w:val="24"/>
              </w:rPr>
            </w:pPr>
            <w:r>
              <w:rPr>
                <w:rFonts w:hint="eastAsia"/>
                <w:sz w:val="24"/>
                <w:szCs w:val="22"/>
                <w:highlight w:val="none"/>
                <w:lang w:val="en-US" w:eastAsia="zh-CN"/>
              </w:rPr>
              <w:t>备注</w:t>
            </w:r>
            <w:r>
              <w:rPr>
                <w:rFonts w:hint="eastAsia"/>
                <w:sz w:val="24"/>
                <w:szCs w:val="22"/>
                <w:highlight w:val="none"/>
              </w:rPr>
              <w:t>：带</w:t>
            </w:r>
            <w:r>
              <w:rPr>
                <w:rFonts w:hint="eastAsia" w:ascii="宋体" w:hAnsi="宋体" w:eastAsia="宋体" w:cs="宋体"/>
                <w:i w:val="0"/>
                <w:iCs w:val="0"/>
                <w:color w:val="000000"/>
                <w:kern w:val="0"/>
                <w:sz w:val="24"/>
                <w:szCs w:val="24"/>
                <w:highlight w:val="none"/>
                <w:u w:val="none"/>
                <w:lang w:val="en-US" w:eastAsia="zh-CN" w:bidi="ar"/>
              </w:rPr>
              <w:t>★</w:t>
            </w:r>
            <w:r>
              <w:rPr>
                <w:rFonts w:hint="eastAsia"/>
                <w:sz w:val="24"/>
                <w:szCs w:val="22"/>
                <w:highlight w:val="none"/>
              </w:rPr>
              <w:t>参数必须提供证明材料</w:t>
            </w:r>
            <w:r>
              <w:rPr>
                <w:rFonts w:hint="eastAsia"/>
                <w:sz w:val="24"/>
                <w:szCs w:val="22"/>
                <w:highlight w:val="none"/>
                <w:lang w:eastAsia="zh-CN"/>
              </w:rPr>
              <w:t>，</w:t>
            </w:r>
            <w:r>
              <w:rPr>
                <w:rFonts w:hint="eastAsia"/>
                <w:sz w:val="24"/>
                <w:szCs w:val="22"/>
                <w:highlight w:val="none"/>
              </w:rPr>
              <w:t>所投设备技术参数证明材料（检验报告或技术白皮书</w:t>
            </w:r>
            <w:r>
              <w:rPr>
                <w:rFonts w:hint="eastAsia"/>
                <w:sz w:val="24"/>
                <w:szCs w:val="22"/>
                <w:highlight w:val="none"/>
                <w:lang w:val="en-US" w:eastAsia="zh-CN"/>
              </w:rPr>
              <w:t>或使用说明书或彩页</w:t>
            </w:r>
            <w:r>
              <w:rPr>
                <w:rFonts w:hint="eastAsia"/>
                <w:sz w:val="24"/>
                <w:szCs w:val="22"/>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7" w:hRule="atLeast"/>
        </w:trPr>
        <w:tc>
          <w:tcPr>
            <w:tcW w:w="797" w:type="pct"/>
            <w:vMerge w:val="continue"/>
            <w:vAlign w:val="center"/>
          </w:tcPr>
          <w:p>
            <w:pPr>
              <w:spacing w:line="360" w:lineRule="auto"/>
              <w:rPr>
                <w:rFonts w:hint="eastAsia" w:ascii="宋体" w:hAnsi="宋体" w:eastAsia="宋体" w:cs="宋体"/>
                <w:color w:val="auto"/>
                <w:sz w:val="24"/>
                <w:szCs w:val="24"/>
              </w:rPr>
            </w:pPr>
          </w:p>
        </w:tc>
        <w:tc>
          <w:tcPr>
            <w:tcW w:w="864" w:type="pct"/>
            <w:tcBorders>
              <w:top w:val="single" w:color="auto" w:sz="4" w:space="0"/>
            </w:tcBorders>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项目实施方案</w:t>
            </w:r>
          </w:p>
          <w:p>
            <w:pPr>
              <w:spacing w:line="360" w:lineRule="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分）</w:t>
            </w:r>
          </w:p>
        </w:tc>
        <w:tc>
          <w:tcPr>
            <w:tcW w:w="3338" w:type="pct"/>
            <w:tcBorders>
              <w:top w:val="single" w:color="auto" w:sz="4" w:space="0"/>
              <w:bottom w:val="single" w:color="auto" w:sz="4" w:space="0"/>
            </w:tcBorders>
            <w:vAlign w:val="top"/>
          </w:tcPr>
          <w:p>
            <w:pPr>
              <w:numPr>
                <w:ilvl w:val="0"/>
                <w:numId w:val="0"/>
              </w:numPr>
              <w:spacing w:line="360" w:lineRule="auto"/>
              <w:ind w:left="425" w:leftChars="0" w:hanging="425" w:firstLineChars="0"/>
              <w:rPr>
                <w:rFonts w:hint="eastAsia" w:ascii="宋体" w:hAnsi="宋体" w:eastAsia="宋体" w:cs="宋体"/>
                <w:color w:val="auto"/>
                <w:sz w:val="24"/>
                <w:szCs w:val="24"/>
              </w:rPr>
            </w:pPr>
            <w:r>
              <w:rPr>
                <w:rFonts w:hint="default" w:ascii="宋体" w:hAnsi="宋体" w:eastAsia="宋体" w:cs="宋体"/>
                <w:color w:val="auto"/>
                <w:sz w:val="24"/>
                <w:szCs w:val="24"/>
                <w:lang w:val="en-US" w:eastAsia="zh-CN" w:bidi="ar-SA"/>
              </w:rPr>
              <w:t>1.</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总体实施方案</w:t>
            </w:r>
            <w:r>
              <w:rPr>
                <w:rFonts w:hint="eastAsia" w:ascii="宋体" w:hAnsi="宋体" w:eastAsia="宋体" w:cs="宋体"/>
                <w:color w:val="auto"/>
                <w:sz w:val="24"/>
                <w:szCs w:val="24"/>
                <w:lang w:val="en-US" w:eastAsia="zh-CN"/>
              </w:rPr>
              <w:t>的得4分，没有不得分。</w:t>
            </w:r>
          </w:p>
          <w:p>
            <w:pPr>
              <w:numPr>
                <w:ilvl w:val="0"/>
                <w:numId w:val="0"/>
              </w:numPr>
              <w:spacing w:line="360" w:lineRule="auto"/>
              <w:ind w:left="425" w:leftChars="0" w:hanging="425" w:firstLineChars="0"/>
              <w:rPr>
                <w:rFonts w:hint="eastAsia" w:ascii="宋体" w:hAnsi="宋体" w:eastAsia="宋体" w:cs="宋体"/>
                <w:color w:val="auto"/>
                <w:sz w:val="24"/>
                <w:szCs w:val="24"/>
              </w:rPr>
            </w:pPr>
            <w:r>
              <w:rPr>
                <w:rFonts w:hint="default" w:ascii="宋体" w:hAnsi="宋体" w:eastAsia="宋体" w:cs="宋体"/>
                <w:color w:val="auto"/>
                <w:sz w:val="24"/>
                <w:szCs w:val="24"/>
                <w:lang w:val="en-US" w:eastAsia="zh-CN" w:bidi="ar-SA"/>
              </w:rPr>
              <w:t>2.</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质量管理体系制度</w:t>
            </w:r>
            <w:r>
              <w:rPr>
                <w:rFonts w:hint="eastAsia" w:ascii="宋体" w:hAnsi="宋体" w:eastAsia="宋体" w:cs="宋体"/>
                <w:color w:val="auto"/>
                <w:sz w:val="24"/>
                <w:szCs w:val="24"/>
                <w:lang w:val="en-US" w:eastAsia="zh-CN"/>
              </w:rPr>
              <w:t>的得4分，没有不得分。</w:t>
            </w:r>
          </w:p>
          <w:p>
            <w:pPr>
              <w:numPr>
                <w:ilvl w:val="0"/>
                <w:numId w:val="0"/>
              </w:numPr>
              <w:spacing w:line="360" w:lineRule="auto"/>
              <w:ind w:left="425" w:leftChars="0" w:hanging="425" w:firstLineChars="0"/>
              <w:rPr>
                <w:rFonts w:hint="eastAsia" w:ascii="宋体" w:hAnsi="宋体" w:eastAsia="宋体" w:cs="宋体"/>
                <w:color w:val="auto"/>
                <w:sz w:val="24"/>
                <w:szCs w:val="24"/>
              </w:rPr>
            </w:pPr>
            <w:r>
              <w:rPr>
                <w:rFonts w:hint="default" w:ascii="宋体" w:hAnsi="宋体" w:eastAsia="宋体" w:cs="宋体"/>
                <w:color w:val="auto"/>
                <w:sz w:val="24"/>
                <w:szCs w:val="24"/>
                <w:lang w:val="en-US" w:eastAsia="zh-CN" w:bidi="ar-SA"/>
              </w:rPr>
              <w:t>3.</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风险防控及相应措施</w:t>
            </w:r>
            <w:r>
              <w:rPr>
                <w:rFonts w:hint="eastAsia" w:ascii="宋体" w:hAnsi="宋体" w:eastAsia="宋体" w:cs="宋体"/>
                <w:color w:val="auto"/>
                <w:sz w:val="24"/>
                <w:szCs w:val="24"/>
                <w:lang w:val="en-US" w:eastAsia="zh-CN"/>
              </w:rPr>
              <w:t>的得4分，没有不得分。</w:t>
            </w:r>
          </w:p>
          <w:p>
            <w:pPr>
              <w:numPr>
                <w:ilvl w:val="0"/>
                <w:numId w:val="0"/>
              </w:numPr>
              <w:spacing w:line="360" w:lineRule="auto"/>
              <w:ind w:left="425" w:leftChars="0" w:hanging="425" w:firstLineChars="0"/>
              <w:rPr>
                <w:rFonts w:hint="eastAsia" w:ascii="宋体" w:hAnsi="宋体" w:eastAsia="宋体" w:cs="宋体"/>
                <w:color w:val="auto"/>
                <w:sz w:val="24"/>
                <w:szCs w:val="24"/>
              </w:rPr>
            </w:pPr>
            <w:r>
              <w:rPr>
                <w:rFonts w:hint="default" w:ascii="宋体" w:hAnsi="宋体" w:eastAsia="宋体" w:cs="宋体"/>
                <w:color w:val="auto"/>
                <w:sz w:val="24"/>
                <w:szCs w:val="24"/>
                <w:lang w:val="en-US" w:eastAsia="zh-CN" w:bidi="ar-SA"/>
              </w:rPr>
              <w:t>4.</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配送方案</w:t>
            </w:r>
            <w:r>
              <w:rPr>
                <w:rFonts w:hint="eastAsia" w:ascii="宋体" w:hAnsi="宋体" w:eastAsia="宋体" w:cs="宋体"/>
                <w:color w:val="auto"/>
                <w:sz w:val="24"/>
                <w:szCs w:val="24"/>
                <w:lang w:val="en-US" w:eastAsia="zh-CN"/>
              </w:rPr>
              <w:t>的得4分，没有不得分。</w:t>
            </w:r>
          </w:p>
          <w:p>
            <w:pPr>
              <w:numPr>
                <w:ilvl w:val="0"/>
                <w:numId w:val="0"/>
              </w:numPr>
              <w:spacing w:line="360" w:lineRule="auto"/>
              <w:ind w:left="5" w:leftChars="0" w:hanging="5" w:firstLineChars="0"/>
              <w:rPr>
                <w:rFonts w:hint="eastAsia" w:ascii="宋体" w:hAnsi="宋体" w:eastAsia="宋体" w:cs="宋体"/>
                <w:color w:val="auto"/>
                <w:sz w:val="24"/>
                <w:szCs w:val="24"/>
                <w:lang w:val="en-US" w:eastAsia="zh-CN" w:bidi="ar-SA"/>
              </w:rPr>
            </w:pPr>
            <w:r>
              <w:rPr>
                <w:rFonts w:hint="default" w:ascii="宋体" w:hAnsi="宋体" w:eastAsia="宋体" w:cs="宋体"/>
                <w:color w:val="auto"/>
                <w:sz w:val="24"/>
                <w:szCs w:val="24"/>
                <w:lang w:val="en-US" w:eastAsia="zh-CN" w:bidi="ar-SA"/>
              </w:rPr>
              <w:t>5.</w:t>
            </w:r>
            <w:r>
              <w:rPr>
                <w:rFonts w:hint="eastAsia" w:ascii="宋体" w:hAnsi="宋体" w:eastAsia="宋体" w:cs="宋体"/>
                <w:color w:val="auto"/>
                <w:sz w:val="24"/>
                <w:szCs w:val="24"/>
                <w:lang w:val="en-US" w:eastAsia="zh-CN"/>
              </w:rPr>
              <w:t>提供</w:t>
            </w:r>
            <w:r>
              <w:rPr>
                <w:rFonts w:hint="eastAsia" w:ascii="宋体" w:hAnsi="宋体" w:eastAsia="宋体" w:cs="宋体"/>
                <w:color w:val="auto"/>
                <w:sz w:val="24"/>
                <w:szCs w:val="24"/>
              </w:rPr>
              <w:t>针对本项目的突发事件处理方案</w:t>
            </w:r>
            <w:r>
              <w:rPr>
                <w:rFonts w:hint="eastAsia" w:ascii="宋体" w:hAnsi="宋体" w:eastAsia="宋体" w:cs="宋体"/>
                <w:color w:val="auto"/>
                <w:sz w:val="24"/>
                <w:szCs w:val="24"/>
                <w:lang w:val="en-US" w:eastAsia="zh-CN"/>
              </w:rPr>
              <w:t>的得4分，没有不得分。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25" w:hRule="atLeast"/>
        </w:trPr>
        <w:tc>
          <w:tcPr>
            <w:tcW w:w="797" w:type="pct"/>
            <w:vMerge w:val="restart"/>
            <w:tcBorders>
              <w:top w:val="single" w:color="auto" w:sz="4" w:space="0"/>
            </w:tcBorders>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商务部分</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分）</w:t>
            </w:r>
          </w:p>
        </w:tc>
        <w:tc>
          <w:tcPr>
            <w:tcW w:w="864" w:type="pct"/>
            <w:tcBorders>
              <w:top w:val="single" w:color="auto" w:sz="4" w:space="0"/>
              <w:bottom w:val="single" w:color="auto" w:sz="4" w:space="0"/>
            </w:tcBorders>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设备安装、培训方案</w:t>
            </w:r>
          </w:p>
          <w:p>
            <w:pPr>
              <w:spacing w:line="360" w:lineRule="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tc>
        <w:tc>
          <w:tcPr>
            <w:tcW w:w="3338" w:type="pct"/>
            <w:tcBorders>
              <w:top w:val="single" w:color="auto" w:sz="4" w:space="0"/>
            </w:tcBorders>
            <w:vAlign w:val="center"/>
          </w:tcPr>
          <w:p>
            <w:pPr>
              <w:spacing w:line="360" w:lineRule="auto"/>
              <w:rPr>
                <w:rFonts w:hint="default" w:ascii="宋体" w:hAnsi="宋体" w:eastAsia="宋体" w:cs="宋体"/>
                <w:color w:val="auto"/>
                <w:sz w:val="24"/>
                <w:szCs w:val="24"/>
                <w:lang w:val="en-US" w:eastAsia="zh-CN" w:bidi="ar-SA"/>
              </w:rPr>
            </w:pPr>
            <w:r>
              <w:rPr>
                <w:rFonts w:hint="eastAsia" w:ascii="宋体" w:hAnsi="宋体" w:eastAsia="宋体" w:cs="宋体"/>
                <w:color w:val="auto"/>
                <w:sz w:val="24"/>
                <w:szCs w:val="24"/>
                <w:lang w:eastAsia="zh-CN"/>
              </w:rPr>
              <w:t>供应商提供设备安装</w:t>
            </w:r>
            <w:r>
              <w:rPr>
                <w:rFonts w:hint="eastAsia" w:ascii="宋体" w:hAnsi="宋体" w:eastAsia="宋体" w:cs="宋体"/>
                <w:color w:val="auto"/>
                <w:sz w:val="24"/>
                <w:szCs w:val="24"/>
              </w:rPr>
              <w:t>、培训</w:t>
            </w:r>
            <w:r>
              <w:rPr>
                <w:rFonts w:hint="eastAsia" w:ascii="宋体" w:hAnsi="宋体" w:eastAsia="宋体" w:cs="宋体"/>
                <w:color w:val="auto"/>
                <w:sz w:val="24"/>
                <w:szCs w:val="24"/>
                <w:lang w:eastAsia="zh-CN"/>
              </w:rPr>
              <w:t>方案</w:t>
            </w:r>
            <w:r>
              <w:rPr>
                <w:rFonts w:hint="eastAsia" w:ascii="宋体" w:hAnsi="宋体" w:eastAsia="宋体" w:cs="宋体"/>
                <w:color w:val="auto"/>
                <w:sz w:val="24"/>
                <w:szCs w:val="24"/>
                <w:lang w:val="en-US" w:eastAsia="zh-CN"/>
              </w:rPr>
              <w:t>的得3分，不提供不得分。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7" w:hRule="atLeast"/>
        </w:trPr>
        <w:tc>
          <w:tcPr>
            <w:tcW w:w="797" w:type="pct"/>
            <w:vMerge w:val="continue"/>
            <w:vAlign w:val="center"/>
          </w:tcPr>
          <w:p>
            <w:pPr>
              <w:spacing w:line="360" w:lineRule="auto"/>
              <w:rPr>
                <w:rFonts w:hint="eastAsia" w:ascii="宋体" w:hAnsi="宋体" w:eastAsia="宋体" w:cs="宋体"/>
                <w:color w:val="auto"/>
                <w:sz w:val="24"/>
                <w:szCs w:val="24"/>
              </w:rPr>
            </w:pPr>
          </w:p>
        </w:tc>
        <w:tc>
          <w:tcPr>
            <w:tcW w:w="864" w:type="pct"/>
            <w:tcBorders>
              <w:top w:val="single" w:color="auto" w:sz="4" w:space="0"/>
              <w:bottom w:val="single" w:color="auto" w:sz="4" w:space="0"/>
            </w:tcBorders>
            <w:vAlign w:val="center"/>
          </w:tcPr>
          <w:p>
            <w:pPr>
              <w:spacing w:line="360" w:lineRule="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售后服务方案（</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分）</w:t>
            </w:r>
          </w:p>
        </w:tc>
        <w:tc>
          <w:tcPr>
            <w:tcW w:w="3338" w:type="pct"/>
            <w:tcBorders>
              <w:top w:val="single" w:color="auto" w:sz="4" w:space="0"/>
              <w:bottom w:val="single" w:color="auto" w:sz="4" w:space="0"/>
            </w:tcBorders>
            <w:vAlign w:val="center"/>
          </w:tcPr>
          <w:p>
            <w:pPr>
              <w:spacing w:line="360" w:lineRule="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rPr>
              <w:t>提供售后服务方案（包括但不限于：提供质量保证期（保修期）承诺、售后服务机构网点及联系方式 、售后人员到达现场的时间及维修恢复时间、售后服务措施）的得9分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缺项或不提供不得分。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7" w:hRule="atLeast"/>
        </w:trPr>
        <w:tc>
          <w:tcPr>
            <w:tcW w:w="797" w:type="pct"/>
            <w:vMerge w:val="continue"/>
            <w:vAlign w:val="center"/>
          </w:tcPr>
          <w:p>
            <w:pPr>
              <w:spacing w:line="360" w:lineRule="auto"/>
              <w:rPr>
                <w:rFonts w:hint="eastAsia" w:ascii="宋体" w:hAnsi="宋体" w:eastAsia="宋体" w:cs="宋体"/>
                <w:color w:val="auto"/>
                <w:sz w:val="24"/>
                <w:szCs w:val="24"/>
              </w:rPr>
            </w:pPr>
          </w:p>
        </w:tc>
        <w:tc>
          <w:tcPr>
            <w:tcW w:w="864" w:type="pct"/>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类似业绩</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cs="宋体" w:eastAsiaTheme="minorEastAsia"/>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（5分）</w:t>
            </w:r>
          </w:p>
        </w:tc>
        <w:tc>
          <w:tcPr>
            <w:tcW w:w="3338" w:type="pct"/>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cs="宋体" w:eastAsiaTheme="minorEastAsia"/>
                <w:color w:val="auto"/>
                <w:kern w:val="2"/>
                <w:sz w:val="24"/>
                <w:szCs w:val="24"/>
                <w:highlight w:val="none"/>
                <w:lang w:val="en-US" w:eastAsia="en-US" w:bidi="ar-SA"/>
              </w:rPr>
            </w:pPr>
            <w:r>
              <w:rPr>
                <w:rFonts w:hint="eastAsia" w:ascii="宋体" w:hAnsi="宋体" w:cs="宋体"/>
                <w:color w:val="auto"/>
                <w:kern w:val="2"/>
                <w:sz w:val="24"/>
                <w:szCs w:val="24"/>
                <w:highlight w:val="none"/>
                <w:lang w:val="en-US" w:eastAsia="en-US" w:bidi="ar-SA"/>
              </w:rPr>
              <w:t>20</w:t>
            </w:r>
            <w:r>
              <w:rPr>
                <w:rFonts w:hint="eastAsia" w:ascii="宋体" w:hAnsi="宋体" w:cs="宋体"/>
                <w:color w:val="auto"/>
                <w:kern w:val="2"/>
                <w:sz w:val="24"/>
                <w:szCs w:val="24"/>
                <w:highlight w:val="none"/>
                <w:lang w:val="en-US" w:eastAsia="zh-CN" w:bidi="ar-SA"/>
              </w:rPr>
              <w:t>22</w:t>
            </w:r>
            <w:r>
              <w:rPr>
                <w:rFonts w:hint="eastAsia" w:ascii="宋体" w:hAnsi="宋体" w:cs="宋体"/>
                <w:color w:val="auto"/>
                <w:kern w:val="2"/>
                <w:sz w:val="24"/>
                <w:szCs w:val="24"/>
                <w:highlight w:val="none"/>
                <w:lang w:val="en-US" w:eastAsia="en-US" w:bidi="ar-SA"/>
              </w:rPr>
              <w:t>年</w:t>
            </w:r>
            <w:r>
              <w:rPr>
                <w:rFonts w:hint="eastAsia" w:ascii="宋体" w:hAnsi="宋体" w:cs="宋体"/>
                <w:color w:val="auto"/>
                <w:kern w:val="2"/>
                <w:sz w:val="24"/>
                <w:szCs w:val="24"/>
                <w:highlight w:val="none"/>
                <w:lang w:val="en-US" w:eastAsia="zh-CN" w:bidi="ar-SA"/>
              </w:rPr>
              <w:t>1月1日</w:t>
            </w:r>
            <w:r>
              <w:rPr>
                <w:rFonts w:hint="eastAsia" w:ascii="宋体" w:hAnsi="宋体" w:cs="宋体"/>
                <w:color w:val="auto"/>
                <w:kern w:val="2"/>
                <w:sz w:val="24"/>
                <w:szCs w:val="24"/>
                <w:highlight w:val="none"/>
                <w:lang w:val="en-US" w:eastAsia="en-US" w:bidi="ar-SA"/>
              </w:rPr>
              <w:t>至今</w:t>
            </w:r>
            <w:r>
              <w:rPr>
                <w:rFonts w:hint="eastAsia" w:ascii="宋体" w:hAnsi="宋体" w:cs="宋体"/>
                <w:color w:val="auto"/>
                <w:kern w:val="2"/>
                <w:sz w:val="24"/>
                <w:szCs w:val="24"/>
                <w:highlight w:val="none"/>
                <w:lang w:val="en-US" w:eastAsia="zh-CN" w:bidi="ar-SA"/>
              </w:rPr>
              <w:t>，供应商或生产厂家</w:t>
            </w:r>
            <w:r>
              <w:rPr>
                <w:rFonts w:hint="eastAsia" w:ascii="宋体" w:hAnsi="宋体" w:cs="宋体"/>
                <w:color w:val="auto"/>
                <w:kern w:val="2"/>
                <w:sz w:val="24"/>
                <w:szCs w:val="24"/>
                <w:highlight w:val="none"/>
                <w:lang w:val="en-US" w:eastAsia="en-US" w:bidi="ar-SA"/>
              </w:rPr>
              <w:t>每</w:t>
            </w:r>
            <w:r>
              <w:rPr>
                <w:rFonts w:hint="eastAsia" w:ascii="宋体" w:hAnsi="宋体" w:cs="宋体"/>
                <w:color w:val="auto"/>
                <w:kern w:val="2"/>
                <w:sz w:val="24"/>
                <w:szCs w:val="24"/>
                <w:highlight w:val="none"/>
                <w:lang w:val="en-US" w:eastAsia="zh-CN" w:bidi="ar-SA"/>
              </w:rPr>
              <w:t>提供</w:t>
            </w:r>
            <w:r>
              <w:rPr>
                <w:rFonts w:hint="eastAsia" w:ascii="宋体" w:hAnsi="宋体" w:cs="宋体"/>
                <w:color w:val="auto"/>
                <w:kern w:val="2"/>
                <w:sz w:val="24"/>
                <w:szCs w:val="24"/>
                <w:highlight w:val="none"/>
                <w:lang w:val="en-US" w:eastAsia="en-US" w:bidi="ar-SA"/>
              </w:rPr>
              <w:t>一项类似项目业绩</w:t>
            </w:r>
            <w:r>
              <w:rPr>
                <w:rFonts w:hint="eastAsia" w:ascii="宋体" w:hAnsi="宋体" w:cs="宋体"/>
                <w:color w:val="auto"/>
                <w:kern w:val="2"/>
                <w:sz w:val="24"/>
                <w:szCs w:val="24"/>
                <w:highlight w:val="none"/>
                <w:lang w:val="en-US" w:eastAsia="zh-CN" w:bidi="ar-SA"/>
              </w:rPr>
              <w:t>的</w:t>
            </w:r>
            <w:r>
              <w:rPr>
                <w:rFonts w:hint="eastAsia" w:ascii="宋体" w:hAnsi="宋体" w:cs="宋体"/>
                <w:color w:val="auto"/>
                <w:kern w:val="2"/>
                <w:sz w:val="24"/>
                <w:szCs w:val="24"/>
                <w:highlight w:val="none"/>
                <w:lang w:val="en-US" w:eastAsia="en-US" w:bidi="ar-SA"/>
              </w:rPr>
              <w:t>得</w:t>
            </w:r>
            <w:r>
              <w:rPr>
                <w:rFonts w:hint="eastAsia" w:ascii="宋体" w:hAnsi="宋体" w:cs="宋体"/>
                <w:color w:val="auto"/>
                <w:kern w:val="2"/>
                <w:sz w:val="24"/>
                <w:szCs w:val="24"/>
                <w:highlight w:val="none"/>
                <w:lang w:val="en-US" w:eastAsia="zh-CN" w:bidi="ar-SA"/>
              </w:rPr>
              <w:t>2.5</w:t>
            </w:r>
            <w:r>
              <w:rPr>
                <w:rFonts w:hint="eastAsia" w:ascii="宋体" w:hAnsi="宋体" w:cs="宋体"/>
                <w:color w:val="auto"/>
                <w:kern w:val="2"/>
                <w:sz w:val="24"/>
                <w:szCs w:val="24"/>
                <w:highlight w:val="none"/>
                <w:lang w:val="en-US" w:eastAsia="en-US" w:bidi="ar-SA"/>
              </w:rPr>
              <w:t>分，最高得</w:t>
            </w:r>
            <w:r>
              <w:rPr>
                <w:rFonts w:hint="eastAsia" w:ascii="宋体" w:hAnsi="宋体" w:cs="宋体"/>
                <w:color w:val="auto"/>
                <w:kern w:val="2"/>
                <w:sz w:val="24"/>
                <w:szCs w:val="24"/>
                <w:highlight w:val="none"/>
                <w:lang w:val="en-US" w:eastAsia="zh-CN" w:bidi="ar-SA"/>
              </w:rPr>
              <w:t>5</w:t>
            </w:r>
            <w:r>
              <w:rPr>
                <w:rFonts w:hint="eastAsia" w:ascii="宋体" w:hAnsi="宋体" w:cs="宋体"/>
                <w:color w:val="auto"/>
                <w:kern w:val="2"/>
                <w:sz w:val="24"/>
                <w:szCs w:val="24"/>
                <w:highlight w:val="none"/>
                <w:lang w:val="en-US" w:eastAsia="en-US" w:bidi="ar-SA"/>
              </w:rPr>
              <w:t>分。</w:t>
            </w:r>
            <w:r>
              <w:rPr>
                <w:rFonts w:hint="eastAsia" w:ascii="宋体" w:hAnsi="宋体" w:cs="宋体"/>
                <w:color w:val="auto"/>
                <w:kern w:val="2"/>
                <w:sz w:val="24"/>
                <w:szCs w:val="24"/>
                <w:highlight w:val="none"/>
                <w:lang w:val="en-US" w:eastAsia="zh-CN" w:bidi="ar-SA"/>
              </w:rPr>
              <w:t>（须附合同协议书）</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7" w:hRule="atLeast"/>
        </w:trPr>
        <w:tc>
          <w:tcPr>
            <w:tcW w:w="797" w:type="pct"/>
            <w:vMerge w:val="continue"/>
            <w:vAlign w:val="center"/>
          </w:tcPr>
          <w:p>
            <w:pPr>
              <w:spacing w:line="360" w:lineRule="auto"/>
              <w:rPr>
                <w:rFonts w:hint="eastAsia" w:ascii="宋体" w:hAnsi="宋体" w:eastAsia="宋体" w:cs="宋体"/>
                <w:color w:val="auto"/>
                <w:sz w:val="24"/>
                <w:szCs w:val="24"/>
              </w:rPr>
            </w:pPr>
          </w:p>
        </w:tc>
        <w:tc>
          <w:tcPr>
            <w:tcW w:w="864" w:type="pct"/>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质保期承诺（3分）</w:t>
            </w:r>
          </w:p>
        </w:tc>
        <w:tc>
          <w:tcPr>
            <w:tcW w:w="3338" w:type="pct"/>
            <w:tcBorders>
              <w:top w:val="single" w:color="auto" w:sz="4" w:space="0"/>
              <w:bottom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宋体" w:hAnsi="宋体" w:cs="宋体" w:eastAsiaTheme="minorEastAsia"/>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所投产品的质保期每增加1年的得1.5分，</w:t>
            </w:r>
            <w:r>
              <w:rPr>
                <w:rFonts w:hint="eastAsia" w:ascii="宋体" w:hAnsi="宋体" w:cs="宋体"/>
                <w:color w:val="auto"/>
                <w:kern w:val="2"/>
                <w:sz w:val="24"/>
                <w:szCs w:val="24"/>
                <w:highlight w:val="none"/>
                <w:lang w:val="en-US" w:eastAsia="en-US" w:bidi="ar-SA"/>
              </w:rPr>
              <w:t>最高得</w:t>
            </w:r>
            <w:r>
              <w:rPr>
                <w:rFonts w:hint="eastAsia" w:ascii="宋体" w:hAnsi="宋体" w:cs="宋体"/>
                <w:color w:val="auto"/>
                <w:kern w:val="2"/>
                <w:sz w:val="24"/>
                <w:szCs w:val="24"/>
                <w:highlight w:val="none"/>
                <w:lang w:val="en-US" w:eastAsia="zh-CN" w:bidi="ar-SA"/>
              </w:rPr>
              <w:t>3</w:t>
            </w:r>
            <w:r>
              <w:rPr>
                <w:rFonts w:hint="eastAsia" w:ascii="宋体" w:hAnsi="宋体" w:cs="宋体"/>
                <w:color w:val="auto"/>
                <w:kern w:val="2"/>
                <w:sz w:val="24"/>
                <w:szCs w:val="24"/>
                <w:highlight w:val="none"/>
                <w:lang w:val="en-US" w:eastAsia="en-US" w:bidi="ar-SA"/>
              </w:rPr>
              <w:t>分。</w:t>
            </w:r>
          </w:p>
        </w:tc>
      </w:tr>
      <w:bookmarkEnd w:id="0"/>
      <w:bookmarkEnd w:id="1"/>
    </w:tbl>
    <w:p>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24.1在发出成交公告后请采购人、中标人登录周口市公共资源交易中心网（http://jyzx.zhoukou.gov.cn）自行下载成交通知书，成交通知书将作为签订合同的依据。</w:t>
      </w:r>
    </w:p>
    <w:p>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rPr>
          <w:rFonts w:ascii="宋体" w:hAnsi="宋体" w:eastAsia="宋体" w:cs="宋体"/>
          <w:b/>
          <w:sz w:val="24"/>
          <w:highlight w:val="none"/>
        </w:rPr>
      </w:pPr>
      <w:r>
        <w:rPr>
          <w:rFonts w:ascii="宋体" w:hAnsi="宋体" w:eastAsia="宋体" w:cs="宋体"/>
          <w:b/>
          <w:sz w:val="24"/>
          <w:highlight w:val="none"/>
        </w:rPr>
        <w:br w:type="page"/>
      </w:r>
    </w:p>
    <w:p>
      <w:pPr>
        <w:jc w:val="center"/>
        <w:rPr>
          <w:rFonts w:ascii="宋体" w:hAnsi="宋体" w:eastAsia="宋体" w:cs="宋体"/>
          <w:b/>
          <w:sz w:val="24"/>
          <w:highlight w:val="none"/>
        </w:rPr>
      </w:pPr>
      <w:r>
        <w:rPr>
          <w:rFonts w:ascii="宋体" w:hAnsi="宋体" w:eastAsia="宋体" w:cs="宋体"/>
          <w:b/>
          <w:sz w:val="24"/>
          <w:highlight w:val="none"/>
        </w:rPr>
        <w:t>第三章 采购项目内容及要求</w:t>
      </w:r>
    </w:p>
    <w:p>
      <w:pPr>
        <w:numPr>
          <w:ilvl w:val="0"/>
          <w:numId w:val="0"/>
        </w:numPr>
        <w:spacing w:line="480" w:lineRule="auto"/>
        <w:rPr>
          <w:rFonts w:hint="eastAsia" w:asciiTheme="minorEastAsia" w:hAnsiTheme="minorEastAsia" w:eastAsiaTheme="minorEastAsia" w:cstheme="minorEastAsia"/>
          <w:b/>
          <w:bCs/>
          <w:kern w:val="2"/>
          <w:sz w:val="28"/>
          <w:szCs w:val="28"/>
          <w:highlight w:val="none"/>
          <w:lang w:val="en-US" w:eastAsia="zh-CN" w:bidi="ar-SA"/>
        </w:rPr>
      </w:pPr>
      <w:r>
        <w:rPr>
          <w:rFonts w:hint="eastAsia" w:asciiTheme="minorEastAsia" w:hAnsiTheme="minorEastAsia" w:eastAsiaTheme="minorEastAsia" w:cstheme="minorEastAsia"/>
          <w:bCs/>
          <w:sz w:val="24"/>
          <w:szCs w:val="24"/>
          <w:highlight w:val="none"/>
        </w:rPr>
        <w:t>（</w:t>
      </w:r>
      <w:r>
        <w:rPr>
          <w:rFonts w:hint="eastAsia" w:asciiTheme="minorEastAsia" w:hAnsiTheme="minorEastAsia" w:cstheme="minorEastAsia"/>
          <w:bCs/>
          <w:sz w:val="24"/>
          <w:szCs w:val="24"/>
          <w:highlight w:val="none"/>
          <w:lang w:val="en-US" w:eastAsia="zh-CN"/>
        </w:rPr>
        <w:t>1</w:t>
      </w:r>
      <w:r>
        <w:rPr>
          <w:rFonts w:hint="eastAsia" w:asciiTheme="minorEastAsia" w:hAnsiTheme="minorEastAsia" w:eastAsiaTheme="minorEastAsia" w:cstheme="minorEastAsia"/>
          <w:bCs/>
          <w:sz w:val="24"/>
          <w:szCs w:val="24"/>
          <w:highlight w:val="none"/>
        </w:rPr>
        <w:t>）</w:t>
      </w:r>
      <w:r>
        <w:rPr>
          <w:rFonts w:ascii="宋体" w:hAnsi="宋体" w:eastAsia="宋体" w:cs="宋体"/>
          <w:sz w:val="24"/>
          <w:highlight w:val="none"/>
        </w:rPr>
        <w:t>本项目采购内容：</w:t>
      </w:r>
    </w:p>
    <w:p>
      <w:pPr>
        <w:spacing w:line="400" w:lineRule="exact"/>
        <w:jc w:val="center"/>
        <w:rPr>
          <w:rFonts w:ascii="微软雅黑" w:hAnsi="微软雅黑" w:eastAsia="微软雅黑"/>
          <w:b/>
          <w:sz w:val="28"/>
          <w:szCs w:val="21"/>
        </w:rPr>
      </w:pPr>
      <w:r>
        <w:rPr>
          <w:rFonts w:hint="eastAsia" w:ascii="微软雅黑" w:hAnsi="微软雅黑" w:eastAsia="微软雅黑"/>
          <w:b/>
          <w:sz w:val="28"/>
          <w:szCs w:val="21"/>
        </w:rPr>
        <w:t>彩色多普勒超声诊断仪技术规格及要求</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801"/>
        <w:gridCol w:w="6732"/>
        <w:gridCol w:w="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400" w:lineRule="exact"/>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序号</w:t>
            </w:r>
          </w:p>
        </w:tc>
        <w:tc>
          <w:tcPr>
            <w:tcW w:w="0" w:type="auto"/>
          </w:tcPr>
          <w:p>
            <w:pPr>
              <w:spacing w:line="400" w:lineRule="exact"/>
              <w:jc w:val="center"/>
              <w:rPr>
                <w:rFonts w:hint="eastAsia" w:ascii="宋体" w:hAnsi="宋体" w:eastAsia="宋体" w:cs="宋体"/>
                <w:b w:val="0"/>
                <w:bCs/>
                <w:sz w:val="24"/>
                <w:szCs w:val="24"/>
              </w:rPr>
            </w:pPr>
            <w:r>
              <w:rPr>
                <w:rFonts w:hint="eastAsia" w:ascii="宋体" w:hAnsi="宋体" w:eastAsia="宋体" w:cs="宋体"/>
                <w:b w:val="0"/>
                <w:bCs/>
                <w:sz w:val="24"/>
                <w:szCs w:val="24"/>
              </w:rPr>
              <w:t>设备名称</w:t>
            </w:r>
          </w:p>
        </w:tc>
        <w:tc>
          <w:tcPr>
            <w:tcW w:w="0" w:type="auto"/>
            <w:vAlign w:val="center"/>
          </w:tcPr>
          <w:p>
            <w:pPr>
              <w:spacing w:line="400" w:lineRule="exact"/>
              <w:jc w:val="center"/>
              <w:rPr>
                <w:rFonts w:hint="eastAsia" w:ascii="宋体" w:hAnsi="宋体" w:eastAsia="宋体" w:cs="宋体"/>
                <w:b w:val="0"/>
                <w:bCs/>
                <w:sz w:val="24"/>
                <w:szCs w:val="24"/>
              </w:rPr>
            </w:pPr>
            <w:r>
              <w:rPr>
                <w:rFonts w:hint="eastAsia" w:ascii="宋体" w:hAnsi="宋体" w:eastAsia="宋体" w:cs="宋体"/>
                <w:b w:val="0"/>
                <w:bCs/>
                <w:sz w:val="24"/>
                <w:szCs w:val="24"/>
              </w:rPr>
              <w:t>技术规格</w:t>
            </w:r>
          </w:p>
        </w:tc>
        <w:tc>
          <w:tcPr>
            <w:tcW w:w="0" w:type="auto"/>
          </w:tcPr>
          <w:p>
            <w:pPr>
              <w:spacing w:line="400" w:lineRule="exact"/>
              <w:jc w:val="center"/>
              <w:rPr>
                <w:rFonts w:ascii="微软雅黑" w:hAnsi="微软雅黑" w:eastAsia="微软雅黑"/>
                <w:b w:val="0"/>
                <w:bCs/>
                <w:szCs w:val="21"/>
                <w:vertAlign w:val="baseline"/>
              </w:rPr>
            </w:pPr>
            <w:r>
              <w:rPr>
                <w:rFonts w:hint="eastAsia" w:ascii="宋体" w:hAnsi="宋体" w:eastAsia="宋体" w:cs="宋体"/>
                <w:b w:val="0"/>
                <w:bCs/>
                <w:sz w:val="24"/>
                <w:szCs w:val="24"/>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400" w:lineRule="exact"/>
              <w:jc w:val="center"/>
              <w:rPr>
                <w:rFonts w:hint="eastAsia" w:ascii="微软雅黑" w:hAnsi="微软雅黑" w:eastAsia="微软雅黑"/>
                <w:b/>
                <w:szCs w:val="21"/>
                <w:vertAlign w:val="baseline"/>
                <w:lang w:val="en-US" w:eastAsia="zh-CN"/>
              </w:rPr>
            </w:pPr>
            <w:r>
              <w:rPr>
                <w:rFonts w:hint="eastAsia" w:ascii="宋体" w:hAnsi="宋体" w:eastAsia="宋体" w:cs="宋体"/>
                <w:sz w:val="24"/>
                <w:szCs w:val="24"/>
              </w:rPr>
              <w:t>1</w:t>
            </w:r>
          </w:p>
        </w:tc>
        <w:tc>
          <w:tcPr>
            <w:tcW w:w="0" w:type="auto"/>
          </w:tcPr>
          <w:p>
            <w:pPr>
              <w:spacing w:line="400" w:lineRule="exact"/>
              <w:jc w:val="center"/>
              <w:rPr>
                <w:rFonts w:ascii="微软雅黑" w:hAnsi="微软雅黑" w:eastAsia="微软雅黑"/>
                <w:b/>
                <w:szCs w:val="21"/>
                <w:vertAlign w:val="baseline"/>
              </w:rPr>
            </w:pPr>
            <w:r>
              <w:rPr>
                <w:rFonts w:hint="eastAsia" w:ascii="宋体" w:hAnsi="宋体" w:eastAsia="宋体" w:cs="宋体"/>
                <w:sz w:val="24"/>
                <w:szCs w:val="24"/>
              </w:rPr>
              <w:t>彩色多普勒超声诊断仪</w:t>
            </w:r>
          </w:p>
        </w:tc>
        <w:tc>
          <w:tcPr>
            <w:tcW w:w="0" w:type="auto"/>
          </w:tcPr>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line="360" w:lineRule="auto"/>
              <w:ind w:right="986" w:firstLine="482"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rPr>
              <w:t>1、设备名称：彩色多普勒超声诊断仪</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line="360" w:lineRule="auto"/>
              <w:ind w:right="77" w:rightChars="0" w:firstLine="482"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2、用途说明：腹部、产科、妇科、心脏、小器官、泌尿、血管、儿科、急诊、神经、其它</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before="0" w:line="360" w:lineRule="auto"/>
              <w:ind w:right="986" w:firstLine="482"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3、系统技术规格及概述：</w:t>
            </w:r>
          </w:p>
          <w:p>
            <w:pPr>
              <w:pStyle w:val="3"/>
              <w:pageBreakBefore w:val="0"/>
              <w:widowControl w:val="0"/>
              <w:numPr>
                <w:ilvl w:val="1"/>
                <w:numId w:val="0"/>
              </w:numPr>
              <w:kinsoku/>
              <w:wordWrap/>
              <w:overflowPunct/>
              <w:topLinePunct w:val="0"/>
              <w:bidi w:val="0"/>
              <w:adjustRightInd w:val="0"/>
              <w:snapToGrid w:val="0"/>
              <w:spacing w:before="0" w:line="240" w:lineRule="auto"/>
              <w:ind w:left="0" w:leftChars="0" w:right="0" w:firstLine="482"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3.1主机成像系统</w:t>
            </w:r>
          </w:p>
          <w:p>
            <w:pPr>
              <w:pStyle w:val="27"/>
              <w:pageBreakBefore w:val="0"/>
              <w:widowControl w:val="0"/>
              <w:numPr>
                <w:ilvl w:val="0"/>
                <w:numId w:val="25"/>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0"/>
                <w:numId w:val="25"/>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0"/>
                <w:numId w:val="25"/>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25"/>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3.1.1高分辨率液晶显示器≥21英寸，分辨率1920×1080，双翼全景支撑臂，具备显示器锁定装置。</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3.1.2操作面板具备液晶触摸屏≥13英寸，触摸屏可独立调节角度。</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3.1.3</w:t>
            </w:r>
            <w:r>
              <w:rPr>
                <w:rFonts w:hint="eastAsia" w:ascii="宋体" w:hAnsi="宋体" w:eastAsia="宋体" w:cs="宋体"/>
                <w:sz w:val="24"/>
                <w:szCs w:val="24"/>
                <w:lang w:eastAsia="zh-CN"/>
              </w:rPr>
              <w:t>★</w:t>
            </w:r>
            <w:r>
              <w:rPr>
                <w:rFonts w:hint="eastAsia" w:ascii="宋体" w:hAnsi="宋体" w:eastAsia="宋体" w:cs="宋体"/>
                <w:sz w:val="24"/>
                <w:szCs w:val="24"/>
              </w:rPr>
              <w:t>可通过手指滑动触摸屏进行翻页，可将显示器上的超声图像投影到触摸屏上，通过手指进行放大，描迹测量等操作。可自定义手势操作功能。</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3.1.4控制面板可独立旋转和升降</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bookmarkStart w:id="2" w:name="_Hlk55316383"/>
            <w:r>
              <w:rPr>
                <w:rFonts w:hint="eastAsia" w:ascii="宋体" w:hAnsi="宋体" w:eastAsia="宋体" w:cs="宋体"/>
                <w:sz w:val="24"/>
                <w:szCs w:val="24"/>
              </w:rPr>
              <w:t>3.1.5探头接口≥4个，全激活、相互通用</w:t>
            </w:r>
            <w:bookmarkEnd w:id="2"/>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3.1.6二维灰阶成像及M型成像单元</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3.1.7彩色多普勒成像及彩色多普勒能量成像单元</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3.1.8频谱多普勒成像及连续波多普勒成像单元</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w:t>
            </w:r>
            <w:r>
              <w:rPr>
                <w:rFonts w:hint="eastAsia" w:ascii="宋体" w:hAnsi="宋体" w:eastAsia="宋体" w:cs="宋体"/>
                <w:b w:val="0"/>
                <w:bCs w:val="0"/>
                <w:sz w:val="24"/>
                <w:szCs w:val="24"/>
              </w:rPr>
              <w:t>.9应变式弹性成像</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支持探头：浅表探头、腔内探头</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弹性成像图谱≥5种可选。</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弹性模式具有压力操作提示图标。</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具备组织硬度定量分析软件，具备多种比值分析，柱状图分析。</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具备肿块周边组织弹性定量分析功能。</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具备定量测量映射分析，即在组织图测量时弹性图同步测量。</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3.1.10实时宽景成像单元（支持凸阵，线阵及容积探头），具备彩色能量宽景，扫描速度提示，</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3.1.11智能单键优化：通过一键操作迅速优化多种参数，自动优化图像，可对血管检查自动获取最佳偏转角度及取样容积大小，角度。</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3.1.12图像放大：具备局部放大和全屏放大两种模式。全屏放大具备≥2种放大模式</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3.1.13斑点噪声抑制成像，在二维图像，造影成像模式及三维成像下可具备。</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3.1.14扩展成像（可支持凸阵、线阵、腔内探头、容积探头）</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3.1.15</w:t>
            </w:r>
            <w:r>
              <w:rPr>
                <w:rFonts w:hint="eastAsia" w:ascii="宋体" w:hAnsi="宋体" w:eastAsia="宋体" w:cs="宋体"/>
                <w:sz w:val="24"/>
                <w:szCs w:val="24"/>
                <w:lang w:eastAsia="zh-CN"/>
              </w:rPr>
              <w:t>★</w:t>
            </w:r>
            <w:r>
              <w:rPr>
                <w:rFonts w:hint="eastAsia" w:ascii="宋体" w:hAnsi="宋体" w:eastAsia="宋体" w:cs="宋体"/>
                <w:sz w:val="24"/>
                <w:szCs w:val="24"/>
              </w:rPr>
              <w:t>血管跟踪技术，一键实时自动优化Color/Power及PW频谱图像、Color/Power框的位置和角度、PW取样门的位置、角度和大小等。</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3.1.16解剖M型 ≥2条取样线，可360度任意旋转M型取样线角度方便准确的进行测量</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3.1.17多语言操作界面，英语，中文（包括键盘输入、注释、操作面板等）</w:t>
            </w:r>
          </w:p>
          <w:p>
            <w:pPr>
              <w:pStyle w:val="27"/>
              <w:keepNext/>
              <w:keepLines/>
              <w:pageBreakBefore w:val="0"/>
              <w:widowControl w:val="0"/>
              <w:numPr>
                <w:ilvl w:val="1"/>
                <w:numId w:val="26"/>
              </w:numPr>
              <w:kinsoku/>
              <w:wordWrap/>
              <w:overflowPunct/>
              <w:topLinePunct w:val="0"/>
              <w:bidi w:val="0"/>
              <w:adjustRightInd w:val="0"/>
              <w:snapToGrid w:val="0"/>
              <w:spacing w:line="360" w:lineRule="auto"/>
              <w:ind w:left="0" w:leftChars="0" w:right="0" w:firstLine="482" w:firstLineChars="200"/>
              <w:textAlignment w:val="auto"/>
              <w:outlineLvl w:val="1"/>
              <w:rPr>
                <w:rFonts w:hint="eastAsia" w:ascii="宋体" w:hAnsi="宋体" w:eastAsia="宋体" w:cs="宋体"/>
                <w:b/>
                <w:bCs/>
                <w:vanish/>
                <w:sz w:val="24"/>
                <w:szCs w:val="24"/>
              </w:rPr>
            </w:pPr>
          </w:p>
          <w:p>
            <w:pPr>
              <w:pStyle w:val="3"/>
              <w:pageBreakBefore w:val="0"/>
              <w:widowControl w:val="0"/>
              <w:numPr>
                <w:ilvl w:val="1"/>
                <w:numId w:val="0"/>
              </w:numPr>
              <w:kinsoku/>
              <w:wordWrap/>
              <w:overflowPunct/>
              <w:topLinePunct w:val="0"/>
              <w:bidi w:val="0"/>
              <w:adjustRightInd w:val="0"/>
              <w:snapToGrid w:val="0"/>
              <w:spacing w:before="0" w:line="360" w:lineRule="auto"/>
              <w:ind w:left="0" w:leftChars="0" w:right="0"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4、测量/分析和报告</w:t>
            </w:r>
          </w:p>
          <w:p>
            <w:pPr>
              <w:pStyle w:val="27"/>
              <w:keepNext/>
              <w:keepLines/>
              <w:pageBreakBefore w:val="0"/>
              <w:widowControl w:val="0"/>
              <w:numPr>
                <w:ilvl w:val="0"/>
                <w:numId w:val="27"/>
              </w:numPr>
              <w:kinsoku/>
              <w:wordWrap/>
              <w:overflowPunct/>
              <w:topLinePunct w:val="0"/>
              <w:bidi w:val="0"/>
              <w:adjustRightInd w:val="0"/>
              <w:snapToGrid w:val="0"/>
              <w:spacing w:line="360" w:lineRule="auto"/>
              <w:ind w:left="0" w:leftChars="0" w:right="0" w:firstLine="482" w:firstLineChars="200"/>
              <w:textAlignment w:val="auto"/>
              <w:outlineLvl w:val="1"/>
              <w:rPr>
                <w:rFonts w:hint="eastAsia" w:ascii="宋体" w:hAnsi="宋体" w:eastAsia="宋体" w:cs="宋体"/>
                <w:b/>
                <w:bCs/>
                <w:vanish/>
                <w:sz w:val="24"/>
                <w:szCs w:val="24"/>
              </w:rPr>
            </w:pPr>
          </w:p>
          <w:p>
            <w:pPr>
              <w:pStyle w:val="27"/>
              <w:keepNext/>
              <w:keepLines/>
              <w:pageBreakBefore w:val="0"/>
              <w:widowControl w:val="0"/>
              <w:numPr>
                <w:ilvl w:val="0"/>
                <w:numId w:val="27"/>
              </w:numPr>
              <w:kinsoku/>
              <w:wordWrap/>
              <w:overflowPunct/>
              <w:topLinePunct w:val="0"/>
              <w:bidi w:val="0"/>
              <w:adjustRightInd w:val="0"/>
              <w:snapToGrid w:val="0"/>
              <w:spacing w:line="360" w:lineRule="auto"/>
              <w:ind w:left="0" w:leftChars="0" w:right="0" w:firstLine="482" w:firstLineChars="200"/>
              <w:textAlignment w:val="auto"/>
              <w:outlineLvl w:val="1"/>
              <w:rPr>
                <w:rFonts w:hint="eastAsia" w:ascii="宋体" w:hAnsi="宋体" w:eastAsia="宋体" w:cs="宋体"/>
                <w:b/>
                <w:bCs/>
                <w:vanish/>
                <w:sz w:val="24"/>
                <w:szCs w:val="24"/>
              </w:rPr>
            </w:pPr>
          </w:p>
          <w:p>
            <w:pPr>
              <w:pStyle w:val="27"/>
              <w:keepNext/>
              <w:keepLines/>
              <w:pageBreakBefore w:val="0"/>
              <w:widowControl w:val="0"/>
              <w:numPr>
                <w:ilvl w:val="0"/>
                <w:numId w:val="27"/>
              </w:numPr>
              <w:kinsoku/>
              <w:wordWrap/>
              <w:overflowPunct/>
              <w:topLinePunct w:val="0"/>
              <w:bidi w:val="0"/>
              <w:adjustRightInd w:val="0"/>
              <w:snapToGrid w:val="0"/>
              <w:spacing w:line="360" w:lineRule="auto"/>
              <w:ind w:left="0" w:leftChars="0" w:right="0" w:firstLine="482" w:firstLineChars="200"/>
              <w:textAlignment w:val="auto"/>
              <w:outlineLvl w:val="1"/>
              <w:rPr>
                <w:rFonts w:hint="eastAsia" w:ascii="宋体" w:hAnsi="宋体" w:eastAsia="宋体" w:cs="宋体"/>
                <w:b/>
                <w:bCs/>
                <w:vanish/>
                <w:sz w:val="24"/>
                <w:szCs w:val="24"/>
              </w:rPr>
            </w:pPr>
          </w:p>
          <w:p>
            <w:pPr>
              <w:pStyle w:val="27"/>
              <w:keepNext/>
              <w:keepLines/>
              <w:pageBreakBefore w:val="0"/>
              <w:widowControl w:val="0"/>
              <w:numPr>
                <w:ilvl w:val="0"/>
                <w:numId w:val="27"/>
              </w:numPr>
              <w:kinsoku/>
              <w:wordWrap/>
              <w:overflowPunct/>
              <w:topLinePunct w:val="0"/>
              <w:bidi w:val="0"/>
              <w:adjustRightInd w:val="0"/>
              <w:snapToGrid w:val="0"/>
              <w:spacing w:line="360" w:lineRule="auto"/>
              <w:ind w:left="0" w:leftChars="0" w:right="0" w:firstLine="482" w:firstLineChars="200"/>
              <w:textAlignment w:val="auto"/>
              <w:outlineLvl w:val="1"/>
              <w:rPr>
                <w:rFonts w:hint="eastAsia" w:ascii="宋体" w:hAnsi="宋体" w:eastAsia="宋体" w:cs="宋体"/>
                <w:b/>
                <w:bCs/>
                <w:vanish/>
                <w:sz w:val="24"/>
                <w:szCs w:val="24"/>
              </w:rPr>
            </w:pPr>
          </w:p>
          <w:p>
            <w:pPr>
              <w:pStyle w:val="27"/>
              <w:keepNext/>
              <w:keepLines/>
              <w:pageBreakBefore w:val="0"/>
              <w:widowControl w:val="0"/>
              <w:numPr>
                <w:ilvl w:val="1"/>
                <w:numId w:val="27"/>
              </w:numPr>
              <w:kinsoku/>
              <w:wordWrap/>
              <w:overflowPunct/>
              <w:topLinePunct w:val="0"/>
              <w:bidi w:val="0"/>
              <w:adjustRightInd w:val="0"/>
              <w:snapToGrid w:val="0"/>
              <w:spacing w:line="360" w:lineRule="auto"/>
              <w:ind w:left="0" w:leftChars="0" w:right="0" w:firstLine="482" w:firstLineChars="200"/>
              <w:textAlignment w:val="auto"/>
              <w:outlineLvl w:val="1"/>
              <w:rPr>
                <w:rFonts w:hint="eastAsia" w:ascii="宋体" w:hAnsi="宋体" w:eastAsia="宋体" w:cs="宋体"/>
                <w:b/>
                <w:bCs/>
                <w:vanish/>
                <w:sz w:val="24"/>
                <w:szCs w:val="24"/>
              </w:rPr>
            </w:pPr>
          </w:p>
          <w:p>
            <w:pPr>
              <w:pStyle w:val="27"/>
              <w:keepNext/>
              <w:keepLines/>
              <w:pageBreakBefore w:val="0"/>
              <w:widowControl w:val="0"/>
              <w:numPr>
                <w:ilvl w:val="1"/>
                <w:numId w:val="27"/>
              </w:numPr>
              <w:kinsoku/>
              <w:wordWrap/>
              <w:overflowPunct/>
              <w:topLinePunct w:val="0"/>
              <w:bidi w:val="0"/>
              <w:adjustRightInd w:val="0"/>
              <w:snapToGrid w:val="0"/>
              <w:spacing w:line="360" w:lineRule="auto"/>
              <w:ind w:left="0" w:leftChars="0" w:right="0" w:firstLine="482" w:firstLineChars="200"/>
              <w:textAlignment w:val="auto"/>
              <w:outlineLvl w:val="1"/>
              <w:rPr>
                <w:rFonts w:hint="eastAsia" w:ascii="宋体" w:hAnsi="宋体" w:eastAsia="宋体" w:cs="宋体"/>
                <w:b/>
                <w:bCs/>
                <w:vanish/>
                <w:sz w:val="24"/>
                <w:szCs w:val="24"/>
              </w:rPr>
            </w:pPr>
          </w:p>
          <w:p>
            <w:pPr>
              <w:pStyle w:val="27"/>
              <w:pageBreakBefore w:val="0"/>
              <w:widowControl w:val="0"/>
              <w:numPr>
                <w:ilvl w:val="1"/>
                <w:numId w:val="28"/>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4.1一般测量：距离、周长、面积、体积、角度、自动频谱测量</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4.2腹部测量与分析</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4.3产科测量与分析，具有胎儿体重孕龄评估，生长曲线显示</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4.4标配自动产科测量，要求自动测量≥4项胎儿发育评估指标</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4.5标配自动NT测量</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4.6妇科测量与分析</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4.7颈动脉测量与分析</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4.8心脏测量与分析</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4.9泌尿科测量与分析</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4.10胎儿心脏测量与分析</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4.11上下肢动脉，上下肢静脉测量与分析</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4.12</w:t>
            </w:r>
            <w:r>
              <w:rPr>
                <w:rFonts w:hint="eastAsia" w:ascii="宋体" w:hAnsi="宋体" w:eastAsia="宋体" w:cs="宋体"/>
                <w:sz w:val="24"/>
                <w:szCs w:val="24"/>
                <w:lang w:eastAsia="zh-CN"/>
              </w:rPr>
              <w:t>★</w:t>
            </w:r>
            <w:r>
              <w:rPr>
                <w:rFonts w:hint="eastAsia" w:ascii="宋体" w:hAnsi="宋体" w:eastAsia="宋体" w:cs="宋体"/>
                <w:sz w:val="24"/>
                <w:szCs w:val="24"/>
              </w:rPr>
              <w:t xml:space="preserve">血管内中膜自动测量，可同时自动描记血管前、后壁的内中膜，自动生成测量 数据， </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4.13</w:t>
            </w:r>
            <w:r>
              <w:rPr>
                <w:rFonts w:hint="eastAsia" w:ascii="宋体" w:hAnsi="宋体" w:eastAsia="宋体" w:cs="宋体"/>
                <w:sz w:val="24"/>
                <w:szCs w:val="24"/>
                <w:lang w:eastAsia="zh-CN"/>
              </w:rPr>
              <w:t>★</w:t>
            </w:r>
            <w:r>
              <w:rPr>
                <w:rFonts w:hint="eastAsia" w:ascii="宋体" w:hAnsi="宋体" w:eastAsia="宋体" w:cs="宋体"/>
                <w:sz w:val="24"/>
                <w:szCs w:val="24"/>
              </w:rPr>
              <w:t>标配IVF卵泡专业分析软件包，具备专业卵泡评估报告，多项IVF评估指标及发育趋线分析</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4.14</w:t>
            </w:r>
            <w:r>
              <w:rPr>
                <w:rFonts w:hint="eastAsia" w:ascii="宋体" w:hAnsi="宋体" w:eastAsia="宋体" w:cs="宋体"/>
                <w:sz w:val="24"/>
                <w:szCs w:val="24"/>
                <w:lang w:eastAsia="zh-CN"/>
              </w:rPr>
              <w:t>★</w:t>
            </w:r>
            <w:r>
              <w:rPr>
                <w:rFonts w:hint="eastAsia" w:ascii="宋体" w:hAnsi="宋体" w:eastAsia="宋体" w:cs="宋体"/>
                <w:sz w:val="24"/>
                <w:szCs w:val="24"/>
              </w:rPr>
              <w:t>盆底解决方案，通过选取特征点，即可快速建立参考线，并自动获取盆底超声检查所需的测量参数。可对肛提肌裂孔进行自动描迹和自动测量。</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4.15血管体位图手动编辑功能，通过触摸屏手动编辑体位图，直观显示病变的位置。</w:t>
            </w:r>
          </w:p>
          <w:p>
            <w:pPr>
              <w:pStyle w:val="3"/>
              <w:pageBreakBefore w:val="0"/>
              <w:widowControl w:val="0"/>
              <w:numPr>
                <w:ilvl w:val="1"/>
                <w:numId w:val="0"/>
              </w:numPr>
              <w:kinsoku/>
              <w:wordWrap/>
              <w:overflowPunct/>
              <w:topLinePunct w:val="0"/>
              <w:bidi w:val="0"/>
              <w:adjustRightInd w:val="0"/>
              <w:snapToGrid w:val="0"/>
              <w:spacing w:before="0" w:line="360" w:lineRule="auto"/>
              <w:ind w:left="0" w:leftChars="0" w:right="0" w:firstLine="482"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5、电影回放和数据存储</w:t>
            </w:r>
          </w:p>
          <w:p>
            <w:pPr>
              <w:pStyle w:val="27"/>
              <w:pageBreakBefore w:val="0"/>
              <w:widowControl w:val="0"/>
              <w:numPr>
                <w:ilvl w:val="0"/>
                <w:numId w:val="29"/>
              </w:numPr>
              <w:tabs>
                <w:tab w:val="left" w:pos="42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25"/>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5.1具备二维、彩色、造影、4D等模式的手动和自动回放，，电影回放具备编辑和剪接功能</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5.2电影回放：≥1000秒</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color w:val="1E1C11" w:themeColor="background2" w:themeShade="1A"/>
                <w:sz w:val="24"/>
                <w:szCs w:val="24"/>
              </w:rPr>
              <w:t>5.3具备向后存储和向前存储，时间长度可预置，向后存储≥6分钟的电影，对剪接和编辑的电影图像可多次存储和多次编辑；图像和电影均可以实时扫描、冻结状态下直接存储，并且具有独立的存储功能键</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5.4具备同屏对比多个不同模式的动态、静态图像</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5.5原始数据处理，具备动、静态图像冻结后，最大可进行32项参数调节。能具备二维图像离线后进行M成像。</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5.6硬盘：≥1TB    SSD固态硬盘≥128GB</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5.7多种导出图像格式：动态图像、静态图像以PC格式直接导出。导出、备份图像数据资料同时，可进行实时检查，不影响检查操作</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5.8具备一键传输图片到智能手机终端或PC端</w:t>
            </w:r>
          </w:p>
          <w:p>
            <w:pPr>
              <w:pStyle w:val="3"/>
              <w:pageBreakBefore w:val="0"/>
              <w:widowControl w:val="0"/>
              <w:numPr>
                <w:ilvl w:val="1"/>
                <w:numId w:val="0"/>
              </w:numPr>
              <w:kinsoku/>
              <w:wordWrap/>
              <w:overflowPunct/>
              <w:topLinePunct w:val="0"/>
              <w:bidi w:val="0"/>
              <w:adjustRightInd w:val="0"/>
              <w:snapToGrid w:val="0"/>
              <w:spacing w:before="0" w:line="360" w:lineRule="auto"/>
              <w:ind w:left="0" w:leftChars="0" w:right="0" w:firstLine="482"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6、连通性要求</w:t>
            </w:r>
          </w:p>
          <w:p>
            <w:pPr>
              <w:pStyle w:val="27"/>
              <w:pageBreakBefore w:val="0"/>
              <w:widowControl w:val="0"/>
              <w:numPr>
                <w:ilvl w:val="0"/>
                <w:numId w:val="29"/>
              </w:numPr>
              <w:tabs>
                <w:tab w:val="left" w:pos="42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0"/>
                <w:numId w:val="30"/>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0"/>
                <w:numId w:val="30"/>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0"/>
                <w:numId w:val="30"/>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0"/>
                <w:numId w:val="30"/>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0"/>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0"/>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0"/>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0"/>
              </w:numPr>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6.1具备网络连接</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6.2具备移动设备无线传输，一键传输图片到智能手机终端或PC端； </w:t>
            </w:r>
          </w:p>
          <w:p>
            <w:pPr>
              <w:pStyle w:val="27"/>
              <w:pageBreakBefore w:val="0"/>
              <w:widowControl w:val="0"/>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6.3</w:t>
            </w:r>
            <w:r>
              <w:rPr>
                <w:rFonts w:hint="eastAsia" w:ascii="宋体" w:hAnsi="宋体" w:eastAsia="宋体" w:cs="宋体"/>
                <w:sz w:val="24"/>
                <w:szCs w:val="24"/>
                <w:lang w:eastAsia="zh-CN"/>
              </w:rPr>
              <w:t>★</w:t>
            </w:r>
            <w:r>
              <w:rPr>
                <w:rFonts w:hint="eastAsia" w:ascii="宋体" w:hAnsi="宋体" w:eastAsia="宋体" w:cs="宋体"/>
                <w:sz w:val="24"/>
                <w:szCs w:val="24"/>
              </w:rPr>
              <w:t>远程超声系统，对病例进行云端查看、讨论及会诊；云闪存、云收藏功能可一键快速传输影像至云端</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6.4视频/音频输入、输出；具备ECG信号</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6.5输入接口：音频输入，ECG信号输入</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6.6输出信号：HDMI视频，S-VIDEO视频, VGA视频，AUDIO音频</w:t>
            </w:r>
          </w:p>
          <w:p>
            <w:pPr>
              <w:pStyle w:val="27"/>
              <w:pageBreakBefore w:val="0"/>
              <w:widowControl w:val="0"/>
              <w:tabs>
                <w:tab w:val="left" w:pos="1276"/>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6.7≥5个USB接口</w:t>
            </w:r>
          </w:p>
          <w:p>
            <w:pPr>
              <w:pStyle w:val="3"/>
              <w:pageBreakBefore w:val="0"/>
              <w:widowControl w:val="0"/>
              <w:numPr>
                <w:ilvl w:val="1"/>
                <w:numId w:val="0"/>
              </w:numPr>
              <w:kinsoku/>
              <w:wordWrap/>
              <w:overflowPunct/>
              <w:topLinePunct w:val="0"/>
              <w:bidi w:val="0"/>
              <w:adjustRightInd w:val="0"/>
              <w:snapToGrid w:val="0"/>
              <w:spacing w:before="0" w:line="360" w:lineRule="auto"/>
              <w:ind w:left="0" w:leftChars="0" w:right="0" w:firstLine="482"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7、系统技术参数及要求</w:t>
            </w:r>
          </w:p>
          <w:p>
            <w:pPr>
              <w:pStyle w:val="27"/>
              <w:keepNext/>
              <w:keepLines/>
              <w:pageBreakBefore w:val="0"/>
              <w:widowControl w:val="0"/>
              <w:numPr>
                <w:ilvl w:val="0"/>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0"/>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0"/>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0"/>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1"/>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0"/>
                <w:numId w:val="32"/>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0"/>
                <w:numId w:val="32"/>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0"/>
                <w:numId w:val="32"/>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2"/>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2"/>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2"/>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2"/>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27"/>
              <w:keepNext/>
              <w:keepLines/>
              <w:pageBreakBefore w:val="0"/>
              <w:widowControl w:val="0"/>
              <w:numPr>
                <w:ilvl w:val="1"/>
                <w:numId w:val="32"/>
              </w:numPr>
              <w:kinsoku/>
              <w:wordWrap/>
              <w:overflowPunct/>
              <w:topLinePunct w:val="0"/>
              <w:bidi w:val="0"/>
              <w:adjustRightInd w:val="0"/>
              <w:snapToGrid w:val="0"/>
              <w:spacing w:line="360" w:lineRule="auto"/>
              <w:ind w:left="0" w:leftChars="0" w:right="0" w:firstLine="482" w:firstLineChars="200"/>
              <w:textAlignment w:val="auto"/>
              <w:outlineLvl w:val="2"/>
              <w:rPr>
                <w:rFonts w:hint="eastAsia" w:ascii="宋体" w:hAnsi="宋体" w:eastAsia="宋体" w:cs="宋体"/>
                <w:b/>
                <w:bCs/>
                <w:vanish/>
                <w:sz w:val="24"/>
                <w:szCs w:val="24"/>
              </w:rPr>
            </w:pPr>
          </w:p>
          <w:p>
            <w:pPr>
              <w:pStyle w:val="4"/>
              <w:pageBreakBefore w:val="0"/>
              <w:widowControl w:val="0"/>
              <w:numPr>
                <w:ilvl w:val="2"/>
                <w:numId w:val="0"/>
              </w:numPr>
              <w:kinsoku/>
              <w:wordWrap/>
              <w:overflowPunct/>
              <w:topLinePunct w:val="0"/>
              <w:bidi w:val="0"/>
              <w:adjustRightInd w:val="0"/>
              <w:snapToGrid w:val="0"/>
              <w:spacing w:before="0" w:after="0" w:line="360" w:lineRule="auto"/>
              <w:ind w:left="0" w:leftChars="0" w:right="0"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7.1二维灰阶模式</w:t>
            </w:r>
          </w:p>
          <w:p>
            <w:pPr>
              <w:pStyle w:val="27"/>
              <w:pageBreakBefore w:val="0"/>
              <w:widowControl w:val="0"/>
              <w:numPr>
                <w:ilvl w:val="0"/>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0"/>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0"/>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1"/>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2"/>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数字化全程动态聚焦，数字化可变孔径及动态变迹</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接收方式：多倍信号并行处理</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扫描线：每帧线密度≥512超声线</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预设条件：针对不同的检查脏器，预置最佳图像检查条件</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复合成像技术：采用多达9条声束偏转的复合超声成像，提升图像的细节分辨率和加强边界显示，消除伪像；</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组织特异性成像，根据不同组织特性，可选多种成像条件（常规、液性、脂肪等）</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最大显示深度:≥38cm </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TGC: ≥8段，LGC: ≥6段</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动态范围: ≥180 </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增益调节: B/M/D分别独立可调，≥100，</w:t>
            </w:r>
            <w:r>
              <w:rPr>
                <w:rFonts w:hint="eastAsia" w:ascii="宋体" w:hAnsi="宋体" w:eastAsia="宋体" w:cs="宋体"/>
                <w:color w:val="1E1C11" w:themeColor="background2" w:themeShade="1A"/>
                <w:sz w:val="24"/>
                <w:szCs w:val="24"/>
              </w:rPr>
              <w:t>可视可</w:t>
            </w:r>
            <w:r>
              <w:rPr>
                <w:rFonts w:hint="eastAsia" w:ascii="宋体" w:hAnsi="宋体" w:eastAsia="宋体" w:cs="宋体"/>
                <w:sz w:val="24"/>
                <w:szCs w:val="24"/>
              </w:rPr>
              <w:t>调步进≤1db</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伪彩图谱: ≥8种</w:t>
            </w:r>
          </w:p>
          <w:p>
            <w:pPr>
              <w:pStyle w:val="4"/>
              <w:pageBreakBefore w:val="0"/>
              <w:widowControl w:val="0"/>
              <w:numPr>
                <w:ilvl w:val="2"/>
                <w:numId w:val="0"/>
              </w:numPr>
              <w:kinsoku/>
              <w:wordWrap/>
              <w:overflowPunct/>
              <w:topLinePunct w:val="0"/>
              <w:bidi w:val="0"/>
              <w:adjustRightInd w:val="0"/>
              <w:snapToGrid w:val="0"/>
              <w:spacing w:before="0" w:after="0" w:line="360" w:lineRule="auto"/>
              <w:ind w:left="0" w:leftChars="0" w:right="0"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7.2彩色多普勒成像</w:t>
            </w:r>
          </w:p>
          <w:p>
            <w:pPr>
              <w:pStyle w:val="27"/>
              <w:pageBreakBefore w:val="0"/>
              <w:widowControl w:val="0"/>
              <w:numPr>
                <w:ilvl w:val="2"/>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包括速度、速度方差、能量、方向能量显示等</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显示方式：B/C、B/C/M、B/POWER、B/C/PW</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取样框偏转: ≥±30度，取样框可根据探头血流方向自动调节</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速度标识功能，标识不同血流速度边界，观察血流分布及速度梯度</w:t>
            </w:r>
          </w:p>
          <w:p>
            <w:pPr>
              <w:pStyle w:val="4"/>
              <w:pageBreakBefore w:val="0"/>
              <w:widowControl w:val="0"/>
              <w:numPr>
                <w:ilvl w:val="2"/>
                <w:numId w:val="0"/>
              </w:numPr>
              <w:kinsoku/>
              <w:wordWrap/>
              <w:overflowPunct/>
              <w:topLinePunct w:val="0"/>
              <w:bidi w:val="0"/>
              <w:adjustRightInd w:val="0"/>
              <w:snapToGrid w:val="0"/>
              <w:spacing w:before="0" w:after="0" w:line="360" w:lineRule="auto"/>
              <w:ind w:left="0" w:leftChars="0" w:right="0"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7.3频谱多普勒模式</w:t>
            </w:r>
          </w:p>
          <w:p>
            <w:pPr>
              <w:pStyle w:val="27"/>
              <w:pageBreakBefore w:val="0"/>
              <w:widowControl w:val="0"/>
              <w:numPr>
                <w:ilvl w:val="2"/>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包括脉冲多普勒、高脉冲重复频率、连续多普勒</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显示方式：B, PW，B/PW, B/C/PW, B/CW, B/C/CW等等</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最大速度: ≥7.60m/s（连续多普勒速度: ≥30m/s）</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最小速度: ≤1 mm /s（非噪声信号）</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取样容积: 0.5-20mm ,具备所有探头</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偏转角度: ≥±30度 (线阵探头) ，并具备快速角度校正</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零位移动：≥8 级</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具备频谱自动测量</w:t>
            </w:r>
          </w:p>
          <w:p>
            <w:pPr>
              <w:pStyle w:val="4"/>
              <w:pageBreakBefore w:val="0"/>
              <w:widowControl w:val="0"/>
              <w:numPr>
                <w:ilvl w:val="2"/>
                <w:numId w:val="0"/>
              </w:numPr>
              <w:kinsoku/>
              <w:wordWrap/>
              <w:overflowPunct/>
              <w:topLinePunct w:val="0"/>
              <w:bidi w:val="0"/>
              <w:adjustRightInd w:val="0"/>
              <w:snapToGrid w:val="0"/>
              <w:spacing w:before="0" w:after="0" w:line="360" w:lineRule="auto"/>
              <w:ind w:left="0" w:leftChars="0" w:right="0"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7.4  3D/4D成像</w:t>
            </w:r>
          </w:p>
          <w:p>
            <w:pPr>
              <w:pStyle w:val="27"/>
              <w:pageBreakBefore w:val="0"/>
              <w:widowControl w:val="0"/>
              <w:numPr>
                <w:ilvl w:val="2"/>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支持探头类型：</w:t>
            </w:r>
            <w:r>
              <w:rPr>
                <w:rFonts w:hint="eastAsia" w:ascii="宋体" w:hAnsi="宋体" w:eastAsia="宋体" w:cs="宋体"/>
                <w:color w:val="1E1C11" w:themeColor="background2" w:themeShade="1A"/>
                <w:sz w:val="24"/>
                <w:szCs w:val="24"/>
              </w:rPr>
              <w:t>腹部容积探头、腔内容积探头</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常规成像模式：表面模式、最大模式、最小模式、X-Ray模式</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容积光源渲染成像，支持多种虚拟光源：平行光，点光源，聚光灯等，可支持多种光源的自由组合。</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断层切片成像，同屏显示≥24幅不同深度图像，断层间距0.5mm-2.0mm可调。容积厚层成像，包括任意剖面成像</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胎儿中枢神经系统专业筛查软件，可以通过一键自动获取多个颅脑标准切面及 获取≥4项常用测量指标</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胎儿面部自动导航功能，可以自动的去除胎儿颜面部前面的遮挡物，使胎儿三维颜面部显示更清晰。同时可以一键调整胎儿面部的显示方向。自动卵泡测量，一键自动分割无回声结构，以不同的颜色区分显示不同位置和大小的无回声结构。并自动测量卵泡直径、X轴长度、Y轴长度、Z轴长度、三个轴的平均值和体积。</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支持三维裁剪、修复等功能，容积图像支持斑点噪声抑制</w:t>
            </w:r>
          </w:p>
          <w:p>
            <w:pPr>
              <w:pStyle w:val="4"/>
              <w:pageBreakBefore w:val="0"/>
              <w:widowControl w:val="0"/>
              <w:numPr>
                <w:ilvl w:val="2"/>
                <w:numId w:val="0"/>
              </w:numPr>
              <w:kinsoku/>
              <w:wordWrap/>
              <w:overflowPunct/>
              <w:topLinePunct w:val="0"/>
              <w:bidi w:val="0"/>
              <w:adjustRightInd w:val="0"/>
              <w:snapToGrid w:val="0"/>
              <w:spacing w:before="0" w:after="0" w:line="360" w:lineRule="auto"/>
              <w:ind w:left="0" w:leftChars="0" w:right="0"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7.5探头规格</w:t>
            </w:r>
          </w:p>
          <w:p>
            <w:pPr>
              <w:pageBreakBefore w:val="0"/>
              <w:widowControl w:val="0"/>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配置探头：腹部单晶体探头1把、浅表探头1把、心脏单晶体探头1把、腹部单晶体容积探头1把</w:t>
            </w:r>
          </w:p>
          <w:p>
            <w:pPr>
              <w:pStyle w:val="27"/>
              <w:pageBreakBefore w:val="0"/>
              <w:widowControl w:val="0"/>
              <w:numPr>
                <w:ilvl w:val="0"/>
                <w:numId w:val="29"/>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numPr>
                <w:ilvl w:val="2"/>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扫描频率：</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单晶体凸阵探头：带宽: 1.5-5.0MHz</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线阵探头：带宽: 3.0-13.0MHz </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单晶体相控阵探头：带宽：2.0-4.5MHz</w:t>
            </w: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腹部单晶体容积探头：带宽：3.0-7.0MHZ</w:t>
            </w:r>
          </w:p>
          <w:p>
            <w:pPr>
              <w:spacing w:line="400" w:lineRule="exact"/>
              <w:jc w:val="center"/>
              <w:rPr>
                <w:rFonts w:ascii="微软雅黑" w:hAnsi="微软雅黑" w:eastAsia="微软雅黑"/>
                <w:b/>
                <w:szCs w:val="21"/>
                <w:vertAlign w:val="baseline"/>
              </w:rPr>
            </w:pPr>
            <w:r>
              <w:rPr>
                <w:rFonts w:hint="eastAsia" w:ascii="宋体" w:hAnsi="宋体" w:eastAsia="宋体" w:cs="宋体"/>
                <w:sz w:val="24"/>
                <w:szCs w:val="24"/>
              </w:rPr>
              <w:t>穿刺引导，凸阵、线阵、相控阵具备多角度穿刺引导功能</w:t>
            </w:r>
          </w:p>
        </w:tc>
        <w:tc>
          <w:tcPr>
            <w:tcW w:w="0" w:type="auto"/>
          </w:tcPr>
          <w:p>
            <w:pPr>
              <w:spacing w:line="400" w:lineRule="exact"/>
              <w:jc w:val="center"/>
              <w:rPr>
                <w:rFonts w:ascii="微软雅黑" w:hAnsi="微软雅黑" w:eastAsia="微软雅黑"/>
                <w:b/>
                <w:szCs w:val="21"/>
                <w:vertAlign w:val="baseline"/>
              </w:rPr>
            </w:pPr>
            <w:r>
              <w:rPr>
                <w:rFonts w:hint="eastAsia" w:ascii="宋体" w:hAnsi="宋体" w:eastAsia="宋体" w:cs="宋体"/>
                <w:sz w:val="24"/>
                <w:szCs w:val="24"/>
                <w:lang w:val="en-US" w:eastAsia="zh-CN"/>
              </w:rPr>
              <w:t>1套</w:t>
            </w:r>
          </w:p>
        </w:tc>
      </w:tr>
    </w:tbl>
    <w:p>
      <w:pPr>
        <w:spacing w:line="400" w:lineRule="exact"/>
        <w:jc w:val="center"/>
        <w:rPr>
          <w:rFonts w:ascii="微软雅黑" w:hAnsi="微软雅黑" w:eastAsia="微软雅黑"/>
          <w:b/>
          <w:szCs w:val="21"/>
        </w:rPr>
      </w:pPr>
    </w:p>
    <w:p>
      <w:pPr>
        <w:spacing w:line="400" w:lineRule="exact"/>
        <w:rPr>
          <w:rFonts w:ascii="微软雅黑" w:hAnsi="微软雅黑" w:eastAsia="微软雅黑" w:cs="Arial"/>
          <w:b/>
          <w:color w:val="FF0000"/>
          <w:sz w:val="18"/>
          <w:szCs w:val="21"/>
        </w:rPr>
      </w:pPr>
    </w:p>
    <w:p>
      <w:pPr>
        <w:pStyle w:val="27"/>
        <w:pageBreakBefore w:val="0"/>
        <w:widowControl w:val="0"/>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sz w:val="24"/>
          <w:szCs w:val="24"/>
        </w:rPr>
      </w:pPr>
    </w:p>
    <w:p>
      <w:pPr>
        <w:pStyle w:val="27"/>
        <w:pageBreakBefore w:val="0"/>
        <w:widowControl w:val="0"/>
        <w:numPr>
          <w:ilvl w:val="2"/>
          <w:numId w:val="33"/>
        </w:numPr>
        <w:tabs>
          <w:tab w:val="left" w:pos="426"/>
          <w:tab w:val="left" w:pos="709"/>
        </w:tabs>
        <w:kinsoku/>
        <w:wordWrap/>
        <w:overflowPunct/>
        <w:topLinePunct w:val="0"/>
        <w:bidi w:val="0"/>
        <w:adjustRightInd w:val="0"/>
        <w:snapToGrid w:val="0"/>
        <w:spacing w:line="360" w:lineRule="auto"/>
        <w:ind w:left="0" w:leftChars="0" w:right="0" w:firstLine="480" w:firstLineChars="200"/>
        <w:jc w:val="left"/>
        <w:textAlignment w:val="auto"/>
        <w:rPr>
          <w:rFonts w:hint="eastAsia" w:ascii="宋体" w:hAnsi="宋体" w:eastAsia="宋体" w:cs="宋体"/>
          <w:vanish/>
          <w:sz w:val="24"/>
          <w:szCs w:val="24"/>
        </w:rPr>
      </w:pPr>
    </w:p>
    <w:p>
      <w:pPr>
        <w:spacing w:line="360" w:lineRule="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（2）商务要求</w:t>
      </w:r>
    </w:p>
    <w:p>
      <w:pPr>
        <w:spacing w:line="360" w:lineRule="auto"/>
        <w:ind w:firstLine="480" w:firstLineChars="200"/>
        <w:rPr>
          <w:rFonts w:hint="default" w:asciiTheme="minorEastAsia" w:hAnsiTheme="minorEastAsia" w:eastAsiaTheme="minorEastAsia" w:cstheme="minorEastAsia"/>
          <w:color w:val="000000" w:themeColor="text1"/>
          <w:sz w:val="24"/>
          <w:szCs w:val="24"/>
          <w:highlight w:val="none"/>
          <w:lang w:val="en-US"/>
          <w14:textFill>
            <w14:solidFill>
              <w14:schemeClr w14:val="tx1"/>
            </w14:solidFill>
          </w14:textFill>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支付方式：签订合同货到验收合格后付总金额的 9</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7</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%，下余</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%一年后一次性付清</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p>
    <w:p>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供货</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甲方指定地点</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pPr>
        <w:spacing w:line="360" w:lineRule="auto"/>
        <w:ind w:firstLine="480" w:firstLineChars="200"/>
        <w:rPr>
          <w:rFonts w:hint="default" w:asciiTheme="minorEastAsia" w:hAnsi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3、供货期</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及安装期</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合同签订后20日历天；</w:t>
      </w:r>
    </w:p>
    <w:p>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pPr>
        <w:spacing w:line="360" w:lineRule="auto"/>
        <w:ind w:firstLine="480" w:firstLineChars="200"/>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5、免费质保期：1年</w:t>
      </w:r>
    </w:p>
    <w:p>
      <w:pPr>
        <w:ind w:firstLine="240"/>
        <w:jc w:val="left"/>
        <w:rPr>
          <w:rFonts w:ascii="宋体" w:hAnsi="宋体" w:eastAsia="宋体" w:cs="宋体"/>
          <w:sz w:val="24"/>
          <w:highlight w:val="none"/>
        </w:rPr>
      </w:pPr>
      <w:r>
        <w:rPr>
          <w:rFonts w:hint="eastAsia"/>
          <w:highlight w:val="none"/>
          <w:lang w:val="en-US" w:eastAsia="zh-CN"/>
        </w:rPr>
        <w:t xml:space="preserve">    </w:t>
      </w:r>
    </w:p>
    <w:p>
      <w:pPr>
        <w:rPr>
          <w:rFonts w:ascii="宋体" w:hAnsi="宋体" w:eastAsia="宋体" w:cs="宋体"/>
          <w:b/>
          <w:bCs/>
          <w:sz w:val="24"/>
          <w:highlight w:val="none"/>
        </w:rPr>
      </w:pPr>
      <w:r>
        <w:rPr>
          <w:rFonts w:ascii="宋体" w:hAnsi="宋体" w:eastAsia="宋体" w:cs="宋体"/>
          <w:b/>
          <w:bCs/>
          <w:sz w:val="24"/>
          <w:highlight w:val="none"/>
        </w:rPr>
        <w:br w:type="page"/>
      </w:r>
    </w:p>
    <w:p>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．供应商在编制响应性文件时，对于给定格式的文件内容，必须按照给定的标准格式进行填报；对于没有给定标准格式的文件内容，可以由供应商自行设计。</w:t>
      </w:r>
    </w:p>
    <w:p>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pPr>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br w:type="page"/>
      </w:r>
      <w:r>
        <w:rPr>
          <w:rFonts w:ascii="宋体" w:hAnsi="宋体" w:eastAsia="宋体" w:cs="宋体"/>
          <w:sz w:val="24"/>
          <w:highlight w:val="none"/>
        </w:rPr>
        <w:t>格式2-1</w:t>
      </w:r>
    </w:p>
    <w:p>
      <w:pPr>
        <w:spacing w:line="360" w:lineRule="auto"/>
        <w:jc w:val="center"/>
        <w:rPr>
          <w:rFonts w:ascii="宋体" w:hAnsi="宋体" w:eastAsia="宋体" w:cs="宋体"/>
          <w:sz w:val="24"/>
          <w:highlight w:val="none"/>
        </w:rPr>
      </w:pPr>
      <w:r>
        <w:rPr>
          <w:rFonts w:ascii="宋体" w:hAnsi="宋体" w:eastAsia="宋体" w:cs="宋体"/>
          <w:sz w:val="24"/>
          <w:highlight w:val="none"/>
        </w:rPr>
        <w:t>法定代表人身份证明书</w:t>
      </w:r>
    </w:p>
    <w:p>
      <w:pPr>
        <w:spacing w:line="360" w:lineRule="auto"/>
        <w:jc w:val="center"/>
        <w:rPr>
          <w:rFonts w:ascii="宋体" w:hAnsi="宋体" w:eastAsia="宋体" w:cs="宋体"/>
          <w:sz w:val="24"/>
          <w:highlight w:val="none"/>
        </w:rPr>
      </w:pPr>
      <w:r>
        <w:rPr>
          <w:rFonts w:ascii="宋体" w:hAnsi="宋体" w:eastAsia="宋体" w:cs="宋体"/>
          <w:sz w:val="24"/>
          <w:highlight w:val="none"/>
        </w:rPr>
        <w:t>（法定代表人参加竞争性磋商的，出具此证明书）</w:t>
      </w:r>
    </w:p>
    <w:p>
      <w:pPr>
        <w:spacing w:line="360" w:lineRule="auto"/>
        <w:ind w:firstLine="480"/>
        <w:rPr>
          <w:rFonts w:ascii="宋体" w:hAnsi="宋体" w:eastAsia="宋体" w:cs="宋体"/>
          <w:sz w:val="24"/>
          <w:highlight w:val="none"/>
        </w:rPr>
      </w:pPr>
    </w:p>
    <w:p>
      <w:pPr>
        <w:spacing w:line="360" w:lineRule="auto"/>
        <w:ind w:firstLine="480"/>
        <w:rPr>
          <w:rFonts w:ascii="宋体" w:hAnsi="宋体" w:eastAsia="宋体" w:cs="宋体"/>
          <w:sz w:val="24"/>
          <w:highlight w:val="none"/>
        </w:rPr>
      </w:pPr>
      <w:r>
        <w:rPr>
          <w:rFonts w:ascii="宋体" w:hAnsi="宋体" w:eastAsia="宋体" w:cs="宋体"/>
          <w:sz w:val="24"/>
          <w:highlight w:val="none"/>
        </w:rPr>
        <w:t>同志，系我单位法定代表人，任</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职务。</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特此证明。</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附：联系地址：               </w:t>
      </w:r>
    </w:p>
    <w:p>
      <w:pPr>
        <w:spacing w:line="360" w:lineRule="auto"/>
        <w:ind w:firstLine="960"/>
        <w:rPr>
          <w:rFonts w:ascii="宋体" w:hAnsi="宋体" w:eastAsia="宋体" w:cs="宋体"/>
          <w:b/>
          <w:sz w:val="24"/>
          <w:highlight w:val="none"/>
        </w:rPr>
      </w:pPr>
      <w:r>
        <w:rPr>
          <w:rFonts w:ascii="宋体" w:hAnsi="宋体" w:eastAsia="宋体" w:cs="宋体"/>
          <w:sz w:val="24"/>
          <w:highlight w:val="none"/>
        </w:rPr>
        <w:t>联系电话：</w:t>
      </w:r>
    </w:p>
    <w:tbl>
      <w:tblPr>
        <w:tblStyle w:val="17"/>
        <w:tblW w:w="0" w:type="auto"/>
        <w:tblInd w:w="0" w:type="dxa"/>
        <w:tblLayout w:type="autofit"/>
        <w:tblCellMar>
          <w:top w:w="0" w:type="dxa"/>
          <w:left w:w="10" w:type="dxa"/>
          <w:bottom w:w="0" w:type="dxa"/>
          <w:right w:w="10" w:type="dxa"/>
        </w:tblCellMar>
      </w:tblPr>
      <w:tblGrid>
        <w:gridCol w:w="5328"/>
      </w:tblGrid>
      <w:tr>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sz w:val="24"/>
                <w:highlight w:val="none"/>
              </w:rPr>
            </w:pPr>
          </w:p>
          <w:p>
            <w:pPr>
              <w:spacing w:line="480" w:lineRule="auto"/>
              <w:rPr>
                <w:rFonts w:ascii="宋体" w:hAnsi="宋体" w:eastAsia="宋体" w:cs="宋体"/>
                <w:b/>
                <w:sz w:val="24"/>
                <w:highlight w:val="none"/>
              </w:rPr>
            </w:pPr>
          </w:p>
          <w:p>
            <w:pPr>
              <w:spacing w:line="480" w:lineRule="auto"/>
              <w:jc w:val="center"/>
              <w:rPr>
                <w:rFonts w:ascii="宋体" w:hAnsi="宋体" w:eastAsia="宋体" w:cs="宋体"/>
                <w:b/>
                <w:sz w:val="24"/>
                <w:highlight w:val="none"/>
              </w:rPr>
            </w:pPr>
            <w:r>
              <w:rPr>
                <w:rFonts w:ascii="宋体" w:hAnsi="宋体" w:eastAsia="宋体" w:cs="宋体"/>
                <w:b/>
                <w:sz w:val="24"/>
                <w:highlight w:val="none"/>
              </w:rPr>
              <w:t>（※附：法定代表人身份证复印件※）</w:t>
            </w:r>
          </w:p>
          <w:p>
            <w:pPr>
              <w:spacing w:line="480" w:lineRule="auto"/>
              <w:rPr>
                <w:rFonts w:ascii="宋体" w:hAnsi="宋体" w:eastAsia="宋体" w:cs="宋体"/>
                <w:sz w:val="24"/>
                <w:highlight w:val="none"/>
              </w:rPr>
            </w:pPr>
          </w:p>
          <w:p>
            <w:pPr>
              <w:spacing w:line="480" w:lineRule="auto"/>
              <w:rPr>
                <w:rFonts w:ascii="宋体" w:hAnsi="宋体" w:eastAsia="宋体" w:cs="宋体"/>
                <w:highlight w:val="none"/>
              </w:rPr>
            </w:pPr>
          </w:p>
        </w:tc>
      </w:tr>
    </w:tbl>
    <w:p>
      <w:pPr>
        <w:spacing w:line="360" w:lineRule="auto"/>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ind w:firstLine="3840"/>
        <w:rPr>
          <w:rFonts w:ascii="宋体" w:hAnsi="宋体" w:eastAsia="宋体" w:cs="宋体"/>
          <w:sz w:val="24"/>
          <w:highlight w:val="none"/>
        </w:rPr>
      </w:pPr>
      <w:r>
        <w:rPr>
          <w:rFonts w:ascii="宋体" w:hAnsi="宋体" w:eastAsia="宋体" w:cs="宋体"/>
          <w:sz w:val="24"/>
          <w:highlight w:val="none"/>
        </w:rPr>
        <w:t xml:space="preserve">投标人电子签章： </w:t>
      </w: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w:t>
      </w:r>
    </w:p>
    <w:p>
      <w:pPr>
        <w:spacing w:line="360" w:lineRule="auto"/>
        <w:jc w:val="center"/>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br w:type="page"/>
      </w:r>
      <w:r>
        <w:rPr>
          <w:rFonts w:ascii="宋体" w:hAnsi="宋体" w:eastAsia="宋体" w:cs="宋体"/>
          <w:sz w:val="24"/>
          <w:highlight w:val="none"/>
        </w:rPr>
        <w:t>格式2-2</w:t>
      </w:r>
    </w:p>
    <w:p>
      <w:pPr>
        <w:spacing w:line="360" w:lineRule="auto"/>
        <w:ind w:firstLine="480"/>
        <w:jc w:val="center"/>
        <w:rPr>
          <w:rFonts w:ascii="宋体" w:hAnsi="宋体" w:eastAsia="宋体" w:cs="宋体"/>
          <w:sz w:val="24"/>
          <w:highlight w:val="none"/>
        </w:rPr>
      </w:pPr>
      <w:r>
        <w:rPr>
          <w:rFonts w:ascii="宋体" w:hAnsi="宋体" w:eastAsia="宋体" w:cs="宋体"/>
          <w:sz w:val="24"/>
          <w:highlight w:val="none"/>
        </w:rPr>
        <w:t>授权委托书</w:t>
      </w:r>
    </w:p>
    <w:p>
      <w:pPr>
        <w:spacing w:line="360" w:lineRule="auto"/>
        <w:jc w:val="center"/>
        <w:rPr>
          <w:rFonts w:ascii="宋体" w:hAnsi="宋体" w:eastAsia="宋体" w:cs="宋体"/>
          <w:sz w:val="24"/>
          <w:highlight w:val="none"/>
        </w:rPr>
      </w:pPr>
      <w:r>
        <w:rPr>
          <w:rFonts w:ascii="宋体" w:hAnsi="宋体" w:eastAsia="宋体" w:cs="宋体"/>
          <w:sz w:val="24"/>
          <w:highlight w:val="none"/>
        </w:rPr>
        <w:t>（委托代理人参加竞争性磋商的，出具此证明书）</w:t>
      </w:r>
    </w:p>
    <w:p>
      <w:pPr>
        <w:spacing w:line="360" w:lineRule="auto"/>
        <w:ind w:firstLine="480"/>
        <w:rPr>
          <w:rFonts w:ascii="宋体" w:hAnsi="宋体" w:eastAsia="宋体" w:cs="宋体"/>
          <w:sz w:val="24"/>
          <w:highlight w:val="none"/>
        </w:rPr>
      </w:pPr>
    </w:p>
    <w:p>
      <w:pPr>
        <w:spacing w:line="360" w:lineRule="auto"/>
        <w:ind w:firstLine="480"/>
        <w:rPr>
          <w:rFonts w:ascii="宋体" w:hAnsi="宋体" w:eastAsia="宋体" w:cs="宋体"/>
          <w:sz w:val="24"/>
          <w:highlight w:val="none"/>
        </w:rPr>
      </w:pPr>
      <w:r>
        <w:rPr>
          <w:rFonts w:ascii="宋体" w:hAnsi="宋体" w:eastAsia="宋体" w:cs="宋体"/>
          <w:sz w:val="24"/>
          <w:highlight w:val="none"/>
        </w:rPr>
        <w:t>委托人授权（被委托人的姓名、职务）为委托人的委托代理人，就项目编号为的项目及合同的执行，以本单位名义处理一切与之有关的事务。</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本授权书于年月日签字生效，特此声明。</w:t>
      </w:r>
    </w:p>
    <w:p>
      <w:pPr>
        <w:spacing w:line="360" w:lineRule="auto"/>
        <w:rPr>
          <w:rFonts w:ascii="宋体" w:hAnsi="宋体" w:eastAsia="宋体" w:cs="宋体"/>
          <w:sz w:val="24"/>
          <w:highlight w:val="none"/>
        </w:rPr>
      </w:pPr>
    </w:p>
    <w:p>
      <w:pPr>
        <w:spacing w:line="360" w:lineRule="auto"/>
        <w:ind w:firstLine="480"/>
        <w:rPr>
          <w:rFonts w:ascii="宋体" w:hAnsi="宋体" w:eastAsia="宋体" w:cs="宋体"/>
          <w:sz w:val="24"/>
          <w:highlight w:val="none"/>
        </w:rPr>
      </w:pPr>
      <w:r>
        <w:rPr>
          <w:rFonts w:ascii="宋体" w:hAnsi="宋体" w:eastAsia="宋体" w:cs="宋体"/>
          <w:sz w:val="24"/>
          <w:highlight w:val="none"/>
        </w:rPr>
        <w:t>委托人：</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投标人电子公章：           </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被委托人：</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法定代表人：</w:t>
      </w:r>
    </w:p>
    <w:tbl>
      <w:tblPr>
        <w:tblStyle w:val="17"/>
        <w:tblW w:w="0" w:type="auto"/>
        <w:tblInd w:w="0" w:type="dxa"/>
        <w:tblLayout w:type="autofit"/>
        <w:tblCellMar>
          <w:top w:w="0" w:type="dxa"/>
          <w:left w:w="10" w:type="dxa"/>
          <w:bottom w:w="0" w:type="dxa"/>
          <w:right w:w="10" w:type="dxa"/>
        </w:tblCellMar>
      </w:tblPr>
      <w:tblGrid>
        <w:gridCol w:w="5508"/>
      </w:tblGrid>
      <w:tr>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sz w:val="24"/>
                <w:highlight w:val="none"/>
              </w:rPr>
            </w:pPr>
          </w:p>
          <w:p>
            <w:pPr>
              <w:spacing w:line="480" w:lineRule="auto"/>
              <w:rPr>
                <w:rFonts w:ascii="宋体" w:hAnsi="宋体" w:eastAsia="宋体" w:cs="宋体"/>
                <w:b/>
                <w:sz w:val="24"/>
                <w:highlight w:val="none"/>
              </w:rPr>
            </w:pPr>
          </w:p>
          <w:p>
            <w:pPr>
              <w:spacing w:line="480" w:lineRule="auto"/>
              <w:jc w:val="center"/>
              <w:rPr>
                <w:rFonts w:ascii="宋体" w:hAnsi="宋体" w:eastAsia="宋体" w:cs="宋体"/>
                <w:highlight w:val="none"/>
              </w:rPr>
            </w:pPr>
            <w:r>
              <w:rPr>
                <w:rFonts w:ascii="宋体" w:hAnsi="宋体" w:eastAsia="宋体" w:cs="宋体"/>
                <w:b/>
                <w:sz w:val="24"/>
                <w:highlight w:val="none"/>
              </w:rPr>
              <w:t>（※附：被委托人身份证复印件※）</w:t>
            </w:r>
          </w:p>
        </w:tc>
      </w:tr>
    </w:tbl>
    <w:p>
      <w:pPr>
        <w:spacing w:line="360" w:lineRule="auto"/>
        <w:ind w:firstLine="480"/>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投标人电子公章：                                       </w:t>
      </w: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w:t>
      </w:r>
    </w:p>
    <w:p>
      <w:pPr>
        <w:spacing w:line="360" w:lineRule="auto"/>
        <w:jc w:val="center"/>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pStyle w:val="21"/>
        <w:ind w:firstLine="210"/>
        <w:rPr>
          <w:highlight w:val="none"/>
        </w:rPr>
      </w:pPr>
    </w:p>
    <w:p>
      <w:pPr>
        <w:ind w:firstLine="240"/>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br w:type="page"/>
      </w:r>
      <w:r>
        <w:rPr>
          <w:rFonts w:ascii="宋体" w:hAnsi="宋体" w:eastAsia="宋体" w:cs="宋体"/>
          <w:sz w:val="24"/>
          <w:highlight w:val="none"/>
        </w:rPr>
        <w:t>格式2-3</w:t>
      </w:r>
    </w:p>
    <w:p>
      <w:pPr>
        <w:ind w:firstLine="240"/>
        <w:jc w:val="left"/>
        <w:rPr>
          <w:rFonts w:ascii="宋体" w:hAnsi="宋体" w:eastAsia="宋体" w:cs="宋体"/>
          <w:sz w:val="24"/>
          <w:highlight w:val="none"/>
        </w:rPr>
      </w:pPr>
      <w:r>
        <w:rPr>
          <w:rFonts w:ascii="宋体" w:hAnsi="宋体" w:eastAsia="宋体" w:cs="宋体"/>
          <w:sz w:val="24"/>
          <w:highlight w:val="none"/>
        </w:rPr>
        <w:t>供应商资格其他资料</w:t>
      </w: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t>格式3</w:t>
      </w:r>
    </w:p>
    <w:p>
      <w:pPr>
        <w:spacing w:line="560" w:lineRule="auto"/>
        <w:jc w:val="center"/>
        <w:rPr>
          <w:rFonts w:ascii="宋体" w:hAnsi="宋体" w:eastAsia="宋体" w:cs="宋体"/>
          <w:sz w:val="24"/>
          <w:highlight w:val="none"/>
        </w:rPr>
      </w:pPr>
      <w:r>
        <w:rPr>
          <w:rFonts w:ascii="宋体" w:hAnsi="宋体" w:eastAsia="宋体" w:cs="宋体"/>
          <w:sz w:val="24"/>
          <w:highlight w:val="none"/>
        </w:rPr>
        <w:t>投标函</w:t>
      </w:r>
    </w:p>
    <w:p>
      <w:pPr>
        <w:spacing w:line="360" w:lineRule="auto"/>
        <w:jc w:val="left"/>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致：周口市公共资源交易中心</w:t>
      </w:r>
      <w:r>
        <w:rPr>
          <w:rFonts w:hint="eastAsia" w:ascii="宋体" w:hAnsi="宋体" w:eastAsia="宋体" w:cs="宋体"/>
          <w:sz w:val="24"/>
          <w:highlight w:val="none"/>
          <w:shd w:val="clear" w:color="auto" w:fill="FFFFFF"/>
        </w:rPr>
        <w:t>（</w:t>
      </w:r>
      <w:r>
        <w:rPr>
          <w:rFonts w:ascii="宋体" w:hAnsi="宋体" w:eastAsia="宋体" w:cs="宋体"/>
          <w:sz w:val="24"/>
          <w:highlight w:val="none"/>
          <w:shd w:val="clear" w:color="auto" w:fill="FFFFFF"/>
        </w:rPr>
        <w:t>政府采购中心</w:t>
      </w:r>
      <w:r>
        <w:rPr>
          <w:rFonts w:hint="eastAsia" w:ascii="宋体" w:hAnsi="宋体" w:eastAsia="宋体" w:cs="宋体"/>
          <w:sz w:val="24"/>
          <w:highlight w:val="none"/>
          <w:shd w:val="clear" w:color="auto" w:fill="FFFFFF"/>
        </w:rPr>
        <w:t>)</w:t>
      </w:r>
    </w:p>
    <w:p>
      <w:pPr>
        <w:rPr>
          <w:rFonts w:ascii="宋体" w:hAnsi="宋体" w:eastAsia="宋体" w:cs="宋体"/>
          <w:sz w:val="24"/>
          <w:highlight w:val="none"/>
        </w:rPr>
      </w:pPr>
    </w:p>
    <w:p>
      <w:pPr>
        <w:ind w:firstLine="600"/>
        <w:rPr>
          <w:rFonts w:ascii="宋体" w:hAnsi="宋体" w:eastAsia="宋体" w:cs="宋体"/>
          <w:sz w:val="24"/>
          <w:highlight w:val="none"/>
        </w:rPr>
      </w:pPr>
      <w:r>
        <w:rPr>
          <w:rFonts w:ascii="宋体" w:hAnsi="宋体" w:eastAsia="宋体" w:cs="宋体"/>
          <w:sz w:val="24"/>
          <w:highlight w:val="none"/>
        </w:rPr>
        <w:t>根据贵方              项目的竞争性磋商邀请（项目编号：          ），委托代理人      (全名、职务)代表              供应商名称、地址)提交投标文件，报价为</w:t>
      </w:r>
      <w:r>
        <w:rPr>
          <w:rFonts w:ascii="宋体" w:hAnsi="宋体" w:eastAsia="宋体" w:cs="宋体"/>
          <w:sz w:val="24"/>
          <w:highlight w:val="none"/>
          <w:u w:val="single"/>
        </w:rPr>
        <w:t>：    元，</w:t>
      </w:r>
      <w:r>
        <w:rPr>
          <w:rFonts w:ascii="宋体" w:hAnsi="宋体" w:eastAsia="宋体" w:cs="宋体"/>
          <w:sz w:val="24"/>
          <w:highlight w:val="none"/>
        </w:rPr>
        <w:t>并对之负法律责任。</w:t>
      </w:r>
    </w:p>
    <w:p>
      <w:pPr>
        <w:ind w:firstLine="568"/>
        <w:rPr>
          <w:rFonts w:ascii="宋体" w:hAnsi="宋体" w:eastAsia="宋体" w:cs="宋体"/>
          <w:sz w:val="24"/>
          <w:highlight w:val="none"/>
        </w:rPr>
      </w:pPr>
      <w:r>
        <w:rPr>
          <w:rFonts w:ascii="宋体" w:hAnsi="宋体" w:eastAsia="宋体" w:cs="宋体"/>
          <w:sz w:val="24"/>
          <w:highlight w:val="none"/>
        </w:rPr>
        <w:t>据此函，宣布同意如下：</w:t>
      </w:r>
    </w:p>
    <w:p>
      <w:pPr>
        <w:ind w:firstLine="480"/>
        <w:rPr>
          <w:rFonts w:ascii="宋体" w:hAnsi="宋体" w:eastAsia="宋体" w:cs="宋体"/>
          <w:sz w:val="24"/>
          <w:highlight w:val="none"/>
        </w:rPr>
      </w:pPr>
      <w:r>
        <w:rPr>
          <w:rFonts w:ascii="宋体" w:hAnsi="宋体" w:eastAsia="宋体" w:cs="宋体"/>
          <w:sz w:val="24"/>
          <w:highlight w:val="none"/>
        </w:rPr>
        <w:t>(1)我们完全理解贵方不一定要接受最低报价，并同意本文件规定的响应性文件有效期。</w:t>
      </w:r>
    </w:p>
    <w:p>
      <w:pPr>
        <w:ind w:firstLine="480"/>
        <w:rPr>
          <w:rFonts w:ascii="宋体" w:hAnsi="宋体" w:eastAsia="宋体" w:cs="宋体"/>
          <w:sz w:val="24"/>
          <w:highlight w:val="none"/>
        </w:rPr>
      </w:pPr>
      <w:r>
        <w:rPr>
          <w:rFonts w:ascii="宋体" w:hAnsi="宋体" w:eastAsia="宋体" w:cs="宋体"/>
          <w:sz w:val="24"/>
          <w:highlight w:val="none"/>
        </w:rPr>
        <w:t>(2)我们已详细审核全部竞争性磋商文件，我们知道必须放弃提出含糊不清或误解的问题的权利。</w:t>
      </w:r>
    </w:p>
    <w:p>
      <w:pPr>
        <w:numPr>
          <w:ilvl w:val="0"/>
          <w:numId w:val="34"/>
        </w:numPr>
        <w:ind w:firstLine="480"/>
        <w:rPr>
          <w:rFonts w:ascii="宋体" w:hAnsi="宋体" w:eastAsia="宋体" w:cs="宋体"/>
          <w:sz w:val="24"/>
          <w:highlight w:val="none"/>
        </w:rPr>
      </w:pPr>
      <w:r>
        <w:rPr>
          <w:rFonts w:ascii="宋体" w:hAnsi="宋体" w:eastAsia="宋体" w:cs="宋体"/>
          <w:sz w:val="24"/>
          <w:highlight w:val="none"/>
        </w:rPr>
        <w:t>同意向贵方提供贵方可能另外要求的与其竞争性磋商有关的任何证据和资料。</w:t>
      </w:r>
    </w:p>
    <w:p>
      <w:pPr>
        <w:ind w:firstLine="480"/>
        <w:rPr>
          <w:rFonts w:ascii="宋体" w:hAnsi="宋体" w:eastAsia="宋体" w:cs="宋体"/>
          <w:sz w:val="24"/>
          <w:highlight w:val="none"/>
        </w:rPr>
      </w:pPr>
      <w:r>
        <w:rPr>
          <w:rFonts w:ascii="宋体" w:hAnsi="宋体" w:eastAsia="宋体" w:cs="宋体"/>
          <w:sz w:val="24"/>
          <w:highlight w:val="none"/>
        </w:rPr>
        <w:t>(4)一旦我们成交，我们将严格履行合同责任和义务。</w:t>
      </w:r>
    </w:p>
    <w:p>
      <w:pPr>
        <w:ind w:firstLine="480"/>
        <w:rPr>
          <w:rFonts w:ascii="宋体" w:hAnsi="宋体" w:eastAsia="宋体" w:cs="宋体"/>
          <w:sz w:val="24"/>
          <w:highlight w:val="none"/>
        </w:rPr>
      </w:pPr>
      <w:r>
        <w:rPr>
          <w:rFonts w:ascii="宋体" w:hAnsi="宋体" w:eastAsia="宋体" w:cs="宋体"/>
          <w:sz w:val="24"/>
          <w:highlight w:val="none"/>
        </w:rPr>
        <w:t>(5)我们完全理解不向未成交人解释未成交理由的义务。</w:t>
      </w:r>
    </w:p>
    <w:p>
      <w:pPr>
        <w:ind w:firstLine="480"/>
        <w:rPr>
          <w:rFonts w:ascii="宋体" w:hAnsi="宋体" w:eastAsia="宋体" w:cs="宋体"/>
          <w:sz w:val="24"/>
          <w:highlight w:val="none"/>
        </w:rPr>
      </w:pPr>
      <w:r>
        <w:rPr>
          <w:rFonts w:ascii="宋体" w:hAnsi="宋体" w:eastAsia="宋体" w:cs="宋体"/>
          <w:sz w:val="24"/>
          <w:highlight w:val="none"/>
        </w:rPr>
        <w:t>(6)与本次竞争性磋商有关的正式通讯地址为：</w:t>
      </w:r>
    </w:p>
    <w:p>
      <w:pPr>
        <w:ind w:firstLine="480"/>
        <w:rPr>
          <w:rFonts w:ascii="宋体" w:hAnsi="宋体" w:eastAsia="宋体" w:cs="宋体"/>
          <w:sz w:val="24"/>
          <w:highlight w:val="none"/>
        </w:rPr>
      </w:pPr>
      <w:r>
        <w:rPr>
          <w:rFonts w:ascii="宋体" w:hAnsi="宋体" w:eastAsia="宋体" w:cs="宋体"/>
          <w:sz w:val="24"/>
          <w:highlight w:val="none"/>
        </w:rPr>
        <w:t>地 址：                  邮 编：</w:t>
      </w:r>
    </w:p>
    <w:p>
      <w:pPr>
        <w:ind w:firstLine="480"/>
        <w:rPr>
          <w:rFonts w:ascii="宋体" w:hAnsi="宋体" w:eastAsia="宋体" w:cs="宋体"/>
          <w:sz w:val="24"/>
          <w:highlight w:val="none"/>
        </w:rPr>
      </w:pPr>
      <w:r>
        <w:rPr>
          <w:rFonts w:ascii="宋体" w:hAnsi="宋体" w:eastAsia="宋体" w:cs="宋体"/>
          <w:sz w:val="24"/>
          <w:highlight w:val="none"/>
        </w:rPr>
        <w:t>电 话：                  传 真：</w:t>
      </w:r>
    </w:p>
    <w:p>
      <w:pPr>
        <w:ind w:firstLine="480"/>
        <w:jc w:val="left"/>
        <w:rPr>
          <w:rFonts w:ascii="宋体" w:hAnsi="宋体" w:eastAsia="宋体" w:cs="宋体"/>
          <w:sz w:val="24"/>
          <w:highlight w:val="none"/>
        </w:rPr>
      </w:pPr>
      <w:r>
        <w:rPr>
          <w:rFonts w:ascii="宋体" w:hAnsi="宋体" w:eastAsia="宋体" w:cs="宋体"/>
          <w:sz w:val="24"/>
          <w:highlight w:val="none"/>
        </w:rPr>
        <w:t>我们保证：</w:t>
      </w:r>
    </w:p>
    <w:p>
      <w:pPr>
        <w:ind w:firstLine="480"/>
        <w:jc w:val="left"/>
        <w:rPr>
          <w:rFonts w:ascii="宋体" w:hAnsi="宋体" w:eastAsia="宋体" w:cs="宋体"/>
          <w:sz w:val="24"/>
          <w:highlight w:val="none"/>
        </w:rPr>
      </w:pPr>
      <w:r>
        <w:rPr>
          <w:rFonts w:ascii="宋体" w:hAnsi="宋体" w:eastAsia="宋体" w:cs="宋体"/>
          <w:sz w:val="24"/>
          <w:highlight w:val="none"/>
        </w:rPr>
        <w:t>(1)不提供虚假材料谋取成交；</w:t>
      </w:r>
    </w:p>
    <w:p>
      <w:pPr>
        <w:ind w:firstLine="480"/>
        <w:jc w:val="left"/>
        <w:rPr>
          <w:rFonts w:ascii="宋体" w:hAnsi="宋体" w:eastAsia="宋体" w:cs="宋体"/>
          <w:sz w:val="24"/>
          <w:highlight w:val="none"/>
        </w:rPr>
      </w:pPr>
      <w:r>
        <w:rPr>
          <w:rFonts w:ascii="宋体" w:hAnsi="宋体" w:eastAsia="宋体" w:cs="宋体"/>
          <w:sz w:val="24"/>
          <w:highlight w:val="none"/>
        </w:rPr>
        <w:t>(2)不以不正当手段抵毁、排挤其他供应商；</w:t>
      </w:r>
    </w:p>
    <w:p>
      <w:pPr>
        <w:ind w:firstLine="480"/>
        <w:jc w:val="left"/>
        <w:rPr>
          <w:rFonts w:ascii="宋体" w:hAnsi="宋体" w:eastAsia="宋体" w:cs="宋体"/>
          <w:sz w:val="24"/>
          <w:highlight w:val="none"/>
        </w:rPr>
      </w:pPr>
      <w:r>
        <w:rPr>
          <w:rFonts w:ascii="宋体" w:hAnsi="宋体" w:eastAsia="宋体" w:cs="宋体"/>
          <w:sz w:val="24"/>
          <w:highlight w:val="none"/>
        </w:rPr>
        <w:t>(3)不与采购人和其它供应商恶意串通；</w:t>
      </w:r>
    </w:p>
    <w:p>
      <w:pPr>
        <w:ind w:firstLine="480"/>
        <w:jc w:val="left"/>
        <w:rPr>
          <w:rFonts w:ascii="宋体" w:hAnsi="宋体" w:eastAsia="宋体" w:cs="宋体"/>
          <w:sz w:val="24"/>
          <w:highlight w:val="none"/>
        </w:rPr>
      </w:pPr>
      <w:r>
        <w:rPr>
          <w:rFonts w:ascii="宋体" w:hAnsi="宋体" w:eastAsia="宋体" w:cs="宋体"/>
          <w:sz w:val="24"/>
          <w:highlight w:val="none"/>
        </w:rPr>
        <w:t>(4)不向采购人和采购代理机构提供不正当利益；</w:t>
      </w:r>
    </w:p>
    <w:p>
      <w:pPr>
        <w:ind w:firstLine="480"/>
        <w:jc w:val="left"/>
        <w:rPr>
          <w:rFonts w:ascii="宋体" w:hAnsi="宋体" w:eastAsia="宋体" w:cs="宋体"/>
          <w:sz w:val="24"/>
          <w:highlight w:val="none"/>
        </w:rPr>
      </w:pPr>
      <w:r>
        <w:rPr>
          <w:rFonts w:ascii="宋体" w:hAnsi="宋体" w:eastAsia="宋体" w:cs="宋体"/>
          <w:sz w:val="24"/>
          <w:highlight w:val="none"/>
        </w:rPr>
        <w:t>(5)不拒绝有关部门监督检查或提供虚假情况。</w:t>
      </w:r>
    </w:p>
    <w:p>
      <w:pPr>
        <w:spacing w:line="560" w:lineRule="auto"/>
        <w:ind w:firstLine="720"/>
        <w:jc w:val="left"/>
        <w:rPr>
          <w:rFonts w:ascii="宋体" w:hAnsi="宋体" w:eastAsia="宋体" w:cs="宋体"/>
          <w:sz w:val="24"/>
          <w:highlight w:val="none"/>
        </w:rPr>
      </w:pPr>
      <w:r>
        <w:rPr>
          <w:rFonts w:ascii="宋体" w:hAnsi="宋体" w:eastAsia="宋体" w:cs="宋体"/>
          <w:sz w:val="24"/>
          <w:highlight w:val="none"/>
        </w:rPr>
        <w:t xml:space="preserve"> 联系人：              联系电话：</w:t>
      </w: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ind w:firstLine="3360"/>
        <w:jc w:val="left"/>
        <w:rPr>
          <w:rFonts w:ascii="宋体" w:hAnsi="宋体" w:eastAsia="宋体" w:cs="宋体"/>
          <w:sz w:val="24"/>
          <w:highlight w:val="none"/>
        </w:rPr>
      </w:pPr>
      <w:r>
        <w:rPr>
          <w:rFonts w:ascii="宋体" w:hAnsi="宋体" w:eastAsia="宋体" w:cs="宋体"/>
          <w:sz w:val="24"/>
          <w:highlight w:val="none"/>
        </w:rPr>
        <w:t>投标人电子公章：</w:t>
      </w: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w:t>
      </w: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 </w:t>
      </w:r>
    </w:p>
    <w:p>
      <w:pPr>
        <w:spacing w:line="360" w:lineRule="auto"/>
        <w:jc w:val="left"/>
        <w:rPr>
          <w:rFonts w:ascii="宋体" w:hAnsi="宋体" w:eastAsia="宋体" w:cs="宋体"/>
          <w:sz w:val="24"/>
          <w:highlight w:val="none"/>
        </w:rPr>
      </w:pPr>
      <w:r>
        <w:rPr>
          <w:rFonts w:ascii="宋体" w:hAnsi="宋体" w:eastAsia="宋体" w:cs="宋体"/>
          <w:sz w:val="24"/>
          <w:highlight w:val="none"/>
        </w:rPr>
        <w:t>格式4</w:t>
      </w:r>
    </w:p>
    <w:p>
      <w:pPr>
        <w:keepNext/>
        <w:keepLines/>
        <w:spacing w:before="260" w:after="260" w:line="416" w:lineRule="auto"/>
        <w:jc w:val="center"/>
        <w:rPr>
          <w:rFonts w:ascii="宋体" w:hAnsi="宋体" w:eastAsia="宋体" w:cs="宋体"/>
          <w:sz w:val="24"/>
          <w:highlight w:val="none"/>
        </w:rPr>
      </w:pPr>
      <w:r>
        <w:rPr>
          <w:rFonts w:ascii="宋体" w:hAnsi="宋体" w:eastAsia="宋体" w:cs="宋体"/>
          <w:sz w:val="24"/>
          <w:highlight w:val="none"/>
        </w:rPr>
        <w:t>报价一览表</w:t>
      </w:r>
    </w:p>
    <w:tbl>
      <w:tblPr>
        <w:tblStyle w:val="17"/>
        <w:tblW w:w="0" w:type="auto"/>
        <w:jc w:val="center"/>
        <w:tblLayout w:type="autofit"/>
        <w:tblCellMar>
          <w:top w:w="0" w:type="dxa"/>
          <w:left w:w="10" w:type="dxa"/>
          <w:bottom w:w="0" w:type="dxa"/>
          <w:right w:w="10" w:type="dxa"/>
        </w:tblCellMar>
      </w:tblPr>
      <w:tblGrid>
        <w:gridCol w:w="2368"/>
        <w:gridCol w:w="6154"/>
      </w:tblGrid>
      <w:tr>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sz w:val="22"/>
                <w:highlight w:val="none"/>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ascii="宋体" w:hAnsi="宋体" w:eastAsia="宋体" w:cs="宋体"/>
                <w:sz w:val="22"/>
                <w:highlight w:val="none"/>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sz w:val="24"/>
                <w:highlight w:val="none"/>
              </w:rPr>
            </w:pPr>
            <w:r>
              <w:rPr>
                <w:rFonts w:ascii="宋体" w:hAnsi="宋体" w:eastAsia="宋体" w:cs="宋体"/>
                <w:sz w:val="24"/>
                <w:highlight w:val="none"/>
              </w:rPr>
              <w:t>最终投标报价（包：）</w:t>
            </w:r>
          </w:p>
          <w:p>
            <w:pPr>
              <w:spacing w:line="360" w:lineRule="auto"/>
              <w:jc w:val="center"/>
              <w:rPr>
                <w:rFonts w:ascii="宋体" w:hAnsi="宋体" w:eastAsia="宋体" w:cs="宋体"/>
                <w:highlight w:val="none"/>
              </w:rPr>
            </w:pPr>
            <w:r>
              <w:rPr>
                <w:rFonts w:ascii="宋体" w:hAnsi="宋体" w:eastAsia="宋体" w:cs="宋体"/>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670"/>
              <w:rPr>
                <w:rFonts w:ascii="宋体" w:hAnsi="宋体" w:eastAsia="宋体" w:cs="宋体"/>
                <w:highlight w:val="none"/>
              </w:rPr>
            </w:pPr>
            <w:r>
              <w:rPr>
                <w:rFonts w:ascii="宋体" w:hAnsi="宋体" w:eastAsia="宋体" w:cs="宋体"/>
                <w:sz w:val="24"/>
                <w:highlight w:val="none"/>
              </w:rPr>
              <w:t xml:space="preserve">投标总价：       大写：           </w:t>
            </w: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left"/>
              <w:rPr>
                <w:rFonts w:ascii="宋体" w:hAnsi="宋体" w:eastAsia="宋体" w:cs="宋体"/>
                <w:sz w:val="22"/>
                <w:highlight w:val="none"/>
              </w:rPr>
            </w:pPr>
          </w:p>
        </w:tc>
      </w:tr>
    </w:tbl>
    <w:p>
      <w:pPr>
        <w:spacing w:before="100" w:after="100" w:line="360" w:lineRule="auto"/>
        <w:ind w:firstLine="4920"/>
        <w:rPr>
          <w:rFonts w:ascii="宋体" w:hAnsi="宋体" w:eastAsia="宋体" w:cs="宋体"/>
          <w:sz w:val="24"/>
          <w:highlight w:val="none"/>
        </w:rPr>
      </w:pPr>
      <w:r>
        <w:rPr>
          <w:rFonts w:ascii="宋体" w:hAnsi="宋体" w:eastAsia="宋体" w:cs="宋体"/>
          <w:sz w:val="24"/>
          <w:highlight w:val="none"/>
        </w:rPr>
        <w:t xml:space="preserve">投标人电子公章： </w:t>
      </w:r>
    </w:p>
    <w:p>
      <w:pPr>
        <w:spacing w:line="360" w:lineRule="auto"/>
        <w:rPr>
          <w:rFonts w:ascii="宋体" w:hAnsi="宋体" w:eastAsia="宋体" w:cs="宋体"/>
          <w:sz w:val="24"/>
          <w:highlight w:val="none"/>
        </w:rPr>
      </w:pPr>
      <w:r>
        <w:rPr>
          <w:rFonts w:ascii="宋体" w:hAnsi="宋体" w:eastAsia="宋体" w:cs="宋体"/>
          <w:sz w:val="24"/>
          <w:highlight w:val="none"/>
        </w:rPr>
        <w:t>备注：</w:t>
      </w:r>
    </w:p>
    <w:p>
      <w:pPr>
        <w:spacing w:line="360" w:lineRule="auto"/>
        <w:rPr>
          <w:rFonts w:ascii="宋体" w:hAnsi="宋体" w:eastAsia="宋体" w:cs="宋体"/>
          <w:sz w:val="24"/>
          <w:highlight w:val="none"/>
        </w:rPr>
      </w:pPr>
      <w:r>
        <w:rPr>
          <w:rFonts w:ascii="宋体" w:hAnsi="宋体" w:eastAsia="宋体" w:cs="宋体"/>
          <w:sz w:val="24"/>
          <w:highlight w:val="none"/>
        </w:rPr>
        <w:t>1、此表用于开标会唱标之用。</w:t>
      </w:r>
    </w:p>
    <w:p>
      <w:pPr>
        <w:spacing w:line="360" w:lineRule="auto"/>
        <w:rPr>
          <w:rFonts w:ascii="宋体" w:hAnsi="宋体" w:eastAsia="宋体" w:cs="宋体"/>
          <w:sz w:val="24"/>
          <w:highlight w:val="none"/>
        </w:rPr>
      </w:pPr>
      <w:r>
        <w:rPr>
          <w:rFonts w:ascii="宋体" w:hAnsi="宋体" w:eastAsia="宋体" w:cs="宋体"/>
          <w:sz w:val="24"/>
          <w:highlight w:val="none"/>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rPr>
          <w:rFonts w:ascii="宋体" w:hAnsi="宋体" w:eastAsia="宋体" w:cs="宋体"/>
          <w:sz w:val="24"/>
          <w:highlight w:val="none"/>
        </w:rPr>
      </w:pPr>
      <w:r>
        <w:rPr>
          <w:rFonts w:ascii="宋体" w:hAnsi="宋体" w:eastAsia="宋体" w:cs="宋体"/>
          <w:sz w:val="24"/>
          <w:highlight w:val="none"/>
        </w:rPr>
        <w:br w:type="page"/>
      </w:r>
    </w:p>
    <w:p>
      <w:pPr>
        <w:spacing w:line="360" w:lineRule="auto"/>
        <w:jc w:val="left"/>
        <w:rPr>
          <w:rFonts w:ascii="宋体" w:hAnsi="宋体" w:eastAsia="宋体" w:cs="宋体"/>
          <w:sz w:val="24"/>
          <w:highlight w:val="none"/>
        </w:rPr>
      </w:pPr>
      <w:r>
        <w:rPr>
          <w:rFonts w:ascii="宋体" w:hAnsi="宋体" w:eastAsia="宋体" w:cs="宋体"/>
          <w:sz w:val="24"/>
          <w:highlight w:val="none"/>
        </w:rPr>
        <w:t>格式5</w:t>
      </w:r>
    </w:p>
    <w:p>
      <w:pPr>
        <w:keepNext/>
        <w:keepLines/>
        <w:spacing w:before="260" w:after="260" w:line="416" w:lineRule="auto"/>
        <w:jc w:val="center"/>
        <w:rPr>
          <w:rFonts w:ascii="宋体" w:hAnsi="宋体" w:eastAsia="宋体" w:cs="宋体"/>
          <w:sz w:val="24"/>
          <w:highlight w:val="none"/>
        </w:rPr>
      </w:pPr>
      <w:r>
        <w:rPr>
          <w:rFonts w:ascii="宋体" w:hAnsi="宋体" w:eastAsia="宋体" w:cs="宋体"/>
          <w:sz w:val="24"/>
          <w:highlight w:val="none"/>
        </w:rPr>
        <w:t>投标分项报价表</w:t>
      </w:r>
    </w:p>
    <w:p>
      <w:pPr>
        <w:jc w:val="center"/>
        <w:rPr>
          <w:rFonts w:ascii="Times New Roman" w:hAnsi="Times New Roman" w:eastAsia="Times New Roman" w:cs="Times New Roman"/>
          <w:sz w:val="24"/>
          <w:highlight w:val="none"/>
        </w:rPr>
      </w:pPr>
    </w:p>
    <w:p>
      <w:pPr>
        <w:rPr>
          <w:rFonts w:ascii="Times New Roman" w:hAnsi="Times New Roman" w:eastAsia="Times New Roman" w:cs="Times New Roman"/>
          <w:sz w:val="24"/>
          <w:highlight w:val="none"/>
        </w:rPr>
      </w:pPr>
      <w:r>
        <w:rPr>
          <w:rFonts w:ascii="宋体" w:hAnsi="宋体" w:eastAsia="宋体" w:cs="宋体"/>
          <w:sz w:val="24"/>
          <w:highlight w:val="none"/>
        </w:rPr>
        <w:t>供应商名称：</w:t>
      </w:r>
    </w:p>
    <w:p>
      <w:pPr>
        <w:jc w:val="center"/>
        <w:rPr>
          <w:rFonts w:ascii="Times New Roman" w:hAnsi="Times New Roman" w:eastAsia="Times New Roman" w:cs="Times New Roman"/>
          <w:sz w:val="24"/>
          <w:highlight w:val="none"/>
        </w:rPr>
      </w:pPr>
      <w:r>
        <w:rPr>
          <w:rFonts w:ascii="宋体" w:hAnsi="宋体" w:eastAsia="宋体" w:cs="宋体"/>
          <w:sz w:val="24"/>
          <w:highlight w:val="none"/>
        </w:rPr>
        <w:t>单位：元</w:t>
      </w:r>
    </w:p>
    <w:tbl>
      <w:tblPr>
        <w:tblStyle w:val="17"/>
        <w:tblW w:w="0" w:type="auto"/>
        <w:tblInd w:w="0" w:type="dxa"/>
        <w:tblLayout w:type="autofit"/>
        <w:tblCellMar>
          <w:top w:w="0" w:type="dxa"/>
          <w:left w:w="10" w:type="dxa"/>
          <w:bottom w:w="0" w:type="dxa"/>
          <w:right w:w="10" w:type="dxa"/>
        </w:tblCellMar>
      </w:tblPr>
      <w:tblGrid>
        <w:gridCol w:w="806"/>
        <w:gridCol w:w="4612"/>
        <w:gridCol w:w="1034"/>
        <w:gridCol w:w="1034"/>
        <w:gridCol w:w="1036"/>
      </w:tblGrid>
      <w:t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小计</w:t>
            </w: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highlight w:val="none"/>
              </w:rPr>
            </w:pPr>
            <w:r>
              <w:rPr>
                <w:rFonts w:ascii="宋体" w:hAnsi="宋体" w:eastAsia="宋体" w:cs="宋体"/>
                <w:sz w:val="24"/>
                <w:highlight w:val="none"/>
              </w:rPr>
              <w:t>总价（人民币大写）：￥</w:t>
            </w:r>
            <w:r>
              <w:rPr>
                <w:rFonts w:ascii="Times New Roman" w:hAnsi="Times New Roman" w:eastAsia="Times New Roman" w:cs="Times New Roman"/>
                <w:sz w:val="24"/>
                <w:highlight w:val="none"/>
              </w:rPr>
              <w:t xml:space="preserve">     </w:t>
            </w:r>
            <w:r>
              <w:rPr>
                <w:rFonts w:ascii="宋体" w:hAnsi="宋体" w:eastAsia="宋体" w:cs="宋体"/>
                <w:sz w:val="24"/>
                <w:highlight w:val="none"/>
              </w:rPr>
              <w:t>元</w:t>
            </w:r>
          </w:p>
        </w:tc>
      </w:tr>
    </w:tbl>
    <w:p>
      <w:pPr>
        <w:jc w:val="center"/>
        <w:rPr>
          <w:rFonts w:ascii="Times New Roman" w:hAnsi="Times New Roman" w:eastAsia="Times New Roman" w:cs="Times New Roman"/>
          <w:sz w:val="24"/>
          <w:highlight w:val="none"/>
        </w:rPr>
      </w:pPr>
    </w:p>
    <w:p>
      <w:pPr>
        <w:jc w:val="center"/>
        <w:rPr>
          <w:rFonts w:ascii="Times New Roman" w:hAnsi="Times New Roman" w:eastAsia="Times New Roman" w:cs="Times New Roman"/>
          <w:sz w:val="24"/>
          <w:highlight w:val="none"/>
        </w:rPr>
      </w:pPr>
    </w:p>
    <w:p>
      <w:pPr>
        <w:jc w:val="center"/>
        <w:rPr>
          <w:rFonts w:ascii="Times New Roman" w:hAnsi="Times New Roman" w:eastAsia="Times New Roman" w:cs="Times New Roman"/>
          <w:sz w:val="24"/>
          <w:highlight w:val="none"/>
        </w:rPr>
      </w:pPr>
      <w:r>
        <w:rPr>
          <w:rFonts w:ascii="宋体" w:hAnsi="宋体" w:eastAsia="宋体" w:cs="宋体"/>
          <w:sz w:val="24"/>
          <w:highlight w:val="none"/>
        </w:rPr>
        <w:t>供应商代表签字：供应商公章日期：</w:t>
      </w: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rPr>
          <w:rFonts w:ascii="宋体" w:hAnsi="宋体" w:eastAsia="宋体" w:cs="宋体"/>
          <w:sz w:val="24"/>
          <w:highlight w:val="none"/>
        </w:rPr>
      </w:pPr>
      <w:r>
        <w:rPr>
          <w:rFonts w:ascii="宋体" w:hAnsi="宋体" w:eastAsia="宋体" w:cs="宋体"/>
          <w:sz w:val="24"/>
          <w:highlight w:val="none"/>
        </w:rPr>
        <w:br w:type="page"/>
      </w:r>
    </w:p>
    <w:p>
      <w:pPr>
        <w:spacing w:line="360" w:lineRule="auto"/>
        <w:jc w:val="left"/>
        <w:rPr>
          <w:rFonts w:ascii="宋体" w:hAnsi="宋体" w:eastAsia="宋体" w:cs="宋体"/>
          <w:sz w:val="24"/>
          <w:highlight w:val="none"/>
        </w:rPr>
      </w:pPr>
      <w:r>
        <w:rPr>
          <w:rFonts w:ascii="宋体" w:hAnsi="宋体" w:eastAsia="宋体" w:cs="宋体"/>
          <w:sz w:val="24"/>
          <w:highlight w:val="none"/>
        </w:rPr>
        <w:t xml:space="preserve">格式6                  </w:t>
      </w:r>
    </w:p>
    <w:p>
      <w:pPr>
        <w:jc w:val="center"/>
        <w:rPr>
          <w:rFonts w:ascii="宋体" w:hAnsi="宋体" w:eastAsia="宋体" w:cs="宋体"/>
          <w:sz w:val="24"/>
          <w:highlight w:val="none"/>
        </w:rPr>
      </w:pPr>
      <w:r>
        <w:rPr>
          <w:rFonts w:ascii="宋体" w:hAnsi="宋体" w:eastAsia="宋体" w:cs="宋体"/>
          <w:b/>
          <w:sz w:val="24"/>
          <w:highlight w:val="none"/>
        </w:rPr>
        <w:t>技术参数响应表</w:t>
      </w:r>
    </w:p>
    <w:p>
      <w:pPr>
        <w:rPr>
          <w:rFonts w:ascii="宋体" w:hAnsi="宋体" w:eastAsia="宋体" w:cs="宋体"/>
          <w:sz w:val="24"/>
          <w:highlight w:val="none"/>
        </w:rPr>
      </w:pPr>
    </w:p>
    <w:p>
      <w:pPr>
        <w:rPr>
          <w:rFonts w:ascii="宋体" w:hAnsi="宋体" w:eastAsia="宋体" w:cs="宋体"/>
          <w:sz w:val="24"/>
          <w:highlight w:val="none"/>
        </w:rPr>
      </w:pPr>
    </w:p>
    <w:tbl>
      <w:tblPr>
        <w:tblStyle w:val="17"/>
        <w:tblW w:w="0" w:type="auto"/>
        <w:tblInd w:w="0" w:type="dxa"/>
        <w:tblLayout w:type="autofit"/>
        <w:tblCellMar>
          <w:top w:w="0" w:type="dxa"/>
          <w:left w:w="10" w:type="dxa"/>
          <w:bottom w:w="0" w:type="dxa"/>
          <w:right w:w="10" w:type="dxa"/>
        </w:tblCellMar>
      </w:tblPr>
      <w:tblGrid>
        <w:gridCol w:w="702"/>
        <w:gridCol w:w="701"/>
        <w:gridCol w:w="3240"/>
        <w:gridCol w:w="2616"/>
        <w:gridCol w:w="1263"/>
      </w:tblGrid>
      <w:tr>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按投标人所投内容填写</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偏离说明</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bl>
    <w:p>
      <w:pPr>
        <w:rPr>
          <w:rFonts w:ascii="宋体" w:hAnsi="宋体" w:eastAsia="宋体" w:cs="宋体"/>
          <w:sz w:val="24"/>
          <w:highlight w:val="none"/>
        </w:rPr>
      </w:pPr>
    </w:p>
    <w:p>
      <w:pPr>
        <w:rPr>
          <w:rFonts w:ascii="宋体" w:hAnsi="宋体" w:eastAsia="宋体" w:cs="宋体"/>
          <w:sz w:val="24"/>
          <w:highlight w:val="none"/>
        </w:rPr>
      </w:pPr>
      <w:r>
        <w:rPr>
          <w:rFonts w:ascii="宋体" w:hAnsi="宋体" w:eastAsia="宋体" w:cs="宋体"/>
          <w:sz w:val="24"/>
          <w:highlight w:val="none"/>
        </w:rPr>
        <w:t>(可根据需求自行更改)</w:t>
      </w:r>
    </w:p>
    <w:p>
      <w:pPr>
        <w:rPr>
          <w:rFonts w:ascii="宋体" w:hAnsi="宋体" w:eastAsia="宋体" w:cs="宋体"/>
          <w:sz w:val="24"/>
          <w:highlight w:val="none"/>
        </w:rPr>
      </w:pPr>
    </w:p>
    <w:p>
      <w:pPr>
        <w:spacing w:line="360" w:lineRule="auto"/>
        <w:ind w:left="5250" w:firstLine="240"/>
        <w:rPr>
          <w:rFonts w:ascii="宋体" w:hAnsi="宋体" w:eastAsia="宋体" w:cs="宋体"/>
          <w:sz w:val="24"/>
          <w:highlight w:val="none"/>
        </w:rPr>
      </w:pPr>
      <w:r>
        <w:rPr>
          <w:rFonts w:ascii="宋体" w:hAnsi="宋体" w:eastAsia="宋体" w:cs="宋体"/>
          <w:sz w:val="24"/>
          <w:highlight w:val="none"/>
        </w:rPr>
        <w:t>投标人电子公章：</w:t>
      </w:r>
    </w:p>
    <w:p>
      <w:pPr>
        <w:spacing w:line="360" w:lineRule="auto"/>
        <w:jc w:val="right"/>
        <w:rPr>
          <w:rFonts w:ascii="宋体" w:hAnsi="宋体" w:eastAsia="宋体" w:cs="宋体"/>
          <w:sz w:val="24"/>
          <w:highlight w:val="none"/>
        </w:rPr>
      </w:pPr>
      <w:r>
        <w:rPr>
          <w:rFonts w:ascii="宋体" w:hAnsi="宋体" w:eastAsia="宋体" w:cs="宋体"/>
          <w:sz w:val="24"/>
          <w:highlight w:val="none"/>
        </w:rPr>
        <w:t xml:space="preserve">  年  月  日</w:t>
      </w:r>
    </w:p>
    <w:p>
      <w:pPr>
        <w:spacing w:line="360" w:lineRule="auto"/>
        <w:rPr>
          <w:rFonts w:ascii="宋体" w:hAnsi="宋体" w:eastAsia="宋体" w:cs="宋体"/>
          <w:b/>
          <w:sz w:val="24"/>
          <w:highlight w:val="none"/>
        </w:rPr>
      </w:pPr>
    </w:p>
    <w:p>
      <w:pPr>
        <w:spacing w:line="360" w:lineRule="auto"/>
        <w:rPr>
          <w:rFonts w:ascii="宋体" w:hAnsi="宋体" w:eastAsia="宋体" w:cs="宋体"/>
          <w:sz w:val="24"/>
          <w:highlight w:val="none"/>
        </w:rPr>
      </w:pPr>
      <w:r>
        <w:rPr>
          <w:rFonts w:ascii="宋体" w:hAnsi="宋体" w:eastAsia="宋体" w:cs="宋体"/>
          <w:sz w:val="24"/>
          <w:highlight w:val="none"/>
        </w:rPr>
        <w:t xml:space="preserve"> </w:t>
      </w:r>
    </w:p>
    <w:p>
      <w:pPr>
        <w:spacing w:line="360" w:lineRule="auto"/>
        <w:jc w:val="left"/>
        <w:rPr>
          <w:rFonts w:ascii="宋体" w:hAnsi="宋体" w:eastAsia="宋体" w:cs="宋体"/>
          <w:sz w:val="24"/>
          <w:highlight w:val="none"/>
        </w:rPr>
      </w:pPr>
      <w:r>
        <w:rPr>
          <w:rFonts w:ascii="宋体" w:hAnsi="宋体" w:eastAsia="宋体" w:cs="宋体"/>
          <w:sz w:val="24"/>
          <w:highlight w:val="none"/>
        </w:rPr>
        <w:t>格式7</w:t>
      </w:r>
    </w:p>
    <w:p>
      <w:pPr>
        <w:tabs>
          <w:tab w:val="left" w:pos="0"/>
          <w:tab w:val="left" w:pos="993"/>
          <w:tab w:val="left" w:pos="1134"/>
        </w:tabs>
        <w:ind w:firstLine="480"/>
        <w:rPr>
          <w:rFonts w:ascii="宋体" w:hAnsi="宋体" w:eastAsia="宋体" w:cs="宋体"/>
          <w:sz w:val="24"/>
          <w:highlight w:val="none"/>
        </w:rPr>
      </w:pPr>
    </w:p>
    <w:p>
      <w:pPr>
        <w:spacing w:line="380" w:lineRule="auto"/>
        <w:jc w:val="center"/>
        <w:rPr>
          <w:rFonts w:ascii="宋体" w:hAnsi="宋体" w:eastAsia="宋体" w:cs="宋体"/>
          <w:sz w:val="24"/>
          <w:highlight w:val="none"/>
        </w:rPr>
      </w:pPr>
      <w:r>
        <w:rPr>
          <w:rFonts w:ascii="宋体" w:hAnsi="宋体" w:eastAsia="宋体" w:cs="宋体"/>
          <w:sz w:val="24"/>
          <w:highlight w:val="none"/>
        </w:rPr>
        <w:t>售后服务承诺</w:t>
      </w:r>
    </w:p>
    <w:p>
      <w:pPr>
        <w:spacing w:line="380" w:lineRule="auto"/>
        <w:jc w:val="center"/>
        <w:rPr>
          <w:rFonts w:ascii="宋体" w:hAnsi="宋体" w:eastAsia="宋体" w:cs="宋体"/>
          <w:sz w:val="24"/>
          <w:highlight w:val="none"/>
        </w:rPr>
      </w:pPr>
    </w:p>
    <w:p>
      <w:pPr>
        <w:spacing w:line="380" w:lineRule="auto"/>
        <w:ind w:firstLine="360"/>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spacing w:line="380" w:lineRule="auto"/>
        <w:rPr>
          <w:rFonts w:ascii="宋体" w:hAnsi="宋体" w:eastAsia="宋体" w:cs="宋体"/>
          <w:sz w:val="24"/>
          <w:highlight w:val="none"/>
        </w:rPr>
      </w:pPr>
    </w:p>
    <w:p>
      <w:pPr>
        <w:spacing w:line="380" w:lineRule="auto"/>
        <w:ind w:firstLine="4008"/>
        <w:rPr>
          <w:rFonts w:ascii="宋体" w:hAnsi="宋体" w:eastAsia="宋体" w:cs="宋体"/>
          <w:sz w:val="24"/>
          <w:highlight w:val="none"/>
        </w:rPr>
      </w:pPr>
      <w:r>
        <w:rPr>
          <w:rFonts w:ascii="宋体" w:hAnsi="宋体" w:eastAsia="宋体" w:cs="宋体"/>
          <w:sz w:val="24"/>
          <w:highlight w:val="none"/>
        </w:rPr>
        <w:t>投标人电子公章：</w:t>
      </w:r>
    </w:p>
    <w:p>
      <w:pPr>
        <w:spacing w:line="380" w:lineRule="auto"/>
        <w:ind w:right="640" w:firstLine="1560"/>
        <w:rPr>
          <w:rFonts w:ascii="宋体" w:hAnsi="宋体" w:eastAsia="宋体" w:cs="宋体"/>
          <w:sz w:val="24"/>
          <w:highlight w:val="none"/>
        </w:rPr>
      </w:pPr>
    </w:p>
    <w:p>
      <w:pPr>
        <w:spacing w:line="380" w:lineRule="auto"/>
        <w:ind w:right="640" w:firstLine="4680"/>
        <w:rPr>
          <w:rFonts w:ascii="宋体" w:hAnsi="宋体" w:eastAsia="宋体" w:cs="宋体"/>
          <w:sz w:val="24"/>
          <w:highlight w:val="none"/>
        </w:rPr>
      </w:pPr>
    </w:p>
    <w:p>
      <w:pPr>
        <w:spacing w:line="380" w:lineRule="auto"/>
        <w:jc w:val="center"/>
        <w:rPr>
          <w:rFonts w:ascii="宋体" w:hAnsi="宋体" w:eastAsia="宋体" w:cs="宋体"/>
          <w:sz w:val="24"/>
          <w:highlight w:val="none"/>
        </w:rPr>
      </w:pPr>
    </w:p>
    <w:p>
      <w:pPr>
        <w:spacing w:line="380" w:lineRule="auto"/>
        <w:ind w:firstLine="3600"/>
        <w:rPr>
          <w:rFonts w:ascii="宋体" w:hAnsi="宋体" w:eastAsia="宋体" w:cs="宋体"/>
          <w:sz w:val="24"/>
          <w:highlight w:val="none"/>
        </w:rPr>
      </w:pPr>
      <w:r>
        <w:rPr>
          <w:rFonts w:ascii="宋体" w:hAnsi="宋体" w:eastAsia="宋体" w:cs="宋体"/>
          <w:sz w:val="24"/>
          <w:highlight w:val="none"/>
        </w:rPr>
        <w:t xml:space="preserve">      年   月    日</w:t>
      </w:r>
    </w:p>
    <w:p>
      <w:pPr>
        <w:rPr>
          <w:highlight w:val="none"/>
        </w:rPr>
      </w:pPr>
    </w:p>
    <w:p>
      <w:pPr>
        <w:spacing w:line="360" w:lineRule="auto"/>
        <w:rPr>
          <w:rFonts w:ascii="宋体" w:hAnsi="宋体" w:eastAsia="宋体" w:cs="宋体"/>
          <w:sz w:val="24"/>
          <w:highlight w:val="none"/>
        </w:rPr>
      </w:pPr>
      <w:r>
        <w:rPr>
          <w:rFonts w:ascii="宋体" w:hAnsi="宋体" w:eastAsia="宋体" w:cs="宋体"/>
          <w:sz w:val="24"/>
          <w:highlight w:val="none"/>
        </w:rPr>
        <w:t>格式8</w:t>
      </w:r>
    </w:p>
    <w:p>
      <w:pPr>
        <w:spacing w:line="360" w:lineRule="auto"/>
        <w:ind w:firstLine="1680"/>
        <w:rPr>
          <w:rFonts w:ascii="宋体" w:hAnsi="宋体" w:eastAsia="宋体" w:cs="宋体"/>
          <w:sz w:val="24"/>
          <w:highlight w:val="none"/>
        </w:rPr>
      </w:pPr>
      <w:r>
        <w:rPr>
          <w:rFonts w:ascii="宋体" w:hAnsi="宋体" w:eastAsia="宋体" w:cs="宋体"/>
          <w:sz w:val="24"/>
          <w:highlight w:val="none"/>
        </w:rPr>
        <w:t>合格供应商的声明函和承诺书</w:t>
      </w: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pStyle w:val="26"/>
        <w:rPr>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80" w:lineRule="auto"/>
        <w:ind w:firstLine="3360"/>
        <w:rPr>
          <w:rFonts w:ascii="宋体" w:hAnsi="宋体" w:eastAsia="宋体" w:cs="宋体"/>
          <w:sz w:val="24"/>
          <w:highlight w:val="none"/>
        </w:rPr>
      </w:pPr>
      <w:r>
        <w:rPr>
          <w:rFonts w:ascii="宋体" w:hAnsi="宋体" w:eastAsia="宋体" w:cs="宋体"/>
          <w:sz w:val="24"/>
          <w:highlight w:val="none"/>
        </w:rPr>
        <w:t>投标人电子公章：</w:t>
      </w:r>
    </w:p>
    <w:p>
      <w:pPr>
        <w:spacing w:line="380" w:lineRule="auto"/>
        <w:ind w:right="640" w:firstLine="1560"/>
        <w:rPr>
          <w:rFonts w:ascii="宋体" w:hAnsi="宋体" w:eastAsia="宋体" w:cs="宋体"/>
          <w:sz w:val="24"/>
          <w:highlight w:val="none"/>
        </w:rPr>
      </w:pPr>
    </w:p>
    <w:p>
      <w:pPr>
        <w:spacing w:line="360" w:lineRule="auto"/>
        <w:jc w:val="center"/>
        <w:rPr>
          <w:rFonts w:ascii="宋体" w:hAnsi="宋体" w:eastAsia="宋体" w:cs="宋体"/>
          <w:b/>
          <w:sz w:val="24"/>
          <w:highlight w:val="none"/>
        </w:rPr>
      </w:pPr>
      <w:r>
        <w:rPr>
          <w:rFonts w:ascii="宋体" w:hAnsi="宋体" w:eastAsia="宋体" w:cs="宋体"/>
          <w:sz w:val="24"/>
          <w:highlight w:val="none"/>
        </w:rPr>
        <w:t xml:space="preserve">      年   月    日</w:t>
      </w:r>
    </w:p>
    <w:p>
      <w:pPr>
        <w:spacing w:line="360" w:lineRule="auto"/>
        <w:jc w:val="center"/>
        <w:rPr>
          <w:rFonts w:ascii="宋体" w:hAnsi="宋体" w:eastAsia="宋体" w:cs="宋体"/>
          <w:b/>
          <w:sz w:val="24"/>
          <w:highlight w:val="none"/>
        </w:rPr>
      </w:pPr>
    </w:p>
    <w:p>
      <w:pPr>
        <w:pStyle w:val="26"/>
        <w:rPr>
          <w:rFonts w:ascii="宋体" w:hAnsi="宋体" w:cs="宋体"/>
          <w:b/>
          <w:sz w:val="24"/>
          <w:highlight w:val="none"/>
        </w:rPr>
      </w:pPr>
    </w:p>
    <w:p>
      <w:pPr>
        <w:pStyle w:val="5"/>
        <w:rPr>
          <w:rFonts w:ascii="宋体" w:hAnsi="宋体" w:eastAsia="宋体" w:cs="宋体"/>
          <w:b/>
          <w:sz w:val="24"/>
          <w:highlight w:val="none"/>
        </w:rPr>
      </w:pPr>
    </w:p>
    <w:p>
      <w:pPr>
        <w:rPr>
          <w:rFonts w:ascii="宋体" w:hAnsi="宋体" w:eastAsia="宋体" w:cs="宋体"/>
          <w:b/>
          <w:sz w:val="24"/>
          <w:highlight w:val="none"/>
        </w:rPr>
      </w:pPr>
    </w:p>
    <w:p>
      <w:pPr>
        <w:pStyle w:val="26"/>
        <w:rPr>
          <w:rFonts w:ascii="宋体" w:hAnsi="宋体" w:cs="宋体"/>
          <w:b/>
          <w:sz w:val="24"/>
          <w:highlight w:val="none"/>
        </w:rPr>
      </w:pPr>
    </w:p>
    <w:p>
      <w:pPr>
        <w:pStyle w:val="5"/>
        <w:rPr>
          <w:rFonts w:ascii="宋体" w:hAnsi="宋体" w:eastAsia="宋体" w:cs="宋体"/>
          <w:b/>
          <w:sz w:val="24"/>
          <w:highlight w:val="none"/>
        </w:rPr>
      </w:pPr>
    </w:p>
    <w:p>
      <w:pPr>
        <w:rPr>
          <w:rFonts w:ascii="宋体" w:hAnsi="宋体" w:eastAsia="宋体" w:cs="宋体"/>
          <w:b/>
          <w:sz w:val="24"/>
          <w:highlight w:val="none"/>
        </w:rPr>
      </w:pPr>
    </w:p>
    <w:p>
      <w:pPr>
        <w:pStyle w:val="26"/>
        <w:rPr>
          <w:rFonts w:ascii="宋体" w:hAnsi="宋体" w:cs="宋体"/>
          <w:b/>
          <w:sz w:val="24"/>
          <w:highlight w:val="none"/>
        </w:rPr>
      </w:pPr>
    </w:p>
    <w:p>
      <w:pPr>
        <w:pStyle w:val="5"/>
        <w:rPr>
          <w:rFonts w:ascii="宋体" w:hAnsi="宋体" w:eastAsia="宋体" w:cs="宋体"/>
          <w:b/>
          <w:sz w:val="24"/>
          <w:highlight w:val="none"/>
        </w:rPr>
      </w:pPr>
    </w:p>
    <w:p>
      <w:pPr>
        <w:rPr>
          <w:rFonts w:ascii="宋体" w:hAnsi="宋体" w:eastAsia="宋体" w:cs="宋体"/>
          <w:b/>
          <w:sz w:val="24"/>
          <w:highlight w:val="none"/>
        </w:rPr>
      </w:pPr>
    </w:p>
    <w:p>
      <w:pPr>
        <w:pStyle w:val="26"/>
        <w:rPr>
          <w:rFonts w:ascii="宋体" w:hAnsi="宋体" w:cs="宋体"/>
          <w:b/>
          <w:sz w:val="24"/>
          <w:highlight w:val="none"/>
        </w:rPr>
      </w:pPr>
    </w:p>
    <w:p>
      <w:pPr>
        <w:pStyle w:val="5"/>
        <w:rPr>
          <w:rFonts w:ascii="宋体" w:hAnsi="宋体" w:eastAsia="宋体" w:cs="宋体"/>
          <w:b/>
          <w:sz w:val="24"/>
          <w:highlight w:val="none"/>
        </w:rPr>
      </w:pPr>
    </w:p>
    <w:p>
      <w:pPr>
        <w:spacing w:line="360" w:lineRule="auto"/>
        <w:jc w:val="both"/>
        <w:rPr>
          <w:rFonts w:ascii="宋体" w:hAnsi="宋体" w:eastAsia="宋体" w:cs="宋体"/>
          <w:b/>
          <w:sz w:val="24"/>
          <w:highlight w:val="none"/>
        </w:rPr>
      </w:pPr>
    </w:p>
    <w:p>
      <w:pPr>
        <w:spacing w:line="360" w:lineRule="auto"/>
        <w:rPr>
          <w:rFonts w:ascii="宋体" w:hAnsi="宋体" w:eastAsia="宋体" w:cs="宋体"/>
          <w:sz w:val="24"/>
          <w:highlight w:val="none"/>
        </w:rPr>
      </w:pPr>
      <w:r>
        <w:rPr>
          <w:rFonts w:ascii="宋体" w:hAnsi="宋体" w:eastAsia="宋体" w:cs="宋体"/>
          <w:sz w:val="24"/>
          <w:highlight w:val="none"/>
        </w:rPr>
        <w:t>格式9</w:t>
      </w:r>
    </w:p>
    <w:p>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采购活动，提供的货物全部由符合政策要求的中小企业制造。相关企业（含联合体中的中小企业、签订分包意向协议的中小企业）的具体情况如下：</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pPr>
        <w:rPr>
          <w:rFonts w:ascii="宋体" w:hAnsi="宋体" w:eastAsia="宋体" w:cs="宋体"/>
          <w:sz w:val="24"/>
          <w:szCs w:val="24"/>
          <w:highlight w:val="none"/>
        </w:rPr>
      </w:pPr>
      <w:r>
        <w:rPr>
          <w:rFonts w:hint="eastAsia" w:ascii="宋体" w:hAnsi="宋体" w:eastAsia="宋体" w:cs="宋体"/>
          <w:sz w:val="24"/>
          <w:szCs w:val="24"/>
          <w:highlight w:val="none"/>
        </w:rPr>
        <w:t>……</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pPr>
        <w:ind w:firstLine="3840" w:firstLineChars="1600"/>
        <w:rPr>
          <w:rFonts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pPr>
        <w:spacing w:line="360" w:lineRule="auto"/>
        <w:ind w:firstLine="5040" w:firstLineChars="2100"/>
        <w:rPr>
          <w:rFonts w:ascii="宋体" w:hAnsi="宋体" w:eastAsia="宋体" w:cs="宋体"/>
          <w:sz w:val="24"/>
          <w:szCs w:val="24"/>
          <w:highlight w:val="none"/>
        </w:rPr>
      </w:pPr>
      <w:r>
        <w:rPr>
          <w:rFonts w:hint="eastAsia" w:ascii="宋体" w:hAnsi="宋体" w:eastAsia="宋体" w:cs="宋体"/>
          <w:sz w:val="24"/>
          <w:szCs w:val="24"/>
          <w:highlight w:val="none"/>
        </w:rPr>
        <w:t>日 期：</w:t>
      </w:r>
    </w:p>
    <w:p>
      <w:pPr>
        <w:spacing w:line="360" w:lineRule="auto"/>
        <w:rPr>
          <w:rFonts w:ascii="宋体" w:hAnsi="宋体" w:eastAsia="宋体" w:cs="宋体"/>
          <w:sz w:val="24"/>
          <w:highlight w:val="none"/>
        </w:rPr>
      </w:pPr>
    </w:p>
    <w:p>
      <w:pPr>
        <w:rPr>
          <w:highlight w:val="none"/>
        </w:rPr>
      </w:pPr>
    </w:p>
    <w:p>
      <w:pPr>
        <w:spacing w:line="360" w:lineRule="auto"/>
        <w:ind w:firstLine="420" w:firstLineChars="200"/>
        <w:rPr>
          <w:rFonts w:ascii="Times New Roman" w:hAnsi="Times New Roman" w:eastAsia="宋体" w:cs="Times New Roman"/>
          <w:highlight w:val="none"/>
        </w:rPr>
      </w:pPr>
      <w:r>
        <w:rPr>
          <w:rFonts w:hint="eastAsia" w:ascii="Times New Roman" w:hAnsi="Times New Roman" w:eastAsia="宋体" w:cs="Times New Roman"/>
          <w:highlight w:val="none"/>
        </w:rPr>
        <w:t>注：1.从业人员、营业收入、资产总额填报上一年度数据，无上一年度数据的新成立企业可不填报。</w:t>
      </w:r>
    </w:p>
    <w:p>
      <w:pPr>
        <w:numPr>
          <w:ilvl w:val="0"/>
          <w:numId w:val="34"/>
        </w:numPr>
        <w:spacing w:line="360" w:lineRule="auto"/>
        <w:ind w:left="0" w:leftChars="0" w:firstLine="480" w:firstLineChars="0"/>
        <w:rPr>
          <w:rFonts w:hint="eastAsia" w:ascii="Times New Roman" w:hAnsi="Times New Roman" w:eastAsia="宋体" w:cs="Times New Roman"/>
          <w:highlight w:val="none"/>
        </w:rPr>
      </w:pPr>
      <w:r>
        <w:rPr>
          <w:rFonts w:hint="eastAsia" w:ascii="Times New Roman" w:hAnsi="Times New Roman" w:eastAsia="宋体" w:cs="Times New Roman"/>
          <w:highlight w:val="none"/>
        </w:rPr>
        <w:t>本项目如是只面向中小企业采购的应当必须提供。</w:t>
      </w:r>
    </w:p>
    <w:p>
      <w:pPr>
        <w:numPr>
          <w:ilvl w:val="0"/>
          <w:numId w:val="34"/>
        </w:numPr>
        <w:spacing w:line="360" w:lineRule="auto"/>
        <w:ind w:left="0" w:leftChars="0" w:firstLine="48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以上格式仅供参考</w:t>
      </w:r>
    </w:p>
    <w:p>
      <w:pPr>
        <w:spacing w:line="360" w:lineRule="auto"/>
        <w:rPr>
          <w:rFonts w:ascii="宋体" w:hAnsi="宋体" w:eastAsia="宋体" w:cs="宋体"/>
          <w:sz w:val="24"/>
          <w:highlight w:val="none"/>
        </w:rPr>
      </w:pPr>
    </w:p>
    <w:p>
      <w:pPr>
        <w:spacing w:line="360" w:lineRule="auto"/>
        <w:rPr>
          <w:rFonts w:ascii="宋体" w:hAnsi="宋体" w:eastAsia="宋体" w:cs="宋体"/>
          <w:sz w:val="24"/>
          <w:highlight w:val="none"/>
        </w:rPr>
      </w:pPr>
    </w:p>
    <w:p>
      <w:pPr>
        <w:pStyle w:val="26"/>
        <w:rPr>
          <w:rFonts w:ascii="宋体" w:hAnsi="宋体" w:cs="宋体"/>
          <w:sz w:val="24"/>
          <w:highlight w:val="none"/>
        </w:rPr>
      </w:pPr>
    </w:p>
    <w:p>
      <w:pPr>
        <w:pStyle w:val="5"/>
        <w:rPr>
          <w:rFonts w:ascii="宋体" w:hAnsi="宋体" w:eastAsia="宋体" w:cs="宋体"/>
          <w:sz w:val="24"/>
          <w:highlight w:val="none"/>
        </w:rPr>
      </w:pPr>
    </w:p>
    <w:p>
      <w:pPr>
        <w:rPr>
          <w:rFonts w:ascii="宋体" w:hAnsi="宋体" w:eastAsia="宋体" w:cs="宋体"/>
          <w:sz w:val="24"/>
          <w:highlight w:val="none"/>
        </w:rPr>
      </w:pPr>
    </w:p>
    <w:p>
      <w:pPr>
        <w:pStyle w:val="26"/>
        <w:rPr>
          <w:rFonts w:ascii="宋体" w:hAnsi="宋体" w:cs="宋体"/>
          <w:sz w:val="24"/>
          <w:highlight w:val="none"/>
        </w:rPr>
      </w:pPr>
    </w:p>
    <w:p>
      <w:pPr>
        <w:pStyle w:val="5"/>
        <w:rPr>
          <w:rFonts w:ascii="宋体" w:hAnsi="宋体" w:eastAsia="宋体" w:cs="宋体"/>
          <w:sz w:val="24"/>
          <w:highlight w:val="none"/>
        </w:rPr>
      </w:pPr>
    </w:p>
    <w:p>
      <w:pPr>
        <w:rPr>
          <w:rFonts w:ascii="宋体" w:hAnsi="宋体" w:eastAsia="宋体" w:cs="宋体"/>
          <w:sz w:val="24"/>
          <w:highlight w:val="none"/>
        </w:rPr>
      </w:pPr>
    </w:p>
    <w:p>
      <w:pPr>
        <w:pStyle w:val="21"/>
        <w:ind w:firstLine="240"/>
        <w:rPr>
          <w:rFonts w:ascii="宋体" w:hAnsi="宋体" w:eastAsia="宋体" w:cs="宋体"/>
          <w:sz w:val="24"/>
          <w:highlight w:val="none"/>
        </w:rPr>
      </w:pPr>
    </w:p>
    <w:p>
      <w:pPr>
        <w:pStyle w:val="21"/>
        <w:ind w:firstLine="240"/>
        <w:rPr>
          <w:rFonts w:ascii="宋体" w:hAnsi="宋体" w:eastAsia="宋体" w:cs="宋体"/>
          <w:sz w:val="24"/>
          <w:highlight w:val="none"/>
        </w:rPr>
      </w:pPr>
    </w:p>
    <w:p>
      <w:pPr>
        <w:spacing w:line="360" w:lineRule="auto"/>
        <w:rPr>
          <w:rFonts w:ascii="宋体" w:hAnsi="宋体" w:eastAsia="宋体" w:cs="宋体"/>
          <w:sz w:val="24"/>
          <w:highlight w:val="none"/>
        </w:rPr>
      </w:pPr>
      <w:r>
        <w:rPr>
          <w:rFonts w:ascii="宋体" w:hAnsi="宋体" w:eastAsia="宋体" w:cs="宋体"/>
          <w:sz w:val="24"/>
          <w:highlight w:val="none"/>
        </w:rPr>
        <w:t>格式</w:t>
      </w:r>
      <w:r>
        <w:rPr>
          <w:rFonts w:hint="eastAsia" w:ascii="宋体" w:hAnsi="宋体" w:eastAsia="宋体" w:cs="宋体"/>
          <w:sz w:val="24"/>
          <w:highlight w:val="none"/>
        </w:rPr>
        <w:t>10</w:t>
      </w:r>
      <w:r>
        <w:rPr>
          <w:rFonts w:ascii="宋体" w:hAnsi="宋体" w:eastAsia="宋体" w:cs="宋体"/>
          <w:sz w:val="24"/>
          <w:highlight w:val="none"/>
        </w:rPr>
        <w:t xml:space="preserve">  其他资料</w:t>
      </w:r>
    </w:p>
    <w:p>
      <w:pPr>
        <w:ind w:firstLine="240"/>
        <w:jc w:val="left"/>
        <w:rPr>
          <w:rFonts w:ascii="宋体" w:hAnsi="宋体" w:eastAsia="宋体" w:cs="宋体"/>
          <w:sz w:val="24"/>
          <w:highlight w:val="none"/>
        </w:rPr>
      </w:pPr>
    </w:p>
    <w:p>
      <w:pPr>
        <w:rPr>
          <w:rFonts w:ascii="宋体" w:hAnsi="宋体" w:eastAsia="宋体" w:cs="宋体"/>
          <w:sz w:val="24"/>
          <w:highlight w:val="none"/>
        </w:rPr>
      </w:pPr>
    </w:p>
    <w:p>
      <w:pPr>
        <w:rPr>
          <w:rFonts w:hint="eastAsia" w:ascii="宋体" w:hAnsi="宋体" w:eastAsia="宋体" w:cs="宋体"/>
          <w:szCs w:val="21"/>
          <w:highlight w:val="none"/>
        </w:rPr>
      </w:pPr>
      <w:r>
        <w:rPr>
          <w:rFonts w:hint="eastAsia" w:ascii="宋体" w:hAnsi="宋体" w:eastAsia="宋体" w:cs="宋体"/>
          <w:szCs w:val="21"/>
          <w:highlight w:val="none"/>
        </w:rPr>
        <w:br w:type="page"/>
      </w:r>
    </w:p>
    <w:p>
      <w:pPr>
        <w:spacing w:line="360" w:lineRule="auto"/>
        <w:rPr>
          <w:rFonts w:ascii="宋体" w:hAnsi="宋体" w:eastAsia="宋体" w:cs="宋体"/>
          <w:b/>
          <w:szCs w:val="21"/>
          <w:highlight w:val="none"/>
        </w:rPr>
      </w:pPr>
      <w:r>
        <w:rPr>
          <w:rFonts w:hint="eastAsia" w:ascii="宋体" w:hAnsi="宋体" w:eastAsia="宋体" w:cs="宋体"/>
          <w:szCs w:val="21"/>
          <w:highlight w:val="none"/>
        </w:rPr>
        <w:t>格式11</w:t>
      </w:r>
    </w:p>
    <w:p>
      <w:pPr>
        <w:spacing w:line="380" w:lineRule="auto"/>
        <w:jc w:val="center"/>
        <w:rPr>
          <w:rFonts w:ascii="宋体" w:hAnsi="宋体" w:eastAsia="宋体" w:cs="宋体"/>
          <w:b/>
          <w:szCs w:val="21"/>
          <w:highlight w:val="none"/>
        </w:rPr>
      </w:pPr>
      <w:r>
        <w:rPr>
          <w:rFonts w:hint="eastAsia" w:ascii="宋体" w:hAnsi="宋体" w:eastAsia="宋体" w:cs="宋体"/>
          <w:b/>
          <w:szCs w:val="21"/>
          <w:highlight w:val="none"/>
        </w:rPr>
        <w:t>政府采购供应商诚信承诺书</w:t>
      </w:r>
    </w:p>
    <w:p>
      <w:pPr>
        <w:spacing w:line="380" w:lineRule="auto"/>
        <w:jc w:val="center"/>
        <w:rPr>
          <w:rFonts w:ascii="宋体" w:hAnsi="宋体" w:eastAsia="宋体" w:cs="宋体"/>
          <w:b/>
          <w:szCs w:val="21"/>
          <w:highlight w:val="none"/>
        </w:rPr>
      </w:pPr>
    </w:p>
    <w:p>
      <w:pPr>
        <w:spacing w:line="380" w:lineRule="auto"/>
        <w:ind w:firstLine="720"/>
        <w:rPr>
          <w:rFonts w:ascii="宋体" w:hAnsi="宋体" w:eastAsia="宋体" w:cs="宋体"/>
          <w:szCs w:val="21"/>
          <w:highlight w:val="none"/>
        </w:rPr>
      </w:pPr>
      <w:r>
        <w:rPr>
          <w:rFonts w:hint="eastAsia" w:ascii="宋体" w:hAnsi="宋体" w:eastAsia="宋体" w:cs="宋体"/>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（一）提供虚假材料谋取中标;</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（二）采取不正当手段诋毁、排挤其他供应商;</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（三）与招标采购单位、其他投标人恶意串通;</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（四）向招标采购单位或提供其他不正当利益;</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（五）在招标过程中与招标采购单位进行协商谈判、不按照招标文件和投标文件订立合同，或者与采购人另立背离合同实质性内容协议;</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（六）开标后擅自撤销投标，影响招标继续进行的或领取招标文件纳投标保证金后不投标导致废标;</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（七）中标后无正当理由，在规定时间内不与采购单位签订合同;</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（八）将中标项目转让给他人或非法分包他人;</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（九）无正当理由，拒绝履行合同义务;</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（十）无正当理由放弃中标（成交）项目;</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（十ー）</w:t>
      </w:r>
      <w:r>
        <w:rPr>
          <w:rFonts w:hint="eastAsia" w:ascii="宋体" w:hAnsi="宋体" w:eastAsia="宋体" w:cs="宋体"/>
          <w:szCs w:val="21"/>
          <w:highlight w:val="none"/>
          <w:lang w:val="en-US" w:eastAsia="zh-CN"/>
        </w:rPr>
        <w:t>擅自</w:t>
      </w:r>
      <w:r>
        <w:rPr>
          <w:rFonts w:hint="eastAsia" w:ascii="宋体" w:hAnsi="宋体" w:eastAsia="宋体" w:cs="宋体"/>
          <w:szCs w:val="21"/>
          <w:highlight w:val="none"/>
        </w:rPr>
        <w:t>与采购人串通或接受采购人要求，在履约合同中通过减少货物数量，更换品牌、降低配置、技术要求、质量和服务标准等，却仍按原合同进行虚假验收或终止政府采购合同;</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（十二）与采购人串通，对尚未履约完毕的采购项目出具虚假验收报告；</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（十三）无不可抗力因素，拒绝提供售后服务、售后服务态度恶劣、故意提高维修配件价格（高于市场平均价）；</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（十四）开标后对招标文件的相关内容再进行质疑；</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（十五）恶意投诉的行为：投诉经查无实据的、捏造事实或者提供虚假设诉材料；</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（十六）拒绝有关部门监督检查或者提供虚假情况；</w:t>
      </w:r>
    </w:p>
    <w:p>
      <w:pPr>
        <w:spacing w:line="380" w:lineRule="auto"/>
        <w:ind w:left="0" w:leftChars="0" w:firstLine="420" w:firstLineChars="200"/>
        <w:rPr>
          <w:rFonts w:ascii="宋体" w:hAnsi="宋体" w:eastAsia="宋体" w:cs="宋体"/>
          <w:szCs w:val="21"/>
          <w:highlight w:val="none"/>
        </w:rPr>
      </w:pPr>
      <w:r>
        <w:rPr>
          <w:rFonts w:hint="eastAsia" w:ascii="宋体" w:hAnsi="宋体" w:eastAsia="宋体" w:cs="宋体"/>
          <w:szCs w:val="21"/>
          <w:highlight w:val="none"/>
        </w:rPr>
        <w:t>（十七）政府采购监管部门认定的其他政府采购活动中的不诚信行为。</w:t>
      </w:r>
    </w:p>
    <w:p>
      <w:pPr>
        <w:spacing w:line="380" w:lineRule="auto"/>
        <w:ind w:firstLine="3360"/>
        <w:rPr>
          <w:rFonts w:ascii="宋体" w:hAnsi="宋体" w:eastAsia="宋体" w:cs="宋体"/>
          <w:szCs w:val="21"/>
          <w:highlight w:val="none"/>
        </w:rPr>
      </w:pPr>
    </w:p>
    <w:p>
      <w:pPr>
        <w:spacing w:line="380" w:lineRule="auto"/>
        <w:ind w:firstLine="3360"/>
        <w:rPr>
          <w:rFonts w:ascii="宋体" w:hAnsi="宋体" w:eastAsia="宋体" w:cs="宋体"/>
          <w:szCs w:val="21"/>
          <w:highlight w:val="none"/>
        </w:rPr>
      </w:pPr>
      <w:r>
        <w:rPr>
          <w:rFonts w:hint="eastAsia" w:ascii="宋体" w:hAnsi="宋体" w:eastAsia="宋体" w:cs="宋体"/>
          <w:szCs w:val="21"/>
          <w:highlight w:val="none"/>
        </w:rPr>
        <w:t>供应商名称：（盖章）</w:t>
      </w:r>
    </w:p>
    <w:p>
      <w:pPr>
        <w:spacing w:line="380" w:lineRule="auto"/>
        <w:ind w:firstLine="3360"/>
        <w:rPr>
          <w:rFonts w:ascii="宋体" w:hAnsi="宋体" w:eastAsia="宋体" w:cs="宋体"/>
          <w:szCs w:val="21"/>
          <w:highlight w:val="none"/>
        </w:rPr>
      </w:pPr>
      <w:r>
        <w:rPr>
          <w:rFonts w:hint="eastAsia" w:ascii="宋体" w:hAnsi="宋体" w:eastAsia="宋体" w:cs="宋体"/>
          <w:szCs w:val="21"/>
          <w:highlight w:val="none"/>
        </w:rPr>
        <w:t>法人代表或授权委托人：（签字）</w:t>
      </w:r>
    </w:p>
    <w:p>
      <w:pPr>
        <w:spacing w:line="380" w:lineRule="auto"/>
        <w:ind w:firstLine="3360"/>
        <w:rPr>
          <w:rFonts w:ascii="宋体" w:hAnsi="宋体" w:eastAsia="宋体" w:cs="宋体"/>
          <w:szCs w:val="21"/>
          <w:highlight w:val="none"/>
        </w:rPr>
      </w:pPr>
    </w:p>
    <w:p>
      <w:pPr>
        <w:spacing w:line="380" w:lineRule="auto"/>
        <w:ind w:firstLine="3360"/>
        <w:rPr>
          <w:rFonts w:ascii="宋体" w:hAnsi="宋体" w:eastAsia="宋体" w:cs="宋体"/>
          <w:b/>
          <w:szCs w:val="21"/>
          <w:highlight w:val="none"/>
        </w:rPr>
      </w:pPr>
      <w:r>
        <w:rPr>
          <w:rFonts w:hint="eastAsia" w:ascii="宋体" w:hAnsi="宋体" w:eastAsia="宋体" w:cs="宋体"/>
          <w:szCs w:val="21"/>
          <w:highlight w:val="none"/>
        </w:rPr>
        <w:t>日期：年月日</w:t>
      </w:r>
    </w:p>
    <w:p>
      <w:pPr>
        <w:spacing w:line="360" w:lineRule="auto"/>
        <w:jc w:val="center"/>
        <w:rPr>
          <w:rFonts w:ascii="宋体" w:hAnsi="宋体" w:eastAsia="宋体" w:cs="宋体"/>
          <w:b/>
          <w:szCs w:val="21"/>
          <w:highlight w:val="none"/>
        </w:rPr>
      </w:pPr>
    </w:p>
    <w:p>
      <w:pPr>
        <w:spacing w:line="360" w:lineRule="auto"/>
        <w:jc w:val="center"/>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pStyle w:val="26"/>
        <w:rPr>
          <w:rFonts w:ascii="宋体" w:hAnsi="宋体" w:cs="宋体"/>
          <w:b/>
          <w:szCs w:val="21"/>
          <w:highlight w:val="none"/>
        </w:rPr>
      </w:pPr>
    </w:p>
    <w:p>
      <w:pPr>
        <w:pStyle w:val="5"/>
        <w:rPr>
          <w:rFonts w:ascii="宋体" w:hAnsi="宋体" w:eastAsia="宋体" w:cs="宋体"/>
          <w:sz w:val="21"/>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321"/>
        <w:jc w:val="center"/>
        <w:rPr>
          <w:rFonts w:ascii="宋体" w:hAnsi="宋体" w:eastAsia="宋体" w:cs="宋体"/>
          <w:b/>
          <w:szCs w:val="21"/>
          <w:highlight w:val="none"/>
        </w:rPr>
      </w:pPr>
      <w:r>
        <w:rPr>
          <w:rFonts w:hint="eastAsia" w:ascii="宋体" w:hAnsi="宋体" w:eastAsia="宋体" w:cs="宋体"/>
          <w:b/>
          <w:szCs w:val="21"/>
          <w:highlight w:val="none"/>
        </w:rPr>
        <w:br w:type="page"/>
      </w:r>
      <w:r>
        <w:rPr>
          <w:rFonts w:hint="eastAsia" w:ascii="宋体" w:hAnsi="宋体" w:eastAsia="宋体" w:cs="宋体"/>
          <w:b/>
          <w:szCs w:val="21"/>
          <w:highlight w:val="none"/>
        </w:rPr>
        <w:t>周口市政府采购合同融资政策告知函</w:t>
      </w:r>
    </w:p>
    <w:p>
      <w:pPr>
        <w:ind w:firstLine="240"/>
        <w:jc w:val="left"/>
        <w:rPr>
          <w:rFonts w:ascii="宋体" w:hAnsi="宋体" w:eastAsia="宋体" w:cs="宋体"/>
          <w:szCs w:val="21"/>
          <w:highlight w:val="none"/>
        </w:rPr>
      </w:pPr>
    </w:p>
    <w:p>
      <w:pPr>
        <w:ind w:firstLine="240"/>
        <w:jc w:val="left"/>
        <w:rPr>
          <w:rFonts w:ascii="宋体" w:hAnsi="宋体" w:eastAsia="宋体" w:cs="宋体"/>
          <w:szCs w:val="21"/>
          <w:highlight w:val="none"/>
        </w:rPr>
      </w:pPr>
    </w:p>
    <w:p>
      <w:pPr>
        <w:ind w:firstLine="240"/>
        <w:jc w:val="left"/>
        <w:rPr>
          <w:rFonts w:ascii="宋体" w:hAnsi="宋体" w:eastAsia="宋体" w:cs="宋体"/>
          <w:szCs w:val="21"/>
          <w:highlight w:val="none"/>
        </w:rPr>
      </w:pPr>
    </w:p>
    <w:p>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pP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pPr>
        <w:ind w:firstLine="420"/>
        <w:jc w:val="left"/>
        <w:rPr>
          <w:rFonts w:ascii="宋体" w:hAnsi="宋体" w:eastAsia="宋体" w:cs="宋体"/>
          <w:b/>
          <w:szCs w:val="21"/>
          <w:highlight w:val="none"/>
        </w:rPr>
      </w:pPr>
    </w:p>
    <w:p>
      <w:pPr>
        <w:pStyle w:val="26"/>
        <w:rPr>
          <w:rFonts w:ascii="宋体" w:hAnsi="宋体" w:cs="宋体"/>
          <w:b/>
          <w:szCs w:val="21"/>
          <w:highlight w:val="none"/>
        </w:rPr>
      </w:pPr>
    </w:p>
    <w:p>
      <w:pPr>
        <w:pStyle w:val="5"/>
        <w:rPr>
          <w:rFonts w:ascii="宋体" w:hAnsi="宋体" w:eastAsia="宋体" w:cs="宋体"/>
          <w:b/>
          <w:sz w:val="28"/>
          <w:highlight w:val="none"/>
        </w:rPr>
      </w:pPr>
    </w:p>
    <w:p>
      <w:pPr>
        <w:rPr>
          <w:rFonts w:ascii="宋体" w:hAnsi="宋体" w:eastAsia="宋体" w:cs="宋体"/>
          <w:b/>
          <w:sz w:val="28"/>
          <w:highlight w:val="none"/>
        </w:rPr>
      </w:pPr>
    </w:p>
    <w:p>
      <w:pPr>
        <w:pStyle w:val="26"/>
        <w:rPr>
          <w:rFonts w:ascii="宋体" w:hAnsi="宋体" w:cs="宋体"/>
          <w:b/>
          <w:sz w:val="28"/>
          <w:highlight w:val="none"/>
        </w:rPr>
      </w:pPr>
    </w:p>
    <w:p>
      <w:pPr>
        <w:pStyle w:val="5"/>
        <w:rPr>
          <w:rFonts w:ascii="宋体" w:hAnsi="宋体" w:eastAsia="宋体" w:cs="宋体"/>
          <w:b/>
          <w:sz w:val="28"/>
          <w:highlight w:val="none"/>
        </w:rPr>
      </w:pPr>
    </w:p>
    <w:p>
      <w:pPr>
        <w:rPr>
          <w:rFonts w:ascii="宋体" w:hAnsi="宋体" w:eastAsia="宋体" w:cs="宋体"/>
          <w:b/>
          <w:sz w:val="28"/>
          <w:highlight w:val="none"/>
        </w:rPr>
      </w:pPr>
    </w:p>
    <w:p>
      <w:pPr>
        <w:pStyle w:val="26"/>
        <w:rPr>
          <w:rFonts w:ascii="宋体" w:hAnsi="宋体" w:cs="宋体"/>
          <w:b/>
          <w:sz w:val="28"/>
          <w:highlight w:val="none"/>
        </w:rPr>
      </w:pPr>
    </w:p>
    <w:p>
      <w:pPr>
        <w:pStyle w:val="5"/>
        <w:rPr>
          <w:rFonts w:ascii="宋体" w:hAnsi="宋体" w:eastAsia="宋体" w:cs="宋体"/>
          <w:b/>
          <w:sz w:val="28"/>
          <w:highlight w:val="none"/>
        </w:rPr>
      </w:pPr>
    </w:p>
    <w:p>
      <w:pPr>
        <w:rPr>
          <w:rFonts w:ascii="宋体" w:hAnsi="宋体" w:eastAsia="宋体" w:cs="宋体"/>
          <w:b/>
          <w:sz w:val="28"/>
          <w:highlight w:val="none"/>
        </w:rPr>
      </w:pPr>
    </w:p>
    <w:p>
      <w:pPr>
        <w:pStyle w:val="26"/>
        <w:rPr>
          <w:rFonts w:ascii="宋体" w:hAnsi="宋体" w:cs="宋体"/>
          <w:b/>
          <w:sz w:val="28"/>
          <w:highlight w:val="none"/>
        </w:rPr>
      </w:pPr>
    </w:p>
    <w:p>
      <w:pPr>
        <w:pStyle w:val="5"/>
        <w:rPr>
          <w:rFonts w:ascii="宋体" w:hAnsi="宋体" w:eastAsia="宋体" w:cs="宋体"/>
          <w:b/>
          <w:sz w:val="28"/>
          <w:highlight w:val="none"/>
        </w:rPr>
      </w:pPr>
    </w:p>
    <w:p>
      <w:pPr>
        <w:rPr>
          <w:rFonts w:ascii="宋体" w:hAnsi="宋体" w:eastAsia="宋体" w:cs="宋体"/>
          <w:b/>
          <w:sz w:val="28"/>
          <w:highlight w:val="none"/>
        </w:rPr>
      </w:pPr>
    </w:p>
    <w:p>
      <w:pPr>
        <w:pStyle w:val="26"/>
        <w:rPr>
          <w:rFonts w:ascii="宋体" w:hAnsi="宋体" w:cs="宋体"/>
          <w:b/>
          <w:sz w:val="28"/>
          <w:highlight w:val="none"/>
        </w:rPr>
      </w:pPr>
    </w:p>
    <w:p>
      <w:pPr>
        <w:pStyle w:val="5"/>
        <w:rPr>
          <w:rFonts w:ascii="宋体" w:hAnsi="宋体" w:eastAsia="宋体" w:cs="宋体"/>
          <w:b/>
          <w:sz w:val="28"/>
          <w:highlight w:val="none"/>
        </w:rPr>
      </w:pPr>
    </w:p>
    <w:p>
      <w:pPr>
        <w:rPr>
          <w:rFonts w:ascii="宋体" w:hAnsi="宋体" w:eastAsia="宋体" w:cs="宋体"/>
          <w:b/>
          <w:sz w:val="28"/>
          <w:highlight w:val="none"/>
        </w:rPr>
      </w:pPr>
    </w:p>
    <w:p>
      <w:pPr>
        <w:pStyle w:val="26"/>
        <w:rPr>
          <w:highlight w:val="none"/>
        </w:rPr>
      </w:pPr>
    </w:p>
    <w:p>
      <w:pPr>
        <w:numPr>
          <w:ilvl w:val="0"/>
          <w:numId w:val="35"/>
        </w:numPr>
        <w:spacing w:line="360" w:lineRule="auto"/>
        <w:jc w:val="center"/>
        <w:rPr>
          <w:rFonts w:ascii="宋体" w:hAnsi="宋体" w:eastAsia="宋体" w:cs="宋体"/>
          <w:b/>
          <w:sz w:val="28"/>
          <w:highlight w:val="none"/>
        </w:rPr>
      </w:pPr>
    </w:p>
    <w:p>
      <w:pPr>
        <w:numPr>
          <w:ilvl w:val="0"/>
          <w:numId w:val="35"/>
        </w:numPr>
        <w:spacing w:line="360" w:lineRule="auto"/>
        <w:jc w:val="center"/>
        <w:rPr>
          <w:rFonts w:ascii="宋体" w:hAnsi="宋体" w:eastAsia="宋体" w:cs="宋体"/>
          <w:b/>
          <w:sz w:val="28"/>
          <w:highlight w:val="none"/>
        </w:rPr>
      </w:pPr>
    </w:p>
    <w:p>
      <w:pPr>
        <w:numPr>
          <w:ilvl w:val="0"/>
          <w:numId w:val="35"/>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pPr>
        <w:spacing w:line="50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周口市政府采购合同（货物类）标准文本</w:t>
      </w:r>
    </w:p>
    <w:p>
      <w:pPr>
        <w:rPr>
          <w:rFonts w:ascii="黑体" w:hAnsi="黑体" w:eastAsia="黑体" w:cs="黑体"/>
          <w:sz w:val="32"/>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pPr>
        <w:spacing w:line="300" w:lineRule="auto"/>
        <w:rPr>
          <w:rFonts w:ascii="黑体" w:hAnsi="黑体" w:eastAsia="黑体" w:cs="黑体"/>
          <w:sz w:val="30"/>
          <w:highlight w:val="none"/>
        </w:rPr>
      </w:pPr>
      <w:r>
        <w:rPr>
          <w:rFonts w:ascii="黑体" w:hAnsi="黑体" w:eastAsia="黑体" w:cs="黑体"/>
          <w:sz w:val="30"/>
          <w:highlight w:val="none"/>
        </w:rPr>
        <w:t>采      购    人：</w:t>
      </w:r>
    </w:p>
    <w:p>
      <w:pPr>
        <w:spacing w:line="300" w:lineRule="auto"/>
        <w:rPr>
          <w:rFonts w:ascii="黑体" w:hAnsi="黑体" w:eastAsia="黑体" w:cs="黑体"/>
          <w:sz w:val="30"/>
          <w:highlight w:val="none"/>
        </w:rPr>
      </w:pPr>
      <w:r>
        <w:rPr>
          <w:rFonts w:ascii="黑体" w:hAnsi="黑体" w:eastAsia="黑体" w:cs="黑体"/>
          <w:sz w:val="30"/>
          <w:highlight w:val="none"/>
        </w:rPr>
        <w:t>供      应    商：</w:t>
      </w:r>
    </w:p>
    <w:p>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jc w:val="center"/>
        <w:rPr>
          <w:rFonts w:ascii="方正小标宋简体" w:hAnsi="方正小标宋简体" w:eastAsia="方正小标宋简体" w:cs="方正小标宋简体"/>
          <w:sz w:val="32"/>
          <w:highlight w:val="none"/>
        </w:rPr>
      </w:pPr>
    </w:p>
    <w:p>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br w:type="page"/>
      </w:r>
      <w:r>
        <w:rPr>
          <w:rFonts w:ascii="宋体" w:hAnsi="宋体" w:eastAsia="宋体" w:cs="宋体"/>
          <w:sz w:val="32"/>
          <w:highlight w:val="none"/>
        </w:rPr>
        <w:t>合同签订指引</w:t>
      </w:r>
    </w:p>
    <w:p>
      <w:pPr>
        <w:spacing w:line="460" w:lineRule="auto"/>
        <w:ind w:firstLine="420"/>
        <w:rPr>
          <w:rFonts w:ascii="Times New Roman" w:hAnsi="Times New Roman" w:eastAsia="Times New Roman" w:cs="Times New Roman"/>
          <w:highlight w:val="none"/>
        </w:rPr>
      </w:pPr>
    </w:p>
    <w:p>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pPr>
        <w:spacing w:line="460" w:lineRule="auto"/>
        <w:ind w:firstLine="640"/>
        <w:jc w:val="center"/>
        <w:rPr>
          <w:rFonts w:ascii="方正小标宋简体" w:hAnsi="方正小标宋简体" w:eastAsia="方正小标宋简体" w:cs="方正小标宋简体"/>
          <w:sz w:val="32"/>
          <w:highlight w:val="none"/>
        </w:rPr>
      </w:pPr>
    </w:p>
    <w:p>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pPr>
        <w:numPr>
          <w:ilvl w:val="0"/>
          <w:numId w:val="36"/>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pPr>
        <w:spacing w:line="520" w:lineRule="auto"/>
        <w:ind w:firstLine="420"/>
        <w:rPr>
          <w:rFonts w:ascii="Times New Roman" w:hAnsi="Times New Roman" w:eastAsia="Times New Roman" w:cs="Times New Roman"/>
          <w:highlight w:val="none"/>
        </w:rPr>
      </w:pP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17"/>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rPr>
                <w:rFonts w:ascii="宋体" w:hAnsi="宋体" w:eastAsia="宋体" w:cs="宋体"/>
                <w:highlight w:val="none"/>
              </w:rPr>
            </w:pPr>
            <w:r>
              <w:rPr>
                <w:rFonts w:ascii="宋体" w:hAnsi="宋体" w:eastAsia="宋体" w:cs="宋体"/>
                <w:highlight w:val="none"/>
              </w:rPr>
              <w:t>备注</w:t>
            </w: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r>
      <w:tr>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pPr>
        <w:numPr>
          <w:ilvl w:val="0"/>
          <w:numId w:val="37"/>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pPr>
        <w:numPr>
          <w:ilvl w:val="0"/>
          <w:numId w:val="38"/>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乙方应提供完善周到的技术支持和售后服务，否则甲方视情节轻重从乙方的质量保证金中扣除部分或全部补偿甲方。</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本项目不收取履约保证金。确需收取履约保证金的，甲方不得要求乙方以现款的形式提供。乙方提供的履约保证金按规定格式以银行保函形式提供，与此有关的费用由卖方承担。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若确需质量保证金的，质量保证金不得超过合同总价款的</w:t>
      </w:r>
      <w:r>
        <w:rPr>
          <w:rFonts w:ascii="Times New Roman" w:hAnsi="Times New Roman" w:eastAsia="Times New Roman" w:cs="Times New Roman"/>
          <w:highlight w:val="none"/>
        </w:rPr>
        <w:t>5%</w:t>
      </w:r>
      <w:r>
        <w:rPr>
          <w:rFonts w:ascii="宋体" w:hAnsi="宋体" w:eastAsia="宋体" w:cs="宋体"/>
          <w:highlight w:val="none"/>
        </w:rPr>
        <w:t>。</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如乙方未能履行其合同规定的任何义务，甲方有权从履约保证金中取得补偿。</w:t>
      </w:r>
    </w:p>
    <w:p>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pPr>
        <w:spacing w:line="360" w:lineRule="auto"/>
        <w:ind w:firstLine="420"/>
        <w:rPr>
          <w:rFonts w:ascii="Times New Roman" w:hAnsi="Times New Roman" w:eastAsia="Times New Roman" w:cs="Times New Roman"/>
          <w:highlight w:val="none"/>
        </w:rPr>
      </w:pPr>
    </w:p>
    <w:p>
      <w:pPr>
        <w:spacing w:line="360" w:lineRule="auto"/>
        <w:ind w:firstLine="420"/>
        <w:rPr>
          <w:rFonts w:ascii="Times New Roman" w:hAnsi="Times New Roman" w:eastAsia="Times New Roman" w:cs="Times New Roman"/>
          <w:highlight w:val="none"/>
        </w:rPr>
      </w:pP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pPr>
        <w:spacing w:line="640" w:lineRule="auto"/>
        <w:ind w:firstLine="1575"/>
        <w:rPr>
          <w:rFonts w:ascii="Times New Roman" w:hAnsi="Times New Roman" w:eastAsia="Times New Roman" w:cs="Times New Roman"/>
          <w:highlight w:val="none"/>
          <w:u w:val="single"/>
        </w:rPr>
      </w:pPr>
    </w:p>
    <w:p>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pPr>
        <w:ind w:firstLine="321"/>
        <w:jc w:val="center"/>
        <w:rPr>
          <w:rFonts w:ascii="Times New Roman" w:hAnsi="Times New Roman" w:eastAsia="Times New Roman" w:cs="Times New Roman"/>
          <w:b/>
          <w:sz w:val="32"/>
          <w:highlight w:val="none"/>
        </w:rPr>
      </w:pPr>
    </w:p>
    <w:p>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DF1CB41-6348-4117-B759-01D5BC961D8D}"/>
  </w:font>
  <w:font w:name="黑体">
    <w:panose1 w:val="02010609060101010101"/>
    <w:charset w:val="86"/>
    <w:family w:val="auto"/>
    <w:pitch w:val="default"/>
    <w:sig w:usb0="800002BF" w:usb1="38CF7CFA" w:usb2="00000016" w:usb3="00000000" w:csb0="00040001" w:csb1="00000000"/>
    <w:embedRegular r:id="rId2" w:fontKey="{FFC5AF80-8C96-4ACD-936A-57CD54A7AC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3" w:fontKey="{5A6C0C1B-6726-4DBF-A13F-A2D1903267F2}"/>
  </w:font>
  <w:font w:name="幼圆">
    <w:altName w:val="宋体"/>
    <w:panose1 w:val="02010509060101010101"/>
    <w:charset w:val="86"/>
    <w:family w:val="modern"/>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embedRegular r:id="rId4" w:fontKey="{8AA89A37-8DE3-40C3-8E52-93504A3D2AB9}"/>
  </w:font>
  <w:font w:name="微软简标宋">
    <w:altName w:val="黑体"/>
    <w:panose1 w:val="00000000000000000000"/>
    <w:charset w:val="00"/>
    <w:family w:val="auto"/>
    <w:pitch w:val="default"/>
    <w:sig w:usb0="00000000" w:usb1="00000000" w:usb2="00000000" w:usb3="00000000" w:csb0="00000000" w:csb1="00000000"/>
    <w:embedRegular r:id="rId5" w:fontKey="{9D3757CE-1AE3-4D63-B851-75B29B6B910C}"/>
  </w:font>
  <w:font w:name="微软雅黑">
    <w:panose1 w:val="020B0503020204020204"/>
    <w:charset w:val="86"/>
    <w:family w:val="auto"/>
    <w:pitch w:val="default"/>
    <w:sig w:usb0="80000287" w:usb1="2ACF3C50" w:usb2="00000016" w:usb3="00000000" w:csb0="0004001F" w:csb1="00000000"/>
    <w:embedRegular r:id="rId6" w:fontKey="{187507AE-7CA0-420F-B648-04369E1F515D}"/>
  </w:font>
  <w:font w:name="方正小标宋简体">
    <w:panose1 w:val="02000000000000000000"/>
    <w:charset w:val="86"/>
    <w:family w:val="script"/>
    <w:pitch w:val="default"/>
    <w:sig w:usb0="00000001" w:usb1="08000000" w:usb2="00000000" w:usb3="00000000" w:csb0="00040000" w:csb1="00000000"/>
    <w:embedRegular r:id="rId7" w:fontKey="{5F1C6708-8069-4A86-8283-CECDA79615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0BD0D89"/>
    <w:multiLevelType w:val="multilevel"/>
    <w:tmpl w:val="00BD0D8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140C353B"/>
    <w:multiLevelType w:val="multilevel"/>
    <w:tmpl w:val="140C353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2178"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7">
    <w:nsid w:val="17D87DCD"/>
    <w:multiLevelType w:val="multilevel"/>
    <w:tmpl w:val="17D87DCD"/>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5"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8">
    <w:nsid w:val="1B5C4308"/>
    <w:multiLevelType w:val="multilevel"/>
    <w:tmpl w:val="1B5C4308"/>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9">
    <w:nsid w:val="2470EC97"/>
    <w:multiLevelType w:val="singleLevel"/>
    <w:tmpl w:val="2470EC97"/>
    <w:lvl w:ilvl="0" w:tentative="0">
      <w:start w:val="1"/>
      <w:numFmt w:val="bullet"/>
      <w:lvlText w:val="•"/>
      <w:lvlJc w:val="left"/>
    </w:lvl>
  </w:abstractNum>
  <w:abstractNum w:abstractNumId="20">
    <w:nsid w:val="25B654F3"/>
    <w:multiLevelType w:val="singleLevel"/>
    <w:tmpl w:val="25B654F3"/>
    <w:lvl w:ilvl="0" w:tentative="0">
      <w:start w:val="1"/>
      <w:numFmt w:val="bullet"/>
      <w:lvlText w:val="•"/>
      <w:lvlJc w:val="left"/>
    </w:lvl>
  </w:abstractNum>
  <w:abstractNum w:abstractNumId="21">
    <w:nsid w:val="293463C5"/>
    <w:multiLevelType w:val="multilevel"/>
    <w:tmpl w:val="293463C5"/>
    <w:lvl w:ilvl="0" w:tentative="0">
      <w:start w:val="1"/>
      <w:numFmt w:val="decimal"/>
      <w:lvlText w:val="%1."/>
      <w:lvlJc w:val="left"/>
      <w:pPr>
        <w:ind w:left="425" w:hanging="425"/>
      </w:pPr>
    </w:lvl>
    <w:lvl w:ilvl="1" w:tentative="0">
      <w:start w:val="1"/>
      <w:numFmt w:val="decimal"/>
      <w:lvlText w:val="%1.%2"/>
      <w:lvlJc w:val="left"/>
      <w:pPr>
        <w:ind w:left="1985" w:hanging="567"/>
      </w:pPr>
      <w:rPr>
        <w:color w:val="000000" w:themeColor="text1"/>
        <w14:textFill>
          <w14:solidFill>
            <w14:schemeClr w14:val="tx1"/>
          </w14:solidFill>
        </w14:textFill>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2">
    <w:nsid w:val="2A8F537B"/>
    <w:multiLevelType w:val="singleLevel"/>
    <w:tmpl w:val="2A8F537B"/>
    <w:lvl w:ilvl="0" w:tentative="0">
      <w:start w:val="1"/>
      <w:numFmt w:val="bullet"/>
      <w:lvlText w:val="•"/>
      <w:lvlJc w:val="left"/>
    </w:lvl>
  </w:abstractNum>
  <w:abstractNum w:abstractNumId="23">
    <w:nsid w:val="39A0D9AC"/>
    <w:multiLevelType w:val="singleLevel"/>
    <w:tmpl w:val="39A0D9AC"/>
    <w:lvl w:ilvl="0" w:tentative="0">
      <w:start w:val="1"/>
      <w:numFmt w:val="bullet"/>
      <w:lvlText w:val="•"/>
      <w:lvlJc w:val="left"/>
    </w:lvl>
  </w:abstractNum>
  <w:abstractNum w:abstractNumId="24">
    <w:nsid w:val="435F6871"/>
    <w:multiLevelType w:val="multilevel"/>
    <w:tmpl w:val="435F6871"/>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5">
    <w:nsid w:val="46A08BB8"/>
    <w:multiLevelType w:val="singleLevel"/>
    <w:tmpl w:val="46A08BB8"/>
    <w:lvl w:ilvl="0" w:tentative="0">
      <w:start w:val="1"/>
      <w:numFmt w:val="bullet"/>
      <w:lvlText w:val="•"/>
      <w:lvlJc w:val="left"/>
    </w:lvl>
  </w:abstractNum>
  <w:abstractNum w:abstractNumId="26">
    <w:nsid w:val="4C1BAE26"/>
    <w:multiLevelType w:val="singleLevel"/>
    <w:tmpl w:val="4C1BAE26"/>
    <w:lvl w:ilvl="0" w:tentative="0">
      <w:start w:val="1"/>
      <w:numFmt w:val="bullet"/>
      <w:lvlText w:val="•"/>
      <w:lvlJc w:val="left"/>
    </w:lvl>
  </w:abstractNum>
  <w:abstractNum w:abstractNumId="27">
    <w:nsid w:val="4D4DC07F"/>
    <w:multiLevelType w:val="singleLevel"/>
    <w:tmpl w:val="4D4DC07F"/>
    <w:lvl w:ilvl="0" w:tentative="0">
      <w:start w:val="1"/>
      <w:numFmt w:val="bullet"/>
      <w:lvlText w:val="•"/>
      <w:lvlJc w:val="left"/>
    </w:lvl>
  </w:abstractNum>
  <w:abstractNum w:abstractNumId="28">
    <w:nsid w:val="51F74909"/>
    <w:multiLevelType w:val="multilevel"/>
    <w:tmpl w:val="51F7490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9">
    <w:nsid w:val="59ADCABA"/>
    <w:multiLevelType w:val="singleLevel"/>
    <w:tmpl w:val="59ADCABA"/>
    <w:lvl w:ilvl="0" w:tentative="0">
      <w:start w:val="1"/>
      <w:numFmt w:val="bullet"/>
      <w:lvlText w:val="•"/>
      <w:lvlJc w:val="left"/>
    </w:lvl>
  </w:abstractNum>
  <w:abstractNum w:abstractNumId="30">
    <w:nsid w:val="5A241D34"/>
    <w:multiLevelType w:val="singleLevel"/>
    <w:tmpl w:val="5A241D34"/>
    <w:lvl w:ilvl="0" w:tentative="0">
      <w:start w:val="1"/>
      <w:numFmt w:val="bullet"/>
      <w:lvlText w:val="•"/>
      <w:lvlJc w:val="left"/>
    </w:lvl>
  </w:abstractNum>
  <w:abstractNum w:abstractNumId="31">
    <w:nsid w:val="60382F6E"/>
    <w:multiLevelType w:val="singleLevel"/>
    <w:tmpl w:val="60382F6E"/>
    <w:lvl w:ilvl="0" w:tentative="0">
      <w:start w:val="1"/>
      <w:numFmt w:val="bullet"/>
      <w:lvlText w:val="•"/>
      <w:lvlJc w:val="left"/>
    </w:lvl>
  </w:abstractNum>
  <w:abstractNum w:abstractNumId="32">
    <w:nsid w:val="629F7852"/>
    <w:multiLevelType w:val="singleLevel"/>
    <w:tmpl w:val="629F7852"/>
    <w:lvl w:ilvl="0" w:tentative="0">
      <w:start w:val="1"/>
      <w:numFmt w:val="decimal"/>
      <w:lvlText w:val="%1."/>
      <w:lvlJc w:val="left"/>
    </w:lvl>
  </w:abstractNum>
  <w:abstractNum w:abstractNumId="33">
    <w:nsid w:val="712045BC"/>
    <w:multiLevelType w:val="multilevel"/>
    <w:tmpl w:val="712045BC"/>
    <w:lvl w:ilvl="0" w:tentative="0">
      <w:start w:val="1"/>
      <w:numFmt w:val="chineseCounting"/>
      <w:suff w:val="nothing"/>
      <w:lvlText w:val="%1 "/>
      <w:lvlJc w:val="left"/>
      <w:pPr>
        <w:tabs>
          <w:tab w:val="left" w:pos="0"/>
        </w:tabs>
        <w:ind w:left="0" w:firstLine="0"/>
      </w:pPr>
      <w:rPr>
        <w:rFonts w:hint="eastAsia" w:ascii="宋体" w:hAnsi="宋体" w:eastAsia="宋体" w:cs="宋体"/>
      </w:rPr>
    </w:lvl>
    <w:lvl w:ilvl="1" w:tentative="0">
      <w:start w:val="1"/>
      <w:numFmt w:val="decimal"/>
      <w:suff w:val="nothing"/>
      <w:lvlText w:val="%2 "/>
      <w:lvlJc w:val="left"/>
      <w:pPr>
        <w:ind w:left="0" w:firstLine="0"/>
      </w:pPr>
      <w:rPr>
        <w:rFonts w:hint="eastAsia" w:ascii="宋体" w:hAnsi="宋体" w:eastAsia="宋体" w:cs="宋体"/>
      </w:rPr>
    </w:lvl>
    <w:lvl w:ilvl="2" w:tentative="0">
      <w:start w:val="1"/>
      <w:numFmt w:val="decimal"/>
      <w:pStyle w:val="4"/>
      <w:suff w:val="nothing"/>
      <w:lvlText w:val="%2.%3 "/>
      <w:lvlJc w:val="left"/>
      <w:pPr>
        <w:ind w:left="0" w:firstLine="0"/>
      </w:pPr>
      <w:rPr>
        <w:rFonts w:hint="eastAsia" w:ascii="宋体" w:hAnsi="宋体" w:eastAsia="宋体" w:cs="宋体"/>
      </w:rPr>
    </w:lvl>
    <w:lvl w:ilvl="3" w:tentative="0">
      <w:start w:val="1"/>
      <w:numFmt w:val="decimal"/>
      <w:suff w:val="nothing"/>
      <w:lvlText w:val="%2.%3.%4 "/>
      <w:lvlJc w:val="left"/>
      <w:pPr>
        <w:ind w:left="0" w:firstLine="0"/>
      </w:pPr>
      <w:rPr>
        <w:rFonts w:hint="eastAsia" w:ascii="宋体" w:hAnsi="宋体" w:eastAsia="宋体" w:cs="宋体"/>
      </w:rPr>
    </w:lvl>
    <w:lvl w:ilvl="4" w:tentative="0">
      <w:start w:val="1"/>
      <w:numFmt w:val="decimal"/>
      <w:suff w:val="nothing"/>
      <w:lvlText w:val="%2.%3.%4.%5 "/>
      <w:lvlJc w:val="left"/>
      <w:pPr>
        <w:ind w:left="0" w:firstLine="0"/>
      </w:pPr>
      <w:rPr>
        <w:rFonts w:hint="eastAsia" w:ascii="宋体" w:hAnsi="宋体" w:eastAsia="宋体" w:cs="宋体"/>
      </w:rPr>
    </w:lvl>
    <w:lvl w:ilvl="5" w:tentative="0">
      <w:start w:val="1"/>
      <w:numFmt w:val="decimal"/>
      <w:suff w:val="nothing"/>
      <w:lvlText w:val="%2.%3.%4.%5.%6 "/>
      <w:lvlJc w:val="left"/>
      <w:pPr>
        <w:ind w:left="0" w:firstLine="0"/>
      </w:pPr>
      <w:rPr>
        <w:rFonts w:hint="eastAsia" w:ascii="宋体" w:hAnsi="宋体" w:eastAsia="宋体" w:cs="宋体"/>
      </w:rPr>
    </w:lvl>
    <w:lvl w:ilvl="6" w:tentative="0">
      <w:start w:val="1"/>
      <w:numFmt w:val="decimal"/>
      <w:lvlRestart w:val="1"/>
      <w:isLgl/>
      <w:suff w:val="space"/>
      <w:lvlText w:val="表%1-%7"/>
      <w:lvlJc w:val="left"/>
      <w:pPr>
        <w:tabs>
          <w:tab w:val="left" w:pos="420"/>
        </w:tabs>
        <w:ind w:left="0" w:firstLine="0"/>
      </w:pPr>
      <w:rPr>
        <w:rFonts w:hint="eastAsia" w:ascii="宋体" w:hAnsi="宋体" w:eastAsia="宋体" w:cs="宋体"/>
      </w:rPr>
    </w:lvl>
    <w:lvl w:ilvl="7" w:tentative="0">
      <w:start w:val="1"/>
      <w:numFmt w:val="decimal"/>
      <w:lvlRestart w:val="1"/>
      <w:isLgl/>
      <w:suff w:val="space"/>
      <w:lvlText w:val="图%1-%8"/>
      <w:lvlJc w:val="left"/>
      <w:pPr>
        <w:ind w:left="0" w:firstLine="0"/>
      </w:pPr>
      <w:rPr>
        <w:rFonts w:hint="eastAsia" w:ascii="宋体" w:hAnsi="宋体" w:eastAsia="宋体" w:cs="宋体"/>
      </w:rPr>
    </w:lvl>
    <w:lvl w:ilvl="8" w:tentative="0">
      <w:start w:val="1"/>
      <w:numFmt w:val="decimal"/>
      <w:isLgl/>
      <w:suff w:val="nothing"/>
      <w:lvlText w:val="(%9)"/>
      <w:lvlJc w:val="left"/>
      <w:pPr>
        <w:ind w:left="678" w:firstLine="0"/>
      </w:pPr>
      <w:rPr>
        <w:rFonts w:hint="eastAsia"/>
      </w:rPr>
    </w:lvl>
  </w:abstractNum>
  <w:abstractNum w:abstractNumId="34">
    <w:nsid w:val="72172B43"/>
    <w:multiLevelType w:val="multilevel"/>
    <w:tmpl w:val="72172B43"/>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5">
    <w:nsid w:val="72183CF9"/>
    <w:multiLevelType w:val="singleLevel"/>
    <w:tmpl w:val="72183CF9"/>
    <w:lvl w:ilvl="0" w:tentative="0">
      <w:start w:val="1"/>
      <w:numFmt w:val="bullet"/>
      <w:lvlText w:val="•"/>
      <w:lvlJc w:val="left"/>
    </w:lvl>
  </w:abstractNum>
  <w:abstractNum w:abstractNumId="36">
    <w:nsid w:val="77ECEA79"/>
    <w:multiLevelType w:val="singleLevel"/>
    <w:tmpl w:val="77ECEA79"/>
    <w:lvl w:ilvl="0" w:tentative="0">
      <w:start w:val="1"/>
      <w:numFmt w:val="decimal"/>
      <w:lvlText w:val="%1."/>
      <w:lvlJc w:val="left"/>
    </w:lvl>
  </w:abstractNum>
  <w:num w:numId="1">
    <w:abstractNumId w:val="33"/>
  </w:num>
  <w:num w:numId="2">
    <w:abstractNumId w:val="11"/>
  </w:num>
  <w:num w:numId="3">
    <w:abstractNumId w:val="7"/>
  </w:num>
  <w:num w:numId="4">
    <w:abstractNumId w:val="29"/>
  </w:num>
  <w:num w:numId="5">
    <w:abstractNumId w:val="5"/>
  </w:num>
  <w:num w:numId="6">
    <w:abstractNumId w:val="3"/>
  </w:num>
  <w:num w:numId="7">
    <w:abstractNumId w:val="14"/>
  </w:num>
  <w:num w:numId="8">
    <w:abstractNumId w:val="20"/>
  </w:num>
  <w:num w:numId="9">
    <w:abstractNumId w:val="35"/>
  </w:num>
  <w:num w:numId="10">
    <w:abstractNumId w:val="13"/>
  </w:num>
  <w:num w:numId="11">
    <w:abstractNumId w:val="0"/>
  </w:num>
  <w:num w:numId="12">
    <w:abstractNumId w:val="22"/>
  </w:num>
  <w:num w:numId="13">
    <w:abstractNumId w:val="30"/>
  </w:num>
  <w:num w:numId="14">
    <w:abstractNumId w:val="6"/>
  </w:num>
  <w:num w:numId="15">
    <w:abstractNumId w:val="27"/>
  </w:num>
  <w:num w:numId="16">
    <w:abstractNumId w:val="10"/>
  </w:num>
  <w:num w:numId="17">
    <w:abstractNumId w:val="19"/>
  </w:num>
  <w:num w:numId="18">
    <w:abstractNumId w:val="9"/>
  </w:num>
  <w:num w:numId="19">
    <w:abstractNumId w:val="8"/>
  </w:num>
  <w:num w:numId="20">
    <w:abstractNumId w:val="2"/>
  </w:num>
  <w:num w:numId="21">
    <w:abstractNumId w:val="26"/>
  </w:num>
  <w:num w:numId="22">
    <w:abstractNumId w:val="31"/>
  </w:num>
  <w:num w:numId="23">
    <w:abstractNumId w:val="15"/>
  </w:num>
  <w:num w:numId="24">
    <w:abstractNumId w:val="25"/>
  </w:num>
  <w:num w:numId="25">
    <w:abstractNumId w:val="28"/>
  </w:num>
  <w:num w:numId="26">
    <w:abstractNumId w:val="12"/>
  </w:num>
  <w:num w:numId="27">
    <w:abstractNumId w:val="18"/>
  </w:num>
  <w:num w:numId="28">
    <w:abstractNumId w:val="28"/>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29">
    <w:abstractNumId w:val="21"/>
  </w:num>
  <w:num w:numId="30">
    <w:abstractNumId w:val="34"/>
  </w:num>
  <w:num w:numId="31">
    <w:abstractNumId w:val="17"/>
  </w:num>
  <w:num w:numId="32">
    <w:abstractNumId w:val="24"/>
  </w:num>
  <w:num w:numId="33">
    <w:abstractNumId w:val="16"/>
  </w:num>
  <w:num w:numId="34">
    <w:abstractNumId w:val="36"/>
  </w:num>
  <w:num w:numId="35">
    <w:abstractNumId w:val="4"/>
  </w:num>
  <w:num w:numId="36">
    <w:abstractNumId w:val="32"/>
  </w:num>
  <w:num w:numId="37">
    <w:abstractNumId w:val="1"/>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NDVjMTBkZmIxYTBlMGM0NmYzNGEwNzg4ZTY3ZmYifQ=="/>
  </w:docVars>
  <w:rsids>
    <w:rsidRoot w:val="00C35B2F"/>
    <w:rsid w:val="00283378"/>
    <w:rsid w:val="003332A4"/>
    <w:rsid w:val="00576AC5"/>
    <w:rsid w:val="00593490"/>
    <w:rsid w:val="00610597"/>
    <w:rsid w:val="007A6F63"/>
    <w:rsid w:val="008E7F38"/>
    <w:rsid w:val="00BA3803"/>
    <w:rsid w:val="00C35B2F"/>
    <w:rsid w:val="014C4DA3"/>
    <w:rsid w:val="016A6FD7"/>
    <w:rsid w:val="017936BE"/>
    <w:rsid w:val="018C33F1"/>
    <w:rsid w:val="02481A22"/>
    <w:rsid w:val="026D3223"/>
    <w:rsid w:val="02E56D2B"/>
    <w:rsid w:val="038500F8"/>
    <w:rsid w:val="03E5328D"/>
    <w:rsid w:val="040000C7"/>
    <w:rsid w:val="04137DFA"/>
    <w:rsid w:val="04640B52"/>
    <w:rsid w:val="04780FAF"/>
    <w:rsid w:val="058663AA"/>
    <w:rsid w:val="05A5591B"/>
    <w:rsid w:val="061D286A"/>
    <w:rsid w:val="069D7E4F"/>
    <w:rsid w:val="06C26280"/>
    <w:rsid w:val="06E710CA"/>
    <w:rsid w:val="0709438A"/>
    <w:rsid w:val="070B4DB8"/>
    <w:rsid w:val="07131EBF"/>
    <w:rsid w:val="075E138C"/>
    <w:rsid w:val="0774295E"/>
    <w:rsid w:val="078B7CA7"/>
    <w:rsid w:val="07CD6512"/>
    <w:rsid w:val="07D416AF"/>
    <w:rsid w:val="084F33CB"/>
    <w:rsid w:val="08843287"/>
    <w:rsid w:val="0949606C"/>
    <w:rsid w:val="095F07CB"/>
    <w:rsid w:val="09A70858"/>
    <w:rsid w:val="0A125AA2"/>
    <w:rsid w:val="0A1F1738"/>
    <w:rsid w:val="0A25787D"/>
    <w:rsid w:val="0A5A0956"/>
    <w:rsid w:val="0AC769A1"/>
    <w:rsid w:val="0B02681E"/>
    <w:rsid w:val="0B183F48"/>
    <w:rsid w:val="0B2C3E41"/>
    <w:rsid w:val="0B3E3044"/>
    <w:rsid w:val="0B472137"/>
    <w:rsid w:val="0BCA3494"/>
    <w:rsid w:val="0C4A0F50"/>
    <w:rsid w:val="0C581CC5"/>
    <w:rsid w:val="0CA912FB"/>
    <w:rsid w:val="0CEA36C2"/>
    <w:rsid w:val="0D29243C"/>
    <w:rsid w:val="0D4561CA"/>
    <w:rsid w:val="0D705975"/>
    <w:rsid w:val="0DB8556E"/>
    <w:rsid w:val="0DBA12E6"/>
    <w:rsid w:val="0E26697C"/>
    <w:rsid w:val="0E6574A4"/>
    <w:rsid w:val="0EF24E1E"/>
    <w:rsid w:val="0F144A26"/>
    <w:rsid w:val="0F751969"/>
    <w:rsid w:val="0F7B4AA5"/>
    <w:rsid w:val="0FB8767B"/>
    <w:rsid w:val="0FD541B5"/>
    <w:rsid w:val="10240C99"/>
    <w:rsid w:val="10F90C6D"/>
    <w:rsid w:val="11072A94"/>
    <w:rsid w:val="11365128"/>
    <w:rsid w:val="11692E07"/>
    <w:rsid w:val="116A6B7F"/>
    <w:rsid w:val="122705B8"/>
    <w:rsid w:val="12371157"/>
    <w:rsid w:val="12E4016E"/>
    <w:rsid w:val="13877EBC"/>
    <w:rsid w:val="13B3226E"/>
    <w:rsid w:val="14080C14"/>
    <w:rsid w:val="14153920"/>
    <w:rsid w:val="1484072D"/>
    <w:rsid w:val="14904B4F"/>
    <w:rsid w:val="14A32AD4"/>
    <w:rsid w:val="14D52FF8"/>
    <w:rsid w:val="152139F9"/>
    <w:rsid w:val="1582093B"/>
    <w:rsid w:val="15AF54A9"/>
    <w:rsid w:val="15DF66D7"/>
    <w:rsid w:val="15EE3E96"/>
    <w:rsid w:val="16184DFC"/>
    <w:rsid w:val="161D385D"/>
    <w:rsid w:val="16353C00"/>
    <w:rsid w:val="166718DF"/>
    <w:rsid w:val="1675076B"/>
    <w:rsid w:val="169A7F07"/>
    <w:rsid w:val="16D62899"/>
    <w:rsid w:val="16F85AB9"/>
    <w:rsid w:val="170B2BB3"/>
    <w:rsid w:val="171E2165"/>
    <w:rsid w:val="18BB414E"/>
    <w:rsid w:val="190A277E"/>
    <w:rsid w:val="19DB686C"/>
    <w:rsid w:val="19DF45AE"/>
    <w:rsid w:val="1A666C04"/>
    <w:rsid w:val="1A75281D"/>
    <w:rsid w:val="1BB324EC"/>
    <w:rsid w:val="1BC872C4"/>
    <w:rsid w:val="1C161DDD"/>
    <w:rsid w:val="1C6074FD"/>
    <w:rsid w:val="1C717B95"/>
    <w:rsid w:val="1C743B2C"/>
    <w:rsid w:val="1C9075C7"/>
    <w:rsid w:val="1CB6536F"/>
    <w:rsid w:val="1D1A5F37"/>
    <w:rsid w:val="1D627933"/>
    <w:rsid w:val="1D741997"/>
    <w:rsid w:val="1D9962E4"/>
    <w:rsid w:val="1DCA1AE1"/>
    <w:rsid w:val="1DEE00B5"/>
    <w:rsid w:val="1EAF49D1"/>
    <w:rsid w:val="1EF5217E"/>
    <w:rsid w:val="1F35597B"/>
    <w:rsid w:val="1F84433B"/>
    <w:rsid w:val="1FE46854"/>
    <w:rsid w:val="200603BB"/>
    <w:rsid w:val="20214936"/>
    <w:rsid w:val="21025026"/>
    <w:rsid w:val="21142493"/>
    <w:rsid w:val="215D400B"/>
    <w:rsid w:val="22CE6A2E"/>
    <w:rsid w:val="2335256E"/>
    <w:rsid w:val="235C0A1E"/>
    <w:rsid w:val="242F3DD2"/>
    <w:rsid w:val="2472601F"/>
    <w:rsid w:val="247D701D"/>
    <w:rsid w:val="24AA6E65"/>
    <w:rsid w:val="24EC7B7F"/>
    <w:rsid w:val="24FD3B3B"/>
    <w:rsid w:val="24FD4C8D"/>
    <w:rsid w:val="25415042"/>
    <w:rsid w:val="25890B8B"/>
    <w:rsid w:val="263A491A"/>
    <w:rsid w:val="26DE799C"/>
    <w:rsid w:val="26F61542"/>
    <w:rsid w:val="26FA6B12"/>
    <w:rsid w:val="275A338E"/>
    <w:rsid w:val="275D4D64"/>
    <w:rsid w:val="276F5C71"/>
    <w:rsid w:val="28264884"/>
    <w:rsid w:val="2858552C"/>
    <w:rsid w:val="28880258"/>
    <w:rsid w:val="28BA1531"/>
    <w:rsid w:val="297840D8"/>
    <w:rsid w:val="29F714A0"/>
    <w:rsid w:val="2B12230A"/>
    <w:rsid w:val="2B404781"/>
    <w:rsid w:val="2B624C49"/>
    <w:rsid w:val="2BBD2276"/>
    <w:rsid w:val="2CBB5CE4"/>
    <w:rsid w:val="2DC45B3D"/>
    <w:rsid w:val="2ED43748"/>
    <w:rsid w:val="2F57478F"/>
    <w:rsid w:val="2F6A2714"/>
    <w:rsid w:val="2FF26266"/>
    <w:rsid w:val="304D7D3F"/>
    <w:rsid w:val="308A51D5"/>
    <w:rsid w:val="30C45E54"/>
    <w:rsid w:val="319E48F7"/>
    <w:rsid w:val="31E3230A"/>
    <w:rsid w:val="329A0130"/>
    <w:rsid w:val="32DA4ED3"/>
    <w:rsid w:val="3436271A"/>
    <w:rsid w:val="34420415"/>
    <w:rsid w:val="3442156A"/>
    <w:rsid w:val="34586FDF"/>
    <w:rsid w:val="34B831F3"/>
    <w:rsid w:val="34C603ED"/>
    <w:rsid w:val="34F34F5A"/>
    <w:rsid w:val="34FA62E8"/>
    <w:rsid w:val="3538197F"/>
    <w:rsid w:val="35BE4712"/>
    <w:rsid w:val="35C6441D"/>
    <w:rsid w:val="360B10C8"/>
    <w:rsid w:val="36BA5D2F"/>
    <w:rsid w:val="36F079A3"/>
    <w:rsid w:val="371511B8"/>
    <w:rsid w:val="37236826"/>
    <w:rsid w:val="37B207B5"/>
    <w:rsid w:val="37F0282A"/>
    <w:rsid w:val="3805122C"/>
    <w:rsid w:val="38DB1F8D"/>
    <w:rsid w:val="39601047"/>
    <w:rsid w:val="39BC067D"/>
    <w:rsid w:val="39E9692C"/>
    <w:rsid w:val="3A384BA5"/>
    <w:rsid w:val="3A654B5F"/>
    <w:rsid w:val="3A667F7C"/>
    <w:rsid w:val="3B0A71ED"/>
    <w:rsid w:val="3B5D137F"/>
    <w:rsid w:val="3B627275"/>
    <w:rsid w:val="3B84690C"/>
    <w:rsid w:val="3B9E00AB"/>
    <w:rsid w:val="3BAC19BF"/>
    <w:rsid w:val="3BD85611"/>
    <w:rsid w:val="3BF0706A"/>
    <w:rsid w:val="3BFF2436"/>
    <w:rsid w:val="3C025A83"/>
    <w:rsid w:val="3C3519B4"/>
    <w:rsid w:val="3C6555B0"/>
    <w:rsid w:val="3CEC374F"/>
    <w:rsid w:val="3D1F3BE3"/>
    <w:rsid w:val="3D43304B"/>
    <w:rsid w:val="3D6267D9"/>
    <w:rsid w:val="3D6F0EF6"/>
    <w:rsid w:val="3DB46A8D"/>
    <w:rsid w:val="3DE47B36"/>
    <w:rsid w:val="3DFC6C2D"/>
    <w:rsid w:val="3E5B6E04"/>
    <w:rsid w:val="3E5C7283"/>
    <w:rsid w:val="3E633C9A"/>
    <w:rsid w:val="3EEF6792"/>
    <w:rsid w:val="3F3D74FE"/>
    <w:rsid w:val="3F52322D"/>
    <w:rsid w:val="3F8844F1"/>
    <w:rsid w:val="3FD457B1"/>
    <w:rsid w:val="3FE16715"/>
    <w:rsid w:val="41A76EB0"/>
    <w:rsid w:val="41E9396D"/>
    <w:rsid w:val="425C4AE6"/>
    <w:rsid w:val="42C57F36"/>
    <w:rsid w:val="430420E0"/>
    <w:rsid w:val="430E6611"/>
    <w:rsid w:val="433C7ACC"/>
    <w:rsid w:val="43F839F3"/>
    <w:rsid w:val="441145B0"/>
    <w:rsid w:val="44332C7D"/>
    <w:rsid w:val="444E5D09"/>
    <w:rsid w:val="4453331F"/>
    <w:rsid w:val="44A8366B"/>
    <w:rsid w:val="44C30432"/>
    <w:rsid w:val="44DA759D"/>
    <w:rsid w:val="45085EB8"/>
    <w:rsid w:val="45592BB7"/>
    <w:rsid w:val="458624A4"/>
    <w:rsid w:val="45C1250B"/>
    <w:rsid w:val="461F1749"/>
    <w:rsid w:val="46401681"/>
    <w:rsid w:val="464A2500"/>
    <w:rsid w:val="46806724"/>
    <w:rsid w:val="46CE4EDF"/>
    <w:rsid w:val="475A49C5"/>
    <w:rsid w:val="47F44E19"/>
    <w:rsid w:val="47FE35A2"/>
    <w:rsid w:val="480C5CBF"/>
    <w:rsid w:val="48223734"/>
    <w:rsid w:val="485D476D"/>
    <w:rsid w:val="48B60321"/>
    <w:rsid w:val="49D835B1"/>
    <w:rsid w:val="4A0550BC"/>
    <w:rsid w:val="4ADE5AFE"/>
    <w:rsid w:val="4AE91781"/>
    <w:rsid w:val="4B0E7FA0"/>
    <w:rsid w:val="4B2D29F5"/>
    <w:rsid w:val="4B9D30D2"/>
    <w:rsid w:val="4BB80216"/>
    <w:rsid w:val="4C1E2465"/>
    <w:rsid w:val="4C3A34AC"/>
    <w:rsid w:val="4C4F1E34"/>
    <w:rsid w:val="4CA94424"/>
    <w:rsid w:val="4CBC2F46"/>
    <w:rsid w:val="4CBD57DA"/>
    <w:rsid w:val="4CFF4044"/>
    <w:rsid w:val="4D61085B"/>
    <w:rsid w:val="4DBE086A"/>
    <w:rsid w:val="4DCA69F7"/>
    <w:rsid w:val="4DDC6134"/>
    <w:rsid w:val="4E0B6A19"/>
    <w:rsid w:val="4E127DA7"/>
    <w:rsid w:val="4EC12EC6"/>
    <w:rsid w:val="4F3B2459"/>
    <w:rsid w:val="4F6B59C1"/>
    <w:rsid w:val="4F7A20A8"/>
    <w:rsid w:val="4F7A5C04"/>
    <w:rsid w:val="4FBB1A4B"/>
    <w:rsid w:val="4FC7282F"/>
    <w:rsid w:val="50B45146"/>
    <w:rsid w:val="50B67FB1"/>
    <w:rsid w:val="50B835C6"/>
    <w:rsid w:val="50D67B57"/>
    <w:rsid w:val="50D82BD0"/>
    <w:rsid w:val="50E517A3"/>
    <w:rsid w:val="51313F72"/>
    <w:rsid w:val="5133250E"/>
    <w:rsid w:val="51786173"/>
    <w:rsid w:val="51B35021"/>
    <w:rsid w:val="51ED4DB3"/>
    <w:rsid w:val="52412A09"/>
    <w:rsid w:val="52831274"/>
    <w:rsid w:val="52ED0DE3"/>
    <w:rsid w:val="5334256E"/>
    <w:rsid w:val="53864A66"/>
    <w:rsid w:val="53980D4F"/>
    <w:rsid w:val="53A92F5C"/>
    <w:rsid w:val="543E2060"/>
    <w:rsid w:val="544E5094"/>
    <w:rsid w:val="55FB55C5"/>
    <w:rsid w:val="56327239"/>
    <w:rsid w:val="56384123"/>
    <w:rsid w:val="56570A4D"/>
    <w:rsid w:val="56C76EB3"/>
    <w:rsid w:val="576A47B0"/>
    <w:rsid w:val="57B7551B"/>
    <w:rsid w:val="58003366"/>
    <w:rsid w:val="5814071D"/>
    <w:rsid w:val="599975CF"/>
    <w:rsid w:val="59AD4E28"/>
    <w:rsid w:val="59F42A57"/>
    <w:rsid w:val="5A2F0BB9"/>
    <w:rsid w:val="5A8B6F17"/>
    <w:rsid w:val="5AAE2C06"/>
    <w:rsid w:val="5ABB5323"/>
    <w:rsid w:val="5AE66844"/>
    <w:rsid w:val="5AFE3B8D"/>
    <w:rsid w:val="5B184523"/>
    <w:rsid w:val="5B3A6B8F"/>
    <w:rsid w:val="5B3E042E"/>
    <w:rsid w:val="5B4E6197"/>
    <w:rsid w:val="5B835BCD"/>
    <w:rsid w:val="5B9D42C9"/>
    <w:rsid w:val="5BA504AD"/>
    <w:rsid w:val="5BF34E43"/>
    <w:rsid w:val="5C8A2F6A"/>
    <w:rsid w:val="5CA249EC"/>
    <w:rsid w:val="5CAF626F"/>
    <w:rsid w:val="5D0128BF"/>
    <w:rsid w:val="5D4B5084"/>
    <w:rsid w:val="5D4D55B1"/>
    <w:rsid w:val="5D6126A0"/>
    <w:rsid w:val="5DB06C95"/>
    <w:rsid w:val="5E027B66"/>
    <w:rsid w:val="5E3F51A7"/>
    <w:rsid w:val="5E7B1340"/>
    <w:rsid w:val="5ECA1FD8"/>
    <w:rsid w:val="5F064133"/>
    <w:rsid w:val="5F4D50E3"/>
    <w:rsid w:val="5F6E3E24"/>
    <w:rsid w:val="5FF84013"/>
    <w:rsid w:val="609F196E"/>
    <w:rsid w:val="60D009D8"/>
    <w:rsid w:val="60D275C6"/>
    <w:rsid w:val="60F9303D"/>
    <w:rsid w:val="61827AFC"/>
    <w:rsid w:val="61873A40"/>
    <w:rsid w:val="61C15EF5"/>
    <w:rsid w:val="61D4389A"/>
    <w:rsid w:val="620F48D2"/>
    <w:rsid w:val="62447854"/>
    <w:rsid w:val="624B5761"/>
    <w:rsid w:val="628D22F0"/>
    <w:rsid w:val="63D70E99"/>
    <w:rsid w:val="64A31301"/>
    <w:rsid w:val="6528080B"/>
    <w:rsid w:val="66DB2FD4"/>
    <w:rsid w:val="67F96005"/>
    <w:rsid w:val="68187CAA"/>
    <w:rsid w:val="68550A20"/>
    <w:rsid w:val="68F4037D"/>
    <w:rsid w:val="691D7CD6"/>
    <w:rsid w:val="694A2693"/>
    <w:rsid w:val="69AA3668"/>
    <w:rsid w:val="69AB2F34"/>
    <w:rsid w:val="69C97A5C"/>
    <w:rsid w:val="6A2B6021"/>
    <w:rsid w:val="6AB34371"/>
    <w:rsid w:val="6ACD70D8"/>
    <w:rsid w:val="6B0B19AE"/>
    <w:rsid w:val="6B685053"/>
    <w:rsid w:val="6B7E4876"/>
    <w:rsid w:val="6BB32772"/>
    <w:rsid w:val="6BB838E4"/>
    <w:rsid w:val="6BBA58AE"/>
    <w:rsid w:val="6BF16DF6"/>
    <w:rsid w:val="6C0A59AA"/>
    <w:rsid w:val="6C44786E"/>
    <w:rsid w:val="6C671CD5"/>
    <w:rsid w:val="6C895281"/>
    <w:rsid w:val="6D436EF3"/>
    <w:rsid w:val="6DAD6E81"/>
    <w:rsid w:val="6DE33684"/>
    <w:rsid w:val="6E1F40EF"/>
    <w:rsid w:val="6EA73BEB"/>
    <w:rsid w:val="6EC25149"/>
    <w:rsid w:val="6F1F3C7A"/>
    <w:rsid w:val="6F2B261F"/>
    <w:rsid w:val="6F5B73A8"/>
    <w:rsid w:val="6F6666AE"/>
    <w:rsid w:val="6FB10D76"/>
    <w:rsid w:val="6FF15617"/>
    <w:rsid w:val="7055204A"/>
    <w:rsid w:val="707B6778"/>
    <w:rsid w:val="711772FF"/>
    <w:rsid w:val="714C4E21"/>
    <w:rsid w:val="718F3339"/>
    <w:rsid w:val="71A97DB6"/>
    <w:rsid w:val="728974D0"/>
    <w:rsid w:val="73142B11"/>
    <w:rsid w:val="736E6F7E"/>
    <w:rsid w:val="73724CC1"/>
    <w:rsid w:val="738D6724"/>
    <w:rsid w:val="73D6524F"/>
    <w:rsid w:val="73DD4830"/>
    <w:rsid w:val="747C5A5B"/>
    <w:rsid w:val="74992CD1"/>
    <w:rsid w:val="74DC021D"/>
    <w:rsid w:val="74FF2584"/>
    <w:rsid w:val="751A54BB"/>
    <w:rsid w:val="75970A0E"/>
    <w:rsid w:val="75E43528"/>
    <w:rsid w:val="766C1E9B"/>
    <w:rsid w:val="769D0350"/>
    <w:rsid w:val="77834B5C"/>
    <w:rsid w:val="77862AE9"/>
    <w:rsid w:val="77B51620"/>
    <w:rsid w:val="77B61EE1"/>
    <w:rsid w:val="78001E04"/>
    <w:rsid w:val="780408D6"/>
    <w:rsid w:val="78EA69E9"/>
    <w:rsid w:val="793D367B"/>
    <w:rsid w:val="79E87A8A"/>
    <w:rsid w:val="7A935FC9"/>
    <w:rsid w:val="7B6C51F6"/>
    <w:rsid w:val="7BBC2F7D"/>
    <w:rsid w:val="7C02295A"/>
    <w:rsid w:val="7C131FD3"/>
    <w:rsid w:val="7C185920"/>
    <w:rsid w:val="7C8F68E3"/>
    <w:rsid w:val="7CA35EEB"/>
    <w:rsid w:val="7D4F6073"/>
    <w:rsid w:val="7D641B1E"/>
    <w:rsid w:val="7D965A4F"/>
    <w:rsid w:val="7E9E4BBC"/>
    <w:rsid w:val="7EB75C7D"/>
    <w:rsid w:val="7F030F9C"/>
    <w:rsid w:val="7F427C3D"/>
    <w:rsid w:val="7F89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autoRedefine/>
    <w:qFormat/>
    <w:uiPriority w:val="0"/>
    <w:pPr>
      <w:numPr>
        <w:ilvl w:val="2"/>
        <w:numId w:val="1"/>
      </w:numPr>
      <w:autoSpaceDE w:val="0"/>
      <w:autoSpaceDN w:val="0"/>
      <w:adjustRightInd w:val="0"/>
      <w:spacing w:before="200" w:after="200"/>
      <w:ind w:firstLine="0" w:firstLineChars="0"/>
      <w:jc w:val="left"/>
      <w:outlineLvl w:val="2"/>
    </w:pPr>
    <w:rPr>
      <w:rFonts w:ascii="黑体" w:eastAsia="黑体"/>
      <w:b/>
      <w:kern w:val="0"/>
      <w:sz w:val="30"/>
      <w:szCs w:val="30"/>
      <w:lang w:val="zh-CN"/>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Body Text"/>
    <w:basedOn w:val="1"/>
    <w:next w:val="1"/>
    <w:autoRedefine/>
    <w:qFormat/>
    <w:uiPriority w:val="99"/>
    <w:pPr>
      <w:spacing w:after="120"/>
    </w:pPr>
  </w:style>
  <w:style w:type="paragraph" w:styleId="7">
    <w:name w:val="Body Text Indent"/>
    <w:basedOn w:val="1"/>
    <w:autoRedefine/>
    <w:qFormat/>
    <w:uiPriority w:val="0"/>
    <w:pPr>
      <w:ind w:firstLine="645"/>
    </w:pPr>
    <w:rPr>
      <w:rFonts w:ascii="宋体"/>
      <w:sz w:val="32"/>
      <w:szCs w:val="20"/>
    </w:rPr>
  </w:style>
  <w:style w:type="paragraph" w:styleId="8">
    <w:name w:val="List 2"/>
    <w:basedOn w:val="1"/>
    <w:autoRedefine/>
    <w:qFormat/>
    <w:uiPriority w:val="0"/>
    <w:pPr>
      <w:ind w:left="400" w:leftChars="200" w:hanging="200" w:hangingChars="200"/>
    </w:pPr>
    <w:rPr>
      <w:rFonts w:cs="Droid Sans"/>
      <w:sz w:val="18"/>
    </w:rPr>
  </w:style>
  <w:style w:type="paragraph" w:styleId="9">
    <w:name w:val="Plain Text"/>
    <w:basedOn w:val="1"/>
    <w:autoRedefine/>
    <w:qFormat/>
    <w:uiPriority w:val="0"/>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footnote text"/>
    <w:basedOn w:val="1"/>
    <w:autoRedefine/>
    <w:qFormat/>
    <w:uiPriority w:val="0"/>
    <w:pPr>
      <w:snapToGrid w:val="0"/>
    </w:pPr>
    <w:rPr>
      <w:sz w:val="18"/>
    </w:rPr>
  </w:style>
  <w:style w:type="paragraph" w:styleId="13">
    <w:name w:val="Body Text 2"/>
    <w:basedOn w:val="1"/>
    <w:autoRedefine/>
    <w:qFormat/>
    <w:uiPriority w:val="0"/>
    <w:pPr>
      <w:spacing w:after="120" w:line="480" w:lineRule="auto"/>
    </w:pPr>
  </w:style>
  <w:style w:type="paragraph" w:styleId="14">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5">
    <w:name w:val="Body Text First Indent"/>
    <w:basedOn w:val="6"/>
    <w:next w:val="1"/>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6">
    <w:name w:val="Body Text First Indent 2"/>
    <w:basedOn w:val="7"/>
    <w:autoRedefine/>
    <w:qFormat/>
    <w:uiPriority w:val="0"/>
    <w:pPr>
      <w:spacing w:after="120"/>
      <w:ind w:left="420" w:leftChars="200" w:firstLine="420" w:firstLineChars="200"/>
    </w:pPr>
    <w:rPr>
      <w:rFonts w:ascii="Times New Roman" w:eastAsia="宋体"/>
      <w:sz w:val="21"/>
    </w:rPr>
  </w:style>
  <w:style w:type="table" w:styleId="18">
    <w:name w:val="Table Grid"/>
    <w:basedOn w:val="1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autoRedefine/>
    <w:qFormat/>
    <w:uiPriority w:val="22"/>
    <w:rPr>
      <w:b/>
      <w:bCs/>
    </w:rPr>
  </w:style>
  <w:style w:type="paragraph" w:customStyle="1" w:styleId="21">
    <w:name w:val="BodyText1I"/>
    <w:basedOn w:val="22"/>
    <w:autoRedefine/>
    <w:qFormat/>
    <w:uiPriority w:val="99"/>
    <w:pPr>
      <w:ind w:firstLine="420" w:firstLineChars="100"/>
    </w:pPr>
  </w:style>
  <w:style w:type="paragraph" w:customStyle="1" w:styleId="22">
    <w:name w:val="BodyText"/>
    <w:basedOn w:val="1"/>
    <w:autoRedefine/>
    <w:qFormat/>
    <w:uiPriority w:val="99"/>
    <w:pPr>
      <w:spacing w:after="120"/>
    </w:pPr>
  </w:style>
  <w:style w:type="paragraph" w:customStyle="1" w:styleId="23">
    <w:name w:val="Default"/>
    <w:next w:val="1"/>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4">
    <w:name w:val="style4"/>
    <w:basedOn w:val="1"/>
    <w:next w:val="25"/>
    <w:autoRedefine/>
    <w:qFormat/>
    <w:uiPriority w:val="0"/>
    <w:pPr>
      <w:widowControl/>
      <w:spacing w:before="280" w:after="280"/>
    </w:pPr>
    <w:rPr>
      <w:rFonts w:ascii="宋体" w:eastAsia="宋体"/>
      <w:sz w:val="18"/>
    </w:rPr>
  </w:style>
  <w:style w:type="paragraph" w:customStyle="1" w:styleId="2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26">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paragraph" w:styleId="27">
    <w:name w:val="List Paragraph"/>
    <w:basedOn w:val="1"/>
    <w:autoRedefine/>
    <w:qFormat/>
    <w:uiPriority w:val="34"/>
    <w:pPr>
      <w:ind w:firstLine="420" w:firstLineChars="200"/>
    </w:pPr>
  </w:style>
  <w:style w:type="paragraph" w:customStyle="1" w:styleId="28">
    <w:name w:val="Table Paragraph"/>
    <w:basedOn w:val="1"/>
    <w:autoRedefine/>
    <w:qFormat/>
    <w:uiPriority w:val="1"/>
  </w:style>
  <w:style w:type="paragraph" w:customStyle="1" w:styleId="29">
    <w:name w:val="CZG正文"/>
    <w:basedOn w:val="1"/>
    <w:autoRedefine/>
    <w:qFormat/>
    <w:uiPriority w:val="0"/>
    <w:pPr>
      <w:spacing w:line="440" w:lineRule="exact"/>
    </w:pPr>
    <w:rPr>
      <w:rFonts w:ascii="幼圆" w:eastAsia="幼圆"/>
      <w:sz w:val="24"/>
    </w:rPr>
  </w:style>
  <w:style w:type="paragraph" w:customStyle="1" w:styleId="30">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styleId="31">
    <w:name w:val="No Spacing"/>
    <w:basedOn w:val="1"/>
    <w:autoRedefine/>
    <w:qFormat/>
    <w:uiPriority w:val="1"/>
    <w:pPr>
      <w:widowControl w:val="0"/>
      <w:jc w:val="both"/>
    </w:pPr>
    <w:rPr>
      <w:rFonts w:ascii="Calibri" w:hAnsi="Calibri" w:eastAsia="宋体" w:cs="Times New Roman"/>
      <w:kern w:val="2"/>
      <w:sz w:val="21"/>
      <w:szCs w:val="21"/>
      <w:lang w:val="en-US" w:eastAsia="zh-CN" w:bidi="ar-SA"/>
    </w:rPr>
  </w:style>
  <w:style w:type="paragraph" w:customStyle="1" w:styleId="32">
    <w:name w:val="Table Text"/>
    <w:basedOn w:val="1"/>
    <w:autoRedefine/>
    <w:semiHidden/>
    <w:qFormat/>
    <w:uiPriority w:val="0"/>
    <w:rPr>
      <w:rFonts w:ascii="宋体" w:hAnsi="宋体" w:eastAsia="宋体" w:cs="宋体"/>
      <w:sz w:val="24"/>
      <w:szCs w:val="24"/>
      <w:lang w:val="en-US" w:eastAsia="en-US" w:bidi="ar-SA"/>
    </w:rPr>
  </w:style>
  <w:style w:type="table" w:customStyle="1" w:styleId="33">
    <w:name w:val="Table Normal"/>
    <w:autoRedefine/>
    <w:semiHidden/>
    <w:unhideWhenUsed/>
    <w:qFormat/>
    <w:uiPriority w:val="0"/>
    <w:tblPr>
      <w:tblCellMar>
        <w:top w:w="0" w:type="dxa"/>
        <w:left w:w="0" w:type="dxa"/>
        <w:bottom w:w="0" w:type="dxa"/>
        <w:right w:w="0" w:type="dxa"/>
      </w:tblCellMar>
    </w:tblPr>
  </w:style>
  <w:style w:type="character" w:customStyle="1" w:styleId="34">
    <w:name w:val="font61"/>
    <w:basedOn w:val="19"/>
    <w:autoRedefine/>
    <w:qFormat/>
    <w:uiPriority w:val="0"/>
    <w:rPr>
      <w:rFonts w:hint="eastAsia" w:ascii="宋体" w:hAnsi="宋体" w:eastAsia="宋体" w:cs="宋体"/>
      <w:b/>
      <w:bCs/>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18300</Words>
  <Characters>19200</Characters>
  <Lines>156</Lines>
  <Paragraphs>44</Paragraphs>
  <TotalTime>2</TotalTime>
  <ScaleCrop>false</ScaleCrop>
  <LinksUpToDate>false</LinksUpToDate>
  <CharactersWithSpaces>20292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Leele</cp:lastModifiedBy>
  <dcterms:modified xsi:type="dcterms:W3CDTF">2024-01-12T08:07:35Z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C0A3AA119B734D6E8AF58E6708FB763D_13</vt:lpwstr>
  </property>
</Properties>
</file>