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pPr>
        <w:tabs>
          <w:tab w:val="left" w:pos="315"/>
          <w:tab w:val="left" w:pos="8820"/>
        </w:tabs>
        <w:spacing w:line="500" w:lineRule="exact"/>
        <w:ind w:right="267" w:rightChars="127"/>
        <w:jc w:val="center"/>
        <w:rPr>
          <w:rFonts w:ascii="仿宋_GB2312" w:eastAsia="仿宋_GB2312"/>
          <w:b/>
          <w:bCs/>
          <w:color w:val="auto"/>
          <w:sz w:val="48"/>
          <w:highlight w:val="none"/>
        </w:rPr>
      </w:pPr>
    </w:p>
    <w:p>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pPr>
        <w:tabs>
          <w:tab w:val="left" w:pos="315"/>
          <w:tab w:val="left" w:pos="8820"/>
        </w:tabs>
        <w:spacing w:line="500" w:lineRule="exact"/>
        <w:ind w:right="267" w:rightChars="127"/>
        <w:jc w:val="center"/>
        <w:rPr>
          <w:rFonts w:ascii="仿宋_GB2312" w:eastAsia="仿宋_GB2312"/>
          <w:color w:val="auto"/>
          <w:sz w:val="44"/>
          <w:highlight w:val="none"/>
        </w:rPr>
      </w:pPr>
    </w:p>
    <w:p>
      <w:pPr>
        <w:tabs>
          <w:tab w:val="left" w:pos="315"/>
          <w:tab w:val="left" w:pos="8820"/>
        </w:tabs>
        <w:ind w:right="267" w:rightChars="127"/>
        <w:rPr>
          <w:rFonts w:ascii="仿宋_GB2312" w:eastAsia="仿宋_GB2312"/>
          <w:color w:val="auto"/>
          <w:sz w:val="44"/>
          <w:highlight w:val="none"/>
        </w:rPr>
      </w:pPr>
    </w:p>
    <w:p>
      <w:pPr>
        <w:tabs>
          <w:tab w:val="left" w:pos="315"/>
          <w:tab w:val="left" w:pos="8820"/>
        </w:tabs>
        <w:spacing w:line="500" w:lineRule="exact"/>
        <w:ind w:right="267" w:rightChars="127"/>
        <w:rPr>
          <w:rFonts w:ascii="仿宋_GB2312" w:eastAsia="仿宋_GB2312"/>
          <w:b/>
          <w:bCs/>
          <w:color w:val="auto"/>
          <w:sz w:val="36"/>
          <w:highlight w:val="none"/>
        </w:rPr>
      </w:pPr>
    </w:p>
    <w:p>
      <w:pPr>
        <w:tabs>
          <w:tab w:val="left" w:pos="315"/>
          <w:tab w:val="left" w:pos="8820"/>
        </w:tabs>
        <w:spacing w:line="500" w:lineRule="exact"/>
        <w:ind w:right="267" w:rightChars="127"/>
        <w:rPr>
          <w:rFonts w:ascii="仿宋_GB2312" w:eastAsia="仿宋_GB2312"/>
          <w:b/>
          <w:bCs/>
          <w:color w:val="auto"/>
          <w:sz w:val="36"/>
          <w:highlight w:val="none"/>
        </w:rPr>
      </w:pPr>
    </w:p>
    <w:p>
      <w:pPr>
        <w:tabs>
          <w:tab w:val="left" w:pos="315"/>
          <w:tab w:val="left" w:pos="8820"/>
        </w:tabs>
        <w:spacing w:line="500" w:lineRule="exact"/>
        <w:ind w:right="267" w:rightChars="127"/>
        <w:rPr>
          <w:rFonts w:ascii="仿宋_GB2312" w:eastAsia="仿宋_GB2312"/>
          <w:b/>
          <w:bCs/>
          <w:color w:val="auto"/>
          <w:sz w:val="36"/>
          <w:highlight w:val="none"/>
        </w:rPr>
      </w:pPr>
    </w:p>
    <w:p>
      <w:pPr>
        <w:tabs>
          <w:tab w:val="left" w:pos="315"/>
          <w:tab w:val="left" w:pos="8820"/>
        </w:tabs>
        <w:spacing w:line="500" w:lineRule="exact"/>
        <w:ind w:right="267" w:rightChars="127"/>
        <w:rPr>
          <w:rFonts w:ascii="仿宋_GB2312" w:eastAsia="仿宋_GB2312"/>
          <w:b/>
          <w:bCs/>
          <w:color w:val="auto"/>
          <w:sz w:val="36"/>
          <w:highlight w:val="none"/>
        </w:rPr>
      </w:pPr>
    </w:p>
    <w:p>
      <w:pPr>
        <w:tabs>
          <w:tab w:val="left" w:pos="315"/>
          <w:tab w:val="left" w:pos="8820"/>
        </w:tabs>
        <w:spacing w:line="500" w:lineRule="exact"/>
        <w:ind w:right="267" w:rightChars="127"/>
        <w:jc w:val="center"/>
        <w:rPr>
          <w:rFonts w:ascii="宋体" w:hAnsi="宋体"/>
          <w:color w:val="auto"/>
          <w:sz w:val="32"/>
          <w:highlight w:val="none"/>
        </w:rPr>
      </w:pPr>
    </w:p>
    <w:p>
      <w:pPr>
        <w:tabs>
          <w:tab w:val="left" w:pos="315"/>
          <w:tab w:val="left" w:pos="8820"/>
        </w:tabs>
        <w:spacing w:line="500" w:lineRule="exact"/>
        <w:ind w:right="267" w:rightChars="127"/>
        <w:jc w:val="center"/>
        <w:rPr>
          <w:rFonts w:ascii="微软简标宋" w:eastAsia="黑体"/>
          <w:b/>
          <w:bCs/>
          <w:color w:val="auto"/>
          <w:sz w:val="52"/>
          <w:highlight w:val="none"/>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0"/>
          <w:szCs w:val="30"/>
          <w:highlight w:val="none"/>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0"/>
          <w:szCs w:val="30"/>
          <w:highlight w:val="none"/>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0"/>
          <w:szCs w:val="30"/>
          <w:highlight w:val="none"/>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0"/>
          <w:szCs w:val="30"/>
          <w:highlight w:val="none"/>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0"/>
          <w:szCs w:val="30"/>
          <w:highlight w:val="none"/>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0"/>
          <w:szCs w:val="30"/>
          <w:highlight w:val="none"/>
        </w:rPr>
      </w:pPr>
      <w:r>
        <w:rPr>
          <w:rFonts w:hint="eastAsia" w:asciiTheme="majorEastAsia" w:hAnsiTheme="majorEastAsia" w:eastAsiaTheme="majorEastAsia" w:cstheme="majorEastAsia"/>
          <w:b w:val="0"/>
          <w:bCs w:val="0"/>
          <w:color w:val="auto"/>
          <w:sz w:val="30"/>
          <w:szCs w:val="30"/>
          <w:highlight w:val="none"/>
        </w:rPr>
        <w:t>项目名称: 周口市淮阳区乡村事业发展中心垃圾勾臂车和配套</w:t>
      </w:r>
    </w:p>
    <w:p>
      <w:pPr>
        <w:tabs>
          <w:tab w:val="left" w:pos="315"/>
          <w:tab w:val="left" w:pos="8820"/>
        </w:tabs>
        <w:spacing w:line="600" w:lineRule="exact"/>
        <w:ind w:right="267" w:rightChars="127" w:firstLine="1500" w:firstLineChars="500"/>
        <w:jc w:val="left"/>
        <w:rPr>
          <w:rFonts w:hint="eastAsia" w:asciiTheme="majorEastAsia" w:hAnsiTheme="majorEastAsia" w:eastAsiaTheme="majorEastAsia" w:cstheme="majorEastAsia"/>
          <w:b w:val="0"/>
          <w:bCs w:val="0"/>
          <w:color w:val="auto"/>
          <w:sz w:val="30"/>
          <w:szCs w:val="30"/>
          <w:highlight w:val="none"/>
        </w:rPr>
      </w:pPr>
      <w:r>
        <w:rPr>
          <w:rFonts w:hint="eastAsia" w:asciiTheme="majorEastAsia" w:hAnsiTheme="majorEastAsia" w:eastAsiaTheme="majorEastAsia" w:cstheme="majorEastAsia"/>
          <w:b w:val="0"/>
          <w:bCs w:val="0"/>
          <w:color w:val="auto"/>
          <w:sz w:val="30"/>
          <w:szCs w:val="30"/>
          <w:highlight w:val="none"/>
        </w:rPr>
        <w:t>垃圾压缩箱租赁项目</w:t>
      </w: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0"/>
          <w:szCs w:val="30"/>
          <w:highlight w:val="none"/>
          <w:lang w:val="en-US" w:eastAsia="zh-CN"/>
        </w:rPr>
      </w:pPr>
      <w:r>
        <w:rPr>
          <w:rFonts w:hint="eastAsia" w:asciiTheme="majorEastAsia" w:hAnsiTheme="majorEastAsia" w:eastAsiaTheme="majorEastAsia" w:cstheme="majorEastAsia"/>
          <w:b w:val="0"/>
          <w:bCs w:val="0"/>
          <w:color w:val="auto"/>
          <w:sz w:val="30"/>
          <w:szCs w:val="30"/>
          <w:highlight w:val="none"/>
        </w:rPr>
        <w:t xml:space="preserve">项目编号: </w:t>
      </w:r>
      <w:r>
        <w:rPr>
          <w:rFonts w:hint="eastAsia" w:asciiTheme="majorEastAsia" w:hAnsiTheme="majorEastAsia" w:eastAsiaTheme="majorEastAsia" w:cstheme="majorEastAsia"/>
          <w:b w:val="0"/>
          <w:bCs w:val="0"/>
          <w:color w:val="auto"/>
          <w:sz w:val="30"/>
          <w:szCs w:val="30"/>
          <w:highlight w:val="none"/>
          <w:lang w:val="en-US" w:eastAsia="zh-CN"/>
        </w:rPr>
        <w:t xml:space="preserve">2024-02-10 </w:t>
      </w:r>
    </w:p>
    <w:p>
      <w:pPr>
        <w:tabs>
          <w:tab w:val="left" w:pos="315"/>
          <w:tab w:val="left" w:pos="8820"/>
        </w:tabs>
        <w:spacing w:line="600" w:lineRule="exact"/>
        <w:ind w:right="267" w:rightChars="127"/>
        <w:jc w:val="center"/>
        <w:rPr>
          <w:rFonts w:hint="default" w:asciiTheme="majorEastAsia" w:hAnsiTheme="majorEastAsia" w:eastAsiaTheme="majorEastAsia" w:cstheme="majorEastAsia"/>
          <w:b w:val="0"/>
          <w:bCs w:val="0"/>
          <w:color w:val="auto"/>
          <w:sz w:val="30"/>
          <w:szCs w:val="30"/>
          <w:highlight w:val="none"/>
          <w:lang w:val="en-US" w:eastAsia="zh-CN"/>
        </w:rPr>
      </w:pPr>
      <w:r>
        <w:rPr>
          <w:rFonts w:hint="eastAsia" w:asciiTheme="majorEastAsia" w:hAnsiTheme="majorEastAsia" w:eastAsiaTheme="majorEastAsia" w:cstheme="majorEastAsia"/>
          <w:b w:val="0"/>
          <w:bCs w:val="0"/>
          <w:color w:val="auto"/>
          <w:sz w:val="30"/>
          <w:szCs w:val="30"/>
          <w:highlight w:val="none"/>
          <w:lang w:val="en-US" w:eastAsia="zh-CN"/>
        </w:rPr>
        <w:t>2024</w:t>
      </w:r>
      <w:r>
        <w:rPr>
          <w:rFonts w:hint="eastAsia" w:asciiTheme="majorEastAsia" w:hAnsiTheme="majorEastAsia" w:eastAsiaTheme="majorEastAsia" w:cstheme="majorEastAsia"/>
          <w:b w:val="0"/>
          <w:bCs w:val="0"/>
          <w:color w:val="auto"/>
          <w:sz w:val="30"/>
          <w:szCs w:val="30"/>
          <w:highlight w:val="none"/>
        </w:rPr>
        <w:t>年</w:t>
      </w:r>
      <w:r>
        <w:rPr>
          <w:rFonts w:hint="eastAsia" w:asciiTheme="majorEastAsia" w:hAnsiTheme="majorEastAsia" w:eastAsiaTheme="majorEastAsia" w:cstheme="majorEastAsia"/>
          <w:b w:val="0"/>
          <w:bCs w:val="0"/>
          <w:color w:val="auto"/>
          <w:sz w:val="30"/>
          <w:szCs w:val="30"/>
          <w:highlight w:val="none"/>
          <w:lang w:val="en-US" w:eastAsia="zh-CN"/>
        </w:rPr>
        <w:t>2</w:t>
      </w:r>
      <w:r>
        <w:rPr>
          <w:rFonts w:hint="eastAsia" w:asciiTheme="majorEastAsia" w:hAnsiTheme="majorEastAsia" w:eastAsiaTheme="majorEastAsia" w:cstheme="majorEastAsia"/>
          <w:b w:val="0"/>
          <w:bCs w:val="0"/>
          <w:color w:val="auto"/>
          <w:sz w:val="30"/>
          <w:szCs w:val="30"/>
          <w:highlight w:val="none"/>
        </w:rPr>
        <w:t>月</w:t>
      </w:r>
      <w:r>
        <w:rPr>
          <w:rFonts w:hint="eastAsia" w:asciiTheme="majorEastAsia" w:hAnsiTheme="majorEastAsia" w:eastAsiaTheme="majorEastAsia" w:cstheme="majorEastAsia"/>
          <w:b w:val="0"/>
          <w:bCs w:val="0"/>
          <w:color w:val="auto"/>
          <w:sz w:val="30"/>
          <w:szCs w:val="30"/>
          <w:highlight w:val="none"/>
          <w:lang w:val="en-US" w:eastAsia="zh-CN"/>
        </w:rPr>
        <w:t>23日</w:t>
      </w:r>
    </w:p>
    <w:p>
      <w:pPr>
        <w:pStyle w:val="8"/>
        <w:jc w:val="center"/>
        <w:rPr>
          <w:rFonts w:ascii="宋体" w:hAnsi="宋体"/>
          <w:b/>
          <w:color w:val="auto"/>
          <w:sz w:val="32"/>
          <w:highlight w:val="none"/>
        </w:rPr>
      </w:pPr>
    </w:p>
    <w:p>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pPr>
        <w:rPr>
          <w:rFonts w:ascii="宋体" w:hAnsi="宋体" w:cs="宋体"/>
          <w:b/>
          <w:color w:val="auto"/>
          <w:sz w:val="32"/>
          <w:szCs w:val="32"/>
          <w:highlight w:val="none"/>
        </w:rPr>
      </w:pPr>
    </w:p>
    <w:p>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采购项目内容及要求.......................24</w:t>
      </w:r>
    </w:p>
    <w:p>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响应性文件内容及格式.....................25</w:t>
      </w:r>
    </w:p>
    <w:p>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合同签订指引、供应商履约验收指引38</w:t>
      </w:r>
    </w:p>
    <w:p>
      <w:pPr>
        <w:spacing w:line="800" w:lineRule="exact"/>
        <w:ind w:firstLine="2249" w:firstLineChars="700"/>
        <w:rPr>
          <w:rFonts w:ascii="宋体" w:hAnsi="宋体" w:cs="宋体"/>
          <w:b/>
          <w:color w:val="auto"/>
          <w:sz w:val="32"/>
          <w:szCs w:val="32"/>
          <w:highlight w:val="none"/>
        </w:rPr>
      </w:pPr>
    </w:p>
    <w:p>
      <w:pPr>
        <w:spacing w:line="800" w:lineRule="exact"/>
        <w:ind w:firstLine="2249" w:firstLineChars="700"/>
        <w:rPr>
          <w:rFonts w:ascii="宋体" w:hAnsi="宋体" w:cs="宋体"/>
          <w:b/>
          <w:color w:val="auto"/>
          <w:sz w:val="32"/>
          <w:szCs w:val="32"/>
          <w:highlight w:val="none"/>
        </w:rPr>
      </w:pPr>
    </w:p>
    <w:p>
      <w:pPr>
        <w:spacing w:line="800" w:lineRule="exact"/>
        <w:ind w:firstLine="2249" w:firstLineChars="700"/>
        <w:rPr>
          <w:rFonts w:ascii="宋体" w:hAnsi="宋体" w:cs="宋体"/>
          <w:b/>
          <w:color w:val="auto"/>
          <w:sz w:val="32"/>
          <w:szCs w:val="32"/>
          <w:highlight w:val="none"/>
        </w:rPr>
      </w:pPr>
    </w:p>
    <w:p>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pPr>
        <w:pStyle w:val="38"/>
        <w:rPr>
          <w:color w:val="auto"/>
          <w:highlight w:val="none"/>
        </w:rPr>
      </w:pPr>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val="en-US" w:eastAsia="zh-CN"/>
        </w:rPr>
        <w:t>2024-02-10</w:t>
      </w:r>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项目名称：周口市淮阳区乡村事业发展中心垃圾勾臂车和配套垃圾压缩箱租赁项目</w:t>
      </w:r>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采购方式：竞争性磋商</w:t>
      </w:r>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3.</w:t>
      </w: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val="en-US" w:eastAsia="zh-CN"/>
        </w:rPr>
        <w:t>1116000.00元</w:t>
      </w:r>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rPr>
        <w:t>最高限价：</w:t>
      </w:r>
      <w:r>
        <w:rPr>
          <w:rFonts w:hint="eastAsia" w:asciiTheme="minorEastAsia" w:hAnsiTheme="minorEastAsia" w:eastAsiaTheme="minorEastAsia" w:cstheme="minorEastAsia"/>
          <w:color w:val="auto"/>
          <w:sz w:val="24"/>
          <w:highlight w:val="none"/>
          <w:lang w:val="en-US" w:eastAsia="zh-CN"/>
        </w:rPr>
        <w:t>1116000.00元</w:t>
      </w:r>
    </w:p>
    <w:p>
      <w:pPr>
        <w:pStyle w:val="24"/>
        <w:keepNext w:val="0"/>
        <w:keepLines w:val="0"/>
        <w:pageBreakBefore w:val="0"/>
        <w:kinsoku/>
        <w:wordWrap/>
        <w:overflowPunct/>
        <w:topLinePunct w:val="0"/>
        <w:bidi w:val="0"/>
        <w:snapToGrid w:val="0"/>
        <w:spacing w:before="0" w:beforeAutospacing="0" w:after="0" w:afterAutospacing="0" w:line="380" w:lineRule="exact"/>
        <w:ind w:firstLine="480"/>
        <w:jc w:val="both"/>
        <w:textAlignment w:val="auto"/>
        <w:rPr>
          <w:rFonts w:cs="宋体"/>
          <w:color w:val="auto"/>
          <w:highlight w:val="none"/>
        </w:rPr>
      </w:pPr>
      <w:r>
        <w:rPr>
          <w:rFonts w:hint="eastAsia" w:cs="宋体"/>
          <w:color w:val="auto"/>
          <w:highlight w:val="none"/>
        </w:rPr>
        <w:t>包划分：</w:t>
      </w:r>
      <w:r>
        <w:rPr>
          <w:rFonts w:hint="eastAsia" w:cs="宋体"/>
          <w:color w:val="auto"/>
          <w:highlight w:val="none"/>
          <w:lang w:val="en-US" w:eastAsia="zh-CN"/>
        </w:rPr>
        <w:t>1</w:t>
      </w:r>
      <w:r>
        <w:rPr>
          <w:rFonts w:hint="eastAsia" w:cs="宋体"/>
          <w:color w:val="auto"/>
          <w:highlight w:val="none"/>
        </w:rPr>
        <w:t>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4120"/>
        <w:gridCol w:w="2100"/>
        <w:gridCol w:w="2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781" w:type="dxa"/>
            <w:vAlign w:val="center"/>
          </w:tcPr>
          <w:p>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both"/>
              <w:textAlignment w:val="auto"/>
              <w:rPr>
                <w:color w:val="auto"/>
                <w:highlight w:val="none"/>
              </w:rPr>
            </w:pPr>
            <w:r>
              <w:rPr>
                <w:rFonts w:hint="eastAsia" w:cs="宋体" w:asciiTheme="minorEastAsia" w:hAnsiTheme="minorEastAsia" w:eastAsiaTheme="minorEastAsia"/>
                <w:color w:val="auto"/>
                <w:kern w:val="2"/>
                <w:szCs w:val="24"/>
                <w:highlight w:val="none"/>
              </w:rPr>
              <w:t>包号</w:t>
            </w:r>
          </w:p>
        </w:tc>
        <w:tc>
          <w:tcPr>
            <w:tcW w:w="4120" w:type="dxa"/>
            <w:vAlign w:val="center"/>
          </w:tcPr>
          <w:p>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s="宋体" w:asciiTheme="minorEastAsia" w:hAnsiTheme="minorEastAsia" w:eastAsiaTheme="minorEastAsia"/>
                <w:color w:val="auto"/>
                <w:kern w:val="2"/>
                <w:szCs w:val="24"/>
                <w:highlight w:val="none"/>
              </w:rPr>
              <w:t>包名称</w:t>
            </w:r>
          </w:p>
        </w:tc>
        <w:tc>
          <w:tcPr>
            <w:tcW w:w="2100" w:type="dxa"/>
            <w:vAlign w:val="center"/>
          </w:tcPr>
          <w:p>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color w:val="auto"/>
                <w:highlight w:val="none"/>
              </w:rPr>
              <w:t>包预算（元）</w:t>
            </w:r>
          </w:p>
        </w:tc>
        <w:tc>
          <w:tcPr>
            <w:tcW w:w="2078" w:type="dxa"/>
            <w:vAlign w:val="center"/>
          </w:tcPr>
          <w:p>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81" w:type="dxa"/>
            <w:vAlign w:val="center"/>
          </w:tcPr>
          <w:p>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olor w:val="auto"/>
                <w:highlight w:val="none"/>
              </w:rPr>
              <w:t>1</w:t>
            </w:r>
          </w:p>
        </w:tc>
        <w:tc>
          <w:tcPr>
            <w:tcW w:w="4120" w:type="dxa"/>
            <w:vAlign w:val="center"/>
          </w:tcPr>
          <w:p>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olor w:val="auto"/>
                <w:highlight w:val="none"/>
              </w:rPr>
              <w:t>周口市淮阳区乡村事业发展中心垃圾勾臂车和配套垃圾压缩箱租赁项目</w:t>
            </w:r>
          </w:p>
        </w:tc>
        <w:tc>
          <w:tcPr>
            <w:tcW w:w="2100" w:type="dxa"/>
            <w:vAlign w:val="center"/>
          </w:tcPr>
          <w:p>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default"/>
                <w:color w:val="auto"/>
                <w:highlight w:val="none"/>
                <w:lang w:val="en-US" w:eastAsia="zh-CN"/>
              </w:rPr>
            </w:pPr>
            <w:r>
              <w:rPr>
                <w:rFonts w:hint="eastAsia"/>
                <w:color w:val="auto"/>
                <w:highlight w:val="none"/>
                <w:lang w:val="en-US" w:eastAsia="zh-CN"/>
              </w:rPr>
              <w:t>1116000.00</w:t>
            </w:r>
          </w:p>
        </w:tc>
        <w:tc>
          <w:tcPr>
            <w:tcW w:w="2078" w:type="dxa"/>
            <w:vAlign w:val="center"/>
          </w:tcPr>
          <w:p>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default"/>
                <w:color w:val="auto"/>
                <w:highlight w:val="none"/>
                <w:lang w:val="en-US" w:eastAsia="zh-CN"/>
              </w:rPr>
            </w:pPr>
            <w:r>
              <w:rPr>
                <w:rFonts w:hint="eastAsia"/>
                <w:color w:val="auto"/>
                <w:highlight w:val="none"/>
                <w:lang w:val="en-US" w:eastAsia="zh-CN"/>
              </w:rPr>
              <w:t>1116000.00</w:t>
            </w:r>
          </w:p>
        </w:tc>
      </w:tr>
    </w:tbl>
    <w:p>
      <w:pPr>
        <w:keepNext w:val="0"/>
        <w:keepLines w:val="0"/>
        <w:pageBreakBefore w:val="0"/>
        <w:kinsoku/>
        <w:wordWrap/>
        <w:overflowPunct/>
        <w:topLinePunct w:val="0"/>
        <w:autoSpaceDE w:val="0"/>
        <w:autoSpaceDN w:val="0"/>
        <w:bidi w:val="0"/>
        <w:spacing w:line="38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rPr>
        <w:t>采购需求：（包括但不限于标的的名称、数量、简要技术需求或服务要求等）</w:t>
      </w:r>
    </w:p>
    <w:p>
      <w:pPr>
        <w:keepNext w:val="0"/>
        <w:keepLines w:val="0"/>
        <w:pageBreakBefore w:val="0"/>
        <w:kinsoku/>
        <w:wordWrap/>
        <w:overflowPunct/>
        <w:topLinePunct w:val="0"/>
        <w:autoSpaceDE w:val="0"/>
        <w:autoSpaceDN w:val="0"/>
        <w:bidi w:val="0"/>
        <w:spacing w:line="380" w:lineRule="exact"/>
        <w:ind w:firstLine="960" w:firstLineChars="400"/>
        <w:textAlignment w:val="auto"/>
        <w:rPr>
          <w:rFonts w:hint="default"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lang w:val="en-US" w:eastAsia="zh-CN"/>
        </w:rPr>
        <w:t>租赁18m3大型勾臂车5辆，18m3垃圾压缩箱18个，详见磋商文件。</w:t>
      </w:r>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6.</w:t>
      </w:r>
      <w:r>
        <w:rPr>
          <w:rFonts w:hint="eastAsia" w:asciiTheme="minorEastAsia" w:hAnsiTheme="minorEastAsia" w:eastAsiaTheme="minorEastAsia" w:cstheme="minorEastAsia"/>
          <w:color w:val="auto"/>
          <w:sz w:val="24"/>
          <w:highlight w:val="none"/>
        </w:rPr>
        <w:t>合同履行期限：合同签订</w:t>
      </w:r>
      <w:r>
        <w:rPr>
          <w:rFonts w:hint="eastAsia" w:asciiTheme="minorEastAsia" w:hAnsiTheme="minorEastAsia" w:eastAsiaTheme="minorEastAsia" w:cstheme="minorEastAsia"/>
          <w:color w:val="auto"/>
          <w:sz w:val="24"/>
          <w:highlight w:val="none"/>
          <w:lang w:val="en-US" w:eastAsia="zh-CN"/>
        </w:rPr>
        <w:t>180</w:t>
      </w:r>
      <w:r>
        <w:rPr>
          <w:rFonts w:hint="eastAsia" w:asciiTheme="minorEastAsia" w:hAnsiTheme="minorEastAsia" w:eastAsiaTheme="minorEastAsia" w:cstheme="minorEastAsia"/>
          <w:color w:val="auto"/>
          <w:sz w:val="24"/>
          <w:highlight w:val="none"/>
        </w:rPr>
        <w:t>日历天</w:t>
      </w:r>
      <w:r>
        <w:rPr>
          <w:rFonts w:hint="eastAsia" w:asciiTheme="minorEastAsia" w:hAnsiTheme="minorEastAsia" w:eastAsiaTheme="minorEastAsia" w:cstheme="minorEastAsia"/>
          <w:color w:val="auto"/>
          <w:sz w:val="24"/>
          <w:highlight w:val="none"/>
          <w:lang w:eastAsia="zh-CN"/>
        </w:rPr>
        <w:t>（</w:t>
      </w:r>
      <w:r>
        <w:rPr>
          <w:rStyle w:val="67"/>
          <w:rFonts w:hint="eastAsia" w:ascii="宋体" w:hAnsi="宋体" w:cs="宋体"/>
          <w:color w:val="auto"/>
          <w:sz w:val="24"/>
          <w:highlight w:val="none"/>
          <w:lang w:val="en-US" w:eastAsia="zh-CN"/>
        </w:rPr>
        <w:t>租赁期6个月）</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bookmarkStart w:id="0" w:name="_Toc28359013"/>
      <w:bookmarkStart w:id="1" w:name="_Toc35393799"/>
      <w:bookmarkStart w:id="2" w:name="_Toc35393630"/>
      <w:bookmarkStart w:id="3" w:name="_Toc28359090"/>
      <w:r>
        <w:rPr>
          <w:rFonts w:hint="eastAsia" w:ascii="宋体" w:hAnsi="宋体" w:cs="宋体"/>
          <w:color w:val="auto"/>
          <w:sz w:val="24"/>
          <w:highlight w:val="none"/>
          <w:lang w:val="en-US" w:eastAsia="zh-CN"/>
        </w:rPr>
        <w:t>7.</w:t>
      </w:r>
      <w:r>
        <w:rPr>
          <w:rFonts w:hint="eastAsia" w:ascii="宋体" w:hAnsi="宋体" w:cs="宋体"/>
          <w:color w:val="auto"/>
          <w:sz w:val="24"/>
          <w:highlight w:val="none"/>
        </w:rPr>
        <w:t>是否接受进口产品：否</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本项目是否接受联合体投标：否</w:t>
      </w:r>
    </w:p>
    <w:p>
      <w:pPr>
        <w:keepNext w:val="0"/>
        <w:keepLines w:val="0"/>
        <w:pageBreakBefore w:val="0"/>
        <w:kinsoku/>
        <w:wordWrap/>
        <w:overflowPunct/>
        <w:topLinePunct w:val="0"/>
        <w:bidi w:val="0"/>
        <w:spacing w:line="380" w:lineRule="exact"/>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9.</w:t>
      </w:r>
      <w:r>
        <w:rPr>
          <w:rFonts w:hint="eastAsia" w:ascii="宋体" w:hAnsi="宋体" w:cs="宋体"/>
          <w:color w:val="auto"/>
          <w:sz w:val="24"/>
          <w:highlight w:val="none"/>
        </w:rPr>
        <w:t>本项目是否为只面向中小企业采购：</w:t>
      </w:r>
      <w:r>
        <w:rPr>
          <w:rFonts w:hint="eastAsia" w:ascii="宋体" w:hAnsi="宋体" w:cs="宋体"/>
          <w:color w:val="auto"/>
          <w:sz w:val="24"/>
          <w:highlight w:val="none"/>
          <w:lang w:val="en-US" w:eastAsia="zh-CN"/>
        </w:rPr>
        <w:t>否</w:t>
      </w:r>
    </w:p>
    <w:p>
      <w:pPr>
        <w:pStyle w:val="3"/>
        <w:keepNext w:val="0"/>
        <w:keepLines w:val="0"/>
        <w:pageBreakBefore w:val="0"/>
        <w:kinsoku/>
        <w:wordWrap/>
        <w:overflowPunct/>
        <w:topLinePunct w:val="0"/>
        <w:autoSpaceDE w:val="0"/>
        <w:autoSpaceDN w:val="0"/>
        <w:bidi w:val="0"/>
        <w:spacing w:line="380" w:lineRule="exact"/>
        <w:jc w:val="left"/>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0"/>
      <w:bookmarkEnd w:id="1"/>
      <w:bookmarkEnd w:id="2"/>
      <w:bookmarkEnd w:id="3"/>
    </w:p>
    <w:p>
      <w:pPr>
        <w:keepNext w:val="0"/>
        <w:keepLines w:val="0"/>
        <w:pageBreakBefore w:val="0"/>
        <w:kinsoku/>
        <w:wordWrap/>
        <w:overflowPunct/>
        <w:topLinePunct w:val="0"/>
        <w:autoSpaceDE w:val="0"/>
        <w:autoSpaceDN w:val="0"/>
        <w:bidi w:val="0"/>
        <w:spacing w:line="380" w:lineRule="exact"/>
        <w:ind w:firstLine="54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pPr>
        <w:keepNext w:val="0"/>
        <w:keepLines w:val="0"/>
        <w:pageBreakBefore w:val="0"/>
        <w:kinsoku/>
        <w:wordWrap/>
        <w:overflowPunct/>
        <w:topLinePunct w:val="0"/>
        <w:autoSpaceDE w:val="0"/>
        <w:autoSpaceDN w:val="0"/>
        <w:bidi w:val="0"/>
        <w:spacing w:line="380" w:lineRule="exact"/>
        <w:ind w:firstLine="540"/>
        <w:textAlignment w:val="auto"/>
        <w:rPr>
          <w:rFonts w:asciiTheme="minorEastAsia" w:hAnsiTheme="minorEastAsia" w:eastAsiaTheme="minorEastAsia" w:cstheme="minorEastAsia"/>
          <w:color w:val="auto"/>
          <w:sz w:val="24"/>
          <w:highlight w:val="none"/>
        </w:rPr>
      </w:pPr>
      <w:bookmarkStart w:id="4" w:name="_Toc28359091"/>
      <w:bookmarkStart w:id="5" w:name="_Toc28359014"/>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kinsoku/>
        <w:wordWrap/>
        <w:overflowPunct/>
        <w:topLinePunct w:val="0"/>
        <w:bidi w:val="0"/>
        <w:spacing w:line="380" w:lineRule="exact"/>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HYPERLINK "http://www.creditchina.gov.cn/"</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）的“重大税收违法失信主体”、“失信被执行人”和“中国政府采购”网站(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)的“政府采购严重违法失信行为记录名单”的供应商，将拒绝其参加政府采购活动；在标书中附加盖公章的网页查询扫描件，查询日期为公告发布之日起至投标截止之日止。</w:t>
      </w:r>
    </w:p>
    <w:p>
      <w:pPr>
        <w:pStyle w:val="3"/>
        <w:keepNext w:val="0"/>
        <w:keepLines w:val="0"/>
        <w:pageBreakBefore w:val="0"/>
        <w:kinsoku/>
        <w:wordWrap/>
        <w:overflowPunct/>
        <w:topLinePunct w:val="0"/>
        <w:autoSpaceDE w:val="0"/>
        <w:autoSpaceDN w:val="0"/>
        <w:bidi w:val="0"/>
        <w:spacing w:line="380" w:lineRule="exact"/>
        <w:jc w:val="left"/>
        <w:textAlignment w:val="auto"/>
        <w:rPr>
          <w:rFonts w:asciiTheme="minorEastAsia" w:hAnsiTheme="minorEastAsia" w:eastAsiaTheme="minorEastAsia" w:cstheme="minorEastAsia"/>
          <w:color w:val="auto"/>
          <w:sz w:val="24"/>
          <w:highlight w:val="none"/>
        </w:rPr>
      </w:pPr>
      <w:bookmarkStart w:id="6" w:name="_Toc35393800"/>
      <w:bookmarkStart w:id="7" w:name="_Toc35393631"/>
      <w:r>
        <w:rPr>
          <w:rFonts w:hint="eastAsia" w:asciiTheme="minorEastAsia" w:hAnsiTheme="minorEastAsia" w:eastAsiaTheme="minorEastAsia" w:cstheme="minorEastAsia"/>
          <w:color w:val="auto"/>
          <w:sz w:val="24"/>
          <w:highlight w:val="none"/>
        </w:rPr>
        <w:t>三、获取采购文件</w:t>
      </w:r>
      <w:bookmarkEnd w:id="4"/>
      <w:bookmarkEnd w:id="5"/>
      <w:bookmarkEnd w:id="6"/>
      <w:bookmarkEnd w:id="7"/>
    </w:p>
    <w:p>
      <w:pPr>
        <w:keepNext w:val="0"/>
        <w:keepLines w:val="0"/>
        <w:pageBreakBefore w:val="0"/>
        <w:kinsoku/>
        <w:wordWrap/>
        <w:overflowPunct/>
        <w:topLinePunct w:val="0"/>
        <w:autoSpaceDE w:val="0"/>
        <w:autoSpaceDN w:val="0"/>
        <w:bidi w:val="0"/>
        <w:spacing w:line="380" w:lineRule="exact"/>
        <w:ind w:firstLine="54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2024</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2</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23</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lang w:val="en-US" w:eastAsia="zh-CN"/>
        </w:rPr>
        <w:t>2024</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3</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pPr>
        <w:keepNext w:val="0"/>
        <w:keepLines w:val="0"/>
        <w:pageBreakBefore w:val="0"/>
        <w:kinsoku/>
        <w:wordWrap/>
        <w:overflowPunct/>
        <w:topLinePunct w:val="0"/>
        <w:autoSpaceDE w:val="0"/>
        <w:autoSpaceDN w:val="0"/>
        <w:bidi w:val="0"/>
        <w:spacing w:line="380" w:lineRule="exact"/>
        <w:ind w:firstLine="540"/>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售价：0</w:t>
      </w:r>
      <w:r>
        <w:rPr>
          <w:rFonts w:hint="eastAsia" w:asciiTheme="minorEastAsia" w:hAnsiTheme="minorEastAsia" w:eastAsiaTheme="minorEastAsia" w:cstheme="minorEastAsia"/>
          <w:color w:val="auto"/>
          <w:sz w:val="24"/>
          <w:highlight w:val="none"/>
          <w:lang w:val="en-US" w:eastAsia="zh-CN"/>
        </w:rPr>
        <w:t>元</w:t>
      </w:r>
    </w:p>
    <w:p>
      <w:pPr>
        <w:pStyle w:val="3"/>
        <w:keepNext w:val="0"/>
        <w:keepLines w:val="0"/>
        <w:pageBreakBefore w:val="0"/>
        <w:kinsoku/>
        <w:wordWrap/>
        <w:overflowPunct/>
        <w:topLinePunct w:val="0"/>
        <w:autoSpaceDE w:val="0"/>
        <w:autoSpaceDN w:val="0"/>
        <w:bidi w:val="0"/>
        <w:spacing w:line="380" w:lineRule="exact"/>
        <w:jc w:val="left"/>
        <w:textAlignment w:val="auto"/>
        <w:rPr>
          <w:rFonts w:asciiTheme="minorEastAsia" w:hAnsiTheme="minorEastAsia" w:eastAsiaTheme="minorEastAsia" w:cstheme="minorEastAsia"/>
          <w:color w:val="auto"/>
          <w:sz w:val="24"/>
          <w:highlight w:val="none"/>
        </w:rPr>
      </w:pPr>
      <w:bookmarkStart w:id="8" w:name="_Toc28359015"/>
      <w:bookmarkStart w:id="9" w:name="_Toc35393632"/>
      <w:bookmarkStart w:id="10" w:name="_Toc35393801"/>
      <w:bookmarkStart w:id="11" w:name="_Toc28359092"/>
      <w:r>
        <w:rPr>
          <w:rFonts w:hint="eastAsia" w:asciiTheme="minorEastAsia" w:hAnsiTheme="minorEastAsia" w:eastAsiaTheme="minorEastAsia" w:cstheme="minorEastAsia"/>
          <w:color w:val="auto"/>
          <w:sz w:val="24"/>
          <w:highlight w:val="none"/>
        </w:rPr>
        <w:t>四、响应文件提交</w:t>
      </w:r>
      <w:bookmarkEnd w:id="8"/>
      <w:bookmarkEnd w:id="9"/>
      <w:bookmarkEnd w:id="10"/>
      <w:bookmarkEnd w:id="11"/>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lang w:val="en-US" w:eastAsia="zh-CN"/>
        </w:rPr>
        <w:t>2024</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3</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5</w:t>
      </w:r>
      <w:r>
        <w:rPr>
          <w:rFonts w:hint="eastAsia" w:asciiTheme="minorEastAsia" w:hAnsiTheme="minorEastAsia" w:eastAsiaTheme="minorEastAsia" w:cstheme="minorEastAsia"/>
          <w:bCs/>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10</w:t>
      </w:r>
      <w:r>
        <w:rPr>
          <w:rFonts w:hint="eastAsia" w:asciiTheme="minorEastAsia" w:hAnsiTheme="minorEastAsia" w:eastAsiaTheme="minorEastAsia" w:cstheme="minorEastAsia"/>
          <w:bCs/>
          <w:color w:val="auto"/>
          <w:sz w:val="24"/>
          <w:highlight w:val="none"/>
          <w:u w:val="single"/>
        </w:rPr>
        <w:t>点</w:t>
      </w:r>
      <w:r>
        <w:rPr>
          <w:rFonts w:hint="eastAsia" w:asciiTheme="minorEastAsia" w:hAnsiTheme="minorEastAsia" w:eastAsiaTheme="minorEastAsia" w:cstheme="minorEastAsia"/>
          <w:bCs/>
          <w:color w:val="auto"/>
          <w:sz w:val="24"/>
          <w:highlight w:val="none"/>
          <w:u w:val="single"/>
          <w:lang w:val="en-US" w:eastAsia="zh-CN"/>
        </w:rPr>
        <w:t>0</w:t>
      </w:r>
      <w:r>
        <w:rPr>
          <w:rFonts w:hint="eastAsia" w:asciiTheme="minorEastAsia" w:hAnsiTheme="minorEastAsia" w:eastAsiaTheme="minorEastAsia" w:cstheme="minorEastAsia"/>
          <w:bCs/>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pPr>
        <w:pStyle w:val="3"/>
        <w:keepNext w:val="0"/>
        <w:keepLines w:val="0"/>
        <w:pageBreakBefore w:val="0"/>
        <w:kinsoku/>
        <w:wordWrap/>
        <w:overflowPunct/>
        <w:topLinePunct w:val="0"/>
        <w:autoSpaceDE w:val="0"/>
        <w:autoSpaceDN w:val="0"/>
        <w:bidi w:val="0"/>
        <w:spacing w:line="380" w:lineRule="exact"/>
        <w:jc w:val="left"/>
        <w:textAlignment w:val="auto"/>
        <w:rPr>
          <w:rFonts w:asciiTheme="minorEastAsia" w:hAnsiTheme="minorEastAsia" w:eastAsiaTheme="minorEastAsia" w:cstheme="minorEastAsia"/>
          <w:color w:val="auto"/>
          <w:sz w:val="24"/>
          <w:highlight w:val="none"/>
        </w:rPr>
      </w:pPr>
      <w:bookmarkStart w:id="12" w:name="_Toc28359016"/>
      <w:bookmarkStart w:id="13" w:name="_Toc35393802"/>
      <w:bookmarkStart w:id="14" w:name="_Toc35393633"/>
      <w:bookmarkStart w:id="15" w:name="_Toc28359093"/>
      <w:r>
        <w:rPr>
          <w:rFonts w:hint="eastAsia" w:asciiTheme="minorEastAsia" w:hAnsiTheme="minorEastAsia" w:eastAsiaTheme="minorEastAsia" w:cstheme="minorEastAsia"/>
          <w:color w:val="auto"/>
          <w:sz w:val="24"/>
          <w:highlight w:val="none"/>
        </w:rPr>
        <w:t>五、开启</w:t>
      </w:r>
      <w:bookmarkEnd w:id="12"/>
      <w:bookmarkEnd w:id="13"/>
      <w:bookmarkEnd w:id="14"/>
      <w:bookmarkEnd w:id="15"/>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2024</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3</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5</w:t>
      </w:r>
      <w:r>
        <w:rPr>
          <w:rFonts w:hint="eastAsia" w:asciiTheme="minorEastAsia" w:hAnsiTheme="minorEastAsia" w:eastAsiaTheme="minorEastAsia" w:cstheme="minorEastAsia"/>
          <w:bCs/>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10</w:t>
      </w:r>
      <w:r>
        <w:rPr>
          <w:rFonts w:hint="eastAsia" w:asciiTheme="minorEastAsia" w:hAnsiTheme="minorEastAsia" w:eastAsiaTheme="minorEastAsia" w:cstheme="minorEastAsia"/>
          <w:bCs/>
          <w:color w:val="auto"/>
          <w:sz w:val="24"/>
          <w:highlight w:val="none"/>
          <w:u w:val="single"/>
        </w:rPr>
        <w:t>点</w:t>
      </w:r>
      <w:r>
        <w:rPr>
          <w:rFonts w:hint="eastAsia" w:asciiTheme="minorEastAsia" w:hAnsiTheme="minorEastAsia" w:eastAsiaTheme="minorEastAsia" w:cstheme="minorEastAsia"/>
          <w:bCs/>
          <w:color w:val="auto"/>
          <w:sz w:val="24"/>
          <w:highlight w:val="none"/>
          <w:u w:val="single"/>
          <w:lang w:val="en-US" w:eastAsia="zh-CN"/>
        </w:rPr>
        <w:t>0</w:t>
      </w:r>
      <w:r>
        <w:rPr>
          <w:rFonts w:hint="eastAsia" w:asciiTheme="minorEastAsia" w:hAnsiTheme="minorEastAsia" w:eastAsiaTheme="minorEastAsia" w:cstheme="minorEastAsia"/>
          <w:bCs/>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pPr>
        <w:keepNext w:val="0"/>
        <w:keepLines w:val="0"/>
        <w:pageBreakBefore w:val="0"/>
        <w:kinsoku/>
        <w:wordWrap/>
        <w:overflowPunct/>
        <w:topLinePunct w:val="0"/>
        <w:autoSpaceDE w:val="0"/>
        <w:autoSpaceDN w:val="0"/>
        <w:bidi w:val="0"/>
        <w:spacing w:line="380" w:lineRule="exact"/>
        <w:ind w:firstLine="480" w:firstLineChars="200"/>
        <w:jc w:val="left"/>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pPr>
        <w:pStyle w:val="3"/>
        <w:keepNext w:val="0"/>
        <w:keepLines w:val="0"/>
        <w:pageBreakBefore w:val="0"/>
        <w:kinsoku/>
        <w:wordWrap/>
        <w:overflowPunct/>
        <w:topLinePunct w:val="0"/>
        <w:autoSpaceDE w:val="0"/>
        <w:autoSpaceDN w:val="0"/>
        <w:bidi w:val="0"/>
        <w:spacing w:line="380" w:lineRule="exact"/>
        <w:jc w:val="left"/>
        <w:textAlignment w:val="auto"/>
        <w:rPr>
          <w:rFonts w:asciiTheme="minorEastAsia" w:hAnsiTheme="minorEastAsia" w:eastAsiaTheme="minorEastAsia" w:cstheme="minorEastAsia"/>
          <w:color w:val="auto"/>
          <w:sz w:val="24"/>
          <w:highlight w:val="none"/>
        </w:rPr>
      </w:pPr>
      <w:bookmarkStart w:id="16" w:name="_Toc35393634"/>
      <w:bookmarkStart w:id="17" w:name="_Toc35393803"/>
      <w:bookmarkStart w:id="18" w:name="_Toc28359094"/>
      <w:bookmarkStart w:id="19" w:name="_Toc28359017"/>
      <w:r>
        <w:rPr>
          <w:rFonts w:hint="eastAsia" w:asciiTheme="minorEastAsia" w:hAnsiTheme="minorEastAsia" w:eastAsiaTheme="minorEastAsia" w:cstheme="minorEastAsia"/>
          <w:color w:val="auto"/>
          <w:sz w:val="24"/>
          <w:highlight w:val="none"/>
        </w:rPr>
        <w:t>六、公告期限</w:t>
      </w:r>
      <w:bookmarkEnd w:id="16"/>
      <w:bookmarkEnd w:id="17"/>
      <w:bookmarkEnd w:id="18"/>
      <w:bookmarkEnd w:id="19"/>
    </w:p>
    <w:p>
      <w:pPr>
        <w:keepNext w:val="0"/>
        <w:keepLines w:val="0"/>
        <w:pageBreakBefore w:val="0"/>
        <w:kinsoku/>
        <w:wordWrap/>
        <w:overflowPunct/>
        <w:topLinePunct w:val="0"/>
        <w:autoSpaceDE w:val="0"/>
        <w:autoSpaceDN w:val="0"/>
        <w:bidi w:val="0"/>
        <w:spacing w:line="380" w:lineRule="exact"/>
        <w:ind w:firstLine="480" w:firstLineChars="200"/>
        <w:textAlignment w:val="auto"/>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本次招标公告在《河南省政府采购网》</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《周口市公共资源交易中心网》上发布，自本公告发布之日起3个工作日。</w:t>
      </w:r>
    </w:p>
    <w:p>
      <w:pPr>
        <w:pStyle w:val="3"/>
        <w:keepNext w:val="0"/>
        <w:keepLines w:val="0"/>
        <w:pageBreakBefore w:val="0"/>
        <w:kinsoku/>
        <w:wordWrap/>
        <w:overflowPunct/>
        <w:topLinePunct w:val="0"/>
        <w:autoSpaceDE w:val="0"/>
        <w:autoSpaceDN w:val="0"/>
        <w:bidi w:val="0"/>
        <w:spacing w:line="380" w:lineRule="exact"/>
        <w:jc w:val="left"/>
        <w:textAlignment w:val="auto"/>
        <w:rPr>
          <w:rFonts w:asciiTheme="minorEastAsia" w:hAnsiTheme="minorEastAsia" w:eastAsiaTheme="minorEastAsia" w:cstheme="minorEastAsia"/>
          <w:color w:val="auto"/>
          <w:sz w:val="24"/>
          <w:highlight w:val="none"/>
        </w:rPr>
      </w:pPr>
      <w:bookmarkStart w:id="20" w:name="_Toc35393635"/>
      <w:bookmarkStart w:id="21" w:name="_Toc35393804"/>
      <w:r>
        <w:rPr>
          <w:rFonts w:hint="eastAsia" w:asciiTheme="minorEastAsia" w:hAnsiTheme="minorEastAsia" w:eastAsiaTheme="minorEastAsia" w:cstheme="minorEastAsia"/>
          <w:color w:val="auto"/>
          <w:sz w:val="24"/>
          <w:highlight w:val="none"/>
        </w:rPr>
        <w:t>七、其他补充事宜</w:t>
      </w:r>
      <w:bookmarkEnd w:id="20"/>
      <w:bookmarkEnd w:id="21"/>
    </w:p>
    <w:p>
      <w:pPr>
        <w:pStyle w:val="3"/>
        <w:keepNext w:val="0"/>
        <w:keepLines w:val="0"/>
        <w:pageBreakBefore w:val="0"/>
        <w:kinsoku/>
        <w:wordWrap/>
        <w:overflowPunct/>
        <w:topLinePunct w:val="0"/>
        <w:autoSpaceDE w:val="0"/>
        <w:autoSpaceDN w:val="0"/>
        <w:bidi w:val="0"/>
        <w:spacing w:line="380" w:lineRule="exact"/>
        <w:jc w:val="left"/>
        <w:textAlignment w:val="auto"/>
        <w:rPr>
          <w:rFonts w:asciiTheme="minorEastAsia" w:hAnsiTheme="minorEastAsia" w:eastAsiaTheme="minorEastAsia" w:cstheme="minorEastAsia"/>
          <w:color w:val="auto"/>
          <w:sz w:val="24"/>
          <w:highlight w:val="none"/>
        </w:rPr>
      </w:pPr>
      <w:bookmarkStart w:id="22" w:name="_Toc28359095"/>
      <w:bookmarkStart w:id="23" w:name="_Toc28359018"/>
      <w:bookmarkStart w:id="24" w:name="_Toc35393805"/>
      <w:bookmarkStart w:id="25" w:name="_Toc35393636"/>
      <w:r>
        <w:rPr>
          <w:rFonts w:hint="eastAsia" w:asciiTheme="minorEastAsia" w:hAnsiTheme="minorEastAsia" w:eastAsiaTheme="minorEastAsia" w:cstheme="minorEastAsia"/>
          <w:color w:val="auto"/>
          <w:sz w:val="24"/>
          <w:highlight w:val="none"/>
        </w:rPr>
        <w:t>八、凡对本次采购提出询问，请按以下方式联系。</w:t>
      </w:r>
      <w:bookmarkEnd w:id="22"/>
      <w:bookmarkEnd w:id="23"/>
      <w:bookmarkEnd w:id="24"/>
      <w:bookmarkEnd w:id="25"/>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1.采购人信息</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名称</w:t>
      </w:r>
      <w:r>
        <w:rPr>
          <w:rFonts w:hint="eastAsia" w:ascii="宋体" w:hAnsi="宋体" w:cs="宋体"/>
          <w:color w:val="auto"/>
          <w:sz w:val="24"/>
          <w:highlight w:val="none"/>
          <w:lang w:eastAsia="zh-CN"/>
        </w:rPr>
        <w:t>：</w:t>
      </w:r>
      <w:r>
        <w:rPr>
          <w:rFonts w:hint="eastAsia" w:ascii="宋体" w:hAnsi="宋体" w:cs="宋体"/>
          <w:color w:val="auto"/>
          <w:sz w:val="24"/>
          <w:highlight w:val="none"/>
        </w:rPr>
        <w:t>周口市淮阳区乡村事业发展中心　　　　　　　　　　</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地址：周口市淮阳区　　　　　　　　　　　　</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 xml:space="preserve">项目联系人：张春成     联系方式：0394-2613688　　　　　　　　　　　 </w:t>
      </w:r>
      <w:bookmarkStart w:id="26" w:name="_Toc28359086"/>
      <w:bookmarkStart w:id="27" w:name="_Toc28359009"/>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2.采购代理机构信息</w:t>
      </w:r>
      <w:bookmarkEnd w:id="26"/>
      <w:bookmarkEnd w:id="27"/>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名称：周口市公共资源交易中心政府采购中心　　　　　　　　　　　　</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地址：周口市光明路与政通路交叉口向北100米路东</w:t>
      </w:r>
    </w:p>
    <w:p>
      <w:pPr>
        <w:keepNext w:val="0"/>
        <w:keepLines w:val="0"/>
        <w:pageBreakBefore w:val="0"/>
        <w:kinsoku/>
        <w:wordWrap/>
        <w:overflowPunct/>
        <w:topLinePunct w:val="0"/>
        <w:bidi w:val="0"/>
        <w:spacing w:line="380" w:lineRule="exact"/>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郭战伟</w:t>
      </w:r>
      <w:r>
        <w:rPr>
          <w:rFonts w:hint="eastAsia" w:ascii="宋体" w:hAnsi="宋体" w:cs="宋体"/>
          <w:color w:val="auto"/>
          <w:sz w:val="24"/>
          <w:highlight w:val="none"/>
        </w:rPr>
        <w:t xml:space="preserve">     联系方式：</w:t>
      </w:r>
      <w:bookmarkStart w:id="28" w:name="_Toc28359087"/>
      <w:bookmarkStart w:id="29" w:name="_Toc28359010"/>
      <w:r>
        <w:rPr>
          <w:rFonts w:hint="eastAsia" w:ascii="宋体" w:hAnsi="宋体" w:cs="宋体"/>
          <w:color w:val="auto"/>
          <w:sz w:val="24"/>
          <w:highlight w:val="none"/>
        </w:rPr>
        <w:t>0394-8106517　　　　　　　　</w:t>
      </w:r>
    </w:p>
    <w:bookmarkEnd w:id="28"/>
    <w:bookmarkEnd w:id="29"/>
    <w:p>
      <w:pPr>
        <w:keepNext w:val="0"/>
        <w:keepLines w:val="0"/>
        <w:pageBreakBefore w:val="0"/>
        <w:kinsoku/>
        <w:wordWrap/>
        <w:overflowPunct/>
        <w:topLinePunct w:val="0"/>
        <w:bidi w:val="0"/>
        <w:spacing w:line="380" w:lineRule="exact"/>
        <w:ind w:firstLine="480" w:firstLineChars="200"/>
        <w:jc w:val="left"/>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监督单位：淮阳区财政局采购办</w:t>
      </w:r>
    </w:p>
    <w:p>
      <w:pPr>
        <w:keepNext w:val="0"/>
        <w:keepLines w:val="0"/>
        <w:pageBreakBefore w:val="0"/>
        <w:kinsoku/>
        <w:wordWrap/>
        <w:overflowPunct/>
        <w:topLinePunct w:val="0"/>
        <w:bidi w:val="0"/>
        <w:spacing w:line="380" w:lineRule="exact"/>
        <w:ind w:firstLine="480" w:firstLineChars="200"/>
        <w:jc w:val="left"/>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联系方式：0394-2664344</w:t>
      </w:r>
    </w:p>
    <w:p>
      <w:pPr>
        <w:pStyle w:val="35"/>
        <w:keepNext w:val="0"/>
        <w:keepLines w:val="0"/>
        <w:pageBreakBefore w:val="0"/>
        <w:kinsoku/>
        <w:wordWrap/>
        <w:overflowPunct/>
        <w:topLinePunct w:val="0"/>
        <w:bidi w:val="0"/>
        <w:spacing w:line="380" w:lineRule="exact"/>
        <w:ind w:firstLine="480" w:firstLineChars="200"/>
        <w:textAlignment w:val="auto"/>
        <w:rPr>
          <w:color w:val="auto"/>
          <w:highlight w:val="none"/>
        </w:rPr>
      </w:pPr>
      <w:r>
        <w:rPr>
          <w:rFonts w:hint="eastAsia" w:ascii="宋体" w:hAnsi="宋体" w:cs="宋体"/>
          <w:color w:val="auto"/>
          <w:sz w:val="24"/>
          <w:highlight w:val="none"/>
        </w:rPr>
        <w:t xml:space="preserve">  </w:t>
      </w:r>
    </w:p>
    <w:p>
      <w:pPr>
        <w:pStyle w:val="35"/>
        <w:keepNext w:val="0"/>
        <w:keepLines w:val="0"/>
        <w:pageBreakBefore w:val="0"/>
        <w:kinsoku/>
        <w:wordWrap/>
        <w:overflowPunct/>
        <w:topLinePunct w:val="0"/>
        <w:bidi w:val="0"/>
        <w:spacing w:line="380" w:lineRule="exact"/>
        <w:ind w:firstLine="0" w:firstLineChars="0"/>
        <w:textAlignment w:val="auto"/>
        <w:rPr>
          <w:color w:val="auto"/>
          <w:highlight w:val="none"/>
        </w:rPr>
      </w:pPr>
    </w:p>
    <w:p>
      <w:pPr>
        <w:pStyle w:val="9"/>
        <w:keepNext w:val="0"/>
        <w:keepLines w:val="0"/>
        <w:pageBreakBefore w:val="0"/>
        <w:kinsoku/>
        <w:wordWrap/>
        <w:overflowPunct/>
        <w:topLinePunct w:val="0"/>
        <w:bidi w:val="0"/>
        <w:adjustRightInd w:val="0"/>
        <w:snapToGrid w:val="0"/>
        <w:spacing w:line="380" w:lineRule="exact"/>
        <w:ind w:firstLine="2040" w:firstLineChars="850"/>
        <w:textAlignment w:val="auto"/>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pPr>
        <w:pStyle w:val="21"/>
        <w:keepNext w:val="0"/>
        <w:keepLines w:val="0"/>
        <w:pageBreakBefore w:val="0"/>
        <w:kinsoku/>
        <w:wordWrap/>
        <w:overflowPunct/>
        <w:topLinePunct w:val="0"/>
        <w:bidi w:val="0"/>
        <w:adjustRightInd w:val="0"/>
        <w:spacing w:line="380" w:lineRule="exact"/>
        <w:ind w:firstLine="3360" w:firstLineChars="14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2024</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23</w:t>
      </w:r>
      <w:bookmarkStart w:id="34" w:name="_GoBack"/>
      <w:bookmarkEnd w:id="34"/>
      <w:r>
        <w:rPr>
          <w:rFonts w:hint="eastAsia" w:ascii="宋体" w:hAnsi="宋体" w:cs="宋体"/>
          <w:color w:val="auto"/>
          <w:sz w:val="24"/>
          <w:szCs w:val="24"/>
          <w:highlight w:val="none"/>
        </w:rPr>
        <w:t>日</w:t>
      </w:r>
    </w:p>
    <w:p>
      <w:pPr>
        <w:pStyle w:val="21"/>
        <w:keepNext w:val="0"/>
        <w:keepLines w:val="0"/>
        <w:pageBreakBefore w:val="0"/>
        <w:kinsoku/>
        <w:wordWrap/>
        <w:overflowPunct/>
        <w:topLinePunct w:val="0"/>
        <w:bidi w:val="0"/>
        <w:adjustRightInd w:val="0"/>
        <w:spacing w:line="380" w:lineRule="exact"/>
        <w:ind w:firstLine="3360" w:firstLineChars="1400"/>
        <w:textAlignment w:val="auto"/>
        <w:rPr>
          <w:rFonts w:hint="eastAsia" w:ascii="宋体" w:hAnsi="宋体" w:cs="宋体"/>
          <w:color w:val="auto"/>
          <w:sz w:val="24"/>
          <w:szCs w:val="24"/>
          <w:highlight w:val="none"/>
        </w:rPr>
      </w:pPr>
    </w:p>
    <w:p>
      <w:pPr>
        <w:pStyle w:val="21"/>
        <w:keepNext w:val="0"/>
        <w:keepLines w:val="0"/>
        <w:pageBreakBefore w:val="0"/>
        <w:kinsoku/>
        <w:wordWrap/>
        <w:overflowPunct/>
        <w:topLinePunct w:val="0"/>
        <w:bidi w:val="0"/>
        <w:adjustRightInd w:val="0"/>
        <w:spacing w:line="380" w:lineRule="exact"/>
        <w:ind w:firstLine="3360" w:firstLineChars="1400"/>
        <w:textAlignment w:val="auto"/>
        <w:rPr>
          <w:rFonts w:hint="eastAsia" w:ascii="宋体" w:hAnsi="宋体" w:cs="宋体"/>
          <w:color w:val="auto"/>
          <w:sz w:val="24"/>
          <w:szCs w:val="24"/>
          <w:highlight w:val="none"/>
        </w:rPr>
      </w:pPr>
    </w:p>
    <w:p>
      <w:pPr>
        <w:pStyle w:val="21"/>
        <w:keepNext w:val="0"/>
        <w:keepLines w:val="0"/>
        <w:pageBreakBefore w:val="0"/>
        <w:kinsoku/>
        <w:wordWrap/>
        <w:overflowPunct/>
        <w:topLinePunct w:val="0"/>
        <w:bidi w:val="0"/>
        <w:adjustRightInd w:val="0"/>
        <w:spacing w:line="380" w:lineRule="exact"/>
        <w:ind w:firstLine="3360" w:firstLineChars="1400"/>
        <w:textAlignment w:val="auto"/>
        <w:rPr>
          <w:rFonts w:hint="eastAsia" w:ascii="宋体" w:hAnsi="宋体" w:cs="宋体"/>
          <w:color w:val="auto"/>
          <w:sz w:val="24"/>
          <w:szCs w:val="24"/>
          <w:highlight w:val="none"/>
        </w:rPr>
      </w:pPr>
    </w:p>
    <w:p>
      <w:pPr>
        <w:pStyle w:val="21"/>
        <w:keepNext w:val="0"/>
        <w:keepLines w:val="0"/>
        <w:pageBreakBefore w:val="0"/>
        <w:kinsoku/>
        <w:wordWrap/>
        <w:overflowPunct/>
        <w:topLinePunct w:val="0"/>
        <w:bidi w:val="0"/>
        <w:adjustRightInd w:val="0"/>
        <w:spacing w:line="380" w:lineRule="exact"/>
        <w:ind w:firstLine="3360" w:firstLineChars="1400"/>
        <w:textAlignment w:val="auto"/>
        <w:rPr>
          <w:rFonts w:hint="eastAsia" w:ascii="宋体" w:hAnsi="宋体" w:cs="宋体"/>
          <w:color w:val="auto"/>
          <w:sz w:val="24"/>
          <w:szCs w:val="24"/>
          <w:highlight w:val="none"/>
        </w:rPr>
      </w:pPr>
    </w:p>
    <w:p>
      <w:pPr>
        <w:pStyle w:val="21"/>
        <w:keepNext w:val="0"/>
        <w:keepLines w:val="0"/>
        <w:pageBreakBefore w:val="0"/>
        <w:kinsoku/>
        <w:wordWrap/>
        <w:overflowPunct/>
        <w:topLinePunct w:val="0"/>
        <w:bidi w:val="0"/>
        <w:adjustRightInd w:val="0"/>
        <w:spacing w:line="380" w:lineRule="exact"/>
        <w:ind w:firstLine="3360" w:firstLineChars="1400"/>
        <w:textAlignment w:val="auto"/>
        <w:rPr>
          <w:rFonts w:hint="eastAsia" w:ascii="宋体" w:hAnsi="宋体" w:cs="宋体"/>
          <w:color w:val="auto"/>
          <w:sz w:val="24"/>
          <w:szCs w:val="24"/>
          <w:highlight w:val="none"/>
        </w:rPr>
      </w:pPr>
    </w:p>
    <w:p>
      <w:pPr>
        <w:pStyle w:val="21"/>
        <w:keepNext w:val="0"/>
        <w:keepLines w:val="0"/>
        <w:pageBreakBefore w:val="0"/>
        <w:kinsoku/>
        <w:wordWrap/>
        <w:overflowPunct/>
        <w:topLinePunct w:val="0"/>
        <w:bidi w:val="0"/>
        <w:adjustRightInd w:val="0"/>
        <w:spacing w:line="380" w:lineRule="exact"/>
        <w:ind w:firstLine="3360" w:firstLineChars="1400"/>
        <w:textAlignment w:val="auto"/>
        <w:rPr>
          <w:rFonts w:hint="eastAsia" w:ascii="宋体" w:hAnsi="宋体" w:cs="宋体"/>
          <w:color w:val="auto"/>
          <w:sz w:val="24"/>
          <w:szCs w:val="24"/>
          <w:highlight w:val="none"/>
        </w:rPr>
      </w:pPr>
    </w:p>
    <w:p>
      <w:pPr>
        <w:pStyle w:val="21"/>
        <w:keepNext w:val="0"/>
        <w:keepLines w:val="0"/>
        <w:pageBreakBefore w:val="0"/>
        <w:kinsoku/>
        <w:wordWrap/>
        <w:overflowPunct/>
        <w:topLinePunct w:val="0"/>
        <w:bidi w:val="0"/>
        <w:adjustRightInd w:val="0"/>
        <w:spacing w:line="380" w:lineRule="exact"/>
        <w:ind w:firstLine="3360" w:firstLineChars="1400"/>
        <w:textAlignment w:val="auto"/>
        <w:rPr>
          <w:rFonts w:ascii="宋体" w:hAnsi="宋体" w:cs="宋体"/>
          <w:color w:val="auto"/>
          <w:highlight w:val="none"/>
        </w:rPr>
      </w:pPr>
      <w:r>
        <w:rPr>
          <w:rFonts w:hint="eastAsia" w:ascii="宋体" w:hAnsi="宋体" w:cs="宋体"/>
          <w:color w:val="auto"/>
          <w:sz w:val="24"/>
          <w:szCs w:val="24"/>
          <w:highlight w:val="none"/>
        </w:rPr>
        <w:t>　　</w:t>
      </w: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w:t>
      </w:r>
    </w:p>
    <w:tbl>
      <w:tblPr>
        <w:tblStyle w:val="27"/>
        <w:tblW w:w="9442"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71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442" w:type="dxa"/>
            <w:gridSpan w:val="3"/>
            <w:vAlign w:val="center"/>
          </w:tcPr>
          <w:p>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712" w:type="dxa"/>
            <w:vAlign w:val="center"/>
          </w:tcPr>
          <w:p>
            <w:pPr>
              <w:rPr>
                <w:rFonts w:ascii="宋体" w:hAnsi="宋体" w:cs="宋体"/>
                <w:color w:val="auto"/>
                <w:sz w:val="24"/>
                <w:highlight w:val="none"/>
              </w:rPr>
            </w:pPr>
            <w:r>
              <w:rPr>
                <w:rFonts w:hint="eastAsia" w:ascii="宋体" w:hAnsi="宋体" w:cs="宋体"/>
                <w:color w:val="auto"/>
                <w:sz w:val="24"/>
                <w:highlight w:val="none"/>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712" w:type="dxa"/>
            <w:vAlign w:val="center"/>
          </w:tcPr>
          <w:p>
            <w:pPr>
              <w:rPr>
                <w:rFonts w:ascii="宋体" w:hAnsi="宋体" w:cs="宋体"/>
                <w:color w:val="auto"/>
                <w:sz w:val="24"/>
                <w:highlight w:val="none"/>
              </w:rPr>
            </w:pPr>
            <w:r>
              <w:rPr>
                <w:rFonts w:hint="eastAsia" w:ascii="宋体" w:hAnsi="宋体" w:cs="宋体"/>
                <w:color w:val="auto"/>
                <w:sz w:val="24"/>
                <w:highlight w:val="none"/>
              </w:rPr>
              <w:t>项目名称：周口市淮阳区乡村事业发展中心垃圾勾臂车和配套垃圾压缩箱租赁项目</w:t>
            </w:r>
          </w:p>
          <w:p>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采购内容：</w:t>
            </w:r>
            <w:r>
              <w:rPr>
                <w:rFonts w:hint="eastAsia" w:ascii="宋体" w:hAnsi="宋体" w:cs="宋体"/>
                <w:color w:val="auto"/>
                <w:sz w:val="24"/>
                <w:highlight w:val="none"/>
                <w:lang w:val="en-US" w:eastAsia="zh-CN"/>
              </w:rPr>
              <w:t>租赁18m3大型勾臂车5辆，18m3垃圾压缩箱18个</w:t>
            </w:r>
          </w:p>
          <w:p>
            <w:pPr>
              <w:rPr>
                <w:rFonts w:ascii="宋体" w:hAnsi="宋体" w:cs="宋体"/>
                <w:color w:val="auto"/>
                <w:sz w:val="24"/>
                <w:highlight w:val="none"/>
              </w:rPr>
            </w:pPr>
            <w:r>
              <w:rPr>
                <w:rFonts w:hint="eastAsia" w:ascii="宋体" w:hAnsi="宋体" w:cs="宋体"/>
                <w:color w:val="auto"/>
                <w:sz w:val="24"/>
                <w:highlight w:val="none"/>
              </w:rPr>
              <w:t>采购人：</w:t>
            </w:r>
            <w:r>
              <w:rPr>
                <w:rFonts w:hint="eastAsia" w:ascii="宋体" w:hAnsi="宋体" w:cs="宋体"/>
                <w:color w:val="auto"/>
                <w:sz w:val="24"/>
                <w:highlight w:val="none"/>
                <w:lang w:val="en-US" w:eastAsia="zh-CN"/>
              </w:rPr>
              <w:t>周口市淮阳区乡村事业发展中心</w:t>
            </w:r>
          </w:p>
          <w:p>
            <w:pPr>
              <w:rPr>
                <w:rFonts w:ascii="宋体" w:hAnsi="宋体" w:cs="宋体"/>
                <w:color w:val="auto"/>
                <w:sz w:val="24"/>
                <w:highlight w:val="none"/>
              </w:rPr>
            </w:pPr>
            <w:r>
              <w:rPr>
                <w:rFonts w:hint="eastAsia" w:ascii="宋体" w:hAnsi="宋体" w:cs="宋体"/>
                <w:color w:val="auto"/>
                <w:sz w:val="24"/>
                <w:highlight w:val="none"/>
              </w:rPr>
              <w:t>采购代理机构：周口市光明路与政通路交叉口向北100米路东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712" w:type="dxa"/>
            <w:vAlign w:val="center"/>
          </w:tcPr>
          <w:p>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712" w:type="dxa"/>
            <w:vAlign w:val="center"/>
          </w:tcPr>
          <w:p>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712" w:type="dxa"/>
            <w:vAlign w:val="center"/>
          </w:tcPr>
          <w:p>
            <w:pPr>
              <w:snapToGrid w:val="0"/>
              <w:rPr>
                <w:rFonts w:ascii="宋体" w:hAnsi="宋体" w:cs="宋体"/>
                <w:color w:val="auto"/>
                <w:sz w:val="24"/>
                <w:highlight w:val="none"/>
              </w:rPr>
            </w:pPr>
            <w:r>
              <w:rPr>
                <w:rFonts w:hint="eastAsia" w:ascii="宋体" w:hAnsi="宋体" w:cs="宋体"/>
                <w:color w:val="auto"/>
                <w:sz w:val="24"/>
                <w:highlight w:val="none"/>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712" w:type="dxa"/>
            <w:vAlign w:val="center"/>
          </w:tcPr>
          <w:p>
            <w:pPr>
              <w:rPr>
                <w:rFonts w:ascii="宋体" w:hAnsi="宋体" w:cs="宋体"/>
                <w:color w:val="auto"/>
                <w:sz w:val="24"/>
                <w:highlight w:val="none"/>
              </w:rPr>
            </w:pPr>
            <w:r>
              <w:rPr>
                <w:rFonts w:hint="eastAsia" w:ascii="宋体" w:hAnsi="宋体" w:cs="宋体"/>
                <w:color w:val="auto"/>
                <w:sz w:val="24"/>
                <w:highlight w:val="none"/>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712" w:type="dxa"/>
            <w:vAlign w:val="center"/>
          </w:tcPr>
          <w:p>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712" w:type="dxa"/>
            <w:vAlign w:val="center"/>
          </w:tcPr>
          <w:p>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712" w:type="dxa"/>
            <w:vAlign w:val="center"/>
          </w:tcPr>
          <w:p>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712" w:type="dxa"/>
            <w:vAlign w:val="center"/>
          </w:tcPr>
          <w:p>
            <w:pPr>
              <w:tabs>
                <w:tab w:val="left" w:pos="8640"/>
              </w:tabs>
              <w:rPr>
                <w:rFonts w:ascii="宋体" w:hAnsi="宋体" w:cs="宋体"/>
                <w:color w:val="auto"/>
                <w:sz w:val="24"/>
                <w:highlight w:val="none"/>
              </w:rPr>
            </w:pPr>
            <w:r>
              <w:rPr>
                <w:rFonts w:hint="eastAsia" w:ascii="宋体" w:hAnsi="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712" w:type="dxa"/>
            <w:vAlign w:val="center"/>
          </w:tcPr>
          <w:p>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712" w:type="dxa"/>
            <w:vAlign w:val="center"/>
          </w:tcPr>
          <w:p>
            <w:pPr>
              <w:rPr>
                <w:rFonts w:ascii="宋体" w:hAnsi="宋体" w:cs="宋体"/>
                <w:color w:val="auto"/>
                <w:sz w:val="24"/>
                <w:highlight w:val="none"/>
              </w:rPr>
            </w:pPr>
            <w:r>
              <w:rPr>
                <w:rFonts w:hint="eastAsia" w:ascii="宋体" w:hAnsi="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712" w:type="dxa"/>
            <w:vAlign w:val="center"/>
          </w:tcPr>
          <w:p>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712" w:type="dxa"/>
            <w:vAlign w:val="center"/>
          </w:tcPr>
          <w:p>
            <w:pPr>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712" w:type="dxa"/>
            <w:vAlign w:val="center"/>
          </w:tcPr>
          <w:p>
            <w:pPr>
              <w:rPr>
                <w:rFonts w:ascii="宋体" w:hAnsi="宋体"/>
                <w:color w:val="auto"/>
                <w:sz w:val="24"/>
                <w:highlight w:val="none"/>
              </w:rPr>
            </w:pPr>
            <w:r>
              <w:rPr>
                <w:rFonts w:hint="eastAsia" w:ascii="宋体" w:hAnsi="宋体"/>
                <w:color w:val="auto"/>
                <w:sz w:val="24"/>
                <w:highlight w:val="none"/>
              </w:rPr>
              <w:t>周口市公共资源交易中心网</w:t>
            </w:r>
          </w:p>
          <w:p>
            <w:pPr>
              <w:rPr>
                <w:rFonts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pPr>
              <w:spacing w:line="560" w:lineRule="exact"/>
              <w:rPr>
                <w:rFonts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712" w:type="dxa"/>
            <w:vAlign w:val="center"/>
          </w:tcPr>
          <w:p>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712" w:type="dxa"/>
            <w:vAlign w:val="center"/>
          </w:tcPr>
          <w:p>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712" w:type="dxa"/>
            <w:vAlign w:val="center"/>
          </w:tcPr>
          <w:p>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712" w:type="dxa"/>
            <w:vAlign w:val="center"/>
          </w:tcPr>
          <w:p>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712" w:type="dxa"/>
            <w:vAlign w:val="center"/>
          </w:tcPr>
          <w:p>
            <w:pPr>
              <w:rPr>
                <w:rFonts w:hint="eastAsia"/>
                <w:color w:val="auto"/>
                <w:highlight w:val="none"/>
              </w:rPr>
            </w:pPr>
            <w:r>
              <w:rPr>
                <w:rFonts w:hint="eastAsia" w:ascii="宋体" w:hAnsi="宋体" w:cs="宋体"/>
                <w:color w:val="auto"/>
                <w:sz w:val="24"/>
                <w:highlight w:val="none"/>
              </w:rPr>
              <w:t>不需要缴纳投标保证金（</w:t>
            </w:r>
            <w:r>
              <w:rPr>
                <w:rFonts w:hint="eastAsia"/>
                <w:color w:val="auto"/>
                <w:highlight w:val="none"/>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color w:val="auto"/>
                <w:sz w:val="24"/>
                <w:highlight w:val="none"/>
              </w:rPr>
              <w:t>）</w:t>
            </w:r>
            <w:r>
              <w:rPr>
                <w:rFonts w:hint="eastAsia"/>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712" w:type="dxa"/>
            <w:vAlign w:val="center"/>
          </w:tcPr>
          <w:p>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180</w:t>
            </w:r>
            <w:r>
              <w:rPr>
                <w:rFonts w:hint="eastAsia" w:ascii="宋体" w:hAnsi="宋体" w:cs="宋体"/>
                <w:color w:val="auto"/>
                <w:sz w:val="24"/>
                <w:highlight w:val="none"/>
              </w:rPr>
              <w:t>日历天</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租赁期6个月）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712" w:type="dxa"/>
            <w:vAlign w:val="center"/>
          </w:tcPr>
          <w:p>
            <w:pPr>
              <w:tabs>
                <w:tab w:val="left" w:pos="8640"/>
              </w:tabs>
              <w:jc w:val="left"/>
              <w:rPr>
                <w:rFonts w:hint="default" w:eastAsia="宋体"/>
                <w:color w:val="auto"/>
                <w:highlight w:val="none"/>
                <w:lang w:val="en-US" w:eastAsia="zh-CN"/>
              </w:rPr>
            </w:pPr>
            <w:r>
              <w:rPr>
                <w:rFonts w:hint="eastAsia" w:ascii="宋体" w:hAnsi="宋体" w:cs="宋体"/>
                <w:color w:val="auto"/>
                <w:sz w:val="24"/>
                <w:highlight w:val="none"/>
              </w:rPr>
              <w:t>详细付款方式：</w:t>
            </w:r>
            <w:r>
              <w:rPr>
                <w:rFonts w:hint="eastAsia" w:ascii="宋体" w:hAnsi="宋体" w:cs="宋体"/>
                <w:color w:val="auto"/>
                <w:sz w:val="24"/>
                <w:highlight w:val="none"/>
                <w:lang w:val="en-US" w:eastAsia="zh-CN"/>
              </w:rPr>
              <w:t>每月月末支付本月租赁费约186000元（具体以实际中标金额为准）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712" w:type="dxa"/>
            <w:vAlign w:val="center"/>
          </w:tcPr>
          <w:p>
            <w:pPr>
              <w:tabs>
                <w:tab w:val="left" w:pos="8640"/>
              </w:tabs>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b/>
                <w:bCs/>
                <w:color w:val="auto"/>
                <w:sz w:val="24"/>
                <w:highlight w:val="none"/>
              </w:rPr>
            </w:pPr>
            <w:r>
              <w:rPr>
                <w:rFonts w:hint="eastAsia" w:ascii="宋体" w:hAnsi="宋体" w:cs="宋体"/>
                <w:b/>
                <w:bCs/>
                <w:color w:val="auto"/>
                <w:sz w:val="24"/>
                <w:highlight w:val="none"/>
              </w:rPr>
              <w:t>报价</w:t>
            </w:r>
          </w:p>
        </w:tc>
        <w:tc>
          <w:tcPr>
            <w:tcW w:w="6712" w:type="dxa"/>
            <w:vAlign w:val="center"/>
          </w:tcPr>
          <w:p>
            <w:pPr>
              <w:tabs>
                <w:tab w:val="left" w:pos="8640"/>
              </w:tabs>
              <w:jc w:val="left"/>
              <w:rPr>
                <w:rFonts w:ascii="宋体" w:hAnsi="宋体" w:cs="宋体"/>
                <w:b/>
                <w:bCs/>
                <w:color w:val="auto"/>
                <w:sz w:val="24"/>
                <w:highlight w:val="none"/>
                <w:u w:val="single"/>
              </w:rPr>
            </w:pPr>
            <w:r>
              <w:rPr>
                <w:rFonts w:hint="eastAsia" w:ascii="宋体" w:hAnsi="宋体" w:cs="宋体"/>
                <w:b/>
                <w:bCs/>
                <w:color w:val="auto"/>
                <w:sz w:val="24"/>
                <w:highlight w:val="none"/>
              </w:rPr>
              <w:t>一次报价</w:t>
            </w:r>
          </w:p>
        </w:tc>
      </w:tr>
    </w:tbl>
    <w:p>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pPr>
        <w:tabs>
          <w:tab w:val="left" w:pos="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2.2“采购人”：周口市淮阳区乡村事业发展中心</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委托代理人</w:t>
      </w:r>
      <w:r>
        <w:rPr>
          <w:rFonts w:hint="eastAsia" w:ascii="宋体" w:hAnsi="宋体" w:cs="宋体"/>
          <w:color w:val="auto"/>
          <w:sz w:val="24"/>
          <w:highlight w:val="none"/>
          <w:lang w:eastAsia="zh-CN"/>
        </w:rPr>
        <w:t>”</w:t>
      </w:r>
      <w:r>
        <w:rPr>
          <w:rFonts w:hint="eastAsia" w:ascii="宋体" w:hAnsi="宋体" w:cs="宋体"/>
          <w:color w:val="auto"/>
          <w:sz w:val="24"/>
          <w:highlight w:val="none"/>
        </w:rPr>
        <w:t>系指法定代表人签署的委托人，系本企业员工。委托代理人参加本项目投标需提供身份证、劳动合同、所在企业缴纳的社保证明。</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pPr>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满足《中华人民共和国政府采购法》第二十二条规定</w:t>
      </w:r>
    </w:p>
    <w:p>
      <w:pPr>
        <w:bidi w:val="0"/>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（1）具有独立承担民事责任的能力；（具有有效的营业执照）；</w:t>
      </w:r>
    </w:p>
    <w:p>
      <w:pPr>
        <w:bidi w:val="0"/>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（2）具有良好的商业信誉和健全的财务会计制度；（提供202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年度</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年度审计报告，如为新成立公司可提供银行开具资信证明</w:t>
      </w:r>
      <w:r>
        <w:rPr>
          <w:rFonts w:hint="eastAsia" w:ascii="宋体" w:hAnsi="宋体" w:cs="宋体"/>
          <w:color w:val="auto"/>
          <w:sz w:val="24"/>
          <w:szCs w:val="24"/>
          <w:highlight w:val="none"/>
          <w:lang w:val="en-US" w:eastAsia="zh-CN"/>
        </w:rPr>
        <w:t>加公司财务制度</w:t>
      </w:r>
      <w:r>
        <w:rPr>
          <w:rFonts w:hint="eastAsia" w:ascii="宋体" w:hAnsi="宋体" w:eastAsia="宋体" w:cs="宋体"/>
          <w:color w:val="auto"/>
          <w:sz w:val="24"/>
          <w:szCs w:val="24"/>
          <w:highlight w:val="none"/>
        </w:rPr>
        <w:t>）；</w:t>
      </w:r>
    </w:p>
    <w:p>
      <w:pPr>
        <w:bidi w:val="0"/>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提供承诺函)；</w:t>
      </w:r>
    </w:p>
    <w:p>
      <w:pPr>
        <w:bidi w:val="0"/>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（4）具有依法缴纳税收和社会保障资金的良好记录；（提供20</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1月</w:t>
      </w:r>
      <w:r>
        <w:rPr>
          <w:rFonts w:hint="eastAsia" w:ascii="宋体" w:hAnsi="宋体" w:cs="宋体"/>
          <w:color w:val="auto"/>
          <w:sz w:val="24"/>
          <w:szCs w:val="24"/>
          <w:highlight w:val="none"/>
          <w:lang w:val="en-US" w:eastAsia="zh-CN"/>
        </w:rPr>
        <w:t>1日</w:t>
      </w:r>
      <w:r>
        <w:rPr>
          <w:rFonts w:hint="eastAsia" w:ascii="宋体" w:hAnsi="宋体" w:eastAsia="宋体" w:cs="宋体"/>
          <w:color w:val="auto"/>
          <w:sz w:val="24"/>
          <w:szCs w:val="24"/>
          <w:highlight w:val="none"/>
          <w:lang w:val="en-US" w:eastAsia="zh-CN"/>
        </w:rPr>
        <w:t>以来</w:t>
      </w:r>
      <w:r>
        <w:rPr>
          <w:rFonts w:hint="eastAsia" w:ascii="宋体" w:hAnsi="宋体" w:eastAsia="宋体" w:cs="宋体"/>
          <w:color w:val="auto"/>
          <w:sz w:val="24"/>
          <w:szCs w:val="24"/>
          <w:highlight w:val="none"/>
        </w:rPr>
        <w:t>任意</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个月依法缴纳税收和社会保障资金的凭证；依法免税或不需要缴纳社会保障资金的供应商，提供相应文件证明其依法免税或不需要缴纳社会保障资金）；</w:t>
      </w:r>
    </w:p>
    <w:p>
      <w:pPr>
        <w:bidi w:val="0"/>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（5）参加政府采购活动前三年内，在经营活动中没有重大违法记录；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提供书面声明)；</w:t>
      </w:r>
    </w:p>
    <w:p>
      <w:pPr>
        <w:spacing w:line="560" w:lineRule="exact"/>
        <w:ind w:firstLine="240" w:firstLineChars="100"/>
        <w:rPr>
          <w:rFonts w:hint="eastAsia" w:ascii="宋体" w:hAnsi="宋体" w:cs="宋体"/>
          <w:color w:val="auto"/>
          <w:sz w:val="24"/>
          <w:highlight w:val="none"/>
        </w:rPr>
      </w:pPr>
      <w:r>
        <w:rPr>
          <w:rFonts w:hint="eastAsia" w:ascii="宋体" w:hAnsi="宋体" w:eastAsia="宋体" w:cs="宋体"/>
          <w:color w:val="auto"/>
          <w:sz w:val="24"/>
          <w:szCs w:val="24"/>
          <w:highlight w:val="none"/>
        </w:rPr>
        <w:t>（6）法律、行政法规规定的其他条件。</w:t>
      </w:r>
    </w:p>
    <w:p>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pPr>
        <w:pStyle w:val="72"/>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pPr>
        <w:pStyle w:val="72"/>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lang w:val="en-US" w:eastAsia="zh-CN"/>
        </w:rPr>
        <w:t xml:space="preserve"> </w:t>
      </w:r>
      <w:r>
        <w:rPr>
          <w:rFonts w:hint="eastAsia" w:hAnsi="宋体" w:eastAsia="宋体"/>
          <w:color w:val="auto"/>
          <w:sz w:val="24"/>
          <w:highlight w:val="none"/>
        </w:rPr>
        <w:t>符合本竞争性磋商文件规定的供应商资格要求及项目要求的其它条件，并按照要求提供相关证明材料。</w:t>
      </w:r>
    </w:p>
    <w:p>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4.4供应商应遵守国家法律、法规有关竞争性磋商的规定。</w:t>
      </w:r>
    </w:p>
    <w:p>
      <w:pPr>
        <w:autoSpaceDE w:val="0"/>
        <w:autoSpaceDN w:val="0"/>
        <w:adjustRightInd w:val="0"/>
        <w:snapToGrid w:val="0"/>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4.5 凡通过磋商小组符合性审查的供应商均为合格供应商。未通过符合性审查的供应商将视为不响应本项目的竞争性磋商文件被否决。</w:t>
      </w:r>
    </w:p>
    <w:p>
      <w:pPr>
        <w:spacing w:line="560" w:lineRule="exact"/>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pPr>
        <w:pStyle w:val="26"/>
        <w:ind w:firstLine="480"/>
        <w:rPr>
          <w:rFonts w:ascii="宋体" w:hAnsi="宋体" w:eastAsia="宋体" w:cs="宋体"/>
          <w:color w:val="auto"/>
          <w:sz w:val="24"/>
          <w:highlight w:val="none"/>
        </w:rPr>
      </w:pP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如对竞争性磋商文件无异议，出具确认书，确认竞争性磋商文件清晰无异议</w:t>
      </w:r>
      <w:r>
        <w:rPr>
          <w:rFonts w:hint="eastAsia" w:ascii="宋体" w:hAnsi="宋体" w:cs="宋体"/>
          <w:color w:val="auto"/>
          <w:sz w:val="24"/>
          <w:highlight w:val="none"/>
          <w:lang w:eastAsia="zh-CN"/>
        </w:rPr>
        <w:t>，</w:t>
      </w:r>
      <w:r>
        <w:rPr>
          <w:rFonts w:hint="eastAsia" w:ascii="宋体" w:hAnsi="宋体" w:cs="宋体"/>
          <w:color w:val="auto"/>
          <w:sz w:val="24"/>
          <w:highlight w:val="none"/>
        </w:rPr>
        <w:t>确认书作为响应文件的组织部分，否则为无效响应文件。</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cs="宋体"/>
          <w:color w:val="auto"/>
          <w:sz w:val="24"/>
          <w:highlight w:val="none"/>
          <w:lang w:val="en-US" w:eastAsia="zh-CN"/>
        </w:rPr>
        <w:t>承诺</w:t>
      </w:r>
      <w:r>
        <w:rPr>
          <w:rFonts w:hint="eastAsia" w:ascii="宋体" w:hAnsi="宋体" w:cs="宋体"/>
          <w:color w:val="auto"/>
          <w:sz w:val="24"/>
          <w:highlight w:val="none"/>
        </w:rPr>
        <w:t>，并保证所提供的全部资料的真实性、合法性，否则其响应性文件将作为无效处理。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w:t>
      </w:r>
      <w:r>
        <w:rPr>
          <w:rFonts w:hint="eastAsia" w:ascii="宋体" w:hAnsi="宋体" w:eastAsia="宋体" w:cs="宋体"/>
          <w:color w:val="auto"/>
          <w:sz w:val="24"/>
          <w:highlight w:val="none"/>
        </w:rPr>
        <w:t>件在各方面都作出实质性响应是供应商的风险，并可能导致其响应性文件被拒绝。</w:t>
      </w:r>
    </w:p>
    <w:p>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8.4</w:t>
      </w:r>
      <w:r>
        <w:rPr>
          <w:rFonts w:hint="eastAsia" w:ascii="宋体" w:hAnsi="宋体" w:cs="宋体"/>
          <w:color w:val="auto"/>
          <w:sz w:val="24"/>
          <w:highlight w:val="none"/>
        </w:rPr>
        <w:t>参与竞争性磋商活动的各供应商应对竞争性磋商文件和竞争性磋商响应文件中的商业和技术等秘密保密，</w:t>
      </w:r>
      <w:r>
        <w:rPr>
          <w:rFonts w:hint="eastAsia" w:ascii="宋体" w:hAnsi="宋体" w:eastAsia="宋体" w:cs="宋体"/>
          <w:color w:val="auto"/>
          <w:sz w:val="24"/>
          <w:highlight w:val="none"/>
          <w:lang w:val="en-US" w:eastAsia="zh-CN"/>
        </w:rPr>
        <w:t>作</w:t>
      </w:r>
      <w:r>
        <w:rPr>
          <w:rFonts w:hint="eastAsia" w:ascii="宋体" w:hAnsi="宋体" w:cs="宋体"/>
          <w:color w:val="auto"/>
          <w:sz w:val="24"/>
          <w:highlight w:val="none"/>
        </w:rPr>
        <w:t>出书面承诺并附在响应文件中，否则视为不响应竞争性磋商文件的要求。违者应对由此造成的后果承担法律责任。</w:t>
      </w:r>
    </w:p>
    <w:p>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pPr>
        <w:spacing w:line="360" w:lineRule="auto"/>
        <w:ind w:firstLine="523" w:firstLineChars="218"/>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9</w:t>
      </w:r>
      <w:r>
        <w:rPr>
          <w:rFonts w:hint="eastAsia" w:ascii="宋体" w:hAnsi="宋体" w:cs="宋体"/>
          <w:color w:val="auto"/>
          <w:sz w:val="24"/>
          <w:highlight w:val="none"/>
        </w:rPr>
        <w:t>.5供应商需承诺自行承担参加采购活动有关的全部费用，公开招标组织人在任何情况下均无义务和责任承担上述费用</w:t>
      </w:r>
      <w:r>
        <w:rPr>
          <w:rFonts w:hint="eastAsia" w:ascii="宋体" w:hAnsi="宋体" w:cs="宋体"/>
          <w:color w:val="auto"/>
          <w:sz w:val="24"/>
          <w:highlight w:val="none"/>
          <w:lang w:val="en-US" w:eastAsia="zh-CN"/>
        </w:rPr>
        <w:t xml:space="preserve"> </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lang w:val="en-US" w:eastAsia="zh-CN"/>
        </w:rPr>
        <w:t>11.2</w:t>
      </w:r>
      <w:r>
        <w:rPr>
          <w:rFonts w:hint="eastAsia" w:ascii="宋体" w:hAnsi="宋体" w:eastAsia="宋体" w:cs="宋体"/>
          <w:color w:val="auto"/>
          <w:sz w:val="24"/>
          <w:highlight w:val="none"/>
        </w:rPr>
        <w:t>投标文件应编制连续页码，除特殊规格的图纸或方案、图片资料等外，均应按A4规格制作。</w:t>
      </w:r>
      <w:r>
        <w:rPr>
          <w:rFonts w:hint="eastAsia" w:ascii="宋体" w:hAnsi="宋体" w:cs="宋体"/>
          <w:color w:val="auto"/>
          <w:sz w:val="24"/>
          <w:highlight w:val="none"/>
        </w:rPr>
        <w:t>投标人应当按照招标文件的要求编制投标文件。投标文件应对招标文件提出的要求和条件作出实质性响应。按文件要求和规定顺序编制投标文件，并保证所提供全部资料的真实性，并在投标文件中附承诺书；</w:t>
      </w:r>
      <w:r>
        <w:rPr>
          <w:rFonts w:hint="eastAsia" w:ascii="宋体" w:hAnsi="宋体"/>
          <w:color w:val="auto"/>
          <w:sz w:val="24"/>
          <w:highlight w:val="none"/>
        </w:rPr>
        <w:t>供应商提交的资料应证明其满足招标文件要求并在材料上面标注“与原件一致字样”，该文件包括资格材料、文字资料、图纸和数据等详细描述的资料,否则视为不响应招标文件。</w:t>
      </w:r>
    </w:p>
    <w:p>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pPr>
        <w:pStyle w:val="56"/>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pPr>
        <w:pStyle w:val="56"/>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pPr>
        <w:pStyle w:val="56"/>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r>
        <w:rPr>
          <w:rFonts w:hint="eastAsia"/>
          <w:color w:val="auto"/>
          <w:sz w:val="24"/>
          <w:szCs w:val="24"/>
          <w:highlight w:val="none"/>
          <w:lang w:val="en-US"/>
        </w:rPr>
        <w:t>投标人不得以任何方式干扰、影响评标工作，投标人对上述做出书面保证，否则视为不响应招标文件实质性内容</w:t>
      </w:r>
      <w:r>
        <w:rPr>
          <w:rFonts w:hint="eastAsia"/>
          <w:color w:val="auto"/>
          <w:sz w:val="24"/>
          <w:szCs w:val="24"/>
          <w:highlight w:val="none"/>
          <w:lang w:val="en-US" w:eastAsia="zh-CN"/>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未提供经会计师事务所或审计机构审计的财务会计报表，包括资产负债表、现金流量表、利润表、和财务情况说明书的或针对本项目所开具的资信证明的。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pPr>
        <w:pStyle w:val="38"/>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pPr>
              <w:spacing w:after="50" w:line="360" w:lineRule="auto"/>
              <w:ind w:right="-10"/>
              <w:jc w:val="center"/>
              <w:rPr>
                <w:rFonts w:ascii="宋体" w:hAnsi="宋体" w:cs="宋体"/>
                <w:bCs/>
                <w:color w:val="auto"/>
                <w:sz w:val="24"/>
                <w:highlight w:val="none"/>
              </w:rPr>
            </w:pPr>
          </w:p>
        </w:tc>
        <w:tc>
          <w:tcPr>
            <w:tcW w:w="1937" w:type="dxa"/>
            <w:vAlign w:val="center"/>
          </w:tcPr>
          <w:p>
            <w:pPr>
              <w:spacing w:after="50" w:line="360" w:lineRule="auto"/>
              <w:ind w:right="-10"/>
              <w:jc w:val="center"/>
              <w:rPr>
                <w:rFonts w:ascii="宋体" w:hAnsi="宋体" w:cs="宋体"/>
                <w:color w:val="auto"/>
                <w:sz w:val="24"/>
                <w:highlight w:val="none"/>
              </w:rPr>
            </w:pP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pPr>
              <w:spacing w:after="50" w:line="360" w:lineRule="auto"/>
              <w:ind w:right="-10"/>
              <w:jc w:val="center"/>
              <w:rPr>
                <w:rFonts w:ascii="宋体" w:hAnsi="宋体" w:cs="宋体"/>
                <w:color w:val="auto"/>
                <w:sz w:val="24"/>
                <w:highlight w:val="none"/>
              </w:rPr>
            </w:pPr>
          </w:p>
        </w:tc>
        <w:tc>
          <w:tcPr>
            <w:tcW w:w="1937" w:type="dxa"/>
            <w:vAlign w:val="center"/>
          </w:tcPr>
          <w:p>
            <w:pPr>
              <w:spacing w:after="50" w:line="360" w:lineRule="auto"/>
              <w:ind w:right="-10"/>
              <w:jc w:val="center"/>
              <w:rPr>
                <w:rFonts w:ascii="宋体" w:hAnsi="宋体" w:cs="宋体"/>
                <w:color w:val="auto"/>
                <w:sz w:val="24"/>
                <w:highlight w:val="none"/>
              </w:rPr>
            </w:pP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pPr>
        <w:pStyle w:val="38"/>
        <w:rPr>
          <w:rFonts w:ascii="宋体" w:hAnsi="宋体" w:cs="宋体"/>
          <w:color w:val="auto"/>
          <w:sz w:val="24"/>
          <w:szCs w:val="24"/>
          <w:highlight w:val="none"/>
        </w:rPr>
      </w:pP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27"/>
        <w:tblW w:w="10022" w:type="dxa"/>
        <w:jc w:val="center"/>
        <w:tblLayout w:type="fixed"/>
        <w:tblCellMar>
          <w:top w:w="0" w:type="dxa"/>
          <w:left w:w="108" w:type="dxa"/>
          <w:bottom w:w="0" w:type="dxa"/>
          <w:right w:w="108" w:type="dxa"/>
        </w:tblCellMar>
      </w:tblPr>
      <w:tblGrid>
        <w:gridCol w:w="1521"/>
        <w:gridCol w:w="1336"/>
        <w:gridCol w:w="4599"/>
        <w:gridCol w:w="2566"/>
      </w:tblGrid>
      <w:tr>
        <w:tblPrEx>
          <w:tblCellMar>
            <w:top w:w="0" w:type="dxa"/>
            <w:left w:w="108" w:type="dxa"/>
            <w:bottom w:w="0" w:type="dxa"/>
            <w:right w:w="108" w:type="dxa"/>
          </w:tblCellMar>
        </w:tblPrEx>
        <w:trPr>
          <w:trHeight w:val="252" w:hRule="atLeast"/>
          <w:jc w:val="center"/>
        </w:trPr>
        <w:tc>
          <w:tcPr>
            <w:tcW w:w="15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3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5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tblPrEx>
          <w:tblCellMar>
            <w:top w:w="0" w:type="dxa"/>
            <w:left w:w="108" w:type="dxa"/>
            <w:bottom w:w="0" w:type="dxa"/>
            <w:right w:w="108" w:type="dxa"/>
          </w:tblCellMar>
        </w:tblPrEx>
        <w:trPr>
          <w:trHeight w:val="700" w:hRule="atLeast"/>
          <w:jc w:val="center"/>
        </w:trPr>
        <w:tc>
          <w:tcPr>
            <w:tcW w:w="15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sz w:val="24"/>
                <w:highlight w:val="none"/>
              </w:rPr>
            </w:pPr>
            <w:r>
              <w:rPr>
                <w:rFonts w:hint="eastAsia" w:ascii="宋体" w:hAnsi="宋体" w:cs="宋体"/>
                <w:b/>
                <w:bCs/>
                <w:color w:val="auto"/>
                <w:sz w:val="24"/>
                <w:highlight w:val="none"/>
              </w:rPr>
              <w:t>报价得分（</w:t>
            </w:r>
            <w:r>
              <w:rPr>
                <w:rFonts w:hint="eastAsia" w:ascii="宋体" w:hAnsi="宋体" w:cs="宋体"/>
                <w:b/>
                <w:bCs/>
                <w:color w:val="auto"/>
                <w:sz w:val="24"/>
                <w:highlight w:val="none"/>
                <w:lang w:val="en-US" w:eastAsia="zh-CN"/>
              </w:rPr>
              <w:t>20</w:t>
            </w:r>
            <w:r>
              <w:rPr>
                <w:rFonts w:hint="eastAsia" w:ascii="宋体" w:hAnsi="宋体" w:cs="宋体"/>
                <w:b/>
                <w:bCs/>
                <w:color w:val="auto"/>
                <w:sz w:val="24"/>
                <w:highlight w:val="none"/>
              </w:rPr>
              <w:t>分）</w:t>
            </w:r>
          </w:p>
        </w:tc>
        <w:tc>
          <w:tcPr>
            <w:tcW w:w="13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20</w:t>
            </w:r>
            <w:r>
              <w:rPr>
                <w:rFonts w:hint="eastAsia" w:ascii="宋体" w:hAnsi="宋体" w:cs="宋体"/>
                <w:b/>
                <w:bCs/>
                <w:color w:val="auto"/>
                <w:sz w:val="24"/>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pPr>
              <w:ind w:firstLine="480" w:firstLineChars="200"/>
              <w:rPr>
                <w:rFonts w:ascii="宋体" w:hAnsi="宋体" w:cs="宋体"/>
                <w:bCs/>
                <w:color w:val="auto"/>
                <w:sz w:val="24"/>
                <w:szCs w:val="20"/>
                <w:highlight w:val="none"/>
              </w:rPr>
            </w:pPr>
            <w:r>
              <w:rPr>
                <w:rFonts w:hint="eastAsia" w:ascii="宋体" w:hAnsi="宋体" w:cs="宋体"/>
                <w:bCs/>
                <w:color w:val="auto"/>
                <w:sz w:val="24"/>
                <w:szCs w:val="20"/>
                <w:highlight w:val="none"/>
              </w:rPr>
              <w:t>满足磋商文件要求且最后报价最低的供应商的价格为磋商基准价，其价格分为满分。其他供应商的价格分统一按照下列公式计算：</w:t>
            </w:r>
          </w:p>
          <w:p>
            <w:pPr>
              <w:ind w:firstLine="480" w:firstLineChars="200"/>
              <w:rPr>
                <w:rFonts w:hint="default" w:ascii="宋体" w:hAnsi="宋体" w:eastAsia="宋体" w:cs="宋体"/>
                <w:bCs/>
                <w:color w:val="auto"/>
                <w:sz w:val="24"/>
                <w:szCs w:val="20"/>
                <w:highlight w:val="none"/>
                <w:lang w:val="en-US" w:eastAsia="zh-CN"/>
              </w:rPr>
            </w:pPr>
            <w:r>
              <w:rPr>
                <w:rFonts w:hint="eastAsia" w:ascii="宋体" w:hAnsi="宋体" w:cs="宋体"/>
                <w:bCs/>
                <w:color w:val="auto"/>
                <w:sz w:val="24"/>
                <w:szCs w:val="20"/>
                <w:highlight w:val="none"/>
              </w:rPr>
              <w:t>磋商报价得分=（磋商基准价/最后磋商报价）×</w:t>
            </w:r>
            <w:r>
              <w:rPr>
                <w:rFonts w:hint="eastAsia" w:ascii="宋体" w:hAnsi="宋体" w:cs="宋体"/>
                <w:bCs/>
                <w:color w:val="auto"/>
                <w:sz w:val="24"/>
                <w:szCs w:val="20"/>
                <w:highlight w:val="none"/>
                <w:lang w:val="en-US" w:eastAsia="zh-CN"/>
              </w:rPr>
              <w:t>20</w:t>
            </w:r>
          </w:p>
          <w:p>
            <w:pPr>
              <w:tabs>
                <w:tab w:val="left" w:pos="5130"/>
              </w:tabs>
              <w:adjustRightInd w:val="0"/>
              <w:snapToGrid w:val="0"/>
              <w:spacing w:line="360" w:lineRule="auto"/>
              <w:rPr>
                <w:rFonts w:ascii="宋体" w:hAnsi="宋体" w:cs="宋体"/>
                <w:bCs/>
                <w:color w:val="auto"/>
                <w:sz w:val="24"/>
                <w:szCs w:val="20"/>
                <w:highlight w:val="none"/>
              </w:rPr>
            </w:pPr>
            <w:r>
              <w:rPr>
                <w:rFonts w:hint="eastAsia" w:ascii="宋体" w:hAnsi="宋体" w:cs="宋体"/>
                <w:bCs/>
                <w:color w:val="auto"/>
                <w:sz w:val="24"/>
                <w:szCs w:val="20"/>
                <w:highlight w:val="none"/>
              </w:rPr>
              <w:t>备注：价格分计算保留小数点后二位。</w:t>
            </w:r>
          </w:p>
          <w:p>
            <w:pPr>
              <w:pStyle w:val="25"/>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根据财政部、工信部关于印发《政府采购促进中小企业发展管理办法》的通知（财库〔2020〕46号 ）文件规定：</w:t>
            </w:r>
          </w:p>
          <w:p>
            <w:pPr>
              <w:pStyle w:val="25"/>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（1）对小微企业报价给予10%扣除，请按照《政府采购促进中小企业发展管理办法》要求提供中小企业声明函。</w:t>
            </w:r>
          </w:p>
          <w:p>
            <w:pPr>
              <w:pStyle w:val="25"/>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（2）关于监狱企业：视同小微企业。须提供由省级以上监狱管理局、戒毒管理局（含新疆生产建设兵团）出具的属于监狱企业的证明文件，否则不考虑价格扣除。</w:t>
            </w:r>
          </w:p>
          <w:p>
            <w:pPr>
              <w:pStyle w:val="25"/>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ascii="宋体" w:hAnsi="宋体" w:cs="宋体"/>
                <w:color w:val="auto"/>
                <w:sz w:val="24"/>
                <w:highlight w:val="none"/>
              </w:rPr>
            </w:pPr>
            <w:r>
              <w:rPr>
                <w:rFonts w:hint="eastAsia" w:ascii="宋体" w:hAnsi="宋体" w:cs="宋体"/>
                <w:bCs/>
                <w:color w:val="auto"/>
                <w:sz w:val="24"/>
                <w:szCs w:val="20"/>
                <w:highlight w:val="none"/>
              </w:rPr>
              <w:t>（4）没有提供有效证明材料的供应商将被视为不接受投标总价的扣除，用原投标总价参与评审。</w:t>
            </w:r>
          </w:p>
        </w:tc>
      </w:tr>
      <w:tr>
        <w:tblPrEx>
          <w:tblCellMar>
            <w:top w:w="0" w:type="dxa"/>
            <w:left w:w="108" w:type="dxa"/>
            <w:bottom w:w="0" w:type="dxa"/>
            <w:right w:w="108" w:type="dxa"/>
          </w:tblCellMar>
        </w:tblPrEx>
        <w:trPr>
          <w:trHeight w:val="469" w:hRule="atLeast"/>
          <w:jc w:val="center"/>
        </w:trPr>
        <w:tc>
          <w:tcPr>
            <w:tcW w:w="1521" w:type="dxa"/>
            <w:vMerge w:val="restart"/>
            <w:tcBorders>
              <w:top w:val="single" w:color="auto" w:sz="4" w:space="0"/>
              <w:left w:val="single" w:color="auto" w:sz="4" w:space="0"/>
              <w:right w:val="single" w:color="auto" w:sz="4" w:space="0"/>
            </w:tcBorders>
            <w:vAlign w:val="center"/>
          </w:tcPr>
          <w:p>
            <w:pPr>
              <w:widowControl/>
              <w:jc w:val="left"/>
              <w:rPr>
                <w:rFonts w:ascii="宋体" w:hAnsi="宋体" w:cs="宋体"/>
                <w:color w:val="auto"/>
                <w:sz w:val="24"/>
                <w:highlight w:val="none"/>
              </w:rPr>
            </w:pPr>
            <w:r>
              <w:rPr>
                <w:rFonts w:hint="eastAsia" w:ascii="宋体" w:hAnsi="宋体" w:cs="宋体"/>
                <w:color w:val="auto"/>
                <w:sz w:val="24"/>
                <w:highlight w:val="none"/>
              </w:rPr>
              <w:t>技术方案(</w:t>
            </w:r>
            <w:r>
              <w:rPr>
                <w:rFonts w:hint="eastAsia" w:ascii="宋体" w:hAnsi="宋体" w:cs="宋体"/>
                <w:color w:val="auto"/>
                <w:sz w:val="24"/>
                <w:highlight w:val="none"/>
                <w:lang w:val="en-US" w:eastAsia="zh-CN"/>
              </w:rPr>
              <w:t>50</w:t>
            </w:r>
            <w:r>
              <w:rPr>
                <w:rFonts w:hint="eastAsia" w:ascii="宋体" w:hAnsi="宋体" w:cs="宋体"/>
                <w:color w:val="auto"/>
                <w:sz w:val="24"/>
                <w:highlight w:val="none"/>
              </w:rPr>
              <w:t>分)</w:t>
            </w:r>
          </w:p>
          <w:p>
            <w:pPr>
              <w:jc w:val="cente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color w:val="auto"/>
                <w:spacing w:val="-12"/>
                <w:sz w:val="24"/>
                <w:szCs w:val="24"/>
                <w:highlight w:val="none"/>
              </w:rPr>
              <w:t>供货方案（15</w:t>
            </w:r>
            <w:r>
              <w:rPr>
                <w:color w:val="auto"/>
                <w:spacing w:val="-7"/>
                <w:sz w:val="24"/>
                <w:szCs w:val="24"/>
                <w:highlight w:val="none"/>
              </w:rPr>
              <w:t>分）</w:t>
            </w:r>
          </w:p>
        </w:tc>
        <w:tc>
          <w:tcPr>
            <w:tcW w:w="7165" w:type="dxa"/>
            <w:gridSpan w:val="2"/>
            <w:tcBorders>
              <w:top w:val="single" w:color="auto" w:sz="4" w:space="0"/>
              <w:left w:val="single" w:color="auto" w:sz="4" w:space="0"/>
              <w:right w:val="single" w:color="auto" w:sz="4" w:space="0"/>
            </w:tcBorders>
            <w:vAlign w:val="center"/>
          </w:tcPr>
          <w:p>
            <w:pPr>
              <w:pStyle w:val="83"/>
              <w:spacing w:before="78" w:line="233" w:lineRule="auto"/>
              <w:ind w:left="115" w:right="103" w:hanging="1"/>
              <w:jc w:val="both"/>
              <w:rPr>
                <w:color w:val="auto"/>
                <w:sz w:val="24"/>
                <w:szCs w:val="24"/>
                <w:highlight w:val="none"/>
              </w:rPr>
            </w:pPr>
            <w:r>
              <w:rPr>
                <w:color w:val="auto"/>
                <w:spacing w:val="-1"/>
                <w:sz w:val="24"/>
                <w:szCs w:val="24"/>
                <w:highlight w:val="none"/>
              </w:rPr>
              <w:t>1.供货流程；2.供货方式方法；3.保证货物质量；4.货物验收；5.</w:t>
            </w:r>
            <w:r>
              <w:rPr>
                <w:color w:val="auto"/>
                <w:spacing w:val="9"/>
                <w:sz w:val="24"/>
                <w:szCs w:val="24"/>
                <w:highlight w:val="none"/>
              </w:rPr>
              <w:t xml:space="preserve"> </w:t>
            </w:r>
            <w:r>
              <w:rPr>
                <w:color w:val="auto"/>
                <w:spacing w:val="-2"/>
                <w:sz w:val="24"/>
                <w:szCs w:val="24"/>
                <w:highlight w:val="none"/>
              </w:rPr>
              <w:t>人力物力保障；</w:t>
            </w:r>
          </w:p>
          <w:p>
            <w:pPr>
              <w:pStyle w:val="83"/>
              <w:spacing w:before="26" w:line="229" w:lineRule="auto"/>
              <w:ind w:left="134" w:right="103" w:firstLine="7"/>
              <w:rPr>
                <w:color w:val="auto"/>
                <w:sz w:val="24"/>
                <w:szCs w:val="24"/>
                <w:highlight w:val="none"/>
              </w:rPr>
            </w:pPr>
            <w:r>
              <w:rPr>
                <w:color w:val="auto"/>
                <w:spacing w:val="-3"/>
                <w:sz w:val="24"/>
                <w:szCs w:val="24"/>
                <w:highlight w:val="none"/>
              </w:rPr>
              <w:t>以上</w:t>
            </w:r>
            <w:r>
              <w:rPr>
                <w:color w:val="auto"/>
                <w:spacing w:val="-36"/>
                <w:sz w:val="24"/>
                <w:szCs w:val="24"/>
                <w:highlight w:val="none"/>
              </w:rPr>
              <w:t xml:space="preserve"> </w:t>
            </w:r>
            <w:r>
              <w:rPr>
                <w:color w:val="auto"/>
                <w:spacing w:val="-3"/>
                <w:sz w:val="24"/>
                <w:szCs w:val="24"/>
                <w:highlight w:val="none"/>
              </w:rPr>
              <w:t>5</w:t>
            </w:r>
            <w:r>
              <w:rPr>
                <w:color w:val="auto"/>
                <w:spacing w:val="-47"/>
                <w:sz w:val="24"/>
                <w:szCs w:val="24"/>
                <w:highlight w:val="none"/>
              </w:rPr>
              <w:t xml:space="preserve"> </w:t>
            </w:r>
            <w:r>
              <w:rPr>
                <w:color w:val="auto"/>
                <w:spacing w:val="-3"/>
                <w:sz w:val="24"/>
                <w:szCs w:val="24"/>
                <w:highlight w:val="none"/>
              </w:rPr>
              <w:t>项内容</w:t>
            </w:r>
            <w:r>
              <w:rPr>
                <w:color w:val="auto"/>
                <w:spacing w:val="-5"/>
                <w:sz w:val="24"/>
                <w:szCs w:val="24"/>
                <w:highlight w:val="none"/>
              </w:rPr>
              <w:t>满足项目需求且能结合采购人实际情况</w:t>
            </w:r>
            <w:r>
              <w:rPr>
                <w:color w:val="auto"/>
                <w:spacing w:val="-7"/>
                <w:sz w:val="24"/>
                <w:szCs w:val="24"/>
                <w:highlight w:val="none"/>
              </w:rPr>
              <w:t>的每</w:t>
            </w:r>
            <w:r>
              <w:rPr>
                <w:rFonts w:hint="eastAsia"/>
                <w:color w:val="auto"/>
                <w:spacing w:val="-7"/>
                <w:sz w:val="24"/>
                <w:szCs w:val="24"/>
                <w:highlight w:val="none"/>
                <w:lang w:val="en-US" w:eastAsia="zh-CN"/>
              </w:rPr>
              <w:t>提供一</w:t>
            </w:r>
            <w:r>
              <w:rPr>
                <w:color w:val="auto"/>
                <w:spacing w:val="-7"/>
                <w:sz w:val="24"/>
                <w:szCs w:val="24"/>
                <w:highlight w:val="none"/>
              </w:rPr>
              <w:t>项得</w:t>
            </w:r>
            <w:r>
              <w:rPr>
                <w:color w:val="auto"/>
                <w:spacing w:val="-44"/>
                <w:sz w:val="24"/>
                <w:szCs w:val="24"/>
                <w:highlight w:val="none"/>
              </w:rPr>
              <w:t xml:space="preserve"> </w:t>
            </w:r>
            <w:r>
              <w:rPr>
                <w:color w:val="auto"/>
                <w:spacing w:val="-7"/>
                <w:sz w:val="24"/>
                <w:szCs w:val="24"/>
                <w:highlight w:val="none"/>
              </w:rPr>
              <w:t>3</w:t>
            </w:r>
            <w:r>
              <w:rPr>
                <w:color w:val="auto"/>
                <w:spacing w:val="-48"/>
                <w:sz w:val="24"/>
                <w:szCs w:val="24"/>
                <w:highlight w:val="none"/>
              </w:rPr>
              <w:t xml:space="preserve"> </w:t>
            </w:r>
            <w:r>
              <w:rPr>
                <w:color w:val="auto"/>
                <w:spacing w:val="-7"/>
                <w:sz w:val="24"/>
                <w:szCs w:val="24"/>
                <w:highlight w:val="none"/>
              </w:rPr>
              <w:t>分；满分</w:t>
            </w:r>
            <w:r>
              <w:rPr>
                <w:color w:val="auto"/>
                <w:spacing w:val="-33"/>
                <w:sz w:val="24"/>
                <w:szCs w:val="24"/>
                <w:highlight w:val="none"/>
              </w:rPr>
              <w:t xml:space="preserve"> </w:t>
            </w:r>
            <w:r>
              <w:rPr>
                <w:color w:val="auto"/>
                <w:spacing w:val="-7"/>
                <w:sz w:val="24"/>
                <w:szCs w:val="24"/>
                <w:highlight w:val="none"/>
              </w:rPr>
              <w:t>15</w:t>
            </w:r>
            <w:r>
              <w:rPr>
                <w:color w:val="auto"/>
                <w:spacing w:val="-48"/>
                <w:sz w:val="24"/>
                <w:szCs w:val="24"/>
                <w:highlight w:val="none"/>
              </w:rPr>
              <w:t xml:space="preserve"> </w:t>
            </w:r>
            <w:r>
              <w:rPr>
                <w:color w:val="auto"/>
                <w:spacing w:val="-7"/>
                <w:sz w:val="24"/>
                <w:szCs w:val="24"/>
                <w:highlight w:val="none"/>
              </w:rPr>
              <w:t>分。</w:t>
            </w:r>
          </w:p>
          <w:p>
            <w:pPr>
              <w:widowControl/>
              <w:snapToGrid w:val="0"/>
              <w:spacing w:line="276" w:lineRule="auto"/>
              <w:jc w:val="left"/>
              <w:rPr>
                <w:rFonts w:ascii="宋体" w:hAnsi="宋体" w:cs="宋体"/>
                <w:color w:val="auto"/>
                <w:sz w:val="24"/>
                <w:highlight w:val="none"/>
              </w:rPr>
            </w:pPr>
            <w:r>
              <w:rPr>
                <w:color w:val="auto"/>
                <w:spacing w:val="-1"/>
                <w:sz w:val="24"/>
                <w:szCs w:val="24"/>
                <w:highlight w:val="none"/>
              </w:rPr>
              <w:t>未提供措施或存在内容明显错误或不符合项</w:t>
            </w:r>
            <w:r>
              <w:rPr>
                <w:color w:val="auto"/>
                <w:spacing w:val="-2"/>
                <w:sz w:val="24"/>
                <w:szCs w:val="24"/>
                <w:highlight w:val="none"/>
              </w:rPr>
              <w:t>目需求的每项扣</w:t>
            </w:r>
            <w:r>
              <w:rPr>
                <w:color w:val="auto"/>
                <w:spacing w:val="-55"/>
                <w:sz w:val="24"/>
                <w:szCs w:val="24"/>
                <w:highlight w:val="none"/>
              </w:rPr>
              <w:t xml:space="preserve"> </w:t>
            </w:r>
            <w:r>
              <w:rPr>
                <w:color w:val="auto"/>
                <w:spacing w:val="-2"/>
                <w:sz w:val="24"/>
                <w:szCs w:val="24"/>
                <w:highlight w:val="none"/>
              </w:rPr>
              <w:t>2</w:t>
            </w:r>
            <w:r>
              <w:rPr>
                <w:color w:val="auto"/>
                <w:spacing w:val="-53"/>
                <w:sz w:val="24"/>
                <w:szCs w:val="24"/>
                <w:highlight w:val="none"/>
              </w:rPr>
              <w:t xml:space="preserve"> </w:t>
            </w:r>
            <w:r>
              <w:rPr>
                <w:color w:val="auto"/>
                <w:spacing w:val="-2"/>
                <w:sz w:val="24"/>
                <w:szCs w:val="24"/>
                <w:highlight w:val="none"/>
              </w:rPr>
              <w:t>分扣</w:t>
            </w:r>
            <w:r>
              <w:rPr>
                <w:color w:val="auto"/>
                <w:sz w:val="24"/>
                <w:szCs w:val="24"/>
                <w:highlight w:val="none"/>
              </w:rPr>
              <w:t xml:space="preserve"> </w:t>
            </w:r>
            <w:r>
              <w:rPr>
                <w:color w:val="auto"/>
                <w:spacing w:val="-3"/>
                <w:sz w:val="24"/>
                <w:szCs w:val="24"/>
                <w:highlight w:val="none"/>
              </w:rPr>
              <w:t>完为止。</w:t>
            </w:r>
          </w:p>
        </w:tc>
      </w:tr>
      <w:tr>
        <w:tblPrEx>
          <w:tblCellMar>
            <w:top w:w="0" w:type="dxa"/>
            <w:left w:w="108" w:type="dxa"/>
            <w:bottom w:w="0" w:type="dxa"/>
            <w:right w:w="108" w:type="dxa"/>
          </w:tblCellMar>
        </w:tblPrEx>
        <w:trPr>
          <w:trHeight w:val="469" w:hRule="atLeast"/>
          <w:jc w:val="center"/>
        </w:trPr>
        <w:tc>
          <w:tcPr>
            <w:tcW w:w="1521" w:type="dxa"/>
            <w:vMerge w:val="continue"/>
            <w:tcBorders>
              <w:left w:val="single" w:color="auto" w:sz="4" w:space="0"/>
              <w:right w:val="single" w:color="auto" w:sz="4" w:space="0"/>
            </w:tcBorders>
            <w:vAlign w:val="center"/>
          </w:tcPr>
          <w:p>
            <w:pPr>
              <w:jc w:val="cente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color w:val="auto"/>
                <w:spacing w:val="-2"/>
                <w:sz w:val="24"/>
                <w:szCs w:val="24"/>
                <w:highlight w:val="none"/>
              </w:rPr>
              <w:t>供货进度保</w:t>
            </w:r>
            <w:r>
              <w:rPr>
                <w:color w:val="auto"/>
                <w:spacing w:val="-9"/>
                <w:sz w:val="24"/>
                <w:szCs w:val="24"/>
                <w:highlight w:val="none"/>
              </w:rPr>
              <w:t>障措施</w:t>
            </w:r>
            <w:r>
              <w:rPr>
                <w:color w:val="auto"/>
                <w:spacing w:val="-50"/>
                <w:sz w:val="24"/>
                <w:szCs w:val="24"/>
                <w:highlight w:val="none"/>
              </w:rPr>
              <w:t xml:space="preserve"> </w:t>
            </w:r>
            <w:r>
              <w:rPr>
                <w:color w:val="auto"/>
                <w:spacing w:val="-12"/>
                <w:sz w:val="24"/>
                <w:szCs w:val="24"/>
                <w:highlight w:val="none"/>
              </w:rPr>
              <w:t>（</w:t>
            </w:r>
            <w:r>
              <w:rPr>
                <w:rFonts w:hint="eastAsia"/>
                <w:color w:val="auto"/>
                <w:spacing w:val="-12"/>
                <w:sz w:val="24"/>
                <w:szCs w:val="24"/>
                <w:highlight w:val="none"/>
                <w:lang w:val="en-US" w:eastAsia="zh-CN"/>
              </w:rPr>
              <w:t>6</w:t>
            </w:r>
            <w:r>
              <w:rPr>
                <w:color w:val="auto"/>
                <w:spacing w:val="-7"/>
                <w:sz w:val="24"/>
                <w:szCs w:val="24"/>
                <w:highlight w:val="none"/>
              </w:rPr>
              <w:t>分）</w:t>
            </w:r>
          </w:p>
        </w:tc>
        <w:tc>
          <w:tcPr>
            <w:tcW w:w="7165" w:type="dxa"/>
            <w:gridSpan w:val="2"/>
            <w:tcBorders>
              <w:top w:val="single" w:color="auto" w:sz="4" w:space="0"/>
              <w:left w:val="single" w:color="auto" w:sz="4" w:space="0"/>
              <w:right w:val="single" w:color="auto" w:sz="4" w:space="0"/>
            </w:tcBorders>
            <w:vAlign w:val="center"/>
          </w:tcPr>
          <w:p>
            <w:pPr>
              <w:pStyle w:val="83"/>
              <w:spacing w:before="39" w:line="218" w:lineRule="auto"/>
              <w:ind w:left="114"/>
              <w:rPr>
                <w:color w:val="auto"/>
                <w:sz w:val="24"/>
                <w:szCs w:val="24"/>
                <w:highlight w:val="none"/>
              </w:rPr>
            </w:pPr>
            <w:r>
              <w:rPr>
                <w:color w:val="auto"/>
                <w:spacing w:val="-1"/>
                <w:sz w:val="24"/>
                <w:szCs w:val="24"/>
                <w:highlight w:val="none"/>
              </w:rPr>
              <w:t>根据供应商的供货进度保障措施进行评价：</w:t>
            </w:r>
          </w:p>
          <w:p>
            <w:pPr>
              <w:pStyle w:val="83"/>
              <w:spacing w:before="27" w:line="232" w:lineRule="auto"/>
              <w:ind w:left="119" w:right="103" w:firstLine="12"/>
              <w:jc w:val="both"/>
              <w:rPr>
                <w:color w:val="auto"/>
                <w:sz w:val="24"/>
                <w:szCs w:val="24"/>
                <w:highlight w:val="none"/>
              </w:rPr>
            </w:pPr>
            <w:r>
              <w:rPr>
                <w:color w:val="auto"/>
                <w:spacing w:val="-1"/>
                <w:sz w:val="24"/>
                <w:szCs w:val="24"/>
                <w:highlight w:val="none"/>
              </w:rPr>
              <w:t>1.有制定全面的供货进度保障措施，2.对供</w:t>
            </w:r>
            <w:r>
              <w:rPr>
                <w:color w:val="auto"/>
                <w:spacing w:val="-2"/>
                <w:sz w:val="24"/>
                <w:szCs w:val="24"/>
                <w:highlight w:val="none"/>
              </w:rPr>
              <w:t>货过程中的关键节点有</w:t>
            </w:r>
            <w:r>
              <w:rPr>
                <w:color w:val="auto"/>
                <w:spacing w:val="-1"/>
                <w:sz w:val="24"/>
                <w:szCs w:val="24"/>
                <w:highlight w:val="none"/>
              </w:rPr>
              <w:t>具体进度控制措施，3.有相应的人力、物力投入安排，能够确保供</w:t>
            </w:r>
            <w:r>
              <w:rPr>
                <w:color w:val="auto"/>
                <w:spacing w:val="2"/>
                <w:sz w:val="24"/>
                <w:szCs w:val="24"/>
                <w:highlight w:val="none"/>
              </w:rPr>
              <w:t xml:space="preserve"> </w:t>
            </w:r>
            <w:r>
              <w:rPr>
                <w:color w:val="auto"/>
                <w:spacing w:val="-4"/>
                <w:sz w:val="24"/>
                <w:szCs w:val="24"/>
                <w:highlight w:val="none"/>
              </w:rPr>
              <w:t>货进度；</w:t>
            </w:r>
          </w:p>
          <w:p>
            <w:pPr>
              <w:widowControl/>
              <w:snapToGrid w:val="0"/>
              <w:spacing w:line="276" w:lineRule="auto"/>
              <w:jc w:val="left"/>
              <w:rPr>
                <w:rFonts w:ascii="宋体" w:hAnsi="宋体" w:cs="宋体"/>
                <w:color w:val="auto"/>
                <w:sz w:val="24"/>
                <w:highlight w:val="none"/>
              </w:rPr>
            </w:pPr>
            <w:r>
              <w:rPr>
                <w:color w:val="auto"/>
                <w:spacing w:val="-3"/>
                <w:sz w:val="24"/>
                <w:szCs w:val="24"/>
                <w:highlight w:val="none"/>
              </w:rPr>
              <w:t>以上</w:t>
            </w:r>
            <w:r>
              <w:rPr>
                <w:color w:val="auto"/>
                <w:spacing w:val="-36"/>
                <w:sz w:val="24"/>
                <w:szCs w:val="24"/>
                <w:highlight w:val="none"/>
              </w:rPr>
              <w:t xml:space="preserve"> </w:t>
            </w:r>
            <w:r>
              <w:rPr>
                <w:color w:val="auto"/>
                <w:spacing w:val="-3"/>
                <w:sz w:val="24"/>
                <w:szCs w:val="24"/>
                <w:highlight w:val="none"/>
              </w:rPr>
              <w:t>3</w:t>
            </w:r>
            <w:r>
              <w:rPr>
                <w:color w:val="auto"/>
                <w:spacing w:val="-47"/>
                <w:sz w:val="24"/>
                <w:szCs w:val="24"/>
                <w:highlight w:val="none"/>
              </w:rPr>
              <w:t xml:space="preserve"> </w:t>
            </w:r>
            <w:r>
              <w:rPr>
                <w:color w:val="auto"/>
                <w:spacing w:val="-3"/>
                <w:sz w:val="24"/>
                <w:szCs w:val="24"/>
                <w:highlight w:val="none"/>
              </w:rPr>
              <w:t>项内容</w:t>
            </w:r>
            <w:r>
              <w:rPr>
                <w:color w:val="auto"/>
                <w:spacing w:val="-5"/>
                <w:sz w:val="24"/>
                <w:szCs w:val="24"/>
                <w:highlight w:val="none"/>
              </w:rPr>
              <w:t>满足项目需求且能结合采购人实际情况</w:t>
            </w:r>
            <w:r>
              <w:rPr>
                <w:color w:val="auto"/>
                <w:spacing w:val="-7"/>
                <w:sz w:val="24"/>
                <w:szCs w:val="24"/>
                <w:highlight w:val="none"/>
              </w:rPr>
              <w:t>的每</w:t>
            </w:r>
            <w:r>
              <w:rPr>
                <w:rFonts w:hint="eastAsia"/>
                <w:color w:val="auto"/>
                <w:spacing w:val="-7"/>
                <w:sz w:val="24"/>
                <w:szCs w:val="24"/>
                <w:highlight w:val="none"/>
                <w:lang w:val="en-US" w:eastAsia="zh-CN"/>
              </w:rPr>
              <w:t>提供一</w:t>
            </w:r>
            <w:r>
              <w:rPr>
                <w:color w:val="auto"/>
                <w:spacing w:val="-7"/>
                <w:sz w:val="24"/>
                <w:szCs w:val="24"/>
                <w:highlight w:val="none"/>
              </w:rPr>
              <w:t>项得</w:t>
            </w:r>
            <w:r>
              <w:rPr>
                <w:rFonts w:hint="eastAsia"/>
                <w:color w:val="auto"/>
                <w:spacing w:val="-33"/>
                <w:sz w:val="24"/>
                <w:szCs w:val="24"/>
                <w:highlight w:val="none"/>
                <w:lang w:val="en-US" w:eastAsia="zh-CN"/>
              </w:rPr>
              <w:t>2</w:t>
            </w:r>
            <w:r>
              <w:rPr>
                <w:color w:val="auto"/>
                <w:spacing w:val="-3"/>
                <w:sz w:val="24"/>
                <w:szCs w:val="24"/>
                <w:highlight w:val="none"/>
              </w:rPr>
              <w:t>分。满分</w:t>
            </w:r>
            <w:r>
              <w:rPr>
                <w:rFonts w:hint="eastAsia"/>
                <w:color w:val="auto"/>
                <w:spacing w:val="-50"/>
                <w:sz w:val="24"/>
                <w:szCs w:val="24"/>
                <w:highlight w:val="none"/>
                <w:lang w:val="en-US" w:eastAsia="zh-CN"/>
              </w:rPr>
              <w:t>6</w:t>
            </w:r>
            <w:r>
              <w:rPr>
                <w:color w:val="auto"/>
                <w:spacing w:val="-48"/>
                <w:sz w:val="24"/>
                <w:szCs w:val="24"/>
                <w:highlight w:val="none"/>
              </w:rPr>
              <w:t xml:space="preserve"> </w:t>
            </w:r>
            <w:r>
              <w:rPr>
                <w:color w:val="auto"/>
                <w:spacing w:val="-3"/>
                <w:sz w:val="24"/>
                <w:szCs w:val="24"/>
                <w:highlight w:val="none"/>
              </w:rPr>
              <w:t>分。未提供措施或存在内容明显错误或不</w:t>
            </w:r>
            <w:r>
              <w:rPr>
                <w:color w:val="auto"/>
                <w:sz w:val="24"/>
                <w:szCs w:val="24"/>
                <w:highlight w:val="none"/>
              </w:rPr>
              <w:t xml:space="preserve"> </w:t>
            </w:r>
            <w:r>
              <w:rPr>
                <w:color w:val="auto"/>
                <w:spacing w:val="-2"/>
                <w:sz w:val="24"/>
                <w:szCs w:val="24"/>
                <w:highlight w:val="none"/>
              </w:rPr>
              <w:t>符合项目需求的每项扣</w:t>
            </w:r>
            <w:r>
              <w:rPr>
                <w:color w:val="auto"/>
                <w:spacing w:val="-35"/>
                <w:sz w:val="24"/>
                <w:szCs w:val="24"/>
                <w:highlight w:val="none"/>
              </w:rPr>
              <w:t xml:space="preserve"> </w:t>
            </w:r>
            <w:r>
              <w:rPr>
                <w:rFonts w:hint="eastAsia"/>
                <w:color w:val="auto"/>
                <w:spacing w:val="-2"/>
                <w:sz w:val="24"/>
                <w:szCs w:val="24"/>
                <w:highlight w:val="none"/>
                <w:lang w:val="en-US" w:eastAsia="zh-CN"/>
              </w:rPr>
              <w:t>2</w:t>
            </w:r>
            <w:r>
              <w:rPr>
                <w:color w:val="auto"/>
                <w:spacing w:val="-2"/>
                <w:sz w:val="24"/>
                <w:szCs w:val="24"/>
                <w:highlight w:val="none"/>
              </w:rPr>
              <w:t>分，扣完为止。</w:t>
            </w:r>
          </w:p>
        </w:tc>
      </w:tr>
      <w:tr>
        <w:tblPrEx>
          <w:tblCellMar>
            <w:top w:w="0" w:type="dxa"/>
            <w:left w:w="108" w:type="dxa"/>
            <w:bottom w:w="0" w:type="dxa"/>
            <w:right w:w="108" w:type="dxa"/>
          </w:tblCellMar>
        </w:tblPrEx>
        <w:trPr>
          <w:trHeight w:val="469" w:hRule="atLeast"/>
          <w:jc w:val="center"/>
        </w:trPr>
        <w:tc>
          <w:tcPr>
            <w:tcW w:w="1521" w:type="dxa"/>
            <w:vMerge w:val="continue"/>
            <w:tcBorders>
              <w:left w:val="single" w:color="auto" w:sz="4" w:space="0"/>
              <w:right w:val="single" w:color="auto" w:sz="4" w:space="0"/>
            </w:tcBorders>
            <w:vAlign w:val="center"/>
          </w:tcPr>
          <w:p>
            <w:pPr>
              <w:jc w:val="cente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color w:val="auto"/>
                <w:spacing w:val="-2"/>
                <w:sz w:val="24"/>
                <w:szCs w:val="24"/>
                <w:highlight w:val="none"/>
              </w:rPr>
              <w:t>供货安全保</w:t>
            </w:r>
            <w:r>
              <w:rPr>
                <w:color w:val="auto"/>
                <w:spacing w:val="-7"/>
                <w:sz w:val="24"/>
                <w:szCs w:val="24"/>
                <w:highlight w:val="none"/>
              </w:rPr>
              <w:t>障措施</w:t>
            </w:r>
            <w:r>
              <w:rPr>
                <w:color w:val="auto"/>
                <w:spacing w:val="-12"/>
                <w:sz w:val="24"/>
                <w:szCs w:val="24"/>
                <w:highlight w:val="none"/>
              </w:rPr>
              <w:t>（</w:t>
            </w:r>
            <w:r>
              <w:rPr>
                <w:rFonts w:hint="eastAsia"/>
                <w:color w:val="auto"/>
                <w:spacing w:val="-12"/>
                <w:sz w:val="24"/>
                <w:szCs w:val="24"/>
                <w:highlight w:val="none"/>
                <w:lang w:val="en-US" w:eastAsia="zh-CN"/>
              </w:rPr>
              <w:t>6</w:t>
            </w:r>
            <w:r>
              <w:rPr>
                <w:color w:val="auto"/>
                <w:spacing w:val="-7"/>
                <w:sz w:val="24"/>
                <w:szCs w:val="24"/>
                <w:highlight w:val="none"/>
              </w:rPr>
              <w:t>分）</w:t>
            </w:r>
          </w:p>
        </w:tc>
        <w:tc>
          <w:tcPr>
            <w:tcW w:w="7165" w:type="dxa"/>
            <w:gridSpan w:val="2"/>
            <w:tcBorders>
              <w:top w:val="single" w:color="auto" w:sz="4" w:space="0"/>
              <w:left w:val="single" w:color="auto" w:sz="4" w:space="0"/>
              <w:right w:val="single" w:color="auto" w:sz="4" w:space="0"/>
            </w:tcBorders>
            <w:vAlign w:val="center"/>
          </w:tcPr>
          <w:p>
            <w:pPr>
              <w:pStyle w:val="83"/>
              <w:spacing w:before="41" w:line="218" w:lineRule="auto"/>
              <w:ind w:left="114"/>
              <w:rPr>
                <w:color w:val="auto"/>
                <w:sz w:val="24"/>
                <w:szCs w:val="24"/>
                <w:highlight w:val="none"/>
              </w:rPr>
            </w:pPr>
            <w:r>
              <w:rPr>
                <w:color w:val="auto"/>
                <w:spacing w:val="-1"/>
                <w:sz w:val="24"/>
                <w:szCs w:val="24"/>
                <w:highlight w:val="none"/>
              </w:rPr>
              <w:t>根据供应商的供货安全保障措施进行评价：</w:t>
            </w:r>
          </w:p>
          <w:p>
            <w:pPr>
              <w:pStyle w:val="83"/>
              <w:spacing w:before="51" w:line="229" w:lineRule="auto"/>
              <w:ind w:left="119" w:right="103"/>
              <w:rPr>
                <w:color w:val="auto"/>
                <w:sz w:val="24"/>
                <w:szCs w:val="24"/>
                <w:highlight w:val="none"/>
              </w:rPr>
            </w:pPr>
            <w:r>
              <w:rPr>
                <w:color w:val="auto"/>
                <w:spacing w:val="-1"/>
                <w:sz w:val="24"/>
                <w:szCs w:val="24"/>
                <w:highlight w:val="none"/>
              </w:rPr>
              <w:t>1.有制定全面的供货安全保障措施，2.对供</w:t>
            </w:r>
            <w:r>
              <w:rPr>
                <w:color w:val="auto"/>
                <w:spacing w:val="-2"/>
                <w:sz w:val="24"/>
                <w:szCs w:val="24"/>
                <w:highlight w:val="none"/>
              </w:rPr>
              <w:t>货过程中的关键节点有</w:t>
            </w:r>
            <w:r>
              <w:rPr>
                <w:color w:val="auto"/>
                <w:spacing w:val="-1"/>
                <w:sz w:val="24"/>
                <w:szCs w:val="24"/>
                <w:highlight w:val="none"/>
              </w:rPr>
              <w:t>具体安全控制措施，3.有相应的人力、物力投入安排，能够确保供</w:t>
            </w:r>
            <w:r>
              <w:rPr>
                <w:color w:val="auto"/>
                <w:spacing w:val="2"/>
                <w:sz w:val="24"/>
                <w:szCs w:val="24"/>
                <w:highlight w:val="none"/>
              </w:rPr>
              <w:t xml:space="preserve"> </w:t>
            </w:r>
            <w:r>
              <w:rPr>
                <w:color w:val="auto"/>
                <w:spacing w:val="-4"/>
                <w:sz w:val="24"/>
                <w:szCs w:val="24"/>
                <w:highlight w:val="none"/>
              </w:rPr>
              <w:t>货安全；</w:t>
            </w:r>
          </w:p>
          <w:p>
            <w:pPr>
              <w:widowControl/>
              <w:snapToGrid w:val="0"/>
              <w:spacing w:line="276" w:lineRule="auto"/>
              <w:jc w:val="left"/>
              <w:rPr>
                <w:rFonts w:ascii="宋体" w:hAnsi="宋体" w:cs="宋体"/>
                <w:color w:val="auto"/>
                <w:sz w:val="24"/>
                <w:highlight w:val="none"/>
              </w:rPr>
            </w:pPr>
            <w:r>
              <w:rPr>
                <w:color w:val="auto"/>
                <w:spacing w:val="-2"/>
                <w:sz w:val="24"/>
                <w:szCs w:val="24"/>
                <w:highlight w:val="none"/>
              </w:rPr>
              <w:t>以上</w:t>
            </w:r>
            <w:r>
              <w:rPr>
                <w:color w:val="auto"/>
                <w:spacing w:val="-53"/>
                <w:sz w:val="24"/>
                <w:szCs w:val="24"/>
                <w:highlight w:val="none"/>
              </w:rPr>
              <w:t xml:space="preserve"> </w:t>
            </w:r>
            <w:r>
              <w:rPr>
                <w:color w:val="auto"/>
                <w:spacing w:val="-2"/>
                <w:sz w:val="24"/>
                <w:szCs w:val="24"/>
                <w:highlight w:val="none"/>
              </w:rPr>
              <w:t>3</w:t>
            </w:r>
            <w:r>
              <w:rPr>
                <w:color w:val="auto"/>
                <w:spacing w:val="-52"/>
                <w:sz w:val="24"/>
                <w:szCs w:val="24"/>
                <w:highlight w:val="none"/>
              </w:rPr>
              <w:t xml:space="preserve"> </w:t>
            </w:r>
            <w:r>
              <w:rPr>
                <w:color w:val="auto"/>
                <w:spacing w:val="-2"/>
                <w:sz w:val="24"/>
                <w:szCs w:val="24"/>
                <w:highlight w:val="none"/>
              </w:rPr>
              <w:t>项</w:t>
            </w:r>
            <w:r>
              <w:rPr>
                <w:color w:val="auto"/>
                <w:spacing w:val="-3"/>
                <w:sz w:val="24"/>
                <w:szCs w:val="24"/>
                <w:highlight w:val="none"/>
              </w:rPr>
              <w:t>内容</w:t>
            </w:r>
            <w:r>
              <w:rPr>
                <w:color w:val="auto"/>
                <w:spacing w:val="-5"/>
                <w:sz w:val="24"/>
                <w:szCs w:val="24"/>
                <w:highlight w:val="none"/>
              </w:rPr>
              <w:t>满足项目需求且能结合采购人实际情况</w:t>
            </w:r>
            <w:r>
              <w:rPr>
                <w:color w:val="auto"/>
                <w:spacing w:val="-7"/>
                <w:sz w:val="24"/>
                <w:szCs w:val="24"/>
                <w:highlight w:val="none"/>
              </w:rPr>
              <w:t>的每</w:t>
            </w:r>
            <w:r>
              <w:rPr>
                <w:rFonts w:hint="eastAsia"/>
                <w:color w:val="auto"/>
                <w:spacing w:val="-7"/>
                <w:sz w:val="24"/>
                <w:szCs w:val="24"/>
                <w:highlight w:val="none"/>
                <w:lang w:val="en-US" w:eastAsia="zh-CN"/>
              </w:rPr>
              <w:t>提供一</w:t>
            </w:r>
            <w:r>
              <w:rPr>
                <w:color w:val="auto"/>
                <w:spacing w:val="-7"/>
                <w:sz w:val="24"/>
                <w:szCs w:val="24"/>
                <w:highlight w:val="none"/>
              </w:rPr>
              <w:t>项得</w:t>
            </w:r>
            <w:r>
              <w:rPr>
                <w:color w:val="auto"/>
                <w:sz w:val="24"/>
                <w:szCs w:val="24"/>
                <w:highlight w:val="none"/>
              </w:rPr>
              <w:t xml:space="preserve"> </w:t>
            </w:r>
            <w:r>
              <w:rPr>
                <w:color w:val="auto"/>
                <w:spacing w:val="-2"/>
                <w:sz w:val="24"/>
                <w:szCs w:val="24"/>
                <w:highlight w:val="none"/>
              </w:rPr>
              <w:t>2</w:t>
            </w:r>
            <w:r>
              <w:rPr>
                <w:color w:val="auto"/>
                <w:spacing w:val="-39"/>
                <w:sz w:val="24"/>
                <w:szCs w:val="24"/>
                <w:highlight w:val="none"/>
              </w:rPr>
              <w:t xml:space="preserve"> </w:t>
            </w:r>
            <w:r>
              <w:rPr>
                <w:color w:val="auto"/>
                <w:spacing w:val="-2"/>
                <w:sz w:val="24"/>
                <w:szCs w:val="24"/>
                <w:highlight w:val="none"/>
              </w:rPr>
              <w:t>分。满分</w:t>
            </w:r>
            <w:r>
              <w:rPr>
                <w:color w:val="auto"/>
                <w:spacing w:val="-49"/>
                <w:sz w:val="24"/>
                <w:szCs w:val="24"/>
                <w:highlight w:val="none"/>
              </w:rPr>
              <w:t xml:space="preserve"> </w:t>
            </w:r>
            <w:r>
              <w:rPr>
                <w:color w:val="auto"/>
                <w:spacing w:val="-2"/>
                <w:sz w:val="24"/>
                <w:szCs w:val="24"/>
                <w:highlight w:val="none"/>
              </w:rPr>
              <w:t>6</w:t>
            </w:r>
            <w:r>
              <w:rPr>
                <w:color w:val="auto"/>
                <w:spacing w:val="-48"/>
                <w:sz w:val="24"/>
                <w:szCs w:val="24"/>
                <w:highlight w:val="none"/>
              </w:rPr>
              <w:t xml:space="preserve"> </w:t>
            </w:r>
            <w:r>
              <w:rPr>
                <w:color w:val="auto"/>
                <w:spacing w:val="-2"/>
                <w:sz w:val="24"/>
                <w:szCs w:val="24"/>
                <w:highlight w:val="none"/>
              </w:rPr>
              <w:t>分。未提供措施行或存在内容明显错误或不符合项目</w:t>
            </w:r>
            <w:r>
              <w:rPr>
                <w:color w:val="auto"/>
                <w:sz w:val="24"/>
                <w:szCs w:val="24"/>
                <w:highlight w:val="none"/>
              </w:rPr>
              <w:t xml:space="preserve"> </w:t>
            </w:r>
            <w:r>
              <w:rPr>
                <w:color w:val="auto"/>
                <w:spacing w:val="-2"/>
                <w:sz w:val="24"/>
                <w:szCs w:val="24"/>
                <w:highlight w:val="none"/>
              </w:rPr>
              <w:t>需求的每项扣</w:t>
            </w:r>
            <w:r>
              <w:rPr>
                <w:color w:val="auto"/>
                <w:spacing w:val="-44"/>
                <w:sz w:val="24"/>
                <w:szCs w:val="24"/>
                <w:highlight w:val="none"/>
              </w:rPr>
              <w:t xml:space="preserve"> </w:t>
            </w:r>
            <w:r>
              <w:rPr>
                <w:color w:val="auto"/>
                <w:spacing w:val="-2"/>
                <w:sz w:val="24"/>
                <w:szCs w:val="24"/>
                <w:highlight w:val="none"/>
              </w:rPr>
              <w:t>2 分，扣完为止。</w:t>
            </w:r>
          </w:p>
        </w:tc>
      </w:tr>
      <w:tr>
        <w:tblPrEx>
          <w:tblCellMar>
            <w:top w:w="0" w:type="dxa"/>
            <w:left w:w="108" w:type="dxa"/>
            <w:bottom w:w="0" w:type="dxa"/>
            <w:right w:w="108" w:type="dxa"/>
          </w:tblCellMar>
        </w:tblPrEx>
        <w:trPr>
          <w:trHeight w:val="469" w:hRule="atLeast"/>
          <w:jc w:val="center"/>
        </w:trPr>
        <w:tc>
          <w:tcPr>
            <w:tcW w:w="1521" w:type="dxa"/>
            <w:vMerge w:val="continue"/>
            <w:tcBorders>
              <w:left w:val="single" w:color="auto" w:sz="4" w:space="0"/>
              <w:right w:val="single" w:color="auto" w:sz="4" w:space="0"/>
            </w:tcBorders>
            <w:vAlign w:val="center"/>
          </w:tcPr>
          <w:p>
            <w:pPr>
              <w:jc w:val="cente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pStyle w:val="83"/>
              <w:spacing w:before="114" w:line="401" w:lineRule="exact"/>
              <w:ind w:left="196"/>
              <w:rPr>
                <w:rFonts w:ascii="宋体" w:hAnsi="宋体" w:cs="宋体"/>
                <w:color w:val="auto"/>
                <w:sz w:val="24"/>
                <w:highlight w:val="none"/>
              </w:rPr>
            </w:pPr>
            <w:r>
              <w:rPr>
                <w:rFonts w:ascii="Times New Roman" w:hAnsi="Times New Roman" w:eastAsia="宋体" w:cs="Times New Roman"/>
                <w:color w:val="auto"/>
                <w:spacing w:val="-2"/>
                <w:kern w:val="2"/>
                <w:sz w:val="24"/>
                <w:szCs w:val="24"/>
                <w:highlight w:val="none"/>
                <w:lang w:val="en-US" w:eastAsia="zh-CN" w:bidi="ar-SA"/>
              </w:rPr>
              <w:t>供货风险防控措施（</w:t>
            </w:r>
            <w:r>
              <w:rPr>
                <w:rFonts w:hint="eastAsia" w:ascii="Times New Roman" w:hAnsi="Times New Roman" w:eastAsia="宋体" w:cs="Times New Roman"/>
                <w:color w:val="auto"/>
                <w:spacing w:val="-2"/>
                <w:kern w:val="2"/>
                <w:sz w:val="24"/>
                <w:szCs w:val="24"/>
                <w:highlight w:val="none"/>
                <w:lang w:val="en-US" w:eastAsia="zh-CN" w:bidi="ar-SA"/>
              </w:rPr>
              <w:t>6</w:t>
            </w:r>
            <w:r>
              <w:rPr>
                <w:rFonts w:ascii="Times New Roman" w:hAnsi="Times New Roman" w:eastAsia="宋体" w:cs="Times New Roman"/>
                <w:color w:val="auto"/>
                <w:spacing w:val="-2"/>
                <w:kern w:val="2"/>
                <w:sz w:val="24"/>
                <w:szCs w:val="24"/>
                <w:highlight w:val="none"/>
                <w:lang w:val="en-US" w:eastAsia="zh-CN" w:bidi="ar-SA"/>
              </w:rPr>
              <w:t>分）</w:t>
            </w:r>
          </w:p>
        </w:tc>
        <w:tc>
          <w:tcPr>
            <w:tcW w:w="7165" w:type="dxa"/>
            <w:gridSpan w:val="2"/>
            <w:tcBorders>
              <w:top w:val="single" w:color="auto" w:sz="4" w:space="0"/>
              <w:left w:val="single" w:color="auto" w:sz="4" w:space="0"/>
              <w:right w:val="single" w:color="auto" w:sz="4" w:space="0"/>
            </w:tcBorders>
            <w:vAlign w:val="center"/>
          </w:tcPr>
          <w:p>
            <w:pPr>
              <w:pStyle w:val="83"/>
              <w:spacing w:before="37" w:line="219" w:lineRule="auto"/>
              <w:ind w:left="114"/>
              <w:rPr>
                <w:color w:val="auto"/>
                <w:sz w:val="24"/>
                <w:szCs w:val="24"/>
                <w:highlight w:val="none"/>
              </w:rPr>
            </w:pPr>
            <w:r>
              <w:rPr>
                <w:color w:val="auto"/>
                <w:spacing w:val="-2"/>
                <w:sz w:val="24"/>
                <w:szCs w:val="24"/>
                <w:highlight w:val="none"/>
              </w:rPr>
              <w:t>供货风险防控措施：</w:t>
            </w:r>
          </w:p>
          <w:p>
            <w:pPr>
              <w:pStyle w:val="83"/>
              <w:spacing w:before="24" w:line="233" w:lineRule="auto"/>
              <w:ind w:left="112" w:right="103" w:firstLine="19"/>
              <w:jc w:val="both"/>
              <w:rPr>
                <w:color w:val="auto"/>
                <w:sz w:val="24"/>
                <w:szCs w:val="24"/>
                <w:highlight w:val="none"/>
              </w:rPr>
            </w:pPr>
            <w:r>
              <w:rPr>
                <w:color w:val="auto"/>
                <w:spacing w:val="-1"/>
                <w:sz w:val="24"/>
                <w:szCs w:val="24"/>
                <w:highlight w:val="none"/>
              </w:rPr>
              <w:t>1.对供货过程中各节点可能出现的风险有事先</w:t>
            </w:r>
            <w:r>
              <w:rPr>
                <w:color w:val="auto"/>
                <w:spacing w:val="-2"/>
                <w:sz w:val="24"/>
                <w:szCs w:val="24"/>
                <w:highlight w:val="none"/>
              </w:rPr>
              <w:t>预估评判，2.并制定</w:t>
            </w:r>
            <w:r>
              <w:rPr>
                <w:color w:val="auto"/>
                <w:sz w:val="24"/>
                <w:szCs w:val="24"/>
                <w:highlight w:val="none"/>
              </w:rPr>
              <w:t xml:space="preserve"> </w:t>
            </w:r>
            <w:r>
              <w:rPr>
                <w:color w:val="auto"/>
                <w:spacing w:val="-1"/>
                <w:sz w:val="24"/>
                <w:szCs w:val="24"/>
                <w:highlight w:val="none"/>
              </w:rPr>
              <w:t>相应的供货风险防控措施，3.有相应的人力、物力投入安排，能够</w:t>
            </w:r>
            <w:r>
              <w:rPr>
                <w:color w:val="auto"/>
                <w:spacing w:val="9"/>
                <w:sz w:val="24"/>
                <w:szCs w:val="24"/>
                <w:highlight w:val="none"/>
              </w:rPr>
              <w:t xml:space="preserve"> </w:t>
            </w:r>
            <w:r>
              <w:rPr>
                <w:color w:val="auto"/>
                <w:spacing w:val="-1"/>
                <w:sz w:val="24"/>
                <w:szCs w:val="24"/>
                <w:highlight w:val="none"/>
              </w:rPr>
              <w:t>避免风险或出现风险能及时有效处理；</w:t>
            </w:r>
          </w:p>
          <w:p>
            <w:pPr>
              <w:widowControl/>
              <w:snapToGrid w:val="0"/>
              <w:spacing w:line="276" w:lineRule="auto"/>
              <w:jc w:val="left"/>
              <w:rPr>
                <w:rFonts w:ascii="宋体" w:hAnsi="宋体" w:cs="宋体"/>
                <w:color w:val="auto"/>
                <w:sz w:val="24"/>
                <w:highlight w:val="none"/>
              </w:rPr>
            </w:pPr>
            <w:r>
              <w:rPr>
                <w:color w:val="auto"/>
                <w:spacing w:val="-2"/>
                <w:sz w:val="24"/>
                <w:szCs w:val="24"/>
                <w:highlight w:val="none"/>
              </w:rPr>
              <w:t>以上</w:t>
            </w:r>
            <w:r>
              <w:rPr>
                <w:color w:val="auto"/>
                <w:spacing w:val="-53"/>
                <w:sz w:val="24"/>
                <w:szCs w:val="24"/>
                <w:highlight w:val="none"/>
              </w:rPr>
              <w:t xml:space="preserve"> </w:t>
            </w:r>
            <w:r>
              <w:rPr>
                <w:color w:val="auto"/>
                <w:spacing w:val="-2"/>
                <w:sz w:val="24"/>
                <w:szCs w:val="24"/>
                <w:highlight w:val="none"/>
              </w:rPr>
              <w:t>3</w:t>
            </w:r>
            <w:r>
              <w:rPr>
                <w:color w:val="auto"/>
                <w:spacing w:val="-52"/>
                <w:sz w:val="24"/>
                <w:szCs w:val="24"/>
                <w:highlight w:val="none"/>
              </w:rPr>
              <w:t xml:space="preserve"> </w:t>
            </w:r>
            <w:r>
              <w:rPr>
                <w:color w:val="auto"/>
                <w:spacing w:val="-2"/>
                <w:sz w:val="24"/>
                <w:szCs w:val="24"/>
                <w:highlight w:val="none"/>
              </w:rPr>
              <w:t>项内容</w:t>
            </w:r>
            <w:r>
              <w:rPr>
                <w:color w:val="auto"/>
                <w:spacing w:val="-5"/>
                <w:sz w:val="24"/>
                <w:szCs w:val="24"/>
                <w:highlight w:val="none"/>
              </w:rPr>
              <w:t>满足项目需求且能结合采购人实际情况</w:t>
            </w:r>
            <w:r>
              <w:rPr>
                <w:color w:val="auto"/>
                <w:spacing w:val="-7"/>
                <w:sz w:val="24"/>
                <w:szCs w:val="24"/>
                <w:highlight w:val="none"/>
              </w:rPr>
              <w:t>的每</w:t>
            </w:r>
            <w:r>
              <w:rPr>
                <w:rFonts w:hint="eastAsia"/>
                <w:color w:val="auto"/>
                <w:spacing w:val="-7"/>
                <w:sz w:val="24"/>
                <w:szCs w:val="24"/>
                <w:highlight w:val="none"/>
                <w:lang w:val="en-US" w:eastAsia="zh-CN"/>
              </w:rPr>
              <w:t>提供一</w:t>
            </w:r>
            <w:r>
              <w:rPr>
                <w:color w:val="auto"/>
                <w:spacing w:val="-7"/>
                <w:sz w:val="24"/>
                <w:szCs w:val="24"/>
                <w:highlight w:val="none"/>
              </w:rPr>
              <w:t>项得</w:t>
            </w:r>
            <w:r>
              <w:rPr>
                <w:color w:val="auto"/>
                <w:sz w:val="24"/>
                <w:szCs w:val="24"/>
                <w:highlight w:val="none"/>
              </w:rPr>
              <w:t xml:space="preserve"> </w:t>
            </w:r>
            <w:r>
              <w:rPr>
                <w:color w:val="auto"/>
                <w:spacing w:val="-2"/>
                <w:sz w:val="24"/>
                <w:szCs w:val="24"/>
                <w:highlight w:val="none"/>
              </w:rPr>
              <w:t>2</w:t>
            </w:r>
            <w:r>
              <w:rPr>
                <w:color w:val="auto"/>
                <w:spacing w:val="-39"/>
                <w:sz w:val="24"/>
                <w:szCs w:val="24"/>
                <w:highlight w:val="none"/>
              </w:rPr>
              <w:t xml:space="preserve"> </w:t>
            </w:r>
            <w:r>
              <w:rPr>
                <w:color w:val="auto"/>
                <w:spacing w:val="-2"/>
                <w:sz w:val="24"/>
                <w:szCs w:val="24"/>
                <w:highlight w:val="none"/>
              </w:rPr>
              <w:t>分。满分</w:t>
            </w:r>
            <w:r>
              <w:rPr>
                <w:color w:val="auto"/>
                <w:spacing w:val="-49"/>
                <w:sz w:val="24"/>
                <w:szCs w:val="24"/>
                <w:highlight w:val="none"/>
              </w:rPr>
              <w:t xml:space="preserve"> </w:t>
            </w:r>
            <w:r>
              <w:rPr>
                <w:color w:val="auto"/>
                <w:spacing w:val="-2"/>
                <w:sz w:val="24"/>
                <w:szCs w:val="24"/>
                <w:highlight w:val="none"/>
              </w:rPr>
              <w:t>6</w:t>
            </w:r>
            <w:r>
              <w:rPr>
                <w:color w:val="auto"/>
                <w:spacing w:val="-48"/>
                <w:sz w:val="24"/>
                <w:szCs w:val="24"/>
                <w:highlight w:val="none"/>
              </w:rPr>
              <w:t xml:space="preserve"> </w:t>
            </w:r>
            <w:r>
              <w:rPr>
                <w:color w:val="auto"/>
                <w:spacing w:val="-2"/>
                <w:sz w:val="24"/>
                <w:szCs w:val="24"/>
                <w:highlight w:val="none"/>
              </w:rPr>
              <w:t>分。未提供措施可行或存在内容明显错误或不符合项目需求的每项扣</w:t>
            </w:r>
            <w:r>
              <w:rPr>
                <w:color w:val="auto"/>
                <w:spacing w:val="-40"/>
                <w:sz w:val="24"/>
                <w:szCs w:val="24"/>
                <w:highlight w:val="none"/>
              </w:rPr>
              <w:t xml:space="preserve"> </w:t>
            </w:r>
            <w:r>
              <w:rPr>
                <w:color w:val="auto"/>
                <w:spacing w:val="-2"/>
                <w:sz w:val="24"/>
                <w:szCs w:val="24"/>
                <w:highlight w:val="none"/>
              </w:rPr>
              <w:t>2 分，扣完为止。</w:t>
            </w:r>
          </w:p>
        </w:tc>
      </w:tr>
      <w:tr>
        <w:tblPrEx>
          <w:tblCellMar>
            <w:top w:w="0" w:type="dxa"/>
            <w:left w:w="108" w:type="dxa"/>
            <w:bottom w:w="0" w:type="dxa"/>
            <w:right w:w="108" w:type="dxa"/>
          </w:tblCellMar>
        </w:tblPrEx>
        <w:trPr>
          <w:trHeight w:val="469" w:hRule="atLeast"/>
          <w:jc w:val="center"/>
        </w:trPr>
        <w:tc>
          <w:tcPr>
            <w:tcW w:w="1521" w:type="dxa"/>
            <w:vMerge w:val="continue"/>
            <w:tcBorders>
              <w:left w:val="single" w:color="auto" w:sz="4" w:space="0"/>
              <w:right w:val="single" w:color="auto" w:sz="4" w:space="0"/>
            </w:tcBorders>
            <w:vAlign w:val="center"/>
          </w:tcPr>
          <w:p>
            <w:pPr>
              <w:jc w:val="cente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color w:val="auto"/>
                <w:spacing w:val="-14"/>
                <w:sz w:val="24"/>
                <w:szCs w:val="24"/>
                <w:highlight w:val="none"/>
              </w:rPr>
              <w:t>车辆审验、保</w:t>
            </w:r>
            <w:r>
              <w:rPr>
                <w:color w:val="auto"/>
                <w:spacing w:val="2"/>
                <w:sz w:val="24"/>
                <w:szCs w:val="24"/>
                <w:highlight w:val="none"/>
              </w:rPr>
              <w:t xml:space="preserve"> </w:t>
            </w:r>
            <w:r>
              <w:rPr>
                <w:color w:val="auto"/>
                <w:spacing w:val="-7"/>
                <w:sz w:val="24"/>
                <w:szCs w:val="24"/>
                <w:highlight w:val="none"/>
              </w:rPr>
              <w:t>险</w:t>
            </w:r>
            <w:r>
              <w:rPr>
                <w:color w:val="auto"/>
                <w:spacing w:val="-12"/>
                <w:sz w:val="24"/>
                <w:szCs w:val="24"/>
                <w:highlight w:val="none"/>
              </w:rPr>
              <w:t>（</w:t>
            </w:r>
            <w:r>
              <w:rPr>
                <w:rFonts w:hint="eastAsia"/>
                <w:color w:val="auto"/>
                <w:spacing w:val="-12"/>
                <w:sz w:val="24"/>
                <w:szCs w:val="24"/>
                <w:highlight w:val="none"/>
                <w:lang w:val="en-US" w:eastAsia="zh-CN"/>
              </w:rPr>
              <w:t>4</w:t>
            </w:r>
            <w:r>
              <w:rPr>
                <w:color w:val="auto"/>
                <w:spacing w:val="-7"/>
                <w:sz w:val="24"/>
                <w:szCs w:val="24"/>
                <w:highlight w:val="none"/>
              </w:rPr>
              <w:t>分）</w:t>
            </w:r>
          </w:p>
        </w:tc>
        <w:tc>
          <w:tcPr>
            <w:tcW w:w="7165" w:type="dxa"/>
            <w:gridSpan w:val="2"/>
            <w:tcBorders>
              <w:top w:val="single" w:color="auto" w:sz="4" w:space="0"/>
              <w:left w:val="single" w:color="auto" w:sz="4" w:space="0"/>
              <w:right w:val="single" w:color="auto" w:sz="4" w:space="0"/>
            </w:tcBorders>
            <w:vAlign w:val="center"/>
          </w:tcPr>
          <w:p>
            <w:pPr>
              <w:pStyle w:val="83"/>
              <w:spacing w:before="156" w:line="219" w:lineRule="auto"/>
              <w:ind w:left="132"/>
              <w:rPr>
                <w:color w:val="auto"/>
                <w:sz w:val="24"/>
                <w:szCs w:val="24"/>
                <w:highlight w:val="none"/>
              </w:rPr>
            </w:pPr>
            <w:r>
              <w:rPr>
                <w:color w:val="auto"/>
                <w:spacing w:val="-4"/>
                <w:sz w:val="24"/>
                <w:szCs w:val="24"/>
                <w:highlight w:val="none"/>
              </w:rPr>
              <w:t>1.</w:t>
            </w:r>
            <w:r>
              <w:rPr>
                <w:color w:val="auto"/>
                <w:spacing w:val="-29"/>
                <w:sz w:val="24"/>
                <w:szCs w:val="24"/>
                <w:highlight w:val="none"/>
              </w:rPr>
              <w:t xml:space="preserve"> </w:t>
            </w:r>
            <w:r>
              <w:rPr>
                <w:color w:val="auto"/>
                <w:spacing w:val="-4"/>
                <w:sz w:val="24"/>
                <w:szCs w:val="24"/>
                <w:highlight w:val="none"/>
              </w:rPr>
              <w:t>车辆正常行驶的审验。</w:t>
            </w:r>
          </w:p>
          <w:p>
            <w:pPr>
              <w:pStyle w:val="83"/>
              <w:spacing w:before="27" w:line="219" w:lineRule="auto"/>
              <w:ind w:left="117"/>
              <w:rPr>
                <w:color w:val="auto"/>
                <w:sz w:val="24"/>
                <w:szCs w:val="24"/>
                <w:highlight w:val="none"/>
              </w:rPr>
            </w:pPr>
            <w:r>
              <w:rPr>
                <w:color w:val="auto"/>
                <w:spacing w:val="-2"/>
                <w:sz w:val="24"/>
                <w:szCs w:val="24"/>
                <w:highlight w:val="none"/>
              </w:rPr>
              <w:t>2.</w:t>
            </w:r>
            <w:r>
              <w:rPr>
                <w:color w:val="auto"/>
                <w:spacing w:val="-32"/>
                <w:sz w:val="24"/>
                <w:szCs w:val="24"/>
                <w:highlight w:val="none"/>
              </w:rPr>
              <w:t xml:space="preserve"> </w:t>
            </w:r>
            <w:r>
              <w:rPr>
                <w:color w:val="auto"/>
                <w:spacing w:val="-2"/>
                <w:sz w:val="24"/>
                <w:szCs w:val="24"/>
                <w:highlight w:val="none"/>
              </w:rPr>
              <w:t>保险等证件手续的办理保障。</w:t>
            </w:r>
          </w:p>
          <w:p>
            <w:pPr>
              <w:pStyle w:val="83"/>
              <w:spacing w:before="25" w:line="229" w:lineRule="auto"/>
              <w:ind w:left="115" w:right="103" w:firstLine="26"/>
              <w:rPr>
                <w:color w:val="auto"/>
                <w:sz w:val="24"/>
                <w:szCs w:val="24"/>
                <w:highlight w:val="none"/>
              </w:rPr>
            </w:pPr>
            <w:r>
              <w:rPr>
                <w:color w:val="auto"/>
                <w:spacing w:val="-5"/>
                <w:sz w:val="24"/>
                <w:szCs w:val="24"/>
                <w:highlight w:val="none"/>
              </w:rPr>
              <w:t>以上</w:t>
            </w:r>
            <w:r>
              <w:rPr>
                <w:color w:val="auto"/>
                <w:spacing w:val="-45"/>
                <w:sz w:val="24"/>
                <w:szCs w:val="24"/>
                <w:highlight w:val="none"/>
              </w:rPr>
              <w:t xml:space="preserve"> </w:t>
            </w:r>
            <w:r>
              <w:rPr>
                <w:color w:val="auto"/>
                <w:spacing w:val="-5"/>
                <w:sz w:val="24"/>
                <w:szCs w:val="24"/>
                <w:highlight w:val="none"/>
              </w:rPr>
              <w:t>2</w:t>
            </w:r>
            <w:r>
              <w:rPr>
                <w:color w:val="auto"/>
                <w:spacing w:val="-47"/>
                <w:sz w:val="24"/>
                <w:szCs w:val="24"/>
                <w:highlight w:val="none"/>
              </w:rPr>
              <w:t xml:space="preserve"> </w:t>
            </w:r>
            <w:r>
              <w:rPr>
                <w:color w:val="auto"/>
                <w:spacing w:val="-5"/>
                <w:sz w:val="24"/>
                <w:szCs w:val="24"/>
                <w:highlight w:val="none"/>
              </w:rPr>
              <w:t>项内容满足项目需求且能结合采购人实际情况的得 4</w:t>
            </w:r>
            <w:r>
              <w:rPr>
                <w:color w:val="auto"/>
                <w:spacing w:val="-48"/>
                <w:sz w:val="24"/>
                <w:szCs w:val="24"/>
                <w:highlight w:val="none"/>
              </w:rPr>
              <w:t xml:space="preserve"> </w:t>
            </w:r>
            <w:r>
              <w:rPr>
                <w:color w:val="auto"/>
                <w:spacing w:val="-5"/>
                <w:sz w:val="24"/>
                <w:szCs w:val="24"/>
                <w:highlight w:val="none"/>
              </w:rPr>
              <w:t>分；未</w:t>
            </w:r>
            <w:r>
              <w:rPr>
                <w:color w:val="auto"/>
                <w:sz w:val="24"/>
                <w:szCs w:val="24"/>
                <w:highlight w:val="none"/>
              </w:rPr>
              <w:t xml:space="preserve"> </w:t>
            </w:r>
            <w:r>
              <w:rPr>
                <w:color w:val="auto"/>
                <w:spacing w:val="-1"/>
                <w:sz w:val="24"/>
                <w:szCs w:val="24"/>
                <w:highlight w:val="none"/>
              </w:rPr>
              <w:t>提供措施或存在内容明显错误或不符合项目需求的每项扣</w:t>
            </w:r>
            <w:r>
              <w:rPr>
                <w:color w:val="auto"/>
                <w:spacing w:val="-43"/>
                <w:sz w:val="24"/>
                <w:szCs w:val="24"/>
                <w:highlight w:val="none"/>
              </w:rPr>
              <w:t xml:space="preserve"> </w:t>
            </w:r>
            <w:r>
              <w:rPr>
                <w:color w:val="auto"/>
                <w:spacing w:val="-1"/>
                <w:sz w:val="24"/>
                <w:szCs w:val="24"/>
                <w:highlight w:val="none"/>
              </w:rPr>
              <w:t>2 分，</w:t>
            </w:r>
          </w:p>
          <w:p>
            <w:pPr>
              <w:widowControl/>
              <w:snapToGrid w:val="0"/>
              <w:spacing w:line="276" w:lineRule="auto"/>
              <w:jc w:val="left"/>
              <w:rPr>
                <w:rFonts w:ascii="宋体" w:hAnsi="宋体" w:cs="宋体"/>
                <w:color w:val="auto"/>
                <w:sz w:val="24"/>
                <w:highlight w:val="none"/>
              </w:rPr>
            </w:pPr>
            <w:r>
              <w:rPr>
                <w:color w:val="auto"/>
                <w:spacing w:val="-3"/>
                <w:sz w:val="24"/>
                <w:szCs w:val="24"/>
                <w:highlight w:val="none"/>
              </w:rPr>
              <w:t>扣完为止。</w:t>
            </w:r>
          </w:p>
        </w:tc>
      </w:tr>
      <w:tr>
        <w:tblPrEx>
          <w:tblCellMar>
            <w:top w:w="0" w:type="dxa"/>
            <w:left w:w="108" w:type="dxa"/>
            <w:bottom w:w="0" w:type="dxa"/>
            <w:right w:w="108" w:type="dxa"/>
          </w:tblCellMar>
        </w:tblPrEx>
        <w:trPr>
          <w:trHeight w:val="469" w:hRule="atLeast"/>
          <w:jc w:val="center"/>
        </w:trPr>
        <w:tc>
          <w:tcPr>
            <w:tcW w:w="1521" w:type="dxa"/>
            <w:vMerge w:val="continue"/>
            <w:tcBorders>
              <w:left w:val="single" w:color="auto" w:sz="4" w:space="0"/>
              <w:right w:val="single" w:color="auto" w:sz="4" w:space="0"/>
            </w:tcBorders>
            <w:vAlign w:val="center"/>
          </w:tcPr>
          <w:p>
            <w:pPr>
              <w:jc w:val="cente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color w:val="auto"/>
                <w:spacing w:val="-1"/>
                <w:sz w:val="24"/>
                <w:szCs w:val="24"/>
                <w:highlight w:val="none"/>
                <w:lang w:val="en-US" w:eastAsia="zh-CN"/>
              </w:rPr>
            </w:pPr>
            <w:r>
              <w:rPr>
                <w:color w:val="auto"/>
                <w:spacing w:val="-1"/>
                <w:sz w:val="24"/>
                <w:szCs w:val="24"/>
                <w:highlight w:val="none"/>
                <w:lang w:val="en-US" w:eastAsia="zh-CN"/>
              </w:rPr>
              <w:t>拟投入车辆的配备方案</w:t>
            </w:r>
          </w:p>
          <w:p>
            <w:pPr>
              <w:widowControl/>
              <w:snapToGrid w:val="0"/>
              <w:spacing w:line="276" w:lineRule="auto"/>
              <w:jc w:val="left"/>
              <w:rPr>
                <w:color w:val="auto"/>
                <w:spacing w:val="-1"/>
                <w:sz w:val="24"/>
                <w:szCs w:val="24"/>
                <w:highlight w:val="none"/>
              </w:rPr>
            </w:pPr>
            <w:r>
              <w:rPr>
                <w:color w:val="auto"/>
                <w:spacing w:val="-1"/>
                <w:sz w:val="24"/>
                <w:szCs w:val="24"/>
                <w:highlight w:val="none"/>
                <w:lang w:val="en-US" w:eastAsia="zh-CN"/>
              </w:rPr>
              <w:t>（4 分）</w:t>
            </w:r>
          </w:p>
        </w:tc>
        <w:tc>
          <w:tcPr>
            <w:tcW w:w="7165" w:type="dxa"/>
            <w:gridSpan w:val="2"/>
            <w:tcBorders>
              <w:top w:val="single" w:color="auto" w:sz="4" w:space="0"/>
              <w:left w:val="single" w:color="auto" w:sz="4" w:space="0"/>
              <w:right w:val="single" w:color="auto" w:sz="4" w:space="0"/>
            </w:tcBorders>
            <w:vAlign w:val="center"/>
          </w:tcPr>
          <w:p>
            <w:pPr>
              <w:widowControl/>
              <w:snapToGrid w:val="0"/>
              <w:spacing w:line="276" w:lineRule="auto"/>
              <w:jc w:val="left"/>
              <w:rPr>
                <w:color w:val="auto"/>
                <w:spacing w:val="-1"/>
                <w:sz w:val="24"/>
                <w:szCs w:val="24"/>
                <w:highlight w:val="none"/>
              </w:rPr>
            </w:pPr>
            <w:r>
              <w:rPr>
                <w:color w:val="auto"/>
                <w:spacing w:val="-1"/>
                <w:sz w:val="24"/>
                <w:szCs w:val="24"/>
                <w:highlight w:val="none"/>
              </w:rPr>
              <w:t>拟投入车辆的配备方案</w:t>
            </w:r>
          </w:p>
          <w:p>
            <w:pPr>
              <w:widowControl/>
              <w:snapToGrid w:val="0"/>
              <w:spacing w:line="276" w:lineRule="auto"/>
              <w:jc w:val="left"/>
              <w:rPr>
                <w:color w:val="auto"/>
                <w:spacing w:val="-1"/>
                <w:sz w:val="24"/>
                <w:szCs w:val="24"/>
                <w:highlight w:val="none"/>
              </w:rPr>
            </w:pPr>
            <w:r>
              <w:rPr>
                <w:color w:val="auto"/>
                <w:spacing w:val="-1"/>
                <w:sz w:val="24"/>
                <w:szCs w:val="24"/>
                <w:highlight w:val="none"/>
              </w:rPr>
              <w:t>1.拟投入车辆车龄（全新）、车内设施完善、车内整洁规整的得 4 分；</w:t>
            </w:r>
          </w:p>
          <w:p>
            <w:pPr>
              <w:widowControl/>
              <w:snapToGrid w:val="0"/>
              <w:spacing w:line="276" w:lineRule="auto"/>
              <w:jc w:val="left"/>
              <w:rPr>
                <w:color w:val="auto"/>
                <w:spacing w:val="-1"/>
                <w:sz w:val="24"/>
                <w:szCs w:val="24"/>
                <w:highlight w:val="none"/>
              </w:rPr>
            </w:pPr>
            <w:r>
              <w:rPr>
                <w:color w:val="auto"/>
                <w:spacing w:val="-1"/>
                <w:sz w:val="24"/>
                <w:szCs w:val="24"/>
                <w:highlight w:val="none"/>
              </w:rPr>
              <w:t>2.拟投入车辆车龄（非全新）、车内设施完善、车内整洁规整的得 1 分；</w:t>
            </w:r>
          </w:p>
          <w:p>
            <w:pPr>
              <w:widowControl/>
              <w:snapToGrid w:val="0"/>
              <w:spacing w:line="276" w:lineRule="auto"/>
              <w:jc w:val="left"/>
              <w:rPr>
                <w:color w:val="auto"/>
                <w:spacing w:val="-1"/>
                <w:sz w:val="24"/>
                <w:szCs w:val="24"/>
                <w:highlight w:val="none"/>
              </w:rPr>
            </w:pPr>
            <w:r>
              <w:rPr>
                <w:color w:val="auto"/>
                <w:spacing w:val="-1"/>
                <w:sz w:val="24"/>
                <w:szCs w:val="24"/>
                <w:highlight w:val="none"/>
              </w:rPr>
              <w:t>3.缺项不得分。</w:t>
            </w:r>
          </w:p>
        </w:tc>
      </w:tr>
      <w:tr>
        <w:tblPrEx>
          <w:tblCellMar>
            <w:top w:w="0" w:type="dxa"/>
            <w:left w:w="108" w:type="dxa"/>
            <w:bottom w:w="0" w:type="dxa"/>
            <w:right w:w="108" w:type="dxa"/>
          </w:tblCellMar>
        </w:tblPrEx>
        <w:trPr>
          <w:trHeight w:val="1097" w:hRule="atLeast"/>
          <w:jc w:val="center"/>
        </w:trPr>
        <w:tc>
          <w:tcPr>
            <w:tcW w:w="1521" w:type="dxa"/>
            <w:vMerge w:val="continue"/>
            <w:tcBorders>
              <w:left w:val="single" w:color="auto" w:sz="4" w:space="0"/>
              <w:right w:val="single" w:color="auto" w:sz="4" w:space="0"/>
            </w:tcBorders>
            <w:vAlign w:val="center"/>
          </w:tcPr>
          <w:p>
            <w:pPr>
              <w:jc w:val="cente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color w:val="auto"/>
                <w:spacing w:val="-1"/>
                <w:sz w:val="24"/>
                <w:szCs w:val="24"/>
                <w:highlight w:val="none"/>
              </w:rPr>
            </w:pPr>
            <w:r>
              <w:rPr>
                <w:color w:val="auto"/>
                <w:spacing w:val="-1"/>
                <w:sz w:val="24"/>
                <w:szCs w:val="24"/>
                <w:highlight w:val="none"/>
              </w:rPr>
              <w:t>日常车辆保养维护</w:t>
            </w:r>
          </w:p>
          <w:p>
            <w:pPr>
              <w:widowControl/>
              <w:snapToGrid w:val="0"/>
              <w:spacing w:line="276" w:lineRule="auto"/>
              <w:jc w:val="left"/>
              <w:rPr>
                <w:color w:val="auto"/>
                <w:spacing w:val="-1"/>
                <w:sz w:val="24"/>
                <w:szCs w:val="24"/>
                <w:highlight w:val="none"/>
              </w:rPr>
            </w:pPr>
            <w:r>
              <w:rPr>
                <w:color w:val="auto"/>
                <w:spacing w:val="-1"/>
                <w:sz w:val="24"/>
                <w:szCs w:val="24"/>
                <w:highlight w:val="none"/>
              </w:rPr>
              <w:t>（</w:t>
            </w:r>
            <w:r>
              <w:rPr>
                <w:rFonts w:hint="eastAsia"/>
                <w:color w:val="auto"/>
                <w:spacing w:val="-1"/>
                <w:sz w:val="24"/>
                <w:szCs w:val="24"/>
                <w:highlight w:val="none"/>
                <w:lang w:val="en-US" w:eastAsia="zh-CN"/>
              </w:rPr>
              <w:t>5</w:t>
            </w:r>
            <w:r>
              <w:rPr>
                <w:color w:val="auto"/>
                <w:spacing w:val="-1"/>
                <w:sz w:val="24"/>
                <w:szCs w:val="24"/>
                <w:highlight w:val="none"/>
              </w:rPr>
              <w:t>分）</w:t>
            </w:r>
          </w:p>
        </w:tc>
        <w:tc>
          <w:tcPr>
            <w:tcW w:w="7165" w:type="dxa"/>
            <w:gridSpan w:val="2"/>
            <w:tcBorders>
              <w:top w:val="single" w:color="auto" w:sz="4" w:space="0"/>
              <w:left w:val="single" w:color="auto" w:sz="4" w:space="0"/>
              <w:right w:val="single" w:color="auto" w:sz="4" w:space="0"/>
            </w:tcBorders>
            <w:vAlign w:val="center"/>
          </w:tcPr>
          <w:p>
            <w:pPr>
              <w:widowControl/>
              <w:snapToGrid w:val="0"/>
              <w:spacing w:line="276" w:lineRule="auto"/>
              <w:jc w:val="left"/>
              <w:rPr>
                <w:color w:val="auto"/>
                <w:spacing w:val="-1"/>
                <w:sz w:val="24"/>
                <w:szCs w:val="24"/>
                <w:highlight w:val="none"/>
              </w:rPr>
            </w:pPr>
            <w:r>
              <w:rPr>
                <w:color w:val="auto"/>
                <w:spacing w:val="-1"/>
                <w:sz w:val="24"/>
                <w:szCs w:val="24"/>
                <w:highlight w:val="none"/>
              </w:rPr>
              <w:t>供应商提供日常车辆维护、保养方案详细满足项目需求且能结合采 购人实际情况的得</w:t>
            </w:r>
            <w:r>
              <w:rPr>
                <w:rFonts w:hint="eastAsia"/>
                <w:color w:val="auto"/>
                <w:spacing w:val="-1"/>
                <w:sz w:val="24"/>
                <w:szCs w:val="24"/>
                <w:highlight w:val="none"/>
                <w:lang w:val="en-US" w:eastAsia="zh-CN"/>
              </w:rPr>
              <w:t>5</w:t>
            </w:r>
            <w:r>
              <w:rPr>
                <w:color w:val="auto"/>
                <w:spacing w:val="-1"/>
                <w:sz w:val="24"/>
                <w:szCs w:val="24"/>
                <w:highlight w:val="none"/>
              </w:rPr>
              <w:t>分；未提供措施或措施存在内容明显错误或不 符合项目需求的不得分。</w:t>
            </w:r>
          </w:p>
        </w:tc>
      </w:tr>
      <w:tr>
        <w:tblPrEx>
          <w:tblCellMar>
            <w:top w:w="0" w:type="dxa"/>
            <w:left w:w="108" w:type="dxa"/>
            <w:bottom w:w="0" w:type="dxa"/>
            <w:right w:w="108" w:type="dxa"/>
          </w:tblCellMar>
        </w:tblPrEx>
        <w:trPr>
          <w:trHeight w:val="469" w:hRule="atLeast"/>
          <w:jc w:val="center"/>
        </w:trPr>
        <w:tc>
          <w:tcPr>
            <w:tcW w:w="1521" w:type="dxa"/>
            <w:vMerge w:val="continue"/>
            <w:tcBorders>
              <w:left w:val="single" w:color="auto" w:sz="4" w:space="0"/>
              <w:right w:val="single" w:color="auto" w:sz="4" w:space="0"/>
            </w:tcBorders>
            <w:vAlign w:val="center"/>
          </w:tcPr>
          <w:p>
            <w:pPr>
              <w:jc w:val="cente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color w:val="auto"/>
                <w:spacing w:val="-1"/>
                <w:sz w:val="24"/>
                <w:szCs w:val="24"/>
                <w:highlight w:val="none"/>
              </w:rPr>
            </w:pPr>
            <w:r>
              <w:rPr>
                <w:color w:val="auto"/>
                <w:spacing w:val="-1"/>
                <w:sz w:val="24"/>
                <w:szCs w:val="24"/>
                <w:highlight w:val="none"/>
              </w:rPr>
              <w:t>事故车辆处理方式及时 间 （2分）</w:t>
            </w:r>
          </w:p>
        </w:tc>
        <w:tc>
          <w:tcPr>
            <w:tcW w:w="7165" w:type="dxa"/>
            <w:gridSpan w:val="2"/>
            <w:tcBorders>
              <w:top w:val="single" w:color="auto" w:sz="4" w:space="0"/>
              <w:left w:val="single" w:color="auto" w:sz="4" w:space="0"/>
              <w:right w:val="single" w:color="auto" w:sz="4" w:space="0"/>
            </w:tcBorders>
            <w:vAlign w:val="center"/>
          </w:tcPr>
          <w:p>
            <w:pPr>
              <w:widowControl/>
              <w:snapToGrid w:val="0"/>
              <w:spacing w:line="276" w:lineRule="auto"/>
              <w:jc w:val="left"/>
              <w:rPr>
                <w:color w:val="auto"/>
                <w:spacing w:val="-1"/>
                <w:sz w:val="24"/>
                <w:szCs w:val="24"/>
                <w:highlight w:val="none"/>
              </w:rPr>
            </w:pPr>
            <w:r>
              <w:rPr>
                <w:color w:val="auto"/>
                <w:spacing w:val="-1"/>
                <w:sz w:val="24"/>
                <w:szCs w:val="24"/>
                <w:highlight w:val="none"/>
              </w:rPr>
              <w:t>根据各磋商供应商提供事故车辆故障处理方式及时间情况打分：</w:t>
            </w:r>
          </w:p>
          <w:p>
            <w:pPr>
              <w:widowControl/>
              <w:snapToGrid w:val="0"/>
              <w:spacing w:line="276" w:lineRule="auto"/>
              <w:jc w:val="left"/>
              <w:rPr>
                <w:color w:val="auto"/>
                <w:spacing w:val="-1"/>
                <w:sz w:val="24"/>
                <w:szCs w:val="24"/>
                <w:highlight w:val="none"/>
              </w:rPr>
            </w:pPr>
            <w:r>
              <w:rPr>
                <w:color w:val="auto"/>
                <w:spacing w:val="-1"/>
                <w:sz w:val="24"/>
                <w:szCs w:val="24"/>
                <w:highlight w:val="none"/>
              </w:rPr>
              <w:t>事故车辆故障处理方式及时得当能最大化的减少车上人员的损失  的得 2 分； 未提供措施或存在内容明显错误或不符合项目需求的 不得分。</w:t>
            </w:r>
          </w:p>
        </w:tc>
      </w:tr>
      <w:tr>
        <w:tblPrEx>
          <w:tblCellMar>
            <w:top w:w="0" w:type="dxa"/>
            <w:left w:w="108" w:type="dxa"/>
            <w:bottom w:w="0" w:type="dxa"/>
            <w:right w:w="108" w:type="dxa"/>
          </w:tblCellMar>
        </w:tblPrEx>
        <w:trPr>
          <w:trHeight w:val="469" w:hRule="atLeast"/>
          <w:jc w:val="center"/>
        </w:trPr>
        <w:tc>
          <w:tcPr>
            <w:tcW w:w="1521" w:type="dxa"/>
            <w:vMerge w:val="continue"/>
            <w:tcBorders>
              <w:left w:val="single" w:color="auto" w:sz="4" w:space="0"/>
              <w:right w:val="single" w:color="auto" w:sz="4" w:space="0"/>
            </w:tcBorders>
            <w:vAlign w:val="center"/>
          </w:tcPr>
          <w:p>
            <w:pPr>
              <w:jc w:val="cente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color w:val="auto"/>
                <w:spacing w:val="-1"/>
                <w:sz w:val="24"/>
                <w:szCs w:val="24"/>
                <w:highlight w:val="none"/>
              </w:rPr>
            </w:pPr>
            <w:r>
              <w:rPr>
                <w:color w:val="auto"/>
                <w:spacing w:val="-1"/>
                <w:sz w:val="24"/>
                <w:szCs w:val="24"/>
                <w:highlight w:val="none"/>
              </w:rPr>
              <w:t>应急预案 （2分）</w:t>
            </w:r>
          </w:p>
        </w:tc>
        <w:tc>
          <w:tcPr>
            <w:tcW w:w="7165" w:type="dxa"/>
            <w:gridSpan w:val="2"/>
            <w:tcBorders>
              <w:top w:val="single" w:color="auto" w:sz="4" w:space="0"/>
              <w:left w:val="single" w:color="auto" w:sz="4" w:space="0"/>
              <w:right w:val="single" w:color="auto" w:sz="4" w:space="0"/>
            </w:tcBorders>
            <w:vAlign w:val="center"/>
          </w:tcPr>
          <w:p>
            <w:pPr>
              <w:widowControl/>
              <w:snapToGrid w:val="0"/>
              <w:spacing w:line="276" w:lineRule="auto"/>
              <w:jc w:val="left"/>
              <w:rPr>
                <w:color w:val="auto"/>
                <w:spacing w:val="-1"/>
                <w:sz w:val="24"/>
                <w:szCs w:val="24"/>
                <w:highlight w:val="none"/>
              </w:rPr>
            </w:pPr>
            <w:r>
              <w:rPr>
                <w:color w:val="auto"/>
                <w:spacing w:val="-1"/>
                <w:sz w:val="24"/>
                <w:szCs w:val="24"/>
                <w:highlight w:val="none"/>
              </w:rPr>
              <w:t>突发应急管理机制：突发应急管理人员责任；车辆故障的顶班、换 班、救援等应急措施方案完善的得 2 分，未提供措施或存在内容明 显错误或不符合项目需求的不得分。</w:t>
            </w:r>
          </w:p>
        </w:tc>
      </w:tr>
      <w:tr>
        <w:tblPrEx>
          <w:tblCellMar>
            <w:top w:w="0" w:type="dxa"/>
            <w:left w:w="108" w:type="dxa"/>
            <w:bottom w:w="0" w:type="dxa"/>
            <w:right w:w="108" w:type="dxa"/>
          </w:tblCellMar>
        </w:tblPrEx>
        <w:trPr>
          <w:trHeight w:val="1430" w:hRule="atLeast"/>
          <w:jc w:val="center"/>
        </w:trPr>
        <w:tc>
          <w:tcPr>
            <w:tcW w:w="1521" w:type="dxa"/>
            <w:vMerge w:val="restart"/>
            <w:tcBorders>
              <w:top w:val="single" w:color="auto" w:sz="4" w:space="0"/>
              <w:left w:val="single" w:color="auto" w:sz="4" w:space="0"/>
              <w:right w:val="single" w:color="auto" w:sz="4" w:space="0"/>
            </w:tcBorders>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综合</w:t>
            </w:r>
          </w:p>
          <w:p>
            <w:pPr>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p>
            <w:pP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auto"/>
                <w:sz w:val="24"/>
                <w:highlight w:val="none"/>
              </w:rPr>
            </w:pPr>
            <w:r>
              <w:rPr>
                <w:rFonts w:ascii="宋体" w:hAnsi="宋体" w:cs="宋体"/>
                <w:color w:val="auto"/>
                <w:sz w:val="24"/>
                <w:highlight w:val="none"/>
              </w:rPr>
              <w:t>企业业绩（</w:t>
            </w:r>
            <w:r>
              <w:rPr>
                <w:rFonts w:hint="eastAsia" w:ascii="宋体" w:hAnsi="宋体" w:cs="宋体"/>
                <w:color w:val="auto"/>
                <w:sz w:val="24"/>
                <w:highlight w:val="none"/>
                <w:lang w:val="en-US" w:eastAsia="zh-CN"/>
              </w:rPr>
              <w:t>6</w:t>
            </w:r>
            <w:r>
              <w:rPr>
                <w:rFonts w:ascii="宋体" w:hAnsi="宋体" w:cs="宋体"/>
                <w:color w:val="auto"/>
                <w:sz w:val="24"/>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color w:val="auto"/>
                <w:spacing w:val="-2"/>
                <w:sz w:val="24"/>
                <w:szCs w:val="24"/>
                <w:highlight w:val="none"/>
                <w:lang w:val="en-US" w:eastAsia="zh-CN"/>
              </w:rPr>
            </w:pPr>
            <w:r>
              <w:rPr>
                <w:rFonts w:hint="eastAsia"/>
                <w:color w:val="auto"/>
                <w:spacing w:val="-2"/>
                <w:sz w:val="24"/>
                <w:szCs w:val="24"/>
                <w:highlight w:val="none"/>
                <w:lang w:val="en-US" w:eastAsia="zh-CN"/>
              </w:rPr>
              <w:t>1、</w:t>
            </w:r>
            <w:r>
              <w:rPr>
                <w:color w:val="auto"/>
                <w:spacing w:val="-2"/>
                <w:sz w:val="24"/>
                <w:szCs w:val="24"/>
                <w:highlight w:val="none"/>
                <w:lang w:val="en-US" w:eastAsia="zh-CN"/>
              </w:rPr>
              <w:t>供应商提供一份 2021 年 1 月 1 日以来的</w:t>
            </w:r>
            <w:r>
              <w:rPr>
                <w:rFonts w:hint="eastAsia"/>
                <w:color w:val="auto"/>
                <w:spacing w:val="-2"/>
                <w:sz w:val="24"/>
                <w:szCs w:val="24"/>
                <w:highlight w:val="none"/>
                <w:lang w:val="en-US" w:eastAsia="zh-CN"/>
              </w:rPr>
              <w:t>车辆</w:t>
            </w:r>
            <w:r>
              <w:rPr>
                <w:color w:val="auto"/>
                <w:spacing w:val="-2"/>
                <w:sz w:val="24"/>
                <w:szCs w:val="24"/>
                <w:highlight w:val="none"/>
                <w:lang w:val="en-US" w:eastAsia="zh-CN"/>
              </w:rPr>
              <w:t xml:space="preserve">租赁项目业绩的 得 </w:t>
            </w:r>
            <w:r>
              <w:rPr>
                <w:rFonts w:hint="eastAsia"/>
                <w:color w:val="auto"/>
                <w:spacing w:val="-2"/>
                <w:sz w:val="24"/>
                <w:szCs w:val="24"/>
                <w:highlight w:val="none"/>
                <w:lang w:val="en-US" w:eastAsia="zh-CN"/>
              </w:rPr>
              <w:t>6</w:t>
            </w:r>
            <w:r>
              <w:rPr>
                <w:color w:val="auto"/>
                <w:spacing w:val="-2"/>
                <w:sz w:val="24"/>
                <w:szCs w:val="24"/>
                <w:highlight w:val="none"/>
                <w:lang w:val="en-US" w:eastAsia="zh-CN"/>
              </w:rPr>
              <w:t>分</w:t>
            </w:r>
            <w:r>
              <w:rPr>
                <w:rFonts w:hint="eastAsia"/>
                <w:color w:val="auto"/>
                <w:spacing w:val="-2"/>
                <w:sz w:val="24"/>
                <w:szCs w:val="24"/>
                <w:highlight w:val="none"/>
                <w:lang w:val="en-US" w:eastAsia="zh-CN"/>
              </w:rPr>
              <w:t>，满分6分</w:t>
            </w:r>
            <w:r>
              <w:rPr>
                <w:color w:val="auto"/>
                <w:spacing w:val="-2"/>
                <w:sz w:val="24"/>
                <w:szCs w:val="24"/>
                <w:highlight w:val="none"/>
                <w:lang w:val="en-US" w:eastAsia="zh-CN"/>
              </w:rPr>
              <w:t>。</w:t>
            </w:r>
          </w:p>
          <w:p>
            <w:pPr>
              <w:widowControl/>
              <w:snapToGrid w:val="0"/>
              <w:spacing w:line="276" w:lineRule="auto"/>
              <w:jc w:val="left"/>
              <w:rPr>
                <w:color w:val="auto"/>
                <w:spacing w:val="-2"/>
                <w:sz w:val="24"/>
                <w:szCs w:val="24"/>
                <w:highlight w:val="none"/>
                <w:lang w:val="en-US" w:eastAsia="zh-CN"/>
              </w:rPr>
            </w:pPr>
            <w:r>
              <w:rPr>
                <w:color w:val="auto"/>
                <w:spacing w:val="-2"/>
                <w:sz w:val="24"/>
                <w:szCs w:val="24"/>
                <w:highlight w:val="none"/>
                <w:lang w:val="en-US" w:eastAsia="zh-CN"/>
              </w:rPr>
              <w:t>注：1、投标文件附中标（成交）通知书</w:t>
            </w:r>
            <w:r>
              <w:rPr>
                <w:rFonts w:hint="eastAsia"/>
                <w:color w:val="auto"/>
                <w:spacing w:val="-2"/>
                <w:sz w:val="24"/>
                <w:szCs w:val="24"/>
                <w:highlight w:val="none"/>
                <w:lang w:val="en-US" w:eastAsia="zh-CN"/>
              </w:rPr>
              <w:t>或</w:t>
            </w:r>
            <w:r>
              <w:rPr>
                <w:color w:val="auto"/>
                <w:spacing w:val="-2"/>
                <w:sz w:val="24"/>
                <w:szCs w:val="24"/>
                <w:highlight w:val="none"/>
                <w:lang w:val="en-US" w:eastAsia="zh-CN"/>
              </w:rPr>
              <w:t>合同扫描件</w:t>
            </w:r>
            <w:r>
              <w:rPr>
                <w:rFonts w:hint="eastAsia"/>
                <w:color w:val="auto"/>
                <w:spacing w:val="-2"/>
                <w:sz w:val="24"/>
                <w:szCs w:val="24"/>
                <w:highlight w:val="none"/>
                <w:lang w:val="en-US" w:eastAsia="zh-CN"/>
              </w:rPr>
              <w:t>，</w:t>
            </w:r>
            <w:r>
              <w:rPr>
                <w:color w:val="auto"/>
                <w:spacing w:val="-2"/>
                <w:sz w:val="24"/>
                <w:szCs w:val="24"/>
                <w:highlight w:val="none"/>
                <w:lang w:val="en-US" w:eastAsia="zh-CN"/>
              </w:rPr>
              <w:t>否则不得分。</w:t>
            </w:r>
          </w:p>
          <w:p>
            <w:pPr>
              <w:widowControl/>
              <w:snapToGrid w:val="0"/>
              <w:spacing w:line="276" w:lineRule="auto"/>
              <w:jc w:val="left"/>
              <w:rPr>
                <w:rFonts w:ascii="宋体" w:hAnsi="宋体" w:cs="宋体"/>
                <w:color w:val="auto"/>
                <w:sz w:val="24"/>
                <w:highlight w:val="none"/>
              </w:rPr>
            </w:pPr>
            <w:r>
              <w:rPr>
                <w:color w:val="auto"/>
                <w:spacing w:val="-2"/>
                <w:sz w:val="24"/>
                <w:szCs w:val="24"/>
                <w:highlight w:val="none"/>
                <w:lang w:val="en-US" w:eastAsia="zh-CN"/>
              </w:rPr>
              <w:t>2、时间以合同签订日期或业主（使用）单位出具的业绩证明时间为准。</w:t>
            </w:r>
          </w:p>
        </w:tc>
      </w:tr>
      <w:tr>
        <w:tblPrEx>
          <w:tblCellMar>
            <w:top w:w="0" w:type="dxa"/>
            <w:left w:w="108" w:type="dxa"/>
            <w:bottom w:w="0" w:type="dxa"/>
            <w:right w:w="108" w:type="dxa"/>
          </w:tblCellMar>
        </w:tblPrEx>
        <w:trPr>
          <w:trHeight w:val="90" w:hRule="atLeast"/>
          <w:jc w:val="center"/>
        </w:trPr>
        <w:tc>
          <w:tcPr>
            <w:tcW w:w="1521" w:type="dxa"/>
            <w:vMerge w:val="continue"/>
            <w:tcBorders>
              <w:left w:val="single" w:color="auto" w:sz="4" w:space="0"/>
              <w:right w:val="single" w:color="auto" w:sz="4" w:space="0"/>
            </w:tcBorders>
            <w:vAlign w:val="center"/>
          </w:tcPr>
          <w:p>
            <w:pPr>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宋体" w:cs="Times New Roman"/>
                <w:color w:val="auto"/>
                <w:spacing w:val="-2"/>
                <w:kern w:val="2"/>
                <w:sz w:val="24"/>
                <w:szCs w:val="24"/>
                <w:highlight w:val="none"/>
                <w:lang w:val="en-US" w:eastAsia="zh-CN" w:bidi="ar-SA"/>
              </w:rPr>
            </w:pPr>
            <w:r>
              <w:rPr>
                <w:rFonts w:ascii="Times New Roman" w:hAnsi="Times New Roman" w:eastAsia="宋体" w:cs="Times New Roman"/>
                <w:color w:val="auto"/>
                <w:spacing w:val="-2"/>
                <w:kern w:val="2"/>
                <w:sz w:val="24"/>
                <w:szCs w:val="24"/>
                <w:highlight w:val="none"/>
                <w:lang w:val="en-US" w:eastAsia="zh-CN" w:bidi="ar-SA"/>
              </w:rPr>
              <w:t>服务机构（</w:t>
            </w:r>
            <w:r>
              <w:rPr>
                <w:rFonts w:hint="eastAsia" w:ascii="Times New Roman" w:hAnsi="Times New Roman" w:eastAsia="宋体" w:cs="Times New Roman"/>
                <w:color w:val="auto"/>
                <w:spacing w:val="-2"/>
                <w:kern w:val="2"/>
                <w:sz w:val="24"/>
                <w:szCs w:val="24"/>
                <w:highlight w:val="none"/>
                <w:lang w:val="en-US" w:eastAsia="zh-CN" w:bidi="ar-SA"/>
              </w:rPr>
              <w:t>4</w:t>
            </w:r>
            <w:r>
              <w:rPr>
                <w:rFonts w:ascii="Times New Roman" w:hAnsi="Times New Roman" w:eastAsia="宋体" w:cs="Times New Roman"/>
                <w:color w:val="auto"/>
                <w:spacing w:val="-2"/>
                <w:kern w:val="2"/>
                <w:sz w:val="24"/>
                <w:szCs w:val="24"/>
                <w:highlight w:val="none"/>
                <w:lang w:val="en-US" w:eastAsia="zh-CN" w:bidi="ar-SA"/>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pPr>
              <w:pStyle w:val="83"/>
              <w:spacing w:before="124" w:line="219" w:lineRule="auto"/>
              <w:ind w:left="114"/>
              <w:rPr>
                <w:color w:val="auto"/>
                <w:sz w:val="24"/>
                <w:szCs w:val="24"/>
                <w:highlight w:val="none"/>
              </w:rPr>
            </w:pPr>
            <w:r>
              <w:rPr>
                <w:color w:val="auto"/>
                <w:spacing w:val="-1"/>
                <w:sz w:val="24"/>
                <w:szCs w:val="24"/>
                <w:highlight w:val="none"/>
              </w:rPr>
              <w:t>供应商在项目所在地有固定的租赁服务机构</w:t>
            </w:r>
            <w:r>
              <w:rPr>
                <w:rFonts w:hint="eastAsia"/>
                <w:color w:val="auto"/>
                <w:spacing w:val="-1"/>
                <w:sz w:val="24"/>
                <w:szCs w:val="24"/>
                <w:highlight w:val="none"/>
                <w:lang w:val="en-US" w:eastAsia="zh-CN"/>
              </w:rPr>
              <w:t>的或中标后承诺在项目所在地设立</w:t>
            </w:r>
            <w:r>
              <w:rPr>
                <w:color w:val="auto"/>
                <w:spacing w:val="-1"/>
                <w:sz w:val="24"/>
                <w:szCs w:val="24"/>
                <w:highlight w:val="none"/>
              </w:rPr>
              <w:t>固定的租赁服务机构</w:t>
            </w:r>
            <w:r>
              <w:rPr>
                <w:rFonts w:hint="eastAsia"/>
                <w:color w:val="auto"/>
                <w:spacing w:val="-1"/>
                <w:sz w:val="24"/>
                <w:szCs w:val="24"/>
                <w:highlight w:val="none"/>
                <w:lang w:val="en-US" w:eastAsia="zh-CN"/>
              </w:rPr>
              <w:t>的</w:t>
            </w:r>
            <w:r>
              <w:rPr>
                <w:color w:val="auto"/>
                <w:spacing w:val="-1"/>
                <w:sz w:val="24"/>
                <w:szCs w:val="24"/>
                <w:highlight w:val="none"/>
              </w:rPr>
              <w:t>得</w:t>
            </w:r>
            <w:r>
              <w:rPr>
                <w:rFonts w:hint="eastAsia"/>
                <w:color w:val="auto"/>
                <w:spacing w:val="-1"/>
                <w:sz w:val="24"/>
                <w:szCs w:val="24"/>
                <w:highlight w:val="none"/>
                <w:lang w:val="en-US" w:eastAsia="zh-CN"/>
              </w:rPr>
              <w:t>4</w:t>
            </w:r>
            <w:r>
              <w:rPr>
                <w:color w:val="auto"/>
                <w:spacing w:val="-1"/>
                <w:sz w:val="24"/>
                <w:szCs w:val="24"/>
                <w:highlight w:val="none"/>
              </w:rPr>
              <w:t>分。</w:t>
            </w:r>
          </w:p>
          <w:p>
            <w:pPr>
              <w:spacing w:line="360" w:lineRule="auto"/>
              <w:rPr>
                <w:color w:val="auto"/>
                <w:spacing w:val="-1"/>
                <w:sz w:val="24"/>
                <w:szCs w:val="24"/>
                <w:highlight w:val="none"/>
              </w:rPr>
            </w:pPr>
            <w:r>
              <w:rPr>
                <w:color w:val="auto"/>
                <w:spacing w:val="-1"/>
                <w:sz w:val="24"/>
                <w:szCs w:val="24"/>
                <w:highlight w:val="none"/>
              </w:rPr>
              <w:t>（响应性文件中提供本地分支机构的营业执照原件的扫</w:t>
            </w:r>
            <w:r>
              <w:rPr>
                <w:color w:val="auto"/>
                <w:spacing w:val="-2"/>
                <w:sz w:val="24"/>
                <w:szCs w:val="24"/>
                <w:highlight w:val="none"/>
              </w:rPr>
              <w:t>描件，不提</w:t>
            </w:r>
            <w:r>
              <w:rPr>
                <w:color w:val="auto"/>
                <w:sz w:val="24"/>
                <w:szCs w:val="24"/>
                <w:highlight w:val="none"/>
              </w:rPr>
              <w:t xml:space="preserve"> </w:t>
            </w:r>
            <w:r>
              <w:rPr>
                <w:color w:val="auto"/>
                <w:spacing w:val="-2"/>
                <w:sz w:val="24"/>
                <w:szCs w:val="24"/>
                <w:highlight w:val="none"/>
              </w:rPr>
              <w:t>供不得分）</w:t>
            </w:r>
          </w:p>
        </w:tc>
      </w:tr>
      <w:tr>
        <w:tblPrEx>
          <w:tblCellMar>
            <w:top w:w="0" w:type="dxa"/>
            <w:left w:w="108" w:type="dxa"/>
            <w:bottom w:w="0" w:type="dxa"/>
            <w:right w:w="108" w:type="dxa"/>
          </w:tblCellMar>
        </w:tblPrEx>
        <w:trPr>
          <w:trHeight w:val="1430" w:hRule="atLeast"/>
          <w:jc w:val="center"/>
        </w:trPr>
        <w:tc>
          <w:tcPr>
            <w:tcW w:w="1521" w:type="dxa"/>
            <w:vMerge w:val="continue"/>
            <w:tcBorders>
              <w:left w:val="single" w:color="auto" w:sz="4" w:space="0"/>
              <w:right w:val="single" w:color="auto" w:sz="4" w:space="0"/>
            </w:tcBorders>
            <w:vAlign w:val="center"/>
          </w:tcPr>
          <w:p>
            <w:pPr>
              <w:jc w:val="left"/>
              <w:rPr>
                <w:rFonts w:ascii="宋体" w:hAnsi="宋体" w:cs="宋体"/>
                <w:color w:val="auto"/>
                <w:sz w:val="24"/>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pPr>
              <w:pStyle w:val="83"/>
              <w:spacing w:before="113" w:line="401" w:lineRule="exact"/>
              <w:ind w:left="112"/>
              <w:rPr>
                <w:rFonts w:hint="eastAsia" w:ascii="Times New Roman" w:hAnsi="Times New Roman" w:eastAsia="宋体" w:cs="Times New Roman"/>
                <w:color w:val="auto"/>
                <w:spacing w:val="-2"/>
                <w:kern w:val="2"/>
                <w:sz w:val="24"/>
                <w:szCs w:val="24"/>
                <w:highlight w:val="none"/>
                <w:lang w:val="en-US" w:eastAsia="zh-CN" w:bidi="ar-SA"/>
              </w:rPr>
            </w:pPr>
            <w:r>
              <w:rPr>
                <w:rFonts w:ascii="Times New Roman" w:hAnsi="Times New Roman" w:eastAsia="宋体" w:cs="Times New Roman"/>
                <w:color w:val="auto"/>
                <w:spacing w:val="-2"/>
                <w:kern w:val="2"/>
                <w:sz w:val="24"/>
                <w:szCs w:val="24"/>
                <w:highlight w:val="none"/>
                <w:lang w:val="en-US" w:eastAsia="zh-CN" w:bidi="ar-SA"/>
              </w:rPr>
              <w:t>售后服务承诺（13分）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pPr>
              <w:pStyle w:val="83"/>
              <w:spacing w:before="114" w:line="219" w:lineRule="auto"/>
              <w:ind w:left="119"/>
              <w:jc w:val="left"/>
              <w:rPr>
                <w:color w:val="auto"/>
                <w:sz w:val="24"/>
                <w:szCs w:val="24"/>
                <w:highlight w:val="none"/>
              </w:rPr>
            </w:pPr>
            <w:r>
              <w:rPr>
                <w:color w:val="auto"/>
                <w:spacing w:val="-1"/>
                <w:sz w:val="24"/>
                <w:szCs w:val="24"/>
                <w:highlight w:val="none"/>
              </w:rPr>
              <w:t>具体的售后服务承诺包括但不限于：</w:t>
            </w:r>
          </w:p>
          <w:p>
            <w:pPr>
              <w:pStyle w:val="83"/>
              <w:spacing w:before="116" w:line="219" w:lineRule="auto"/>
              <w:ind w:left="132"/>
              <w:jc w:val="left"/>
              <w:rPr>
                <w:color w:val="auto"/>
                <w:sz w:val="24"/>
                <w:szCs w:val="24"/>
                <w:highlight w:val="none"/>
              </w:rPr>
            </w:pPr>
            <w:r>
              <w:rPr>
                <w:color w:val="auto"/>
                <w:spacing w:val="-5"/>
                <w:sz w:val="24"/>
                <w:szCs w:val="24"/>
                <w:highlight w:val="none"/>
              </w:rPr>
              <w:t>1.</w:t>
            </w:r>
            <w:r>
              <w:rPr>
                <w:color w:val="auto"/>
                <w:spacing w:val="-32"/>
                <w:sz w:val="24"/>
                <w:szCs w:val="24"/>
                <w:highlight w:val="none"/>
              </w:rPr>
              <w:t xml:space="preserve"> </w:t>
            </w:r>
            <w:r>
              <w:rPr>
                <w:color w:val="auto"/>
                <w:spacing w:val="-5"/>
                <w:sz w:val="24"/>
                <w:szCs w:val="24"/>
                <w:highlight w:val="none"/>
              </w:rPr>
              <w:t>售后服务方案、</w:t>
            </w:r>
          </w:p>
          <w:p>
            <w:pPr>
              <w:pStyle w:val="83"/>
              <w:spacing w:before="113" w:line="398" w:lineRule="exact"/>
              <w:ind w:left="117"/>
              <w:jc w:val="left"/>
              <w:rPr>
                <w:color w:val="auto"/>
                <w:sz w:val="24"/>
                <w:szCs w:val="24"/>
                <w:highlight w:val="none"/>
              </w:rPr>
            </w:pPr>
            <w:r>
              <w:rPr>
                <w:color w:val="auto"/>
                <w:spacing w:val="-2"/>
                <w:position w:val="11"/>
                <w:sz w:val="24"/>
                <w:szCs w:val="24"/>
                <w:highlight w:val="none"/>
              </w:rPr>
              <w:t>2.问题解决响应时间、</w:t>
            </w:r>
          </w:p>
          <w:p>
            <w:pPr>
              <w:pStyle w:val="83"/>
              <w:spacing w:line="220" w:lineRule="auto"/>
              <w:ind w:left="119"/>
              <w:jc w:val="left"/>
              <w:rPr>
                <w:color w:val="auto"/>
                <w:sz w:val="24"/>
                <w:szCs w:val="24"/>
                <w:highlight w:val="none"/>
              </w:rPr>
            </w:pPr>
            <w:r>
              <w:rPr>
                <w:color w:val="auto"/>
                <w:spacing w:val="-3"/>
                <w:sz w:val="24"/>
                <w:szCs w:val="24"/>
                <w:highlight w:val="none"/>
              </w:rPr>
              <w:t>3.维护时间、</w:t>
            </w:r>
          </w:p>
          <w:p>
            <w:pPr>
              <w:pStyle w:val="83"/>
              <w:spacing w:before="112" w:line="219" w:lineRule="auto"/>
              <w:ind w:left="113"/>
              <w:jc w:val="left"/>
              <w:rPr>
                <w:color w:val="auto"/>
                <w:sz w:val="24"/>
                <w:szCs w:val="24"/>
                <w:highlight w:val="none"/>
              </w:rPr>
            </w:pPr>
            <w:r>
              <w:rPr>
                <w:color w:val="auto"/>
                <w:spacing w:val="-1"/>
                <w:sz w:val="24"/>
                <w:szCs w:val="24"/>
                <w:highlight w:val="none"/>
              </w:rPr>
              <w:t>4.定期巡检计划、</w:t>
            </w:r>
          </w:p>
          <w:p>
            <w:pPr>
              <w:pStyle w:val="83"/>
              <w:spacing w:before="116" w:line="219" w:lineRule="auto"/>
              <w:ind w:left="119"/>
              <w:jc w:val="left"/>
              <w:rPr>
                <w:color w:val="auto"/>
                <w:sz w:val="24"/>
                <w:szCs w:val="24"/>
                <w:highlight w:val="none"/>
              </w:rPr>
            </w:pPr>
            <w:r>
              <w:rPr>
                <w:color w:val="auto"/>
                <w:spacing w:val="-3"/>
                <w:sz w:val="24"/>
                <w:szCs w:val="24"/>
                <w:highlight w:val="none"/>
              </w:rPr>
              <w:t>5.培训的时间、地点、</w:t>
            </w:r>
            <w:r>
              <w:rPr>
                <w:color w:val="auto"/>
                <w:spacing w:val="-58"/>
                <w:sz w:val="24"/>
                <w:szCs w:val="24"/>
                <w:highlight w:val="none"/>
              </w:rPr>
              <w:t xml:space="preserve"> </w:t>
            </w:r>
            <w:r>
              <w:rPr>
                <w:color w:val="auto"/>
                <w:spacing w:val="-3"/>
                <w:sz w:val="24"/>
                <w:szCs w:val="24"/>
                <w:highlight w:val="none"/>
              </w:rPr>
              <w:t>目标、方式、内容、对象和措施；</w:t>
            </w:r>
          </w:p>
          <w:p>
            <w:pPr>
              <w:pStyle w:val="83"/>
              <w:spacing w:before="112" w:line="263" w:lineRule="auto"/>
              <w:ind w:left="114" w:right="216" w:firstLine="27"/>
              <w:jc w:val="left"/>
              <w:rPr>
                <w:color w:val="auto"/>
                <w:sz w:val="24"/>
                <w:szCs w:val="24"/>
                <w:highlight w:val="none"/>
              </w:rPr>
            </w:pPr>
            <w:r>
              <w:rPr>
                <w:color w:val="auto"/>
                <w:spacing w:val="-2"/>
                <w:sz w:val="24"/>
                <w:szCs w:val="24"/>
                <w:highlight w:val="none"/>
              </w:rPr>
              <w:t>以上 5 项内容表达具体且能结合采购人实际情况的得 10</w:t>
            </w:r>
            <w:r>
              <w:rPr>
                <w:color w:val="auto"/>
                <w:spacing w:val="24"/>
                <w:sz w:val="24"/>
                <w:szCs w:val="24"/>
                <w:highlight w:val="none"/>
              </w:rPr>
              <w:t xml:space="preserve"> </w:t>
            </w:r>
            <w:r>
              <w:rPr>
                <w:color w:val="auto"/>
                <w:spacing w:val="-2"/>
                <w:sz w:val="24"/>
                <w:szCs w:val="24"/>
                <w:highlight w:val="none"/>
              </w:rPr>
              <w:t>分，每</w:t>
            </w:r>
            <w:r>
              <w:rPr>
                <w:color w:val="auto"/>
                <w:spacing w:val="-1"/>
                <w:sz w:val="24"/>
                <w:szCs w:val="24"/>
                <w:highlight w:val="none"/>
              </w:rPr>
              <w:t>缺一项或每有一项</w:t>
            </w:r>
            <w:r>
              <w:rPr>
                <w:rFonts w:hint="eastAsia"/>
                <w:color w:val="auto"/>
                <w:spacing w:val="-1"/>
                <w:sz w:val="24"/>
                <w:szCs w:val="24"/>
                <w:highlight w:val="none"/>
                <w:lang w:val="en-US" w:eastAsia="zh-CN"/>
              </w:rPr>
              <w:t>不</w:t>
            </w:r>
            <w:r>
              <w:rPr>
                <w:color w:val="auto"/>
                <w:spacing w:val="-1"/>
                <w:sz w:val="24"/>
                <w:szCs w:val="24"/>
                <w:highlight w:val="none"/>
              </w:rPr>
              <w:t>符合采购人要求的扣2分，扣完为止。</w:t>
            </w:r>
          </w:p>
          <w:p>
            <w:pPr>
              <w:pStyle w:val="83"/>
              <w:spacing w:before="114" w:line="401" w:lineRule="exact"/>
              <w:ind w:left="128"/>
              <w:jc w:val="left"/>
              <w:rPr>
                <w:color w:val="auto"/>
                <w:sz w:val="24"/>
                <w:szCs w:val="24"/>
                <w:highlight w:val="none"/>
              </w:rPr>
            </w:pPr>
            <w:r>
              <w:rPr>
                <w:color w:val="auto"/>
                <w:spacing w:val="-1"/>
                <w:position w:val="11"/>
                <w:sz w:val="24"/>
                <w:szCs w:val="24"/>
                <w:highlight w:val="none"/>
              </w:rPr>
              <w:t>除上述 5 项外每增加一项内容表达具体强且能结合采购人实际情</w:t>
            </w:r>
          </w:p>
          <w:p>
            <w:pPr>
              <w:spacing w:line="360" w:lineRule="auto"/>
              <w:jc w:val="left"/>
              <w:rPr>
                <w:rFonts w:hint="eastAsia" w:ascii="宋体" w:hAnsi="宋体" w:cs="宋体"/>
                <w:color w:val="auto"/>
                <w:sz w:val="24"/>
                <w:highlight w:val="none"/>
              </w:rPr>
            </w:pPr>
            <w:r>
              <w:rPr>
                <w:color w:val="auto"/>
                <w:spacing w:val="-1"/>
                <w:sz w:val="24"/>
                <w:szCs w:val="24"/>
                <w:highlight w:val="none"/>
              </w:rPr>
              <w:t>况的加1 分，最高加3分。注：此项最高得 13</w:t>
            </w:r>
            <w:r>
              <w:rPr>
                <w:color w:val="auto"/>
                <w:spacing w:val="12"/>
                <w:sz w:val="24"/>
                <w:szCs w:val="24"/>
                <w:highlight w:val="none"/>
              </w:rPr>
              <w:t xml:space="preserve"> </w:t>
            </w:r>
            <w:r>
              <w:rPr>
                <w:color w:val="auto"/>
                <w:spacing w:val="-1"/>
                <w:sz w:val="24"/>
                <w:szCs w:val="24"/>
                <w:highlight w:val="none"/>
              </w:rPr>
              <w:t>分。</w:t>
            </w:r>
          </w:p>
        </w:tc>
      </w:tr>
      <w:tr>
        <w:tblPrEx>
          <w:tblCellMar>
            <w:top w:w="0" w:type="dxa"/>
            <w:left w:w="108" w:type="dxa"/>
            <w:bottom w:w="0" w:type="dxa"/>
            <w:right w:w="108" w:type="dxa"/>
          </w:tblCellMar>
        </w:tblPrEx>
        <w:trPr>
          <w:trHeight w:val="1430" w:hRule="atLeast"/>
          <w:jc w:val="center"/>
        </w:trPr>
        <w:tc>
          <w:tcPr>
            <w:tcW w:w="1521" w:type="dxa"/>
            <w:vMerge w:val="continue"/>
            <w:tcBorders>
              <w:left w:val="single" w:color="auto" w:sz="4" w:space="0"/>
              <w:right w:val="single" w:color="auto" w:sz="4" w:space="0"/>
            </w:tcBorders>
            <w:vAlign w:val="center"/>
          </w:tcPr>
          <w:p>
            <w:pPr>
              <w:jc w:val="left"/>
              <w:rPr>
                <w:rFonts w:ascii="宋体" w:hAnsi="宋体" w:cs="宋体"/>
                <w:color w:val="auto"/>
                <w:sz w:val="24"/>
                <w:highlight w:val="none"/>
              </w:rPr>
            </w:pPr>
          </w:p>
        </w:tc>
        <w:tc>
          <w:tcPr>
            <w:tcW w:w="1336" w:type="dxa"/>
            <w:tcBorders>
              <w:top w:val="single" w:color="auto" w:sz="4" w:space="0"/>
              <w:left w:val="single" w:color="auto" w:sz="4" w:space="0"/>
              <w:right w:val="single" w:color="auto" w:sz="4" w:space="0"/>
            </w:tcBorders>
            <w:vAlign w:val="center"/>
          </w:tcPr>
          <w:p>
            <w:pPr>
              <w:widowControl/>
              <w:jc w:val="left"/>
              <w:rPr>
                <w:color w:val="auto"/>
                <w:spacing w:val="-2"/>
                <w:sz w:val="24"/>
                <w:szCs w:val="24"/>
                <w:highlight w:val="none"/>
              </w:rPr>
            </w:pPr>
            <w:r>
              <w:rPr>
                <w:color w:val="auto"/>
                <w:spacing w:val="-3"/>
                <w:sz w:val="24"/>
                <w:szCs w:val="24"/>
                <w:highlight w:val="none"/>
              </w:rPr>
              <w:t>维修方案（7</w:t>
            </w:r>
            <w:r>
              <w:rPr>
                <w:color w:val="auto"/>
                <w:spacing w:val="3"/>
                <w:sz w:val="24"/>
                <w:szCs w:val="24"/>
                <w:highlight w:val="none"/>
              </w:rPr>
              <w:t xml:space="preserve"> </w:t>
            </w:r>
            <w:r>
              <w:rPr>
                <w:color w:val="auto"/>
                <w:spacing w:val="-7"/>
                <w:sz w:val="24"/>
                <w:szCs w:val="24"/>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pPr>
              <w:pStyle w:val="83"/>
              <w:spacing w:before="117" w:line="398" w:lineRule="exact"/>
              <w:ind w:left="119"/>
              <w:jc w:val="left"/>
              <w:rPr>
                <w:color w:val="auto"/>
                <w:sz w:val="24"/>
                <w:szCs w:val="24"/>
                <w:highlight w:val="none"/>
              </w:rPr>
            </w:pPr>
            <w:r>
              <w:rPr>
                <w:color w:val="auto"/>
                <w:spacing w:val="-2"/>
                <w:position w:val="11"/>
                <w:sz w:val="24"/>
                <w:szCs w:val="24"/>
                <w:highlight w:val="none"/>
              </w:rPr>
              <w:t>具体的维修方案包括但不限于：</w:t>
            </w:r>
          </w:p>
          <w:p>
            <w:pPr>
              <w:pStyle w:val="83"/>
              <w:spacing w:line="219" w:lineRule="auto"/>
              <w:ind w:left="132"/>
              <w:jc w:val="left"/>
              <w:rPr>
                <w:color w:val="auto"/>
                <w:sz w:val="24"/>
                <w:szCs w:val="24"/>
                <w:highlight w:val="none"/>
              </w:rPr>
            </w:pPr>
            <w:r>
              <w:rPr>
                <w:color w:val="auto"/>
                <w:spacing w:val="-4"/>
                <w:sz w:val="24"/>
                <w:szCs w:val="24"/>
                <w:highlight w:val="none"/>
              </w:rPr>
              <w:t>1.</w:t>
            </w:r>
            <w:r>
              <w:rPr>
                <w:color w:val="auto"/>
                <w:spacing w:val="-29"/>
                <w:sz w:val="24"/>
                <w:szCs w:val="24"/>
                <w:highlight w:val="none"/>
              </w:rPr>
              <w:t xml:space="preserve"> </w:t>
            </w:r>
            <w:r>
              <w:rPr>
                <w:color w:val="auto"/>
                <w:spacing w:val="-4"/>
                <w:sz w:val="24"/>
                <w:szCs w:val="24"/>
                <w:highlight w:val="none"/>
              </w:rPr>
              <w:t>有故障问题解决方案；</w:t>
            </w:r>
          </w:p>
          <w:p>
            <w:pPr>
              <w:pStyle w:val="83"/>
              <w:spacing w:before="115" w:line="399" w:lineRule="exact"/>
              <w:ind w:left="117"/>
              <w:jc w:val="left"/>
              <w:rPr>
                <w:color w:val="auto"/>
                <w:sz w:val="24"/>
                <w:szCs w:val="24"/>
                <w:highlight w:val="none"/>
              </w:rPr>
            </w:pPr>
            <w:r>
              <w:rPr>
                <w:color w:val="auto"/>
                <w:spacing w:val="-1"/>
                <w:position w:val="11"/>
                <w:sz w:val="24"/>
                <w:szCs w:val="24"/>
                <w:highlight w:val="none"/>
              </w:rPr>
              <w:t>2.故障处理时限响应及时并明确时限；</w:t>
            </w:r>
          </w:p>
          <w:p>
            <w:pPr>
              <w:pStyle w:val="83"/>
              <w:spacing w:line="219" w:lineRule="auto"/>
              <w:ind w:left="119"/>
              <w:jc w:val="left"/>
              <w:rPr>
                <w:color w:val="auto"/>
                <w:sz w:val="24"/>
                <w:szCs w:val="24"/>
                <w:highlight w:val="none"/>
              </w:rPr>
            </w:pPr>
            <w:r>
              <w:rPr>
                <w:color w:val="auto"/>
                <w:spacing w:val="-2"/>
                <w:sz w:val="24"/>
                <w:szCs w:val="24"/>
                <w:highlight w:val="none"/>
              </w:rPr>
              <w:t>3.现场服务到位时间；</w:t>
            </w:r>
          </w:p>
          <w:p>
            <w:pPr>
              <w:pStyle w:val="83"/>
              <w:spacing w:before="113" w:line="219" w:lineRule="auto"/>
              <w:ind w:left="113"/>
              <w:jc w:val="left"/>
              <w:rPr>
                <w:color w:val="auto"/>
                <w:sz w:val="24"/>
                <w:szCs w:val="24"/>
                <w:highlight w:val="none"/>
              </w:rPr>
            </w:pPr>
            <w:r>
              <w:rPr>
                <w:color w:val="auto"/>
                <w:spacing w:val="-1"/>
                <w:sz w:val="24"/>
                <w:szCs w:val="24"/>
                <w:highlight w:val="none"/>
              </w:rPr>
              <w:t>4.完整的服务体系流程；</w:t>
            </w:r>
          </w:p>
          <w:p>
            <w:pPr>
              <w:spacing w:line="360" w:lineRule="auto"/>
              <w:jc w:val="left"/>
              <w:rPr>
                <w:color w:val="auto"/>
                <w:spacing w:val="-1"/>
                <w:sz w:val="24"/>
                <w:szCs w:val="24"/>
                <w:highlight w:val="none"/>
              </w:rPr>
            </w:pPr>
            <w:r>
              <w:rPr>
                <w:color w:val="auto"/>
                <w:spacing w:val="-2"/>
                <w:sz w:val="24"/>
                <w:szCs w:val="24"/>
                <w:highlight w:val="none"/>
              </w:rPr>
              <w:t>以上 4 项内容表达具体强且能结合采购人实际情况的得 4 分，每</w:t>
            </w:r>
            <w:r>
              <w:rPr>
                <w:color w:val="auto"/>
                <w:spacing w:val="14"/>
                <w:sz w:val="24"/>
                <w:szCs w:val="24"/>
                <w:highlight w:val="none"/>
              </w:rPr>
              <w:t xml:space="preserve"> </w:t>
            </w:r>
            <w:r>
              <w:rPr>
                <w:color w:val="auto"/>
                <w:spacing w:val="-5"/>
                <w:sz w:val="24"/>
                <w:szCs w:val="24"/>
                <w:highlight w:val="none"/>
              </w:rPr>
              <w:t>缺一项或每有一项不符合采购人要求的扣1分，扣完为止。除上述 4</w:t>
            </w:r>
            <w:r>
              <w:rPr>
                <w:color w:val="auto"/>
                <w:spacing w:val="12"/>
                <w:sz w:val="24"/>
                <w:szCs w:val="24"/>
                <w:highlight w:val="none"/>
              </w:rPr>
              <w:t xml:space="preserve"> </w:t>
            </w:r>
            <w:r>
              <w:rPr>
                <w:color w:val="auto"/>
                <w:spacing w:val="-1"/>
                <w:sz w:val="24"/>
                <w:szCs w:val="24"/>
                <w:highlight w:val="none"/>
              </w:rPr>
              <w:t>项外每增加一项服务内容能结合采购人实际情况的加1 分，最高加</w:t>
            </w:r>
            <w:r>
              <w:rPr>
                <w:color w:val="auto"/>
                <w:spacing w:val="7"/>
                <w:sz w:val="24"/>
                <w:szCs w:val="24"/>
                <w:highlight w:val="none"/>
              </w:rPr>
              <w:t xml:space="preserve"> </w:t>
            </w:r>
            <w:r>
              <w:rPr>
                <w:color w:val="auto"/>
                <w:spacing w:val="-2"/>
                <w:sz w:val="24"/>
                <w:szCs w:val="24"/>
                <w:highlight w:val="none"/>
              </w:rPr>
              <w:t>3分。注：此项最高得 7</w:t>
            </w:r>
            <w:r>
              <w:rPr>
                <w:color w:val="auto"/>
                <w:spacing w:val="17"/>
                <w:sz w:val="24"/>
                <w:szCs w:val="24"/>
                <w:highlight w:val="none"/>
              </w:rPr>
              <w:t xml:space="preserve"> </w:t>
            </w:r>
            <w:r>
              <w:rPr>
                <w:color w:val="auto"/>
                <w:spacing w:val="-2"/>
                <w:sz w:val="24"/>
                <w:szCs w:val="24"/>
                <w:highlight w:val="none"/>
              </w:rPr>
              <w:t>分。</w:t>
            </w:r>
          </w:p>
        </w:tc>
      </w:tr>
    </w:tbl>
    <w:p>
      <w:pPr>
        <w:pStyle w:val="26"/>
        <w:ind w:firstLine="480"/>
        <w:jc w:val="left"/>
        <w:rPr>
          <w:rFonts w:ascii="宋体" w:hAnsi="宋体" w:eastAsia="宋体" w:cs="宋体"/>
          <w:color w:val="auto"/>
          <w:sz w:val="24"/>
          <w:highlight w:val="none"/>
        </w:rPr>
      </w:pPr>
    </w:p>
    <w:p>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pPr>
        <w:pStyle w:val="35"/>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ascii="宋体" w:hAnsi="宋体" w:cs="宋体"/>
          <w:color w:val="auto"/>
          <w:sz w:val="24"/>
          <w:highlight w:val="none"/>
        </w:rPr>
        <w:sectPr>
          <w:headerReference r:id="rId3" w:type="default"/>
          <w:footerReference r:id="rId4" w:type="default"/>
          <w:pgSz w:w="11907" w:h="16840"/>
          <w:pgMar w:top="1478" w:right="1079" w:bottom="1985" w:left="1588" w:header="851" w:footer="992" w:gutter="0"/>
          <w:pgNumType w:fmt="decimal"/>
          <w:cols w:space="720" w:num="1"/>
          <w:docGrid w:type="lines" w:linePitch="312" w:charSpace="0"/>
        </w:sectPr>
      </w:pPr>
    </w:p>
    <w:p>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pPr>
        <w:spacing w:line="480" w:lineRule="auto"/>
        <w:ind w:left="420"/>
        <w:rPr>
          <w:rStyle w:val="67"/>
          <w:rFonts w:ascii="宋体" w:hAnsi="宋体" w:cs="宋体"/>
          <w:color w:val="auto"/>
          <w:sz w:val="24"/>
          <w:highlight w:val="none"/>
          <w:lang w:val="zh-CN"/>
        </w:rPr>
      </w:pPr>
      <w:r>
        <w:rPr>
          <w:rStyle w:val="67"/>
          <w:rFonts w:hint="eastAsia" w:ascii="宋体" w:hAnsi="宋体" w:cs="宋体"/>
          <w:color w:val="auto"/>
          <w:sz w:val="24"/>
          <w:highlight w:val="none"/>
        </w:rPr>
        <w:t>1、</w:t>
      </w:r>
      <w:r>
        <w:rPr>
          <w:rStyle w:val="67"/>
          <w:rFonts w:hint="eastAsia" w:ascii="宋体" w:hAnsi="宋体" w:cs="宋体"/>
          <w:color w:val="auto"/>
          <w:sz w:val="24"/>
          <w:highlight w:val="none"/>
          <w:lang w:val="zh-CN"/>
        </w:rPr>
        <w:t>本项目采购内容：</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3449"/>
        <w:gridCol w:w="2632"/>
        <w:gridCol w:w="1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2" w:hRule="atLeast"/>
        </w:trPr>
        <w:tc>
          <w:tcPr>
            <w:tcW w:w="1249" w:type="dxa"/>
            <w:noWrap w:val="0"/>
            <w:vAlign w:val="top"/>
          </w:tcPr>
          <w:p>
            <w:pPr>
              <w:spacing w:line="480" w:lineRule="auto"/>
              <w:ind w:left="420"/>
              <w:rPr>
                <w:rStyle w:val="67"/>
                <w:rFonts w:hint="eastAsia"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序号</w:t>
            </w:r>
          </w:p>
        </w:tc>
        <w:tc>
          <w:tcPr>
            <w:tcW w:w="3449" w:type="dxa"/>
            <w:noWrap w:val="0"/>
            <w:vAlign w:val="top"/>
          </w:tcPr>
          <w:p>
            <w:pPr>
              <w:spacing w:line="480" w:lineRule="auto"/>
              <w:ind w:left="420"/>
              <w:rPr>
                <w:rStyle w:val="67"/>
                <w:rFonts w:hint="eastAsia"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名称</w:t>
            </w:r>
          </w:p>
        </w:tc>
        <w:tc>
          <w:tcPr>
            <w:tcW w:w="2632" w:type="dxa"/>
            <w:noWrap w:val="0"/>
            <w:vAlign w:val="top"/>
          </w:tcPr>
          <w:p>
            <w:pPr>
              <w:spacing w:line="480" w:lineRule="auto"/>
              <w:ind w:left="420"/>
              <w:rPr>
                <w:rStyle w:val="67"/>
                <w:rFonts w:hint="eastAsia"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数量（辆/个）</w:t>
            </w:r>
          </w:p>
        </w:tc>
        <w:tc>
          <w:tcPr>
            <w:tcW w:w="1448" w:type="dxa"/>
            <w:noWrap w:val="0"/>
            <w:vAlign w:val="top"/>
          </w:tcPr>
          <w:p>
            <w:pPr>
              <w:spacing w:line="480" w:lineRule="auto"/>
              <w:ind w:left="420"/>
              <w:rPr>
                <w:rStyle w:val="67"/>
                <w:rFonts w:hint="eastAsia"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249" w:type="dxa"/>
            <w:noWrap w:val="0"/>
            <w:vAlign w:val="top"/>
          </w:tcPr>
          <w:p>
            <w:pPr>
              <w:spacing w:line="480" w:lineRule="auto"/>
              <w:ind w:left="420"/>
              <w:rPr>
                <w:rStyle w:val="67"/>
                <w:rFonts w:hint="default"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1</w:t>
            </w:r>
          </w:p>
        </w:tc>
        <w:tc>
          <w:tcPr>
            <w:tcW w:w="3449" w:type="dxa"/>
            <w:noWrap w:val="0"/>
            <w:vAlign w:val="top"/>
          </w:tcPr>
          <w:p>
            <w:pPr>
              <w:spacing w:line="480" w:lineRule="auto"/>
              <w:ind w:left="420"/>
              <w:rPr>
                <w:rStyle w:val="67"/>
                <w:rFonts w:hint="eastAsia"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租赁18m3大型勾臂车</w:t>
            </w:r>
          </w:p>
        </w:tc>
        <w:tc>
          <w:tcPr>
            <w:tcW w:w="2632" w:type="dxa"/>
            <w:noWrap w:val="0"/>
            <w:vAlign w:val="top"/>
          </w:tcPr>
          <w:p>
            <w:pPr>
              <w:spacing w:line="480" w:lineRule="auto"/>
              <w:ind w:left="420"/>
              <w:rPr>
                <w:rStyle w:val="67"/>
                <w:rFonts w:hint="default"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5辆</w:t>
            </w:r>
          </w:p>
        </w:tc>
        <w:tc>
          <w:tcPr>
            <w:tcW w:w="1448" w:type="dxa"/>
            <w:noWrap w:val="0"/>
            <w:vAlign w:val="top"/>
          </w:tcPr>
          <w:p>
            <w:pPr>
              <w:spacing w:line="480" w:lineRule="auto"/>
              <w:ind w:left="420"/>
              <w:rPr>
                <w:rStyle w:val="67"/>
                <w:rFonts w:hint="eastAsia" w:ascii="宋体" w:hAnsi="宋体" w:cs="宋体"/>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249" w:type="dxa"/>
            <w:noWrap w:val="0"/>
            <w:vAlign w:val="top"/>
          </w:tcPr>
          <w:p>
            <w:pPr>
              <w:spacing w:line="480" w:lineRule="auto"/>
              <w:ind w:left="420"/>
              <w:rPr>
                <w:rStyle w:val="67"/>
                <w:rFonts w:hint="default"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2</w:t>
            </w:r>
          </w:p>
        </w:tc>
        <w:tc>
          <w:tcPr>
            <w:tcW w:w="3449" w:type="dxa"/>
            <w:noWrap w:val="0"/>
            <w:vAlign w:val="top"/>
          </w:tcPr>
          <w:p>
            <w:pPr>
              <w:spacing w:line="480" w:lineRule="auto"/>
              <w:ind w:left="420"/>
              <w:rPr>
                <w:rStyle w:val="67"/>
                <w:rFonts w:hint="eastAsia"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租赁18m3垃圾压缩箱</w:t>
            </w:r>
          </w:p>
        </w:tc>
        <w:tc>
          <w:tcPr>
            <w:tcW w:w="2632" w:type="dxa"/>
            <w:noWrap w:val="0"/>
            <w:vAlign w:val="top"/>
          </w:tcPr>
          <w:p>
            <w:pPr>
              <w:spacing w:line="480" w:lineRule="auto"/>
              <w:ind w:left="420"/>
              <w:rPr>
                <w:rStyle w:val="67"/>
                <w:rFonts w:hint="default" w:ascii="宋体" w:hAnsi="宋体" w:cs="宋体"/>
                <w:color w:val="auto"/>
                <w:sz w:val="24"/>
                <w:highlight w:val="none"/>
                <w:lang w:val="en-US" w:eastAsia="zh-CN"/>
              </w:rPr>
            </w:pPr>
            <w:r>
              <w:rPr>
                <w:rStyle w:val="67"/>
                <w:rFonts w:hint="eastAsia" w:ascii="宋体" w:hAnsi="宋体" w:cs="宋体"/>
                <w:color w:val="auto"/>
                <w:sz w:val="24"/>
                <w:highlight w:val="none"/>
                <w:lang w:val="en-US" w:eastAsia="zh-CN"/>
              </w:rPr>
              <w:t>18个</w:t>
            </w:r>
          </w:p>
        </w:tc>
        <w:tc>
          <w:tcPr>
            <w:tcW w:w="1448" w:type="dxa"/>
            <w:noWrap w:val="0"/>
            <w:vAlign w:val="top"/>
          </w:tcPr>
          <w:p>
            <w:pPr>
              <w:spacing w:line="480" w:lineRule="auto"/>
              <w:ind w:left="420"/>
              <w:rPr>
                <w:rStyle w:val="67"/>
                <w:rFonts w:hint="eastAsia" w:ascii="宋体" w:hAnsi="宋体" w:cs="宋体"/>
                <w:color w:val="auto"/>
                <w:sz w:val="24"/>
                <w:highlight w:val="none"/>
                <w:lang w:val="en-US" w:eastAsia="zh-CN"/>
              </w:rPr>
            </w:pPr>
          </w:p>
        </w:tc>
      </w:tr>
    </w:tbl>
    <w:p>
      <w:pPr>
        <w:spacing w:line="480" w:lineRule="auto"/>
        <w:ind w:left="350"/>
        <w:rPr>
          <w:rStyle w:val="67"/>
          <w:rFonts w:ascii="宋体" w:hAnsi="宋体" w:cs="宋体"/>
          <w:color w:val="auto"/>
          <w:sz w:val="24"/>
          <w:highlight w:val="none"/>
          <w:lang w:val="zh-CN"/>
        </w:rPr>
      </w:pPr>
      <w:r>
        <w:rPr>
          <w:rStyle w:val="67"/>
          <w:rFonts w:hint="eastAsia" w:ascii="宋体" w:hAnsi="宋体" w:cs="宋体"/>
          <w:color w:val="auto"/>
          <w:sz w:val="24"/>
          <w:highlight w:val="none"/>
          <w:lang w:val="zh-CN"/>
        </w:rPr>
        <w:t>2、服务内容及要求：</w:t>
      </w:r>
    </w:p>
    <w:p>
      <w:pPr>
        <w:spacing w:line="420" w:lineRule="exact"/>
        <w:ind w:firstLine="480" w:firstLineChars="200"/>
        <w:rPr>
          <w:rStyle w:val="67"/>
          <w:rFonts w:ascii="宋体" w:hAnsi="宋体" w:cs="宋体"/>
          <w:color w:val="auto"/>
          <w:sz w:val="24"/>
          <w:highlight w:val="none"/>
          <w:lang w:val="zh-CN"/>
        </w:rPr>
      </w:pPr>
      <w:r>
        <w:rPr>
          <w:rStyle w:val="67"/>
          <w:rFonts w:hint="eastAsia" w:ascii="宋体" w:hAnsi="宋体" w:cs="宋体"/>
          <w:color w:val="auto"/>
          <w:sz w:val="24"/>
          <w:highlight w:val="none"/>
          <w:lang w:val="zh-CN"/>
        </w:rPr>
        <w:t>2.1服务要求：服务年限,在接到采购方服务请求后，1小时响应，2小时内上门解决问题；质保期内提供免费上门服务，质保期外的收费按相关行业规则或由双方协商收取。</w:t>
      </w:r>
    </w:p>
    <w:p>
      <w:pPr>
        <w:spacing w:line="420" w:lineRule="exact"/>
        <w:ind w:firstLine="480" w:firstLineChars="200"/>
        <w:rPr>
          <w:rStyle w:val="67"/>
          <w:rFonts w:ascii="宋体" w:hAnsi="宋体" w:cs="宋体"/>
          <w:color w:val="auto"/>
          <w:sz w:val="24"/>
          <w:highlight w:val="none"/>
          <w:lang w:val="zh-CN"/>
        </w:rPr>
      </w:pPr>
      <w:r>
        <w:rPr>
          <w:rStyle w:val="67"/>
          <w:rFonts w:hint="eastAsia" w:ascii="宋体" w:hAnsi="宋体" w:cs="宋体"/>
          <w:color w:val="auto"/>
          <w:sz w:val="24"/>
          <w:highlight w:val="none"/>
          <w:lang w:val="zh-CN"/>
        </w:rPr>
        <w:t>2.2</w:t>
      </w:r>
      <w:r>
        <w:rPr>
          <w:rStyle w:val="67"/>
          <w:rFonts w:hint="eastAsia" w:ascii="宋体" w:hAnsi="宋体" w:cs="宋体"/>
          <w:color w:val="auto"/>
          <w:sz w:val="24"/>
          <w:highlight w:val="none"/>
        </w:rPr>
        <w:t>服务</w:t>
      </w:r>
      <w:r>
        <w:rPr>
          <w:rStyle w:val="67"/>
          <w:rFonts w:hint="eastAsia" w:ascii="宋体" w:hAnsi="宋体" w:cs="宋体"/>
          <w:color w:val="auto"/>
          <w:sz w:val="24"/>
          <w:highlight w:val="none"/>
          <w:lang w:val="zh-CN"/>
        </w:rPr>
        <w:t>地点：采购人指定地点。</w:t>
      </w:r>
    </w:p>
    <w:p>
      <w:pPr>
        <w:spacing w:line="420" w:lineRule="exact"/>
        <w:ind w:firstLine="480" w:firstLineChars="200"/>
        <w:rPr>
          <w:rStyle w:val="67"/>
          <w:rFonts w:ascii="宋体" w:hAnsi="宋体" w:cs="宋体"/>
          <w:color w:val="auto"/>
          <w:sz w:val="24"/>
          <w:highlight w:val="none"/>
          <w:lang w:val="zh-CN"/>
        </w:rPr>
      </w:pPr>
      <w:r>
        <w:rPr>
          <w:rStyle w:val="67"/>
          <w:rFonts w:hint="eastAsia" w:ascii="宋体" w:hAnsi="宋体" w:cs="宋体"/>
          <w:color w:val="auto"/>
          <w:sz w:val="24"/>
          <w:highlight w:val="none"/>
          <w:lang w:val="zh-CN"/>
        </w:rPr>
        <w:t>2.3</w:t>
      </w:r>
      <w:r>
        <w:rPr>
          <w:rStyle w:val="67"/>
          <w:rFonts w:hint="eastAsia" w:ascii="宋体" w:hAnsi="宋体" w:cs="宋体"/>
          <w:color w:val="auto"/>
          <w:sz w:val="24"/>
          <w:highlight w:val="none"/>
        </w:rPr>
        <w:t>服务</w:t>
      </w:r>
      <w:r>
        <w:rPr>
          <w:rStyle w:val="67"/>
          <w:rFonts w:hint="eastAsia" w:ascii="宋体" w:hAnsi="宋体" w:cs="宋体"/>
          <w:color w:val="auto"/>
          <w:sz w:val="24"/>
          <w:highlight w:val="none"/>
          <w:lang w:val="zh-CN"/>
        </w:rPr>
        <w:t>日期：</w:t>
      </w:r>
      <w:r>
        <w:rPr>
          <w:rStyle w:val="67"/>
          <w:rFonts w:hint="eastAsia" w:ascii="宋体" w:hAnsi="宋体" w:cs="宋体"/>
          <w:color w:val="auto"/>
          <w:sz w:val="24"/>
          <w:highlight w:val="none"/>
          <w:lang w:val="en-US" w:eastAsia="zh-CN"/>
        </w:rPr>
        <w:t>180日历天（租赁期6个月）</w:t>
      </w:r>
      <w:r>
        <w:rPr>
          <w:rStyle w:val="67"/>
          <w:rFonts w:hint="eastAsia" w:ascii="宋体" w:hAnsi="宋体" w:cs="宋体"/>
          <w:color w:val="auto"/>
          <w:sz w:val="24"/>
          <w:highlight w:val="none"/>
          <w:lang w:val="zh-CN"/>
        </w:rPr>
        <w:t>。</w:t>
      </w:r>
    </w:p>
    <w:p>
      <w:pPr>
        <w:spacing w:line="420" w:lineRule="exact"/>
        <w:ind w:firstLine="480" w:firstLineChars="200"/>
        <w:rPr>
          <w:rStyle w:val="67"/>
          <w:rFonts w:ascii="宋体" w:hAnsi="宋体" w:cs="宋体"/>
          <w:color w:val="auto"/>
          <w:sz w:val="24"/>
          <w:highlight w:val="none"/>
          <w:lang w:val="zh-CN"/>
        </w:rPr>
      </w:pPr>
      <w:r>
        <w:rPr>
          <w:rStyle w:val="67"/>
          <w:rFonts w:hint="eastAsia" w:ascii="宋体" w:hAnsi="宋体" w:cs="宋体"/>
          <w:color w:val="auto"/>
          <w:sz w:val="24"/>
          <w:highlight w:val="none"/>
          <w:lang w:val="zh-CN"/>
        </w:rPr>
        <w:t>2.4验收：由最终用户组织验收。</w:t>
      </w:r>
    </w:p>
    <w:p>
      <w:pPr>
        <w:spacing w:after="120" w:line="415" w:lineRule="auto"/>
        <w:ind w:firstLine="480" w:firstLineChars="200"/>
        <w:jc w:val="center"/>
        <w:rPr>
          <w:rStyle w:val="67"/>
          <w:rFonts w:ascii="宋体" w:hAnsi="宋体" w:cs="宋体"/>
          <w:color w:val="auto"/>
          <w:sz w:val="24"/>
          <w:highlight w:val="none"/>
          <w:lang w:val="zh-CN"/>
        </w:rPr>
      </w:pPr>
    </w:p>
    <w:p>
      <w:pPr>
        <w:pStyle w:val="35"/>
        <w:ind w:firstLine="210"/>
        <w:rPr>
          <w:rStyle w:val="67"/>
          <w:color w:val="auto"/>
          <w:highlight w:val="none"/>
          <w:lang w:val="zh-CN"/>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pPr>
        <w:widowControl/>
        <w:spacing w:line="520" w:lineRule="exact"/>
        <w:ind w:firstLine="480" w:firstLineChars="200"/>
        <w:jc w:val="center"/>
        <w:rPr>
          <w:rFonts w:ascii="宋体" w:hAnsi="宋体" w:cs="宋体"/>
          <w:color w:val="auto"/>
          <w:sz w:val="24"/>
          <w:highlight w:val="none"/>
        </w:rPr>
      </w:pP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pStyle w:val="26"/>
        <w:ind w:firstLine="480"/>
        <w:rPr>
          <w:rFonts w:ascii="宋体" w:hAnsi="宋体" w:eastAsia="宋体" w:cs="宋体"/>
          <w:color w:val="auto"/>
          <w:sz w:val="24"/>
          <w:highlight w:val="none"/>
        </w:rPr>
      </w:pPr>
    </w:p>
    <w:p>
      <w:pPr>
        <w:pStyle w:val="26"/>
        <w:ind w:firstLine="480"/>
        <w:rPr>
          <w:rFonts w:ascii="宋体" w:hAnsi="宋体" w:eastAsia="宋体" w:cs="宋体"/>
          <w:color w:val="auto"/>
          <w:sz w:val="24"/>
          <w:highlight w:val="none"/>
        </w:rPr>
      </w:pPr>
    </w:p>
    <w:p>
      <w:pPr>
        <w:pStyle w:val="26"/>
        <w:ind w:firstLine="480"/>
        <w:rPr>
          <w:rFonts w:ascii="宋体" w:hAnsi="宋体" w:eastAsia="宋体" w:cs="宋体"/>
          <w:color w:val="auto"/>
          <w:sz w:val="24"/>
          <w:highlight w:val="none"/>
        </w:rPr>
      </w:pPr>
    </w:p>
    <w:p>
      <w:pPr>
        <w:pStyle w:val="26"/>
        <w:ind w:firstLine="480"/>
        <w:rPr>
          <w:rFonts w:ascii="宋体" w:hAnsi="宋体" w:eastAsia="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pStyle w:val="26"/>
        <w:ind w:firstLine="480"/>
        <w:rPr>
          <w:rFonts w:ascii="宋体" w:hAnsi="宋体" w:eastAsia="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pStyle w:val="26"/>
        <w:ind w:firstLine="480"/>
        <w:rPr>
          <w:rFonts w:ascii="宋体" w:hAnsi="宋体" w:eastAsia="宋体" w:cs="宋体"/>
          <w:color w:val="auto"/>
          <w:sz w:val="24"/>
          <w:highlight w:val="none"/>
        </w:rPr>
      </w:pP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pPr>
        <w:widowControl/>
        <w:jc w:val="center"/>
        <w:rPr>
          <w:rFonts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pPr>
        <w:pStyle w:val="35"/>
        <w:ind w:firstLine="210"/>
        <w:rPr>
          <w:color w:val="auto"/>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联系电话：</w:t>
      </w:r>
    </w:p>
    <w:p>
      <w:pPr>
        <w:spacing w:line="360" w:lineRule="auto"/>
        <w:rPr>
          <w:rFonts w:hint="eastAsia" w:ascii="宋体" w:hAnsi="宋体" w:cs="宋体"/>
          <w:color w:val="auto"/>
          <w:sz w:val="24"/>
          <w:highlight w:val="none"/>
        </w:rPr>
      </w:pPr>
      <w:r>
        <w:rPr>
          <w:rFonts w:hint="eastAsia"/>
          <w:color w:val="auto"/>
          <w:sz w:val="24"/>
          <w:szCs w:val="24"/>
          <w:highlight w:val="none"/>
        </w:rPr>
        <w:t>附法定代表人身份证扫描件：</w:t>
      </w:r>
    </w:p>
    <w:tbl>
      <w:tblPr>
        <w:tblStyle w:val="27"/>
        <w:tblpPr w:leftFromText="180" w:rightFromText="180" w:vertAnchor="text" w:horzAnchor="page" w:tblpX="2773" w:tblpY="209"/>
        <w:tblW w:w="6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0"/>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3370" w:type="dxa"/>
          </w:tcPr>
          <w:p>
            <w:pPr>
              <w:spacing w:line="480" w:lineRule="exact"/>
              <w:jc w:val="center"/>
              <w:rPr>
                <w:rFonts w:ascii="宋体" w:hAnsi="宋体" w:cs="宋体"/>
                <w:b/>
                <w:bCs/>
                <w:color w:val="auto"/>
                <w:sz w:val="24"/>
                <w:highlight w:val="none"/>
              </w:rPr>
            </w:pPr>
          </w:p>
          <w:p>
            <w:pPr>
              <w:spacing w:line="480" w:lineRule="exact"/>
              <w:jc w:val="center"/>
              <w:rPr>
                <w:rFonts w:hint="eastAsia" w:ascii="宋体" w:hAnsi="宋体" w:eastAsia="宋体" w:cs="宋体"/>
                <w:b/>
                <w:bCs/>
                <w:color w:val="auto"/>
                <w:sz w:val="24"/>
                <w:highlight w:val="none"/>
                <w:lang w:val="en-US" w:eastAsia="zh-CN"/>
              </w:rPr>
            </w:pPr>
          </w:p>
          <w:p>
            <w:pPr>
              <w:spacing w:line="48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身份证正面</w:t>
            </w:r>
          </w:p>
          <w:p>
            <w:pPr>
              <w:spacing w:line="480" w:lineRule="exact"/>
              <w:jc w:val="center"/>
              <w:rPr>
                <w:rFonts w:ascii="宋体" w:hAnsi="宋体" w:cs="宋体"/>
                <w:color w:val="auto"/>
                <w:sz w:val="24"/>
                <w:highlight w:val="none"/>
              </w:rPr>
            </w:pPr>
          </w:p>
        </w:tc>
        <w:tc>
          <w:tcPr>
            <w:tcW w:w="3370" w:type="dxa"/>
          </w:tcPr>
          <w:p>
            <w:pPr>
              <w:spacing w:line="480" w:lineRule="exact"/>
              <w:jc w:val="center"/>
              <w:rPr>
                <w:rFonts w:hint="eastAsia" w:ascii="宋体" w:hAnsi="宋体" w:cs="宋体"/>
                <w:color w:val="auto"/>
                <w:sz w:val="24"/>
                <w:highlight w:val="none"/>
                <w:lang w:val="en-US" w:eastAsia="zh-CN"/>
              </w:rPr>
            </w:pPr>
          </w:p>
          <w:p>
            <w:pPr>
              <w:spacing w:line="480" w:lineRule="exact"/>
              <w:jc w:val="center"/>
              <w:rPr>
                <w:rFonts w:hint="eastAsia" w:ascii="宋体" w:hAnsi="宋体" w:cs="宋体"/>
                <w:color w:val="auto"/>
                <w:sz w:val="24"/>
                <w:highlight w:val="none"/>
                <w:lang w:val="en-US" w:eastAsia="zh-CN"/>
              </w:rPr>
            </w:pPr>
          </w:p>
          <w:p>
            <w:pPr>
              <w:spacing w:line="48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身份证反面</w:t>
            </w:r>
          </w:p>
          <w:p>
            <w:pPr>
              <w:spacing w:line="480" w:lineRule="exact"/>
              <w:jc w:val="center"/>
              <w:rPr>
                <w:rFonts w:ascii="宋体" w:hAnsi="宋体" w:cs="宋体"/>
                <w:color w:val="auto"/>
                <w:sz w:val="24"/>
                <w:highlight w:val="none"/>
              </w:rPr>
            </w:pPr>
          </w:p>
        </w:tc>
      </w:tr>
    </w:tbl>
    <w:p>
      <w:pPr>
        <w:spacing w:line="360" w:lineRule="auto"/>
        <w:ind w:firstLine="960" w:firstLineChars="400"/>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pPr>
        <w:spacing w:line="360" w:lineRule="auto"/>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rPr>
          <w:rFonts w:hint="eastAsia" w:ascii="Times New Roman" w:hAnsi="Times New Roman" w:eastAsia="宋体" w:cs="Times New Roman"/>
          <w:color w:val="auto"/>
          <w:sz w:val="24"/>
          <w:szCs w:val="24"/>
          <w:highlight w:val="none"/>
        </w:rPr>
      </w:pPr>
    </w:p>
    <w:p>
      <w:pPr>
        <w:spacing w:line="360" w:lineRule="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附委托代理人身份证扫描件：</w:t>
      </w:r>
    </w:p>
    <w:tbl>
      <w:tblPr>
        <w:tblStyle w:val="27"/>
        <w:tblpPr w:leftFromText="180" w:rightFromText="180" w:vertAnchor="text" w:horzAnchor="page" w:tblpX="2773" w:tblpY="209"/>
        <w:tblW w:w="6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0"/>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3370" w:type="dxa"/>
          </w:tcPr>
          <w:p>
            <w:pPr>
              <w:spacing w:line="480" w:lineRule="exact"/>
              <w:jc w:val="center"/>
              <w:rPr>
                <w:rFonts w:ascii="宋体" w:hAnsi="宋体" w:cs="宋体"/>
                <w:b/>
                <w:bCs/>
                <w:color w:val="auto"/>
                <w:sz w:val="24"/>
                <w:highlight w:val="none"/>
              </w:rPr>
            </w:pPr>
          </w:p>
          <w:p>
            <w:pPr>
              <w:spacing w:line="480" w:lineRule="exact"/>
              <w:jc w:val="center"/>
              <w:rPr>
                <w:rFonts w:hint="eastAsia" w:ascii="宋体" w:hAnsi="宋体" w:eastAsia="宋体" w:cs="宋体"/>
                <w:b/>
                <w:bCs/>
                <w:color w:val="auto"/>
                <w:sz w:val="24"/>
                <w:highlight w:val="none"/>
                <w:lang w:val="en-US" w:eastAsia="zh-CN"/>
              </w:rPr>
            </w:pPr>
          </w:p>
          <w:p>
            <w:pPr>
              <w:spacing w:line="48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身份证正面</w:t>
            </w:r>
          </w:p>
          <w:p>
            <w:pPr>
              <w:spacing w:line="480" w:lineRule="exact"/>
              <w:jc w:val="center"/>
              <w:rPr>
                <w:rFonts w:ascii="宋体" w:hAnsi="宋体" w:cs="宋体"/>
                <w:color w:val="auto"/>
                <w:sz w:val="24"/>
                <w:highlight w:val="none"/>
              </w:rPr>
            </w:pPr>
          </w:p>
        </w:tc>
        <w:tc>
          <w:tcPr>
            <w:tcW w:w="3370" w:type="dxa"/>
          </w:tcPr>
          <w:p>
            <w:pPr>
              <w:spacing w:line="480" w:lineRule="exact"/>
              <w:jc w:val="center"/>
              <w:rPr>
                <w:rFonts w:hint="eastAsia" w:ascii="宋体" w:hAnsi="宋体" w:cs="宋体"/>
                <w:color w:val="auto"/>
                <w:sz w:val="24"/>
                <w:highlight w:val="none"/>
                <w:lang w:val="en-US" w:eastAsia="zh-CN"/>
              </w:rPr>
            </w:pPr>
          </w:p>
          <w:p>
            <w:pPr>
              <w:spacing w:line="480" w:lineRule="exact"/>
              <w:jc w:val="center"/>
              <w:rPr>
                <w:rFonts w:hint="eastAsia" w:ascii="宋体" w:hAnsi="宋体" w:cs="宋体"/>
                <w:color w:val="auto"/>
                <w:sz w:val="24"/>
                <w:highlight w:val="none"/>
                <w:lang w:val="en-US" w:eastAsia="zh-CN"/>
              </w:rPr>
            </w:pPr>
          </w:p>
          <w:p>
            <w:pPr>
              <w:spacing w:line="48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身份证反面</w:t>
            </w:r>
          </w:p>
          <w:p>
            <w:pPr>
              <w:spacing w:line="480" w:lineRule="exact"/>
              <w:jc w:val="center"/>
              <w:rPr>
                <w:rFonts w:ascii="宋体" w:hAnsi="宋体" w:cs="宋体"/>
                <w:color w:val="auto"/>
                <w:sz w:val="24"/>
                <w:highlight w:val="none"/>
              </w:rPr>
            </w:pPr>
          </w:p>
        </w:tc>
      </w:tr>
    </w:tbl>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p>
    <w:p>
      <w:pPr>
        <w:spacing w:line="360" w:lineRule="auto"/>
        <w:ind w:firstLine="4920" w:firstLineChars="2050"/>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ind w:firstLine="3840" w:firstLineChars="1600"/>
        <w:rPr>
          <w:rFonts w:hint="eastAsia" w:ascii="宋体" w:hAnsi="宋体" w:cs="宋体"/>
          <w:color w:val="auto"/>
          <w:sz w:val="24"/>
          <w:highlight w:val="none"/>
        </w:rPr>
      </w:pPr>
    </w:p>
    <w:p>
      <w:pPr>
        <w:spacing w:line="360" w:lineRule="auto"/>
        <w:ind w:firstLine="3840" w:firstLineChars="1600"/>
        <w:rPr>
          <w:rFonts w:hint="eastAsia"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pPr>
        <w:pStyle w:val="35"/>
        <w:ind w:firstLine="210"/>
        <w:rPr>
          <w:color w:val="auto"/>
          <w:highlight w:val="none"/>
        </w:rPr>
      </w:pPr>
    </w:p>
    <w:p>
      <w:pPr>
        <w:pStyle w:val="35"/>
        <w:ind w:firstLine="210"/>
        <w:rPr>
          <w:color w:val="auto"/>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pStyle w:val="35"/>
        <w:rPr>
          <w:rFonts w:ascii="宋体" w:hAnsi="宋体" w:cs="宋体"/>
          <w:color w:val="auto"/>
          <w:sz w:val="24"/>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pPr>
        <w:pStyle w:val="24"/>
        <w:shd w:val="clear" w:color="auto" w:fill="FFFFFF"/>
        <w:adjustRightInd w:val="0"/>
        <w:snapToGrid w:val="0"/>
        <w:spacing w:before="0" w:beforeAutospacing="0" w:after="0" w:afterAutospacing="0" w:line="360" w:lineRule="auto"/>
        <w:rPr>
          <w:rFonts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pPr>
        <w:pStyle w:val="56"/>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pPr>
        <w:spacing w:line="560" w:lineRule="exact"/>
        <w:jc w:val="left"/>
        <w:rPr>
          <w:rFonts w:ascii="宋体" w:hAnsi="宋体" w:cs="宋体"/>
          <w:color w:val="auto"/>
          <w:sz w:val="24"/>
          <w:highlight w:val="none"/>
        </w:rPr>
      </w:pPr>
    </w:p>
    <w:p>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pPr>
        <w:pStyle w:val="4"/>
        <w:jc w:val="center"/>
        <w:rPr>
          <w:rFonts w:ascii="宋体" w:hAnsi="宋体" w:cs="宋体"/>
          <w:b w:val="0"/>
          <w:color w:val="auto"/>
          <w:sz w:val="24"/>
          <w:szCs w:val="24"/>
          <w:highlight w:val="none"/>
        </w:rPr>
      </w:pPr>
      <w:bookmarkStart w:id="30" w:name="_Toc197934561"/>
      <w:bookmarkStart w:id="31" w:name="_Toc495414231"/>
      <w:r>
        <w:rPr>
          <w:rFonts w:hint="eastAsia" w:ascii="宋体" w:hAnsi="宋体" w:cs="宋体"/>
          <w:b w:val="0"/>
          <w:color w:val="auto"/>
          <w:sz w:val="24"/>
          <w:szCs w:val="24"/>
          <w:highlight w:val="none"/>
        </w:rPr>
        <w:t>一．报价一览表</w:t>
      </w:r>
      <w:bookmarkEnd w:id="30"/>
      <w:bookmarkEnd w:id="31"/>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pPr>
              <w:spacing w:line="360" w:lineRule="auto"/>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pPr>
              <w:spacing w:line="360" w:lineRule="auto"/>
              <w:jc w:val="left"/>
              <w:rPr>
                <w:rFonts w:ascii="宋体" w:hAnsi="宋体" w:cs="宋体"/>
                <w:color w:val="auto"/>
                <w:sz w:val="24"/>
                <w:highlight w:val="none"/>
              </w:rPr>
            </w:pPr>
          </w:p>
        </w:tc>
      </w:tr>
    </w:tbl>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color w:val="auto"/>
          <w:sz w:val="24"/>
          <w:highlight w:val="none"/>
        </w:rPr>
      </w:pPr>
      <w:bookmarkStart w:id="32" w:name="_Toc220232409"/>
      <w:bookmarkStart w:id="33" w:name="_Toc495414234"/>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pStyle w:val="35"/>
        <w:ind w:firstLine="240"/>
        <w:rPr>
          <w:rFonts w:ascii="宋体" w:hAnsi="宋体" w:cs="宋体"/>
          <w:color w:val="auto"/>
          <w:sz w:val="24"/>
          <w:highlight w:val="none"/>
        </w:rPr>
      </w:pP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2"/>
      <w:bookmarkEnd w:id="33"/>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60"/>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pPr>
              <w:spacing w:line="340" w:lineRule="exact"/>
              <w:rPr>
                <w:rFonts w:ascii="宋体" w:hAnsi="宋体" w:cs="宋体"/>
                <w:color w:val="auto"/>
                <w:sz w:val="24"/>
                <w:highlight w:val="none"/>
              </w:rPr>
            </w:pP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p>
        </w:tc>
        <w:tc>
          <w:tcPr>
            <w:tcW w:w="2205" w:type="dxa"/>
            <w:vAlign w:val="center"/>
          </w:tcPr>
          <w:p>
            <w:pPr>
              <w:pStyle w:val="61"/>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p>
        </w:tc>
        <w:tc>
          <w:tcPr>
            <w:tcW w:w="2205" w:type="dxa"/>
          </w:tcPr>
          <w:p>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p>
        </w:tc>
        <w:tc>
          <w:tcPr>
            <w:tcW w:w="2205" w:type="dxa"/>
          </w:tcPr>
          <w:p>
            <w:pPr>
              <w:pStyle w:val="61"/>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p>
        </w:tc>
        <w:tc>
          <w:tcPr>
            <w:tcW w:w="2205" w:type="dxa"/>
          </w:tcPr>
          <w:p>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color w:val="auto"/>
                <w:sz w:val="24"/>
                <w:highlight w:val="none"/>
              </w:rPr>
            </w:pPr>
          </w:p>
        </w:tc>
        <w:tc>
          <w:tcPr>
            <w:tcW w:w="2205" w:type="dxa"/>
            <w:vAlign w:val="center"/>
          </w:tcPr>
          <w:p>
            <w:pPr>
              <w:pStyle w:val="61"/>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pPr>
              <w:spacing w:line="340" w:lineRule="exact"/>
              <w:rPr>
                <w:rFonts w:ascii="宋体" w:hAnsi="宋体" w:cs="宋体"/>
                <w:color w:val="auto"/>
                <w:sz w:val="24"/>
                <w:highlight w:val="none"/>
              </w:rPr>
            </w:pPr>
          </w:p>
        </w:tc>
        <w:tc>
          <w:tcPr>
            <w:tcW w:w="840" w:type="dxa"/>
          </w:tcPr>
          <w:p>
            <w:pPr>
              <w:spacing w:line="340" w:lineRule="exact"/>
              <w:rPr>
                <w:rFonts w:ascii="宋体" w:hAnsi="宋体" w:cs="宋体"/>
                <w:color w:val="auto"/>
                <w:sz w:val="24"/>
                <w:highlight w:val="none"/>
              </w:rPr>
            </w:pPr>
          </w:p>
        </w:tc>
        <w:tc>
          <w:tcPr>
            <w:tcW w:w="1260" w:type="dxa"/>
          </w:tcPr>
          <w:p>
            <w:pPr>
              <w:spacing w:line="340" w:lineRule="exact"/>
              <w:rPr>
                <w:rFonts w:ascii="宋体" w:hAnsi="宋体" w:cs="宋体"/>
                <w:color w:val="auto"/>
                <w:sz w:val="24"/>
                <w:highlight w:val="none"/>
              </w:rPr>
            </w:pPr>
          </w:p>
        </w:tc>
        <w:tc>
          <w:tcPr>
            <w:tcW w:w="1340" w:type="dxa"/>
          </w:tcPr>
          <w:p>
            <w:pPr>
              <w:spacing w:line="340" w:lineRule="exact"/>
              <w:rPr>
                <w:rFonts w:ascii="宋体" w:hAnsi="宋体" w:cs="宋体"/>
                <w:color w:val="auto"/>
                <w:sz w:val="24"/>
                <w:highlight w:val="none"/>
              </w:rPr>
            </w:pPr>
          </w:p>
        </w:tc>
        <w:tc>
          <w:tcPr>
            <w:tcW w:w="1347" w:type="dxa"/>
          </w:tcPr>
          <w:p>
            <w:pPr>
              <w:spacing w:line="340" w:lineRule="exact"/>
              <w:rPr>
                <w:rFonts w:ascii="宋体" w:hAnsi="宋体" w:cs="宋体"/>
                <w:color w:val="auto"/>
                <w:sz w:val="24"/>
                <w:highlight w:val="none"/>
              </w:rPr>
            </w:pPr>
          </w:p>
        </w:tc>
      </w:tr>
    </w:tbl>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pStyle w:val="35"/>
        <w:ind w:firstLine="241"/>
        <w:rPr>
          <w:rFonts w:ascii="宋体" w:hAnsi="宋体" w:cs="宋体"/>
          <w:b/>
          <w:color w:val="auto"/>
          <w:sz w:val="24"/>
          <w:highlight w:val="none"/>
        </w:rPr>
      </w:pPr>
    </w:p>
    <w:p>
      <w:pPr>
        <w:pStyle w:val="35"/>
        <w:ind w:firstLine="241"/>
        <w:rPr>
          <w:rFonts w:ascii="宋体" w:hAnsi="宋体" w:cs="宋体"/>
          <w:b/>
          <w:color w:val="auto"/>
          <w:sz w:val="24"/>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pPr>
        <w:rPr>
          <w:rFonts w:ascii="宋体" w:hAnsi="宋体" w:cs="宋体"/>
          <w:color w:val="auto"/>
          <w:sz w:val="24"/>
          <w:highlight w:val="none"/>
        </w:rPr>
      </w:pPr>
    </w:p>
    <w:p>
      <w:pPr>
        <w:rPr>
          <w:rFonts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bl>
    <w:p>
      <w:pPr>
        <w:rPr>
          <w:rFonts w:ascii="宋体" w:hAnsi="宋体" w:cs="宋体"/>
          <w:color w:val="auto"/>
          <w:sz w:val="24"/>
          <w:highlight w:val="none"/>
        </w:rPr>
      </w:pPr>
    </w:p>
    <w:p>
      <w:pPr>
        <w:rPr>
          <w:rFonts w:ascii="宋体" w:hAnsi="宋体" w:cs="宋体"/>
          <w:color w:val="auto"/>
          <w:sz w:val="24"/>
          <w:highlight w:val="none"/>
        </w:rPr>
      </w:pPr>
      <w:r>
        <w:rPr>
          <w:rFonts w:hint="eastAsia" w:ascii="宋体" w:hAnsi="宋体" w:cs="宋体"/>
          <w:color w:val="auto"/>
          <w:sz w:val="24"/>
          <w:highlight w:val="none"/>
        </w:rPr>
        <w:t>(可根据需求自行更改)</w:t>
      </w:r>
    </w:p>
    <w:p>
      <w:pPr>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rPr>
          <w:rFonts w:ascii="宋体" w:hAnsi="宋体" w:cs="宋体"/>
          <w:b/>
          <w:color w:val="auto"/>
          <w:sz w:val="24"/>
          <w:highlight w:val="none"/>
        </w:rPr>
      </w:pPr>
    </w:p>
    <w:p>
      <w:pPr>
        <w:spacing w:line="360" w:lineRule="auto"/>
        <w:rPr>
          <w:rFonts w:ascii="宋体" w:hAnsi="宋体" w:cs="宋体"/>
          <w:b/>
          <w:color w:val="auto"/>
          <w:sz w:val="24"/>
          <w:highlight w:val="none"/>
        </w:rPr>
      </w:pPr>
    </w:p>
    <w:p>
      <w:pPr>
        <w:spacing w:line="360" w:lineRule="auto"/>
        <w:rPr>
          <w:rFonts w:ascii="宋体" w:hAnsi="宋体" w:cs="宋体"/>
          <w:b/>
          <w:color w:val="auto"/>
          <w:sz w:val="24"/>
          <w:highlight w:val="none"/>
        </w:rPr>
      </w:pPr>
    </w:p>
    <w:p>
      <w:pPr>
        <w:spacing w:line="360" w:lineRule="auto"/>
        <w:rPr>
          <w:rFonts w:ascii="宋体" w:hAnsi="宋体" w:cs="宋体"/>
          <w:b/>
          <w:color w:val="auto"/>
          <w:sz w:val="24"/>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pPr>
        <w:pStyle w:val="26"/>
        <w:ind w:firstLine="480"/>
        <w:rPr>
          <w:rFonts w:ascii="宋体" w:hAnsi="宋体" w:eastAsia="宋体" w:cs="宋体"/>
          <w:color w:val="auto"/>
          <w:sz w:val="24"/>
          <w:highlight w:val="none"/>
        </w:rPr>
      </w:pPr>
    </w:p>
    <w:p>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pPr>
        <w:spacing w:line="380" w:lineRule="exact"/>
        <w:jc w:val="center"/>
        <w:rPr>
          <w:rFonts w:ascii="宋体" w:hAnsi="宋体" w:cs="宋体"/>
          <w:color w:val="auto"/>
          <w:sz w:val="24"/>
          <w:highlight w:val="none"/>
        </w:rPr>
      </w:pPr>
    </w:p>
    <w:p>
      <w:pPr>
        <w:spacing w:line="380" w:lineRule="exact"/>
        <w:ind w:firstLine="360" w:firstLineChars="150"/>
        <w:rPr>
          <w:rFonts w:ascii="宋体" w:hAnsi="宋体" w:cs="宋体"/>
          <w:color w:val="auto"/>
          <w:sz w:val="24"/>
          <w:highlight w:val="none"/>
        </w:rPr>
      </w:pPr>
    </w:p>
    <w:p>
      <w:pPr>
        <w:pStyle w:val="38"/>
        <w:rPr>
          <w:rFonts w:ascii="宋体" w:hAnsi="宋体" w:cs="宋体"/>
          <w:color w:val="auto"/>
          <w:sz w:val="24"/>
          <w:szCs w:val="24"/>
          <w:highlight w:val="none"/>
        </w:rPr>
      </w:pPr>
    </w:p>
    <w:p>
      <w:pPr>
        <w:pStyle w:val="38"/>
        <w:rPr>
          <w:rFonts w:ascii="宋体" w:hAnsi="宋体" w:cs="宋体"/>
          <w:color w:val="auto"/>
          <w:sz w:val="24"/>
          <w:szCs w:val="24"/>
          <w:highlight w:val="none"/>
        </w:rPr>
      </w:pPr>
    </w:p>
    <w:p>
      <w:pPr>
        <w:pStyle w:val="38"/>
        <w:rPr>
          <w:rFonts w:ascii="宋体" w:hAnsi="宋体" w:cs="宋体"/>
          <w:color w:val="auto"/>
          <w:sz w:val="24"/>
          <w:szCs w:val="24"/>
          <w:highlight w:val="none"/>
        </w:rPr>
      </w:pPr>
    </w:p>
    <w:p>
      <w:pPr>
        <w:pStyle w:val="38"/>
        <w:rPr>
          <w:rFonts w:ascii="宋体" w:hAnsi="宋体" w:cs="宋体"/>
          <w:color w:val="auto"/>
          <w:sz w:val="24"/>
          <w:szCs w:val="24"/>
          <w:highlight w:val="none"/>
        </w:rPr>
      </w:pPr>
    </w:p>
    <w:p>
      <w:pPr>
        <w:pStyle w:val="38"/>
        <w:rPr>
          <w:rFonts w:ascii="宋体" w:hAnsi="宋体" w:cs="宋体"/>
          <w:color w:val="auto"/>
          <w:sz w:val="24"/>
          <w:szCs w:val="24"/>
          <w:highlight w:val="none"/>
        </w:rPr>
      </w:pPr>
    </w:p>
    <w:p>
      <w:pPr>
        <w:pStyle w:val="38"/>
        <w:rPr>
          <w:rFonts w:ascii="宋体" w:hAnsi="宋体" w:cs="宋体"/>
          <w:color w:val="auto"/>
          <w:sz w:val="24"/>
          <w:szCs w:val="24"/>
          <w:highlight w:val="none"/>
        </w:rPr>
      </w:pPr>
    </w:p>
    <w:p>
      <w:pPr>
        <w:spacing w:line="380" w:lineRule="exact"/>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80" w:lineRule="exact"/>
        <w:ind w:right="640" w:firstLine="1560" w:firstLineChars="650"/>
        <w:rPr>
          <w:rFonts w:ascii="宋体" w:hAnsi="宋体" w:cs="宋体"/>
          <w:color w:val="auto"/>
          <w:sz w:val="24"/>
          <w:highlight w:val="none"/>
        </w:rPr>
      </w:pPr>
    </w:p>
    <w:p>
      <w:pPr>
        <w:spacing w:line="380" w:lineRule="exact"/>
        <w:ind w:right="640" w:firstLine="4680" w:firstLineChars="1950"/>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格式8合格供应商的声明函和承诺书</w:t>
      </w:r>
    </w:p>
    <w:p>
      <w:pPr>
        <w:spacing w:line="360" w:lineRule="auto"/>
        <w:rPr>
          <w:rFonts w:ascii="宋体" w:hAnsi="宋体" w:cs="宋体"/>
          <w:color w:val="auto"/>
          <w:sz w:val="24"/>
          <w:highlight w:val="none"/>
        </w:rPr>
      </w:pPr>
    </w:p>
    <w:p>
      <w:pPr>
        <w:spacing w:line="360" w:lineRule="auto"/>
        <w:jc w:val="center"/>
        <w:rPr>
          <w:rFonts w:ascii="宋体" w:hAnsi="宋体" w:cs="宋体"/>
          <w:b/>
          <w:bCs/>
          <w:color w:val="auto"/>
          <w:sz w:val="24"/>
          <w:highlight w:val="none"/>
        </w:rPr>
      </w:pPr>
    </w:p>
    <w:p>
      <w:pPr>
        <w:pStyle w:val="38"/>
        <w:rPr>
          <w:color w:val="auto"/>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80" w:lineRule="exact"/>
        <w:ind w:right="640" w:firstLine="1560" w:firstLineChars="650"/>
        <w:rPr>
          <w:rFonts w:ascii="宋体" w:hAnsi="宋体" w:cs="宋体"/>
          <w:color w:val="auto"/>
          <w:sz w:val="24"/>
          <w:highlight w:val="none"/>
        </w:rPr>
      </w:pP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rPr>
          <w:rFonts w:ascii="宋体" w:hAnsi="宋体" w:cs="宋体"/>
          <w:color w:val="auto"/>
          <w:sz w:val="24"/>
          <w:highlight w:val="none"/>
        </w:rPr>
      </w:pPr>
    </w:p>
    <w:p>
      <w:pPr>
        <w:spacing w:line="360" w:lineRule="auto"/>
        <w:rPr>
          <w:rFonts w:ascii="宋体" w:hAnsi="宋体" w:cs="宋体"/>
          <w:color w:val="auto"/>
          <w:sz w:val="24"/>
          <w:highlight w:val="none"/>
        </w:rPr>
      </w:pPr>
    </w:p>
    <w:p>
      <w:pPr>
        <w:spacing w:line="360" w:lineRule="auto"/>
        <w:rPr>
          <w:rFonts w:ascii="宋体" w:hAnsi="宋体" w:cs="宋体"/>
          <w:color w:val="auto"/>
          <w:sz w:val="24"/>
          <w:highlight w:val="none"/>
        </w:rPr>
      </w:pPr>
    </w:p>
    <w:p>
      <w:pPr>
        <w:spacing w:line="360" w:lineRule="auto"/>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格式9中小企业声明函（工程、服务）</w:t>
      </w:r>
    </w:p>
    <w:p>
      <w:pPr>
        <w:spacing w:line="360" w:lineRule="auto"/>
        <w:rPr>
          <w:b/>
          <w:bCs/>
          <w:color w:val="auto"/>
          <w:sz w:val="32"/>
          <w:szCs w:val="32"/>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租赁和商务服务业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pPr>
        <w:pStyle w:val="38"/>
        <w:rPr>
          <w:rFonts w:ascii="宋体" w:hAnsi="宋体" w:cs="宋体"/>
          <w:color w:val="auto"/>
          <w:sz w:val="24"/>
          <w:szCs w:val="24"/>
          <w:highlight w:val="none"/>
        </w:rPr>
      </w:pPr>
    </w:p>
    <w:p>
      <w:pPr>
        <w:pStyle w:val="5"/>
        <w:rPr>
          <w:rFonts w:ascii="宋体" w:hAnsi="宋体" w:eastAsia="宋体" w:cs="宋体"/>
          <w:color w:val="auto"/>
          <w:sz w:val="24"/>
          <w:highlight w:val="none"/>
        </w:rPr>
      </w:pPr>
    </w:p>
    <w:p>
      <w:pPr>
        <w:rPr>
          <w:rFonts w:ascii="宋体" w:hAnsi="宋体" w:cs="宋体"/>
          <w:color w:val="auto"/>
          <w:sz w:val="24"/>
          <w:highlight w:val="none"/>
        </w:rPr>
      </w:pPr>
    </w:p>
    <w:p>
      <w:pPr>
        <w:pStyle w:val="38"/>
        <w:rPr>
          <w:rFonts w:ascii="宋体" w:hAnsi="宋体" w:cs="宋体"/>
          <w:color w:val="auto"/>
          <w:sz w:val="24"/>
          <w:szCs w:val="24"/>
          <w:highlight w:val="none"/>
        </w:rPr>
      </w:pPr>
    </w:p>
    <w:p>
      <w:pPr>
        <w:pStyle w:val="5"/>
        <w:rPr>
          <w:color w:val="auto"/>
          <w:highlight w:val="none"/>
        </w:rPr>
      </w:pPr>
    </w:p>
    <w:p>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pPr>
        <w:spacing w:line="360" w:lineRule="auto"/>
        <w:ind w:firstLine="420" w:firstLineChars="200"/>
        <w:rPr>
          <w:color w:val="auto"/>
          <w:highlight w:val="none"/>
        </w:rPr>
      </w:pPr>
      <w:r>
        <w:rPr>
          <w:rFonts w:hint="eastAsia"/>
          <w:color w:val="auto"/>
          <w:highlight w:val="none"/>
        </w:rPr>
        <w:t>2.本项目如是只面向中小企业采购的应当必须提供。</w:t>
      </w:r>
    </w:p>
    <w:p>
      <w:pPr>
        <w:spacing w:line="360" w:lineRule="auto"/>
        <w:jc w:val="center"/>
        <w:rPr>
          <w:rFonts w:ascii="宋体" w:hAnsi="宋体" w:cs="宋体"/>
          <w:b/>
          <w:bCs/>
          <w:color w:val="auto"/>
          <w:sz w:val="24"/>
          <w:highlight w:val="none"/>
        </w:rPr>
      </w:pPr>
    </w:p>
    <w:p>
      <w:pPr>
        <w:spacing w:line="360" w:lineRule="auto"/>
        <w:jc w:val="center"/>
        <w:rPr>
          <w:rFonts w:ascii="宋体" w:hAnsi="宋体" w:cs="宋体"/>
          <w:b/>
          <w:bCs/>
          <w:color w:val="auto"/>
          <w:sz w:val="24"/>
          <w:highlight w:val="none"/>
        </w:rPr>
      </w:pPr>
    </w:p>
    <w:p>
      <w:pPr>
        <w:pStyle w:val="38"/>
        <w:rPr>
          <w:rFonts w:ascii="宋体" w:hAnsi="宋体" w:cs="宋体"/>
          <w:b/>
          <w:bCs/>
          <w:color w:val="auto"/>
          <w:sz w:val="24"/>
          <w:highlight w:val="none"/>
        </w:rPr>
      </w:pPr>
    </w:p>
    <w:p>
      <w:pPr>
        <w:pStyle w:val="5"/>
        <w:rPr>
          <w:rFonts w:hint="eastAsia" w:eastAsia="黑体"/>
          <w:color w:val="auto"/>
          <w:highlight w:val="none"/>
          <w:lang w:eastAsia="zh-CN"/>
        </w:rPr>
      </w:pPr>
    </w:p>
    <w:p>
      <w:pPr>
        <w:rPr>
          <w:rFonts w:hint="eastAsia"/>
          <w:color w:val="auto"/>
          <w:highlight w:val="none"/>
          <w:lang w:eastAsia="zh-CN"/>
        </w:rPr>
      </w:pPr>
    </w:p>
    <w:p>
      <w:pPr>
        <w:spacing w:line="360" w:lineRule="auto"/>
        <w:rPr>
          <w:rFonts w:ascii="宋体" w:hAnsi="宋体" w:cs="宋体"/>
          <w:color w:val="auto"/>
          <w:sz w:val="24"/>
          <w:highlight w:val="none"/>
        </w:rPr>
      </w:pPr>
    </w:p>
    <w:p>
      <w:pPr>
        <w:spacing w:line="360" w:lineRule="auto"/>
        <w:rPr>
          <w:rFonts w:ascii="宋体" w:hAnsi="宋体" w:cs="宋体"/>
          <w:color w:val="auto"/>
          <w:sz w:val="24"/>
          <w:highlight w:val="none"/>
        </w:rPr>
      </w:pPr>
      <w:r>
        <w:rPr>
          <w:rFonts w:hint="eastAsia" w:ascii="宋体" w:hAnsi="宋体" w:cs="宋体"/>
          <w:color w:val="auto"/>
          <w:sz w:val="24"/>
          <w:highlight w:val="none"/>
        </w:rPr>
        <w:t>格式10其他资料</w:t>
      </w:r>
    </w:p>
    <w:p>
      <w:pPr>
        <w:pStyle w:val="35"/>
        <w:ind w:firstLine="240"/>
        <w:rPr>
          <w:rFonts w:ascii="宋体" w:hAnsi="宋体" w:cs="宋体"/>
          <w:color w:val="auto"/>
          <w:sz w:val="24"/>
          <w:highlight w:val="none"/>
        </w:rPr>
      </w:pPr>
    </w:p>
    <w:p>
      <w:pPr>
        <w:spacing w:line="360" w:lineRule="auto"/>
        <w:rPr>
          <w:rFonts w:hint="eastAsia" w:ascii="宋体" w:hAnsi="宋体" w:cs="宋体"/>
          <w:color w:val="auto"/>
          <w:sz w:val="24"/>
          <w:highlight w:val="none"/>
        </w:rPr>
        <w:sectPr>
          <w:pgSz w:w="11907" w:h="16840"/>
          <w:pgMar w:top="1440" w:right="1588" w:bottom="1440" w:left="1588" w:header="851" w:footer="992" w:gutter="0"/>
          <w:pgNumType w:fmt="decimal"/>
          <w:cols w:space="720" w:num="1"/>
          <w:docGrid w:type="lines" w:linePitch="312" w:charSpace="0"/>
        </w:sectPr>
      </w:pPr>
    </w:p>
    <w:p>
      <w:pPr>
        <w:spacing w:line="360" w:lineRule="auto"/>
        <w:rPr>
          <w:color w:val="auto"/>
          <w:highlight w:val="none"/>
        </w:rPr>
      </w:pPr>
      <w:r>
        <w:rPr>
          <w:rFonts w:hint="eastAsia" w:ascii="宋体" w:hAnsi="宋体" w:cs="宋体"/>
          <w:color w:val="auto"/>
          <w:sz w:val="24"/>
          <w:highlight w:val="none"/>
        </w:rPr>
        <w:t>格式11</w:t>
      </w:r>
    </w:p>
    <w:p>
      <w:pPr>
        <w:spacing w:line="380" w:lineRule="exact"/>
        <w:jc w:val="center"/>
        <w:rPr>
          <w:rStyle w:val="67"/>
          <w:rFonts w:ascii="宋体"/>
          <w:b/>
          <w:bCs/>
          <w:color w:val="auto"/>
          <w:sz w:val="28"/>
          <w:szCs w:val="28"/>
          <w:highlight w:val="none"/>
        </w:rPr>
      </w:pPr>
      <w:r>
        <w:rPr>
          <w:rStyle w:val="67"/>
          <w:rFonts w:hint="eastAsia" w:ascii="宋体" w:hAnsi="宋体" w:cs="宋体"/>
          <w:b/>
          <w:bCs/>
          <w:color w:val="auto"/>
          <w:sz w:val="28"/>
          <w:szCs w:val="28"/>
          <w:highlight w:val="none"/>
        </w:rPr>
        <w:t>政府采购供应商诚信承诺书</w:t>
      </w:r>
    </w:p>
    <w:p>
      <w:pPr>
        <w:spacing w:line="380" w:lineRule="exact"/>
        <w:jc w:val="center"/>
        <w:rPr>
          <w:rStyle w:val="67"/>
          <w:rFonts w:ascii="宋体"/>
          <w:b/>
          <w:bCs/>
          <w:color w:val="auto"/>
          <w:sz w:val="24"/>
          <w:highlight w:val="none"/>
        </w:rPr>
      </w:pPr>
    </w:p>
    <w:p>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pPr>
        <w:spacing w:line="380" w:lineRule="exact"/>
        <w:ind w:firstLine="3360" w:firstLineChars="1400"/>
        <w:rPr>
          <w:rFonts w:ascii="宋体" w:hAnsi="宋体" w:cs="宋体"/>
          <w:color w:val="auto"/>
          <w:sz w:val="24"/>
          <w:highlight w:val="none"/>
        </w:rPr>
      </w:pPr>
    </w:p>
    <w:p>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法定代表人：（签字）</w:t>
      </w:r>
    </w:p>
    <w:p>
      <w:pPr>
        <w:spacing w:line="380" w:lineRule="exact"/>
        <w:ind w:firstLine="3360" w:firstLineChars="1400"/>
        <w:rPr>
          <w:rFonts w:ascii="宋体" w:hAnsi="宋体" w:cs="宋体"/>
          <w:color w:val="auto"/>
          <w:sz w:val="24"/>
          <w:highlight w:val="none"/>
        </w:rPr>
      </w:pPr>
    </w:p>
    <w:p>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pPr>
        <w:pStyle w:val="35"/>
        <w:ind w:firstLine="0" w:firstLineChars="0"/>
        <w:rPr>
          <w:rFonts w:ascii="宋体" w:hAnsi="宋体" w:cs="宋体"/>
          <w:b/>
          <w:color w:val="auto"/>
          <w:sz w:val="24"/>
          <w:highlight w:val="none"/>
        </w:rPr>
      </w:pPr>
    </w:p>
    <w:p>
      <w:pPr>
        <w:spacing w:line="360" w:lineRule="auto"/>
        <w:rPr>
          <w:rFonts w:ascii="宋体" w:hAnsi="宋体" w:cs="宋体"/>
          <w:b/>
          <w:bCs/>
          <w:color w:val="auto"/>
          <w:sz w:val="24"/>
          <w:highlight w:val="none"/>
        </w:rPr>
      </w:pPr>
    </w:p>
    <w:p>
      <w:pPr>
        <w:pStyle w:val="35"/>
        <w:ind w:firstLine="241"/>
        <w:rPr>
          <w:rFonts w:ascii="宋体" w:hAnsi="宋体" w:cs="宋体"/>
          <w:b/>
          <w:color w:val="auto"/>
          <w:sz w:val="24"/>
          <w:highlight w:val="none"/>
        </w:rPr>
      </w:pPr>
    </w:p>
    <w:p>
      <w:pPr>
        <w:pStyle w:val="3"/>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pPr>
        <w:ind w:firstLine="640" w:firstLineChars="200"/>
        <w:rPr>
          <w:rFonts w:ascii="宋体" w:hAnsi="宋体" w:cs="宋体"/>
          <w:color w:val="auto"/>
          <w:sz w:val="32"/>
          <w:szCs w:val="32"/>
          <w:highlight w:val="none"/>
        </w:rPr>
      </w:pPr>
    </w:p>
    <w:p>
      <w:pPr>
        <w:pStyle w:val="80"/>
        <w:spacing w:beforeLines="0" w:afterLines="0"/>
        <w:ind w:left="0" w:firstLine="640" w:firstLineChars="200"/>
        <w:rPr>
          <w:rFonts w:ascii="宋体" w:hAnsi="宋体" w:cs="宋体"/>
          <w:color w:val="auto"/>
          <w:sz w:val="32"/>
          <w:szCs w:val="32"/>
          <w:highlight w:val="none"/>
        </w:rPr>
      </w:pPr>
    </w:p>
    <w:p>
      <w:pPr>
        <w:pStyle w:val="80"/>
        <w:spacing w:beforeLines="0" w:afterLines="0"/>
        <w:ind w:left="0" w:firstLine="640" w:firstLineChars="200"/>
        <w:rPr>
          <w:rFonts w:ascii="宋体" w:hAnsi="宋体" w:cs="宋体"/>
          <w:color w:val="auto"/>
          <w:sz w:val="32"/>
          <w:szCs w:val="32"/>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pPr>
        <w:pStyle w:val="80"/>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pPr>
        <w:pStyle w:val="80"/>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pPr>
        <w:pStyle w:val="80"/>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pPr>
        <w:pStyle w:val="80"/>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pPr>
        <w:pStyle w:val="80"/>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ind w:left="0" w:firstLine="600" w:firstLineChars="200"/>
        <w:rPr>
          <w:rFonts w:ascii="宋体" w:hAnsi="宋体" w:cs="宋体"/>
          <w:color w:val="auto"/>
          <w:sz w:val="30"/>
          <w:szCs w:val="30"/>
          <w:highlight w:val="none"/>
        </w:rPr>
      </w:pPr>
    </w:p>
    <w:p>
      <w:pPr>
        <w:pStyle w:val="80"/>
        <w:spacing w:beforeLines="0" w:afterLines="0" w:line="440" w:lineRule="exact"/>
        <w:ind w:left="0"/>
        <w:jc w:val="center"/>
        <w:rPr>
          <w:rFonts w:hint="eastAsia" w:ascii="宋体" w:hAnsi="宋体" w:cs="宋体"/>
          <w:color w:val="auto"/>
          <w:sz w:val="32"/>
          <w:szCs w:val="32"/>
          <w:highlight w:val="none"/>
        </w:rPr>
      </w:pPr>
    </w:p>
    <w:p>
      <w:pPr>
        <w:pStyle w:val="80"/>
        <w:spacing w:beforeLines="0" w:afterLines="0" w:line="440" w:lineRule="exact"/>
        <w:ind w:left="0"/>
        <w:jc w:val="center"/>
        <w:rPr>
          <w:rFonts w:ascii="宋体" w:hAnsi="宋体" w:cs="宋体"/>
          <w:color w:val="auto"/>
          <w:sz w:val="32"/>
          <w:szCs w:val="32"/>
          <w:highlight w:val="none"/>
        </w:rPr>
      </w:pPr>
      <w:r>
        <w:rPr>
          <w:rFonts w:hint="eastAsia" w:ascii="宋体" w:hAnsi="宋体" w:cs="宋体"/>
          <w:color w:val="auto"/>
          <w:sz w:val="32"/>
          <w:szCs w:val="32"/>
          <w:highlight w:val="none"/>
        </w:rPr>
        <w:t>合同签订指引</w:t>
      </w:r>
    </w:p>
    <w:p>
      <w:pPr>
        <w:pStyle w:val="80"/>
        <w:spacing w:beforeLines="0" w:afterLines="0" w:line="440" w:lineRule="exact"/>
        <w:ind w:left="0"/>
        <w:rPr>
          <w:rFonts w:ascii="宋体" w:hAnsi="宋体" w:cs="宋体"/>
          <w:color w:val="auto"/>
          <w:sz w:val="30"/>
          <w:szCs w:val="30"/>
          <w:highlight w:val="none"/>
        </w:rPr>
      </w:pP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pPr>
        <w:pStyle w:val="80"/>
        <w:spacing w:beforeLines="0" w:afterLines="0" w:line="440" w:lineRule="exact"/>
        <w:ind w:left="0" w:firstLine="420" w:firstLineChars="200"/>
        <w:rPr>
          <w:rFonts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pPr>
        <w:pStyle w:val="80"/>
        <w:spacing w:beforeLines="0" w:afterLines="0" w:line="440" w:lineRule="exact"/>
        <w:ind w:left="0"/>
        <w:jc w:val="center"/>
        <w:rPr>
          <w:rFonts w:ascii="宋体" w:hAnsi="宋体" w:cs="宋体"/>
          <w:bCs/>
          <w:color w:val="auto"/>
          <w:sz w:val="32"/>
          <w:szCs w:val="32"/>
          <w:highlight w:val="none"/>
        </w:rPr>
      </w:pPr>
    </w:p>
    <w:p>
      <w:pPr>
        <w:pStyle w:val="80"/>
        <w:spacing w:beforeLines="0" w:afterLines="0" w:line="440" w:lineRule="exact"/>
        <w:ind w:left="0"/>
        <w:jc w:val="center"/>
        <w:rPr>
          <w:rFonts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pPr>
        <w:pStyle w:val="80"/>
        <w:spacing w:beforeLines="0" w:afterLines="0" w:line="440" w:lineRule="exact"/>
        <w:ind w:left="0" w:firstLine="420" w:firstLineChars="200"/>
        <w:rPr>
          <w:rFonts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pPr>
        <w:pStyle w:val="80"/>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pPr>
        <w:pStyle w:val="3"/>
        <w:spacing w:line="500" w:lineRule="exact"/>
        <w:jc w:val="both"/>
        <w:rPr>
          <w:rFonts w:ascii="宋体" w:hAnsi="宋体" w:cs="宋体"/>
          <w:color w:val="auto"/>
          <w:sz w:val="21"/>
          <w:szCs w:val="21"/>
          <w:highlight w:val="none"/>
        </w:rPr>
      </w:pPr>
    </w:p>
    <w:p>
      <w:pPr>
        <w:rPr>
          <w:rFonts w:ascii="宋体" w:hAnsi="宋体" w:cs="宋体"/>
          <w:color w:val="auto"/>
          <w:sz w:val="21"/>
          <w:szCs w:val="21"/>
          <w:highlight w:val="none"/>
        </w:rPr>
      </w:pPr>
    </w:p>
    <w:p>
      <w:pPr>
        <w:pStyle w:val="35"/>
        <w:rPr>
          <w:rFonts w:ascii="宋体" w:hAnsi="宋体" w:cs="宋体"/>
          <w:color w:val="auto"/>
          <w:sz w:val="21"/>
          <w:szCs w:val="21"/>
          <w:highlight w:val="none"/>
        </w:rPr>
      </w:pPr>
    </w:p>
    <w:p>
      <w:pPr>
        <w:pStyle w:val="35"/>
        <w:rPr>
          <w:rFonts w:ascii="宋体" w:hAnsi="宋体" w:cs="宋体"/>
          <w:color w:val="auto"/>
          <w:sz w:val="21"/>
          <w:szCs w:val="21"/>
          <w:highlight w:val="none"/>
        </w:rPr>
      </w:pPr>
    </w:p>
    <w:p>
      <w:pPr>
        <w:pStyle w:val="3"/>
        <w:spacing w:line="500" w:lineRule="exact"/>
        <w:rPr>
          <w:rFonts w:ascii="宋体" w:hAnsi="宋体" w:cs="宋体"/>
          <w:color w:val="auto"/>
          <w:sz w:val="44"/>
          <w:szCs w:val="44"/>
          <w:highlight w:val="none"/>
        </w:rPr>
      </w:pPr>
      <w:r>
        <w:rPr>
          <w:rFonts w:hint="eastAsia" w:ascii="宋体" w:hAnsi="宋体" w:cs="宋体"/>
          <w:color w:val="auto"/>
          <w:sz w:val="44"/>
          <w:szCs w:val="44"/>
          <w:highlight w:val="none"/>
        </w:rPr>
        <w:t>服务合同内容</w:t>
      </w:r>
    </w:p>
    <w:p>
      <w:pPr>
        <w:spacing w:line="360" w:lineRule="auto"/>
        <w:ind w:firstLine="420" w:firstLineChars="200"/>
        <w:rPr>
          <w:rFonts w:ascii="宋体" w:hAnsi="宋体" w:cs="宋体"/>
          <w:color w:val="auto"/>
          <w:szCs w:val="27"/>
          <w:highlight w:val="none"/>
        </w:rPr>
      </w:pP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 xml:space="preserve">采购人（甲方）： </w:t>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供应商（乙方）：</w:t>
      </w: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签订地点：</w:t>
      </w: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项目名称：</w:t>
      </w: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项目编号：</w:t>
      </w:r>
    </w:p>
    <w:p>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rPr>
          <w:rFonts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服务内容</w:t>
            </w:r>
          </w:p>
        </w:tc>
        <w:tc>
          <w:tcPr>
            <w:tcW w:w="1623"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标准水平</w:t>
            </w:r>
          </w:p>
        </w:tc>
        <w:tc>
          <w:tcPr>
            <w:tcW w:w="902" w:type="dxa"/>
          </w:tcPr>
          <w:p>
            <w:pPr>
              <w:spacing w:line="360" w:lineRule="auto"/>
              <w:rPr>
                <w:rFonts w:ascii="宋体" w:hAnsi="宋体" w:cs="宋体"/>
                <w:color w:val="auto"/>
                <w:highlight w:val="none"/>
              </w:rPr>
            </w:pPr>
            <w:r>
              <w:rPr>
                <w:rFonts w:hint="eastAsia" w:ascii="宋体" w:hAnsi="宋体" w:cs="宋体"/>
                <w:color w:val="auto"/>
                <w:highlight w:val="none"/>
              </w:rPr>
              <w:t>单位</w:t>
            </w:r>
          </w:p>
        </w:tc>
        <w:tc>
          <w:tcPr>
            <w:tcW w:w="902" w:type="dxa"/>
          </w:tcPr>
          <w:p>
            <w:pPr>
              <w:spacing w:line="360" w:lineRule="auto"/>
              <w:rPr>
                <w:rFonts w:ascii="宋体" w:hAnsi="宋体" w:cs="宋体"/>
                <w:color w:val="auto"/>
                <w:highlight w:val="none"/>
              </w:rPr>
            </w:pPr>
            <w:r>
              <w:rPr>
                <w:rFonts w:hint="eastAsia" w:ascii="宋体" w:hAnsi="宋体" w:cs="宋体"/>
                <w:color w:val="auto"/>
                <w:highlight w:val="none"/>
              </w:rPr>
              <w:t>数量</w:t>
            </w:r>
          </w:p>
        </w:tc>
        <w:tc>
          <w:tcPr>
            <w:tcW w:w="1071"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单价</w:t>
            </w:r>
          </w:p>
        </w:tc>
        <w:tc>
          <w:tcPr>
            <w:tcW w:w="1250"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小计</w:t>
            </w:r>
          </w:p>
        </w:tc>
        <w:tc>
          <w:tcPr>
            <w:tcW w:w="1106"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highlight w:val="none"/>
              </w:rPr>
            </w:pPr>
          </w:p>
        </w:tc>
        <w:tc>
          <w:tcPr>
            <w:tcW w:w="1623"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1071" w:type="dxa"/>
          </w:tcPr>
          <w:p>
            <w:pPr>
              <w:spacing w:line="360" w:lineRule="auto"/>
              <w:ind w:firstLine="420" w:firstLineChars="200"/>
              <w:rPr>
                <w:rFonts w:ascii="宋体" w:hAnsi="宋体" w:cs="宋体"/>
                <w:color w:val="auto"/>
                <w:highlight w:val="none"/>
              </w:rPr>
            </w:pPr>
          </w:p>
        </w:tc>
        <w:tc>
          <w:tcPr>
            <w:tcW w:w="1250" w:type="dxa"/>
          </w:tcPr>
          <w:p>
            <w:pPr>
              <w:spacing w:line="360" w:lineRule="auto"/>
              <w:ind w:firstLine="420" w:firstLineChars="200"/>
              <w:rPr>
                <w:rFonts w:ascii="宋体" w:hAnsi="宋体" w:cs="宋体"/>
                <w:color w:val="auto"/>
                <w:highlight w:val="none"/>
              </w:rPr>
            </w:pPr>
          </w:p>
        </w:tc>
        <w:tc>
          <w:tcPr>
            <w:tcW w:w="1106" w:type="dxa"/>
          </w:tcPr>
          <w:p>
            <w:pPr>
              <w:spacing w:line="360" w:lineRule="auto"/>
              <w:ind w:firstLine="420" w:firstLineChars="200"/>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highlight w:val="none"/>
              </w:rPr>
            </w:pPr>
          </w:p>
        </w:tc>
        <w:tc>
          <w:tcPr>
            <w:tcW w:w="1623"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1071" w:type="dxa"/>
          </w:tcPr>
          <w:p>
            <w:pPr>
              <w:spacing w:line="360" w:lineRule="auto"/>
              <w:ind w:firstLine="420" w:firstLineChars="200"/>
              <w:rPr>
                <w:rFonts w:ascii="宋体" w:hAnsi="宋体" w:cs="宋体"/>
                <w:color w:val="auto"/>
                <w:highlight w:val="none"/>
              </w:rPr>
            </w:pPr>
          </w:p>
        </w:tc>
        <w:tc>
          <w:tcPr>
            <w:tcW w:w="1250" w:type="dxa"/>
          </w:tcPr>
          <w:p>
            <w:pPr>
              <w:spacing w:line="360" w:lineRule="auto"/>
              <w:ind w:firstLine="420" w:firstLineChars="200"/>
              <w:rPr>
                <w:rFonts w:ascii="宋体" w:hAnsi="宋体" w:cs="宋体"/>
                <w:color w:val="auto"/>
                <w:highlight w:val="none"/>
              </w:rPr>
            </w:pPr>
          </w:p>
        </w:tc>
        <w:tc>
          <w:tcPr>
            <w:tcW w:w="1106" w:type="dxa"/>
          </w:tcPr>
          <w:p>
            <w:pPr>
              <w:spacing w:line="360" w:lineRule="auto"/>
              <w:ind w:firstLine="420" w:firstLineChars="200"/>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highlight w:val="none"/>
              </w:rPr>
            </w:pPr>
          </w:p>
        </w:tc>
        <w:tc>
          <w:tcPr>
            <w:tcW w:w="1623"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1071" w:type="dxa"/>
          </w:tcPr>
          <w:p>
            <w:pPr>
              <w:spacing w:line="360" w:lineRule="auto"/>
              <w:ind w:firstLine="420" w:firstLineChars="200"/>
              <w:rPr>
                <w:rFonts w:ascii="宋体" w:hAnsi="宋体" w:cs="宋体"/>
                <w:color w:val="auto"/>
                <w:highlight w:val="none"/>
              </w:rPr>
            </w:pPr>
          </w:p>
        </w:tc>
        <w:tc>
          <w:tcPr>
            <w:tcW w:w="1250" w:type="dxa"/>
          </w:tcPr>
          <w:p>
            <w:pPr>
              <w:spacing w:line="360" w:lineRule="auto"/>
              <w:ind w:firstLine="420" w:firstLineChars="200"/>
              <w:rPr>
                <w:rFonts w:ascii="宋体" w:hAnsi="宋体" w:cs="宋体"/>
                <w:color w:val="auto"/>
                <w:highlight w:val="none"/>
              </w:rPr>
            </w:pPr>
          </w:p>
        </w:tc>
        <w:tc>
          <w:tcPr>
            <w:tcW w:w="1106" w:type="dxa"/>
          </w:tcPr>
          <w:p>
            <w:pPr>
              <w:spacing w:line="360" w:lineRule="auto"/>
              <w:ind w:firstLine="420" w:firstLineChars="200"/>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合同总价款（大小写）：</w:t>
            </w:r>
          </w:p>
          <w:p>
            <w:pPr>
              <w:spacing w:line="360" w:lineRule="auto"/>
              <w:ind w:firstLine="420" w:firstLineChars="200"/>
              <w:rPr>
                <w:rFonts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pPr>
        <w:spacing w:line="360" w:lineRule="auto"/>
        <w:ind w:firstLine="422" w:firstLineChars="200"/>
        <w:rPr>
          <w:rFonts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1、服务方式：</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2、服务方法：</w:t>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3、服务期限：</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第四条  费用及支付方式</w:t>
      </w:r>
    </w:p>
    <w:p>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(一)本项目费用有以下组成：</w:t>
      </w:r>
    </w:p>
    <w:p>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 xml:space="preserve"> 1、XX 万元；</w:t>
      </w:r>
    </w:p>
    <w:p>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 万元；</w:t>
      </w:r>
    </w:p>
    <w:p>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w:t>
      </w:r>
    </w:p>
    <w:p>
      <w:pPr>
        <w:pStyle w:val="9"/>
        <w:kinsoku w:val="0"/>
        <w:overflowPunct w:val="0"/>
        <w:ind w:firstLine="422" w:firstLineChars="200"/>
        <w:rPr>
          <w:rFonts w:ascii="宋体" w:hAnsi="宋体" w:cs="宋体"/>
          <w:b/>
          <w:color w:val="auto"/>
          <w:highlight w:val="none"/>
        </w:rPr>
      </w:pPr>
      <w:r>
        <w:rPr>
          <w:rFonts w:hint="eastAsia" w:ascii="宋体" w:hAnsi="宋体" w:cs="宋体"/>
          <w:b/>
          <w:color w:val="auto"/>
          <w:highlight w:val="none"/>
        </w:rPr>
        <w:t>(二)费用支付方式：</w:t>
      </w:r>
    </w:p>
    <w:p>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1、XXXX；</w:t>
      </w:r>
    </w:p>
    <w:p>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2、XXXX ；</w:t>
      </w:r>
    </w:p>
    <w:p>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pPr>
        <w:pStyle w:val="9"/>
        <w:kinsoku w:val="0"/>
        <w:overflowPunct w:val="0"/>
        <w:ind w:firstLine="422" w:firstLineChars="200"/>
        <w:rPr>
          <w:rFonts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本合同以人民币付款。</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该项目是否实行预付款：</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实行预付款的条件和比例：</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合同款项结算方式和支付比例：   </w:t>
      </w:r>
    </w:p>
    <w:p>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第六条  验收方法</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检测、验收费用承担方式：</w:t>
      </w:r>
    </w:p>
    <w:p>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第七条 知识产权</w:t>
      </w:r>
    </w:p>
    <w:p>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第八条 无产权瑕疵条款</w:t>
      </w:r>
    </w:p>
    <w:p>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2.若确需质量保证金的，质量保证金不得超过合同总价款的5%</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第十条 甲方的权利和义务</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3、负责检查监督乙方管理工作的实施及制度的执行情况。</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4、根据本合同规定，按时向乙方支付应付服务费用。</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第十一条 乙方的权利和义务</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5、国家法律、法规所规定由乙方承担的其它责任。</w:t>
      </w:r>
    </w:p>
    <w:p>
      <w:pPr>
        <w:pStyle w:val="9"/>
        <w:pageBreakBefore w:val="0"/>
        <w:widowControl w:val="0"/>
        <w:kinsoku w:val="0"/>
        <w:wordWrap/>
        <w:overflowPunct w:val="0"/>
        <w:topLinePunct w:val="0"/>
        <w:autoSpaceDE/>
        <w:autoSpaceDN/>
        <w:bidi w:val="0"/>
        <w:adjustRightInd/>
        <w:snapToGrid/>
        <w:spacing w:line="440" w:lineRule="exact"/>
        <w:ind w:firstLine="422" w:firstLineChars="200"/>
        <w:textAlignment w:val="auto"/>
        <w:rPr>
          <w:rFonts w:ascii="宋体" w:hAnsi="宋体" w:cs="宋体"/>
          <w:b/>
          <w:color w:val="auto"/>
          <w:highlight w:val="none"/>
        </w:rPr>
      </w:pPr>
      <w:r>
        <w:rPr>
          <w:rFonts w:hint="eastAsia" w:ascii="宋体" w:hAnsi="宋体" w:cs="宋体"/>
          <w:b/>
          <w:color w:val="auto"/>
          <w:highlight w:val="none"/>
        </w:rPr>
        <w:t>第十二条 违约责任</w:t>
      </w:r>
    </w:p>
    <w:p>
      <w:pPr>
        <w:pStyle w:val="9"/>
        <w:pageBreakBefore w:val="0"/>
        <w:widowControl w:val="0"/>
        <w:kinsoku w:val="0"/>
        <w:wordWrap/>
        <w:overflowPunct w:val="0"/>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pPr>
        <w:pStyle w:val="9"/>
        <w:pageBreakBefore w:val="0"/>
        <w:widowControl w:val="0"/>
        <w:kinsoku w:val="0"/>
        <w:wordWrap/>
        <w:overflowPunct w:val="0"/>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pPr>
        <w:pStyle w:val="9"/>
        <w:pageBreakBefore w:val="0"/>
        <w:widowControl w:val="0"/>
        <w:kinsoku w:val="0"/>
        <w:wordWrap/>
        <w:overflowPunct w:val="0"/>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9"/>
        <w:pageBreakBefore w:val="0"/>
        <w:widowControl w:val="0"/>
        <w:kinsoku w:val="0"/>
        <w:wordWrap/>
        <w:overflowPunct w:val="0"/>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pPr>
        <w:pageBreakBefore w:val="0"/>
        <w:widowControl w:val="0"/>
        <w:wordWrap/>
        <w:topLinePunct w:val="0"/>
        <w:autoSpaceDE/>
        <w:autoSpaceDN/>
        <w:bidi w:val="0"/>
        <w:adjustRightInd/>
        <w:snapToGrid/>
        <w:spacing w:line="440" w:lineRule="exact"/>
        <w:ind w:firstLine="422" w:firstLineChars="200"/>
        <w:textAlignment w:val="auto"/>
        <w:rPr>
          <w:rFonts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pPr>
        <w:pageBreakBefore w:val="0"/>
        <w:widowControl w:val="0"/>
        <w:wordWrap/>
        <w:topLinePunct w:val="0"/>
        <w:autoSpaceDE/>
        <w:autoSpaceDN/>
        <w:bidi w:val="0"/>
        <w:adjustRightInd/>
        <w:snapToGrid/>
        <w:spacing w:line="440" w:lineRule="exact"/>
        <w:ind w:firstLine="422" w:firstLineChars="200"/>
        <w:textAlignment w:val="auto"/>
        <w:rPr>
          <w:rFonts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pPr>
        <w:pStyle w:val="2"/>
        <w:pageBreakBefore w:val="0"/>
        <w:widowControl w:val="0"/>
        <w:kinsoku w:val="0"/>
        <w:wordWrap/>
        <w:overflowPunct w:val="0"/>
        <w:topLinePunct w:val="0"/>
        <w:autoSpaceDE/>
        <w:autoSpaceDN/>
        <w:bidi w:val="0"/>
        <w:adjustRightInd/>
        <w:snapToGrid/>
        <w:spacing w:line="440" w:lineRule="exact"/>
        <w:ind w:firstLine="422" w:firstLineChars="200"/>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第十五条 不可抗力事件处理</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2"/>
        <w:pageBreakBefore w:val="0"/>
        <w:widowControl w:val="0"/>
        <w:kinsoku w:val="0"/>
        <w:wordWrap/>
        <w:overflowPunct w:val="0"/>
        <w:topLinePunct w:val="0"/>
        <w:autoSpaceDE/>
        <w:autoSpaceDN/>
        <w:bidi w:val="0"/>
        <w:adjustRightInd/>
        <w:snapToGrid/>
        <w:spacing w:line="440" w:lineRule="exact"/>
        <w:ind w:firstLine="422" w:firstLineChars="200"/>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第十六条 合同纠纷调处</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pPr>
        <w:pStyle w:val="2"/>
        <w:pageBreakBefore w:val="0"/>
        <w:widowControl w:val="0"/>
        <w:kinsoku w:val="0"/>
        <w:wordWrap/>
        <w:overflowPunct w:val="0"/>
        <w:topLinePunct w:val="0"/>
        <w:autoSpaceDE/>
        <w:autoSpaceDN/>
        <w:bidi w:val="0"/>
        <w:adjustRightInd/>
        <w:snapToGrid/>
        <w:spacing w:line="440" w:lineRule="exact"/>
        <w:ind w:firstLine="420" w:firstLineChars="200"/>
        <w:textAlignment w:val="auto"/>
        <w:rPr>
          <w:rFonts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pPr>
        <w:pageBreakBefore w:val="0"/>
        <w:widowControl w:val="0"/>
        <w:wordWrap/>
        <w:topLinePunct w:val="0"/>
        <w:autoSpaceDE/>
        <w:autoSpaceDN/>
        <w:bidi w:val="0"/>
        <w:adjustRightInd/>
        <w:snapToGrid/>
        <w:spacing w:line="440" w:lineRule="exact"/>
        <w:ind w:firstLine="422" w:firstLineChars="200"/>
        <w:textAlignment w:val="auto"/>
        <w:rPr>
          <w:rFonts w:ascii="宋体" w:hAnsi="宋体" w:cs="宋体"/>
          <w:b/>
          <w:bCs/>
          <w:color w:val="auto"/>
          <w:szCs w:val="27"/>
          <w:highlight w:val="none"/>
        </w:rPr>
      </w:pPr>
      <w:r>
        <w:rPr>
          <w:rFonts w:hint="eastAsia" w:ascii="宋体" w:hAnsi="宋体" w:cs="宋体"/>
          <w:b/>
          <w:bCs/>
          <w:color w:val="auto"/>
          <w:szCs w:val="27"/>
          <w:highlight w:val="none"/>
        </w:rPr>
        <w:t>第十七条 其他</w:t>
      </w:r>
    </w:p>
    <w:p>
      <w:pPr>
        <w:pageBreakBefore w:val="0"/>
        <w:widowControl w:val="0"/>
        <w:wordWrap/>
        <w:topLinePunct w:val="0"/>
        <w:autoSpaceDE/>
        <w:autoSpaceDN/>
        <w:bidi w:val="0"/>
        <w:adjustRightInd/>
        <w:snapToGrid/>
        <w:spacing w:line="440" w:lineRule="exact"/>
        <w:ind w:firstLine="422" w:firstLineChars="200"/>
        <w:textAlignment w:val="auto"/>
        <w:rPr>
          <w:rFonts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szCs w:val="27"/>
          <w:highlight w:val="none"/>
        </w:rPr>
      </w:pPr>
    </w:p>
    <w:p>
      <w:pPr>
        <w:pStyle w:val="35"/>
        <w:pageBreakBefore w:val="0"/>
        <w:widowControl w:val="0"/>
        <w:wordWrap/>
        <w:topLinePunct w:val="0"/>
        <w:autoSpaceDE/>
        <w:autoSpaceDN/>
        <w:bidi w:val="0"/>
        <w:adjustRightInd/>
        <w:snapToGrid/>
        <w:spacing w:line="440" w:lineRule="exact"/>
        <w:ind w:firstLine="210"/>
        <w:textAlignment w:val="auto"/>
        <w:rPr>
          <w:rFonts w:ascii="宋体" w:hAnsi="宋体" w:cs="宋体"/>
          <w:color w:val="auto"/>
          <w:highlight w:val="none"/>
        </w:rPr>
      </w:pP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szCs w:val="27"/>
          <w:highlight w:val="none"/>
        </w:rPr>
        <w:t>地址：                               地址：</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szCs w:val="27"/>
          <w:highlight w:val="none"/>
        </w:rPr>
      </w:pPr>
      <w:r>
        <w:rPr>
          <w:rFonts w:hint="eastAsia" w:ascii="宋体" w:hAnsi="宋体" w:cs="宋体"/>
          <w:color w:val="auto"/>
          <w:szCs w:val="27"/>
          <w:highlight w:val="none"/>
        </w:rPr>
        <w:t>法定代表人：                         法定代表人：</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u w:val="single"/>
        </w:rPr>
      </w:pPr>
      <w:r>
        <w:rPr>
          <w:rFonts w:hint="eastAsia" w:ascii="宋体" w:hAnsi="宋体" w:cs="宋体"/>
          <w:color w:val="auto"/>
          <w:szCs w:val="27"/>
          <w:highlight w:val="none"/>
        </w:rPr>
        <w:t>委托代理人：                         委托代理人：</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电话：                               电话：</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szCs w:val="27"/>
          <w:highlight w:val="none"/>
        </w:rPr>
      </w:pPr>
      <w:r>
        <w:rPr>
          <w:rFonts w:hint="eastAsia" w:ascii="宋体" w:hAnsi="宋体" w:cs="宋体"/>
          <w:color w:val="auto"/>
          <w:szCs w:val="27"/>
          <w:highlight w:val="none"/>
        </w:rPr>
        <w:t>开户银行：                           开户银行：</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highlight w:val="none"/>
        </w:rPr>
      </w:pPr>
      <w:r>
        <w:rPr>
          <w:rFonts w:hint="eastAsia" w:ascii="宋体" w:hAnsi="宋体" w:cs="宋体"/>
          <w:color w:val="auto"/>
          <w:szCs w:val="27"/>
          <w:highlight w:val="none"/>
        </w:rPr>
        <w:t>账号：                               账号：</w:t>
      </w:r>
    </w:p>
    <w:p>
      <w:pPr>
        <w:pageBreakBefore w:val="0"/>
        <w:widowControl w:val="0"/>
        <w:wordWrap/>
        <w:topLinePunct w:val="0"/>
        <w:autoSpaceDE/>
        <w:autoSpaceDN/>
        <w:bidi w:val="0"/>
        <w:adjustRightInd/>
        <w:snapToGrid/>
        <w:spacing w:line="440" w:lineRule="exact"/>
        <w:ind w:firstLine="420" w:firstLineChars="200"/>
        <w:textAlignment w:val="auto"/>
        <w:rPr>
          <w:rFonts w:ascii="宋体" w:hAnsi="宋体" w:cs="宋体"/>
          <w:color w:val="auto"/>
          <w:szCs w:val="27"/>
          <w:highlight w:val="none"/>
          <w:u w:val="single"/>
        </w:rPr>
      </w:pPr>
    </w:p>
    <w:p>
      <w:pPr>
        <w:pStyle w:val="35"/>
        <w:pageBreakBefore w:val="0"/>
        <w:widowControl w:val="0"/>
        <w:wordWrap/>
        <w:topLinePunct w:val="0"/>
        <w:autoSpaceDE/>
        <w:autoSpaceDN/>
        <w:bidi w:val="0"/>
        <w:adjustRightInd/>
        <w:snapToGrid/>
        <w:spacing w:line="440" w:lineRule="exact"/>
        <w:ind w:firstLine="210"/>
        <w:jc w:val="center"/>
        <w:textAlignment w:val="auto"/>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pPr>
        <w:pStyle w:val="35"/>
        <w:ind w:firstLine="321"/>
        <w:jc w:val="center"/>
        <w:rPr>
          <w:b/>
          <w:color w:val="auto"/>
          <w:sz w:val="32"/>
          <w:szCs w:val="32"/>
          <w:highlight w:val="none"/>
        </w:rPr>
      </w:pPr>
    </w:p>
    <w:p>
      <w:pPr>
        <w:pStyle w:val="35"/>
        <w:ind w:firstLine="321"/>
        <w:jc w:val="center"/>
        <w:rPr>
          <w:b/>
          <w:color w:val="auto"/>
          <w:sz w:val="32"/>
          <w:szCs w:val="32"/>
          <w:highlight w:val="none"/>
        </w:rPr>
      </w:pPr>
    </w:p>
    <w:p>
      <w:pPr>
        <w:pStyle w:val="35"/>
        <w:ind w:firstLine="321"/>
        <w:jc w:val="center"/>
        <w:rPr>
          <w:b/>
          <w:color w:val="auto"/>
          <w:sz w:val="32"/>
          <w:szCs w:val="32"/>
          <w:highlight w:val="none"/>
        </w:rPr>
      </w:pPr>
    </w:p>
    <w:p>
      <w:pPr>
        <w:pStyle w:val="35"/>
        <w:ind w:firstLine="321"/>
        <w:jc w:val="center"/>
        <w:rPr>
          <w:b/>
          <w:color w:val="auto"/>
          <w:sz w:val="32"/>
          <w:szCs w:val="32"/>
          <w:highlight w:val="none"/>
        </w:rPr>
      </w:pPr>
    </w:p>
    <w:p>
      <w:pPr>
        <w:pStyle w:val="35"/>
        <w:ind w:firstLine="321"/>
        <w:jc w:val="center"/>
        <w:rPr>
          <w:b/>
          <w:color w:val="auto"/>
          <w:sz w:val="32"/>
          <w:szCs w:val="32"/>
          <w:highlight w:val="none"/>
        </w:rPr>
      </w:pPr>
      <w:r>
        <w:rPr>
          <w:rFonts w:hint="eastAsia"/>
          <w:b/>
          <w:color w:val="auto"/>
          <w:sz w:val="32"/>
          <w:szCs w:val="32"/>
          <w:highlight w:val="none"/>
        </w:rPr>
        <w:t>周口市政府采购合同融资政策告知函</w:t>
      </w:r>
    </w:p>
    <w:p>
      <w:pPr>
        <w:pStyle w:val="35"/>
        <w:ind w:firstLine="240"/>
        <w:rPr>
          <w:rFonts w:asciiTheme="minorEastAsia" w:hAnsiTheme="minorEastAsia" w:eastAsiaTheme="minorEastAsia"/>
          <w:color w:val="auto"/>
          <w:sz w:val="24"/>
          <w:highlight w:val="none"/>
        </w:rPr>
      </w:pPr>
    </w:p>
    <w:p>
      <w:pPr>
        <w:pStyle w:val="35"/>
        <w:ind w:firstLine="240"/>
        <w:rPr>
          <w:rFonts w:asciiTheme="minorEastAsia" w:hAnsiTheme="minorEastAsia" w:eastAsiaTheme="minorEastAsia"/>
          <w:color w:val="auto"/>
          <w:sz w:val="24"/>
          <w:highlight w:val="none"/>
        </w:rPr>
      </w:pPr>
    </w:p>
    <w:p>
      <w:pPr>
        <w:pStyle w:val="35"/>
        <w:ind w:firstLine="240"/>
        <w:rPr>
          <w:rFonts w:asciiTheme="minorEastAsia" w:hAnsiTheme="minorEastAsia" w:eastAsiaTheme="minorEastAsia"/>
          <w:color w:val="auto"/>
          <w:sz w:val="24"/>
          <w:highlight w:val="none"/>
        </w:rPr>
      </w:pPr>
    </w:p>
    <w:p>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35"/>
        <w:ind w:firstLine="210"/>
        <w:rPr>
          <w:color w:val="auto"/>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EwYTg0MDc3OTIyZGQ3YmQ3NDk3MjNjY2ExMWYwZDE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6F5A8E"/>
    <w:rsid w:val="03733BDF"/>
    <w:rsid w:val="03A308DC"/>
    <w:rsid w:val="040532BA"/>
    <w:rsid w:val="04176582"/>
    <w:rsid w:val="051259ED"/>
    <w:rsid w:val="07041580"/>
    <w:rsid w:val="07932A4C"/>
    <w:rsid w:val="08DB1CFF"/>
    <w:rsid w:val="08EE4992"/>
    <w:rsid w:val="0A9E30AD"/>
    <w:rsid w:val="0BEB3B44"/>
    <w:rsid w:val="0C0644C0"/>
    <w:rsid w:val="0E2A6397"/>
    <w:rsid w:val="10D62AA4"/>
    <w:rsid w:val="13552B79"/>
    <w:rsid w:val="13793DF7"/>
    <w:rsid w:val="141C4A83"/>
    <w:rsid w:val="14354A58"/>
    <w:rsid w:val="14674011"/>
    <w:rsid w:val="14677422"/>
    <w:rsid w:val="152E6B10"/>
    <w:rsid w:val="15BF1042"/>
    <w:rsid w:val="1656732A"/>
    <w:rsid w:val="179B41BC"/>
    <w:rsid w:val="181939B9"/>
    <w:rsid w:val="18D74DC1"/>
    <w:rsid w:val="1A073B05"/>
    <w:rsid w:val="1A8B64E4"/>
    <w:rsid w:val="1AED58EF"/>
    <w:rsid w:val="1B9238A2"/>
    <w:rsid w:val="1DBF2F0B"/>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C375D4"/>
    <w:rsid w:val="2AF63392"/>
    <w:rsid w:val="2BA67492"/>
    <w:rsid w:val="2C66791C"/>
    <w:rsid w:val="2D221D01"/>
    <w:rsid w:val="2D676A80"/>
    <w:rsid w:val="2D7A3266"/>
    <w:rsid w:val="2F5F2B72"/>
    <w:rsid w:val="30873A17"/>
    <w:rsid w:val="312513B2"/>
    <w:rsid w:val="31B042BF"/>
    <w:rsid w:val="31F12401"/>
    <w:rsid w:val="31FF5F72"/>
    <w:rsid w:val="32035D60"/>
    <w:rsid w:val="326E6953"/>
    <w:rsid w:val="33523A32"/>
    <w:rsid w:val="34847944"/>
    <w:rsid w:val="34B524C1"/>
    <w:rsid w:val="36D23A94"/>
    <w:rsid w:val="376940D0"/>
    <w:rsid w:val="37812649"/>
    <w:rsid w:val="38204506"/>
    <w:rsid w:val="39321D68"/>
    <w:rsid w:val="3BAE6CD9"/>
    <w:rsid w:val="3C3000ED"/>
    <w:rsid w:val="3D232399"/>
    <w:rsid w:val="3D2E2D19"/>
    <w:rsid w:val="3D31181A"/>
    <w:rsid w:val="3DC87CB2"/>
    <w:rsid w:val="3F1749BD"/>
    <w:rsid w:val="3F4F365B"/>
    <w:rsid w:val="3F9A5B70"/>
    <w:rsid w:val="40F62DA6"/>
    <w:rsid w:val="41093759"/>
    <w:rsid w:val="41380196"/>
    <w:rsid w:val="41415EFF"/>
    <w:rsid w:val="41D026B4"/>
    <w:rsid w:val="452567EA"/>
    <w:rsid w:val="46886BA6"/>
    <w:rsid w:val="48524AAD"/>
    <w:rsid w:val="490552AA"/>
    <w:rsid w:val="49536B61"/>
    <w:rsid w:val="4B7A4CDC"/>
    <w:rsid w:val="4C0164E7"/>
    <w:rsid w:val="4FFA680C"/>
    <w:rsid w:val="50981A4B"/>
    <w:rsid w:val="51FD7459"/>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AFE1987"/>
    <w:rsid w:val="6D1F0B58"/>
    <w:rsid w:val="6D3654A5"/>
    <w:rsid w:val="6E68052F"/>
    <w:rsid w:val="6EB24C26"/>
    <w:rsid w:val="72CC48B5"/>
    <w:rsid w:val="74170E85"/>
    <w:rsid w:val="75DC35E9"/>
    <w:rsid w:val="771C18D9"/>
    <w:rsid w:val="77FA11D3"/>
    <w:rsid w:val="789E6834"/>
    <w:rsid w:val="794E13F1"/>
    <w:rsid w:val="79DD67E6"/>
    <w:rsid w:val="7AE54C69"/>
    <w:rsid w:val="7B5B0730"/>
    <w:rsid w:val="7BCF79D9"/>
    <w:rsid w:val="7C1A4C7A"/>
    <w:rsid w:val="7C444892"/>
    <w:rsid w:val="7CAE7448"/>
    <w:rsid w:val="7DF36BF7"/>
    <w:rsid w:val="7E543E84"/>
    <w:rsid w:val="7E994D37"/>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Document Map"/>
    <w:basedOn w:val="1"/>
    <w:link w:val="47"/>
    <w:autoRedefine/>
    <w:qFormat/>
    <w:uiPriority w:val="0"/>
    <w:rPr>
      <w:rFonts w:ascii="宋体"/>
      <w:sz w:val="18"/>
      <w:szCs w:val="18"/>
    </w:rPr>
  </w:style>
  <w:style w:type="paragraph" w:styleId="7">
    <w:name w:val="annotation text"/>
    <w:basedOn w:val="1"/>
    <w:link w:val="46"/>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next w:val="10"/>
    <w:link w:val="44"/>
    <w:autoRedefine/>
    <w:qFormat/>
    <w:uiPriority w:val="99"/>
    <w:pPr>
      <w:spacing w:after="120"/>
    </w:pPr>
  </w:style>
  <w:style w:type="paragraph" w:customStyle="1" w:styleId="10">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Plain Text"/>
    <w:basedOn w:val="1"/>
    <w:link w:val="52"/>
    <w:autoRedefine/>
    <w:qFormat/>
    <w:uiPriority w:val="99"/>
    <w:rPr>
      <w:rFonts w:ascii="宋体" w:hAnsi="Courier New"/>
      <w:szCs w:val="20"/>
    </w:rPr>
  </w:style>
  <w:style w:type="paragraph" w:styleId="15">
    <w:name w:val="Date"/>
    <w:basedOn w:val="1"/>
    <w:next w:val="1"/>
    <w:link w:val="48"/>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69"/>
    <w:autoRedefine/>
    <w:qFormat/>
    <w:uiPriority w:val="99"/>
    <w:pPr>
      <w:tabs>
        <w:tab w:val="center" w:pos="4153"/>
        <w:tab w:val="right" w:pos="8306"/>
      </w:tabs>
      <w:snapToGrid w:val="0"/>
      <w:jc w:val="left"/>
    </w:pPr>
    <w:rPr>
      <w:sz w:val="18"/>
      <w:szCs w:val="18"/>
    </w:rPr>
  </w:style>
  <w:style w:type="paragraph" w:styleId="19">
    <w:name w:val="header"/>
    <w:basedOn w:val="1"/>
    <w:link w:val="68"/>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Body Text 2"/>
    <w:basedOn w:val="1"/>
    <w:link w:val="66"/>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autoRedefine/>
    <w:qFormat/>
    <w:uiPriority w:val="0"/>
    <w:pPr>
      <w:ind w:firstLine="420" w:firstLineChars="100"/>
    </w:pPr>
  </w:style>
  <w:style w:type="paragraph" w:styleId="26">
    <w:name w:val="Body Text First Indent 2"/>
    <w:basedOn w:val="11"/>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autoRedefine/>
    <w:qFormat/>
    <w:uiPriority w:val="22"/>
    <w:rPr>
      <w:b/>
      <w:bCs/>
    </w:rPr>
  </w:style>
  <w:style w:type="character" w:styleId="31">
    <w:name w:val="page number"/>
    <w:basedOn w:val="29"/>
    <w:autoRedefine/>
    <w:qFormat/>
    <w:uiPriority w:val="0"/>
  </w:style>
  <w:style w:type="character" w:styleId="32">
    <w:name w:val="FollowedHyperlink"/>
    <w:basedOn w:val="29"/>
    <w:autoRedefine/>
    <w:qFormat/>
    <w:uiPriority w:val="0"/>
    <w:rPr>
      <w:color w:val="000000"/>
      <w:u w:val="none"/>
    </w:rPr>
  </w:style>
  <w:style w:type="character" w:styleId="33">
    <w:name w:val="Hyperlink"/>
    <w:autoRedefine/>
    <w:qFormat/>
    <w:uiPriority w:val="0"/>
    <w:rPr>
      <w:color w:val="333333"/>
      <w:u w:val="none"/>
    </w:rPr>
  </w:style>
  <w:style w:type="character" w:styleId="34">
    <w:name w:val="annotation reference"/>
    <w:autoRedefine/>
    <w:qFormat/>
    <w:uiPriority w:val="99"/>
    <w:rPr>
      <w:sz w:val="21"/>
    </w:rPr>
  </w:style>
  <w:style w:type="paragraph" w:customStyle="1" w:styleId="35">
    <w:name w:val="BodyText1I"/>
    <w:basedOn w:val="36"/>
    <w:autoRedefine/>
    <w:qFormat/>
    <w:uiPriority w:val="99"/>
    <w:pPr>
      <w:ind w:firstLine="420" w:firstLineChars="100"/>
    </w:pPr>
  </w:style>
  <w:style w:type="paragraph" w:customStyle="1" w:styleId="36">
    <w:name w:val="BodyText"/>
    <w:basedOn w:val="1"/>
    <w:next w:val="37"/>
    <w:autoRedefine/>
    <w:qFormat/>
    <w:uiPriority w:val="99"/>
    <w:pPr>
      <w:spacing w:after="120"/>
    </w:pPr>
  </w:style>
  <w:style w:type="paragraph" w:customStyle="1" w:styleId="37">
    <w:name w:val="UserStyle_217"/>
    <w:autoRedefine/>
    <w:qFormat/>
    <w:uiPriority w:val="99"/>
    <w:pPr>
      <w:textAlignment w:val="baseline"/>
    </w:pPr>
    <w:rPr>
      <w:rFonts w:ascii="宋体" w:hAnsi="Calibri" w:eastAsia="宋体" w:cs="Times New Roman"/>
      <w:color w:val="000000"/>
      <w:sz w:val="24"/>
      <w:szCs w:val="24"/>
      <w:lang w:val="en-US" w:eastAsia="zh-CN" w:bidi="ar-SA"/>
    </w:rPr>
  </w:style>
  <w:style w:type="paragraph" w:customStyle="1" w:styleId="38">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autoRedefine/>
    <w:semiHidden/>
    <w:qFormat/>
    <w:uiPriority w:val="0"/>
    <w:rPr>
      <w:b/>
      <w:bCs/>
      <w:kern w:val="2"/>
      <w:sz w:val="32"/>
      <w:szCs w:val="32"/>
    </w:rPr>
  </w:style>
  <w:style w:type="character" w:customStyle="1" w:styleId="40">
    <w:name w:val="font231"/>
    <w:autoRedefine/>
    <w:qFormat/>
    <w:uiPriority w:val="0"/>
    <w:rPr>
      <w:rFonts w:hint="eastAsia" w:ascii="宋体" w:hAnsi="宋体" w:eastAsia="宋体" w:cs="宋体"/>
      <w:color w:val="000000"/>
      <w:sz w:val="22"/>
      <w:szCs w:val="22"/>
      <w:u w:val="none"/>
    </w:rPr>
  </w:style>
  <w:style w:type="character" w:customStyle="1" w:styleId="41">
    <w:name w:val="font11"/>
    <w:autoRedefine/>
    <w:qFormat/>
    <w:uiPriority w:val="0"/>
    <w:rPr>
      <w:rFonts w:hint="default" w:ascii="Times New Roman" w:hAnsi="Times New Roman" w:cs="Times New Roman"/>
      <w:color w:val="000000"/>
      <w:sz w:val="18"/>
      <w:szCs w:val="18"/>
      <w:u w:val="none"/>
    </w:rPr>
  </w:style>
  <w:style w:type="character" w:customStyle="1" w:styleId="42">
    <w:name w:val="font191"/>
    <w:autoRedefine/>
    <w:qFormat/>
    <w:uiPriority w:val="0"/>
    <w:rPr>
      <w:rFonts w:hint="default" w:ascii="Calibri" w:hAnsi="Calibri" w:cs="Calibri"/>
      <w:color w:val="000000"/>
      <w:sz w:val="22"/>
      <w:szCs w:val="22"/>
      <w:u w:val="none"/>
    </w:rPr>
  </w:style>
  <w:style w:type="character" w:customStyle="1" w:styleId="43">
    <w:name w:val="正文文本首行缩进 字符"/>
    <w:link w:val="25"/>
    <w:autoRedefine/>
    <w:qFormat/>
    <w:uiPriority w:val="0"/>
    <w:rPr>
      <w:kern w:val="2"/>
      <w:sz w:val="21"/>
      <w:szCs w:val="24"/>
    </w:rPr>
  </w:style>
  <w:style w:type="character" w:customStyle="1" w:styleId="44">
    <w:name w:val="正文文本 字符"/>
    <w:link w:val="9"/>
    <w:autoRedefine/>
    <w:qFormat/>
    <w:uiPriority w:val="99"/>
    <w:rPr>
      <w:kern w:val="2"/>
      <w:sz w:val="21"/>
      <w:szCs w:val="24"/>
    </w:rPr>
  </w:style>
  <w:style w:type="character" w:customStyle="1" w:styleId="45">
    <w:name w:val="font151"/>
    <w:autoRedefine/>
    <w:qFormat/>
    <w:uiPriority w:val="0"/>
    <w:rPr>
      <w:rFonts w:hint="default" w:ascii="Calibri" w:hAnsi="Calibri" w:cs="Calibri"/>
      <w:color w:val="000000"/>
      <w:sz w:val="22"/>
      <w:szCs w:val="22"/>
      <w:u w:val="none"/>
    </w:rPr>
  </w:style>
  <w:style w:type="character" w:customStyle="1" w:styleId="46">
    <w:name w:val="批注文字 字符"/>
    <w:link w:val="7"/>
    <w:autoRedefine/>
    <w:qFormat/>
    <w:uiPriority w:val="0"/>
    <w:rPr>
      <w:kern w:val="2"/>
      <w:sz w:val="21"/>
      <w:szCs w:val="24"/>
    </w:rPr>
  </w:style>
  <w:style w:type="character" w:customStyle="1" w:styleId="47">
    <w:name w:val="文档结构图 字符"/>
    <w:link w:val="6"/>
    <w:autoRedefine/>
    <w:qFormat/>
    <w:uiPriority w:val="0"/>
    <w:rPr>
      <w:rFonts w:ascii="宋体"/>
      <w:kern w:val="2"/>
      <w:sz w:val="18"/>
      <w:szCs w:val="18"/>
    </w:rPr>
  </w:style>
  <w:style w:type="character" w:customStyle="1" w:styleId="48">
    <w:name w:val="日期 字符"/>
    <w:link w:val="15"/>
    <w:autoRedefine/>
    <w:qFormat/>
    <w:uiPriority w:val="0"/>
    <w:rPr>
      <w:kern w:val="2"/>
      <w:sz w:val="21"/>
      <w:szCs w:val="24"/>
    </w:rPr>
  </w:style>
  <w:style w:type="character" w:customStyle="1" w:styleId="49">
    <w:name w:val="font221"/>
    <w:autoRedefine/>
    <w:qFormat/>
    <w:uiPriority w:val="0"/>
    <w:rPr>
      <w:rFonts w:hint="eastAsia" w:ascii="宋体" w:hAnsi="宋体" w:eastAsia="宋体" w:cs="宋体"/>
      <w:color w:val="000000"/>
      <w:sz w:val="20"/>
      <w:szCs w:val="20"/>
      <w:u w:val="none"/>
    </w:rPr>
  </w:style>
  <w:style w:type="character" w:customStyle="1" w:styleId="50">
    <w:name w:val="font61"/>
    <w:autoRedefine/>
    <w:qFormat/>
    <w:uiPriority w:val="0"/>
    <w:rPr>
      <w:rFonts w:hint="eastAsia" w:ascii="宋体" w:hAnsi="宋体" w:eastAsia="宋体" w:cs="宋体"/>
      <w:color w:val="FF0000"/>
      <w:sz w:val="22"/>
      <w:szCs w:val="22"/>
      <w:u w:val="none"/>
    </w:rPr>
  </w:style>
  <w:style w:type="character" w:customStyle="1" w:styleId="51">
    <w:name w:val="font31"/>
    <w:autoRedefine/>
    <w:qFormat/>
    <w:uiPriority w:val="0"/>
    <w:rPr>
      <w:rFonts w:hint="eastAsia" w:ascii="宋体" w:hAnsi="宋体" w:eastAsia="宋体" w:cs="宋体"/>
      <w:color w:val="000000"/>
      <w:sz w:val="18"/>
      <w:szCs w:val="18"/>
      <w:u w:val="none"/>
    </w:rPr>
  </w:style>
  <w:style w:type="character" w:customStyle="1" w:styleId="52">
    <w:name w:val="纯文本 字符"/>
    <w:link w:val="14"/>
    <w:autoRedefine/>
    <w:qFormat/>
    <w:uiPriority w:val="99"/>
    <w:rPr>
      <w:rFonts w:ascii="宋体" w:hAnsi="Courier New"/>
      <w:kern w:val="2"/>
      <w:sz w:val="21"/>
    </w:rPr>
  </w:style>
  <w:style w:type="character" w:customStyle="1" w:styleId="53">
    <w:name w:val="访问过的超链接1"/>
    <w:autoRedefine/>
    <w:qFormat/>
    <w:uiPriority w:val="0"/>
    <w:rPr>
      <w:color w:val="333333"/>
      <w:u w:val="none"/>
    </w:rPr>
  </w:style>
  <w:style w:type="character" w:customStyle="1" w:styleId="54">
    <w:name w:val="font01"/>
    <w:autoRedefine/>
    <w:qFormat/>
    <w:uiPriority w:val="0"/>
    <w:rPr>
      <w:rFonts w:hint="eastAsia" w:ascii="宋体" w:hAnsi="宋体" w:eastAsia="宋体" w:cs="宋体"/>
      <w:color w:val="000000"/>
      <w:sz w:val="22"/>
      <w:szCs w:val="22"/>
      <w:u w:val="none"/>
    </w:rPr>
  </w:style>
  <w:style w:type="character" w:customStyle="1" w:styleId="55">
    <w:name w:val="font21"/>
    <w:autoRedefine/>
    <w:qFormat/>
    <w:uiPriority w:val="0"/>
    <w:rPr>
      <w:rFonts w:hint="default" w:ascii="Times New Roman" w:hAnsi="Times New Roman" w:cs="Times New Roman"/>
      <w:color w:val="000000"/>
      <w:sz w:val="18"/>
      <w:szCs w:val="18"/>
      <w:u w:val="none"/>
    </w:rPr>
  </w:style>
  <w:style w:type="paragraph" w:customStyle="1" w:styleId="56">
    <w:name w:val="p0"/>
    <w:basedOn w:val="1"/>
    <w:autoRedefine/>
    <w:qFormat/>
    <w:uiPriority w:val="0"/>
    <w:pPr>
      <w:widowControl/>
    </w:pPr>
    <w:rPr>
      <w:rFonts w:ascii="Calibri" w:hAnsi="Calibri" w:cs="宋体"/>
      <w:kern w:val="0"/>
      <w:szCs w:val="21"/>
    </w:rPr>
  </w:style>
  <w:style w:type="paragraph" w:customStyle="1" w:styleId="57">
    <w:name w:val="List Paragraph1"/>
    <w:basedOn w:val="1"/>
    <w:autoRedefine/>
    <w:qFormat/>
    <w:uiPriority w:val="0"/>
    <w:pPr>
      <w:ind w:firstLine="420" w:firstLineChars="200"/>
    </w:pPr>
  </w:style>
  <w:style w:type="paragraph" w:customStyle="1" w:styleId="5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autoRedefine/>
    <w:qFormat/>
    <w:uiPriority w:val="0"/>
    <w:rPr>
      <w:rFonts w:ascii="Tahoma" w:hAnsi="Tahoma"/>
      <w:sz w:val="24"/>
      <w:szCs w:val="20"/>
    </w:rPr>
  </w:style>
  <w:style w:type="paragraph" w:styleId="62">
    <w:name w:val="List Paragraph"/>
    <w:basedOn w:val="1"/>
    <w:autoRedefine/>
    <w:qFormat/>
    <w:uiPriority w:val="34"/>
    <w:pPr>
      <w:ind w:firstLine="420" w:firstLineChars="200"/>
    </w:pPr>
  </w:style>
  <w:style w:type="paragraph" w:customStyle="1" w:styleId="6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autoRedefine/>
    <w:qFormat/>
    <w:uiPriority w:val="0"/>
    <w:pPr>
      <w:tabs>
        <w:tab w:val="right" w:pos="-2120"/>
      </w:tabs>
      <w:snapToGrid w:val="0"/>
    </w:pPr>
  </w:style>
  <w:style w:type="character" w:customStyle="1" w:styleId="65">
    <w:name w:val="generalinfo-address-text"/>
    <w:basedOn w:val="29"/>
    <w:autoRedefine/>
    <w:qFormat/>
    <w:uiPriority w:val="0"/>
  </w:style>
  <w:style w:type="character" w:customStyle="1" w:styleId="66">
    <w:name w:val="正文文本 2 字符"/>
    <w:link w:val="22"/>
    <w:autoRedefine/>
    <w:qFormat/>
    <w:uiPriority w:val="0"/>
    <w:rPr>
      <w:kern w:val="2"/>
      <w:sz w:val="21"/>
      <w:szCs w:val="24"/>
    </w:rPr>
  </w:style>
  <w:style w:type="character" w:customStyle="1" w:styleId="67">
    <w:name w:val="NormalCharacter"/>
    <w:autoRedefine/>
    <w:qFormat/>
    <w:uiPriority w:val="0"/>
  </w:style>
  <w:style w:type="character" w:customStyle="1" w:styleId="68">
    <w:name w:val="页眉 字符"/>
    <w:link w:val="19"/>
    <w:autoRedefine/>
    <w:qFormat/>
    <w:uiPriority w:val="99"/>
    <w:rPr>
      <w:kern w:val="2"/>
      <w:sz w:val="18"/>
      <w:szCs w:val="18"/>
    </w:rPr>
  </w:style>
  <w:style w:type="character" w:customStyle="1" w:styleId="69">
    <w:name w:val="页脚 字符"/>
    <w:link w:val="18"/>
    <w:autoRedefine/>
    <w:qFormat/>
    <w:uiPriority w:val="99"/>
    <w:rPr>
      <w:kern w:val="2"/>
      <w:sz w:val="18"/>
      <w:szCs w:val="18"/>
    </w:rPr>
  </w:style>
  <w:style w:type="paragraph" w:customStyle="1" w:styleId="7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1">
    <w:name w:val="contentlabel"/>
    <w:autoRedefine/>
    <w:qFormat/>
    <w:uiPriority w:val="0"/>
  </w:style>
  <w:style w:type="paragraph" w:customStyle="1" w:styleId="72">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autoRedefine/>
    <w:qFormat/>
    <w:uiPriority w:val="0"/>
    <w:rPr>
      <w:sz w:val="21"/>
      <w:szCs w:val="21"/>
    </w:rPr>
  </w:style>
  <w:style w:type="character" w:customStyle="1" w:styleId="75">
    <w:name w:val="first-child"/>
    <w:basedOn w:val="29"/>
    <w:autoRedefine/>
    <w:qFormat/>
    <w:uiPriority w:val="0"/>
    <w:rPr>
      <w:color w:val="1F3149"/>
      <w:sz w:val="24"/>
      <w:szCs w:val="24"/>
    </w:rPr>
  </w:style>
  <w:style w:type="character" w:customStyle="1" w:styleId="76">
    <w:name w:val="first-child1"/>
    <w:basedOn w:val="29"/>
    <w:autoRedefine/>
    <w:qFormat/>
    <w:uiPriority w:val="0"/>
    <w:rPr>
      <w:color w:val="1F3149"/>
      <w:sz w:val="24"/>
      <w:szCs w:val="24"/>
    </w:rPr>
  </w:style>
  <w:style w:type="character" w:customStyle="1" w:styleId="77">
    <w:name w:val="xiadan"/>
    <w:basedOn w:val="29"/>
    <w:autoRedefine/>
    <w:qFormat/>
    <w:uiPriority w:val="0"/>
    <w:rPr>
      <w:shd w:val="clear" w:color="auto" w:fill="E4393C"/>
    </w:rPr>
  </w:style>
  <w:style w:type="character" w:customStyle="1" w:styleId="78">
    <w:name w:val="fr"/>
    <w:basedOn w:val="29"/>
    <w:autoRedefine/>
    <w:qFormat/>
    <w:uiPriority w:val="0"/>
  </w:style>
  <w:style w:type="character" w:customStyle="1" w:styleId="79">
    <w:name w:val="icon_ds"/>
    <w:basedOn w:val="29"/>
    <w:autoRedefine/>
    <w:qFormat/>
    <w:uiPriority w:val="0"/>
  </w:style>
  <w:style w:type="paragraph" w:customStyle="1" w:styleId="80">
    <w:name w:val="正文1"/>
    <w:basedOn w:val="1"/>
    <w:autoRedefine/>
    <w:qFormat/>
    <w:uiPriority w:val="0"/>
    <w:pPr>
      <w:widowControl/>
      <w:topLinePunct/>
      <w:spacing w:beforeLines="50" w:afterLines="50" w:line="300" w:lineRule="auto"/>
      <w:ind w:left="420"/>
    </w:pPr>
  </w:style>
  <w:style w:type="character" w:customStyle="1" w:styleId="81">
    <w:name w:val="hover17"/>
    <w:basedOn w:val="29"/>
    <w:autoRedefine/>
    <w:qFormat/>
    <w:uiPriority w:val="0"/>
  </w:style>
  <w:style w:type="character" w:customStyle="1" w:styleId="82">
    <w:name w:val="hover18"/>
    <w:basedOn w:val="29"/>
    <w:autoRedefine/>
    <w:qFormat/>
    <w:uiPriority w:val="0"/>
  </w:style>
  <w:style w:type="paragraph" w:customStyle="1" w:styleId="83">
    <w:name w:val="Table Text"/>
    <w:basedOn w:val="1"/>
    <w:autoRedefine/>
    <w:semiHidden/>
    <w:qFormat/>
    <w:uiPriority w:val="0"/>
    <w:rPr>
      <w:rFonts w:ascii="宋体" w:hAnsi="宋体" w:eastAsia="宋体" w:cs="宋体"/>
      <w:sz w:val="20"/>
      <w:szCs w:val="20"/>
      <w:lang w:val="en-US" w:eastAsia="en-US" w:bidi="ar-SA"/>
    </w:rPr>
  </w:style>
  <w:style w:type="table" w:customStyle="1" w:styleId="84">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3082</Words>
  <Characters>17569</Characters>
  <Lines>146</Lines>
  <Paragraphs>41</Paragraphs>
  <TotalTime>1</TotalTime>
  <ScaleCrop>false</ScaleCrop>
  <LinksUpToDate>false</LinksUpToDate>
  <CharactersWithSpaces>20610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a5</cp:lastModifiedBy>
  <cp:lastPrinted>2020-11-18T03:21:00Z</cp:lastPrinted>
  <dcterms:modified xsi:type="dcterms:W3CDTF">2024-02-23T05:33:46Z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3F3AEF60031F459BB45F1EB8C7A16E06</vt:lpwstr>
  </property>
</Properties>
</file>