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hint="eastAsia" w:ascii="宋体" w:hAnsi="宋体" w:eastAsia="宋体" w:cs="宋体"/>
          <w:b/>
          <w:color w:val="auto"/>
          <w:spacing w:val="36"/>
          <w:sz w:val="52"/>
          <w:szCs w:val="52"/>
          <w:highlight w:val="none"/>
        </w:rPr>
      </w:pPr>
      <w:r>
        <w:rPr>
          <w:rFonts w:hint="eastAsia" w:ascii="宋体" w:hAnsi="宋体" w:eastAsia="宋体" w:cs="宋体"/>
          <w:b/>
          <w:bCs/>
          <w:color w:val="auto"/>
          <w:spacing w:val="36"/>
          <w:sz w:val="52"/>
          <w:szCs w:val="52"/>
          <w:highlight w:val="none"/>
        </w:rPr>
        <w:t>周口市公共资源交易中心</w:t>
      </w:r>
    </w:p>
    <w:p>
      <w:pPr>
        <w:tabs>
          <w:tab w:val="left" w:pos="315"/>
          <w:tab w:val="left" w:pos="8820"/>
        </w:tabs>
        <w:spacing w:line="500" w:lineRule="exact"/>
        <w:ind w:right="267" w:rightChars="127"/>
        <w:jc w:val="center"/>
        <w:rPr>
          <w:rFonts w:hint="eastAsia" w:ascii="宋体" w:hAnsi="宋体" w:eastAsia="宋体" w:cs="宋体"/>
          <w:b/>
          <w:bCs/>
          <w:color w:val="auto"/>
          <w:sz w:val="48"/>
          <w:highlight w:val="none"/>
        </w:rPr>
      </w:pPr>
    </w:p>
    <w:p>
      <w:pPr>
        <w:tabs>
          <w:tab w:val="left" w:pos="315"/>
          <w:tab w:val="left" w:pos="8820"/>
        </w:tabs>
        <w:spacing w:line="240" w:lineRule="auto"/>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竞争性磋商文件</w:t>
      </w:r>
    </w:p>
    <w:p>
      <w:pPr>
        <w:tabs>
          <w:tab w:val="left" w:pos="315"/>
          <w:tab w:val="left" w:pos="8820"/>
        </w:tabs>
        <w:spacing w:line="500" w:lineRule="exact"/>
        <w:ind w:right="267" w:rightChars="127"/>
        <w:jc w:val="center"/>
        <w:rPr>
          <w:rFonts w:hint="eastAsia" w:ascii="宋体" w:hAnsi="宋体" w:eastAsia="宋体" w:cs="宋体"/>
          <w:color w:val="auto"/>
          <w:sz w:val="44"/>
          <w:highlight w:val="none"/>
        </w:rPr>
      </w:pPr>
    </w:p>
    <w:p>
      <w:pPr>
        <w:tabs>
          <w:tab w:val="left" w:pos="315"/>
          <w:tab w:val="left" w:pos="8820"/>
        </w:tabs>
        <w:ind w:right="267" w:rightChars="127"/>
        <w:rPr>
          <w:rFonts w:hint="eastAsia" w:ascii="宋体" w:hAnsi="宋体" w:eastAsia="宋体" w:cs="宋体"/>
          <w:color w:val="auto"/>
          <w:sz w:val="44"/>
          <w:highlight w:val="none"/>
        </w:rPr>
      </w:pPr>
    </w:p>
    <w:p>
      <w:pPr>
        <w:tabs>
          <w:tab w:val="left" w:pos="315"/>
          <w:tab w:val="left" w:pos="8820"/>
        </w:tabs>
        <w:spacing w:line="500" w:lineRule="exact"/>
        <w:ind w:right="267" w:rightChars="127"/>
        <w:rPr>
          <w:rFonts w:hint="eastAsia" w:ascii="宋体" w:hAnsi="宋体" w:eastAsia="宋体" w:cs="宋体"/>
          <w:b/>
          <w:bCs/>
          <w:color w:val="auto"/>
          <w:sz w:val="36"/>
          <w:highlight w:val="none"/>
        </w:rPr>
      </w:pPr>
    </w:p>
    <w:p>
      <w:pPr>
        <w:tabs>
          <w:tab w:val="left" w:pos="315"/>
          <w:tab w:val="left" w:pos="8820"/>
        </w:tabs>
        <w:spacing w:line="500" w:lineRule="exact"/>
        <w:ind w:right="267" w:rightChars="127"/>
        <w:rPr>
          <w:rFonts w:hint="eastAsia" w:ascii="宋体" w:hAnsi="宋体" w:eastAsia="宋体" w:cs="宋体"/>
          <w:b/>
          <w:bCs/>
          <w:color w:val="auto"/>
          <w:sz w:val="36"/>
          <w:highlight w:val="none"/>
        </w:rPr>
      </w:pPr>
    </w:p>
    <w:p>
      <w:pPr>
        <w:tabs>
          <w:tab w:val="left" w:pos="315"/>
          <w:tab w:val="left" w:pos="8820"/>
        </w:tabs>
        <w:spacing w:line="500" w:lineRule="exact"/>
        <w:ind w:right="267" w:rightChars="127"/>
        <w:jc w:val="center"/>
        <w:rPr>
          <w:rFonts w:hint="eastAsia" w:ascii="宋体" w:hAnsi="宋体" w:eastAsia="宋体" w:cs="宋体"/>
          <w:color w:val="auto"/>
          <w:sz w:val="32"/>
          <w:highlight w:val="none"/>
        </w:rPr>
      </w:pPr>
    </w:p>
    <w:p>
      <w:pPr>
        <w:tabs>
          <w:tab w:val="left" w:pos="315"/>
          <w:tab w:val="left" w:pos="8820"/>
        </w:tabs>
        <w:spacing w:line="600" w:lineRule="exact"/>
        <w:ind w:right="267" w:rightChars="127"/>
        <w:jc w:val="left"/>
        <w:rPr>
          <w:rFonts w:hint="eastAsia" w:ascii="宋体" w:hAnsi="宋体" w:eastAsia="宋体" w:cs="宋体"/>
          <w:b/>
          <w:bCs/>
          <w:color w:val="auto"/>
          <w:sz w:val="30"/>
          <w:szCs w:val="30"/>
          <w:highlight w:val="none"/>
        </w:rPr>
      </w:pPr>
    </w:p>
    <w:p>
      <w:pPr>
        <w:tabs>
          <w:tab w:val="left" w:pos="315"/>
          <w:tab w:val="left" w:pos="8820"/>
        </w:tabs>
        <w:spacing w:line="600" w:lineRule="exact"/>
        <w:ind w:left="1285" w:right="267" w:rightChars="127" w:hanging="1446" w:hangingChars="400"/>
        <w:jc w:val="left"/>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项目名称:周口市淮阳区财政局淮阳区预算单位会计核算服务项目</w:t>
      </w:r>
    </w:p>
    <w:p>
      <w:pPr>
        <w:tabs>
          <w:tab w:val="left" w:pos="315"/>
          <w:tab w:val="left" w:pos="8820"/>
        </w:tabs>
        <w:spacing w:line="600" w:lineRule="exact"/>
        <w:ind w:right="267" w:rightChars="127"/>
        <w:jc w:val="left"/>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rPr>
        <w:t>项目编号:</w:t>
      </w:r>
      <w:r>
        <w:rPr>
          <w:rFonts w:hint="eastAsia" w:ascii="宋体" w:hAnsi="宋体" w:cs="宋体"/>
          <w:b/>
          <w:bCs/>
          <w:color w:val="auto"/>
          <w:sz w:val="36"/>
          <w:szCs w:val="36"/>
          <w:highlight w:val="none"/>
          <w:lang w:val="en-US" w:eastAsia="zh-CN"/>
        </w:rPr>
        <w:t>2024-01-25</w:t>
      </w:r>
    </w:p>
    <w:p>
      <w:pPr>
        <w:pStyle w:val="8"/>
        <w:rPr>
          <w:rFonts w:hint="eastAsia" w:ascii="宋体" w:hAnsi="宋体" w:eastAsia="宋体" w:cs="宋体"/>
          <w:b/>
          <w:bCs/>
          <w:color w:val="auto"/>
          <w:sz w:val="56"/>
          <w:szCs w:val="28"/>
          <w:highlight w:val="none"/>
        </w:rPr>
      </w:pPr>
    </w:p>
    <w:p>
      <w:pPr>
        <w:pStyle w:val="8"/>
        <w:rPr>
          <w:rFonts w:hint="eastAsia" w:ascii="宋体" w:hAnsi="宋体" w:eastAsia="宋体" w:cs="宋体"/>
          <w:b/>
          <w:color w:val="auto"/>
          <w:sz w:val="36"/>
          <w:szCs w:val="18"/>
          <w:highlight w:val="none"/>
        </w:rPr>
      </w:pPr>
    </w:p>
    <w:p>
      <w:pPr>
        <w:pStyle w:val="8"/>
        <w:rPr>
          <w:rFonts w:hint="eastAsia" w:ascii="宋体" w:hAnsi="宋体" w:eastAsia="宋体" w:cs="宋体"/>
          <w:b/>
          <w:color w:val="auto"/>
          <w:sz w:val="36"/>
          <w:szCs w:val="18"/>
          <w:highlight w:val="none"/>
        </w:rPr>
      </w:pPr>
    </w:p>
    <w:p>
      <w:pPr>
        <w:pStyle w:val="8"/>
        <w:jc w:val="center"/>
        <w:rPr>
          <w:rFonts w:hint="eastAsia" w:ascii="宋体" w:hAnsi="宋体" w:eastAsia="宋体" w:cs="宋体"/>
          <w:b/>
          <w:color w:val="auto"/>
          <w:sz w:val="36"/>
          <w:szCs w:val="18"/>
          <w:highlight w:val="none"/>
        </w:rPr>
      </w:pPr>
      <w:r>
        <w:rPr>
          <w:rFonts w:hint="eastAsia" w:ascii="宋体" w:hAnsi="宋体" w:cs="宋体"/>
          <w:color w:val="auto"/>
          <w:sz w:val="36"/>
          <w:szCs w:val="36"/>
          <w:highlight w:val="none"/>
          <w:shd w:val="clear" w:color="auto" w:fill="FFFFFF"/>
          <w:lang w:val="en-US" w:eastAsia="zh-CN"/>
        </w:rPr>
        <w:t>2024</w:t>
      </w:r>
      <w:r>
        <w:rPr>
          <w:rFonts w:hint="eastAsia" w:ascii="宋体" w:hAnsi="宋体" w:eastAsia="宋体" w:cs="宋体"/>
          <w:color w:val="auto"/>
          <w:sz w:val="36"/>
          <w:szCs w:val="36"/>
          <w:highlight w:val="none"/>
          <w:shd w:val="clear" w:color="auto" w:fill="FFFFFF"/>
          <w:lang w:val="en-US" w:eastAsia="zh-CN"/>
        </w:rPr>
        <w:t>年</w:t>
      </w:r>
      <w:r>
        <w:rPr>
          <w:rFonts w:hint="eastAsia" w:ascii="宋体" w:hAnsi="宋体" w:cs="宋体"/>
          <w:color w:val="auto"/>
          <w:sz w:val="36"/>
          <w:szCs w:val="36"/>
          <w:highlight w:val="none"/>
          <w:shd w:val="clear" w:color="auto" w:fill="FFFFFF"/>
          <w:lang w:val="en-US" w:eastAsia="zh-CN"/>
        </w:rPr>
        <w:t>2</w:t>
      </w:r>
      <w:r>
        <w:rPr>
          <w:rFonts w:hint="eastAsia" w:ascii="宋体" w:hAnsi="宋体" w:eastAsia="宋体" w:cs="宋体"/>
          <w:color w:val="auto"/>
          <w:sz w:val="36"/>
          <w:szCs w:val="36"/>
          <w:highlight w:val="none"/>
          <w:shd w:val="clear" w:color="auto" w:fill="FFFFFF"/>
          <w:lang w:val="en-US" w:eastAsia="zh-CN"/>
        </w:rPr>
        <w:t>月</w:t>
      </w:r>
    </w:p>
    <w:p>
      <w:pPr>
        <w:pStyle w:val="8"/>
        <w:jc w:val="center"/>
        <w:rPr>
          <w:rFonts w:hint="eastAsia" w:ascii="宋体" w:hAnsi="宋体" w:eastAsia="宋体" w:cs="宋体"/>
          <w:b/>
          <w:color w:val="auto"/>
          <w:sz w:val="32"/>
          <w:highlight w:val="none"/>
        </w:rPr>
      </w:pPr>
    </w:p>
    <w:p>
      <w:pPr>
        <w:rPr>
          <w:rFonts w:hint="eastAsia" w:ascii="宋体" w:hAnsi="宋体" w:eastAsia="宋体" w:cs="宋体"/>
          <w:b/>
          <w:color w:val="auto"/>
          <w:sz w:val="30"/>
          <w:szCs w:val="30"/>
          <w:highlight w:val="none"/>
        </w:rPr>
      </w:pPr>
    </w:p>
    <w:p>
      <w:pPr>
        <w:pStyle w:val="25"/>
        <w:ind w:firstLine="210"/>
        <w:rPr>
          <w:rFonts w:hint="eastAsia" w:ascii="宋体" w:hAnsi="宋体" w:eastAsia="宋体" w:cs="宋体"/>
          <w:color w:val="auto"/>
          <w:highlight w:val="none"/>
        </w:rPr>
      </w:pPr>
    </w:p>
    <w:p>
      <w:pPr>
        <w:pStyle w:val="25"/>
        <w:ind w:firstLine="210"/>
        <w:rPr>
          <w:rFonts w:hint="eastAsia" w:ascii="宋体" w:hAnsi="宋体" w:eastAsia="宋体" w:cs="宋体"/>
          <w:color w:val="auto"/>
          <w:highlight w:val="none"/>
        </w:rPr>
      </w:pPr>
    </w:p>
    <w:p>
      <w:pPr>
        <w:spacing w:line="56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目     录</w:t>
      </w:r>
    </w:p>
    <w:p>
      <w:pPr>
        <w:rPr>
          <w:rFonts w:hint="eastAsia" w:ascii="宋体" w:hAnsi="宋体" w:eastAsia="宋体" w:cs="宋体"/>
          <w:b/>
          <w:color w:val="auto"/>
          <w:sz w:val="32"/>
          <w:szCs w:val="32"/>
          <w:highlight w:val="none"/>
        </w:rPr>
      </w:pPr>
    </w:p>
    <w:p>
      <w:pPr>
        <w:spacing w:line="800" w:lineRule="exac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第一章  竞争性磋商邀请函 .........................3</w:t>
      </w:r>
    </w:p>
    <w:p>
      <w:pPr>
        <w:spacing w:line="800" w:lineRule="exac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供应商须知 ...............................6</w:t>
      </w:r>
    </w:p>
    <w:p>
      <w:pPr>
        <w:spacing w:line="800" w:lineRule="exac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第三章  采购项目内容及要求.......................24</w:t>
      </w:r>
    </w:p>
    <w:p>
      <w:pPr>
        <w:spacing w:line="800" w:lineRule="exac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第四章  响应性文件内容及格式.....................25</w:t>
      </w:r>
    </w:p>
    <w:p>
      <w:pPr>
        <w:spacing w:line="800" w:lineRule="exac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第五章  合同主要条款 合同签订指引、供应商履约验收指引38</w:t>
      </w:r>
    </w:p>
    <w:p>
      <w:pPr>
        <w:spacing w:line="800" w:lineRule="exact"/>
        <w:ind w:firstLine="2249" w:firstLineChars="700"/>
        <w:rPr>
          <w:rFonts w:hint="eastAsia" w:ascii="宋体" w:hAnsi="宋体" w:eastAsia="宋体" w:cs="宋体"/>
          <w:b/>
          <w:color w:val="auto"/>
          <w:sz w:val="32"/>
          <w:szCs w:val="32"/>
          <w:highlight w:val="none"/>
        </w:rPr>
      </w:pPr>
    </w:p>
    <w:p>
      <w:pPr>
        <w:spacing w:line="800" w:lineRule="exact"/>
        <w:ind w:firstLine="2249" w:firstLineChars="700"/>
        <w:rPr>
          <w:rFonts w:hint="eastAsia" w:ascii="宋体" w:hAnsi="宋体" w:eastAsia="宋体" w:cs="宋体"/>
          <w:b/>
          <w:color w:val="auto"/>
          <w:sz w:val="32"/>
          <w:szCs w:val="32"/>
          <w:highlight w:val="none"/>
        </w:rPr>
      </w:pPr>
    </w:p>
    <w:p>
      <w:pPr>
        <w:spacing w:line="800" w:lineRule="exact"/>
        <w:ind w:firstLine="2249" w:firstLineChars="700"/>
        <w:rPr>
          <w:rFonts w:hint="eastAsia" w:ascii="宋体" w:hAnsi="宋体" w:eastAsia="宋体" w:cs="宋体"/>
          <w:b/>
          <w:color w:val="auto"/>
          <w:sz w:val="32"/>
          <w:szCs w:val="32"/>
          <w:highlight w:val="none"/>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第一章    竞争性磋商邀请函</w:t>
      </w:r>
    </w:p>
    <w:p>
      <w:pPr>
        <w:pStyle w:val="38"/>
        <w:rPr>
          <w:rFonts w:hint="eastAsia" w:ascii="宋体" w:hAnsi="宋体" w:eastAsia="宋体" w:cs="宋体"/>
          <w:color w:val="auto"/>
          <w:highlight w:val="none"/>
        </w:rPr>
      </w:pP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周口市淮阳区财政局淮阳区预算单位会计核算服务项目(项目名称) 项目的潜在投标人应在周口市公共资源交易中心网（http://jyzx.zhoukou.gov.cn）获取招标文件，并于 </w:t>
      </w: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03月08</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eastAsia="宋体" w:cs="宋体"/>
          <w:color w:val="auto"/>
          <w:sz w:val="24"/>
          <w:szCs w:val="24"/>
          <w:highlight w:val="none"/>
        </w:rPr>
        <w:t>分（北京时间）前递交投标文件。</w:t>
      </w:r>
    </w:p>
    <w:p>
      <w:pPr>
        <w:pStyle w:val="2"/>
        <w:autoSpaceDE w:val="0"/>
        <w:autoSpaceDN w:val="0"/>
        <w:spacing w:line="360" w:lineRule="auto"/>
        <w:jc w:val="left"/>
        <w:rPr>
          <w:rFonts w:hint="eastAsia" w:ascii="宋体" w:hAnsi="宋体" w:eastAsia="宋体" w:cs="宋体"/>
          <w:color w:val="auto"/>
          <w:sz w:val="24"/>
          <w:szCs w:val="24"/>
          <w:highlight w:val="none"/>
        </w:rPr>
      </w:pPr>
      <w:bookmarkStart w:id="0" w:name="_Toc35393629"/>
      <w:bookmarkStart w:id="1" w:name="_Toc28359089"/>
      <w:bookmarkStart w:id="2" w:name="_Toc28359012"/>
      <w:bookmarkStart w:id="3" w:name="_Toc35393798"/>
      <w:r>
        <w:rPr>
          <w:rFonts w:hint="eastAsia" w:ascii="宋体" w:hAnsi="宋体" w:eastAsia="宋体" w:cs="宋体"/>
          <w:color w:val="auto"/>
          <w:sz w:val="24"/>
          <w:szCs w:val="24"/>
          <w:highlight w:val="none"/>
        </w:rPr>
        <w:t>一、项目基本情况</w:t>
      </w:r>
      <w:bookmarkEnd w:id="0"/>
      <w:bookmarkEnd w:id="1"/>
      <w:bookmarkEnd w:id="2"/>
      <w:bookmarkEnd w:id="3"/>
    </w:p>
    <w:p>
      <w:pPr>
        <w:autoSpaceDE w:val="0"/>
        <w:autoSpaceDN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2024-01-25</w:t>
      </w:r>
    </w:p>
    <w:p>
      <w:pPr>
        <w:autoSpaceDE w:val="0"/>
        <w:autoSpaceDN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项目名称：周口市淮阳区财政局淮阳区预算单位会计核算服务项目</w:t>
      </w:r>
    </w:p>
    <w:p>
      <w:pP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采购方式：竞争性磋商</w:t>
      </w:r>
    </w:p>
    <w:p>
      <w:pPr>
        <w:autoSpaceDE w:val="0"/>
        <w:autoSpaceDN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预算金额：</w:t>
      </w:r>
      <w:r>
        <w:rPr>
          <w:rFonts w:hint="eastAsia" w:ascii="宋体" w:hAnsi="宋体" w:cs="宋体"/>
          <w:color w:val="auto"/>
          <w:sz w:val="24"/>
          <w:szCs w:val="24"/>
          <w:highlight w:val="none"/>
          <w:lang w:val="en-US" w:eastAsia="zh-CN"/>
        </w:rPr>
        <w:t>44.5</w:t>
      </w:r>
      <w:r>
        <w:rPr>
          <w:rFonts w:hint="eastAsia" w:ascii="宋体" w:hAnsi="宋体" w:eastAsia="宋体" w:cs="宋体"/>
          <w:color w:val="auto"/>
          <w:sz w:val="24"/>
          <w:szCs w:val="24"/>
          <w:highlight w:val="none"/>
          <w:lang w:val="en-US" w:eastAsia="zh-CN"/>
        </w:rPr>
        <w:t>万元</w:t>
      </w:r>
    </w:p>
    <w:p>
      <w:pPr>
        <w:shd w:val="clear"/>
        <w:autoSpaceDE w:val="0"/>
        <w:autoSpaceDN w:val="0"/>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最高限价：</w:t>
      </w:r>
      <w:r>
        <w:rPr>
          <w:rFonts w:hint="eastAsia" w:ascii="宋体" w:hAnsi="宋体" w:cs="宋体"/>
          <w:color w:val="auto"/>
          <w:sz w:val="24"/>
          <w:szCs w:val="24"/>
          <w:highlight w:val="none"/>
          <w:lang w:val="en-US" w:eastAsia="zh-CN"/>
        </w:rPr>
        <w:t>44.5</w:t>
      </w:r>
      <w:r>
        <w:rPr>
          <w:rFonts w:hint="eastAsia" w:ascii="宋体" w:hAnsi="宋体" w:eastAsia="宋体" w:cs="宋体"/>
          <w:color w:val="auto"/>
          <w:sz w:val="24"/>
          <w:szCs w:val="24"/>
          <w:highlight w:val="none"/>
          <w:lang w:val="en-US" w:eastAsia="zh-CN"/>
        </w:rPr>
        <w:t>万元</w:t>
      </w:r>
    </w:p>
    <w:p>
      <w:pPr>
        <w:pStyle w:val="24"/>
        <w:shd w:val="clear"/>
        <w:snapToGrid w:val="0"/>
        <w:spacing w:before="0" w:beforeAutospacing="0" w:after="0" w:afterAutospacing="0" w:line="360" w:lineRule="auto"/>
        <w:ind w:firstLine="720" w:firstLineChars="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包划分：</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个包</w:t>
      </w:r>
    </w:p>
    <w:tbl>
      <w:tblPr>
        <w:tblStyle w:val="28"/>
        <w:tblW w:w="94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40"/>
        <w:gridCol w:w="6150"/>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shd w:val="clear" w:color="auto" w:fill="auto"/>
            <w:vAlign w:val="center"/>
          </w:tcPr>
          <w:p>
            <w:pPr>
              <w:pStyle w:val="24"/>
              <w:shd w:val="clear"/>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shd w:val="clear"/>
              </w:rPr>
            </w:pPr>
            <w:r>
              <w:rPr>
                <w:rFonts w:hint="eastAsia" w:ascii="宋体" w:hAnsi="宋体" w:eastAsia="宋体" w:cs="宋体"/>
                <w:color w:val="auto"/>
                <w:kern w:val="2"/>
                <w:sz w:val="24"/>
                <w:szCs w:val="24"/>
                <w:highlight w:val="none"/>
                <w:shd w:val="clear"/>
              </w:rPr>
              <w:t>包号</w:t>
            </w:r>
          </w:p>
        </w:tc>
        <w:tc>
          <w:tcPr>
            <w:tcW w:w="6150" w:type="dxa"/>
            <w:shd w:val="clear" w:color="auto" w:fill="auto"/>
            <w:vAlign w:val="center"/>
          </w:tcPr>
          <w:p>
            <w:pPr>
              <w:pStyle w:val="24"/>
              <w:shd w:val="clear"/>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shd w:val="clear"/>
              </w:rPr>
            </w:pPr>
            <w:r>
              <w:rPr>
                <w:rFonts w:hint="eastAsia" w:ascii="宋体" w:hAnsi="宋体" w:eastAsia="宋体" w:cs="宋体"/>
                <w:color w:val="auto"/>
                <w:kern w:val="2"/>
                <w:sz w:val="24"/>
                <w:szCs w:val="24"/>
                <w:highlight w:val="none"/>
                <w:shd w:val="clear"/>
              </w:rPr>
              <w:t>包名称</w:t>
            </w:r>
          </w:p>
        </w:tc>
        <w:tc>
          <w:tcPr>
            <w:tcW w:w="2025" w:type="dxa"/>
            <w:shd w:val="clear" w:color="auto" w:fill="auto"/>
            <w:vAlign w:val="center"/>
          </w:tcPr>
          <w:p>
            <w:pPr>
              <w:pStyle w:val="24"/>
              <w:shd w:val="clear"/>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shd w:val="clear"/>
              </w:rPr>
            </w:pPr>
            <w:r>
              <w:rPr>
                <w:rFonts w:hint="eastAsia" w:ascii="宋体" w:hAnsi="宋体" w:eastAsia="宋体" w:cs="宋体"/>
                <w:color w:val="auto"/>
                <w:kern w:val="2"/>
                <w:sz w:val="24"/>
                <w:szCs w:val="24"/>
                <w:highlight w:val="none"/>
                <w:shd w:val="clear"/>
              </w:rPr>
              <w:t>包最高限价</w:t>
            </w:r>
            <w:r>
              <w:rPr>
                <w:rFonts w:hint="eastAsia" w:ascii="宋体" w:hAnsi="宋体" w:eastAsia="宋体" w:cs="宋体"/>
                <w:color w:val="auto"/>
                <w:kern w:val="2"/>
                <w:sz w:val="24"/>
                <w:szCs w:val="24"/>
                <w:highlight w:val="none"/>
                <w:shd w:val="clear"/>
                <w:lang w:val="en-US" w:eastAsia="zh-CN"/>
              </w:rPr>
              <w:t>万</w:t>
            </w:r>
            <w:r>
              <w:rPr>
                <w:rFonts w:hint="eastAsia" w:ascii="宋体" w:hAnsi="宋体" w:eastAsia="宋体" w:cs="宋体"/>
                <w:color w:val="auto"/>
                <w:kern w:val="2"/>
                <w:sz w:val="24"/>
                <w:szCs w:val="24"/>
                <w:highlight w:val="none"/>
                <w:shd w:val="clear"/>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240" w:type="dxa"/>
            <w:shd w:val="clear" w:color="auto" w:fill="auto"/>
            <w:vAlign w:val="center"/>
          </w:tcPr>
          <w:p>
            <w:pPr>
              <w:pStyle w:val="24"/>
              <w:shd w:val="clear"/>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shd w:val="clear"/>
              </w:rPr>
            </w:pPr>
            <w:r>
              <w:rPr>
                <w:rFonts w:hint="eastAsia" w:ascii="宋体" w:hAnsi="宋体" w:eastAsia="宋体" w:cs="宋体"/>
                <w:color w:val="auto"/>
                <w:kern w:val="2"/>
                <w:sz w:val="24"/>
                <w:szCs w:val="24"/>
                <w:highlight w:val="none"/>
                <w:shd w:val="clear"/>
              </w:rPr>
              <w:t>1</w:t>
            </w:r>
          </w:p>
        </w:tc>
        <w:tc>
          <w:tcPr>
            <w:tcW w:w="6150" w:type="dxa"/>
            <w:shd w:val="clear" w:color="auto" w:fill="auto"/>
            <w:vAlign w:val="center"/>
          </w:tcPr>
          <w:p>
            <w:pPr>
              <w:shd w:val="clear"/>
              <w:adjustRightInd w:val="0"/>
              <w:snapToGrid w:val="0"/>
              <w:spacing w:line="360" w:lineRule="auto"/>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周口市淮阳区财政局淮阳区预算单位会计核算服务项目</w:t>
            </w:r>
          </w:p>
        </w:tc>
        <w:tc>
          <w:tcPr>
            <w:tcW w:w="2025" w:type="dxa"/>
            <w:shd w:val="clear" w:color="auto" w:fill="auto"/>
            <w:vAlign w:val="center"/>
          </w:tcPr>
          <w:p>
            <w:pPr>
              <w:shd w:val="clear"/>
              <w:adjustRightInd w:val="0"/>
              <w:snapToGrid w:val="0"/>
              <w:spacing w:line="360" w:lineRule="auto"/>
              <w:rPr>
                <w:rFonts w:hint="default" w:ascii="宋体" w:hAnsi="宋体" w:eastAsia="宋体" w:cs="宋体"/>
                <w:color w:val="auto"/>
                <w:sz w:val="24"/>
                <w:szCs w:val="24"/>
                <w:highlight w:val="none"/>
                <w:shd w:val="clear"/>
                <w:lang w:val="en-US" w:eastAsia="zh-CN"/>
              </w:rPr>
            </w:pPr>
            <w:r>
              <w:rPr>
                <w:rFonts w:hint="eastAsia" w:ascii="宋体" w:hAnsi="宋体" w:cs="宋体"/>
                <w:color w:val="auto"/>
                <w:sz w:val="24"/>
                <w:szCs w:val="24"/>
                <w:highlight w:val="none"/>
                <w:shd w:val="clear"/>
                <w:lang w:val="en-US" w:eastAsia="zh-CN"/>
              </w:rPr>
              <w:t>44.5</w:t>
            </w:r>
          </w:p>
        </w:tc>
      </w:tr>
    </w:tbl>
    <w:p>
      <w:pPr>
        <w:numPr>
          <w:ilvl w:val="0"/>
          <w:numId w:val="1"/>
        </w:numPr>
        <w:shd w:val="clear"/>
        <w:autoSpaceDE w:val="0"/>
        <w:autoSpaceDN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采购需求：（包括但不限于标的的名称、数量、简要技术需求或服务要求等）</w:t>
      </w:r>
    </w:p>
    <w:p>
      <w:pPr>
        <w:pStyle w:val="36"/>
        <w:numPr>
          <w:ilvl w:val="0"/>
          <w:numId w:val="0"/>
        </w:numPr>
        <w:rPr>
          <w:rFonts w:hint="default" w:eastAsia="宋体"/>
          <w:color w:val="auto"/>
          <w:highlight w:val="none"/>
          <w:lang w:val="en-US" w:eastAsia="zh-CN"/>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周口市淮阳区财政局淮阳区预算单位会计核算服务项目</w:t>
      </w:r>
    </w:p>
    <w:p>
      <w:pPr>
        <w:spacing w:line="360" w:lineRule="auto"/>
        <w:ind w:firstLine="720" w:firstLineChars="3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5.1周口市淮阳区财政局淮阳区预算单位会计核算服务项目（详见磋商文件）</w:t>
      </w:r>
    </w:p>
    <w:p>
      <w:pPr>
        <w:spacing w:line="360" w:lineRule="auto"/>
        <w:ind w:firstLine="720" w:firstLineChars="3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5.2服务期限：自合同签之日起</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年</w:t>
      </w:r>
    </w:p>
    <w:p>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5.3质量要求：符合现行国家有关法规、标准、规范和产业、行业标准。</w:t>
      </w:r>
    </w:p>
    <w:p>
      <w:pPr>
        <w:spacing w:line="360" w:lineRule="auto"/>
        <w:ind w:firstLine="480" w:firstLineChars="200"/>
        <w:jc w:val="left"/>
        <w:rPr>
          <w:rFonts w:hint="eastAsia" w:ascii="宋体" w:hAnsi="宋体" w:eastAsia="宋体" w:cs="宋体"/>
          <w:color w:val="auto"/>
          <w:sz w:val="24"/>
          <w:szCs w:val="24"/>
          <w:highlight w:val="none"/>
          <w:lang w:val="en-US" w:eastAsia="zh-CN"/>
        </w:rPr>
      </w:pPr>
      <w:bookmarkStart w:id="4" w:name="_Toc28359090"/>
      <w:bookmarkStart w:id="5" w:name="_Toc35393799"/>
      <w:bookmarkStart w:id="6" w:name="_Toc35393630"/>
      <w:bookmarkStart w:id="7" w:name="_Toc28359013"/>
      <w:r>
        <w:rPr>
          <w:rFonts w:hint="eastAsia" w:ascii="宋体" w:hAnsi="宋体" w:eastAsia="宋体" w:cs="宋体"/>
          <w:color w:val="auto"/>
          <w:sz w:val="24"/>
          <w:szCs w:val="24"/>
          <w:highlight w:val="none"/>
          <w:lang w:val="en-US" w:eastAsia="zh-CN"/>
        </w:rPr>
        <w:t>6、合同履行期限：自合同签之日起</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年</w:t>
      </w:r>
    </w:p>
    <w:p>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是否接受进口产品：</w:t>
      </w:r>
      <w:r>
        <w:rPr>
          <w:rFonts w:hint="eastAsia" w:ascii="宋体" w:hAnsi="宋体" w:eastAsia="宋体" w:cs="宋体"/>
          <w:color w:val="auto"/>
          <w:sz w:val="24"/>
          <w:szCs w:val="24"/>
          <w:highlight w:val="none"/>
          <w:lang w:val="en-US" w:eastAsia="zh-CN"/>
        </w:rPr>
        <w:t>否</w:t>
      </w:r>
    </w:p>
    <w:p>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本项目是否接受联合体投标：</w:t>
      </w:r>
      <w:r>
        <w:rPr>
          <w:rFonts w:hint="eastAsia" w:ascii="宋体" w:hAnsi="宋体" w:eastAsia="宋体" w:cs="宋体"/>
          <w:color w:val="auto"/>
          <w:sz w:val="24"/>
          <w:szCs w:val="24"/>
          <w:highlight w:val="none"/>
          <w:lang w:val="en-US" w:eastAsia="zh-CN"/>
        </w:rPr>
        <w:t>否</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本项目是否为只面向中小企业采购：是</w:t>
      </w:r>
    </w:p>
    <w:p>
      <w:pPr>
        <w:pStyle w:val="2"/>
        <w:autoSpaceDE w:val="0"/>
        <w:autoSpaceDN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二、申请人的资格要求：</w:t>
      </w:r>
      <w:bookmarkEnd w:id="4"/>
      <w:bookmarkEnd w:id="5"/>
      <w:bookmarkEnd w:id="6"/>
      <w:bookmarkEnd w:id="7"/>
    </w:p>
    <w:p>
      <w:pPr>
        <w:autoSpaceDE w:val="0"/>
        <w:autoSpaceDN w:val="0"/>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（2）具有良好的商业信誉和健全的财务会计制度； </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（3）具有履行合同所必需的设备和专业技术能力； </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（4）有依法缴纳税收和社会保障资金的良好记录； </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（5）参加政府采购活动前三年内，在经营活动中没有重大违法记录； </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（6）法律、行政法规规定的其他条件。 </w:t>
      </w:r>
    </w:p>
    <w:p>
      <w:pPr>
        <w:autoSpaceDE w:val="0"/>
        <w:autoSpaceDN w:val="0"/>
        <w:spacing w:line="360" w:lineRule="auto"/>
        <w:ind w:firstLine="540"/>
        <w:rPr>
          <w:rFonts w:hint="eastAsia" w:ascii="宋体" w:hAnsi="宋体" w:eastAsia="宋体" w:cs="宋体"/>
          <w:color w:val="auto"/>
          <w:sz w:val="24"/>
          <w:szCs w:val="24"/>
          <w:highlight w:val="none"/>
        </w:rPr>
      </w:pPr>
      <w:bookmarkStart w:id="8" w:name="_Toc28359091"/>
      <w:bookmarkStart w:id="9" w:name="_Toc28359014"/>
      <w:r>
        <w:rPr>
          <w:rFonts w:hint="eastAsia" w:ascii="宋体" w:hAnsi="宋体" w:eastAsia="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"http://www.creditchina.gov.cn/"</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www.creditchina.gov.cn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）的“重大税收违法失信主体”、“失信被执行人”和“中国政府采购”网站(</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"http://www.ccgp.gov.cn/"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www.ccgp.gov.cn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)的“政府采购严重违法失信行为记录名单”的供应商</w:t>
      </w:r>
      <w:r>
        <w:rPr>
          <w:rFonts w:hint="eastAsia" w:ascii="宋体" w:hAnsi="宋体" w:cs="宋体"/>
          <w:color w:val="auto"/>
          <w:sz w:val="24"/>
          <w:szCs w:val="24"/>
          <w:highlight w:val="none"/>
          <w:lang w:val="en-US" w:eastAsia="zh-CN"/>
        </w:rPr>
        <w:t>和法定代表人</w:t>
      </w:r>
      <w:r>
        <w:rPr>
          <w:rFonts w:hint="eastAsia" w:ascii="宋体" w:hAnsi="宋体" w:eastAsia="宋体" w:cs="宋体"/>
          <w:color w:val="auto"/>
          <w:sz w:val="24"/>
          <w:szCs w:val="24"/>
          <w:highlight w:val="none"/>
        </w:rPr>
        <w:t>，将拒绝其参加政府采购活动；在标书中附加盖公章的网页查询扫描件，查询日期为公告发布之日起至投标截止之日止。</w:t>
      </w:r>
    </w:p>
    <w:p>
      <w:pPr>
        <w:pStyle w:val="2"/>
        <w:autoSpaceDE w:val="0"/>
        <w:autoSpaceDN w:val="0"/>
        <w:spacing w:line="360" w:lineRule="auto"/>
        <w:jc w:val="left"/>
        <w:rPr>
          <w:rFonts w:hint="eastAsia" w:ascii="宋体" w:hAnsi="宋体" w:eastAsia="宋体" w:cs="宋体"/>
          <w:color w:val="auto"/>
          <w:sz w:val="24"/>
          <w:szCs w:val="24"/>
          <w:highlight w:val="none"/>
        </w:rPr>
      </w:pPr>
      <w:bookmarkStart w:id="10" w:name="_Toc35393800"/>
      <w:bookmarkStart w:id="11" w:name="_Toc35393631"/>
      <w:r>
        <w:rPr>
          <w:rFonts w:hint="eastAsia" w:ascii="宋体" w:hAnsi="宋体" w:eastAsia="宋体" w:cs="宋体"/>
          <w:color w:val="auto"/>
          <w:sz w:val="24"/>
          <w:szCs w:val="24"/>
          <w:highlight w:val="none"/>
        </w:rPr>
        <w:t>三、获取采购文件</w:t>
      </w:r>
      <w:bookmarkEnd w:id="8"/>
      <w:bookmarkEnd w:id="9"/>
      <w:bookmarkEnd w:id="10"/>
      <w:bookmarkEnd w:id="11"/>
    </w:p>
    <w:p>
      <w:pPr>
        <w:autoSpaceDE w:val="0"/>
        <w:autoSpaceDN w:val="0"/>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r>
        <w:rPr>
          <w:rFonts w:hint="eastAsia" w:ascii="宋体" w:hAnsi="宋体" w:cs="宋体"/>
          <w:color w:val="auto"/>
          <w:sz w:val="24"/>
          <w:szCs w:val="24"/>
          <w:highlight w:val="none"/>
          <w:lang w:val="en-US" w:eastAsia="zh-CN"/>
        </w:rPr>
        <w:t>2024</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02</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26</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至</w:t>
      </w:r>
      <w:r>
        <w:rPr>
          <w:rFonts w:hint="eastAsia" w:ascii="宋体" w:hAnsi="宋体" w:cs="宋体"/>
          <w:color w:val="auto"/>
          <w:sz w:val="24"/>
          <w:szCs w:val="24"/>
          <w:highlight w:val="none"/>
          <w:lang w:val="en-US" w:eastAsia="zh-CN"/>
        </w:rPr>
        <w:t>2024</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03</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04</w:t>
      </w:r>
      <w:r>
        <w:rPr>
          <w:rFonts w:hint="eastAsia" w:ascii="宋体" w:hAnsi="宋体" w:eastAsia="宋体" w:cs="宋体"/>
          <w:color w:val="auto"/>
          <w:sz w:val="24"/>
          <w:szCs w:val="24"/>
          <w:highlight w:val="none"/>
          <w:u w:val="single"/>
        </w:rPr>
        <w:t>日</w:t>
      </w:r>
      <w:r>
        <w:rPr>
          <w:rFonts w:hint="eastAsia" w:ascii="宋体" w:hAnsi="宋体" w:cs="宋体"/>
          <w:color w:val="auto"/>
          <w:sz w:val="24"/>
          <w:szCs w:val="24"/>
          <w:highlight w:val="none"/>
          <w:u w:val="single"/>
          <w:lang w:val="en-US" w:eastAsia="zh-CN"/>
        </w:rPr>
        <w:t>23:59</w:t>
      </w:r>
      <w:r>
        <w:rPr>
          <w:rFonts w:hint="eastAsia" w:ascii="宋体" w:hAnsi="宋体" w:eastAsia="宋体" w:cs="宋体"/>
          <w:color w:val="auto"/>
          <w:sz w:val="24"/>
          <w:szCs w:val="24"/>
          <w:highlight w:val="none"/>
        </w:rPr>
        <w:t>（北京时间，法定节假日除外 ）</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地点：周口市公共资源交易中心网（http://jyzx.zhoukou.gov.cn）</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售价：0</w:t>
      </w:r>
    </w:p>
    <w:p>
      <w:pPr>
        <w:pStyle w:val="2"/>
        <w:autoSpaceDE w:val="0"/>
        <w:autoSpaceDN w:val="0"/>
        <w:spacing w:line="360" w:lineRule="auto"/>
        <w:jc w:val="left"/>
        <w:rPr>
          <w:rFonts w:hint="eastAsia" w:ascii="宋体" w:hAnsi="宋体" w:eastAsia="宋体" w:cs="宋体"/>
          <w:color w:val="auto"/>
          <w:sz w:val="24"/>
          <w:szCs w:val="24"/>
          <w:highlight w:val="none"/>
        </w:rPr>
      </w:pPr>
      <w:bookmarkStart w:id="12" w:name="_Toc28359015"/>
      <w:bookmarkStart w:id="13" w:name="_Toc28359092"/>
      <w:bookmarkStart w:id="14" w:name="_Toc35393632"/>
      <w:bookmarkStart w:id="15" w:name="_Toc35393801"/>
      <w:r>
        <w:rPr>
          <w:rFonts w:hint="eastAsia" w:ascii="宋体" w:hAnsi="宋体" w:eastAsia="宋体" w:cs="宋体"/>
          <w:color w:val="auto"/>
          <w:sz w:val="24"/>
          <w:szCs w:val="24"/>
          <w:highlight w:val="none"/>
        </w:rPr>
        <w:t>四、响应文件提交</w:t>
      </w:r>
      <w:bookmarkEnd w:id="12"/>
      <w:bookmarkEnd w:id="13"/>
      <w:bookmarkEnd w:id="14"/>
      <w:bookmarkEnd w:id="15"/>
    </w:p>
    <w:p>
      <w:pPr>
        <w:autoSpaceDE w:val="0"/>
        <w:autoSpaceDN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截止时间：</w:t>
      </w:r>
      <w:r>
        <w:rPr>
          <w:rFonts w:hint="eastAsia" w:ascii="宋体" w:hAnsi="宋体" w:cs="宋体"/>
          <w:color w:val="auto"/>
          <w:sz w:val="24"/>
          <w:szCs w:val="24"/>
          <w:highlight w:val="none"/>
          <w:lang w:val="en-US" w:eastAsia="zh-CN"/>
        </w:rPr>
        <w:t>2024</w:t>
      </w:r>
      <w:r>
        <w:rPr>
          <w:rFonts w:hint="eastAsia" w:ascii="宋体" w:hAnsi="宋体" w:eastAsia="宋体" w:cs="宋体"/>
          <w:bCs/>
          <w:color w:val="auto"/>
          <w:sz w:val="24"/>
          <w:szCs w:val="24"/>
          <w:highlight w:val="none"/>
          <w:u w:val="single"/>
        </w:rPr>
        <w:t>年</w:t>
      </w:r>
      <w:r>
        <w:rPr>
          <w:rFonts w:hint="eastAsia" w:ascii="宋体" w:hAnsi="宋体" w:cs="宋体"/>
          <w:bCs/>
          <w:color w:val="auto"/>
          <w:sz w:val="24"/>
          <w:szCs w:val="24"/>
          <w:highlight w:val="none"/>
          <w:u w:val="single"/>
          <w:lang w:val="en-US" w:eastAsia="zh-CN"/>
        </w:rPr>
        <w:t>03</w:t>
      </w:r>
      <w:r>
        <w:rPr>
          <w:rFonts w:hint="eastAsia" w:ascii="宋体" w:hAnsi="宋体" w:eastAsia="宋体" w:cs="宋体"/>
          <w:bCs/>
          <w:color w:val="auto"/>
          <w:sz w:val="24"/>
          <w:szCs w:val="24"/>
          <w:highlight w:val="none"/>
          <w:u w:val="single"/>
        </w:rPr>
        <w:t>月</w:t>
      </w:r>
      <w:r>
        <w:rPr>
          <w:rFonts w:hint="eastAsia" w:ascii="宋体" w:hAnsi="宋体" w:cs="宋体"/>
          <w:bCs/>
          <w:color w:val="auto"/>
          <w:sz w:val="24"/>
          <w:szCs w:val="24"/>
          <w:highlight w:val="none"/>
          <w:u w:val="single"/>
          <w:lang w:val="en-US" w:eastAsia="zh-CN"/>
        </w:rPr>
        <w:t>08</w:t>
      </w:r>
      <w:r>
        <w:rPr>
          <w:rFonts w:hint="eastAsia" w:ascii="宋体" w:hAnsi="宋体" w:eastAsia="宋体" w:cs="宋体"/>
          <w:bCs/>
          <w:color w:val="auto"/>
          <w:sz w:val="24"/>
          <w:szCs w:val="24"/>
          <w:highlight w:val="none"/>
          <w:u w:val="single"/>
        </w:rPr>
        <w:t>日</w:t>
      </w:r>
      <w:r>
        <w:rPr>
          <w:rFonts w:hint="eastAsia" w:ascii="宋体" w:hAnsi="宋体" w:cs="宋体"/>
          <w:bCs/>
          <w:color w:val="auto"/>
          <w:sz w:val="24"/>
          <w:szCs w:val="24"/>
          <w:highlight w:val="none"/>
          <w:u w:val="single"/>
          <w:lang w:val="en-US" w:eastAsia="zh-CN"/>
        </w:rPr>
        <w:t>10</w:t>
      </w:r>
      <w:r>
        <w:rPr>
          <w:rFonts w:hint="eastAsia" w:ascii="宋体" w:hAnsi="宋体" w:eastAsia="宋体" w:cs="宋体"/>
          <w:bCs/>
          <w:color w:val="auto"/>
          <w:sz w:val="24"/>
          <w:szCs w:val="24"/>
          <w:highlight w:val="none"/>
          <w:u w:val="single"/>
        </w:rPr>
        <w:t>点</w:t>
      </w:r>
      <w:r>
        <w:rPr>
          <w:rFonts w:hint="eastAsia" w:ascii="宋体" w:hAnsi="宋体" w:cs="宋体"/>
          <w:bCs/>
          <w:color w:val="auto"/>
          <w:sz w:val="24"/>
          <w:szCs w:val="24"/>
          <w:highlight w:val="none"/>
          <w:u w:val="single"/>
          <w:lang w:val="en-US" w:eastAsia="zh-CN"/>
        </w:rPr>
        <w:t>00</w:t>
      </w:r>
      <w:r>
        <w:rPr>
          <w:rFonts w:hint="eastAsia" w:ascii="宋体" w:hAnsi="宋体" w:eastAsia="宋体" w:cs="宋体"/>
          <w:bCs/>
          <w:color w:val="auto"/>
          <w:sz w:val="24"/>
          <w:szCs w:val="24"/>
          <w:highlight w:val="none"/>
          <w:u w:val="single"/>
        </w:rPr>
        <w:t>分</w:t>
      </w:r>
      <w:r>
        <w:rPr>
          <w:rFonts w:hint="eastAsia" w:ascii="宋体" w:hAnsi="宋体" w:eastAsia="宋体" w:cs="宋体"/>
          <w:bCs/>
          <w:color w:val="auto"/>
          <w:sz w:val="24"/>
          <w:szCs w:val="24"/>
          <w:highlight w:val="none"/>
        </w:rPr>
        <w:t>（北京时间）</w:t>
      </w:r>
    </w:p>
    <w:p>
      <w:pPr>
        <w:autoSpaceDE w:val="0"/>
        <w:autoSpaceDN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地点：加密电子响应文件须在投标截止时间前通过</w:t>
      </w:r>
      <w:r>
        <w:rPr>
          <w:rFonts w:hint="eastAsia" w:ascii="宋体" w:hAnsi="宋体" w:eastAsia="宋体" w:cs="宋体"/>
          <w:color w:val="auto"/>
          <w:spacing w:val="-6"/>
          <w:sz w:val="24"/>
          <w:szCs w:val="24"/>
          <w:highlight w:val="none"/>
        </w:rPr>
        <w:t>周口市公共资源交易中心网</w:t>
      </w:r>
      <w:r>
        <w:rPr>
          <w:rFonts w:hint="eastAsia" w:ascii="宋体" w:hAnsi="宋体" w:eastAsia="宋体" w:cs="宋体"/>
          <w:color w:val="auto"/>
          <w:sz w:val="24"/>
          <w:szCs w:val="24"/>
          <w:highlight w:val="none"/>
        </w:rPr>
        <w:t>（网址http://jyzx.zhoukou.gov.cn）。</w:t>
      </w:r>
    </w:p>
    <w:p>
      <w:pPr>
        <w:pStyle w:val="2"/>
        <w:autoSpaceDE w:val="0"/>
        <w:autoSpaceDN w:val="0"/>
        <w:spacing w:line="360" w:lineRule="auto"/>
        <w:jc w:val="left"/>
        <w:rPr>
          <w:rFonts w:hint="eastAsia" w:ascii="宋体" w:hAnsi="宋体" w:eastAsia="宋体" w:cs="宋体"/>
          <w:color w:val="auto"/>
          <w:sz w:val="24"/>
          <w:szCs w:val="24"/>
          <w:highlight w:val="none"/>
        </w:rPr>
      </w:pPr>
      <w:bookmarkStart w:id="16" w:name="_Toc35393633"/>
      <w:bookmarkStart w:id="17" w:name="_Toc28359093"/>
      <w:bookmarkStart w:id="18" w:name="_Toc35393802"/>
      <w:bookmarkStart w:id="19" w:name="_Toc28359016"/>
      <w:r>
        <w:rPr>
          <w:rFonts w:hint="eastAsia" w:ascii="宋体" w:hAnsi="宋体" w:eastAsia="宋体" w:cs="宋体"/>
          <w:color w:val="auto"/>
          <w:sz w:val="24"/>
          <w:szCs w:val="24"/>
          <w:highlight w:val="none"/>
        </w:rPr>
        <w:t>五、开启（竞争性磋商方式必须填写）</w:t>
      </w:r>
      <w:bookmarkEnd w:id="16"/>
      <w:bookmarkEnd w:id="17"/>
      <w:bookmarkEnd w:id="18"/>
      <w:bookmarkEnd w:id="19"/>
    </w:p>
    <w:p>
      <w:pPr>
        <w:autoSpaceDE w:val="0"/>
        <w:autoSpaceDN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u w:val="single"/>
        </w:rPr>
        <w:t>2024年03月08日10点00分</w:t>
      </w:r>
      <w:r>
        <w:rPr>
          <w:rFonts w:hint="eastAsia" w:ascii="宋体" w:hAnsi="宋体" w:eastAsia="宋体" w:cs="宋体"/>
          <w:bCs/>
          <w:color w:val="auto"/>
          <w:sz w:val="24"/>
          <w:szCs w:val="24"/>
          <w:highlight w:val="none"/>
        </w:rPr>
        <w:t>（北京时间）</w:t>
      </w:r>
    </w:p>
    <w:p>
      <w:pPr>
        <w:autoSpaceDE w:val="0"/>
        <w:autoSpaceDN w:val="0"/>
        <w:spacing w:line="360" w:lineRule="auto"/>
        <w:ind w:firstLine="480" w:firstLineChars="200"/>
        <w:jc w:val="left"/>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地点：周口市公共资源交易中心开标室</w:t>
      </w:r>
    </w:p>
    <w:p>
      <w:pPr>
        <w:pStyle w:val="2"/>
        <w:autoSpaceDE w:val="0"/>
        <w:autoSpaceDN w:val="0"/>
        <w:spacing w:line="360" w:lineRule="auto"/>
        <w:jc w:val="left"/>
        <w:rPr>
          <w:rFonts w:hint="eastAsia" w:ascii="宋体" w:hAnsi="宋体" w:eastAsia="宋体" w:cs="宋体"/>
          <w:color w:val="auto"/>
          <w:sz w:val="24"/>
          <w:szCs w:val="24"/>
          <w:highlight w:val="none"/>
        </w:rPr>
      </w:pPr>
      <w:bookmarkStart w:id="20" w:name="_Toc28359094"/>
      <w:bookmarkStart w:id="21" w:name="_Toc35393803"/>
      <w:bookmarkStart w:id="22" w:name="_Toc28359017"/>
      <w:bookmarkStart w:id="23" w:name="_Toc35393634"/>
      <w:r>
        <w:rPr>
          <w:rFonts w:hint="eastAsia" w:ascii="宋体" w:hAnsi="宋体" w:eastAsia="宋体" w:cs="宋体"/>
          <w:color w:val="auto"/>
          <w:sz w:val="24"/>
          <w:szCs w:val="24"/>
          <w:highlight w:val="none"/>
        </w:rPr>
        <w:t>六、公告期限</w:t>
      </w:r>
      <w:bookmarkEnd w:id="20"/>
      <w:bookmarkEnd w:id="21"/>
      <w:bookmarkEnd w:id="22"/>
      <w:bookmarkEnd w:id="23"/>
    </w:p>
    <w:p>
      <w:pPr>
        <w:autoSpaceDE w:val="0"/>
        <w:autoSpaceDN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pPr>
        <w:pStyle w:val="2"/>
        <w:autoSpaceDE w:val="0"/>
        <w:autoSpaceDN w:val="0"/>
        <w:spacing w:line="360" w:lineRule="auto"/>
        <w:jc w:val="left"/>
        <w:rPr>
          <w:rFonts w:hint="eastAsia" w:ascii="宋体" w:hAnsi="宋体" w:eastAsia="宋体" w:cs="宋体"/>
          <w:color w:val="auto"/>
          <w:sz w:val="24"/>
          <w:szCs w:val="24"/>
          <w:highlight w:val="none"/>
        </w:rPr>
      </w:pPr>
      <w:bookmarkStart w:id="24" w:name="_Toc35393635"/>
      <w:bookmarkStart w:id="25" w:name="_Toc35393804"/>
      <w:r>
        <w:rPr>
          <w:rFonts w:hint="eastAsia" w:ascii="宋体" w:hAnsi="宋体" w:eastAsia="宋体" w:cs="宋体"/>
          <w:color w:val="auto"/>
          <w:sz w:val="24"/>
          <w:szCs w:val="24"/>
          <w:highlight w:val="none"/>
        </w:rPr>
        <w:t>七、其他补充事宜</w:t>
      </w:r>
      <w:bookmarkEnd w:id="24"/>
      <w:bookmarkEnd w:id="25"/>
    </w:p>
    <w:p>
      <w:pPr>
        <w:pStyle w:val="2"/>
        <w:autoSpaceDE w:val="0"/>
        <w:autoSpaceDN w:val="0"/>
        <w:spacing w:line="360" w:lineRule="auto"/>
        <w:jc w:val="left"/>
        <w:rPr>
          <w:rFonts w:hint="eastAsia" w:ascii="宋体" w:hAnsi="宋体" w:eastAsia="宋体" w:cs="宋体"/>
          <w:color w:val="auto"/>
          <w:sz w:val="24"/>
          <w:szCs w:val="24"/>
          <w:highlight w:val="none"/>
        </w:rPr>
      </w:pPr>
      <w:bookmarkStart w:id="26" w:name="_Toc35393636"/>
      <w:bookmarkStart w:id="27" w:name="_Toc35393805"/>
      <w:bookmarkStart w:id="28" w:name="_Toc28359095"/>
      <w:bookmarkStart w:id="29" w:name="_Toc28359018"/>
      <w:r>
        <w:rPr>
          <w:rFonts w:hint="eastAsia" w:ascii="宋体" w:hAnsi="宋体" w:eastAsia="宋体" w:cs="宋体"/>
          <w:color w:val="auto"/>
          <w:sz w:val="24"/>
          <w:szCs w:val="24"/>
          <w:highlight w:val="none"/>
        </w:rPr>
        <w:t>八、凡对本次采购提出询问，请按以下方式联系。</w:t>
      </w:r>
      <w:bookmarkEnd w:id="26"/>
      <w:bookmarkEnd w:id="27"/>
      <w:bookmarkEnd w:id="28"/>
      <w:bookmarkEnd w:id="29"/>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lang w:val="en-US" w:eastAsia="zh-CN"/>
        </w:rPr>
        <w:t>周口市淮阳区财政局</w:t>
      </w:r>
      <w:r>
        <w:rPr>
          <w:rFonts w:hint="eastAsia" w:ascii="宋体" w:hAnsi="宋体" w:eastAsia="宋体" w:cs="宋体"/>
          <w:color w:val="auto"/>
          <w:sz w:val="24"/>
          <w:szCs w:val="24"/>
          <w:highlight w:val="none"/>
        </w:rPr>
        <w:t>　　　　　　　　　　　　</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　</w:t>
      </w:r>
      <w:r>
        <w:rPr>
          <w:rFonts w:hint="eastAsia" w:ascii="宋体" w:hAnsi="宋体" w:eastAsia="宋体" w:cs="宋体"/>
          <w:color w:val="auto"/>
          <w:sz w:val="24"/>
          <w:szCs w:val="24"/>
          <w:highlight w:val="none"/>
          <w:lang w:val="en-US" w:eastAsia="zh-CN"/>
        </w:rPr>
        <w:t>周口市淮阳区</w:t>
      </w:r>
      <w:r>
        <w:rPr>
          <w:rFonts w:hint="eastAsia" w:ascii="宋体" w:hAnsi="宋体" w:eastAsia="宋体" w:cs="宋体"/>
          <w:color w:val="auto"/>
          <w:sz w:val="24"/>
          <w:szCs w:val="24"/>
          <w:highlight w:val="none"/>
        </w:rPr>
        <w:t>　　　　　　　　　　　</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安超</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联系方式：</w:t>
      </w:r>
      <w:r>
        <w:rPr>
          <w:rFonts w:hint="eastAsia" w:ascii="宋体" w:hAnsi="宋体" w:cs="宋体"/>
          <w:color w:val="auto"/>
          <w:sz w:val="24"/>
          <w:highlight w:val="none"/>
          <w:lang w:val="en-US" w:eastAsia="zh-CN"/>
        </w:rPr>
        <w:t>13523388618</w:t>
      </w:r>
      <w:r>
        <w:rPr>
          <w:rFonts w:hint="eastAsia" w:ascii="宋体" w:hAnsi="宋体" w:eastAsia="宋体" w:cs="宋体"/>
          <w:color w:val="auto"/>
          <w:sz w:val="24"/>
          <w:szCs w:val="24"/>
          <w:highlight w:val="none"/>
        </w:rPr>
        <w:t xml:space="preserve">　　　　　　　　　　　 </w:t>
      </w:r>
      <w:bookmarkStart w:id="30" w:name="_Toc28359086"/>
      <w:bookmarkStart w:id="31" w:name="_Toc28359009"/>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30"/>
      <w:bookmarkEnd w:id="31"/>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　　　　　　　　　　　　</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址：周口市光明路与政通路交叉口向北100米路东</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曹晨阳</w:t>
      </w:r>
      <w:r>
        <w:rPr>
          <w:rFonts w:hint="eastAsia" w:ascii="宋体" w:hAnsi="宋体" w:eastAsia="宋体" w:cs="宋体"/>
          <w:color w:val="auto"/>
          <w:sz w:val="24"/>
          <w:szCs w:val="24"/>
          <w:highlight w:val="none"/>
        </w:rPr>
        <w:t xml:space="preserve">        联系方式：</w:t>
      </w:r>
      <w:bookmarkStart w:id="32" w:name="_Toc28359010"/>
      <w:bookmarkStart w:id="33" w:name="_Toc28359087"/>
      <w:r>
        <w:rPr>
          <w:rFonts w:hint="eastAsia" w:ascii="宋体" w:hAnsi="宋体" w:cs="宋体"/>
          <w:color w:val="auto"/>
          <w:sz w:val="24"/>
          <w:szCs w:val="24"/>
          <w:highlight w:val="none"/>
          <w:lang w:val="en-US" w:eastAsia="zh-CN"/>
        </w:rPr>
        <w:t>0394-8106517</w:t>
      </w:r>
      <w:r>
        <w:rPr>
          <w:rFonts w:hint="eastAsia" w:ascii="宋体" w:hAnsi="宋体" w:eastAsia="宋体" w:cs="宋体"/>
          <w:color w:val="auto"/>
          <w:sz w:val="24"/>
          <w:szCs w:val="24"/>
          <w:highlight w:val="none"/>
        </w:rPr>
        <w:t>　　　　　　　　</w:t>
      </w:r>
    </w:p>
    <w:bookmarkEnd w:id="32"/>
    <w:bookmarkEnd w:id="33"/>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项目联系方式</w:t>
      </w:r>
    </w:p>
    <w:p>
      <w:pPr>
        <w:pStyle w:val="36"/>
        <w:ind w:firstLine="720" w:firstLineChars="3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项目联系人：安超</w:t>
      </w:r>
    </w:p>
    <w:p>
      <w:pPr>
        <w:pStyle w:val="36"/>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联系方式：  </w:t>
      </w:r>
      <w:r>
        <w:rPr>
          <w:rFonts w:hint="eastAsia" w:ascii="宋体" w:hAnsi="宋体" w:cs="宋体"/>
          <w:color w:val="auto"/>
          <w:sz w:val="24"/>
          <w:highlight w:val="none"/>
          <w:lang w:val="en-US" w:eastAsia="zh-CN"/>
        </w:rPr>
        <w:t>13523388618</w:t>
      </w:r>
    </w:p>
    <w:p>
      <w:pPr>
        <w:pStyle w:val="36"/>
        <w:ind w:firstLine="0" w:firstLineChars="0"/>
        <w:rPr>
          <w:rFonts w:hint="eastAsia" w:ascii="宋体" w:hAnsi="宋体" w:eastAsia="宋体" w:cs="宋体"/>
          <w:color w:val="auto"/>
          <w:sz w:val="24"/>
          <w:szCs w:val="24"/>
          <w:highlight w:val="none"/>
        </w:rPr>
      </w:pPr>
    </w:p>
    <w:p>
      <w:pPr>
        <w:pStyle w:val="9"/>
        <w:adjustRightInd w:val="0"/>
        <w:snapToGrid w:val="0"/>
        <w:spacing w:line="360" w:lineRule="auto"/>
        <w:ind w:firstLine="2040" w:firstLineChars="8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pPr>
        <w:pStyle w:val="20"/>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26</w:t>
      </w:r>
      <w:r>
        <w:rPr>
          <w:rFonts w:hint="eastAsia" w:ascii="宋体" w:hAnsi="宋体" w:eastAsia="宋体" w:cs="宋体"/>
          <w:color w:val="auto"/>
          <w:sz w:val="24"/>
          <w:szCs w:val="24"/>
          <w:highlight w:val="none"/>
        </w:rPr>
        <w:t xml:space="preserve"> 日　　</w:t>
      </w:r>
    </w:p>
    <w:p>
      <w:pPr>
        <w:pStyle w:val="26"/>
        <w:adjustRightInd w:val="0"/>
        <w:snapToGrid w:val="0"/>
        <w:spacing w:line="360" w:lineRule="auto"/>
        <w:ind w:firstLine="0" w:firstLineChars="0"/>
        <w:rPr>
          <w:rFonts w:hint="eastAsia" w:ascii="宋体" w:hAnsi="宋体" w:eastAsia="宋体" w:cs="宋体"/>
          <w:color w:val="auto"/>
          <w:highlight w:val="none"/>
        </w:rPr>
      </w:pPr>
    </w:p>
    <w:p>
      <w:pPr>
        <w:pStyle w:val="26"/>
        <w:ind w:firstLine="0" w:firstLineChars="0"/>
        <w:rPr>
          <w:rFonts w:hint="eastAsia" w:ascii="宋体" w:hAnsi="宋体" w:eastAsia="宋体" w:cs="宋体"/>
          <w:color w:val="auto"/>
          <w:highlight w:val="none"/>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 w:val="32"/>
                <w:szCs w:val="32"/>
                <w:highlight w:val="none"/>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条款</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项目名称：周口市淮阳区财政局淮阳区预算单位会计核算服务项目</w:t>
            </w:r>
          </w:p>
          <w:p>
            <w:pPr>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采购内容：周口市淮阳区财政局淮阳区预算单位会计核算服务项目</w:t>
            </w:r>
          </w:p>
          <w:p>
            <w:pP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采购人：</w:t>
            </w:r>
            <w:r>
              <w:rPr>
                <w:rFonts w:hint="eastAsia" w:ascii="宋体" w:hAnsi="宋体" w:cs="宋体"/>
                <w:color w:val="auto"/>
                <w:sz w:val="24"/>
                <w:highlight w:val="none"/>
                <w:lang w:val="en-US" w:eastAsia="zh-CN"/>
              </w:rPr>
              <w:t>淮阳区财政局</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left="-4" w:leftChars="-4" w:hanging="4" w:hangingChars="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对供应商的资格要求</w:t>
            </w:r>
          </w:p>
        </w:tc>
        <w:tc>
          <w:tcPr>
            <w:tcW w:w="6615" w:type="dxa"/>
            <w:vAlign w:val="center"/>
          </w:tcPr>
          <w:p>
            <w:pPr>
              <w:spacing w:before="156" w:beforeLines="50"/>
              <w:ind w:left="-4" w:leftChars="-4" w:hanging="4" w:hangingChars="2"/>
              <w:rPr>
                <w:rFonts w:hint="eastAsia" w:ascii="宋体" w:hAnsi="宋体" w:eastAsia="宋体" w:cs="宋体"/>
                <w:color w:val="auto"/>
                <w:sz w:val="24"/>
                <w:highlight w:val="none"/>
              </w:rPr>
            </w:pPr>
            <w:r>
              <w:rPr>
                <w:rFonts w:hint="eastAsia" w:ascii="宋体" w:hAnsi="宋体" w:eastAsia="宋体" w:cs="宋体"/>
                <w:color w:val="auto"/>
                <w:sz w:val="24"/>
                <w:highlight w:val="none"/>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报价费用</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2"/>
              </w:numPr>
              <w:spacing w:before="156" w:beforeLines="50"/>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响应文件语言</w:t>
            </w:r>
          </w:p>
        </w:tc>
        <w:tc>
          <w:tcPr>
            <w:tcW w:w="6615" w:type="dxa"/>
            <w:vAlign w:val="center"/>
          </w:tcPr>
          <w:p>
            <w:pPr>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2"/>
              </w:numPr>
              <w:spacing w:before="156" w:beforeLines="50"/>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报价货币</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报价范围及说明</w:t>
            </w:r>
          </w:p>
        </w:tc>
        <w:tc>
          <w:tcPr>
            <w:tcW w:w="6615" w:type="dxa"/>
            <w:vAlign w:val="center"/>
          </w:tcPr>
          <w:p>
            <w:pPr>
              <w:rPr>
                <w:rFonts w:hint="eastAsia" w:ascii="宋体" w:hAnsi="宋体" w:eastAsia="宋体" w:cs="宋体"/>
                <w:color w:val="auto"/>
                <w:sz w:val="24"/>
                <w:highlight w:val="none"/>
              </w:rPr>
            </w:pPr>
            <w:r>
              <w:rPr>
                <w:rFonts w:ascii="宋体" w:hAnsi="宋体" w:eastAsia="宋体" w:cs="宋体"/>
                <w:color w:val="auto"/>
                <w:spacing w:val="0"/>
                <w:position w:val="0"/>
                <w:sz w:val="24"/>
                <w:highlight w:val="none"/>
                <w:shd w:val="clear" w:fill="auto"/>
              </w:rPr>
              <w:t>报价包括本项目所招标的货物、保险、税费、包装、加工及加工损耗、运输、现场验收等（采购项目技术规格、参数及要求）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tabs>
                <w:tab w:val="left" w:pos="8640"/>
              </w:tabs>
              <w:spacing w:before="156"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响应文件的组成</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tabs>
                <w:tab w:val="left" w:pos="8640"/>
              </w:tabs>
              <w:spacing w:before="156"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响应文件封面要求</w:t>
            </w:r>
          </w:p>
        </w:tc>
        <w:tc>
          <w:tcPr>
            <w:tcW w:w="6615" w:type="dxa"/>
            <w:vAlign w:val="center"/>
          </w:tcPr>
          <w:p>
            <w:pPr>
              <w:tabs>
                <w:tab w:val="left" w:pos="8640"/>
              </w:tabs>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响应文件份数要求</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响应文件装订和密封要求</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竞争性磋商文件的澄清</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响应文件递交截止时间</w:t>
            </w:r>
          </w:p>
        </w:tc>
        <w:tc>
          <w:tcPr>
            <w:tcW w:w="6615" w:type="dxa"/>
            <w:vAlign w:val="center"/>
          </w:tcPr>
          <w:p>
            <w:pPr>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2024年03月08日10点00分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响应文件递交地点</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网址：周口市公共资源电子交易服务平台会员系统（网址</w:t>
            </w:r>
            <w:r>
              <w:rPr>
                <w:rFonts w:hint="eastAsia" w:ascii="宋体" w:hAnsi="宋体" w:eastAsia="宋体" w:cs="宋体"/>
                <w:color w:val="auto"/>
                <w:highlight w:val="none"/>
              </w:rPr>
              <w:t>http://jyzx.zhoukou.gov.cn）</w:t>
            </w:r>
          </w:p>
          <w:p>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磋商时间</w:t>
            </w:r>
          </w:p>
        </w:tc>
        <w:tc>
          <w:tcPr>
            <w:tcW w:w="6615" w:type="dxa"/>
            <w:vAlign w:val="center"/>
          </w:tcPr>
          <w:p>
            <w:pPr>
              <w:tabs>
                <w:tab w:val="left" w:pos="8640"/>
              </w:tabs>
              <w:ind w:left="-2" w:leftChars="-1"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2024年03月08日10点00分</w:t>
            </w:r>
            <w:bookmarkStart w:id="40" w:name="_GoBack"/>
            <w:bookmarkEnd w:id="40"/>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磋商程序和内容</w:t>
            </w:r>
          </w:p>
        </w:tc>
        <w:tc>
          <w:tcPr>
            <w:tcW w:w="6615" w:type="dxa"/>
            <w:vAlign w:val="center"/>
          </w:tcPr>
          <w:p>
            <w:pPr>
              <w:tabs>
                <w:tab w:val="left" w:pos="8640"/>
              </w:tabs>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授予合同</w:t>
            </w:r>
          </w:p>
        </w:tc>
        <w:tc>
          <w:tcPr>
            <w:tcW w:w="6615" w:type="dxa"/>
            <w:vAlign w:val="center"/>
          </w:tcPr>
          <w:p>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1）接到成交通知书30天内，成交供应商应与采购人签订采购合同。</w:t>
            </w:r>
          </w:p>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投标保证金</w:t>
            </w:r>
          </w:p>
        </w:tc>
        <w:tc>
          <w:tcPr>
            <w:tcW w:w="6615" w:type="dxa"/>
            <w:vAlign w:val="center"/>
          </w:tcPr>
          <w:p>
            <w:pPr>
              <w:rPr>
                <w:rFonts w:hint="eastAsia" w:ascii="宋体" w:hAnsi="宋体" w:eastAsia="宋体" w:cs="宋体"/>
                <w:color w:val="auto"/>
                <w:highlight w:val="none"/>
              </w:rPr>
            </w:pPr>
            <w:r>
              <w:rPr>
                <w:rFonts w:hint="eastAsia" w:ascii="宋体" w:hAnsi="宋体" w:cs="宋体"/>
                <w:color w:val="auto"/>
                <w:sz w:val="24"/>
                <w:highlight w:val="none"/>
                <w:lang w:val="en-US" w:eastAsia="zh-CN"/>
              </w:rPr>
              <w:t>本项目</w:t>
            </w:r>
            <w:r>
              <w:rPr>
                <w:rFonts w:hint="eastAsia" w:ascii="宋体" w:hAnsi="宋体" w:eastAsia="宋体" w:cs="宋体"/>
                <w:color w:val="auto"/>
                <w:sz w:val="24"/>
                <w:highlight w:val="none"/>
              </w:rPr>
              <w:t>不需要缴纳投标保证金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服务期限</w:t>
            </w:r>
          </w:p>
        </w:tc>
        <w:tc>
          <w:tcPr>
            <w:tcW w:w="6615" w:type="dxa"/>
            <w:vAlign w:val="center"/>
          </w:tcPr>
          <w:p>
            <w:pPr>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合同签订后</w:t>
            </w:r>
            <w:r>
              <w:rPr>
                <w:rFonts w:hint="eastAsia" w:ascii="宋体" w:hAnsi="宋体" w:cs="宋体"/>
                <w:color w:val="auto"/>
                <w:sz w:val="24"/>
                <w:highlight w:val="none"/>
                <w:lang w:val="en-US" w:eastAsia="zh-CN"/>
              </w:rPr>
              <w:t>1年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w:t>
            </w:r>
          </w:p>
        </w:tc>
        <w:tc>
          <w:tcPr>
            <w:tcW w:w="6615" w:type="dxa"/>
            <w:vAlign w:val="center"/>
          </w:tcPr>
          <w:p>
            <w:pPr>
              <w:tabs>
                <w:tab w:val="left" w:pos="8640"/>
              </w:tabs>
              <w:jc w:val="both"/>
              <w:rPr>
                <w:rFonts w:hint="eastAsia" w:ascii="宋体" w:hAnsi="宋体" w:eastAsia="宋体" w:cs="宋体"/>
                <w:color w:val="auto"/>
                <w:sz w:val="24"/>
                <w:highlight w:val="none"/>
              </w:rPr>
            </w:pPr>
          </w:p>
          <w:p>
            <w:pPr>
              <w:tabs>
                <w:tab w:val="left" w:pos="8640"/>
              </w:tabs>
              <w:jc w:val="both"/>
              <w:rPr>
                <w:rFonts w:hint="eastAsia" w:ascii="宋体" w:hAnsi="宋体" w:eastAsia="宋体" w:cs="宋体"/>
                <w:color w:val="auto"/>
                <w:highlight w:val="none"/>
              </w:rPr>
            </w:pPr>
            <w:r>
              <w:rPr>
                <w:rFonts w:hint="eastAsia" w:ascii="宋体" w:hAnsi="宋体" w:eastAsia="宋体" w:cs="宋体"/>
                <w:color w:val="auto"/>
                <w:sz w:val="24"/>
                <w:highlight w:val="none"/>
              </w:rPr>
              <w:t>详细付款方式：</w:t>
            </w:r>
            <w:r>
              <w:rPr>
                <w:rFonts w:hint="eastAsia" w:ascii="宋体" w:hAnsi="宋体" w:cs="宋体"/>
                <w:color w:val="auto"/>
                <w:sz w:val="24"/>
                <w:highlight w:val="none"/>
              </w:rPr>
              <w:t>合同签订后30日内内付70%，合同到期后付30%</w:t>
            </w:r>
          </w:p>
          <w:p>
            <w:pPr>
              <w:ind w:firstLine="420" w:firstLineChars="200"/>
              <w:jc w:val="center"/>
              <w:rPr>
                <w:rFonts w:hint="eastAsia" w:ascii="宋体" w:hAnsi="宋体" w:eastAsia="宋体" w:cs="宋体"/>
                <w:color w:val="auto"/>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tc>
        <w:tc>
          <w:tcPr>
            <w:tcW w:w="6615" w:type="dxa"/>
            <w:vAlign w:val="center"/>
          </w:tcPr>
          <w:p>
            <w:pPr>
              <w:tabs>
                <w:tab w:val="left" w:pos="8640"/>
              </w:tabs>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2"/>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报价</w:t>
            </w:r>
          </w:p>
        </w:tc>
        <w:tc>
          <w:tcPr>
            <w:tcW w:w="6615" w:type="dxa"/>
            <w:vAlign w:val="center"/>
          </w:tcPr>
          <w:p>
            <w:pPr>
              <w:tabs>
                <w:tab w:val="left" w:pos="8640"/>
              </w:tabs>
              <w:jc w:val="left"/>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rPr>
              <w:t>一次报价</w:t>
            </w:r>
          </w:p>
        </w:tc>
      </w:tr>
    </w:tbl>
    <w:p>
      <w:pPr>
        <w:pStyle w:val="26"/>
        <w:ind w:firstLine="0" w:firstLineChars="0"/>
        <w:rPr>
          <w:rFonts w:hint="eastAsia" w:ascii="宋体" w:hAnsi="宋体" w:eastAsia="宋体" w:cs="宋体"/>
          <w:b/>
          <w:color w:val="auto"/>
          <w:sz w:val="30"/>
          <w:szCs w:val="30"/>
          <w:highlight w:val="none"/>
        </w:rPr>
      </w:pPr>
    </w:p>
    <w:p>
      <w:pPr>
        <w:spacing w:line="720" w:lineRule="auto"/>
        <w:jc w:val="center"/>
        <w:rPr>
          <w:rFonts w:hint="eastAsia" w:ascii="宋体" w:hAnsi="宋体" w:eastAsia="宋体" w:cs="宋体"/>
          <w:b/>
          <w:color w:val="auto"/>
          <w:sz w:val="30"/>
          <w:szCs w:val="30"/>
          <w:highlight w:val="none"/>
        </w:rPr>
      </w:pPr>
    </w:p>
    <w:p>
      <w:pPr>
        <w:spacing w:line="720" w:lineRule="auto"/>
        <w:jc w:val="center"/>
        <w:rPr>
          <w:rFonts w:hint="eastAsia" w:ascii="宋体" w:hAnsi="宋体" w:eastAsia="宋体" w:cs="宋体"/>
          <w:b/>
          <w:color w:val="auto"/>
          <w:sz w:val="30"/>
          <w:szCs w:val="30"/>
          <w:highlight w:val="none"/>
        </w:rPr>
      </w:pPr>
    </w:p>
    <w:p>
      <w:pPr>
        <w:spacing w:line="72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一、总则</w:t>
      </w:r>
    </w:p>
    <w:p>
      <w:pPr>
        <w:spacing w:line="56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pPr>
        <w:tabs>
          <w:tab w:val="left" w:pos="0"/>
        </w:tabs>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2.2“采购人”：</w:t>
      </w:r>
      <w:r>
        <w:rPr>
          <w:rFonts w:hint="eastAsia" w:ascii="宋体" w:hAnsi="宋体" w:cs="宋体"/>
          <w:color w:val="auto"/>
          <w:sz w:val="24"/>
          <w:highlight w:val="none"/>
          <w:lang w:val="en-US" w:eastAsia="zh-CN"/>
        </w:rPr>
        <w:t>周口市淮阳区财政局</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2.5“服务”：系指本项目所采购的服务及其他要求等。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pPr>
        <w:widowControl/>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4.1.2参加政府采购活动前三年内，在经营活动中没有重大违法记录的声明函；</w:t>
      </w:r>
    </w:p>
    <w:p>
      <w:pPr>
        <w:widowControl/>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4.1.3 政府采购供应商诚信承诺书；</w:t>
      </w:r>
    </w:p>
    <w:p>
      <w:pPr>
        <w:pStyle w:val="72"/>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4.2 </w:t>
      </w:r>
      <w:r>
        <w:rPr>
          <w:rFonts w:hint="eastAsia" w:ascii="宋体" w:hAnsi="宋体" w:eastAsia="宋体" w:cs="宋体"/>
          <w:color w:val="auto"/>
          <w:kern w:val="0"/>
          <w:sz w:val="24"/>
          <w:highlight w:val="none"/>
        </w:rPr>
        <w:t>供应商需提供售后服务体系与承诺</w:t>
      </w:r>
      <w:r>
        <w:rPr>
          <w:rFonts w:hint="eastAsia" w:ascii="宋体" w:hAnsi="宋体" w:eastAsia="宋体" w:cs="宋体"/>
          <w:color w:val="auto"/>
          <w:kern w:val="0"/>
          <w:sz w:val="24"/>
          <w:highlight w:val="none"/>
          <w:lang w:val="zh-CN"/>
        </w:rPr>
        <w:t>。</w:t>
      </w:r>
    </w:p>
    <w:p>
      <w:pPr>
        <w:pStyle w:val="72"/>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3</w:t>
      </w:r>
      <w:r>
        <w:rPr>
          <w:rFonts w:hint="eastAsia" w:ascii="宋体" w:hAnsi="宋体" w:eastAsia="宋体" w:cs="宋体"/>
          <w:color w:val="auto"/>
          <w:sz w:val="24"/>
          <w:highlight w:val="none"/>
        </w:rPr>
        <w:t>符合本竞争性磋商文件规定的供应商资格要求及项目要求的其它条件，并按照要求提供相关证明材料。</w:t>
      </w:r>
    </w:p>
    <w:p>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4.4供应商应遵守国家法律、法规有关竞争性磋商的规定。</w:t>
      </w:r>
    </w:p>
    <w:p>
      <w:pPr>
        <w:spacing w:line="560" w:lineRule="exact"/>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4.5 凡通过磋商小组符合性审查的供应商均为合格供应商。</w:t>
      </w:r>
      <w:r>
        <w:rPr>
          <w:rFonts w:hint="eastAsia" w:ascii="宋体" w:hAnsi="宋体" w:cs="宋体"/>
          <w:color w:val="auto"/>
          <w:sz w:val="24"/>
          <w:highlight w:val="none"/>
        </w:rPr>
        <w:t>未通过符合性审查的供应商将视为不响应本项目的竞争性磋商文件被否决。</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5.l供应商一旦参加竞争性磋商，即被认为接受了本竞争性磋商文件中的所有条款和规定。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pPr>
        <w:pStyle w:val="26"/>
        <w:ind w:firstLine="480"/>
        <w:rPr>
          <w:rFonts w:hint="eastAsia" w:ascii="宋体" w:hAnsi="宋体" w:eastAsia="宋体" w:cs="宋体"/>
          <w:color w:val="auto"/>
          <w:sz w:val="24"/>
          <w:highlight w:val="none"/>
        </w:rPr>
      </w:pP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二、竞争性磋商文件</w:t>
      </w:r>
    </w:p>
    <w:p>
      <w:pPr>
        <w:tabs>
          <w:tab w:val="left" w:pos="632"/>
          <w:tab w:val="left" w:pos="79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pPr>
        <w:autoSpaceDE w:val="0"/>
        <w:autoSpaceDN w:val="0"/>
        <w:adjustRightIn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w:t>
      </w:r>
      <w:r>
        <w:rPr>
          <w:rFonts w:hint="eastAsia" w:ascii="宋体" w:hAnsi="宋体" w:eastAsia="宋体" w:cs="宋体"/>
          <w:color w:val="auto"/>
          <w:sz w:val="24"/>
          <w:highlight w:val="none"/>
          <w:lang w:val="zh-CN"/>
        </w:rPr>
        <w:t>文件是用以阐明的采购需求、采购程序和合同格式等的规范性文件。竞争性磋商文件主要由以下部分组成：</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（3）采购需求；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（5）合同主要条款。</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pPr>
        <w:autoSpaceDE w:val="0"/>
        <w:autoSpaceDN w:val="0"/>
        <w:adjustRightInd w:val="0"/>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三、响应性文件的编制</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8.要求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w:t>
      </w:r>
      <w:r>
        <w:rPr>
          <w:rFonts w:hint="eastAsia" w:ascii="宋体" w:hAnsi="宋体" w:cs="宋体"/>
          <w:color w:val="auto"/>
          <w:sz w:val="24"/>
          <w:highlight w:val="none"/>
          <w:lang w:val="zh-CN"/>
        </w:rPr>
        <w:t>如果有异议在规定的时间内提出，没有异议需做出“无异议”承诺书，承诺书作为响应文件的组织部分，否则视为无效的响应文件。响应性文件应对竞争性磋商文件的要求作出实质性响应，并保证</w:t>
      </w:r>
      <w:r>
        <w:rPr>
          <w:rFonts w:hint="eastAsia" w:ascii="宋体" w:hAnsi="宋体" w:cs="宋体"/>
          <w:color w:val="auto"/>
          <w:sz w:val="24"/>
          <w:highlight w:val="none"/>
          <w:lang w:val="en-US" w:eastAsia="zh-CN"/>
        </w:rPr>
        <w:t>及承诺</w:t>
      </w:r>
      <w:r>
        <w:rPr>
          <w:rFonts w:hint="eastAsia" w:ascii="宋体" w:hAnsi="宋体" w:cs="宋体"/>
          <w:color w:val="auto"/>
          <w:sz w:val="24"/>
          <w:highlight w:val="none"/>
          <w:lang w:val="zh-CN"/>
        </w:rPr>
        <w:t>所提供的全部资</w:t>
      </w:r>
      <w:r>
        <w:rPr>
          <w:rFonts w:hint="eastAsia" w:ascii="宋体" w:hAnsi="宋体" w:cs="宋体"/>
          <w:color w:val="auto"/>
          <w:sz w:val="24"/>
          <w:highlight w:val="none"/>
        </w:rPr>
        <w:t>料的真实性、合法性，否则其响应性文件将作为无效处理。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pPr>
        <w:spacing w:line="56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8.4 供应商需承诺自行承担参加竞争性磋商采购活动有关的全部费用，竞争性磋商组织人在任何情况下均无义务和责任承担上述费用。</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w:t>
      </w:r>
      <w:r>
        <w:rPr>
          <w:rFonts w:hint="eastAsia" w:ascii="宋体" w:hAnsi="宋体" w:eastAsia="宋体" w:cs="宋体"/>
          <w:bCs/>
          <w:color w:val="auto"/>
          <w:sz w:val="24"/>
          <w:highlight w:val="none"/>
          <w:u w:val="single"/>
        </w:rPr>
        <w:t>资格性证明材料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符合性证明材料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其他材料</w:t>
      </w:r>
      <w:r>
        <w:rPr>
          <w:rFonts w:hint="eastAsia" w:ascii="宋体" w:hAnsi="宋体" w:eastAsia="宋体" w:cs="宋体"/>
          <w:color w:val="auto"/>
          <w:sz w:val="24"/>
          <w:highlight w:val="none"/>
        </w:rPr>
        <w:t>三部分组成。具体内容和格式见竞争性磋商文件</w:t>
      </w:r>
      <w:r>
        <w:rPr>
          <w:rFonts w:hint="eastAsia" w:ascii="宋体" w:hAnsi="宋体" w:eastAsia="宋体" w:cs="宋体"/>
          <w:bCs/>
          <w:color w:val="auto"/>
          <w:sz w:val="24"/>
          <w:highlight w:val="none"/>
        </w:rPr>
        <w:t>第四章</w:t>
      </w:r>
      <w:r>
        <w:rPr>
          <w:rFonts w:hint="eastAsia" w:ascii="宋体" w:hAnsi="宋体" w:eastAsia="宋体" w:cs="宋体"/>
          <w:color w:val="auto"/>
          <w:sz w:val="24"/>
          <w:highlight w:val="none"/>
        </w:rPr>
        <w:t>。</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12.竞争性磋商报价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12.1报价包括所投服务、保险、税费、检测、验收和交付后约定期限内免费维保等工作所发生的一切应有费用。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12.2经过磋商后进行的报价为供应商的最终报价。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13．响应性文件有效期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13.l响应性文件有效期为自竞争性磋商开始之日起60天，有效期短于此规定的响应性文件将被视为无效。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14.响应性文件的签署、盖章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15电子投标文件制作，见周口市公共资源交易中心网站下载中心版块《投标单位-电子投标文件视频制作手册》的相关规定。</w:t>
      </w:r>
    </w:p>
    <w:p>
      <w:pPr>
        <w:numPr>
          <w:ilvl w:val="0"/>
          <w:numId w:val="3"/>
        </w:num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响应性文件的递交</w:t>
      </w:r>
    </w:p>
    <w:p>
      <w:pPr>
        <w:autoSpaceDE w:val="0"/>
        <w:autoSpaceDN w:val="0"/>
        <w:adjustRightIn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color w:val="auto"/>
          <w:sz w:val="24"/>
          <w:highlight w:val="none"/>
        </w:rPr>
        <w:t>。</w:t>
      </w:r>
    </w:p>
    <w:p>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pPr>
        <w:pStyle w:val="56"/>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pPr>
        <w:pStyle w:val="56"/>
        <w:spacing w:line="560" w:lineRule="exact"/>
        <w:ind w:left="279" w:leftChars="133" w:firstLine="240" w:firstLineChars="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pPr>
        <w:pStyle w:val="56"/>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pPr>
        <w:pStyle w:val="56"/>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pPr>
        <w:pStyle w:val="56"/>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pPr>
        <w:pStyle w:val="56"/>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pPr>
        <w:pStyle w:val="56"/>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17.4.2响应性文件未按竞争性磋商文件规定密封、签署、盖章的；</w:t>
      </w:r>
    </w:p>
    <w:p>
      <w:pPr>
        <w:pStyle w:val="56"/>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五、竞争性磋商</w:t>
      </w:r>
    </w:p>
    <w:p>
      <w:pPr>
        <w:spacing w:line="560" w:lineRule="exact"/>
        <w:ind w:firstLine="482" w:firstLineChars="200"/>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rPr>
        <w:t>18.组建</w:t>
      </w:r>
      <w:r>
        <w:rPr>
          <w:rFonts w:hint="eastAsia" w:ascii="宋体" w:hAnsi="宋体" w:eastAsia="宋体" w:cs="宋体"/>
          <w:b/>
          <w:color w:val="auto"/>
          <w:sz w:val="24"/>
          <w:highlight w:val="none"/>
          <w:lang w:val="zh-CN"/>
        </w:rPr>
        <w:t>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18.1采购人根据采购项目的特点依法组建竞争性磋商小组。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18.2竞争性磋商小组</w:t>
      </w:r>
      <w:r>
        <w:rPr>
          <w:rFonts w:hint="eastAsia" w:ascii="宋体" w:hAnsi="宋体" w:eastAsia="宋体" w:cs="宋体"/>
          <w:bCs/>
          <w:color w:val="auto"/>
          <w:kern w:val="0"/>
          <w:sz w:val="24"/>
          <w:highlight w:val="none"/>
        </w:rPr>
        <w:t>确认竞争性磋商文件，并</w:t>
      </w:r>
      <w:r>
        <w:rPr>
          <w:rFonts w:hint="eastAsia" w:ascii="宋体" w:hAnsi="宋体" w:eastAsia="宋体" w:cs="宋体"/>
          <w:color w:val="auto"/>
          <w:kern w:val="0"/>
          <w:sz w:val="24"/>
          <w:highlight w:val="none"/>
        </w:rPr>
        <w:t>负责具体评审事务，根据有关法律法规和竞争性磋商文件规定的评审程序，按照评审方法及评审标准独立履行竞争性磋商小组职责。</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w:t>
      </w:r>
      <w:r>
        <w:rPr>
          <w:rFonts w:hint="eastAsia" w:ascii="宋体" w:hAnsi="宋体" w:eastAsia="宋体" w:cs="宋体"/>
          <w:color w:val="auto"/>
          <w:sz w:val="24"/>
          <w:highlight w:val="none"/>
          <w:lang w:val="zh-CN"/>
        </w:rPr>
        <w:t>签署、盖章的；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pPr>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19.7.14不同供应商投标（响应）文件中法定代表人或者负责人签字出自同一人之手。</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pPr>
        <w:pStyle w:val="38"/>
        <w:rPr>
          <w:rFonts w:hint="eastAsia" w:ascii="宋体" w:hAnsi="宋体" w:eastAsia="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3"/>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szCs w:val="24"/>
                <w:highlight w:val="none"/>
              </w:rPr>
            </w:pPr>
            <w:r>
              <w:rPr>
                <w:rFonts w:hint="eastAsia" w:ascii="宋体" w:hAnsi="宋体" w:eastAsia="宋体" w:cs="宋体"/>
                <w:b/>
                <w:color w:val="auto"/>
                <w:kern w:val="2"/>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665" w:type="dxa"/>
            <w:tcBorders>
              <w:bottom w:val="single" w:color="auto" w:sz="4" w:space="0"/>
            </w:tcBorders>
            <w:vAlign w:val="center"/>
          </w:tcPr>
          <w:p>
            <w:pPr>
              <w:pStyle w:val="73"/>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营业执照</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法定代表人及身份证</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纳税凭证和社保证明</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财务审计报告</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“信用中国”“中国政府采购网”查询</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投标文件签字盖章格式</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合格供应商的声明函和承诺书</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服务期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投标有效期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服务技术要求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其他实质性要求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结论</w:t>
            </w:r>
          </w:p>
        </w:tc>
        <w:tc>
          <w:tcPr>
            <w:tcW w:w="5133" w:type="dxa"/>
            <w:gridSpan w:val="3"/>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是否通过审查</w:t>
            </w:r>
          </w:p>
        </w:tc>
      </w:tr>
    </w:tbl>
    <w:p>
      <w:pPr>
        <w:pStyle w:val="38"/>
        <w:rPr>
          <w:rFonts w:hint="eastAsia" w:ascii="宋体" w:hAnsi="宋体" w:eastAsia="宋体" w:cs="宋体"/>
          <w:color w:val="auto"/>
          <w:sz w:val="24"/>
          <w:szCs w:val="24"/>
          <w:highlight w:val="none"/>
        </w:rPr>
      </w:pPr>
    </w:p>
    <w:p>
      <w:pPr>
        <w:pStyle w:val="38"/>
        <w:rPr>
          <w:rFonts w:hint="eastAsia" w:ascii="宋体" w:hAnsi="宋体" w:eastAsia="宋体" w:cs="宋体"/>
          <w:color w:val="auto"/>
          <w:sz w:val="24"/>
          <w:szCs w:val="24"/>
          <w:highlight w:val="none"/>
        </w:rPr>
      </w:pP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w:t>
      </w: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六、评定标准</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hint="default" w:ascii="宋体" w:hAnsi="宋体" w:cs="宋体"/>
          <w:bCs/>
          <w:color w:val="auto"/>
          <w:sz w:val="24"/>
          <w:highlight w:val="none"/>
          <w:lang w:val="en-US" w:eastAsia="zh-CN"/>
        </w:rPr>
      </w:pPr>
      <w:r>
        <w:rPr>
          <w:rFonts w:hint="eastAsia" w:ascii="宋体" w:hAnsi="宋体" w:cs="宋体"/>
          <w:bCs/>
          <w:color w:val="auto"/>
          <w:sz w:val="24"/>
          <w:highlight w:val="none"/>
        </w:rPr>
        <w:t>22.1.1供应商需承诺不得相互串通投标或者与采购人串通投标，不得向采购人或者评标委员会成员行贿谋取中标。</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cs="宋体"/>
          <w:bCs/>
          <w:color w:val="auto"/>
          <w:sz w:val="24"/>
          <w:highlight w:val="none"/>
          <w:lang w:val="en-US" w:eastAsia="zh-CN"/>
        </w:rPr>
        <w:t>22.1.2</w:t>
      </w:r>
      <w:r>
        <w:rPr>
          <w:rFonts w:hint="eastAsia" w:ascii="宋体" w:hAnsi="宋体" w:eastAsia="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pPr>
        <w:pStyle w:val="16"/>
        <w:spacing w:after="0" w:line="560" w:lineRule="exact"/>
        <w:ind w:left="0" w:leftChars="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pPr>
        <w:spacing w:line="360" w:lineRule="auto"/>
        <w:ind w:right="-92" w:rightChars="-44"/>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评标方法：</w:t>
      </w:r>
    </w:p>
    <w:tbl>
      <w:tblPr>
        <w:tblStyle w:val="27"/>
        <w:tblW w:w="9090" w:type="dxa"/>
        <w:tblInd w:w="-164" w:type="dxa"/>
        <w:tblLayout w:type="autofit"/>
        <w:tblCellMar>
          <w:top w:w="0" w:type="dxa"/>
          <w:left w:w="108" w:type="dxa"/>
          <w:bottom w:w="0" w:type="dxa"/>
          <w:right w:w="108" w:type="dxa"/>
        </w:tblCellMar>
      </w:tblPr>
      <w:tblGrid>
        <w:gridCol w:w="1227"/>
        <w:gridCol w:w="1294"/>
        <w:gridCol w:w="3599"/>
        <w:gridCol w:w="2970"/>
      </w:tblGrid>
      <w:tr>
        <w:trPr>
          <w:trHeight w:val="306" w:hRule="atLeast"/>
        </w:trPr>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color w:val="auto"/>
                <w:sz w:val="24"/>
                <w:highlight w:val="none"/>
              </w:rPr>
            </w:pPr>
            <w:r>
              <w:rPr>
                <w:rFonts w:hint="eastAsia" w:ascii="宋体" w:hAnsi="宋体" w:eastAsia="宋体" w:cs="宋体"/>
                <w:b/>
                <w:bCs/>
                <w:color w:val="auto"/>
                <w:sz w:val="24"/>
                <w:highlight w:val="none"/>
              </w:rPr>
              <w:t>评分指标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color w:val="auto"/>
                <w:sz w:val="24"/>
                <w:highlight w:val="none"/>
              </w:rPr>
            </w:pPr>
            <w:r>
              <w:rPr>
                <w:rFonts w:hint="eastAsia" w:ascii="宋体" w:hAnsi="宋体" w:eastAsia="宋体" w:cs="宋体"/>
                <w:b/>
                <w:bCs/>
                <w:color w:val="auto"/>
                <w:sz w:val="24"/>
                <w:highlight w:val="none"/>
              </w:rPr>
              <w:t>分值</w:t>
            </w:r>
          </w:p>
        </w:tc>
        <w:tc>
          <w:tcPr>
            <w:tcW w:w="3599"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rPr>
                <w:rFonts w:ascii="宋体" w:hAnsi="宋体" w:cs="宋体"/>
                <w:b/>
                <w:bCs/>
                <w:color w:val="auto"/>
                <w:sz w:val="24"/>
                <w:highlight w:val="none"/>
              </w:rPr>
            </w:pPr>
            <w:r>
              <w:rPr>
                <w:rFonts w:hint="eastAsia" w:ascii="宋体" w:hAnsi="宋体" w:eastAsia="宋体" w:cs="宋体"/>
                <w:b/>
                <w:bCs/>
                <w:color w:val="auto"/>
                <w:sz w:val="24"/>
                <w:highlight w:val="none"/>
              </w:rPr>
              <w:t>指标说明及评分标准</w:t>
            </w:r>
          </w:p>
        </w:tc>
        <w:tc>
          <w:tcPr>
            <w:tcW w:w="2970"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评分依据</w:t>
            </w:r>
          </w:p>
        </w:tc>
      </w:tr>
      <w:tr>
        <w:tblPrEx>
          <w:tblCellMar>
            <w:top w:w="0" w:type="dxa"/>
            <w:left w:w="108" w:type="dxa"/>
            <w:bottom w:w="0" w:type="dxa"/>
            <w:right w:w="108" w:type="dxa"/>
          </w:tblCellMar>
        </w:tblPrEx>
        <w:trPr>
          <w:trHeight w:val="898" w:hRule="atLeast"/>
        </w:trPr>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highlight w:val="none"/>
              </w:rPr>
              <w:t>报价得分（</w:t>
            </w:r>
            <w:r>
              <w:rPr>
                <w:rFonts w:hint="eastAsia" w:ascii="宋体" w:hAnsi="宋体" w:cs="宋体"/>
                <w:b/>
                <w:bCs/>
                <w:color w:val="auto"/>
                <w:sz w:val="24"/>
                <w:highlight w:val="none"/>
                <w:lang w:val="en-US" w:eastAsia="zh-CN"/>
              </w:rPr>
              <w:t xml:space="preserve">10 </w:t>
            </w:r>
            <w:r>
              <w:rPr>
                <w:rFonts w:hint="eastAsia" w:ascii="宋体" w:hAnsi="宋体" w:eastAsia="宋体" w:cs="宋体"/>
                <w:b/>
                <w:bCs/>
                <w:color w:val="auto"/>
                <w:sz w:val="24"/>
                <w:highlight w:val="none"/>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sz w:val="24"/>
                <w:highlight w:val="none"/>
                <w:lang w:eastAsia="zh-CN"/>
              </w:rPr>
              <w:t>（</w:t>
            </w:r>
            <w:r>
              <w:rPr>
                <w:rFonts w:hint="eastAsia" w:ascii="宋体" w:hAnsi="宋体" w:cs="宋体"/>
                <w:b/>
                <w:bCs/>
                <w:color w:val="auto"/>
                <w:sz w:val="24"/>
                <w:highlight w:val="none"/>
                <w:lang w:val="en-US" w:eastAsia="zh-CN"/>
              </w:rPr>
              <w:t>10</w:t>
            </w:r>
            <w:r>
              <w:rPr>
                <w:rFonts w:hint="eastAsia" w:ascii="宋体" w:hAnsi="宋体" w:eastAsia="宋体" w:cs="宋体"/>
                <w:b/>
                <w:bCs/>
                <w:color w:val="auto"/>
                <w:sz w:val="24"/>
                <w:highlight w:val="none"/>
              </w:rPr>
              <w:t>分）</w:t>
            </w:r>
          </w:p>
        </w:tc>
        <w:tc>
          <w:tcPr>
            <w:tcW w:w="65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80" w:firstLineChars="200"/>
              <w:rPr>
                <w:rFonts w:hint="eastAsia" w:ascii="宋体" w:hAnsi="宋体" w:eastAsia="宋体" w:cs="宋体"/>
                <w:bCs/>
                <w:color w:val="auto"/>
                <w:sz w:val="24"/>
                <w:szCs w:val="20"/>
                <w:highlight w:val="none"/>
              </w:rPr>
            </w:pPr>
            <w:r>
              <w:rPr>
                <w:rFonts w:hint="eastAsia" w:ascii="宋体" w:hAnsi="宋体" w:eastAsia="宋体" w:cs="宋体"/>
                <w:bCs/>
                <w:color w:val="auto"/>
                <w:sz w:val="24"/>
                <w:szCs w:val="20"/>
                <w:highlight w:val="none"/>
              </w:rPr>
              <w:t>满足磋商文件要求且最后报价最低的供应商的价格为磋商基准价，其价格分为满分。其他供应商的价格分统一按照下列公式计算：</w:t>
            </w:r>
          </w:p>
          <w:p>
            <w:pPr>
              <w:ind w:firstLine="480" w:firstLineChars="200"/>
              <w:rPr>
                <w:rFonts w:hint="default" w:ascii="宋体" w:hAnsi="宋体" w:eastAsia="宋体" w:cs="宋体"/>
                <w:bCs/>
                <w:color w:val="auto"/>
                <w:sz w:val="24"/>
                <w:szCs w:val="20"/>
                <w:highlight w:val="none"/>
                <w:lang w:val="en-US" w:eastAsia="zh-CN"/>
              </w:rPr>
            </w:pPr>
            <w:r>
              <w:rPr>
                <w:rFonts w:hint="eastAsia" w:ascii="宋体" w:hAnsi="宋体" w:eastAsia="宋体" w:cs="宋体"/>
                <w:bCs/>
                <w:color w:val="auto"/>
                <w:sz w:val="24"/>
                <w:szCs w:val="20"/>
                <w:highlight w:val="none"/>
              </w:rPr>
              <w:t>磋商报价得分=（磋商基准价/最后磋商报价）×价格权值×</w:t>
            </w:r>
            <w:r>
              <w:rPr>
                <w:rFonts w:hint="eastAsia" w:ascii="宋体" w:hAnsi="宋体" w:cs="宋体"/>
                <w:bCs/>
                <w:color w:val="auto"/>
                <w:sz w:val="24"/>
                <w:szCs w:val="20"/>
                <w:highlight w:val="none"/>
                <w:lang w:val="en-US" w:eastAsia="zh-CN"/>
              </w:rPr>
              <w:t>10</w:t>
            </w:r>
          </w:p>
          <w:p>
            <w:pPr>
              <w:tabs>
                <w:tab w:val="left" w:pos="5130"/>
              </w:tabs>
              <w:adjustRightInd w:val="0"/>
              <w:snapToGrid w:val="0"/>
              <w:spacing w:line="360" w:lineRule="auto"/>
              <w:rPr>
                <w:rFonts w:hint="eastAsia" w:ascii="宋体" w:hAnsi="宋体" w:eastAsia="宋体" w:cs="宋体"/>
                <w:bCs/>
                <w:color w:val="auto"/>
                <w:sz w:val="24"/>
                <w:szCs w:val="20"/>
                <w:highlight w:val="none"/>
              </w:rPr>
            </w:pPr>
            <w:r>
              <w:rPr>
                <w:rFonts w:hint="eastAsia" w:ascii="宋体" w:hAnsi="宋体" w:eastAsia="宋体" w:cs="宋体"/>
                <w:bCs/>
                <w:color w:val="auto"/>
                <w:sz w:val="24"/>
                <w:szCs w:val="20"/>
                <w:highlight w:val="none"/>
              </w:rPr>
              <w:t>备注：价格分计算保留小数点后二位。</w:t>
            </w:r>
          </w:p>
          <w:p>
            <w:pPr>
              <w:pStyle w:val="25"/>
              <w:ind w:right="-21" w:firstLine="0" w:firstLineChars="0"/>
              <w:rPr>
                <w:rFonts w:hint="eastAsia" w:ascii="宋体" w:hAnsi="宋体" w:eastAsia="宋体" w:cs="宋体"/>
                <w:bCs/>
                <w:color w:val="auto"/>
                <w:sz w:val="24"/>
                <w:szCs w:val="20"/>
                <w:highlight w:val="none"/>
              </w:rPr>
            </w:pPr>
            <w:r>
              <w:rPr>
                <w:rFonts w:hint="eastAsia" w:ascii="宋体" w:hAnsi="宋体" w:eastAsia="宋体" w:cs="宋体"/>
                <w:bCs/>
                <w:color w:val="auto"/>
                <w:sz w:val="24"/>
                <w:szCs w:val="20"/>
                <w:highlight w:val="none"/>
              </w:rPr>
              <w:t>根据财政部、工信部关于印发《政府采购促进中小企业发展管理办法》的通知（财库〔2020〕46号 ）文件规定：</w:t>
            </w:r>
          </w:p>
          <w:p>
            <w:pPr>
              <w:pStyle w:val="25"/>
              <w:ind w:right="-21" w:firstLine="0" w:firstLineChars="0"/>
              <w:rPr>
                <w:rFonts w:hint="eastAsia" w:ascii="宋体" w:hAnsi="宋体" w:eastAsia="宋体" w:cs="宋体"/>
                <w:bCs/>
                <w:color w:val="auto"/>
                <w:sz w:val="24"/>
                <w:szCs w:val="20"/>
                <w:highlight w:val="none"/>
              </w:rPr>
            </w:pPr>
            <w:r>
              <w:rPr>
                <w:rFonts w:hint="eastAsia" w:ascii="宋体" w:hAnsi="宋体" w:eastAsia="宋体" w:cs="宋体"/>
                <w:bCs/>
                <w:color w:val="auto"/>
                <w:sz w:val="24"/>
                <w:szCs w:val="20"/>
                <w:highlight w:val="none"/>
              </w:rPr>
              <w:t>（1）对小微企业报价给予</w:t>
            </w:r>
            <w:r>
              <w:rPr>
                <w:rFonts w:hint="eastAsia" w:ascii="宋体" w:hAnsi="宋体" w:cs="宋体"/>
                <w:bCs/>
                <w:color w:val="auto"/>
                <w:sz w:val="24"/>
                <w:szCs w:val="20"/>
                <w:highlight w:val="none"/>
                <w:lang w:val="en-US" w:eastAsia="zh-CN"/>
              </w:rPr>
              <w:t>1</w:t>
            </w:r>
            <w:r>
              <w:rPr>
                <w:rFonts w:hint="eastAsia" w:ascii="宋体" w:hAnsi="宋体" w:eastAsia="宋体" w:cs="宋体"/>
                <w:bCs/>
                <w:color w:val="auto"/>
                <w:sz w:val="24"/>
                <w:szCs w:val="20"/>
                <w:highlight w:val="none"/>
              </w:rPr>
              <w:t>0%扣除，请按照《政府采购促进中小企业发展管理办法》要求提供中小企业声明函。</w:t>
            </w:r>
          </w:p>
          <w:p>
            <w:pPr>
              <w:pStyle w:val="25"/>
              <w:ind w:right="-21" w:firstLine="0" w:firstLineChars="0"/>
              <w:rPr>
                <w:rFonts w:hint="eastAsia" w:ascii="宋体" w:hAnsi="宋体" w:eastAsia="宋体" w:cs="宋体"/>
                <w:bCs/>
                <w:color w:val="auto"/>
                <w:sz w:val="24"/>
                <w:szCs w:val="20"/>
                <w:highlight w:val="none"/>
              </w:rPr>
            </w:pPr>
            <w:r>
              <w:rPr>
                <w:rFonts w:hint="eastAsia" w:ascii="宋体" w:hAnsi="宋体" w:eastAsia="宋体" w:cs="宋体"/>
                <w:bCs/>
                <w:color w:val="auto"/>
                <w:sz w:val="24"/>
                <w:szCs w:val="20"/>
                <w:highlight w:val="none"/>
              </w:rPr>
              <w:t>（2）关于监狱企业：视同小微企业。须提供由省级以上监狱管理局、戒毒管理局（含新疆生产建设兵团）出具的属于监狱企业的证明文件，否则不考虑价格扣除。</w:t>
            </w:r>
          </w:p>
          <w:p>
            <w:pPr>
              <w:pStyle w:val="25"/>
              <w:ind w:right="-21" w:firstLine="0" w:firstLineChars="0"/>
              <w:rPr>
                <w:rFonts w:hint="eastAsia" w:ascii="宋体" w:hAnsi="宋体" w:eastAsia="宋体" w:cs="宋体"/>
                <w:bCs/>
                <w:color w:val="auto"/>
                <w:sz w:val="24"/>
                <w:szCs w:val="20"/>
                <w:highlight w:val="none"/>
              </w:rPr>
            </w:pPr>
            <w:r>
              <w:rPr>
                <w:rFonts w:hint="eastAsia" w:ascii="宋体" w:hAnsi="宋体" w:eastAsia="宋体" w:cs="宋体"/>
                <w:bCs/>
                <w:color w:val="auto"/>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Cs/>
                <w:color w:val="auto"/>
                <w:sz w:val="24"/>
                <w:szCs w:val="20"/>
                <w:highlight w:val="none"/>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1095" w:hRule="atLeast"/>
        </w:trPr>
        <w:tc>
          <w:tcPr>
            <w:tcW w:w="1227" w:type="dxa"/>
            <w:vMerge w:val="restart"/>
            <w:tcBorders>
              <w:top w:val="single" w:color="000000" w:sz="4" w:space="0"/>
              <w:left w:val="single" w:color="000000" w:sz="4" w:space="0"/>
              <w:right w:val="single" w:color="000000" w:sz="4" w:space="0"/>
            </w:tcBorders>
            <w:shd w:val="clear" w:color="auto" w:fill="auto"/>
            <w:vAlign w:val="center"/>
          </w:tcPr>
          <w:p>
            <w:pPr>
              <w:widowControl/>
              <w:spacing w:line="400" w:lineRule="exact"/>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技术部分</w:t>
            </w:r>
          </w:p>
          <w:p>
            <w:pPr>
              <w:widowControl/>
              <w:spacing w:line="400" w:lineRule="exact"/>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val="en-US" w:eastAsia="zh-CN" w:bidi="ar"/>
              </w:rPr>
              <w:t>50</w:t>
            </w:r>
            <w:r>
              <w:rPr>
                <w:rFonts w:hint="eastAsia" w:ascii="宋体" w:hAnsi="宋体" w:cs="宋体"/>
                <w:color w:val="auto"/>
                <w:kern w:val="0"/>
                <w:sz w:val="24"/>
                <w:highlight w:val="none"/>
                <w:lang w:bidi="ar"/>
              </w:rPr>
              <w:t>分</w:t>
            </w:r>
          </w:p>
          <w:p>
            <w:pPr>
              <w:widowControl/>
              <w:jc w:val="left"/>
              <w:rPr>
                <w:rFonts w:hint="eastAsia" w:ascii="宋体" w:hAnsi="宋体" w:eastAsia="宋体" w:cs="宋体"/>
                <w:b/>
                <w:bCs/>
                <w:color w:val="auto"/>
                <w:sz w:val="24"/>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服务方案</w:t>
            </w:r>
          </w:p>
          <w:p>
            <w:pPr>
              <w:pStyle w:val="2"/>
              <w:rPr>
                <w:rFonts w:hint="default"/>
                <w:color w:val="auto"/>
                <w:highlight w:val="none"/>
                <w:lang w:val="en-US" w:eastAsia="zh-CN"/>
              </w:rPr>
            </w:pPr>
            <w:r>
              <w:rPr>
                <w:rFonts w:hint="eastAsia" w:ascii="宋体" w:hAnsi="宋体" w:cs="宋体"/>
                <w:color w:val="auto"/>
                <w:kern w:val="0"/>
                <w:sz w:val="24"/>
                <w:highlight w:val="none"/>
                <w:lang w:val="en-US" w:eastAsia="zh-CN" w:bidi="ar"/>
              </w:rPr>
              <w:t>10</w:t>
            </w:r>
            <w:r>
              <w:rPr>
                <w:rFonts w:hint="eastAsia" w:ascii="宋体" w:hAnsi="宋体" w:cs="宋体"/>
                <w:color w:val="auto"/>
                <w:kern w:val="0"/>
                <w:sz w:val="24"/>
                <w:highlight w:val="none"/>
                <w:lang w:bidi="ar"/>
              </w:rPr>
              <w:t>分</w:t>
            </w:r>
          </w:p>
        </w:tc>
        <w:tc>
          <w:tcPr>
            <w:tcW w:w="65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textAlignment w:val="center"/>
              <w:rPr>
                <w:rFonts w:hint="default"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bidi="ar"/>
              </w:rPr>
              <w:t>投标人提供</w:t>
            </w:r>
            <w:r>
              <w:rPr>
                <w:rFonts w:hint="eastAsia" w:ascii="宋体" w:hAnsi="宋体" w:cs="宋体"/>
                <w:color w:val="auto"/>
                <w:kern w:val="0"/>
                <w:sz w:val="24"/>
                <w:highlight w:val="none"/>
                <w:lang w:val="en-US" w:eastAsia="zh-CN" w:bidi="ar"/>
              </w:rPr>
              <w:t>满足本项目需要的</w:t>
            </w:r>
            <w:r>
              <w:rPr>
                <w:rFonts w:hint="eastAsia" w:ascii="宋体" w:hAnsi="宋体" w:cs="宋体"/>
                <w:color w:val="auto"/>
                <w:kern w:val="2"/>
                <w:sz w:val="24"/>
                <w:szCs w:val="24"/>
                <w:highlight w:val="none"/>
                <w:lang w:val="en-US" w:eastAsia="zh-CN" w:bidi="ar-SA"/>
              </w:rPr>
              <w:t>服务方案</w:t>
            </w:r>
            <w:r>
              <w:rPr>
                <w:rFonts w:hint="eastAsia" w:ascii="宋体" w:hAnsi="宋体" w:eastAsia="宋体" w:cs="宋体"/>
                <w:color w:val="auto"/>
                <w:kern w:val="0"/>
                <w:sz w:val="24"/>
                <w:szCs w:val="24"/>
                <w:highlight w:val="none"/>
                <w:lang w:val="en-US" w:eastAsia="zh-CN" w:bidi="ar"/>
              </w:rPr>
              <w:t>得10分，</w:t>
            </w:r>
            <w:r>
              <w:rPr>
                <w:rFonts w:hint="eastAsia" w:ascii="宋体" w:hAnsi="宋体" w:cs="宋体"/>
                <w:color w:val="auto"/>
                <w:kern w:val="0"/>
                <w:sz w:val="24"/>
                <w:highlight w:val="none"/>
                <w:lang w:eastAsia="zh-CN" w:bidi="ar"/>
              </w:rPr>
              <w:t>不提供不得分</w:t>
            </w:r>
          </w:p>
        </w:tc>
      </w:tr>
      <w:tr>
        <w:tblPrEx>
          <w:tblCellMar>
            <w:top w:w="0" w:type="dxa"/>
            <w:left w:w="108" w:type="dxa"/>
            <w:bottom w:w="0" w:type="dxa"/>
            <w:right w:w="108" w:type="dxa"/>
          </w:tblCellMar>
        </w:tblPrEx>
        <w:trPr>
          <w:trHeight w:val="1518" w:hRule="atLeast"/>
        </w:trPr>
        <w:tc>
          <w:tcPr>
            <w:tcW w:w="1227" w:type="dxa"/>
            <w:vMerge w:val="continue"/>
            <w:tcBorders>
              <w:left w:val="single" w:color="000000" w:sz="4" w:space="0"/>
              <w:right w:val="single" w:color="000000" w:sz="4" w:space="0"/>
            </w:tcBorders>
            <w:shd w:val="clear" w:color="auto" w:fill="auto"/>
            <w:vAlign w:val="center"/>
          </w:tcPr>
          <w:p>
            <w:pPr>
              <w:widowControl/>
              <w:jc w:val="left"/>
              <w:rPr>
                <w:rFonts w:hint="eastAsia" w:ascii="宋体" w:hAnsi="宋体" w:eastAsia="宋体" w:cs="宋体"/>
                <w:b/>
                <w:bCs/>
                <w:color w:val="auto"/>
                <w:sz w:val="24"/>
                <w:highlight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系统实务培训方案</w:t>
            </w:r>
          </w:p>
          <w:p>
            <w:pPr>
              <w:widowControl/>
              <w:spacing w:line="400" w:lineRule="exact"/>
              <w:jc w:val="center"/>
              <w:textAlignment w:val="center"/>
              <w:rPr>
                <w:rFonts w:hint="eastAsia" w:ascii="宋体" w:hAnsi="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15</w:t>
            </w:r>
            <w:r>
              <w:rPr>
                <w:rFonts w:hint="eastAsia" w:ascii="宋体" w:hAnsi="宋体" w:cs="宋体"/>
                <w:color w:val="auto"/>
                <w:kern w:val="0"/>
                <w:sz w:val="24"/>
                <w:highlight w:val="none"/>
                <w:lang w:bidi="ar"/>
              </w:rPr>
              <w:t>分</w:t>
            </w:r>
          </w:p>
        </w:tc>
        <w:tc>
          <w:tcPr>
            <w:tcW w:w="65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textAlignment w:val="center"/>
              <w:rPr>
                <w:rFonts w:hint="default" w:ascii="宋体" w:hAnsi="宋体" w:cs="宋体"/>
                <w:color w:val="auto"/>
                <w:kern w:val="0"/>
                <w:sz w:val="24"/>
                <w:highlight w:val="none"/>
                <w:lang w:val="en-US" w:eastAsia="zh-CN" w:bidi="ar"/>
              </w:rPr>
            </w:pPr>
            <w:r>
              <w:rPr>
                <w:rFonts w:hint="eastAsia" w:ascii="宋体" w:hAnsi="宋体" w:cs="宋体"/>
                <w:color w:val="auto"/>
                <w:kern w:val="0"/>
                <w:sz w:val="24"/>
                <w:highlight w:val="none"/>
                <w:lang w:bidi="ar"/>
              </w:rPr>
              <w:t>投标人提供系统实务培训计划，师资</w:t>
            </w:r>
            <w:r>
              <w:rPr>
                <w:rFonts w:hint="eastAsia" w:ascii="宋体" w:hAnsi="宋体" w:cs="宋体"/>
                <w:color w:val="auto"/>
                <w:kern w:val="0"/>
                <w:sz w:val="24"/>
                <w:highlight w:val="none"/>
                <w:lang w:val="en-US" w:eastAsia="zh-CN" w:bidi="ar"/>
              </w:rPr>
              <w:t>力量满足本项目需要</w:t>
            </w:r>
            <w:r>
              <w:rPr>
                <w:rFonts w:hint="eastAsia" w:ascii="宋体" w:hAnsi="宋体" w:cs="宋体"/>
                <w:color w:val="auto"/>
                <w:kern w:val="0"/>
                <w:sz w:val="24"/>
                <w:highlight w:val="none"/>
                <w:lang w:bidi="ar"/>
              </w:rPr>
              <w:t>、培训</w:t>
            </w:r>
            <w:r>
              <w:rPr>
                <w:rFonts w:hint="eastAsia" w:ascii="宋体" w:hAnsi="宋体" w:cs="宋体"/>
                <w:color w:val="auto"/>
                <w:kern w:val="0"/>
                <w:sz w:val="24"/>
                <w:highlight w:val="none"/>
                <w:lang w:val="en-US" w:eastAsia="zh-CN" w:bidi="ar"/>
              </w:rPr>
              <w:t>计划、</w:t>
            </w:r>
            <w:r>
              <w:rPr>
                <w:rFonts w:hint="eastAsia" w:ascii="宋体" w:hAnsi="宋体" w:cs="宋体"/>
                <w:color w:val="auto"/>
                <w:kern w:val="0"/>
                <w:sz w:val="24"/>
                <w:highlight w:val="none"/>
                <w:lang w:bidi="ar"/>
              </w:rPr>
              <w:t>培训</w:t>
            </w:r>
            <w:r>
              <w:rPr>
                <w:rFonts w:hint="eastAsia" w:ascii="宋体" w:hAnsi="宋体" w:cs="宋体"/>
                <w:color w:val="auto"/>
                <w:kern w:val="0"/>
                <w:sz w:val="24"/>
                <w:highlight w:val="none"/>
                <w:lang w:val="en-US" w:eastAsia="zh-CN" w:bidi="ar"/>
              </w:rPr>
              <w:t>内容、</w:t>
            </w:r>
            <w:r>
              <w:rPr>
                <w:rFonts w:hint="eastAsia" w:ascii="宋体" w:hAnsi="宋体" w:cs="宋体"/>
                <w:color w:val="auto"/>
                <w:kern w:val="0"/>
                <w:sz w:val="24"/>
                <w:highlight w:val="none"/>
                <w:lang w:bidi="ar"/>
              </w:rPr>
              <w:t>课程</w:t>
            </w:r>
            <w:r>
              <w:rPr>
                <w:rFonts w:hint="eastAsia" w:ascii="宋体" w:hAnsi="宋体" w:cs="宋体"/>
                <w:color w:val="auto"/>
                <w:kern w:val="0"/>
                <w:sz w:val="24"/>
                <w:highlight w:val="none"/>
                <w:lang w:val="en-US" w:eastAsia="zh-CN" w:bidi="ar"/>
              </w:rPr>
              <w:t>设置</w:t>
            </w:r>
            <w:r>
              <w:rPr>
                <w:rFonts w:hint="eastAsia" w:ascii="宋体" w:hAnsi="宋体" w:cs="宋体"/>
                <w:color w:val="auto"/>
                <w:kern w:val="0"/>
                <w:sz w:val="24"/>
                <w:highlight w:val="none"/>
                <w:lang w:bidi="ar"/>
              </w:rPr>
              <w:t>、</w:t>
            </w:r>
            <w:r>
              <w:rPr>
                <w:rFonts w:hint="eastAsia" w:ascii="宋体" w:hAnsi="宋体" w:eastAsia="宋体" w:cs="宋体"/>
                <w:color w:val="auto"/>
                <w:kern w:val="0"/>
                <w:sz w:val="24"/>
                <w:szCs w:val="24"/>
                <w:highlight w:val="none"/>
                <w:lang w:val="en-US" w:eastAsia="zh-CN" w:bidi="ar"/>
              </w:rPr>
              <w:t>课时安排、</w:t>
            </w:r>
            <w:r>
              <w:rPr>
                <w:rFonts w:hint="eastAsia" w:ascii="宋体" w:hAnsi="宋体" w:cs="宋体"/>
                <w:color w:val="auto"/>
                <w:kern w:val="0"/>
                <w:sz w:val="24"/>
                <w:highlight w:val="none"/>
                <w:lang w:bidi="ar"/>
              </w:rPr>
              <w:t>课程示例</w:t>
            </w:r>
            <w:r>
              <w:rPr>
                <w:rFonts w:hint="eastAsia" w:ascii="宋体" w:hAnsi="宋体" w:cs="宋体"/>
                <w:color w:val="auto"/>
                <w:kern w:val="0"/>
                <w:sz w:val="24"/>
                <w:highlight w:val="none"/>
                <w:lang w:val="en-US" w:eastAsia="zh-CN" w:bidi="ar"/>
              </w:rPr>
              <w:t>等</w:t>
            </w:r>
            <w:r>
              <w:rPr>
                <w:rFonts w:hint="eastAsia" w:ascii="宋体" w:hAnsi="宋体" w:cs="宋体"/>
                <w:color w:val="auto"/>
                <w:kern w:val="0"/>
                <w:sz w:val="24"/>
                <w:highlight w:val="none"/>
                <w:lang w:bidi="ar"/>
              </w:rPr>
              <w:t>得</w:t>
            </w:r>
            <w:r>
              <w:rPr>
                <w:rFonts w:hint="eastAsia" w:ascii="宋体" w:hAnsi="宋体" w:cs="宋体"/>
                <w:color w:val="auto"/>
                <w:kern w:val="0"/>
                <w:sz w:val="24"/>
                <w:highlight w:val="none"/>
                <w:lang w:val="en-US" w:eastAsia="zh-CN" w:bidi="ar"/>
              </w:rPr>
              <w:t>15</w:t>
            </w:r>
            <w:r>
              <w:rPr>
                <w:rFonts w:hint="eastAsia" w:ascii="宋体" w:hAnsi="宋体" w:cs="宋体"/>
                <w:color w:val="auto"/>
                <w:kern w:val="0"/>
                <w:sz w:val="24"/>
                <w:highlight w:val="none"/>
                <w:lang w:bidi="ar"/>
              </w:rPr>
              <w:t>分</w:t>
            </w:r>
          </w:p>
        </w:tc>
      </w:tr>
      <w:tr>
        <w:tblPrEx>
          <w:tblCellMar>
            <w:top w:w="0" w:type="dxa"/>
            <w:left w:w="108" w:type="dxa"/>
            <w:bottom w:w="0" w:type="dxa"/>
            <w:right w:w="108" w:type="dxa"/>
          </w:tblCellMar>
        </w:tblPrEx>
        <w:trPr>
          <w:trHeight w:val="1235" w:hRule="atLeast"/>
        </w:trPr>
        <w:tc>
          <w:tcPr>
            <w:tcW w:w="1227" w:type="dxa"/>
            <w:vMerge w:val="continue"/>
            <w:tcBorders>
              <w:left w:val="single" w:color="000000" w:sz="4" w:space="0"/>
              <w:right w:val="single" w:color="000000" w:sz="4" w:space="0"/>
            </w:tcBorders>
            <w:shd w:val="clear" w:color="auto" w:fill="auto"/>
            <w:vAlign w:val="center"/>
          </w:tcPr>
          <w:p>
            <w:pPr>
              <w:widowControl/>
              <w:jc w:val="left"/>
              <w:rPr>
                <w:rFonts w:hint="eastAsia" w:ascii="宋体" w:hAnsi="宋体" w:eastAsia="宋体" w:cs="宋体"/>
                <w:b/>
                <w:bCs/>
                <w:color w:val="auto"/>
                <w:sz w:val="24"/>
                <w:highlight w:val="none"/>
              </w:rPr>
            </w:pPr>
          </w:p>
        </w:tc>
        <w:tc>
          <w:tcPr>
            <w:tcW w:w="129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400" w:lineRule="exact"/>
              <w:jc w:val="center"/>
              <w:textAlignment w:val="center"/>
              <w:rPr>
                <w:rFonts w:hint="eastAsia" w:ascii="宋体" w:hAnsi="宋体" w:eastAsia="宋体" w:cs="宋体"/>
                <w:color w:val="auto"/>
                <w:kern w:val="0"/>
                <w:sz w:val="24"/>
                <w:highlight w:val="none"/>
                <w:lang w:val="en-US" w:eastAsia="zh-CN" w:bidi="ar"/>
              </w:rPr>
            </w:pPr>
          </w:p>
          <w:p>
            <w:pPr>
              <w:widowControl/>
              <w:spacing w:line="400" w:lineRule="exact"/>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val="en-US" w:eastAsia="zh-CN" w:bidi="ar"/>
              </w:rPr>
              <w:t>管理制度</w:t>
            </w:r>
          </w:p>
          <w:p>
            <w:pPr>
              <w:widowControl/>
              <w:spacing w:line="400" w:lineRule="exact"/>
              <w:jc w:val="center"/>
              <w:textAlignment w:val="center"/>
              <w:rPr>
                <w:rFonts w:hint="default"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15</w:t>
            </w:r>
            <w:r>
              <w:rPr>
                <w:rFonts w:hint="eastAsia" w:ascii="宋体" w:hAnsi="宋体" w:eastAsia="宋体" w:cs="宋体"/>
                <w:color w:val="auto"/>
                <w:kern w:val="0"/>
                <w:sz w:val="24"/>
                <w:highlight w:val="none"/>
                <w:lang w:val="en-US" w:eastAsia="zh-CN" w:bidi="ar"/>
              </w:rPr>
              <w:t>分</w:t>
            </w:r>
          </w:p>
          <w:p>
            <w:pPr>
              <w:widowControl/>
              <w:spacing w:line="400" w:lineRule="exact"/>
              <w:jc w:val="center"/>
              <w:textAlignment w:val="center"/>
              <w:rPr>
                <w:rFonts w:hint="default" w:ascii="宋体" w:hAnsi="宋体" w:eastAsia="宋体" w:cs="宋体"/>
                <w:color w:val="auto"/>
                <w:kern w:val="2"/>
                <w:sz w:val="24"/>
                <w:szCs w:val="24"/>
                <w:highlight w:val="none"/>
                <w:lang w:val="en-US" w:eastAsia="zh-CN" w:bidi="ar-SA"/>
              </w:rPr>
            </w:pPr>
          </w:p>
        </w:tc>
        <w:tc>
          <w:tcPr>
            <w:tcW w:w="65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highlight w:val="none"/>
                <w:lang w:bidi="ar"/>
              </w:rPr>
              <w:t>投标人</w:t>
            </w:r>
            <w:r>
              <w:rPr>
                <w:rFonts w:hint="eastAsia" w:ascii="宋体" w:hAnsi="宋体" w:cs="宋体"/>
                <w:color w:val="auto"/>
                <w:kern w:val="0"/>
                <w:sz w:val="24"/>
                <w:highlight w:val="none"/>
                <w:lang w:val="en-US" w:eastAsia="zh-CN" w:bidi="ar"/>
              </w:rPr>
              <w:t>具有相关</w:t>
            </w:r>
            <w:r>
              <w:rPr>
                <w:rFonts w:hint="eastAsia" w:ascii="宋体" w:hAnsi="宋体" w:cs="宋体"/>
                <w:color w:val="auto"/>
                <w:kern w:val="0"/>
                <w:sz w:val="24"/>
                <w:highlight w:val="none"/>
                <w:lang w:bidi="ar"/>
              </w:rPr>
              <w:t>管理制度</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val="en-US" w:eastAsia="zh-CN" w:bidi="ar"/>
              </w:rPr>
              <w:t>包括但不限于提供人事管理制度、档案管理制度、</w:t>
            </w:r>
            <w:r>
              <w:rPr>
                <w:rFonts w:hint="eastAsia" w:ascii="宋体" w:hAnsi="宋体" w:eastAsia="宋体" w:cs="宋体"/>
                <w:color w:val="auto"/>
                <w:kern w:val="0"/>
                <w:sz w:val="24"/>
                <w:highlight w:val="none"/>
                <w:lang w:val="en-US" w:eastAsia="zh-CN" w:bidi="ar"/>
              </w:rPr>
              <w:t>风险控制措施，重大事项报告制度、疑难问题协商制度、工作廉洁纪律等</w:t>
            </w:r>
            <w:r>
              <w:rPr>
                <w:rFonts w:hint="eastAsia" w:ascii="宋体" w:hAnsi="宋体" w:eastAsia="宋体" w:cs="宋体"/>
                <w:color w:val="auto"/>
                <w:kern w:val="0"/>
                <w:sz w:val="24"/>
                <w:szCs w:val="24"/>
                <w:highlight w:val="none"/>
                <w:lang w:val="en-US" w:eastAsia="zh-CN" w:bidi="ar"/>
              </w:rPr>
              <w:t>得</w:t>
            </w:r>
            <w:r>
              <w:rPr>
                <w:rFonts w:hint="eastAsia" w:ascii="宋体" w:hAnsi="宋体" w:cs="宋体"/>
                <w:color w:val="auto"/>
                <w:kern w:val="0"/>
                <w:sz w:val="24"/>
                <w:szCs w:val="24"/>
                <w:highlight w:val="none"/>
                <w:lang w:val="en-US" w:eastAsia="zh-CN" w:bidi="ar"/>
              </w:rPr>
              <w:t>15</w:t>
            </w:r>
            <w:r>
              <w:rPr>
                <w:rFonts w:hint="eastAsia" w:ascii="宋体" w:hAnsi="宋体" w:eastAsia="宋体" w:cs="宋体"/>
                <w:color w:val="auto"/>
                <w:kern w:val="0"/>
                <w:sz w:val="24"/>
                <w:szCs w:val="24"/>
                <w:highlight w:val="none"/>
                <w:lang w:val="en-US" w:eastAsia="zh-CN" w:bidi="ar"/>
              </w:rPr>
              <w:t>分，</w:t>
            </w:r>
            <w:r>
              <w:rPr>
                <w:rFonts w:hint="eastAsia" w:ascii="宋体" w:hAnsi="宋体" w:cs="宋体"/>
                <w:color w:val="auto"/>
                <w:kern w:val="0"/>
                <w:sz w:val="24"/>
                <w:highlight w:val="none"/>
                <w:lang w:eastAsia="zh-CN" w:bidi="ar"/>
              </w:rPr>
              <w:t>不提供不得分。</w:t>
            </w:r>
          </w:p>
        </w:tc>
      </w:tr>
      <w:tr>
        <w:tblPrEx>
          <w:tblCellMar>
            <w:top w:w="0" w:type="dxa"/>
            <w:left w:w="108" w:type="dxa"/>
            <w:bottom w:w="0" w:type="dxa"/>
            <w:right w:w="108" w:type="dxa"/>
          </w:tblCellMar>
        </w:tblPrEx>
        <w:trPr>
          <w:trHeight w:val="1530" w:hRule="atLeast"/>
        </w:trPr>
        <w:tc>
          <w:tcPr>
            <w:tcW w:w="1227" w:type="dxa"/>
            <w:vMerge w:val="continue"/>
            <w:tcBorders>
              <w:left w:val="single" w:color="000000" w:sz="4" w:space="0"/>
              <w:right w:val="single" w:color="000000" w:sz="4" w:space="0"/>
            </w:tcBorders>
            <w:shd w:val="clear" w:color="auto" w:fill="auto"/>
            <w:vAlign w:val="center"/>
          </w:tcPr>
          <w:p>
            <w:pPr>
              <w:widowControl/>
              <w:jc w:val="left"/>
              <w:rPr>
                <w:rFonts w:hint="eastAsia" w:ascii="宋体" w:hAnsi="宋体" w:eastAsia="宋体" w:cs="宋体"/>
                <w:b/>
                <w:bCs/>
                <w:color w:val="auto"/>
                <w:sz w:val="24"/>
                <w:highlight w:val="none"/>
              </w:rPr>
            </w:pPr>
          </w:p>
        </w:tc>
        <w:tc>
          <w:tcPr>
            <w:tcW w:w="129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400" w:lineRule="exact"/>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highlight w:val="none"/>
                <w:lang w:val="en-US" w:eastAsia="zh-CN" w:bidi="ar"/>
              </w:rPr>
              <w:t>风险防范措施10分</w:t>
            </w:r>
          </w:p>
        </w:tc>
        <w:tc>
          <w:tcPr>
            <w:tcW w:w="65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highlight w:val="none"/>
                <w:lang w:val="en-US" w:eastAsia="zh-CN" w:bidi="ar"/>
              </w:rPr>
              <w:t xml:space="preserve">供应商具有针对本项目制定性的风险控制措施措施 </w:t>
            </w:r>
            <w:r>
              <w:rPr>
                <w:rFonts w:hint="eastAsia" w:ascii="宋体" w:hAnsi="宋体" w:cs="宋体"/>
                <w:color w:val="auto"/>
                <w:kern w:val="0"/>
                <w:sz w:val="24"/>
                <w:highlight w:val="none"/>
                <w:lang w:val="en-US" w:eastAsia="zh-CN" w:bidi="ar"/>
              </w:rPr>
              <w:t>，包括但不限于安全防范、安全制度、</w:t>
            </w:r>
            <w:r>
              <w:rPr>
                <w:rFonts w:hint="eastAsia" w:ascii="宋体" w:hAnsi="宋体" w:eastAsia="宋体" w:cs="宋体"/>
                <w:color w:val="auto"/>
                <w:kern w:val="0"/>
                <w:sz w:val="24"/>
                <w:highlight w:val="none"/>
                <w:lang w:val="en-US" w:eastAsia="zh-CN" w:bidi="ar"/>
              </w:rPr>
              <w:t xml:space="preserve">风险防控预案 </w:t>
            </w:r>
            <w:r>
              <w:rPr>
                <w:rFonts w:hint="eastAsia" w:ascii="宋体" w:hAnsi="宋体" w:cs="宋体"/>
                <w:color w:val="auto"/>
                <w:kern w:val="0"/>
                <w:sz w:val="24"/>
                <w:highlight w:val="none"/>
                <w:lang w:val="en-US" w:eastAsia="zh-CN" w:bidi="ar"/>
              </w:rPr>
              <w:t>、</w:t>
            </w:r>
            <w:r>
              <w:rPr>
                <w:rFonts w:hint="eastAsia" w:ascii="宋体" w:hAnsi="宋体" w:eastAsia="宋体" w:cs="宋体"/>
                <w:color w:val="auto"/>
                <w:kern w:val="0"/>
                <w:sz w:val="24"/>
                <w:highlight w:val="none"/>
                <w:lang w:val="en-US" w:eastAsia="zh-CN" w:bidi="ar"/>
              </w:rPr>
              <w:t>应急措施等</w:t>
            </w:r>
            <w:r>
              <w:rPr>
                <w:rFonts w:hint="eastAsia" w:ascii="宋体" w:hAnsi="宋体" w:eastAsia="宋体" w:cs="宋体"/>
                <w:color w:val="auto"/>
                <w:kern w:val="0"/>
                <w:sz w:val="24"/>
                <w:szCs w:val="24"/>
                <w:highlight w:val="none"/>
                <w:lang w:val="en-US" w:eastAsia="zh-CN" w:bidi="ar"/>
              </w:rPr>
              <w:t>得10分，</w:t>
            </w:r>
            <w:r>
              <w:rPr>
                <w:rFonts w:hint="eastAsia" w:ascii="宋体" w:hAnsi="宋体" w:cs="宋体"/>
                <w:color w:val="auto"/>
                <w:kern w:val="0"/>
                <w:sz w:val="24"/>
                <w:highlight w:val="none"/>
                <w:lang w:eastAsia="zh-CN" w:bidi="ar"/>
              </w:rPr>
              <w:t>不提供不得分。</w:t>
            </w:r>
            <w:r>
              <w:rPr>
                <w:rFonts w:hint="eastAsia" w:ascii="宋体" w:hAnsi="宋体" w:eastAsia="宋体" w:cs="宋体"/>
                <w:color w:val="auto"/>
                <w:kern w:val="0"/>
                <w:sz w:val="24"/>
                <w:highlight w:val="none"/>
                <w:lang w:val="en-US" w:eastAsia="zh-CN" w:bidi="ar"/>
              </w:rPr>
              <w:t xml:space="preserve">      </w:t>
            </w:r>
          </w:p>
        </w:tc>
      </w:tr>
      <w:tr>
        <w:tblPrEx>
          <w:tblCellMar>
            <w:top w:w="0" w:type="dxa"/>
            <w:left w:w="108" w:type="dxa"/>
            <w:bottom w:w="0" w:type="dxa"/>
            <w:right w:w="108" w:type="dxa"/>
          </w:tblCellMar>
        </w:tblPrEx>
        <w:trPr>
          <w:trHeight w:val="1725" w:hRule="atLeast"/>
        </w:trPr>
        <w:tc>
          <w:tcPr>
            <w:tcW w:w="1227" w:type="dxa"/>
            <w:vMerge w:val="restart"/>
            <w:tcBorders>
              <w:top w:val="single" w:color="000000" w:sz="4" w:space="0"/>
              <w:left w:val="single" w:color="000000" w:sz="4" w:space="0"/>
              <w:right w:val="single" w:color="000000" w:sz="4" w:space="0"/>
            </w:tcBorders>
            <w:shd w:val="clear" w:color="auto" w:fill="auto"/>
            <w:vAlign w:val="center"/>
          </w:tcPr>
          <w:p>
            <w:pPr>
              <w:widowControl/>
              <w:spacing w:line="400" w:lineRule="exact"/>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综合部分</w:t>
            </w:r>
          </w:p>
          <w:p>
            <w:pPr>
              <w:widowControl/>
              <w:spacing w:line="400" w:lineRule="exact"/>
              <w:jc w:val="center"/>
              <w:textAlignment w:val="center"/>
              <w:rPr>
                <w:rFonts w:hint="eastAsia" w:ascii="宋体" w:hAnsi="宋体" w:cs="宋体"/>
                <w:color w:val="auto"/>
                <w:kern w:val="2"/>
                <w:sz w:val="24"/>
                <w:highlight w:val="none"/>
                <w:lang w:val="en-US" w:eastAsia="zh-CN" w:bidi="ar-SA"/>
              </w:rPr>
            </w:pPr>
            <w:r>
              <w:rPr>
                <w:rFonts w:hint="eastAsia" w:ascii="宋体" w:hAnsi="宋体" w:cs="宋体"/>
                <w:color w:val="auto"/>
                <w:kern w:val="0"/>
                <w:sz w:val="24"/>
                <w:highlight w:val="none"/>
                <w:lang w:val="en-US" w:eastAsia="zh-CN" w:bidi="ar"/>
              </w:rPr>
              <w:t>40</w:t>
            </w:r>
            <w:r>
              <w:rPr>
                <w:rFonts w:hint="eastAsia" w:ascii="宋体" w:hAnsi="宋体" w:cs="宋体"/>
                <w:color w:val="auto"/>
                <w:kern w:val="0"/>
                <w:sz w:val="24"/>
                <w:highlight w:val="none"/>
                <w:lang w:bidi="ar"/>
              </w:rPr>
              <w:t>分</w:t>
            </w:r>
          </w:p>
          <w:p>
            <w:pPr>
              <w:widowControl/>
              <w:spacing w:line="400" w:lineRule="exact"/>
              <w:jc w:val="center"/>
              <w:textAlignment w:val="center"/>
              <w:rPr>
                <w:rFonts w:ascii="宋体" w:hAnsi="宋体" w:cs="宋体"/>
                <w:color w:val="auto"/>
                <w:sz w:val="24"/>
                <w:highlight w:val="none"/>
              </w:rPr>
            </w:pPr>
          </w:p>
        </w:tc>
        <w:tc>
          <w:tcPr>
            <w:tcW w:w="129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400" w:lineRule="exact"/>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业绩情况</w:t>
            </w:r>
          </w:p>
          <w:p>
            <w:pPr>
              <w:widowControl/>
              <w:spacing w:line="400" w:lineRule="exact"/>
              <w:jc w:val="center"/>
              <w:textAlignment w:val="center"/>
              <w:rPr>
                <w:rFonts w:ascii="宋体" w:hAnsi="宋体" w:cs="宋体"/>
                <w:color w:val="auto"/>
                <w:sz w:val="24"/>
                <w:highlight w:val="none"/>
              </w:rPr>
            </w:pPr>
            <w:r>
              <w:rPr>
                <w:rFonts w:hint="eastAsia" w:ascii="宋体" w:hAnsi="宋体" w:cs="宋体"/>
                <w:color w:val="auto"/>
                <w:kern w:val="0"/>
                <w:sz w:val="24"/>
                <w:highlight w:val="none"/>
                <w:lang w:val="en-US" w:eastAsia="zh-CN" w:bidi="ar"/>
              </w:rPr>
              <w:t>8</w:t>
            </w:r>
            <w:r>
              <w:rPr>
                <w:rFonts w:hint="eastAsia" w:ascii="宋体" w:hAnsi="宋体" w:cs="宋体"/>
                <w:color w:val="auto"/>
                <w:kern w:val="0"/>
                <w:sz w:val="24"/>
                <w:highlight w:val="none"/>
                <w:lang w:bidi="ar"/>
              </w:rPr>
              <w:t>分</w:t>
            </w:r>
          </w:p>
        </w:tc>
        <w:tc>
          <w:tcPr>
            <w:tcW w:w="6569"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400" w:lineRule="exact"/>
              <w:textAlignment w:val="center"/>
              <w:rPr>
                <w:rFonts w:ascii="宋体" w:hAnsi="宋体" w:cs="宋体"/>
                <w:color w:val="auto"/>
                <w:sz w:val="24"/>
                <w:highlight w:val="none"/>
              </w:rPr>
            </w:pPr>
            <w:r>
              <w:rPr>
                <w:rFonts w:hint="eastAsia" w:ascii="宋体" w:hAnsi="宋体" w:cs="宋体"/>
                <w:color w:val="auto"/>
                <w:kern w:val="0"/>
                <w:sz w:val="24"/>
                <w:highlight w:val="none"/>
                <w:lang w:bidi="ar"/>
              </w:rPr>
              <w:t>投标人提供</w:t>
            </w:r>
            <w:r>
              <w:rPr>
                <w:rFonts w:hint="eastAsia" w:ascii="宋体" w:hAnsi="宋体" w:cs="宋体"/>
                <w:color w:val="auto"/>
                <w:kern w:val="0"/>
                <w:sz w:val="24"/>
                <w:highlight w:val="none"/>
                <w:lang w:val="en-US" w:eastAsia="zh-CN" w:bidi="ar"/>
              </w:rPr>
              <w:t>2022</w:t>
            </w:r>
            <w:r>
              <w:rPr>
                <w:rFonts w:hint="eastAsia" w:ascii="宋体" w:hAnsi="宋体" w:cs="宋体"/>
                <w:color w:val="auto"/>
                <w:kern w:val="0"/>
                <w:sz w:val="24"/>
                <w:highlight w:val="none"/>
                <w:lang w:bidi="ar"/>
              </w:rPr>
              <w:t>年</w:t>
            </w:r>
            <w:r>
              <w:rPr>
                <w:rFonts w:hint="eastAsia" w:ascii="宋体" w:hAnsi="宋体" w:cs="宋体"/>
                <w:color w:val="auto"/>
                <w:kern w:val="0"/>
                <w:sz w:val="24"/>
                <w:highlight w:val="none"/>
                <w:lang w:val="en-US" w:eastAsia="zh-CN" w:bidi="ar"/>
              </w:rPr>
              <w:t>以来</w:t>
            </w:r>
            <w:r>
              <w:rPr>
                <w:rFonts w:hint="eastAsia" w:ascii="宋体" w:hAnsi="宋体" w:cs="宋体"/>
                <w:color w:val="auto"/>
                <w:kern w:val="0"/>
                <w:sz w:val="24"/>
                <w:highlight w:val="none"/>
                <w:lang w:bidi="ar"/>
              </w:rPr>
              <w:t>类似业绩</w:t>
            </w:r>
            <w:r>
              <w:rPr>
                <w:rFonts w:hint="eastAsia" w:ascii="宋体" w:hAnsi="宋体" w:cs="宋体"/>
                <w:color w:val="auto"/>
                <w:kern w:val="0"/>
                <w:sz w:val="24"/>
                <w:highlight w:val="none"/>
                <w:lang w:val="en-US" w:eastAsia="zh-CN" w:bidi="ar"/>
              </w:rPr>
              <w:t>,每</w:t>
            </w:r>
            <w:r>
              <w:rPr>
                <w:rFonts w:hint="eastAsia" w:ascii="宋体" w:hAnsi="宋体" w:cs="宋体"/>
                <w:color w:val="auto"/>
                <w:kern w:val="0"/>
                <w:sz w:val="24"/>
                <w:highlight w:val="none"/>
                <w:lang w:bidi="ar"/>
              </w:rPr>
              <w:t>提供</w:t>
            </w:r>
            <w:r>
              <w:rPr>
                <w:rFonts w:hint="eastAsia" w:ascii="宋体" w:hAnsi="宋体" w:cs="宋体"/>
                <w:color w:val="auto"/>
                <w:kern w:val="0"/>
                <w:sz w:val="24"/>
                <w:highlight w:val="none"/>
                <w:lang w:val="en-US" w:eastAsia="zh-CN" w:bidi="ar"/>
              </w:rPr>
              <w:t>一份</w:t>
            </w:r>
            <w:r>
              <w:rPr>
                <w:rFonts w:hint="eastAsia" w:ascii="宋体" w:hAnsi="宋体" w:cs="宋体"/>
                <w:color w:val="auto"/>
                <w:kern w:val="0"/>
                <w:sz w:val="24"/>
                <w:highlight w:val="none"/>
                <w:lang w:bidi="ar"/>
              </w:rPr>
              <w:t>得</w:t>
            </w:r>
            <w:r>
              <w:rPr>
                <w:rFonts w:hint="eastAsia" w:ascii="宋体" w:hAnsi="宋体" w:cs="宋体"/>
                <w:color w:val="auto"/>
                <w:kern w:val="0"/>
                <w:sz w:val="24"/>
                <w:highlight w:val="none"/>
                <w:lang w:val="en-US" w:eastAsia="zh-CN" w:bidi="ar"/>
              </w:rPr>
              <w:t>4</w:t>
            </w:r>
            <w:r>
              <w:rPr>
                <w:rFonts w:hint="eastAsia" w:ascii="宋体" w:hAnsi="宋体" w:cs="宋体"/>
                <w:color w:val="auto"/>
                <w:kern w:val="0"/>
                <w:sz w:val="24"/>
                <w:highlight w:val="none"/>
                <w:lang w:bidi="ar"/>
              </w:rPr>
              <w:t>分，</w:t>
            </w:r>
            <w:r>
              <w:rPr>
                <w:rFonts w:hint="eastAsia" w:ascii="宋体" w:hAnsi="宋体" w:cs="宋体"/>
                <w:color w:val="auto"/>
                <w:kern w:val="0"/>
                <w:sz w:val="24"/>
                <w:highlight w:val="none"/>
                <w:lang w:val="en-US" w:eastAsia="zh-CN" w:bidi="ar"/>
              </w:rPr>
              <w:t>最多得8分。</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val="en-US" w:eastAsia="zh-CN" w:bidi="ar"/>
              </w:rPr>
              <w:t>业绩时间以合同签订时间为准。</w:t>
            </w:r>
            <w:r>
              <w:rPr>
                <w:rFonts w:hint="eastAsia" w:ascii="宋体" w:hAnsi="宋体" w:cs="宋体"/>
                <w:color w:val="auto"/>
                <w:kern w:val="0"/>
                <w:sz w:val="24"/>
                <w:highlight w:val="none"/>
                <w:lang w:eastAsia="zh-CN" w:bidi="ar"/>
              </w:rPr>
              <w:t>）</w:t>
            </w:r>
          </w:p>
        </w:tc>
      </w:tr>
      <w:tr>
        <w:tblPrEx>
          <w:tblCellMar>
            <w:top w:w="0" w:type="dxa"/>
            <w:left w:w="108" w:type="dxa"/>
            <w:bottom w:w="0" w:type="dxa"/>
            <w:right w:w="108" w:type="dxa"/>
          </w:tblCellMar>
        </w:tblPrEx>
        <w:trPr>
          <w:trHeight w:val="963" w:hRule="atLeast"/>
        </w:trPr>
        <w:tc>
          <w:tcPr>
            <w:tcW w:w="1227" w:type="dxa"/>
            <w:vMerge w:val="continue"/>
            <w:tcBorders>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color w:val="auto"/>
                <w:sz w:val="24"/>
                <w:highlight w:val="none"/>
              </w:rPr>
            </w:pPr>
          </w:p>
        </w:tc>
        <w:tc>
          <w:tcPr>
            <w:tcW w:w="1294" w:type="dxa"/>
            <w:tcBorders>
              <w:top w:val="single" w:color="auto" w:sz="4" w:space="0"/>
              <w:left w:val="single" w:color="000000" w:sz="4" w:space="0"/>
              <w:bottom w:val="single" w:color="auto" w:sz="4" w:space="0"/>
              <w:right w:val="single" w:color="000000" w:sz="4" w:space="0"/>
            </w:tcBorders>
            <w:shd w:val="clear" w:color="auto" w:fill="auto"/>
            <w:vAlign w:val="center"/>
          </w:tcPr>
          <w:p>
            <w:pPr>
              <w:spacing w:line="400" w:lineRule="exact"/>
              <w:jc w:val="center"/>
              <w:rPr>
                <w:rFonts w:ascii="宋体" w:hAnsi="宋体" w:cs="宋体"/>
                <w:color w:val="auto"/>
                <w:sz w:val="24"/>
                <w:highlight w:val="none"/>
              </w:rPr>
            </w:pPr>
            <w:r>
              <w:rPr>
                <w:rFonts w:hint="eastAsia" w:ascii="宋体" w:hAnsi="宋体" w:eastAsia="宋体" w:cs="宋体"/>
                <w:color w:val="auto"/>
                <w:kern w:val="2"/>
                <w:sz w:val="24"/>
                <w:szCs w:val="24"/>
                <w:highlight w:val="none"/>
                <w:lang w:val="en-US" w:eastAsia="zh-CN" w:bidi="ar"/>
              </w:rPr>
              <w:t>服务承诺（3</w:t>
            </w:r>
            <w:r>
              <w:rPr>
                <w:rFonts w:hint="eastAsia" w:ascii="宋体" w:hAnsi="宋体" w:cs="宋体"/>
                <w:color w:val="auto"/>
                <w:kern w:val="2"/>
                <w:sz w:val="24"/>
                <w:szCs w:val="24"/>
                <w:highlight w:val="none"/>
                <w:lang w:val="en-US" w:eastAsia="zh-CN" w:bidi="ar"/>
              </w:rPr>
              <w:t>2</w:t>
            </w:r>
            <w:r>
              <w:rPr>
                <w:rFonts w:hint="eastAsia" w:ascii="宋体" w:hAnsi="宋体" w:eastAsia="宋体" w:cs="宋体"/>
                <w:color w:val="auto"/>
                <w:kern w:val="2"/>
                <w:sz w:val="24"/>
                <w:szCs w:val="24"/>
                <w:highlight w:val="none"/>
                <w:lang w:val="en-US" w:eastAsia="zh-CN" w:bidi="ar"/>
              </w:rPr>
              <w:t>分）</w:t>
            </w:r>
          </w:p>
        </w:tc>
        <w:tc>
          <w:tcPr>
            <w:tcW w:w="6569"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0"/>
                <w:sz w:val="24"/>
                <w:highlight w:val="none"/>
                <w:lang w:val="en-US" w:eastAsia="zh-CN" w:bidi="ar"/>
              </w:rPr>
            </w:pPr>
            <w:r>
              <w:rPr>
                <w:rFonts w:hint="eastAsia" w:ascii="宋体" w:hAnsi="宋体" w:cs="宋体"/>
                <w:bCs/>
                <w:color w:val="auto"/>
                <w:sz w:val="22"/>
                <w:highlight w:val="none"/>
                <w:lang w:val="en-US" w:eastAsia="zh-CN"/>
              </w:rPr>
              <w:t>1.</w:t>
            </w:r>
            <w:r>
              <w:rPr>
                <w:rFonts w:hint="eastAsia" w:ascii="宋体" w:hAnsi="宋体" w:eastAsia="宋体" w:cs="宋体"/>
                <w:color w:val="auto"/>
                <w:kern w:val="0"/>
                <w:sz w:val="24"/>
                <w:highlight w:val="none"/>
                <w:lang w:val="en-US" w:eastAsia="zh-CN" w:bidi="ar"/>
              </w:rPr>
              <w:t>供应商提供总体的售后服务 、包括但不限于对人员、设备、安全生产目标、工期、质量、服务等方面做出承诺等得10分，缺项不得分。</w:t>
            </w:r>
          </w:p>
          <w:p>
            <w:pPr>
              <w:keepNext w:val="0"/>
              <w:keepLines w:val="0"/>
              <w:widowControl w:val="0"/>
              <w:suppressLineNumbers w:val="0"/>
              <w:spacing w:before="0" w:beforeAutospacing="0" w:after="0" w:afterAutospacing="0" w:line="360" w:lineRule="auto"/>
              <w:ind w:left="0" w:leftChars="0" w:right="0" w:rightChars="0"/>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 xml:space="preserve">2. </w:t>
            </w:r>
            <w:r>
              <w:rPr>
                <w:rFonts w:hint="eastAsia" w:ascii="宋体" w:hAnsi="宋体" w:cs="宋体"/>
                <w:color w:val="auto"/>
                <w:kern w:val="2"/>
                <w:sz w:val="24"/>
                <w:szCs w:val="24"/>
                <w:highlight w:val="none"/>
                <w:lang w:val="en-US" w:eastAsia="zh-CN" w:bidi="ar"/>
              </w:rPr>
              <w:t>供应商</w:t>
            </w:r>
            <w:r>
              <w:rPr>
                <w:rFonts w:hint="eastAsia" w:ascii="宋体" w:hAnsi="宋体" w:eastAsia="宋体" w:cs="宋体"/>
                <w:color w:val="auto"/>
                <w:kern w:val="2"/>
                <w:sz w:val="24"/>
                <w:szCs w:val="24"/>
                <w:highlight w:val="none"/>
                <w:lang w:val="en-US" w:eastAsia="zh-CN" w:bidi="ar"/>
              </w:rPr>
              <w:t>承诺当委托人出现重大紧急项目需要委托的，能无条件满足委托人要求，按时保质保量完成工作并详细列举方案的得8分，没有不得分。</w:t>
            </w:r>
          </w:p>
          <w:p>
            <w:pPr>
              <w:pStyle w:val="26"/>
              <w:tabs>
                <w:tab w:val="left" w:pos="945"/>
                <w:tab w:val="left" w:pos="1155"/>
                <w:tab w:val="clear" w:pos="0"/>
                <w:tab w:val="clear" w:pos="993"/>
                <w:tab w:val="clear" w:pos="1134"/>
              </w:tabs>
              <w:ind w:left="0" w:leftChars="0" w:firstLine="0" w:firstLineChars="0"/>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 针对本项目的特点和要求，结合自身的条件和潜力，提供及时、 方便的后续服务方案，且服务内容有利于业主的得7分，不提供不得分。</w:t>
            </w:r>
          </w:p>
          <w:p>
            <w:pPr>
              <w:widowControl/>
              <w:spacing w:line="400" w:lineRule="exact"/>
              <w:textAlignment w:val="center"/>
              <w:rPr>
                <w:rFonts w:ascii="宋体" w:hAnsi="宋体" w:cs="宋体"/>
                <w:color w:val="auto"/>
                <w:sz w:val="24"/>
                <w:highlight w:val="none"/>
              </w:rPr>
            </w:pPr>
            <w:r>
              <w:rPr>
                <w:rFonts w:hint="eastAsia" w:ascii="宋体" w:hAnsi="宋体" w:eastAsia="宋体" w:cs="宋体"/>
                <w:color w:val="auto"/>
                <w:kern w:val="2"/>
                <w:sz w:val="24"/>
                <w:szCs w:val="24"/>
                <w:highlight w:val="none"/>
                <w:lang w:val="en-US" w:eastAsia="zh-CN" w:bidi="ar"/>
              </w:rPr>
              <w:t>4.</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承诺接到采购人电话30分钟响应，1小时上门服务的得7分，投标人承诺接到采购人电话1小时响应，2小时上门服务的得5分。</w:t>
            </w:r>
          </w:p>
        </w:tc>
      </w:tr>
    </w:tbl>
    <w:p>
      <w:pPr>
        <w:spacing w:line="560" w:lineRule="exact"/>
        <w:ind w:firstLine="241" w:firstLineChars="1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最终得分为磋商小组所有成员计分的算术平均值，计算保留小数点两位，小数点后第三位四舍五入。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七、成交通知</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pPr>
        <w:pStyle w:val="36"/>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24.2在发出成交公告后请采购人、中标人登录周口市公共资源交易中心网（http://jyzx.zhoukou.gov.cn）自行下载成交通知书。</w:t>
      </w:r>
    </w:p>
    <w:p>
      <w:pPr>
        <w:tabs>
          <w:tab w:val="left" w:pos="180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pPr>
        <w:spacing w:line="72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八、合同授予</w:t>
      </w:r>
    </w:p>
    <w:p>
      <w:pPr>
        <w:tabs>
          <w:tab w:val="left" w:pos="162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25.1采购人、成交供应商按照竞争性磋商文件确定的合同文本签订政府采购合同。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九、质疑处理</w:t>
      </w:r>
    </w:p>
    <w:p>
      <w:pPr>
        <w:pStyle w:val="2"/>
        <w:spacing w:line="560" w:lineRule="exact"/>
        <w:ind w:firstLine="482" w:firstLineChars="200"/>
        <w:jc w:val="both"/>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w:t>
      </w:r>
      <w:r>
        <w:rPr>
          <w:rFonts w:hint="eastAsia" w:ascii="宋体" w:hAnsi="宋体" w:eastAsia="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hint="eastAsia" w:ascii="宋体" w:hAnsi="宋体" w:eastAsia="宋体" w:cs="宋体"/>
          <w:color w:val="auto"/>
          <w:sz w:val="24"/>
          <w:highlight w:val="none"/>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第三章 采购项目内容及要求</w:t>
      </w:r>
    </w:p>
    <w:p>
      <w:pPr>
        <w:spacing w:line="480" w:lineRule="auto"/>
        <w:ind w:left="420"/>
        <w:outlineLvl w:val="1"/>
        <w:rPr>
          <w:rStyle w:val="67"/>
          <w:rFonts w:ascii="宋体" w:hAnsi="宋体" w:cs="宋体"/>
          <w:color w:val="auto"/>
          <w:sz w:val="24"/>
          <w:highlight w:val="none"/>
          <w:lang w:val="zh-CN"/>
        </w:rPr>
      </w:pPr>
      <w:bookmarkStart w:id="34" w:name="_Toc21720"/>
      <w:r>
        <w:rPr>
          <w:rStyle w:val="67"/>
          <w:rFonts w:hint="eastAsia" w:ascii="宋体" w:hAnsi="宋体" w:cs="宋体"/>
          <w:color w:val="auto"/>
          <w:sz w:val="24"/>
          <w:highlight w:val="none"/>
        </w:rPr>
        <w:t>1、</w:t>
      </w:r>
      <w:r>
        <w:rPr>
          <w:rStyle w:val="67"/>
          <w:rFonts w:hint="eastAsia" w:ascii="宋体" w:hAnsi="宋体" w:cs="宋体"/>
          <w:color w:val="auto"/>
          <w:sz w:val="24"/>
          <w:highlight w:val="none"/>
          <w:lang w:val="zh-CN"/>
        </w:rPr>
        <w:t>本项目采购内容</w:t>
      </w:r>
      <w:bookmarkEnd w:id="34"/>
    </w:p>
    <w:p>
      <w:pPr>
        <w:pStyle w:val="24"/>
        <w:adjustRightInd w:val="0"/>
        <w:spacing w:before="0" w:beforeAutospacing="0" w:after="0" w:afterAutospacing="0" w:line="360" w:lineRule="auto"/>
        <w:ind w:firstLine="484" w:firstLineChars="202"/>
        <w:rPr>
          <w:rFonts w:cs="宋体"/>
          <w:color w:val="auto"/>
          <w:szCs w:val="24"/>
          <w:highlight w:val="none"/>
        </w:rPr>
      </w:pPr>
      <w:r>
        <w:rPr>
          <w:rFonts w:hint="eastAsia" w:cs="宋体"/>
          <w:color w:val="auto"/>
          <w:szCs w:val="24"/>
          <w:highlight w:val="none"/>
        </w:rPr>
        <w:t>预算单位会计核算服务目录及要求：</w:t>
      </w:r>
    </w:p>
    <w:tbl>
      <w:tblPr>
        <w:tblStyle w:val="27"/>
        <w:tblW w:w="0" w:type="auto"/>
        <w:tblInd w:w="108" w:type="dxa"/>
        <w:shd w:val="clear" w:color="auto" w:fill="auto"/>
        <w:tblLayout w:type="fixed"/>
        <w:tblCellMar>
          <w:top w:w="0" w:type="dxa"/>
          <w:left w:w="108" w:type="dxa"/>
          <w:bottom w:w="0" w:type="dxa"/>
          <w:right w:w="108" w:type="dxa"/>
        </w:tblCellMar>
      </w:tblPr>
      <w:tblGrid>
        <w:gridCol w:w="820"/>
        <w:gridCol w:w="1283"/>
        <w:gridCol w:w="5252"/>
        <w:gridCol w:w="1810"/>
      </w:tblGrid>
      <w:tr>
        <w:tblPrEx>
          <w:tblCellMar>
            <w:top w:w="0" w:type="dxa"/>
            <w:left w:w="108" w:type="dxa"/>
            <w:bottom w:w="0" w:type="dxa"/>
            <w:right w:w="108" w:type="dxa"/>
          </w:tblCellMar>
        </w:tblPrEx>
        <w:trPr>
          <w:trHeight w:val="485" w:hRule="atLeast"/>
        </w:trPr>
        <w:tc>
          <w:tcPr>
            <w:tcW w:w="9165"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预算单位会计核算服务目录</w:t>
            </w:r>
          </w:p>
        </w:tc>
      </w:tr>
      <w:tr>
        <w:tblPrEx>
          <w:tblCellMar>
            <w:top w:w="0" w:type="dxa"/>
            <w:left w:w="108" w:type="dxa"/>
            <w:bottom w:w="0" w:type="dxa"/>
            <w:right w:w="108" w:type="dxa"/>
          </w:tblCellMar>
        </w:tblPrEx>
        <w:trPr>
          <w:trHeight w:val="600" w:hRule="atLeast"/>
        </w:trPr>
        <w:tc>
          <w:tcPr>
            <w:tcW w:w="820" w:type="dxa"/>
            <w:tcBorders>
              <w:top w:val="nil"/>
              <w:left w:val="single" w:color="auto" w:sz="8" w:space="0"/>
              <w:bottom w:val="single" w:color="auto" w:sz="4" w:space="0"/>
              <w:right w:val="single" w:color="000000" w:sz="8" w:space="0"/>
            </w:tcBorders>
            <w:shd w:val="clear" w:color="auto" w:fill="auto"/>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服务名称</w:t>
            </w:r>
          </w:p>
        </w:tc>
        <w:tc>
          <w:tcPr>
            <w:tcW w:w="1283" w:type="dxa"/>
            <w:tcBorders>
              <w:top w:val="nil"/>
              <w:left w:val="nil"/>
              <w:bottom w:val="single" w:color="auto" w:sz="4" w:space="0"/>
              <w:right w:val="single" w:color="000000" w:sz="8" w:space="0"/>
            </w:tcBorders>
            <w:shd w:val="clear" w:color="auto" w:fill="auto"/>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服务项目</w:t>
            </w:r>
          </w:p>
        </w:tc>
        <w:tc>
          <w:tcPr>
            <w:tcW w:w="5252" w:type="dxa"/>
            <w:tcBorders>
              <w:top w:val="nil"/>
              <w:left w:val="nil"/>
              <w:bottom w:val="single" w:color="auto" w:sz="4" w:space="0"/>
              <w:right w:val="single" w:color="000000" w:sz="8" w:space="0"/>
            </w:tcBorders>
            <w:shd w:val="clear" w:color="auto" w:fill="auto"/>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服务内容及服务保障</w:t>
            </w:r>
          </w:p>
        </w:tc>
        <w:tc>
          <w:tcPr>
            <w:tcW w:w="1810" w:type="dxa"/>
            <w:tcBorders>
              <w:top w:val="nil"/>
              <w:left w:val="nil"/>
              <w:bottom w:val="single" w:color="auto" w:sz="4" w:space="0"/>
              <w:right w:val="single" w:color="000000" w:sz="8" w:space="0"/>
            </w:tcBorders>
            <w:shd w:val="clear" w:color="auto" w:fill="auto"/>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服务方式</w:t>
            </w:r>
          </w:p>
        </w:tc>
      </w:tr>
      <w:tr>
        <w:tblPrEx>
          <w:shd w:val="clear" w:color="auto" w:fill="auto"/>
          <w:tblCellMar>
            <w:top w:w="0" w:type="dxa"/>
            <w:left w:w="108" w:type="dxa"/>
            <w:bottom w:w="0" w:type="dxa"/>
            <w:right w:w="108" w:type="dxa"/>
          </w:tblCellMar>
        </w:tblPrEx>
        <w:trPr>
          <w:trHeight w:val="58" w:hRule="atLeast"/>
        </w:trPr>
        <w:tc>
          <w:tcPr>
            <w:tcW w:w="8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单位会计核算增值服务</w:t>
            </w:r>
          </w:p>
        </w:tc>
        <w:tc>
          <w:tcPr>
            <w:tcW w:w="1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期初业务服务</w:t>
            </w: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新旧账套衔接：</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根据新会计制度、一体化管理规范、单位行业性质、单位财务制度，梳理分析建立新账套核算规范。</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新旧账套基础数据对照分析、原账套账务数据整理。</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新账套期初余额数据整理、新账套自定义会计科目维护、设置辅助核算项。</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新账套账务基础数据录入、新账套参数调整、期初余额数据录入。</w:t>
            </w:r>
          </w:p>
        </w:tc>
        <w:tc>
          <w:tcPr>
            <w:tcW w:w="18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b/>
                <w:bCs/>
                <w:color w:val="auto"/>
                <w:kern w:val="0"/>
                <w:sz w:val="24"/>
                <w:highlight w:val="none"/>
              </w:rPr>
              <w:t>专属服务</w:t>
            </w:r>
            <w:r>
              <w:rPr>
                <w:rFonts w:hint="eastAsia" w:ascii="宋体" w:hAnsi="宋体" w:cs="宋体"/>
                <w:color w:val="auto"/>
                <w:kern w:val="0"/>
                <w:sz w:val="24"/>
                <w:highlight w:val="none"/>
              </w:rPr>
              <w:t>：指定服务专员</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现场服务：现场实时服务保障</w:t>
            </w:r>
          </w:p>
          <w:p>
            <w:pPr>
              <w:widowControl/>
              <w:spacing w:line="360" w:lineRule="auto"/>
              <w:jc w:val="left"/>
              <w:rPr>
                <w:rFonts w:ascii="宋体" w:hAnsi="宋体" w:cs="宋体"/>
                <w:b/>
                <w:bCs/>
                <w:color w:val="auto"/>
                <w:kern w:val="0"/>
                <w:sz w:val="24"/>
                <w:highlight w:val="none"/>
              </w:rPr>
            </w:pPr>
          </w:p>
          <w:p>
            <w:pPr>
              <w:widowControl/>
              <w:spacing w:line="360" w:lineRule="auto"/>
              <w:jc w:val="left"/>
              <w:rPr>
                <w:rFonts w:ascii="宋体" w:hAnsi="宋体" w:cs="宋体"/>
                <w:color w:val="auto"/>
                <w:kern w:val="0"/>
                <w:sz w:val="24"/>
                <w:highlight w:val="none"/>
              </w:rPr>
            </w:pPr>
            <w:r>
              <w:rPr>
                <w:rFonts w:hint="eastAsia" w:ascii="宋体" w:hAnsi="宋体" w:cs="宋体"/>
                <w:b/>
                <w:bCs/>
                <w:color w:val="auto"/>
                <w:kern w:val="0"/>
                <w:sz w:val="24"/>
                <w:highlight w:val="none"/>
              </w:rPr>
              <w:t>电话服务</w:t>
            </w:r>
            <w:r>
              <w:rPr>
                <w:rFonts w:hint="eastAsia" w:ascii="宋体" w:hAnsi="宋体" w:cs="宋体"/>
                <w:color w:val="auto"/>
                <w:kern w:val="0"/>
                <w:sz w:val="24"/>
                <w:highlight w:val="none"/>
              </w:rPr>
              <w:t>：专席服务电话。</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网络服务：邮件、微信、QQ。</w:t>
            </w:r>
          </w:p>
        </w:tc>
      </w:tr>
      <w:tr>
        <w:tblPrEx>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日常账务服务</w:t>
            </w: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账务处理：</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分析和制定过账业务规则、凭证生成规则设置调整和检查。</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记账凭证排号整理。</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shd w:val="clear" w:color="auto" w:fill="auto"/>
          <w:tblCellMar>
            <w:top w:w="0" w:type="dxa"/>
            <w:left w:w="108" w:type="dxa"/>
            <w:bottom w:w="0" w:type="dxa"/>
            <w:right w:w="108" w:type="dxa"/>
          </w:tblCellMar>
        </w:tblPrEx>
        <w:trPr>
          <w:trHeight w:val="1239"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出纳管理：</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银行账户设置。</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出纳期初数据整理、出纳期初数据录入。</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出纳对账分析。</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期末结账服务</w:t>
            </w: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期末转账：自定义期末转账规则分析设置、期末转账处理核对。</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600"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系统账簿：制作自定义账簿：辅助总账、辅助明细账、辅助余额表、辅助多栏明细账、辅助交叉统计表。</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94"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系统报表调试：</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系统报表差错分析、报表公式调试。</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shd w:val="clear" w:color="auto" w:fill="auto"/>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打印调试：</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自定义凭证打印设置、调试。</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自定义账簿打印设置、调试。</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自定义报表打印设置、调试。</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打印机调试。</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shd w:val="clear" w:color="auto" w:fill="auto"/>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年末业务服务</w:t>
            </w: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差异分析：</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自定义盈余与结余差异分析设置。</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盈余与结余差异业务分析、核对、修正。</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年终转账：</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自定义年终转账规则分析设置。</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年终转账处理核对。</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年终结转：</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年终结账规则核对检查、年终结账差错更正。</w:t>
            </w:r>
          </w:p>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年终数据结转下年。</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600" w:hRule="atLeast"/>
        </w:trPr>
        <w:tc>
          <w:tcPr>
            <w:tcW w:w="820" w:type="dxa"/>
            <w:vMerge w:val="continue"/>
            <w:tcBorders>
              <w:top w:val="single" w:color="auto" w:sz="4" w:space="0"/>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restart"/>
            <w:tcBorders>
              <w:top w:val="single" w:color="auto" w:sz="4" w:space="0"/>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服务总结和改进</w:t>
            </w:r>
          </w:p>
        </w:tc>
        <w:tc>
          <w:tcPr>
            <w:tcW w:w="5252"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（1）主动定期沟通交流汇总使用情况、提出单位会计核算工作改进措施建议。</w:t>
            </w:r>
          </w:p>
        </w:tc>
        <w:tc>
          <w:tcPr>
            <w:tcW w:w="1810" w:type="dxa"/>
            <w:vMerge w:val="restart"/>
            <w:tcBorders>
              <w:top w:val="single" w:color="auto" w:sz="4" w:space="0"/>
              <w:left w:val="single" w:color="auto" w:sz="4" w:space="0"/>
              <w:bottom w:val="single" w:color="000000" w:sz="8" w:space="0"/>
              <w:right w:val="single" w:color="auto" w:sz="4" w:space="0"/>
            </w:tcBorders>
            <w:shd w:val="clear" w:color="auto" w:fill="auto"/>
            <w:vAlign w:val="center"/>
          </w:tcPr>
          <w:p>
            <w:pPr>
              <w:widowControl/>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电话回访、网络调研、现场座谈</w:t>
            </w:r>
          </w:p>
        </w:tc>
      </w:tr>
      <w:tr>
        <w:tblPrEx>
          <w:tblCellMar>
            <w:top w:w="0" w:type="dxa"/>
            <w:left w:w="108" w:type="dxa"/>
            <w:bottom w:w="0" w:type="dxa"/>
            <w:right w:w="108" w:type="dxa"/>
          </w:tblCellMar>
        </w:tblPrEx>
        <w:trPr>
          <w:trHeight w:val="600" w:hRule="atLeast"/>
        </w:trPr>
        <w:tc>
          <w:tcPr>
            <w:tcW w:w="820" w:type="dxa"/>
            <w:vMerge w:val="continue"/>
            <w:tcBorders>
              <w:top w:val="single" w:color="auto" w:sz="8" w:space="0"/>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nil"/>
              <w:left w:val="nil"/>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（2）主动定期电话回访用户并做好回访记录，反馈用户需求，及时受理并解决。</w:t>
            </w:r>
          </w:p>
        </w:tc>
        <w:tc>
          <w:tcPr>
            <w:tcW w:w="1810"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48" w:hRule="atLeast"/>
        </w:trPr>
        <w:tc>
          <w:tcPr>
            <w:tcW w:w="820" w:type="dxa"/>
            <w:vMerge w:val="continue"/>
            <w:tcBorders>
              <w:top w:val="single" w:color="auto" w:sz="8" w:space="0"/>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nil"/>
              <w:left w:val="nil"/>
              <w:bottom w:val="single" w:color="auto"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（3）收集反馈用户服务评价，提升用户服务满意度。</w:t>
            </w:r>
          </w:p>
        </w:tc>
        <w:tc>
          <w:tcPr>
            <w:tcW w:w="1810"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122" w:hRule="atLeast"/>
        </w:trPr>
        <w:tc>
          <w:tcPr>
            <w:tcW w:w="820" w:type="dxa"/>
            <w:vMerge w:val="restart"/>
            <w:tcBorders>
              <w:top w:val="nil"/>
              <w:left w:val="single" w:color="auto" w:sz="8" w:space="0"/>
              <w:bottom w:val="single" w:color="000000" w:sz="8" w:space="0"/>
              <w:right w:val="single" w:color="auto" w:sz="4" w:space="0"/>
            </w:tcBorders>
            <w:shd w:val="clear" w:color="auto" w:fill="auto"/>
            <w:vAlign w:val="center"/>
          </w:tcPr>
          <w:p>
            <w:pPr>
              <w:widowControl/>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系统实务培训</w:t>
            </w:r>
          </w:p>
        </w:tc>
        <w:tc>
          <w:tcPr>
            <w:tcW w:w="1283" w:type="dxa"/>
            <w:vMerge w:val="restart"/>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操作技能培训</w:t>
            </w:r>
          </w:p>
        </w:tc>
        <w:tc>
          <w:tcPr>
            <w:tcW w:w="5252"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1）操作流程和软件功能详细讲解：覆盖日常账务处理工作中的所有环节，包括期初余额录入、试算平衡、会计科目与辅助核算体系的解析与增加方法、凭证录入与凭证生成、凭证编制技巧、凭证模板调取、凭证审核记账、反记账消审、作废删除凭证、凭证号重新排序、凭证打印，账簿查询、结转结账、报表编制、出纳管理等。</w:t>
            </w:r>
          </w:p>
        </w:tc>
        <w:tc>
          <w:tcPr>
            <w:tcW w:w="1810" w:type="dxa"/>
            <w:vMerge w:val="restart"/>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集中培训（一年组织两次）</w:t>
            </w:r>
          </w:p>
        </w:tc>
      </w:tr>
      <w:tr>
        <w:tblPrEx>
          <w:shd w:val="clear" w:color="auto" w:fill="auto"/>
          <w:tblCellMar>
            <w:top w:w="0" w:type="dxa"/>
            <w:left w:w="108" w:type="dxa"/>
            <w:bottom w:w="0" w:type="dxa"/>
            <w:right w:w="108" w:type="dxa"/>
          </w:tblCellMar>
        </w:tblPrEx>
        <w:trPr>
          <w:trHeight w:val="265" w:hRule="atLeast"/>
        </w:trPr>
        <w:tc>
          <w:tcPr>
            <w:tcW w:w="820" w:type="dxa"/>
            <w:vMerge w:val="continue"/>
            <w:tcBorders>
              <w:top w:val="nil"/>
              <w:left w:val="single" w:color="auto" w:sz="8"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（2）采用高效率、高互动授课模式：培训签到、加强课堂纪律、边教边练，一人一机、理论与实操相结合、随堂考核打分，保证教学效果、现场交流答疑。</w:t>
            </w:r>
          </w:p>
        </w:tc>
        <w:tc>
          <w:tcPr>
            <w:tcW w:w="1810"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tblCellMar>
            <w:top w:w="0" w:type="dxa"/>
            <w:left w:w="108" w:type="dxa"/>
            <w:bottom w:w="0" w:type="dxa"/>
            <w:right w:w="108" w:type="dxa"/>
          </w:tblCellMar>
        </w:tblPrEx>
        <w:trPr>
          <w:trHeight w:val="58" w:hRule="atLeast"/>
        </w:trPr>
        <w:tc>
          <w:tcPr>
            <w:tcW w:w="8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业务理论培训</w:t>
            </w:r>
          </w:p>
        </w:tc>
        <w:tc>
          <w:tcPr>
            <w:tcW w:w="12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政府会计基础理论知识讲解</w:t>
            </w: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（1）政府会计制度改革背景，政府会计准则（应用指南）与政府会计制度。</w:t>
            </w:r>
          </w:p>
        </w:tc>
        <w:tc>
          <w:tcPr>
            <w:tcW w:w="18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集中培训</w:t>
            </w:r>
          </w:p>
        </w:tc>
      </w:tr>
      <w:tr>
        <w:tblPrEx>
          <w:shd w:val="clear" w:color="auto" w:fill="auto"/>
          <w:tblCellMar>
            <w:top w:w="0" w:type="dxa"/>
            <w:left w:w="108" w:type="dxa"/>
            <w:bottom w:w="0" w:type="dxa"/>
            <w:right w:w="108" w:type="dxa"/>
          </w:tblCellMar>
        </w:tblPrEx>
        <w:trPr>
          <w:trHeight w:val="274"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2）行政事业单位会计科目和报表，重点科目及其主要账务处理讲解，包括现金银行存款、零余额账户用款额度、财政应返还额度、应收账款、其他应收款、预付账款、固定资产、固定资产累计折旧、在建工程、无形资产、无形资产累计摊销、受托代理资产和受托代理负债，应缴财政款、应付职工薪酬、应付账款、其他应付款、本期盈余和累计盈余、无偿调拨净资产、以前年度盈余调整，财政拨款收入、非同级财政拨款收入、其他收入，业务活动费用、资产处置费用，行政支出、事业支出、资金结存、财政拨款结转、非财政拨款结转、其他结余等。</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shd w:val="clear" w:color="auto" w:fill="auto"/>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（3）财务会计报表的编制方法讲解，包括资产负债表、收入费用表、净资产变动表及附注。</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shd w:val="clear" w:color="auto" w:fill="auto"/>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（4）预算会计报表的编制方法讲解，包括预算收入支出表、预算结转结余变动表、财政拨款预算收入支出表。</w:t>
            </w:r>
          </w:p>
        </w:tc>
        <w:tc>
          <w:tcPr>
            <w:tcW w:w="18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shd w:val="clear" w:color="auto" w:fill="auto"/>
          <w:tblCellMar>
            <w:top w:w="0" w:type="dxa"/>
            <w:left w:w="108" w:type="dxa"/>
            <w:bottom w:w="0" w:type="dxa"/>
            <w:right w:w="108" w:type="dxa"/>
          </w:tblCellMar>
        </w:tblPrEx>
        <w:trPr>
          <w:trHeight w:val="58" w:hRule="atLeast"/>
        </w:trPr>
        <w:tc>
          <w:tcPr>
            <w:tcW w:w="820" w:type="dxa"/>
            <w:vMerge w:val="continue"/>
            <w:tcBorders>
              <w:top w:val="single" w:color="auto" w:sz="4" w:space="0"/>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restart"/>
            <w:tcBorders>
              <w:top w:val="single" w:color="auto" w:sz="4" w:space="0"/>
              <w:left w:val="single" w:color="auto" w:sz="4" w:space="0"/>
              <w:bottom w:val="single" w:color="000000" w:sz="8" w:space="0"/>
              <w:right w:val="single" w:color="auto" w:sz="4" w:space="0"/>
            </w:tcBorders>
            <w:shd w:val="clear" w:color="auto" w:fill="auto"/>
            <w:vAlign w:val="center"/>
          </w:tcPr>
          <w:p>
            <w:pPr>
              <w:widowControl/>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政府会计重点财会业务精讲</w:t>
            </w:r>
          </w:p>
        </w:tc>
        <w:tc>
          <w:tcPr>
            <w:tcW w:w="5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1）理论与实操相结合，针对实际工作中遇到的主要经济业务进行精细讲解：办公费支出入账讲解；公务卡刷卡消费、报销、还款入账讲解；工资计提、代扣代缴、发放、汇缴社保入账讲解；固定资产确认入账讲解；以此展开实例分析，充分讲解政府会计平行记账方法。</w:t>
            </w:r>
          </w:p>
        </w:tc>
        <w:tc>
          <w:tcPr>
            <w:tcW w:w="1810" w:type="dxa"/>
            <w:vMerge w:val="restart"/>
            <w:tcBorders>
              <w:top w:val="single" w:color="auto" w:sz="4" w:space="0"/>
              <w:left w:val="single" w:color="auto" w:sz="4" w:space="0"/>
              <w:bottom w:val="single" w:color="000000" w:sz="8" w:space="0"/>
              <w:right w:val="single" w:color="auto" w:sz="4" w:space="0"/>
            </w:tcBorders>
            <w:shd w:val="clear" w:color="auto" w:fill="auto"/>
            <w:vAlign w:val="center"/>
          </w:tcPr>
          <w:p>
            <w:pPr>
              <w:widowControl/>
              <w:spacing w:line="360" w:lineRule="auto"/>
              <w:ind w:firstLine="240" w:firstLineChars="100"/>
              <w:jc w:val="left"/>
              <w:rPr>
                <w:rFonts w:ascii="宋体" w:hAnsi="宋体" w:cs="宋体"/>
                <w:color w:val="auto"/>
                <w:kern w:val="0"/>
                <w:sz w:val="24"/>
                <w:highlight w:val="none"/>
              </w:rPr>
            </w:pPr>
            <w:r>
              <w:rPr>
                <w:rFonts w:hint="eastAsia" w:ascii="宋体" w:hAnsi="宋体" w:cs="宋体"/>
                <w:color w:val="auto"/>
                <w:kern w:val="0"/>
                <w:sz w:val="24"/>
                <w:highlight w:val="none"/>
              </w:rPr>
              <w:t>集中培训</w:t>
            </w:r>
          </w:p>
        </w:tc>
      </w:tr>
      <w:tr>
        <w:tblPrEx>
          <w:shd w:val="clear" w:color="auto" w:fill="auto"/>
          <w:tblCellMar>
            <w:top w:w="0" w:type="dxa"/>
            <w:left w:w="108" w:type="dxa"/>
            <w:bottom w:w="0" w:type="dxa"/>
            <w:right w:w="108" w:type="dxa"/>
          </w:tblCellMar>
        </w:tblPrEx>
        <w:trPr>
          <w:trHeight w:val="48" w:hRule="atLeast"/>
        </w:trPr>
        <w:tc>
          <w:tcPr>
            <w:tcW w:w="820"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2）典型案例分析，讲解政府会计平行记账方法的难点问题：预算会计确认的判断条件——纳入部门预算管理的现金收支业务：固定资产计提折旧入账讲解、无形资产计提摊销入账讲解、固定资产处置报废入账讲解、无偿调拨（实物）资产入账讲解；待摊费用、预提费用入账讲解；以此展开实例分析，充分讲解政府会计平行记账应用中差异项的理解与选择。</w:t>
            </w:r>
          </w:p>
        </w:tc>
        <w:tc>
          <w:tcPr>
            <w:tcW w:w="1810"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r>
        <w:tblPrEx>
          <w:shd w:val="clear" w:color="auto" w:fill="auto"/>
          <w:tblCellMar>
            <w:top w:w="0" w:type="dxa"/>
            <w:left w:w="108" w:type="dxa"/>
            <w:bottom w:w="0" w:type="dxa"/>
            <w:right w:w="108" w:type="dxa"/>
          </w:tblCellMar>
        </w:tblPrEx>
        <w:trPr>
          <w:trHeight w:val="48" w:hRule="atLeast"/>
        </w:trPr>
        <w:tc>
          <w:tcPr>
            <w:tcW w:w="820"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1283"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c>
          <w:tcPr>
            <w:tcW w:w="5252"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r>
              <w:rPr>
                <w:rFonts w:hint="eastAsia" w:ascii="宋体" w:hAnsi="宋体" w:cs="宋体"/>
                <w:color w:val="auto"/>
                <w:kern w:val="0"/>
                <w:sz w:val="24"/>
                <w:highlight w:val="none"/>
              </w:rPr>
              <w:t>（3）典型案例分析，讲解政府会计重点难点业务详细讲解：业务活动费用和单位管理费用的应用与区别、非财政拨款收入和非财政拨款支出的入账讲解；应付职工薪酬入账实例详细讲解。</w:t>
            </w:r>
          </w:p>
        </w:tc>
        <w:tc>
          <w:tcPr>
            <w:tcW w:w="1810" w:type="dxa"/>
            <w:vMerge w:val="continue"/>
            <w:tcBorders>
              <w:top w:val="nil"/>
              <w:left w:val="single" w:color="auto" w:sz="4" w:space="0"/>
              <w:bottom w:val="single" w:color="000000" w:sz="8" w:space="0"/>
              <w:right w:val="single" w:color="auto" w:sz="4" w:space="0"/>
            </w:tcBorders>
            <w:shd w:val="clear" w:color="auto" w:fill="auto"/>
            <w:vAlign w:val="center"/>
          </w:tcPr>
          <w:p>
            <w:pPr>
              <w:widowControl/>
              <w:spacing w:line="360" w:lineRule="auto"/>
              <w:jc w:val="left"/>
              <w:rPr>
                <w:rFonts w:ascii="宋体" w:hAnsi="宋体" w:cs="宋体"/>
                <w:color w:val="auto"/>
                <w:kern w:val="0"/>
                <w:sz w:val="24"/>
                <w:highlight w:val="none"/>
              </w:rPr>
            </w:pPr>
          </w:p>
        </w:tc>
      </w:tr>
    </w:tbl>
    <w:p>
      <w:pPr>
        <w:spacing w:line="480" w:lineRule="auto"/>
        <w:ind w:left="351"/>
        <w:outlineLvl w:val="1"/>
        <w:rPr>
          <w:rStyle w:val="67"/>
          <w:rFonts w:ascii="宋体" w:hAnsi="宋体" w:cs="宋体"/>
          <w:color w:val="auto"/>
          <w:sz w:val="24"/>
          <w:highlight w:val="none"/>
          <w:lang w:val="zh-CN"/>
        </w:rPr>
      </w:pPr>
      <w:bookmarkStart w:id="35" w:name="_Toc7296"/>
      <w:r>
        <w:rPr>
          <w:rStyle w:val="67"/>
          <w:rFonts w:hint="eastAsia" w:ascii="宋体" w:hAnsi="宋体" w:cs="宋体"/>
          <w:color w:val="auto"/>
          <w:sz w:val="24"/>
          <w:highlight w:val="none"/>
          <w:lang w:val="zh-CN"/>
        </w:rPr>
        <w:t>2、服务内容及要求</w:t>
      </w:r>
      <w:bookmarkEnd w:id="35"/>
    </w:p>
    <w:p>
      <w:pPr>
        <w:spacing w:line="420" w:lineRule="exact"/>
        <w:ind w:firstLine="480" w:firstLineChars="20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2.1服务要求：服务年限,在接到采购方服务请求后，1小时响应，2小时内上门解决问题；质保期内提供免费上门服务，质保期外的收费按相关行业规则或由双方协商收取。</w:t>
      </w:r>
    </w:p>
    <w:p>
      <w:pPr>
        <w:spacing w:line="420" w:lineRule="exact"/>
        <w:ind w:firstLine="480" w:firstLineChars="20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2.2</w:t>
      </w:r>
      <w:r>
        <w:rPr>
          <w:rStyle w:val="67"/>
          <w:rFonts w:hint="eastAsia" w:ascii="宋体" w:hAnsi="宋体" w:cs="宋体"/>
          <w:color w:val="auto"/>
          <w:sz w:val="24"/>
          <w:highlight w:val="none"/>
        </w:rPr>
        <w:t>服务</w:t>
      </w:r>
      <w:r>
        <w:rPr>
          <w:rStyle w:val="67"/>
          <w:rFonts w:hint="eastAsia" w:ascii="宋体" w:hAnsi="宋体" w:cs="宋体"/>
          <w:color w:val="auto"/>
          <w:sz w:val="24"/>
          <w:highlight w:val="none"/>
          <w:lang w:val="zh-CN"/>
        </w:rPr>
        <w:t>地点：采购人指定地点。</w:t>
      </w:r>
    </w:p>
    <w:p>
      <w:pPr>
        <w:spacing w:line="420" w:lineRule="exact"/>
        <w:ind w:firstLine="480" w:firstLineChars="200"/>
        <w:rPr>
          <w:rStyle w:val="67"/>
          <w:rFonts w:ascii="宋体" w:hAnsi="宋体" w:cs="宋体"/>
          <w:color w:val="auto"/>
          <w:sz w:val="24"/>
          <w:highlight w:val="none"/>
          <w:lang w:val="zh-CN"/>
        </w:rPr>
      </w:pPr>
      <w:r>
        <w:rPr>
          <w:rStyle w:val="67"/>
          <w:rFonts w:hint="eastAsia" w:ascii="宋体" w:hAnsi="宋体" w:cs="宋体"/>
          <w:color w:val="auto"/>
          <w:sz w:val="24"/>
          <w:highlight w:val="none"/>
          <w:lang w:val="zh-CN"/>
        </w:rPr>
        <w:t>2.3</w:t>
      </w:r>
      <w:r>
        <w:rPr>
          <w:rStyle w:val="67"/>
          <w:rFonts w:hint="eastAsia" w:ascii="宋体" w:hAnsi="宋体" w:cs="宋体"/>
          <w:color w:val="auto"/>
          <w:sz w:val="24"/>
          <w:highlight w:val="none"/>
        </w:rPr>
        <w:t>服务</w:t>
      </w:r>
      <w:r>
        <w:rPr>
          <w:rStyle w:val="67"/>
          <w:rFonts w:hint="eastAsia" w:ascii="宋体" w:hAnsi="宋体" w:cs="宋体"/>
          <w:color w:val="auto"/>
          <w:sz w:val="24"/>
          <w:highlight w:val="none"/>
          <w:lang w:val="zh-CN"/>
        </w:rPr>
        <w:t>日期：自合同签之日起1年。</w:t>
      </w:r>
    </w:p>
    <w:p>
      <w:pPr>
        <w:spacing w:line="420" w:lineRule="exact"/>
        <w:ind w:firstLine="480" w:firstLineChars="200"/>
        <w:rPr>
          <w:rFonts w:ascii="宋体" w:hAnsi="宋体" w:cs="宋体"/>
          <w:color w:val="auto"/>
          <w:sz w:val="24"/>
          <w:highlight w:val="none"/>
        </w:rPr>
      </w:pPr>
      <w:r>
        <w:rPr>
          <w:rStyle w:val="67"/>
          <w:rFonts w:hint="eastAsia" w:ascii="宋体" w:hAnsi="宋体" w:cs="宋体"/>
          <w:color w:val="auto"/>
          <w:sz w:val="24"/>
          <w:highlight w:val="none"/>
          <w:lang w:val="zh-CN"/>
        </w:rPr>
        <w:t>2.4验收：由最终用户组织验收。</w:t>
      </w:r>
    </w:p>
    <w:p>
      <w:pPr>
        <w:spacing w:after="120" w:line="415" w:lineRule="auto"/>
        <w:ind w:firstLine="480" w:firstLineChars="200"/>
        <w:jc w:val="center"/>
        <w:rPr>
          <w:rStyle w:val="67"/>
          <w:rFonts w:hint="eastAsia" w:ascii="宋体" w:hAnsi="宋体" w:eastAsia="宋体" w:cs="宋体"/>
          <w:color w:val="auto"/>
          <w:sz w:val="24"/>
          <w:highlight w:val="none"/>
          <w:lang w:val="zh-CN"/>
        </w:rPr>
      </w:pPr>
    </w:p>
    <w:p>
      <w:pPr>
        <w:pStyle w:val="36"/>
        <w:ind w:firstLine="210"/>
        <w:rPr>
          <w:rStyle w:val="67"/>
          <w:rFonts w:hint="eastAsia" w:ascii="宋体" w:hAnsi="宋体" w:eastAsia="宋体" w:cs="宋体"/>
          <w:color w:val="auto"/>
          <w:highlight w:val="none"/>
          <w:lang w:val="zh-CN"/>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spacing w:line="48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第四章  响应性文件内容及格式</w:t>
      </w:r>
    </w:p>
    <w:p>
      <w:pPr>
        <w:widowControl/>
        <w:spacing w:line="520" w:lineRule="exact"/>
        <w:ind w:firstLine="480" w:firstLineChars="200"/>
        <w:jc w:val="center"/>
        <w:rPr>
          <w:rFonts w:hint="eastAsia" w:ascii="宋体" w:hAnsi="宋体" w:eastAsia="宋体" w:cs="宋体"/>
          <w:color w:val="auto"/>
          <w:sz w:val="24"/>
          <w:highlight w:val="none"/>
        </w:rPr>
      </w:pP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2.法定代表人本人参加竞争性磋商的，不需提供授权委托书。</w:t>
      </w: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pStyle w:val="26"/>
        <w:ind w:firstLine="480"/>
        <w:rPr>
          <w:rFonts w:hint="eastAsia" w:ascii="宋体" w:hAnsi="宋体" w:eastAsia="宋体" w:cs="宋体"/>
          <w:color w:val="auto"/>
          <w:sz w:val="24"/>
          <w:highlight w:val="none"/>
        </w:rPr>
      </w:pPr>
    </w:p>
    <w:p>
      <w:pPr>
        <w:pStyle w:val="26"/>
        <w:ind w:firstLine="480"/>
        <w:rPr>
          <w:rFonts w:hint="eastAsia" w:ascii="宋体" w:hAnsi="宋体" w:eastAsia="宋体" w:cs="宋体"/>
          <w:color w:val="auto"/>
          <w:sz w:val="24"/>
          <w:highlight w:val="none"/>
        </w:rPr>
      </w:pPr>
    </w:p>
    <w:p>
      <w:pPr>
        <w:pStyle w:val="26"/>
        <w:ind w:firstLine="480"/>
        <w:rPr>
          <w:rFonts w:hint="eastAsia" w:ascii="宋体" w:hAnsi="宋体" w:eastAsia="宋体" w:cs="宋体"/>
          <w:color w:val="auto"/>
          <w:sz w:val="24"/>
          <w:highlight w:val="none"/>
        </w:rPr>
      </w:pPr>
    </w:p>
    <w:p>
      <w:pPr>
        <w:pStyle w:val="26"/>
        <w:ind w:firstLine="480"/>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pStyle w:val="26"/>
        <w:ind w:firstLine="480"/>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pStyle w:val="26"/>
        <w:ind w:firstLine="480"/>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格式2-1</w:t>
      </w:r>
    </w:p>
    <w:p>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企业营业执照副本及</w:t>
      </w:r>
      <w:r>
        <w:rPr>
          <w:rFonts w:hint="eastAsia" w:ascii="宋体" w:hAnsi="宋体" w:eastAsia="宋体" w:cs="宋体"/>
          <w:color w:val="auto"/>
          <w:kern w:val="0"/>
          <w:sz w:val="24"/>
          <w:highlight w:val="none"/>
        </w:rPr>
        <w:t>资格性证明材料</w:t>
      </w:r>
    </w:p>
    <w:p>
      <w:pPr>
        <w:pStyle w:val="36"/>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格式2-2</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（法定代表人参加竞争性磋商的，出具此证明书）</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同志，系我单位法定代表人，任职务。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pPr>
        <w:spacing w:line="360" w:lineRule="auto"/>
        <w:ind w:firstLine="960" w:firstLineChars="40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（※附：法定代表人身份证复印件※）</w:t>
            </w:r>
          </w:p>
          <w:p>
            <w:pPr>
              <w:spacing w:line="480" w:lineRule="exact"/>
              <w:rPr>
                <w:rFonts w:hint="eastAsia" w:ascii="宋体" w:hAnsi="宋体" w:eastAsia="宋体" w:cs="宋体"/>
                <w:color w:val="auto"/>
                <w:sz w:val="24"/>
                <w:highlight w:val="none"/>
              </w:rPr>
            </w:pPr>
          </w:p>
          <w:p>
            <w:pPr>
              <w:spacing w:line="480" w:lineRule="exact"/>
              <w:rPr>
                <w:rFonts w:hint="eastAsia" w:ascii="宋体" w:hAnsi="宋体" w:eastAsia="宋体" w:cs="宋体"/>
                <w:color w:val="auto"/>
                <w:sz w:val="24"/>
                <w:highlight w:val="none"/>
              </w:rPr>
            </w:pPr>
          </w:p>
        </w:tc>
      </w:tr>
    </w:tbl>
    <w:p>
      <w:pPr>
        <w:spacing w:line="360" w:lineRule="auto"/>
        <w:ind w:firstLine="960" w:firstLineChars="4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格式2-3</w:t>
      </w:r>
    </w:p>
    <w:p>
      <w:pPr>
        <w:spacing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（委托代理人参加竞争性磋商的，出具此证明书）</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本授权书于年月日签字生效，特此声明。</w:t>
      </w:r>
    </w:p>
    <w:p>
      <w:pPr>
        <w:spacing w:line="360" w:lineRule="auto"/>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（※附：被委托人身份证复印件※）</w:t>
            </w:r>
          </w:p>
        </w:tc>
      </w:tr>
    </w:tbl>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920" w:firstLineChars="205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pStyle w:val="36"/>
        <w:ind w:firstLine="210"/>
        <w:rPr>
          <w:rFonts w:hint="eastAsia" w:ascii="宋体" w:hAnsi="宋体" w:eastAsia="宋体" w:cs="宋体"/>
          <w:color w:val="auto"/>
          <w:highlight w:val="none"/>
        </w:rPr>
      </w:pPr>
    </w:p>
    <w:p>
      <w:pPr>
        <w:pStyle w:val="36"/>
        <w:ind w:firstLine="210"/>
        <w:rPr>
          <w:rFonts w:hint="eastAsia" w:ascii="宋体" w:hAnsi="宋体" w:eastAsia="宋体" w:cs="宋体"/>
          <w:color w:val="auto"/>
          <w:highlight w:val="none"/>
        </w:rPr>
      </w:pPr>
    </w:p>
    <w:p>
      <w:pPr>
        <w:pStyle w:val="36"/>
        <w:ind w:firstLine="210"/>
        <w:rPr>
          <w:rFonts w:hint="eastAsia" w:ascii="宋体" w:hAnsi="宋体" w:eastAsia="宋体" w:cs="宋体"/>
          <w:color w:val="auto"/>
          <w:highlight w:val="none"/>
        </w:rPr>
      </w:pPr>
    </w:p>
    <w:p>
      <w:pPr>
        <w:pStyle w:val="36"/>
        <w:ind w:firstLine="210"/>
        <w:rPr>
          <w:rFonts w:hint="eastAsia" w:ascii="宋体" w:hAnsi="宋体" w:eastAsia="宋体" w:cs="宋体"/>
          <w:color w:val="auto"/>
          <w:highlight w:val="none"/>
        </w:rPr>
      </w:pPr>
    </w:p>
    <w:p>
      <w:pPr>
        <w:pStyle w:val="36"/>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cs="宋体"/>
          <w:color w:val="auto"/>
          <w:sz w:val="24"/>
          <w:highlight w:val="none"/>
          <w:lang w:val="en-US" w:eastAsia="zh-CN"/>
        </w:rPr>
      </w:pPr>
      <w:r>
        <w:rPr>
          <w:rFonts w:hint="eastAsia" w:ascii="宋体" w:hAnsi="宋体" w:eastAsia="宋体" w:cs="宋体"/>
          <w:color w:val="auto"/>
          <w:sz w:val="24"/>
          <w:highlight w:val="none"/>
        </w:rPr>
        <w:t>格式2-</w:t>
      </w:r>
      <w:r>
        <w:rPr>
          <w:rFonts w:hint="eastAsia" w:ascii="宋体" w:hAnsi="宋体" w:cs="宋体"/>
          <w:color w:val="auto"/>
          <w:sz w:val="24"/>
          <w:highlight w:val="none"/>
          <w:lang w:val="en-US" w:eastAsia="zh-CN"/>
        </w:rPr>
        <w:t>4</w:t>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政府采购法第二十二条及参加政府采购活动前三年内无重大违法记录的书面声明</w:t>
      </w: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pPr>
        <w:pStyle w:val="24"/>
        <w:shd w:val="clear"/>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color w:val="auto"/>
          <w:szCs w:val="24"/>
          <w:highlight w:val="none"/>
        </w:rPr>
        <w:t>致：</w:t>
      </w:r>
      <w:r>
        <w:rPr>
          <w:rFonts w:hint="eastAsia" w:ascii="宋体" w:hAnsi="宋体" w:eastAsia="宋体" w:cs="宋体"/>
          <w:color w:val="auto"/>
          <w:kern w:val="2"/>
          <w:highlight w:val="none"/>
        </w:rPr>
        <w:t>（采购人或采购代理机构）</w:t>
      </w:r>
    </w:p>
    <w:p>
      <w:pPr>
        <w:pStyle w:val="56"/>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（本项目名称）</w:t>
      </w:r>
      <w:r>
        <w:rPr>
          <w:rFonts w:hint="eastAsia" w:ascii="宋体" w:hAnsi="宋体" w:eastAsia="宋体" w:cs="宋体"/>
          <w:color w:val="auto"/>
          <w:sz w:val="24"/>
          <w:szCs w:val="24"/>
          <w:highlight w:val="none"/>
        </w:rPr>
        <w:t>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 (全名、职务)代表 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pPr>
        <w:ind w:firstLine="568" w:firstLineChars="237"/>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(1)我们完全理解贵方不一定要接受最低报价，并同意本文件规定的响应性文件有效期。</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pPr>
        <w:numPr>
          <w:ilvl w:val="0"/>
          <w:numId w:val="4"/>
        </w:num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同意向贵方提供贵方可能另外要求的与其竞争性磋商有关的任何证据和资料。</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pPr>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如果我们的谈判响应文件被接受，我们将履行谈判文件中规定的每一项要求，按期、按质、按量履行合同。</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我方愿按《中华人民共和国合同法》履行我方的全部责任。</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(8)与本次竞争性磋商有关的正式通讯地址为：</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电子信箱：</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pPr>
        <w:spacing w:line="560" w:lineRule="exact"/>
        <w:jc w:val="left"/>
        <w:rPr>
          <w:rFonts w:hint="eastAsia" w:ascii="宋体" w:hAnsi="宋体" w:eastAsia="宋体" w:cs="宋体"/>
          <w:color w:val="auto"/>
          <w:sz w:val="24"/>
          <w:highlight w:val="none"/>
        </w:rPr>
      </w:pPr>
    </w:p>
    <w:p>
      <w:pPr>
        <w:spacing w:line="56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联系人：              联系电话：</w:t>
      </w: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格式4</w:t>
      </w:r>
    </w:p>
    <w:p>
      <w:pPr>
        <w:pStyle w:val="4"/>
        <w:jc w:val="center"/>
        <w:rPr>
          <w:rFonts w:hint="eastAsia" w:ascii="宋体" w:hAnsi="宋体" w:eastAsia="宋体" w:cs="宋体"/>
          <w:b w:val="0"/>
          <w:color w:val="auto"/>
          <w:sz w:val="24"/>
          <w:szCs w:val="24"/>
          <w:highlight w:val="none"/>
        </w:rPr>
      </w:pPr>
      <w:bookmarkStart w:id="36" w:name="_Toc197934561"/>
      <w:bookmarkStart w:id="37" w:name="_Toc495414231"/>
      <w:r>
        <w:rPr>
          <w:rFonts w:hint="eastAsia" w:ascii="宋体" w:hAnsi="宋体" w:eastAsia="宋体" w:cs="宋体"/>
          <w:b w:val="0"/>
          <w:color w:val="auto"/>
          <w:sz w:val="24"/>
          <w:szCs w:val="24"/>
          <w:highlight w:val="none"/>
        </w:rPr>
        <w:t>一．报价一览表</w:t>
      </w:r>
      <w:bookmarkEnd w:id="36"/>
      <w:bookmarkEnd w:id="37"/>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667" w:type="dxa"/>
            <w:tcBorders>
              <w:top w:val="nil"/>
            </w:tcBorders>
            <w:vAlign w:val="center"/>
          </w:tcPr>
          <w:p>
            <w:pPr>
              <w:spacing w:line="360" w:lineRule="auto"/>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最终投标报价（包：）</w:t>
            </w:r>
          </w:p>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667" w:type="dxa"/>
            <w:tcBorders>
              <w:top w:val="nil"/>
            </w:tcBorders>
            <w:vAlign w:val="center"/>
          </w:tcPr>
          <w:p>
            <w:pPr>
              <w:spacing w:line="360" w:lineRule="auto"/>
              <w:jc w:val="left"/>
              <w:rPr>
                <w:rFonts w:hint="eastAsia" w:ascii="宋体" w:hAnsi="宋体" w:eastAsia="宋体" w:cs="宋体"/>
                <w:color w:val="auto"/>
                <w:sz w:val="24"/>
                <w:highlight w:val="none"/>
              </w:rPr>
            </w:pPr>
          </w:p>
        </w:tc>
      </w:tr>
    </w:tbl>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pPr>
        <w:spacing w:line="360" w:lineRule="auto"/>
        <w:jc w:val="left"/>
        <w:rPr>
          <w:rFonts w:hint="eastAsia" w:ascii="宋体" w:hAnsi="宋体" w:eastAsia="宋体" w:cs="宋体"/>
          <w:color w:val="auto"/>
          <w:sz w:val="24"/>
          <w:highlight w:val="none"/>
        </w:rPr>
      </w:pPr>
      <w:bookmarkStart w:id="38" w:name="_Toc495414234"/>
      <w:bookmarkStart w:id="39" w:name="_Toc220232409"/>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p>
      <w:pPr>
        <w:pStyle w:val="4"/>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投标分项报价表</w:t>
      </w:r>
      <w:bookmarkEnd w:id="38"/>
      <w:bookmarkEnd w:id="39"/>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60"/>
              <w:widowControl w:val="0"/>
              <w:spacing w:before="0" w:beforeAutospacing="0" w:after="0" w:afterAutospacing="0" w:line="340" w:lineRule="exact"/>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序号</w:t>
            </w:r>
          </w:p>
        </w:tc>
        <w:tc>
          <w:tcPr>
            <w:tcW w:w="2205"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服务项目名称</w:t>
            </w:r>
          </w:p>
        </w:tc>
        <w:tc>
          <w:tcPr>
            <w:tcW w:w="957"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840"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260"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340"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小计</w:t>
            </w:r>
          </w:p>
        </w:tc>
        <w:tc>
          <w:tcPr>
            <w:tcW w:w="1347" w:type="dxa"/>
            <w:vAlign w:val="center"/>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tcPr>
          <w:p>
            <w:pPr>
              <w:spacing w:line="340" w:lineRule="exact"/>
              <w:rPr>
                <w:rFonts w:hint="eastAsia" w:ascii="宋体" w:hAnsi="宋体" w:eastAsia="宋体" w:cs="宋体"/>
                <w:color w:val="auto"/>
                <w:sz w:val="24"/>
                <w:highlight w:val="none"/>
              </w:rPr>
            </w:pP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vAlign w:val="center"/>
          </w:tcPr>
          <w:p>
            <w:pPr>
              <w:pStyle w:val="61"/>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其他费用</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tcPr>
          <w:p>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tcPr>
          <w:p>
            <w:pPr>
              <w:pStyle w:val="61"/>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tcPr>
          <w:p>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hint="eastAsia" w:ascii="宋体" w:hAnsi="宋体" w:eastAsia="宋体" w:cs="宋体"/>
                <w:color w:val="auto"/>
                <w:sz w:val="24"/>
                <w:highlight w:val="none"/>
              </w:rPr>
            </w:pPr>
          </w:p>
        </w:tc>
        <w:tc>
          <w:tcPr>
            <w:tcW w:w="2205" w:type="dxa"/>
            <w:vAlign w:val="center"/>
          </w:tcPr>
          <w:p>
            <w:pPr>
              <w:pStyle w:val="61"/>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合计</w:t>
            </w:r>
          </w:p>
        </w:tc>
        <w:tc>
          <w:tcPr>
            <w:tcW w:w="957" w:type="dxa"/>
          </w:tcPr>
          <w:p>
            <w:pPr>
              <w:spacing w:line="340" w:lineRule="exact"/>
              <w:rPr>
                <w:rFonts w:hint="eastAsia" w:ascii="宋体" w:hAnsi="宋体" w:eastAsia="宋体" w:cs="宋体"/>
                <w:color w:val="auto"/>
                <w:sz w:val="24"/>
                <w:highlight w:val="none"/>
              </w:rPr>
            </w:pPr>
          </w:p>
        </w:tc>
        <w:tc>
          <w:tcPr>
            <w:tcW w:w="840" w:type="dxa"/>
          </w:tcPr>
          <w:p>
            <w:pPr>
              <w:spacing w:line="340" w:lineRule="exact"/>
              <w:rPr>
                <w:rFonts w:hint="eastAsia" w:ascii="宋体" w:hAnsi="宋体" w:eastAsia="宋体" w:cs="宋体"/>
                <w:color w:val="auto"/>
                <w:sz w:val="24"/>
                <w:highlight w:val="none"/>
              </w:rPr>
            </w:pPr>
          </w:p>
        </w:tc>
        <w:tc>
          <w:tcPr>
            <w:tcW w:w="1260" w:type="dxa"/>
          </w:tcPr>
          <w:p>
            <w:pPr>
              <w:spacing w:line="340" w:lineRule="exact"/>
              <w:rPr>
                <w:rFonts w:hint="eastAsia" w:ascii="宋体" w:hAnsi="宋体" w:eastAsia="宋体" w:cs="宋体"/>
                <w:color w:val="auto"/>
                <w:sz w:val="24"/>
                <w:highlight w:val="none"/>
              </w:rPr>
            </w:pPr>
          </w:p>
        </w:tc>
        <w:tc>
          <w:tcPr>
            <w:tcW w:w="1340" w:type="dxa"/>
          </w:tcPr>
          <w:p>
            <w:pPr>
              <w:spacing w:line="340" w:lineRule="exact"/>
              <w:rPr>
                <w:rFonts w:hint="eastAsia" w:ascii="宋体" w:hAnsi="宋体" w:eastAsia="宋体" w:cs="宋体"/>
                <w:color w:val="auto"/>
                <w:sz w:val="24"/>
                <w:highlight w:val="none"/>
              </w:rPr>
            </w:pPr>
          </w:p>
        </w:tc>
        <w:tc>
          <w:tcPr>
            <w:tcW w:w="1347" w:type="dxa"/>
          </w:tcPr>
          <w:p>
            <w:pPr>
              <w:spacing w:line="340" w:lineRule="exact"/>
              <w:rPr>
                <w:rFonts w:hint="eastAsia" w:ascii="宋体" w:hAnsi="宋体" w:eastAsia="宋体" w:cs="宋体"/>
                <w:color w:val="auto"/>
                <w:sz w:val="24"/>
                <w:highlight w:val="none"/>
              </w:rPr>
            </w:pPr>
          </w:p>
        </w:tc>
      </w:tr>
    </w:tbl>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表中所列内容为对应本项目需求的全部要求。如有漏项或缺项，投标人承担全部责任。</w:t>
      </w: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pStyle w:val="36"/>
        <w:ind w:firstLine="241"/>
        <w:rPr>
          <w:rFonts w:hint="eastAsia" w:ascii="宋体" w:hAnsi="宋体" w:eastAsia="宋体" w:cs="宋体"/>
          <w:b/>
          <w:color w:val="auto"/>
          <w:sz w:val="24"/>
          <w:highlight w:val="none"/>
        </w:rPr>
      </w:pPr>
    </w:p>
    <w:p>
      <w:pPr>
        <w:pStyle w:val="36"/>
        <w:ind w:firstLine="241"/>
        <w:rPr>
          <w:rFonts w:hint="eastAsia" w:ascii="宋体" w:hAnsi="宋体" w:eastAsia="宋体" w:cs="宋体"/>
          <w:b/>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格式6                     </w:t>
      </w:r>
      <w:r>
        <w:rPr>
          <w:rFonts w:hint="eastAsia" w:ascii="宋体" w:hAnsi="宋体" w:eastAsia="宋体" w:cs="宋体"/>
          <w:b/>
          <w:color w:val="auto"/>
          <w:sz w:val="24"/>
          <w:highlight w:val="none"/>
        </w:rPr>
        <w:t>技术参数响应表</w:t>
      </w:r>
    </w:p>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pPr>
              <w:pStyle w:val="14"/>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4"/>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pPr>
              <w:pStyle w:val="14"/>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pPr>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pPr>
              <w:widowControl/>
              <w:rPr>
                <w:rFonts w:hint="eastAsia" w:ascii="宋体" w:hAnsi="宋体" w:eastAsia="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auto"/>
                <w:sz w:val="24"/>
                <w:highlight w:val="none"/>
              </w:rPr>
            </w:pPr>
          </w:p>
        </w:tc>
      </w:tr>
    </w:tbl>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(可根据需求自行更改)</w:t>
      </w:r>
    </w:p>
    <w:p>
      <w:pP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格式7</w:t>
      </w:r>
    </w:p>
    <w:p>
      <w:pPr>
        <w:pStyle w:val="26"/>
        <w:ind w:firstLine="48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服务方案及服务承诺</w:t>
      </w:r>
    </w:p>
    <w:p>
      <w:pPr>
        <w:spacing w:line="380" w:lineRule="exact"/>
        <w:jc w:val="center"/>
        <w:rPr>
          <w:rFonts w:hint="eastAsia" w:ascii="宋体" w:hAnsi="宋体" w:eastAsia="宋体" w:cs="宋体"/>
          <w:color w:val="auto"/>
          <w:sz w:val="24"/>
          <w:highlight w:val="none"/>
        </w:rPr>
      </w:pPr>
    </w:p>
    <w:p>
      <w:pPr>
        <w:spacing w:line="380" w:lineRule="exact"/>
        <w:ind w:firstLine="360" w:firstLineChars="150"/>
        <w:rPr>
          <w:rFonts w:hint="eastAsia" w:ascii="宋体" w:hAnsi="宋体" w:eastAsia="宋体" w:cs="宋体"/>
          <w:color w:val="auto"/>
          <w:sz w:val="24"/>
          <w:highlight w:val="none"/>
        </w:rPr>
      </w:pPr>
    </w:p>
    <w:p>
      <w:pPr>
        <w:pStyle w:val="38"/>
        <w:rPr>
          <w:rFonts w:hint="eastAsia" w:ascii="宋体" w:hAnsi="宋体" w:eastAsia="宋体" w:cs="宋体"/>
          <w:color w:val="auto"/>
          <w:sz w:val="24"/>
          <w:szCs w:val="24"/>
          <w:highlight w:val="none"/>
        </w:rPr>
      </w:pPr>
    </w:p>
    <w:p>
      <w:pPr>
        <w:pStyle w:val="38"/>
        <w:rPr>
          <w:rFonts w:hint="eastAsia" w:ascii="宋体" w:hAnsi="宋体" w:eastAsia="宋体" w:cs="宋体"/>
          <w:color w:val="auto"/>
          <w:sz w:val="24"/>
          <w:szCs w:val="24"/>
          <w:highlight w:val="none"/>
        </w:rPr>
      </w:pPr>
    </w:p>
    <w:p>
      <w:pPr>
        <w:pStyle w:val="38"/>
        <w:rPr>
          <w:rFonts w:hint="eastAsia" w:ascii="宋体" w:hAnsi="宋体" w:eastAsia="宋体" w:cs="宋体"/>
          <w:color w:val="auto"/>
          <w:sz w:val="24"/>
          <w:szCs w:val="24"/>
          <w:highlight w:val="none"/>
        </w:rPr>
      </w:pPr>
    </w:p>
    <w:p>
      <w:pPr>
        <w:pStyle w:val="38"/>
        <w:rPr>
          <w:rFonts w:hint="eastAsia" w:ascii="宋体" w:hAnsi="宋体" w:eastAsia="宋体" w:cs="宋体"/>
          <w:color w:val="auto"/>
          <w:sz w:val="24"/>
          <w:szCs w:val="24"/>
          <w:highlight w:val="none"/>
        </w:rPr>
      </w:pPr>
    </w:p>
    <w:p>
      <w:pPr>
        <w:pStyle w:val="38"/>
        <w:rPr>
          <w:rFonts w:hint="eastAsia" w:ascii="宋体" w:hAnsi="宋体" w:eastAsia="宋体" w:cs="宋体"/>
          <w:color w:val="auto"/>
          <w:sz w:val="24"/>
          <w:szCs w:val="24"/>
          <w:highlight w:val="none"/>
        </w:rPr>
      </w:pPr>
    </w:p>
    <w:p>
      <w:pPr>
        <w:pStyle w:val="38"/>
        <w:rPr>
          <w:rFonts w:hint="eastAsia" w:ascii="宋体" w:hAnsi="宋体" w:eastAsia="宋体" w:cs="宋体"/>
          <w:color w:val="auto"/>
          <w:sz w:val="24"/>
          <w:szCs w:val="24"/>
          <w:highlight w:val="none"/>
        </w:rPr>
      </w:pPr>
    </w:p>
    <w:p>
      <w:pPr>
        <w:spacing w:line="380" w:lineRule="exact"/>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80" w:lineRule="exact"/>
        <w:ind w:right="640" w:firstLine="1560" w:firstLineChars="650"/>
        <w:rPr>
          <w:rFonts w:hint="eastAsia" w:ascii="宋体" w:hAnsi="宋体" w:eastAsia="宋体" w:cs="宋体"/>
          <w:color w:val="auto"/>
          <w:sz w:val="24"/>
          <w:highlight w:val="none"/>
        </w:rPr>
      </w:pPr>
    </w:p>
    <w:p>
      <w:pPr>
        <w:spacing w:line="380" w:lineRule="exact"/>
        <w:ind w:right="640" w:firstLine="4680" w:firstLineChars="195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pPr>
        <w:spacing w:line="360" w:lineRule="auto"/>
        <w:rPr>
          <w:rFonts w:hint="eastAsia" w:ascii="宋体" w:hAnsi="宋体" w:eastAsia="宋体" w:cs="宋体"/>
          <w:color w:val="auto"/>
          <w:sz w:val="24"/>
          <w:highlight w:val="none"/>
        </w:rPr>
      </w:pPr>
    </w:p>
    <w:p>
      <w:pPr>
        <w:spacing w:line="360" w:lineRule="auto"/>
        <w:jc w:val="center"/>
        <w:rPr>
          <w:rFonts w:hint="eastAsia" w:ascii="宋体" w:hAnsi="宋体" w:eastAsia="宋体" w:cs="宋体"/>
          <w:b/>
          <w:bCs/>
          <w:color w:val="auto"/>
          <w:sz w:val="24"/>
          <w:highlight w:val="none"/>
        </w:rPr>
      </w:pPr>
    </w:p>
    <w:p>
      <w:pPr>
        <w:pStyle w:val="38"/>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供应商电子公章： </w:t>
      </w:r>
    </w:p>
    <w:p>
      <w:pPr>
        <w:spacing w:line="380" w:lineRule="exact"/>
        <w:ind w:right="640" w:firstLine="1560" w:firstLineChars="65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pPr>
        <w:spacing w:line="360" w:lineRule="auto"/>
        <w:rPr>
          <w:rFonts w:hint="eastAsia" w:ascii="宋体" w:hAnsi="宋体" w:eastAsia="宋体" w:cs="宋体"/>
          <w:b/>
          <w:bCs/>
          <w:color w:val="auto"/>
          <w:sz w:val="32"/>
          <w:szCs w:val="32"/>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highlight w:val="none"/>
          <w:u w:val="single"/>
        </w:rPr>
        <w:t>（单位名称）</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采购活动，工程的施工单位全部为符合政策要求的中小企业</w:t>
      </w:r>
      <w:r>
        <w:rPr>
          <w:rFonts w:hint="eastAsia" w:ascii="宋体" w:hAnsi="宋体" w:eastAsia="宋体" w:cs="宋体"/>
          <w:color w:val="auto"/>
          <w:sz w:val="24"/>
          <w:highlight w:val="none"/>
          <w:u w:val="single"/>
        </w:rPr>
        <w:t>（或者：服务全部由符合政策要求的中小企业承接）</w:t>
      </w:r>
      <w:r>
        <w:rPr>
          <w:rFonts w:hint="eastAsia" w:ascii="宋体" w:hAnsi="宋体" w:eastAsia="宋体" w:cs="宋体"/>
          <w:color w:val="auto"/>
          <w:sz w:val="24"/>
          <w:highlight w:val="none"/>
        </w:rPr>
        <w:t>。相关企业</w:t>
      </w:r>
      <w:r>
        <w:rPr>
          <w:rFonts w:hint="eastAsia" w:ascii="宋体" w:hAnsi="宋体" w:eastAsia="宋体" w:cs="宋体"/>
          <w:color w:val="auto"/>
          <w:sz w:val="24"/>
          <w:highlight w:val="none"/>
          <w:u w:val="single"/>
        </w:rPr>
        <w:t>（含联合 体中的中小企业、签订分包意向协议的中小企业）</w:t>
      </w:r>
      <w:r>
        <w:rPr>
          <w:rFonts w:hint="eastAsia" w:ascii="宋体" w:hAnsi="宋体" w:eastAsia="宋体" w:cs="宋体"/>
          <w:color w:val="auto"/>
          <w:sz w:val="24"/>
          <w:highlight w:val="none"/>
        </w:rPr>
        <w:t>的具体情 况如下：</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 承建（承接）企业为（企业名称），从业人员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万元1，属于（中型企业、小型企业、微型企业）；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u w:val="single"/>
        </w:rPr>
        <w:t>（标的名称）</w:t>
      </w:r>
      <w:r>
        <w:rPr>
          <w:rFonts w:hint="eastAsia" w:ascii="宋体" w:hAnsi="宋体" w:eastAsia="宋体" w:cs="宋体"/>
          <w:color w:val="auto"/>
          <w:sz w:val="24"/>
          <w:highlight w:val="none"/>
        </w:rPr>
        <w:t>，属于</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 承建（承接）企业为</w:t>
      </w:r>
      <w:r>
        <w:rPr>
          <w:rFonts w:hint="eastAsia" w:ascii="宋体" w:hAnsi="宋体" w:eastAsia="宋体" w:cs="宋体"/>
          <w:color w:val="auto"/>
          <w:sz w:val="24"/>
          <w:highlight w:val="none"/>
          <w:u w:val="single"/>
        </w:rPr>
        <w:t>（企业名称）</w:t>
      </w:r>
      <w:r>
        <w:rPr>
          <w:rFonts w:hint="eastAsia" w:ascii="宋体" w:hAnsi="宋体" w:eastAsia="宋体" w:cs="宋体"/>
          <w:color w:val="auto"/>
          <w:sz w:val="24"/>
          <w:highlight w:val="none"/>
        </w:rPr>
        <w:t>，从业人员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rPr>
        <w:t>（中型企业、 小型企业、微型企业）</w:t>
      </w:r>
      <w:r>
        <w:rPr>
          <w:rFonts w:hint="eastAsia" w:ascii="宋体" w:hAnsi="宋体" w:eastAsia="宋体" w:cs="宋体"/>
          <w:color w:val="auto"/>
          <w:sz w:val="24"/>
          <w:highlight w:val="none"/>
        </w:rPr>
        <w:t>；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以上企业，不属于大企业的分支机构，不存在控股股东 为大企业的情形，也不存在与大企业的负责人为同一人的情形。</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本企业对上述声明内容的真实性负责。如有虚假，将依 法承担相应责任。 </w:t>
      </w:r>
    </w:p>
    <w:p>
      <w:pPr>
        <w:spacing w:line="360" w:lineRule="auto"/>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企业名称（盖章）： </w:t>
      </w:r>
    </w:p>
    <w:p>
      <w:pPr>
        <w:spacing w:line="360" w:lineRule="auto"/>
        <w:ind w:firstLine="4800" w:firstLineChars="20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 期： </w:t>
      </w:r>
    </w:p>
    <w:p>
      <w:pPr>
        <w:pStyle w:val="38"/>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38"/>
        <w:rPr>
          <w:rFonts w:hint="eastAsia" w:ascii="宋体" w:hAnsi="宋体" w:eastAsia="宋体" w:cs="宋体"/>
          <w:color w:val="auto"/>
          <w:sz w:val="24"/>
          <w:szCs w:val="24"/>
          <w:highlight w:val="none"/>
        </w:rPr>
      </w:pPr>
    </w:p>
    <w:p>
      <w:pPr>
        <w:pStyle w:val="5"/>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注：1.从业人员、营业收入、资产总额填报上一年度数据，无上一年度数据的新成立企业可不填报。</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2.本项目如是只面向中小企业采购的应当必须提供。</w:t>
      </w:r>
    </w:p>
    <w:p>
      <w:pPr>
        <w:spacing w:line="360" w:lineRule="auto"/>
        <w:jc w:val="center"/>
        <w:rPr>
          <w:rFonts w:hint="eastAsia" w:ascii="宋体" w:hAnsi="宋体" w:eastAsia="宋体" w:cs="宋体"/>
          <w:b/>
          <w:bCs/>
          <w:color w:val="auto"/>
          <w:sz w:val="24"/>
          <w:highlight w:val="none"/>
        </w:rPr>
      </w:pPr>
    </w:p>
    <w:p>
      <w:pPr>
        <w:spacing w:line="360" w:lineRule="auto"/>
        <w:jc w:val="center"/>
        <w:rPr>
          <w:rFonts w:hint="eastAsia" w:ascii="宋体" w:hAnsi="宋体" w:eastAsia="宋体" w:cs="宋体"/>
          <w:b/>
          <w:bCs/>
          <w:color w:val="auto"/>
          <w:sz w:val="24"/>
          <w:highlight w:val="none"/>
        </w:rPr>
      </w:pPr>
    </w:p>
    <w:p>
      <w:pPr>
        <w:pStyle w:val="38"/>
        <w:rPr>
          <w:rFonts w:hint="eastAsia" w:ascii="宋体" w:hAnsi="宋体" w:eastAsia="宋体" w:cs="宋体"/>
          <w:b/>
          <w:bCs/>
          <w:color w:val="auto"/>
          <w:sz w:val="24"/>
          <w:highlight w:val="none"/>
        </w:rPr>
      </w:pPr>
    </w:p>
    <w:p>
      <w:pPr>
        <w:pStyle w:val="5"/>
        <w:rPr>
          <w:rFonts w:hint="eastAsia" w:ascii="宋体" w:hAnsi="宋体" w:eastAsia="宋体" w:cs="宋体"/>
          <w:color w:val="auto"/>
          <w:highlight w:val="none"/>
        </w:rPr>
      </w:pP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格式10其他资料</w:t>
      </w: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格式11</w:t>
      </w:r>
    </w:p>
    <w:p>
      <w:pPr>
        <w:spacing w:line="380" w:lineRule="exact"/>
        <w:jc w:val="center"/>
        <w:rPr>
          <w:rStyle w:val="67"/>
          <w:rFonts w:hint="eastAsia" w:ascii="宋体" w:hAnsi="宋体" w:eastAsia="宋体" w:cs="宋体"/>
          <w:b/>
          <w:bCs/>
          <w:color w:val="auto"/>
          <w:sz w:val="28"/>
          <w:szCs w:val="28"/>
          <w:highlight w:val="none"/>
        </w:rPr>
      </w:pPr>
      <w:r>
        <w:rPr>
          <w:rStyle w:val="67"/>
          <w:rFonts w:hint="eastAsia" w:ascii="宋体" w:hAnsi="宋体" w:eastAsia="宋体" w:cs="宋体"/>
          <w:b/>
          <w:bCs/>
          <w:color w:val="auto"/>
          <w:sz w:val="28"/>
          <w:szCs w:val="28"/>
          <w:highlight w:val="none"/>
        </w:rPr>
        <w:t>政府采购供应商诚信承诺书</w:t>
      </w:r>
    </w:p>
    <w:p>
      <w:pPr>
        <w:spacing w:line="380" w:lineRule="exact"/>
        <w:jc w:val="center"/>
        <w:rPr>
          <w:rStyle w:val="67"/>
          <w:rFonts w:hint="eastAsia" w:ascii="宋体" w:hAnsi="宋体" w:eastAsia="宋体" w:cs="宋体"/>
          <w:b/>
          <w:bCs/>
          <w:color w:val="auto"/>
          <w:sz w:val="24"/>
          <w:highlight w:val="none"/>
        </w:rPr>
      </w:pPr>
    </w:p>
    <w:p>
      <w:pPr>
        <w:spacing w:line="38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供应商名称：（盖章）</w:t>
      </w: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日期：年月日</w:t>
      </w:r>
    </w:p>
    <w:p>
      <w:pPr>
        <w:pStyle w:val="36"/>
        <w:ind w:firstLine="0" w:firstLineChars="0"/>
        <w:rPr>
          <w:rFonts w:hint="eastAsia" w:ascii="宋体" w:hAnsi="宋体" w:eastAsia="宋体" w:cs="宋体"/>
          <w:b/>
          <w:color w:val="auto"/>
          <w:sz w:val="24"/>
          <w:highlight w:val="none"/>
        </w:rPr>
      </w:pPr>
    </w:p>
    <w:p>
      <w:pPr>
        <w:spacing w:line="360" w:lineRule="auto"/>
        <w:rPr>
          <w:rFonts w:hint="eastAsia" w:ascii="宋体" w:hAnsi="宋体" w:eastAsia="宋体" w:cs="宋体"/>
          <w:b/>
          <w:bCs/>
          <w:color w:val="auto"/>
          <w:sz w:val="24"/>
          <w:highlight w:val="none"/>
        </w:rPr>
      </w:pPr>
    </w:p>
    <w:p>
      <w:pPr>
        <w:pStyle w:val="2"/>
        <w:spacing w:line="500" w:lineRule="exact"/>
        <w:rPr>
          <w:rFonts w:hint="eastAsia" w:ascii="宋体" w:hAnsi="宋体" w:eastAsia="宋体" w:cs="宋体"/>
          <w:b/>
          <w:color w:val="auto"/>
          <w:sz w:val="32"/>
          <w:szCs w:val="32"/>
          <w:highlight w:val="none"/>
        </w:rPr>
      </w:pPr>
    </w:p>
    <w:p>
      <w:pPr>
        <w:pStyle w:val="2"/>
        <w:spacing w:line="500" w:lineRule="exact"/>
        <w:rPr>
          <w:rFonts w:hint="eastAsia" w:ascii="宋体" w:hAnsi="宋体" w:eastAsia="宋体" w:cs="宋体"/>
          <w:b/>
          <w:color w:val="auto"/>
          <w:sz w:val="32"/>
          <w:szCs w:val="32"/>
          <w:highlight w:val="none"/>
        </w:rPr>
      </w:pPr>
    </w:p>
    <w:p>
      <w:pPr>
        <w:pStyle w:val="2"/>
        <w:spacing w:line="500" w:lineRule="exac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第五章  </w:t>
      </w:r>
      <w:r>
        <w:rPr>
          <w:rFonts w:hint="eastAsia" w:ascii="宋体" w:hAnsi="宋体" w:eastAsia="宋体" w:cs="宋体"/>
          <w:b/>
          <w:color w:val="auto"/>
          <w:w w:val="92"/>
          <w:sz w:val="32"/>
          <w:szCs w:val="32"/>
          <w:highlight w:val="none"/>
        </w:rPr>
        <w:t>周口市</w:t>
      </w:r>
      <w:r>
        <w:rPr>
          <w:rFonts w:hint="eastAsia" w:ascii="宋体" w:hAnsi="宋体" w:eastAsia="宋体" w:cs="宋体"/>
          <w:b/>
          <w:color w:val="auto"/>
          <w:sz w:val="32"/>
          <w:szCs w:val="32"/>
          <w:highlight w:val="none"/>
        </w:rPr>
        <w:t>政府采购合同（服务类）标准文本</w:t>
      </w:r>
    </w:p>
    <w:p>
      <w:pPr>
        <w:ind w:firstLine="640" w:firstLineChars="200"/>
        <w:rPr>
          <w:rFonts w:hint="eastAsia" w:ascii="宋体" w:hAnsi="宋体" w:eastAsia="宋体" w:cs="宋体"/>
          <w:color w:val="auto"/>
          <w:sz w:val="32"/>
          <w:szCs w:val="32"/>
          <w:highlight w:val="none"/>
        </w:rPr>
      </w:pPr>
    </w:p>
    <w:p>
      <w:pPr>
        <w:pStyle w:val="80"/>
        <w:spacing w:beforeLines="0" w:afterLines="0"/>
        <w:ind w:left="0" w:firstLine="640" w:firstLineChars="200"/>
        <w:rPr>
          <w:rFonts w:hint="eastAsia" w:ascii="宋体" w:hAnsi="宋体" w:eastAsia="宋体" w:cs="宋体"/>
          <w:color w:val="auto"/>
          <w:sz w:val="32"/>
          <w:szCs w:val="32"/>
          <w:highlight w:val="none"/>
        </w:rPr>
      </w:pPr>
    </w:p>
    <w:p>
      <w:pPr>
        <w:pStyle w:val="80"/>
        <w:spacing w:beforeLines="0" w:afterLines="0"/>
        <w:ind w:left="0" w:firstLine="640" w:firstLineChars="200"/>
        <w:rPr>
          <w:rFonts w:hint="eastAsia" w:ascii="宋体" w:hAnsi="宋体" w:eastAsia="宋体" w:cs="宋体"/>
          <w:color w:val="auto"/>
          <w:sz w:val="32"/>
          <w:szCs w:val="32"/>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政府采购项目名称：</w:t>
      </w:r>
    </w:p>
    <w:p>
      <w:pPr>
        <w:pStyle w:val="80"/>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政府采购项目编号：</w:t>
      </w:r>
    </w:p>
    <w:p>
      <w:pPr>
        <w:pStyle w:val="80"/>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采      购    人：</w:t>
      </w:r>
    </w:p>
    <w:p>
      <w:pPr>
        <w:pStyle w:val="80"/>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供      应    商：</w:t>
      </w:r>
    </w:p>
    <w:p>
      <w:pPr>
        <w:pStyle w:val="80"/>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 订 地：</w:t>
      </w:r>
    </w:p>
    <w:p>
      <w:pPr>
        <w:pStyle w:val="80"/>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签订 时 间：</w:t>
      </w: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ind w:left="0" w:firstLine="600" w:firstLineChars="200"/>
        <w:rPr>
          <w:rFonts w:hint="eastAsia" w:ascii="宋体" w:hAnsi="宋体" w:eastAsia="宋体" w:cs="宋体"/>
          <w:color w:val="auto"/>
          <w:sz w:val="30"/>
          <w:szCs w:val="30"/>
          <w:highlight w:val="none"/>
        </w:rPr>
      </w:pPr>
    </w:p>
    <w:p>
      <w:pPr>
        <w:pStyle w:val="80"/>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pPr>
        <w:pStyle w:val="80"/>
        <w:spacing w:beforeLines="0" w:afterLines="0" w:line="440" w:lineRule="exact"/>
        <w:ind w:left="0"/>
        <w:rPr>
          <w:rFonts w:hint="eastAsia" w:ascii="宋体" w:hAnsi="宋体" w:eastAsia="宋体" w:cs="宋体"/>
          <w:color w:val="auto"/>
          <w:sz w:val="30"/>
          <w:szCs w:val="30"/>
          <w:highlight w:val="none"/>
        </w:rPr>
      </w:pP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一、采购人在签订合同时应提供的资料：</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1、该政府采购项目的招标采购文件（以网上发布内容为准）；</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2、该政府采购项目招标文件的澄清和修改内容（公告内容）；</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3、该政府采购项目评审报告；</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4、采购单位法人授权委托书（法人到场并签字的除外）；</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5、采购单位被授权人身份证件（法人到场并签字的除外）；</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6、采购人和中标供应商（或服务商，下同）约定的其它内容（不得超出招标采购文件实质性内容）。</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二、供应商在签订合同时应提供的资料：</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1、该政府采购项目的投标文件（纸质或DPF格式的电子投标文件）；</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2、针对该项目评审时评审委员会提出的质询答复（纸质并签章）；</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3、该政府采购项目中标通知书；</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4、供应商法人授权委托书（法人到场并签字的除外）；</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5、供应商被授权人身份证件（法人到场并签字的除外）；</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6、供应商和采购人约定的其它内容（不得超出招标采购文件实质性内容）。</w:t>
      </w:r>
    </w:p>
    <w:p>
      <w:pPr>
        <w:pStyle w:val="80"/>
        <w:spacing w:beforeLines="0" w:afterLines="0" w:line="440" w:lineRule="exact"/>
        <w:ind w:left="0" w:firstLine="420" w:firstLineChars="200"/>
        <w:rPr>
          <w:rFonts w:hint="eastAsia" w:ascii="宋体" w:hAnsi="宋体" w:eastAsia="宋体" w:cs="宋体"/>
          <w:color w:val="auto"/>
          <w:sz w:val="30"/>
          <w:szCs w:val="30"/>
          <w:highlight w:val="none"/>
        </w:rPr>
      </w:pPr>
      <w:r>
        <w:rPr>
          <w:rFonts w:hint="eastAsia" w:ascii="宋体" w:hAnsi="宋体" w:eastAsia="宋体" w:cs="宋体"/>
          <w:color w:val="auto"/>
          <w:szCs w:val="21"/>
          <w:highlight w:val="none"/>
        </w:rPr>
        <w:t>三、本合同签订后二个工作日内有采购人在“周口市政府采购网”上进行合同公示。</w:t>
      </w:r>
    </w:p>
    <w:p>
      <w:pPr>
        <w:pStyle w:val="80"/>
        <w:spacing w:beforeLines="0" w:afterLines="0" w:line="440" w:lineRule="exact"/>
        <w:ind w:left="0"/>
        <w:jc w:val="center"/>
        <w:rPr>
          <w:rFonts w:hint="eastAsia" w:ascii="宋体" w:hAnsi="宋体" w:eastAsia="宋体" w:cs="宋体"/>
          <w:bCs/>
          <w:color w:val="auto"/>
          <w:sz w:val="32"/>
          <w:szCs w:val="32"/>
          <w:highlight w:val="none"/>
        </w:rPr>
      </w:pPr>
    </w:p>
    <w:p>
      <w:pPr>
        <w:pStyle w:val="80"/>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pPr>
        <w:pStyle w:val="80"/>
        <w:spacing w:beforeLines="0" w:afterLines="0" w:line="440" w:lineRule="exact"/>
        <w:ind w:left="0"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1"/>
          <w:highlight w:val="none"/>
        </w:rPr>
        <w:t>1、供应商不得擅自变更合同标的服务内容；</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2、不得以次充优，随意降低服务标准和水平；</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3、对因客观上采购人采购需求发生变化造成的，应提供采、供双方的纸质备忘录材料；</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4、在满足验收条件5个工作日内通知采购人组织验收；</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5、供应商应提供需验收服务的清单、标准、达到的水平等量化资料；</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6、采、供双方约定的验收机构及相关人员组成情况。</w:t>
      </w:r>
    </w:p>
    <w:p>
      <w:pPr>
        <w:pStyle w:val="80"/>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7、督促采购人在项目验收结束并达到相关要求后一个工作日内，在“周口市政府采购网”上进行“履约验收”公示。</w:t>
      </w:r>
    </w:p>
    <w:p>
      <w:pPr>
        <w:pStyle w:val="2"/>
        <w:spacing w:line="500" w:lineRule="exact"/>
        <w:jc w:val="both"/>
        <w:rPr>
          <w:rFonts w:hint="eastAsia" w:ascii="宋体" w:hAnsi="宋体" w:eastAsia="宋体" w:cs="宋体"/>
          <w:color w:val="auto"/>
          <w:sz w:val="21"/>
          <w:szCs w:val="21"/>
          <w:highlight w:val="none"/>
        </w:rPr>
      </w:pPr>
    </w:p>
    <w:p>
      <w:pPr>
        <w:pStyle w:val="2"/>
        <w:spacing w:line="500" w:lineRule="exact"/>
        <w:rPr>
          <w:rFonts w:hint="eastAsia" w:ascii="宋体" w:hAnsi="宋体" w:eastAsia="宋体" w:cs="宋体"/>
          <w:color w:val="auto"/>
          <w:sz w:val="44"/>
          <w:szCs w:val="44"/>
          <w:highlight w:val="none"/>
        </w:rPr>
      </w:pPr>
    </w:p>
    <w:p>
      <w:pPr>
        <w:pStyle w:val="2"/>
        <w:spacing w:line="500" w:lineRule="exact"/>
        <w:rPr>
          <w:rFonts w:hint="eastAsia" w:ascii="宋体" w:hAnsi="宋体" w:eastAsia="宋体" w:cs="宋体"/>
          <w:color w:val="auto"/>
          <w:sz w:val="44"/>
          <w:szCs w:val="44"/>
          <w:highlight w:val="none"/>
        </w:rPr>
      </w:pPr>
    </w:p>
    <w:p>
      <w:pPr>
        <w:pStyle w:val="2"/>
        <w:spacing w:line="500" w:lineRule="exact"/>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服务合同内容</w:t>
      </w:r>
    </w:p>
    <w:p>
      <w:pPr>
        <w:spacing w:line="360" w:lineRule="auto"/>
        <w:ind w:firstLine="420" w:firstLineChars="200"/>
        <w:rPr>
          <w:rFonts w:hint="eastAsia" w:ascii="宋体" w:hAnsi="宋体" w:eastAsia="宋体" w:cs="宋体"/>
          <w:color w:val="auto"/>
          <w:szCs w:val="27"/>
          <w:highlight w:val="none"/>
        </w:rPr>
      </w:pP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tcPr>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p>
        </w:tc>
        <w:tc>
          <w:tcPr>
            <w:tcW w:w="1623"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1071" w:type="dxa"/>
          </w:tcPr>
          <w:p>
            <w:pPr>
              <w:spacing w:line="360" w:lineRule="auto"/>
              <w:ind w:firstLine="420" w:firstLineChars="200"/>
              <w:rPr>
                <w:rFonts w:hint="eastAsia" w:ascii="宋体" w:hAnsi="宋体" w:eastAsia="宋体" w:cs="宋体"/>
                <w:color w:val="auto"/>
                <w:highlight w:val="none"/>
              </w:rPr>
            </w:pPr>
          </w:p>
        </w:tc>
        <w:tc>
          <w:tcPr>
            <w:tcW w:w="1250" w:type="dxa"/>
          </w:tcPr>
          <w:p>
            <w:pPr>
              <w:spacing w:line="360" w:lineRule="auto"/>
              <w:ind w:firstLine="420" w:firstLineChars="200"/>
              <w:rPr>
                <w:rFonts w:hint="eastAsia" w:ascii="宋体" w:hAnsi="宋体" w:eastAsia="宋体" w:cs="宋体"/>
                <w:color w:val="auto"/>
                <w:highlight w:val="none"/>
              </w:rPr>
            </w:pPr>
          </w:p>
        </w:tc>
        <w:tc>
          <w:tcPr>
            <w:tcW w:w="1106" w:type="dxa"/>
          </w:tcPr>
          <w:p>
            <w:pPr>
              <w:spacing w:line="360" w:lineRule="auto"/>
              <w:ind w:firstLine="420" w:firstLineChars="200"/>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p>
        </w:tc>
        <w:tc>
          <w:tcPr>
            <w:tcW w:w="1623"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1071" w:type="dxa"/>
          </w:tcPr>
          <w:p>
            <w:pPr>
              <w:spacing w:line="360" w:lineRule="auto"/>
              <w:ind w:firstLine="420" w:firstLineChars="200"/>
              <w:rPr>
                <w:rFonts w:hint="eastAsia" w:ascii="宋体" w:hAnsi="宋体" w:eastAsia="宋体" w:cs="宋体"/>
                <w:color w:val="auto"/>
                <w:highlight w:val="none"/>
              </w:rPr>
            </w:pPr>
          </w:p>
        </w:tc>
        <w:tc>
          <w:tcPr>
            <w:tcW w:w="1250" w:type="dxa"/>
          </w:tcPr>
          <w:p>
            <w:pPr>
              <w:spacing w:line="360" w:lineRule="auto"/>
              <w:ind w:firstLine="420" w:firstLineChars="200"/>
              <w:rPr>
                <w:rFonts w:hint="eastAsia" w:ascii="宋体" w:hAnsi="宋体" w:eastAsia="宋体" w:cs="宋体"/>
                <w:color w:val="auto"/>
                <w:highlight w:val="none"/>
              </w:rPr>
            </w:pPr>
          </w:p>
        </w:tc>
        <w:tc>
          <w:tcPr>
            <w:tcW w:w="1106" w:type="dxa"/>
          </w:tcPr>
          <w:p>
            <w:pPr>
              <w:spacing w:line="360" w:lineRule="auto"/>
              <w:ind w:firstLine="420" w:firstLineChars="200"/>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hint="eastAsia" w:ascii="宋体" w:hAnsi="宋体" w:eastAsia="宋体" w:cs="宋体"/>
                <w:color w:val="auto"/>
                <w:highlight w:val="none"/>
              </w:rPr>
            </w:pPr>
          </w:p>
        </w:tc>
        <w:tc>
          <w:tcPr>
            <w:tcW w:w="1623"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902" w:type="dxa"/>
          </w:tcPr>
          <w:p>
            <w:pPr>
              <w:spacing w:line="360" w:lineRule="auto"/>
              <w:ind w:firstLine="420" w:firstLineChars="200"/>
              <w:rPr>
                <w:rFonts w:hint="eastAsia" w:ascii="宋体" w:hAnsi="宋体" w:eastAsia="宋体" w:cs="宋体"/>
                <w:color w:val="auto"/>
                <w:highlight w:val="none"/>
              </w:rPr>
            </w:pPr>
          </w:p>
        </w:tc>
        <w:tc>
          <w:tcPr>
            <w:tcW w:w="1071" w:type="dxa"/>
          </w:tcPr>
          <w:p>
            <w:pPr>
              <w:spacing w:line="360" w:lineRule="auto"/>
              <w:ind w:firstLine="420" w:firstLineChars="200"/>
              <w:rPr>
                <w:rFonts w:hint="eastAsia" w:ascii="宋体" w:hAnsi="宋体" w:eastAsia="宋体" w:cs="宋体"/>
                <w:color w:val="auto"/>
                <w:highlight w:val="none"/>
              </w:rPr>
            </w:pPr>
          </w:p>
        </w:tc>
        <w:tc>
          <w:tcPr>
            <w:tcW w:w="1250" w:type="dxa"/>
          </w:tcPr>
          <w:p>
            <w:pPr>
              <w:spacing w:line="360" w:lineRule="auto"/>
              <w:ind w:firstLine="420" w:firstLineChars="200"/>
              <w:rPr>
                <w:rFonts w:hint="eastAsia" w:ascii="宋体" w:hAnsi="宋体" w:eastAsia="宋体" w:cs="宋体"/>
                <w:color w:val="auto"/>
                <w:highlight w:val="none"/>
              </w:rPr>
            </w:pPr>
          </w:p>
        </w:tc>
        <w:tc>
          <w:tcPr>
            <w:tcW w:w="1106" w:type="dxa"/>
          </w:tcPr>
          <w:p>
            <w:pPr>
              <w:spacing w:line="360" w:lineRule="auto"/>
              <w:ind w:firstLine="420" w:firstLineChars="200"/>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pPr>
        <w:spacing w:line="360" w:lineRule="auto"/>
        <w:ind w:firstLine="422" w:firstLineChars="200"/>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pPr>
        <w:spacing w:line="360" w:lineRule="auto"/>
        <w:ind w:firstLine="422" w:firstLineChars="200"/>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2、服务方法：</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第四条  费用及支付方式</w:t>
      </w:r>
    </w:p>
    <w:p>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(一)本项目费用有以下组成：</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1、XX 万元；</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2、XX 万元；</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p>
    <w:p>
      <w:pPr>
        <w:pStyle w:val="9"/>
        <w:kinsoku w:val="0"/>
        <w:overflowPunct w:val="0"/>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(二)费用支付方式：</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1、XXXX；</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2、XXXX ；</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3、在支付前甲方对乙方的服务进行考核或验收，合格的支付相应款 项。乙方须向甲方出具合法有效完整的完税发票及凭证资料进行支付结算。</w:t>
      </w:r>
    </w:p>
    <w:p>
      <w:pPr>
        <w:pStyle w:val="9"/>
        <w:kinsoku w:val="0"/>
        <w:overflowPunct w:val="0"/>
        <w:ind w:firstLine="422" w:firstLineChars="200"/>
        <w:rPr>
          <w:rFonts w:hint="eastAsia" w:ascii="宋体" w:hAnsi="宋体" w:eastAsia="宋体" w:cs="宋体"/>
          <w:color w:val="auto"/>
          <w:highlight w:val="none"/>
        </w:rPr>
      </w:pPr>
      <w:r>
        <w:rPr>
          <w:rFonts w:hint="eastAsia" w:ascii="宋体" w:hAnsi="宋体" w:eastAsia="宋体" w:cs="宋体"/>
          <w:b/>
          <w:color w:val="auto"/>
          <w:highlight w:val="none"/>
        </w:rPr>
        <w:t xml:space="preserve">第五条  付款条件   </w:t>
      </w:r>
      <w:r>
        <w:rPr>
          <w:rFonts w:hint="eastAsia" w:ascii="宋体" w:hAnsi="宋体" w:eastAsia="宋体" w:cs="宋体"/>
          <w:color w:val="auto"/>
          <w:highlight w:val="none"/>
        </w:rPr>
        <w:t xml:space="preserve">               </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合同款项结算方式和支付比例：   </w:t>
      </w:r>
    </w:p>
    <w:p>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pPr>
        <w:pStyle w:val="3"/>
        <w:kinsoku w:val="0"/>
        <w:overflowPunct w:val="0"/>
        <w:ind w:firstLine="422" w:firstLineChars="200"/>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第六条  验收方法</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检测、验收费用承担方式：</w:t>
      </w:r>
    </w:p>
    <w:p>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乙方应保证所提供的服务或其任何一部分均不会侵犯任何第三方的专利权、商标权或著作权。</w:t>
      </w:r>
    </w:p>
    <w:p>
      <w:pPr>
        <w:pStyle w:val="3"/>
        <w:kinsoku w:val="0"/>
        <w:overflowPunct w:val="0"/>
        <w:ind w:firstLine="422" w:firstLineChars="200"/>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第八条 无产权瑕疵条款</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2.若确需质量保证金的，质量保证金不得超过合同总价款的5%</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3.如乙方未能履行其合同规定的任何义务，甲方有权从履约保证金中取得补偿。</w:t>
      </w:r>
    </w:p>
    <w:p>
      <w:pPr>
        <w:pStyle w:val="3"/>
        <w:kinsoku w:val="0"/>
        <w:overflowPunct w:val="0"/>
        <w:ind w:firstLine="422" w:firstLineChars="200"/>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第十条 甲方的权利和义务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3、负责检查监督乙方管理工作的实施及制度的执行情况。</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4、根据本合同规定，按时向乙方支付应付服务费用。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5、国家法律、法规所规定由甲方承担的其他责任               </w:t>
      </w:r>
    </w:p>
    <w:p>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1、对本合同规定的委托服务范围内的项目享有管理权及服务义务。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2、根据本合同的规定向甲方收取相关服务费用，并有权在本项目管理范围内管理及合理使用。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3、及时向甲方通告本项目服务范围内有关服务的重大事项，及时配合处理投诉。</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4、接受项目行业管理部门及政府有关部门的指导，接受甲方的监督。</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5、国家法律、法规所规定由乙方承担的其它责任。</w:t>
      </w:r>
    </w:p>
    <w:p>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pPr>
        <w:pStyle w:val="9"/>
        <w:kinsoku w:val="0"/>
        <w:overflowPunct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1、甲乙双方必须遵守本合同并执行合同中的各项规定，保证本合同的正常履行。</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2、甲方逾期付款的，除应及时付足款项外，应向乙方偿付欠款总额万分之 /天的违约金；逾期付款超过 天的，乙方有权终止合同。</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9"/>
        <w:kinsoku w:val="0"/>
        <w:overflowPunct w:val="0"/>
        <w:spacing w:line="364"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4、变更、中止或者终止合同，有过错的一方应当承担赔偿责任，双方都有过错的，各自承担相应的责任。</w:t>
      </w:r>
    </w:p>
    <w:p>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pPr>
        <w:pStyle w:val="3"/>
        <w:kinsoku w:val="0"/>
        <w:overflowPunct w:val="0"/>
        <w:ind w:firstLine="422" w:firstLineChars="200"/>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第十五条 不可抗力事件处理</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3"/>
        <w:kinsoku w:val="0"/>
        <w:overflowPunct w:val="0"/>
        <w:ind w:firstLine="422" w:firstLineChars="200"/>
        <w:rPr>
          <w:rFonts w:hint="eastAsia" w:ascii="宋体" w:hAnsi="宋体" w:eastAsia="宋体" w:cs="宋体"/>
          <w:color w:val="auto"/>
          <w:kern w:val="2"/>
          <w:sz w:val="21"/>
          <w:szCs w:val="27"/>
          <w:highlight w:val="none"/>
        </w:rPr>
      </w:pPr>
      <w:r>
        <w:rPr>
          <w:rFonts w:hint="eastAsia" w:ascii="宋体" w:hAnsi="宋体" w:eastAsia="宋体" w:cs="宋体"/>
          <w:color w:val="auto"/>
          <w:kern w:val="2"/>
          <w:sz w:val="21"/>
          <w:szCs w:val="27"/>
          <w:highlight w:val="none"/>
        </w:rPr>
        <w:t>第十六条 合同纠纷调处</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pPr>
        <w:pStyle w:val="3"/>
        <w:kinsoku w:val="0"/>
        <w:overflowPunct w:val="0"/>
        <w:ind w:firstLine="420" w:firstLineChars="200"/>
        <w:rPr>
          <w:rFonts w:hint="eastAsia" w:ascii="宋体" w:hAnsi="宋体" w:eastAsia="宋体" w:cs="宋体"/>
          <w:b w:val="0"/>
          <w:bCs w:val="0"/>
          <w:color w:val="auto"/>
          <w:kern w:val="2"/>
          <w:sz w:val="21"/>
          <w:szCs w:val="27"/>
          <w:highlight w:val="none"/>
        </w:rPr>
      </w:pPr>
      <w:r>
        <w:rPr>
          <w:rFonts w:hint="eastAsia" w:ascii="宋体" w:hAnsi="宋体" w:eastAsia="宋体" w:cs="宋体"/>
          <w:b w:val="0"/>
          <w:bCs w:val="0"/>
          <w:color w:val="auto"/>
          <w:kern w:val="2"/>
          <w:sz w:val="21"/>
          <w:szCs w:val="27"/>
          <w:highlight w:val="none"/>
        </w:rPr>
        <w:t>3、甲、乙双方均有权利向本项目具有监管职能的政府采购监督管理部门举报反映对方在合同履约中的违法违纪行为。</w:t>
      </w:r>
    </w:p>
    <w:p>
      <w:pPr>
        <w:spacing w:line="360" w:lineRule="auto"/>
        <w:ind w:firstLine="422" w:firstLineChars="200"/>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pPr>
        <w:spacing w:line="360" w:lineRule="auto"/>
        <w:ind w:firstLine="422" w:firstLineChars="200"/>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pPr>
        <w:spacing w:line="360" w:lineRule="auto"/>
        <w:ind w:firstLine="420" w:firstLineChars="200"/>
        <w:rPr>
          <w:rFonts w:hint="eastAsia" w:ascii="宋体" w:hAnsi="宋体" w:eastAsia="宋体" w:cs="宋体"/>
          <w:color w:val="auto"/>
          <w:szCs w:val="27"/>
          <w:highlight w:val="none"/>
        </w:rPr>
      </w:pPr>
    </w:p>
    <w:p>
      <w:pPr>
        <w:pStyle w:val="36"/>
        <w:ind w:firstLine="210"/>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电话：                               电话：</w:t>
      </w:r>
    </w:p>
    <w:p>
      <w:pPr>
        <w:spacing w:line="360" w:lineRule="auto"/>
        <w:ind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pPr>
        <w:spacing w:line="640" w:lineRule="exact"/>
        <w:ind w:firstLine="420" w:firstLineChars="200"/>
        <w:rPr>
          <w:rFonts w:hint="eastAsia" w:ascii="宋体" w:hAnsi="宋体" w:eastAsia="宋体" w:cs="宋体"/>
          <w:color w:val="auto"/>
          <w:szCs w:val="27"/>
          <w:highlight w:val="none"/>
          <w:u w:val="single"/>
        </w:rPr>
      </w:pPr>
    </w:p>
    <w:p>
      <w:pPr>
        <w:pStyle w:val="36"/>
        <w:ind w:firstLine="210"/>
        <w:jc w:val="center"/>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p>
    <w:p>
      <w:pPr>
        <w:pStyle w:val="36"/>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p>
    <w:p>
      <w:pPr>
        <w:pStyle w:val="36"/>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pPr>
        <w:pStyle w:val="36"/>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pPr>
        <w:pStyle w:val="36"/>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6"/>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24"/>
        <w:spacing w:before="0" w:beforeAutospacing="0" w:after="0" w:afterAutospacing="0" w:line="330" w:lineRule="atLeast"/>
        <w:rPr>
          <w:rFonts w:hint="eastAsia" w:ascii="宋体" w:hAnsi="宋体" w:eastAsia="宋体" w:cs="宋体"/>
          <w:b/>
          <w:bCs/>
          <w:color w:val="auto"/>
          <w:sz w:val="21"/>
          <w:szCs w:val="21"/>
          <w:highlight w:val="none"/>
        </w:rPr>
      </w:pPr>
    </w:p>
    <w:p>
      <w:pPr>
        <w:pStyle w:val="36"/>
        <w:ind w:firstLine="210"/>
        <w:rPr>
          <w:rFonts w:hint="eastAsia" w:ascii="宋体" w:hAnsi="宋体" w:eastAsia="宋体" w:cs="宋体"/>
          <w:color w:val="auto"/>
          <w:highlight w:val="none"/>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EB73EE9"/>
    <w:multiLevelType w:val="singleLevel"/>
    <w:tmpl w:val="0EB73EE9"/>
    <w:lvl w:ilvl="0" w:tentative="0">
      <w:start w:val="5"/>
      <w:numFmt w:val="decimal"/>
      <w:lvlText w:val="%1."/>
      <w:lvlJc w:val="left"/>
      <w:pPr>
        <w:tabs>
          <w:tab w:val="left" w:pos="312"/>
        </w:tabs>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jOWUxNGY4NDg1MzNiMGRiYjI3OGYzNTNkMTcwZW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EC72623"/>
    <w:rsid w:val="10D62AA4"/>
    <w:rsid w:val="13552B79"/>
    <w:rsid w:val="13793DF7"/>
    <w:rsid w:val="141C4A83"/>
    <w:rsid w:val="14354A58"/>
    <w:rsid w:val="14677422"/>
    <w:rsid w:val="152E6B10"/>
    <w:rsid w:val="15BF1042"/>
    <w:rsid w:val="1656732A"/>
    <w:rsid w:val="181939B9"/>
    <w:rsid w:val="18D74DC1"/>
    <w:rsid w:val="1AB6671E"/>
    <w:rsid w:val="1AED58EF"/>
    <w:rsid w:val="1DBD6A30"/>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6D23A94"/>
    <w:rsid w:val="376940D0"/>
    <w:rsid w:val="38204506"/>
    <w:rsid w:val="39321D68"/>
    <w:rsid w:val="3BAE6CD9"/>
    <w:rsid w:val="3C3000ED"/>
    <w:rsid w:val="3CC41DF6"/>
    <w:rsid w:val="3CC66F59"/>
    <w:rsid w:val="3D232399"/>
    <w:rsid w:val="3D2E2D19"/>
    <w:rsid w:val="3D31181A"/>
    <w:rsid w:val="3DC87CB2"/>
    <w:rsid w:val="3ED47E4F"/>
    <w:rsid w:val="3F1749BD"/>
    <w:rsid w:val="3F4F365B"/>
    <w:rsid w:val="3F9A5B70"/>
    <w:rsid w:val="41093759"/>
    <w:rsid w:val="41380196"/>
    <w:rsid w:val="41415EFF"/>
    <w:rsid w:val="41D026B4"/>
    <w:rsid w:val="452567EA"/>
    <w:rsid w:val="46886BA6"/>
    <w:rsid w:val="48524AAD"/>
    <w:rsid w:val="490552AA"/>
    <w:rsid w:val="4B7A4CDC"/>
    <w:rsid w:val="4FFA680C"/>
    <w:rsid w:val="508E29FF"/>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0A97729"/>
    <w:rsid w:val="622F04A1"/>
    <w:rsid w:val="62707B3A"/>
    <w:rsid w:val="645C0879"/>
    <w:rsid w:val="64741C1C"/>
    <w:rsid w:val="648C064A"/>
    <w:rsid w:val="64DB53FF"/>
    <w:rsid w:val="656B3097"/>
    <w:rsid w:val="65A106E4"/>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CD72E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styleId="1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6"/>
    <w:qFormat/>
    <w:uiPriority w:val="0"/>
    <w:pPr>
      <w:spacing w:after="120" w:line="480" w:lineRule="auto"/>
    </w:pPr>
  </w:style>
  <w:style w:type="paragraph" w:styleId="22">
    <w:name w:val="Message Header"/>
    <w:basedOn w:val="1"/>
    <w:next w:val="23"/>
    <w:qFormat/>
    <w:uiPriority w:val="0"/>
    <w:pPr>
      <w:widowControl/>
      <w:shd w:val="pct20" w:color="000000" w:fill="auto"/>
      <w:ind w:left="1080" w:hanging="1080"/>
    </w:pPr>
    <w:rPr>
      <w:rFonts w:ascii="Cambria" w:hAnsi="Cambria" w:eastAsia="Cambria"/>
      <w:sz w:val="24"/>
    </w:rPr>
  </w:style>
  <w:style w:type="paragraph" w:customStyle="1" w:styleId="23">
    <w:name w:val="我的正文"/>
    <w:basedOn w:val="11"/>
    <w:qFormat/>
    <w:uiPriority w:val="0"/>
    <w:pPr>
      <w:spacing w:line="500" w:lineRule="exact"/>
      <w:ind w:firstLine="480"/>
    </w:pPr>
    <w:rPr>
      <w:rFonts w:eastAsia="宋体"/>
      <w:sz w:val="24"/>
      <w:szCs w:val="20"/>
    </w:rPr>
  </w:style>
  <w:style w:type="paragraph" w:styleId="24">
    <w:name w:val="Normal (Web)"/>
    <w:basedOn w:val="1"/>
    <w:next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1"/>
    <w:next w:val="9"/>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1"/>
    <w:qFormat/>
    <w:uiPriority w:val="0"/>
    <w:rPr>
      <w:kern w:val="2"/>
      <w:sz w:val="21"/>
      <w:szCs w:val="24"/>
    </w:rPr>
  </w:style>
  <w:style w:type="character" w:customStyle="1" w:styleId="67">
    <w:name w:val="NormalCharacter"/>
    <w:qFormat/>
    <w:uiPriority w:val="0"/>
  </w:style>
  <w:style w:type="character" w:customStyle="1" w:styleId="68">
    <w:name w:val="页眉 字符"/>
    <w:link w:val="10"/>
    <w:qFormat/>
    <w:uiPriority w:val="99"/>
    <w:rPr>
      <w:kern w:val="2"/>
      <w:sz w:val="18"/>
      <w:szCs w:val="18"/>
    </w:rPr>
  </w:style>
  <w:style w:type="character" w:customStyle="1" w:styleId="69">
    <w:name w:val="页脚 字符"/>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character" w:customStyle="1" w:styleId="81">
    <w:name w:val="hover18"/>
    <w:basedOn w:val="2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3082</Words>
  <Characters>17569</Characters>
  <Lines>146</Lines>
  <Paragraphs>41</Paragraphs>
  <TotalTime>2</TotalTime>
  <ScaleCrop>false</ScaleCrop>
  <LinksUpToDate>false</LinksUpToDate>
  <CharactersWithSpaces>20610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大海里的糖醋鱼</cp:lastModifiedBy>
  <cp:lastPrinted>2023-12-07T08:14:00Z</cp:lastPrinted>
  <dcterms:modified xsi:type="dcterms:W3CDTF">2024-02-26T06:56:17Z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0B265E963A2A40AF94C6D4F973E0670C_13</vt:lpwstr>
  </property>
</Properties>
</file>