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highlight w:val="none"/>
          <w:shd w:val="clear" w:fill="auto"/>
        </w:rPr>
      </w:pPr>
      <w:r>
        <w:rPr>
          <w:rFonts w:ascii="宋体" w:hAnsi="宋体" w:eastAsia="宋体" w:cs="宋体"/>
          <w:b/>
          <w:color w:val="auto"/>
          <w:spacing w:val="36"/>
          <w:position w:val="0"/>
          <w:sz w:val="56"/>
          <w:szCs w:val="24"/>
          <w:highlight w:val="none"/>
          <w:shd w:val="clear" w:fill="auto"/>
        </w:rPr>
        <w:t>周口市公共资源交易中心</w:t>
      </w:r>
    </w:p>
    <w:p>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highlight w:val="none"/>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72"/>
          <w:szCs w:val="28"/>
          <w:highlight w:val="none"/>
          <w:shd w:val="clear" w:fill="auto"/>
        </w:rPr>
      </w:pPr>
      <w:r>
        <w:rPr>
          <w:rFonts w:ascii="宋体" w:hAnsi="宋体" w:eastAsia="宋体" w:cs="宋体"/>
          <w:b/>
          <w:color w:val="auto"/>
          <w:spacing w:val="0"/>
          <w:position w:val="0"/>
          <w:sz w:val="72"/>
          <w:szCs w:val="28"/>
          <w:highlight w:val="none"/>
          <w:shd w:val="clear" w:fill="auto"/>
        </w:rPr>
        <w:t>竞争性磋商文件</w:t>
      </w:r>
    </w:p>
    <w:p>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highlight w:val="none"/>
          <w:shd w:val="clear" w:fill="auto"/>
        </w:rPr>
      </w:pPr>
    </w:p>
    <w:p>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highlight w:val="none"/>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highlight w:val="none"/>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p>
    <w:p>
      <w:pPr>
        <w:tabs>
          <w:tab w:val="left" w:pos="315"/>
          <w:tab w:val="left" w:pos="8820"/>
        </w:tabs>
        <w:spacing w:before="0" w:after="0" w:line="600" w:lineRule="auto"/>
        <w:ind w:left="1606" w:right="267" w:hanging="1606" w:hangingChars="500"/>
        <w:jc w:val="left"/>
        <w:rPr>
          <w:rFonts w:ascii="宋体" w:hAnsi="宋体" w:eastAsia="宋体" w:cs="宋体"/>
          <w:b/>
          <w:color w:val="auto"/>
          <w:spacing w:val="0"/>
          <w:position w:val="0"/>
          <w:sz w:val="32"/>
          <w:szCs w:val="32"/>
          <w:highlight w:val="none"/>
          <w:shd w:val="clear" w:fill="auto"/>
        </w:rPr>
      </w:pPr>
      <w:r>
        <w:rPr>
          <w:rFonts w:ascii="宋体" w:hAnsi="宋体" w:eastAsia="宋体" w:cs="宋体"/>
          <w:b/>
          <w:color w:val="auto"/>
          <w:spacing w:val="0"/>
          <w:position w:val="0"/>
          <w:sz w:val="32"/>
          <w:szCs w:val="32"/>
          <w:highlight w:val="none"/>
          <w:shd w:val="clear" w:fill="auto"/>
        </w:rPr>
        <w:t>项目名称:</w:t>
      </w:r>
      <w:r>
        <w:rPr>
          <w:rFonts w:hint="eastAsia" w:ascii="宋体" w:hAnsi="宋体" w:eastAsia="宋体" w:cs="宋体"/>
          <w:b/>
          <w:color w:val="auto"/>
          <w:spacing w:val="0"/>
          <w:position w:val="0"/>
          <w:sz w:val="32"/>
          <w:szCs w:val="32"/>
          <w:highlight w:val="none"/>
          <w:shd w:val="clear" w:fill="auto"/>
          <w:lang w:val="en-US" w:eastAsia="zh-CN"/>
        </w:rPr>
        <w:t xml:space="preserve">周口理工职业学院关于智慧黑板采购项目 </w:t>
      </w:r>
    </w:p>
    <w:p>
      <w:pPr>
        <w:tabs>
          <w:tab w:val="left" w:pos="315"/>
          <w:tab w:val="left" w:pos="8820"/>
        </w:tabs>
        <w:spacing w:before="0" w:after="0" w:line="600" w:lineRule="auto"/>
        <w:ind w:left="1606" w:right="267" w:hanging="1606" w:hangingChars="500"/>
        <w:jc w:val="left"/>
        <w:rPr>
          <w:rFonts w:hint="default" w:ascii="宋体" w:hAnsi="宋体" w:eastAsia="宋体" w:cs="宋体"/>
          <w:b/>
          <w:color w:val="auto"/>
          <w:spacing w:val="0"/>
          <w:position w:val="0"/>
          <w:sz w:val="32"/>
          <w:szCs w:val="32"/>
          <w:highlight w:val="none"/>
          <w:shd w:val="clear" w:fill="auto"/>
          <w:lang w:val="en-US" w:eastAsia="zh-CN"/>
        </w:rPr>
      </w:pPr>
      <w:r>
        <w:rPr>
          <w:rFonts w:hint="eastAsia" w:ascii="宋体" w:hAnsi="宋体" w:eastAsia="宋体" w:cs="宋体"/>
          <w:b/>
          <w:color w:val="auto"/>
          <w:spacing w:val="0"/>
          <w:position w:val="0"/>
          <w:sz w:val="32"/>
          <w:szCs w:val="32"/>
          <w:highlight w:val="none"/>
          <w:shd w:val="clear" w:fill="auto"/>
          <w:lang w:eastAsia="zh-CN"/>
        </w:rPr>
        <w:t>项目编号</w:t>
      </w:r>
      <w:r>
        <w:rPr>
          <w:rFonts w:hint="eastAsia" w:ascii="宋体" w:hAnsi="宋体" w:eastAsia="宋体" w:cs="宋体"/>
          <w:b/>
          <w:color w:val="auto"/>
          <w:spacing w:val="0"/>
          <w:position w:val="0"/>
          <w:sz w:val="32"/>
          <w:szCs w:val="32"/>
          <w:highlight w:val="none"/>
          <w:shd w:val="clear" w:fill="auto"/>
          <w:lang w:val="en-US" w:eastAsia="zh-CN"/>
        </w:rPr>
        <w:t>:周财磋商采购-2024-21</w:t>
      </w:r>
    </w:p>
    <w:p>
      <w:pPr>
        <w:tabs>
          <w:tab w:val="left" w:pos="315"/>
          <w:tab w:val="left" w:pos="8820"/>
        </w:tabs>
        <w:spacing w:before="0" w:after="0" w:line="600" w:lineRule="auto"/>
        <w:ind w:left="1606" w:right="267" w:hanging="1606" w:hangingChars="500"/>
        <w:jc w:val="left"/>
        <w:rPr>
          <w:rFonts w:hint="default" w:ascii="宋体" w:hAnsi="宋体" w:eastAsia="宋体" w:cs="宋体"/>
          <w:b/>
          <w:color w:val="auto"/>
          <w:spacing w:val="0"/>
          <w:position w:val="0"/>
          <w:sz w:val="32"/>
          <w:szCs w:val="32"/>
          <w:highlight w:val="none"/>
          <w:shd w:val="clear" w:fill="auto"/>
          <w:lang w:val="en-US" w:eastAsia="zh-CN"/>
        </w:rPr>
      </w:pPr>
    </w:p>
    <w:p>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pPr>
        <w:tabs>
          <w:tab w:val="left" w:pos="315"/>
          <w:tab w:val="left" w:pos="8820"/>
        </w:tabs>
        <w:spacing w:before="0" w:after="0" w:line="600" w:lineRule="auto"/>
        <w:ind w:left="0" w:right="267" w:firstLine="0"/>
        <w:jc w:val="center"/>
        <w:rPr>
          <w:rFonts w:hint="eastAsia" w:ascii="宋体" w:hAnsi="宋体" w:eastAsia="宋体" w:cs="宋体"/>
          <w:b/>
          <w:color w:val="auto"/>
          <w:spacing w:val="0"/>
          <w:position w:val="0"/>
          <w:sz w:val="44"/>
          <w:highlight w:val="none"/>
          <w:shd w:val="clear" w:fill="auto"/>
          <w:lang w:val="en-US" w:eastAsia="zh-CN"/>
        </w:rPr>
      </w:pPr>
      <w:r>
        <w:rPr>
          <w:rFonts w:hint="eastAsia" w:ascii="宋体" w:hAnsi="宋体" w:eastAsia="宋体" w:cs="宋体"/>
          <w:b/>
          <w:color w:val="auto"/>
          <w:spacing w:val="0"/>
          <w:position w:val="0"/>
          <w:sz w:val="44"/>
          <w:highlight w:val="none"/>
          <w:shd w:val="clear" w:fill="auto"/>
          <w:lang w:val="en-US" w:eastAsia="zh-CN"/>
        </w:rPr>
        <w:t>2024年 4月</w:t>
      </w: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p>
    <w:p>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目     录</w:t>
      </w:r>
    </w:p>
    <w:p>
      <w:pPr>
        <w:spacing w:before="0" w:after="0" w:line="24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 .........................3</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第二章  供应商须知 ...............................6</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第三章  采购需求.................................24</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第四章  响应性文件内容及格式.....................25</w:t>
      </w:r>
    </w:p>
    <w:p>
      <w:pPr>
        <w:spacing w:before="0" w:after="0" w:line="800" w:lineRule="auto"/>
        <w:ind w:left="0" w:right="0" w:firstLine="0"/>
        <w:jc w:val="both"/>
        <w:rPr>
          <w:rFonts w:hint="eastAsia" w:ascii="宋体" w:hAnsi="宋体" w:eastAsia="宋体" w:cs="宋体"/>
          <w:b/>
          <w:color w:val="auto"/>
          <w:spacing w:val="0"/>
          <w:position w:val="0"/>
          <w:sz w:val="32"/>
          <w:highlight w:val="none"/>
          <w:shd w:val="clear" w:fill="auto"/>
          <w:lang w:eastAsia="zh-CN"/>
        </w:rPr>
      </w:pPr>
      <w:r>
        <w:rPr>
          <w:rFonts w:ascii="宋体" w:hAnsi="宋体" w:eastAsia="宋体" w:cs="宋体"/>
          <w:b/>
          <w:color w:val="auto"/>
          <w:spacing w:val="0"/>
          <w:position w:val="0"/>
          <w:sz w:val="32"/>
          <w:highlight w:val="none"/>
          <w:shd w:val="clear" w:fill="auto"/>
        </w:rPr>
        <w:t>第五章  合同主要条款 合同签订指引、供应商履约验收指引4</w:t>
      </w:r>
      <w:r>
        <w:rPr>
          <w:rFonts w:hint="eastAsia" w:ascii="宋体" w:hAnsi="宋体" w:eastAsia="宋体" w:cs="宋体"/>
          <w:b/>
          <w:color w:val="auto"/>
          <w:spacing w:val="0"/>
          <w:position w:val="0"/>
          <w:sz w:val="32"/>
          <w:highlight w:val="none"/>
          <w:shd w:val="clear" w:fill="auto"/>
          <w:lang w:val="en-US" w:eastAsia="zh-CN"/>
        </w:rPr>
        <w:t>0</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2249"/>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420"/>
        <w:jc w:val="left"/>
        <w:rPr>
          <w:rFonts w:ascii="仿宋_GB2312" w:hAnsi="仿宋_GB2312" w:eastAsia="仿宋_GB2312" w:cs="仿宋_GB2312"/>
          <w:b/>
          <w:color w:val="auto"/>
          <w:spacing w:val="0"/>
          <w:position w:val="0"/>
          <w:sz w:val="32"/>
          <w:highlight w:val="none"/>
          <w:shd w:val="clear" w:fill="auto"/>
        </w:rPr>
      </w:pPr>
      <w:r>
        <w:rPr>
          <w:rFonts w:ascii="仿宋_GB2312" w:hAnsi="仿宋_GB2312" w:eastAsia="仿宋_GB2312" w:cs="仿宋_GB2312"/>
          <w:b/>
          <w:color w:val="auto"/>
          <w:spacing w:val="0"/>
          <w:position w:val="0"/>
          <w:sz w:val="32"/>
          <w:highlight w:val="none"/>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2"/>
          <w:highlight w:val="none"/>
          <w:shd w:val="clear" w:fill="auto"/>
        </w:rPr>
        <w:sectPr>
          <w:footerReference r:id="rId3" w:type="default"/>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w:t>
      </w:r>
    </w:p>
    <w:p>
      <w:pPr>
        <w:spacing w:before="0" w:after="0" w:line="24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项目概况</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hint="eastAsia" w:ascii="Times New Roman" w:hAnsi="Times New Roman" w:eastAsia="Times New Roman" w:cs="Times New Roman"/>
          <w:color w:val="auto"/>
          <w:spacing w:val="0"/>
          <w:position w:val="0"/>
          <w:sz w:val="24"/>
          <w:highlight w:val="none"/>
          <w:u w:val="single"/>
          <w:shd w:val="clear" w:fill="auto"/>
          <w:lang w:val="en-US" w:eastAsia="zh-CN"/>
        </w:rPr>
        <w:t xml:space="preserve">  周口理工职业学院关于智慧黑板采购</w:t>
      </w:r>
      <w:r>
        <w:rPr>
          <w:rFonts w:ascii="Times New Roman" w:hAnsi="Times New Roman" w:eastAsia="Times New Roman" w:cs="Times New Roman"/>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项目的潜在供应商应在周口市公共资源交易中心网获取采购文件，并于</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color w:val="auto"/>
          <w:spacing w:val="0"/>
          <w:position w:val="0"/>
          <w:sz w:val="24"/>
          <w:highlight w:val="none"/>
          <w:shd w:val="clear" w:fill="auto"/>
        </w:rPr>
        <w:t>（北京时间）前提交响应文件。</w:t>
      </w: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一、项目基本情况</w:t>
      </w:r>
    </w:p>
    <w:p>
      <w:pPr>
        <w:spacing w:before="0" w:after="0" w:line="360" w:lineRule="auto"/>
        <w:ind w:left="0" w:right="0" w:firstLine="480"/>
        <w:jc w:val="both"/>
        <w:rPr>
          <w:rFonts w:hint="default" w:ascii="宋体" w:hAnsi="宋体" w:eastAsia="宋体" w:cs="宋体"/>
          <w:color w:val="auto"/>
          <w:spacing w:val="0"/>
          <w:position w:val="0"/>
          <w:sz w:val="24"/>
          <w:highlight w:val="none"/>
          <w:shd w:val="clear" w:fill="auto"/>
          <w:lang w:val="en-US"/>
        </w:rPr>
      </w:pPr>
      <w:r>
        <w:rPr>
          <w:rFonts w:ascii="宋体" w:hAnsi="宋体" w:eastAsia="宋体" w:cs="宋体"/>
          <w:color w:val="auto"/>
          <w:spacing w:val="0"/>
          <w:position w:val="0"/>
          <w:sz w:val="24"/>
          <w:highlight w:val="none"/>
          <w:shd w:val="clear" w:fill="auto"/>
        </w:rPr>
        <w:t>项目编号：</w:t>
      </w:r>
      <w:r>
        <w:rPr>
          <w:rFonts w:hint="eastAsia" w:ascii="宋体" w:hAnsi="宋体" w:eastAsia="宋体" w:cs="宋体"/>
          <w:color w:val="auto"/>
          <w:spacing w:val="0"/>
          <w:position w:val="0"/>
          <w:sz w:val="24"/>
          <w:highlight w:val="none"/>
          <w:shd w:val="clear" w:fill="auto"/>
          <w:lang w:val="en-US" w:eastAsia="zh-CN"/>
        </w:rPr>
        <w:t>周财磋商采购-2024-21</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项目名称：</w:t>
      </w:r>
      <w:r>
        <w:rPr>
          <w:rFonts w:hint="eastAsia" w:ascii="宋体" w:hAnsi="宋体" w:eastAsia="宋体" w:cs="宋体"/>
          <w:color w:val="auto"/>
          <w:spacing w:val="0"/>
          <w:position w:val="0"/>
          <w:sz w:val="24"/>
          <w:highlight w:val="none"/>
          <w:shd w:val="clear" w:fill="auto"/>
          <w:lang w:val="en-US" w:eastAsia="zh-CN"/>
        </w:rPr>
        <w:t>周口理工职业学院关于智慧黑板采购项目</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采购方式：竞争性磋商</w:t>
      </w:r>
    </w:p>
    <w:p>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预算金额：</w:t>
      </w:r>
      <w:r>
        <w:rPr>
          <w:rFonts w:hint="eastAsia" w:ascii="宋体" w:hAnsi="宋体" w:eastAsia="宋体" w:cs="宋体"/>
          <w:color w:val="auto"/>
          <w:spacing w:val="0"/>
          <w:position w:val="0"/>
          <w:sz w:val="24"/>
          <w:highlight w:val="none"/>
          <w:shd w:val="clear" w:fill="auto"/>
          <w:lang w:val="en-US" w:eastAsia="zh-CN"/>
        </w:rPr>
        <w:t>146万元</w:t>
      </w:r>
    </w:p>
    <w:p>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最高限价：</w:t>
      </w:r>
      <w:r>
        <w:rPr>
          <w:rFonts w:hint="eastAsia" w:ascii="宋体" w:hAnsi="宋体" w:eastAsia="宋体" w:cs="宋体"/>
          <w:color w:val="auto"/>
          <w:spacing w:val="0"/>
          <w:position w:val="0"/>
          <w:sz w:val="24"/>
          <w:highlight w:val="none"/>
          <w:shd w:val="clear" w:fill="auto"/>
          <w:lang w:val="en-US" w:eastAsia="zh-CN"/>
        </w:rPr>
        <w:t>146万元</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包划分：</w:t>
      </w: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个包</w:t>
      </w:r>
    </w:p>
    <w:tbl>
      <w:tblPr>
        <w:tblStyle w:val="14"/>
        <w:tblW w:w="8938" w:type="dxa"/>
        <w:tblInd w:w="0" w:type="dxa"/>
        <w:tblLayout w:type="autofit"/>
        <w:tblCellMar>
          <w:top w:w="0" w:type="dxa"/>
          <w:left w:w="10" w:type="dxa"/>
          <w:bottom w:w="0" w:type="dxa"/>
          <w:right w:w="10" w:type="dxa"/>
        </w:tblCellMar>
      </w:tblPr>
      <w:tblGrid>
        <w:gridCol w:w="1497"/>
        <w:gridCol w:w="5204"/>
        <w:gridCol w:w="2237"/>
      </w:tblGrid>
      <w:tr>
        <w:tblPrEx>
          <w:tblCellMar>
            <w:top w:w="0" w:type="dxa"/>
            <w:left w:w="10" w:type="dxa"/>
            <w:bottom w:w="0" w:type="dxa"/>
            <w:right w:w="10" w:type="dxa"/>
          </w:tblCellMar>
        </w:tblPrEx>
        <w:trPr>
          <w:trHeight w:val="451" w:hRule="atLeast"/>
        </w:trPr>
        <w:tc>
          <w:tcPr>
            <w:tcW w:w="149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包号</w:t>
            </w:r>
          </w:p>
        </w:tc>
        <w:tc>
          <w:tcPr>
            <w:tcW w:w="520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包名称</w:t>
            </w:r>
          </w:p>
        </w:tc>
        <w:tc>
          <w:tcPr>
            <w:tcW w:w="223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包最高限价</w:t>
            </w:r>
          </w:p>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万元</w:t>
            </w:r>
            <w:r>
              <w:rPr>
                <w:rFonts w:hint="eastAsia" w:ascii="宋体" w:hAnsi="宋体" w:eastAsia="宋体" w:cs="宋体"/>
                <w:color w:val="auto"/>
                <w:spacing w:val="0"/>
                <w:position w:val="0"/>
                <w:sz w:val="24"/>
                <w:highlight w:val="none"/>
                <w:shd w:val="clear" w:fill="FFFFFF"/>
                <w:lang w:eastAsia="zh-CN"/>
              </w:rPr>
              <w:t>）</w:t>
            </w:r>
          </w:p>
        </w:tc>
      </w:tr>
      <w:tr>
        <w:tblPrEx>
          <w:tblCellMar>
            <w:top w:w="0" w:type="dxa"/>
            <w:left w:w="10" w:type="dxa"/>
            <w:bottom w:w="0" w:type="dxa"/>
            <w:right w:w="10" w:type="dxa"/>
          </w:tblCellMar>
        </w:tblPrEx>
        <w:trPr>
          <w:trHeight w:val="1179" w:hRule="atLeast"/>
        </w:trPr>
        <w:tc>
          <w:tcPr>
            <w:tcW w:w="149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1</w:t>
            </w:r>
          </w:p>
        </w:tc>
        <w:tc>
          <w:tcPr>
            <w:tcW w:w="520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hint="default" w:ascii="宋体" w:hAnsi="宋体" w:eastAsia="宋体" w:cs="宋体"/>
                <w:color w:val="auto"/>
                <w:spacing w:val="0"/>
                <w:position w:val="0"/>
                <w:sz w:val="24"/>
                <w:highlight w:val="none"/>
                <w:shd w:val="clear" w:fill="FFFFFF"/>
                <w:lang w:val="en-US"/>
              </w:rPr>
            </w:pPr>
            <w:r>
              <w:rPr>
                <w:rFonts w:hint="eastAsia" w:ascii="宋体" w:hAnsi="宋体" w:eastAsia="宋体" w:cs="宋体"/>
                <w:color w:val="auto"/>
                <w:spacing w:val="0"/>
                <w:position w:val="0"/>
                <w:sz w:val="24"/>
                <w:highlight w:val="none"/>
                <w:shd w:val="clear" w:fill="auto"/>
                <w:lang w:val="en-US" w:eastAsia="zh-CN"/>
              </w:rPr>
              <w:t>周口理工职业学院关于智慧黑板采购项目</w:t>
            </w:r>
          </w:p>
        </w:tc>
        <w:tc>
          <w:tcPr>
            <w:tcW w:w="223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hint="default" w:ascii="宋体" w:hAnsi="宋体" w:eastAsia="宋体" w:cs="宋体"/>
                <w:color w:val="auto"/>
                <w:spacing w:val="0"/>
                <w:position w:val="0"/>
                <w:sz w:val="24"/>
                <w:highlight w:val="none"/>
                <w:shd w:val="clear" w:fill="FFFFFF"/>
                <w:lang w:val="en-US" w:eastAsia="zh-CN"/>
              </w:rPr>
            </w:pPr>
            <w:r>
              <w:rPr>
                <w:rFonts w:hint="eastAsia" w:ascii="宋体" w:hAnsi="宋体" w:eastAsia="宋体" w:cs="宋体"/>
                <w:color w:val="auto"/>
                <w:spacing w:val="0"/>
                <w:position w:val="0"/>
                <w:sz w:val="24"/>
                <w:highlight w:val="none"/>
                <w:shd w:val="clear" w:fill="FFFFFF"/>
                <w:lang w:val="en-US" w:eastAsia="zh-CN"/>
              </w:rPr>
              <w:t>146</w:t>
            </w:r>
          </w:p>
        </w:tc>
      </w:tr>
    </w:tbl>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采购需求：</w:t>
      </w:r>
      <w:r>
        <w:rPr>
          <w:rFonts w:hint="eastAsia" w:ascii="宋体" w:hAnsi="宋体" w:eastAsia="宋体" w:cs="宋体"/>
          <w:color w:val="auto"/>
          <w:spacing w:val="0"/>
          <w:position w:val="0"/>
          <w:sz w:val="24"/>
          <w:highlight w:val="none"/>
          <w:shd w:val="clear" w:fill="auto"/>
          <w:lang w:val="en-US" w:eastAsia="zh-CN"/>
        </w:rPr>
        <w:t>教室智慧黑板</w:t>
      </w:r>
      <w:r>
        <w:rPr>
          <w:rFonts w:hint="eastAsia" w:ascii="宋体" w:hAnsi="宋体" w:eastAsia="宋体" w:cs="宋体"/>
          <w:color w:val="auto"/>
          <w:spacing w:val="0"/>
          <w:position w:val="0"/>
          <w:sz w:val="24"/>
          <w:highlight w:val="none"/>
          <w:shd w:val="clear" w:fill="auto"/>
        </w:rPr>
        <w:t>；</w:t>
      </w:r>
    </w:p>
    <w:p>
      <w:pPr>
        <w:spacing w:before="0" w:after="0" w:line="360" w:lineRule="auto"/>
        <w:ind w:left="0" w:right="0" w:firstLine="480"/>
        <w:jc w:val="both"/>
        <w:rPr>
          <w:rFonts w:hint="eastAsia" w:ascii="Times New Roman" w:hAnsi="Times New Roman" w:eastAsia="宋体" w:cs="Times New Roman"/>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供货期：</w:t>
      </w:r>
      <w:r>
        <w:rPr>
          <w:rFonts w:hint="eastAsia" w:ascii="宋体" w:hAnsi="宋体" w:eastAsia="宋体" w:cs="宋体"/>
          <w:color w:val="auto"/>
          <w:spacing w:val="0"/>
          <w:position w:val="0"/>
          <w:sz w:val="24"/>
          <w:highlight w:val="none"/>
          <w:shd w:val="clear" w:fill="auto"/>
        </w:rPr>
        <w:t>合同签订后</w:t>
      </w:r>
      <w:r>
        <w:rPr>
          <w:rFonts w:hint="eastAsia" w:ascii="宋体" w:hAnsi="宋体" w:eastAsia="宋体" w:cs="宋体"/>
          <w:color w:val="auto"/>
          <w:spacing w:val="0"/>
          <w:position w:val="0"/>
          <w:sz w:val="24"/>
          <w:highlight w:val="none"/>
          <w:shd w:val="clear" w:fill="auto"/>
          <w:lang w:val="en-US" w:eastAsia="zh-CN"/>
        </w:rPr>
        <w:t>15</w:t>
      </w:r>
      <w:r>
        <w:rPr>
          <w:rFonts w:hint="eastAsia" w:ascii="宋体" w:hAnsi="宋体" w:eastAsia="宋体" w:cs="宋体"/>
          <w:color w:val="auto"/>
          <w:spacing w:val="0"/>
          <w:position w:val="0"/>
          <w:sz w:val="24"/>
          <w:highlight w:val="none"/>
          <w:shd w:val="clear" w:fill="auto"/>
        </w:rPr>
        <w:t>日历天内供货安装调试完成。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pPr>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本项目是否为只面向中小企业采购：</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pacing w:val="0"/>
          <w:position w:val="0"/>
          <w:sz w:val="24"/>
          <w:highlight w:val="none"/>
          <w:shd w:val="clear" w:fill="auto"/>
          <w:lang w:val="en-US" w:eastAsia="zh-CN"/>
        </w:rPr>
        <w:t>。</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二、申请人的资格要求：</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满足《中华人民共和国政府采购法》第二十二条规定；</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）具有独立承担民事责任的能力；</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）具有良好的商业信誉和健全的财务会计制度；</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）具有履行合同所必需的设备和专业技术能力；</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4</w:t>
      </w:r>
      <w:r>
        <w:rPr>
          <w:rFonts w:ascii="宋体" w:hAnsi="宋体" w:eastAsia="宋体" w:cs="宋体"/>
          <w:color w:val="auto"/>
          <w:spacing w:val="0"/>
          <w:position w:val="0"/>
          <w:sz w:val="24"/>
          <w:highlight w:val="none"/>
          <w:shd w:val="clear" w:fill="auto"/>
        </w:rPr>
        <w:t>）有依法缴纳税收和社会保障资金的良好记录；</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5</w:t>
      </w:r>
      <w:r>
        <w:rPr>
          <w:rFonts w:ascii="宋体" w:hAnsi="宋体" w:eastAsia="宋体" w:cs="宋体"/>
          <w:color w:val="auto"/>
          <w:spacing w:val="0"/>
          <w:position w:val="0"/>
          <w:sz w:val="24"/>
          <w:highlight w:val="none"/>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6</w:t>
      </w:r>
      <w:r>
        <w:rPr>
          <w:rFonts w:ascii="宋体" w:hAnsi="宋体" w:eastAsia="宋体" w:cs="宋体"/>
          <w:color w:val="auto"/>
          <w:spacing w:val="0"/>
          <w:position w:val="0"/>
          <w:sz w:val="24"/>
          <w:highlight w:val="none"/>
          <w:shd w:val="clear" w:fill="auto"/>
        </w:rPr>
        <w:t>）法律、行政法规规定的其他条件。</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highlight w:val="none"/>
          <w:shd w:val="clear" w:fil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本项目的特定资格要求：</w:t>
      </w:r>
      <w:r>
        <w:rPr>
          <w:rFonts w:hint="eastAsia" w:ascii="宋体" w:hAnsi="宋体" w:eastAsia="宋体" w:cs="宋体"/>
          <w:i w:val="0"/>
          <w:iCs w:val="0"/>
          <w:color w:val="auto"/>
          <w:sz w:val="24"/>
          <w:szCs w:val="24"/>
          <w:highlight w:val="none"/>
        </w:rPr>
        <w:t>（1）</w:t>
      </w:r>
      <w:r>
        <w:rPr>
          <w:rFonts w:hint="eastAsia" w:ascii="宋体" w:hAnsi="宋体" w:cs="宋体"/>
          <w:color w:val="auto"/>
          <w:sz w:val="24"/>
          <w:highlight w:val="none"/>
        </w:rPr>
        <w:t>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HYPERLINK "http://www.creditchina.gov.cn/"</w:instrText>
      </w:r>
      <w:r>
        <w:rPr>
          <w:color w:val="auto"/>
          <w:highlight w:val="none"/>
        </w:rPr>
        <w:fldChar w:fldCharType="separate"/>
      </w:r>
      <w:r>
        <w:rPr>
          <w:rFonts w:hint="eastAsia" w:ascii="宋体" w:hAnsi="宋体" w:cs="宋体"/>
          <w:color w:val="auto"/>
          <w:sz w:val="24"/>
          <w:highlight w:val="none"/>
        </w:rPr>
        <w:t>www.creditchina.gov.cn</w:t>
      </w:r>
      <w:r>
        <w:rPr>
          <w:rFonts w:ascii="宋体" w:hAnsi="宋体" w:cs="宋体"/>
          <w:color w:val="auto"/>
          <w:sz w:val="24"/>
          <w:highlight w:val="none"/>
        </w:rPr>
        <w:fldChar w:fldCharType="end"/>
      </w:r>
      <w:r>
        <w:rPr>
          <w:rFonts w:hint="eastAsia" w:ascii="宋体" w:hAnsi="宋体" w:cs="宋体"/>
          <w:color w:val="auto"/>
          <w:sz w:val="24"/>
          <w:highlight w:val="none"/>
        </w:rPr>
        <w:t>）的“重大税收违法失信主体”、“失信被执行人”和“中国政府采购”网站(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)的“政府采购严重违法失信行为记录名单”的供应商，将拒绝其参加政府采购活动；在标书中附加盖公章的供应商</w:t>
      </w:r>
      <w:r>
        <w:rPr>
          <w:rFonts w:hint="eastAsia" w:ascii="宋体" w:hAnsi="宋体" w:cs="宋体"/>
          <w:color w:val="auto"/>
          <w:sz w:val="24"/>
          <w:highlight w:val="none"/>
          <w:lang w:eastAsia="zh-CN"/>
        </w:rPr>
        <w:t>和法定代表人</w:t>
      </w:r>
      <w:r>
        <w:rPr>
          <w:rFonts w:hint="eastAsia" w:ascii="宋体" w:hAnsi="宋体" w:cs="宋体"/>
          <w:color w:val="auto"/>
          <w:sz w:val="24"/>
          <w:highlight w:val="none"/>
        </w:rPr>
        <w:t>网页查询扫描件，查询日期为公告发布之日起至投标截止之日止。</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三、获取采购文件</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时间</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2024</w:t>
      </w:r>
      <w:r>
        <w:rPr>
          <w:rFonts w:hint="eastAsia" w:ascii="宋体" w:hAnsi="宋体" w:eastAsia="宋体" w:cs="宋体"/>
          <w:color w:val="auto"/>
          <w:spacing w:val="0"/>
          <w:position w:val="0"/>
          <w:sz w:val="24"/>
          <w:highlight w:val="none"/>
          <w:shd w:val="clear" w:fill="auto"/>
        </w:rPr>
        <w:t xml:space="preserve"> 年</w:t>
      </w:r>
      <w:r>
        <w:rPr>
          <w:rFonts w:hint="eastAsia" w:ascii="宋体" w:hAnsi="宋体" w:eastAsia="宋体" w:cs="宋体"/>
          <w:color w:val="auto"/>
          <w:spacing w:val="0"/>
          <w:position w:val="0"/>
          <w:sz w:val="24"/>
          <w:highlight w:val="none"/>
          <w:shd w:val="clear" w:fill="auto"/>
          <w:lang w:val="en-US" w:eastAsia="zh-CN"/>
        </w:rPr>
        <w:t xml:space="preserve">4 </w:t>
      </w:r>
      <w:r>
        <w:rPr>
          <w:rFonts w:hint="eastAsia" w:ascii="宋体" w:hAnsi="宋体" w:eastAsia="宋体" w:cs="宋体"/>
          <w:color w:val="auto"/>
          <w:spacing w:val="0"/>
          <w:position w:val="0"/>
          <w:sz w:val="24"/>
          <w:highlight w:val="none"/>
          <w:shd w:val="clear" w:fill="auto"/>
        </w:rPr>
        <w:t>月</w:t>
      </w:r>
      <w:r>
        <w:rPr>
          <w:rFonts w:hint="eastAsia" w:ascii="宋体" w:hAnsi="宋体" w:eastAsia="宋体" w:cs="宋体"/>
          <w:color w:val="auto"/>
          <w:spacing w:val="0"/>
          <w:position w:val="0"/>
          <w:sz w:val="24"/>
          <w:highlight w:val="none"/>
          <w:shd w:val="clear" w:fill="auto"/>
          <w:lang w:val="en-US" w:eastAsia="zh-CN"/>
        </w:rPr>
        <w:t>7</w:t>
      </w:r>
      <w:r>
        <w:rPr>
          <w:rFonts w:hint="eastAsia" w:ascii="宋体" w:hAnsi="宋体" w:eastAsia="宋体" w:cs="宋体"/>
          <w:color w:val="auto"/>
          <w:spacing w:val="0"/>
          <w:position w:val="0"/>
          <w:sz w:val="24"/>
          <w:highlight w:val="none"/>
          <w:shd w:val="clear" w:fill="auto"/>
        </w:rPr>
        <w:t>日至</w:t>
      </w:r>
      <w:r>
        <w:rPr>
          <w:rFonts w:hint="eastAsia" w:ascii="宋体" w:hAnsi="宋体" w:eastAsia="宋体" w:cs="宋体"/>
          <w:color w:val="auto"/>
          <w:spacing w:val="0"/>
          <w:position w:val="0"/>
          <w:sz w:val="24"/>
          <w:highlight w:val="none"/>
          <w:shd w:val="clear" w:fill="auto"/>
          <w:lang w:val="en-US" w:eastAsia="zh-CN"/>
        </w:rPr>
        <w:t>2024</w:t>
      </w:r>
      <w:r>
        <w:rPr>
          <w:rFonts w:hint="eastAsia" w:ascii="宋体" w:hAnsi="宋体" w:eastAsia="宋体" w:cs="宋体"/>
          <w:color w:val="auto"/>
          <w:spacing w:val="0"/>
          <w:position w:val="0"/>
          <w:sz w:val="24"/>
          <w:highlight w:val="none"/>
          <w:shd w:val="clear" w:fill="auto"/>
        </w:rPr>
        <w:t>年</w:t>
      </w:r>
      <w:r>
        <w:rPr>
          <w:rFonts w:hint="eastAsia" w:ascii="宋体" w:hAnsi="宋体" w:eastAsia="宋体" w:cs="宋体"/>
          <w:color w:val="auto"/>
          <w:spacing w:val="0"/>
          <w:position w:val="0"/>
          <w:sz w:val="24"/>
          <w:highlight w:val="none"/>
          <w:shd w:val="clear" w:fill="auto"/>
          <w:lang w:val="en-US" w:eastAsia="zh-CN"/>
        </w:rPr>
        <w:t>4月12</w:t>
      </w:r>
      <w:r>
        <w:rPr>
          <w:rFonts w:hint="eastAsia" w:ascii="宋体" w:hAnsi="宋体" w:eastAsia="宋体" w:cs="宋体"/>
          <w:color w:val="auto"/>
          <w:spacing w:val="0"/>
          <w:position w:val="0"/>
          <w:sz w:val="24"/>
          <w:highlight w:val="none"/>
          <w:shd w:val="clear" w:fill="auto"/>
        </w:rPr>
        <w:t>日</w:t>
      </w:r>
      <w:r>
        <w:rPr>
          <w:rFonts w:hint="eastAsia" w:ascii="宋体" w:hAnsi="宋体" w:eastAsia="宋体" w:cs="宋体"/>
          <w:color w:val="auto"/>
          <w:spacing w:val="0"/>
          <w:position w:val="0"/>
          <w:sz w:val="24"/>
          <w:highlight w:val="none"/>
          <w:shd w:val="clear" w:fill="auto"/>
          <w:lang w:val="en-US" w:eastAsia="zh-CN"/>
        </w:rPr>
        <w:t>23:59</w:t>
      </w:r>
      <w:r>
        <w:rPr>
          <w:rFonts w:hint="eastAsia" w:ascii="宋体" w:hAnsi="宋体" w:eastAsia="宋体" w:cs="宋体"/>
          <w:color w:val="auto"/>
          <w:spacing w:val="0"/>
          <w:position w:val="0"/>
          <w:sz w:val="24"/>
          <w:highlight w:val="none"/>
          <w:shd w:val="clear" w:fill="auto"/>
        </w:rPr>
        <w:t>（北京</w:t>
      </w:r>
      <w:r>
        <w:rPr>
          <w:rFonts w:hint="eastAsia" w:asciiTheme="minorEastAsia" w:hAnsiTheme="minorEastAsia" w:eastAsiaTheme="minorEastAsia" w:cstheme="minorEastAsia"/>
          <w:color w:val="auto"/>
          <w:spacing w:val="0"/>
          <w:position w:val="0"/>
          <w:sz w:val="24"/>
          <w:highlight w:val="none"/>
          <w:shd w:val="clear" w:fill="auto"/>
        </w:rPr>
        <w:t>时间，法定节假日除外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地点：周口市公共资源交易中心网（</w:t>
      </w:r>
      <w:bookmarkStart w:id="0" w:name="_GoBack"/>
      <w:bookmarkEnd w:id="0"/>
      <w:r>
        <w:rPr>
          <w:rFonts w:hint="eastAsia" w:ascii="宋体" w:hAnsi="宋体" w:eastAsia="宋体" w:cs="宋体"/>
          <w:color w:val="auto"/>
          <w:spacing w:val="0"/>
          <w:position w:val="0"/>
          <w:sz w:val="24"/>
          <w:highlight w:val="none"/>
          <w:shd w:val="clear" w:fill="auto"/>
          <w:lang w:eastAsia="zh-CN"/>
        </w:rPr>
        <w:t>http://221.14.138.68/</w:t>
      </w:r>
      <w:r>
        <w:rPr>
          <w:rFonts w:ascii="宋体" w:hAnsi="宋体" w:eastAsia="宋体" w:cs="宋体"/>
          <w:color w:val="auto"/>
          <w:spacing w:val="0"/>
          <w:position w:val="0"/>
          <w:sz w:val="24"/>
          <w:highlight w:val="none"/>
          <w:shd w:val="clear" w:fill="auto"/>
        </w:rPr>
        <w:t>）</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方式：供应商请在网站自主注册后下载采购文件（zkzf格式）及资料，需办理CA数字证书后方可提交响应文件，具体办理事宜请查阅周口市公共资源交易中心网站。</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售价：</w:t>
      </w:r>
      <w:r>
        <w:rPr>
          <w:rFonts w:ascii="Times New Roman" w:hAnsi="Times New Roman" w:eastAsia="Times New Roman" w:cs="Times New Roman"/>
          <w:color w:val="auto"/>
          <w:spacing w:val="0"/>
          <w:position w:val="0"/>
          <w:sz w:val="24"/>
          <w:highlight w:val="none"/>
          <w:shd w:val="clear" w:fill="auto"/>
        </w:rPr>
        <w:t>0</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四、响应文件提交</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截止时间：</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color w:val="auto"/>
          <w:spacing w:val="0"/>
          <w:position w:val="0"/>
          <w:sz w:val="24"/>
          <w:highlight w:val="none"/>
          <w:shd w:val="clear" w:fill="auto"/>
        </w:rPr>
        <w:t>（北京时间）</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地点：加密电子响应文件须在投标截止时间前通过</w:t>
      </w:r>
      <w:r>
        <w:rPr>
          <w:rFonts w:ascii="宋体" w:hAnsi="宋体" w:eastAsia="宋体" w:cs="宋体"/>
          <w:color w:val="auto"/>
          <w:spacing w:val="-6"/>
          <w:position w:val="0"/>
          <w:sz w:val="24"/>
          <w:highlight w:val="none"/>
          <w:shd w:val="clear" w:fill="auto"/>
        </w:rPr>
        <w:t>周口市公共资源交易中心网</w:t>
      </w:r>
      <w:r>
        <w:rPr>
          <w:rFonts w:ascii="宋体" w:hAnsi="宋体" w:eastAsia="宋体" w:cs="宋体"/>
          <w:color w:val="auto"/>
          <w:spacing w:val="0"/>
          <w:position w:val="0"/>
          <w:sz w:val="24"/>
          <w:highlight w:val="none"/>
          <w:shd w:val="clear" w:fill="auto"/>
        </w:rPr>
        <w:t>（网址</w:t>
      </w:r>
      <w:r>
        <w:rPr>
          <w:color w:val="auto"/>
          <w:highlight w:val="none"/>
        </w:rPr>
        <w:fldChar w:fldCharType="begin"/>
      </w:r>
      <w:r>
        <w:rPr>
          <w:color w:val="auto"/>
          <w:highlight w:val="none"/>
        </w:rPr>
        <w:instrText xml:space="preserve"> HYPERLINK "http://jyzx.zhoukou.gov.cn/" \h </w:instrText>
      </w:r>
      <w:r>
        <w:rPr>
          <w:color w:val="auto"/>
          <w:highlight w:val="none"/>
        </w:rPr>
        <w:fldChar w:fldCharType="separate"/>
      </w:r>
      <w:r>
        <w:rPr>
          <w:rFonts w:hint="eastAsia" w:ascii="Times New Roman" w:hAnsi="Times New Roman" w:eastAsia="宋体" w:cs="Times New Roman"/>
          <w:color w:val="auto"/>
          <w:spacing w:val="0"/>
          <w:position w:val="0"/>
          <w:sz w:val="24"/>
          <w:highlight w:val="none"/>
          <w:u w:val="single"/>
          <w:shd w:val="clear" w:fill="auto"/>
          <w:lang w:eastAsia="zh-CN"/>
        </w:rPr>
        <w:t>http://221.14.138.68/</w:t>
      </w:r>
      <w:r>
        <w:rPr>
          <w:rFonts w:ascii="Times New Roman" w:hAnsi="Times New Roman" w:eastAsia="Times New Roman" w:cs="Times New Roman"/>
          <w:color w:val="auto"/>
          <w:spacing w:val="0"/>
          <w:position w:val="0"/>
          <w:sz w:val="24"/>
          <w:highlight w:val="none"/>
          <w:u w:val="single"/>
          <w:shd w:val="clear" w:fill="auto"/>
        </w:rPr>
        <w:fldChar w:fldCharType="end"/>
      </w:r>
      <w:r>
        <w:rPr>
          <w:rFonts w:ascii="宋体" w:hAnsi="宋体" w:eastAsia="宋体" w:cs="宋体"/>
          <w:color w:val="auto"/>
          <w:spacing w:val="0"/>
          <w:position w:val="0"/>
          <w:sz w:val="24"/>
          <w:highlight w:val="none"/>
          <w:shd w:val="clear" w:fill="auto"/>
        </w:rPr>
        <w:t>）。</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五、开启（竞争性磋商方式必须填写）</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时间：</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ascii="宋体" w:hAnsi="宋体" w:eastAsia="宋体" w:cs="宋体"/>
          <w:color w:val="auto"/>
          <w:spacing w:val="0"/>
          <w:position w:val="0"/>
          <w:sz w:val="24"/>
          <w:highlight w:val="none"/>
          <w:shd w:val="clear" w:fill="auto"/>
        </w:rPr>
        <w:t>（北京时间）</w:t>
      </w:r>
    </w:p>
    <w:p>
      <w:pPr>
        <w:spacing w:before="0" w:after="0" w:line="360" w:lineRule="auto"/>
        <w:ind w:left="0" w:right="0" w:firstLine="480"/>
        <w:jc w:val="left"/>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地点：周口市公共资源交易中心开标室</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六、公告期限</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自本公告发布之日起</w:t>
      </w:r>
      <w:r>
        <w:rPr>
          <w:rFonts w:hint="eastAsia" w:ascii="Times New Roman" w:hAnsi="Times New Roman" w:eastAsia="宋体" w:cs="Times New Roman"/>
          <w:color w:val="auto"/>
          <w:spacing w:val="0"/>
          <w:position w:val="0"/>
          <w:sz w:val="24"/>
          <w:highlight w:val="none"/>
          <w:shd w:val="clear" w:fill="auto"/>
          <w:lang w:val="en-US" w:eastAsia="zh-CN"/>
        </w:rPr>
        <w:t>5</w:t>
      </w:r>
      <w:r>
        <w:rPr>
          <w:rFonts w:ascii="宋体" w:hAnsi="宋体" w:eastAsia="宋体" w:cs="宋体"/>
          <w:color w:val="auto"/>
          <w:spacing w:val="0"/>
          <w:position w:val="0"/>
          <w:sz w:val="24"/>
          <w:highlight w:val="none"/>
          <w:shd w:val="clear" w:fill="auto"/>
        </w:rPr>
        <w:t>个工作日。</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七、其他补充事宜</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八、凡对本次采购提出询问，请按以下方式联系。</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1.采购人信息</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w:t>
      </w:r>
      <w:r>
        <w:rPr>
          <w:rFonts w:hint="eastAsia" w:ascii="宋体" w:hAnsi="宋体" w:eastAsia="宋体" w:cs="宋体"/>
          <w:color w:val="auto"/>
          <w:spacing w:val="0"/>
          <w:position w:val="0"/>
          <w:sz w:val="24"/>
          <w:highlight w:val="none"/>
          <w:shd w:val="clear" w:fill="auto"/>
          <w:lang w:val="en-US" w:eastAsia="zh-CN"/>
        </w:rPr>
        <w:t>周口理工职业学院</w:t>
      </w:r>
      <w:r>
        <w:rPr>
          <w:rFonts w:ascii="宋体" w:hAnsi="宋体" w:eastAsia="宋体" w:cs="宋体"/>
          <w:color w:val="auto"/>
          <w:spacing w:val="0"/>
          <w:position w:val="0"/>
          <w:sz w:val="24"/>
          <w:highlight w:val="none"/>
          <w:shd w:val="clear" w:fill="auto"/>
        </w:rPr>
        <w:t>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地址：河南省周口市经济开发区太昊路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 xml:space="preserve">张建伟  </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pacing w:val="0"/>
          <w:position w:val="0"/>
          <w:sz w:val="24"/>
          <w:highlight w:val="none"/>
          <w:shd w:val="clear" w:fill="auto"/>
          <w:lang w:val="en-US" w:eastAsia="zh-CN"/>
        </w:rPr>
        <w:t xml:space="preserve">13938051086  </w:t>
      </w: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2.采购代理机构信息</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称：周口市公共资源交易中心政府采购中心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址：周口市光明路与政通路交叉口向北100米路东</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 xml:space="preserve">张光 </w:t>
      </w:r>
      <w:r>
        <w:rPr>
          <w:rFonts w:ascii="宋体" w:hAnsi="宋体" w:eastAsia="宋体" w:cs="宋体"/>
          <w:color w:val="auto"/>
          <w:spacing w:val="0"/>
          <w:position w:val="0"/>
          <w:sz w:val="24"/>
          <w:highlight w:val="none"/>
          <w:shd w:val="clear" w:fill="auto"/>
        </w:rPr>
        <w:t xml:space="preserve">  </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联系方式：</w:t>
      </w:r>
      <w:r>
        <w:rPr>
          <w:rFonts w:hint="eastAsia" w:ascii="宋体" w:hAnsi="宋体" w:eastAsia="宋体" w:cs="宋体"/>
          <w:color w:val="auto"/>
          <w:spacing w:val="0"/>
          <w:position w:val="0"/>
          <w:sz w:val="24"/>
          <w:highlight w:val="none"/>
          <w:shd w:val="clear" w:fill="auto"/>
          <w:lang w:val="en-US" w:eastAsia="zh-CN"/>
        </w:rPr>
        <w:t>0394-8106517</w:t>
      </w:r>
      <w:r>
        <w:rPr>
          <w:rFonts w:ascii="宋体" w:hAnsi="宋体" w:eastAsia="宋体" w:cs="宋体"/>
          <w:color w:val="auto"/>
          <w:spacing w:val="0"/>
          <w:position w:val="0"/>
          <w:sz w:val="24"/>
          <w:highlight w:val="none"/>
          <w:shd w:val="clear" w:fill="auto"/>
        </w:rPr>
        <w:t>　　　　　　　</w:t>
      </w:r>
    </w:p>
    <w:p>
      <w:pPr>
        <w:pStyle w:val="22"/>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3.监督单位：周口市财政局</w:t>
      </w:r>
    </w:p>
    <w:p>
      <w:pPr>
        <w:spacing w:before="0" w:after="0" w:line="240" w:lineRule="auto"/>
        <w:ind w:right="0" w:firstLine="480" w:firstLineChars="200"/>
        <w:jc w:val="left"/>
        <w:rPr>
          <w:rFonts w:hint="default" w:ascii="Times New Roman" w:hAnsi="Times New Roman" w:eastAsia="Times New Roman" w:cs="Times New Roman"/>
          <w:color w:val="auto"/>
          <w:spacing w:val="0"/>
          <w:position w:val="0"/>
          <w:sz w:val="22"/>
          <w:highlight w:val="none"/>
          <w:shd w:val="clear" w:fill="auto"/>
          <w:lang w:val="en-US"/>
        </w:rPr>
      </w:pPr>
      <w:r>
        <w:rPr>
          <w:rFonts w:hint="eastAsia" w:ascii="宋体" w:hAnsi="宋体" w:eastAsia="宋体" w:cs="宋体"/>
          <w:i w:val="0"/>
          <w:iCs w:val="0"/>
          <w:color w:val="auto"/>
          <w:sz w:val="24"/>
          <w:szCs w:val="24"/>
          <w:highlight w:val="none"/>
          <w:lang w:val="en-US" w:eastAsia="zh-CN"/>
        </w:rPr>
        <w:t>联系方式：0394—8106976</w:t>
      </w:r>
    </w:p>
    <w:p>
      <w:pPr>
        <w:spacing w:before="0" w:after="120" w:line="360" w:lineRule="auto"/>
        <w:ind w:left="0" w:right="0" w:firstLine="2040"/>
        <w:jc w:val="right"/>
        <w:rPr>
          <w:rFonts w:ascii="宋体" w:hAnsi="宋体" w:eastAsia="宋体" w:cs="宋体"/>
          <w:color w:val="auto"/>
          <w:spacing w:val="0"/>
          <w:position w:val="0"/>
          <w:sz w:val="24"/>
          <w:highlight w:val="none"/>
          <w:shd w:val="clear" w:fill="auto"/>
        </w:rPr>
      </w:pPr>
    </w:p>
    <w:p>
      <w:pPr>
        <w:spacing w:before="0" w:after="120" w:line="360" w:lineRule="auto"/>
        <w:ind w:left="0" w:right="0" w:firstLine="204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周口市公共资源交易中心政府采购中心</w:t>
      </w:r>
    </w:p>
    <w:p>
      <w:pPr>
        <w:tabs>
          <w:tab w:val="left" w:pos="0"/>
          <w:tab w:val="left" w:pos="993"/>
          <w:tab w:val="left" w:pos="1134"/>
        </w:tabs>
        <w:spacing w:before="0" w:after="0" w:line="240" w:lineRule="auto"/>
        <w:ind w:left="0" w:right="0" w:firstLine="3600"/>
        <w:jc w:val="center"/>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2024</w:t>
      </w:r>
      <w:r>
        <w:rPr>
          <w:rFonts w:ascii="宋体" w:hAnsi="宋体" w:eastAsia="宋体" w:cs="宋体"/>
          <w:color w:val="auto"/>
          <w:spacing w:val="0"/>
          <w:position w:val="0"/>
          <w:sz w:val="24"/>
          <w:highlight w:val="none"/>
          <w:shd w:val="clear" w:fill="auto"/>
        </w:rPr>
        <w:t>年</w:t>
      </w:r>
      <w:r>
        <w:rPr>
          <w:rFonts w:hint="eastAsia" w:ascii="宋体" w:hAnsi="宋体" w:eastAsia="宋体" w:cs="宋体"/>
          <w:color w:val="auto"/>
          <w:spacing w:val="0"/>
          <w:position w:val="0"/>
          <w:sz w:val="24"/>
          <w:highlight w:val="none"/>
          <w:shd w:val="clear" w:fill="auto"/>
          <w:lang w:val="en-US" w:eastAsia="zh-CN"/>
        </w:rPr>
        <w:t>4</w:t>
      </w:r>
      <w:r>
        <w:rPr>
          <w:rFonts w:ascii="宋体" w:hAnsi="宋体" w:eastAsia="宋体" w:cs="宋体"/>
          <w:color w:val="auto"/>
          <w:spacing w:val="0"/>
          <w:position w:val="0"/>
          <w:sz w:val="24"/>
          <w:highlight w:val="none"/>
          <w:shd w:val="clear" w:fill="auto"/>
        </w:rPr>
        <w:t>月</w:t>
      </w:r>
      <w:r>
        <w:rPr>
          <w:rFonts w:hint="eastAsia" w:ascii="宋体" w:hAnsi="宋体" w:eastAsia="宋体" w:cs="宋体"/>
          <w:color w:val="auto"/>
          <w:spacing w:val="0"/>
          <w:position w:val="0"/>
          <w:sz w:val="24"/>
          <w:highlight w:val="none"/>
          <w:shd w:val="clear" w:fill="auto"/>
          <w:lang w:val="en-US" w:eastAsia="zh-CN"/>
        </w:rPr>
        <w:t>7</w:t>
      </w:r>
      <w:r>
        <w:rPr>
          <w:rFonts w:ascii="宋体" w:hAnsi="宋体" w:eastAsia="宋体" w:cs="宋体"/>
          <w:color w:val="auto"/>
          <w:spacing w:val="0"/>
          <w:position w:val="0"/>
          <w:sz w:val="24"/>
          <w:highlight w:val="none"/>
          <w:shd w:val="clear" w:fill="auto"/>
        </w:rPr>
        <w:t>日</w:t>
      </w: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第二章    供应商须知</w:t>
      </w:r>
    </w:p>
    <w:tbl>
      <w:tblPr>
        <w:tblStyle w:val="14"/>
        <w:tblW w:w="0" w:type="auto"/>
        <w:tblInd w:w="108" w:type="dxa"/>
        <w:tblLayout w:type="autofit"/>
        <w:tblCellMar>
          <w:top w:w="0" w:type="dxa"/>
          <w:left w:w="10" w:type="dxa"/>
          <w:bottom w:w="0" w:type="dxa"/>
          <w:right w:w="10" w:type="dxa"/>
        </w:tblCellMar>
      </w:tblPr>
      <w:tblGrid>
        <w:gridCol w:w="856"/>
        <w:gridCol w:w="1704"/>
        <w:gridCol w:w="5854"/>
      </w:tblGrid>
      <w:tr>
        <w:tblPrEx>
          <w:tblCellMar>
            <w:top w:w="0" w:type="dxa"/>
            <w:left w:w="10" w:type="dxa"/>
            <w:bottom w:w="0" w:type="dxa"/>
            <w:right w:w="10" w:type="dxa"/>
          </w:tblCellMar>
        </w:tblPrEx>
        <w:trPr>
          <w:trHeight w:val="451"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供应商须知前附表</w:t>
            </w:r>
          </w:p>
        </w:tc>
      </w:tr>
      <w:tr>
        <w:tblPrEx>
          <w:tblCellMar>
            <w:top w:w="0" w:type="dxa"/>
            <w:left w:w="10" w:type="dxa"/>
            <w:bottom w:w="0" w:type="dxa"/>
            <w:right w:w="10" w:type="dxa"/>
          </w:tblCellMar>
        </w:tblPrEx>
        <w:trPr>
          <w:trHeight w:val="36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内  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1）项目名称：</w:t>
            </w:r>
            <w:r>
              <w:rPr>
                <w:rFonts w:hint="eastAsia" w:ascii="宋体" w:hAnsi="宋体" w:eastAsia="宋体" w:cs="宋体"/>
                <w:color w:val="auto"/>
                <w:spacing w:val="0"/>
                <w:position w:val="0"/>
                <w:sz w:val="24"/>
                <w:highlight w:val="none"/>
                <w:shd w:val="clear" w:fill="auto"/>
                <w:lang w:val="en-US" w:eastAsia="zh-CN"/>
              </w:rPr>
              <w:t>周口理工职业学院关于智慧黑板采购项目</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2）采购内容</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教室智慧黑板</w:t>
            </w:r>
            <w:r>
              <w:rPr>
                <w:rFonts w:hint="eastAsia" w:ascii="宋体" w:hAnsi="宋体" w:eastAsia="宋体" w:cs="宋体"/>
                <w:color w:val="auto"/>
                <w:spacing w:val="0"/>
                <w:position w:val="0"/>
                <w:sz w:val="24"/>
                <w:highlight w:val="none"/>
                <w:shd w:val="clear" w:fill="auto"/>
              </w:rPr>
              <w:t>；</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3）采购人：</w:t>
            </w:r>
            <w:r>
              <w:rPr>
                <w:rFonts w:hint="eastAsia" w:ascii="宋体" w:hAnsi="宋体" w:eastAsia="宋体" w:cs="宋体"/>
                <w:color w:val="auto"/>
                <w:spacing w:val="0"/>
                <w:position w:val="0"/>
                <w:sz w:val="24"/>
                <w:highlight w:val="none"/>
                <w:shd w:val="clear" w:fill="auto"/>
                <w:lang w:val="en-US" w:eastAsia="zh-CN"/>
              </w:rPr>
              <w:t>周口理工职业学院</w:t>
            </w:r>
          </w:p>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4）采购代理机构：周口市公共资源交易中心政府采购中心</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见竞争性磋商邀请函</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50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before="0" w:after="0" w:line="240" w:lineRule="auto"/>
              <w:ind w:left="420" w:right="0" w:hanging="420"/>
              <w:jc w:val="both"/>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中文</w:t>
            </w:r>
          </w:p>
        </w:tc>
      </w:tr>
      <w:tr>
        <w:tblPrEx>
          <w:tblCellMar>
            <w:top w:w="0" w:type="dxa"/>
            <w:left w:w="10" w:type="dxa"/>
            <w:bottom w:w="0" w:type="dxa"/>
            <w:right w:w="10" w:type="dxa"/>
          </w:tblCellMar>
        </w:tblPrEx>
        <w:trPr>
          <w:trHeight w:val="451"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before="0" w:after="0" w:line="240" w:lineRule="auto"/>
              <w:ind w:left="420" w:right="0" w:hanging="420"/>
              <w:jc w:val="both"/>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r>
      <w:tr>
        <w:tblPrEx>
          <w:tblCellMar>
            <w:top w:w="0" w:type="dxa"/>
            <w:left w:w="10" w:type="dxa"/>
            <w:bottom w:w="0" w:type="dxa"/>
            <w:right w:w="1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报价包括本项目所招标的货物、保险、税费、包装、加工及加工损耗、运输、现场验收等（采购项目技术规格、参数及要求）</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响应文件递交截止期后60日内有效</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加密的电子投标文件须在投标截止时间前成功上传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对竞争性磋商文件进行的澄清，以网上公告的方式通知供应商。澄清或修改的内容可能影响响应文件编制的，采购人、采购代理机构应当在提交响应文件截止时间至少5日前。</w:t>
            </w:r>
          </w:p>
          <w:p>
            <w:pPr>
              <w:spacing w:before="0" w:after="0" w:line="240" w:lineRule="auto"/>
              <w:ind w:left="0" w:right="0" w:firstLine="0"/>
              <w:jc w:val="both"/>
              <w:rPr>
                <w:rFonts w:ascii="宋体" w:hAnsi="宋体" w:eastAsia="宋体" w:cs="宋体"/>
                <w:color w:val="auto"/>
                <w:spacing w:val="0"/>
                <w:position w:val="0"/>
                <w:highlight w:val="none"/>
                <w:shd w:val="clear" w:fill="auto"/>
              </w:rPr>
            </w:pP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 xml:space="preserve">（见磋商公告） </w:t>
            </w:r>
          </w:p>
        </w:tc>
      </w:tr>
      <w:tr>
        <w:tblPrEx>
          <w:tblCellMar>
            <w:top w:w="0" w:type="dxa"/>
            <w:left w:w="10" w:type="dxa"/>
            <w:bottom w:w="0" w:type="dxa"/>
            <w:right w:w="10" w:type="dxa"/>
          </w:tblCellMar>
        </w:tblPrEx>
        <w:trPr>
          <w:trHeight w:val="1485"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olor w:val="auto"/>
                <w:sz w:val="24"/>
                <w:highlight w:val="none"/>
                <w:lang w:val="en-US" w:eastAsia="zh-CN"/>
              </w:rPr>
            </w:pPr>
            <w:r>
              <w:rPr>
                <w:rFonts w:hint="eastAsia" w:ascii="宋体" w:hAnsi="宋体"/>
                <w:color w:val="auto"/>
                <w:sz w:val="24"/>
                <w:highlight w:val="none"/>
              </w:rPr>
              <w:t>周口市公共资源交易中心</w:t>
            </w:r>
            <w:r>
              <w:rPr>
                <w:rFonts w:hint="eastAsia" w:ascii="宋体" w:hAnsi="宋体"/>
                <w:color w:val="auto"/>
                <w:sz w:val="24"/>
                <w:highlight w:val="none"/>
                <w:lang w:val="en-US" w:eastAsia="zh-CN"/>
              </w:rPr>
              <w:t>网</w:t>
            </w:r>
          </w:p>
          <w:p>
            <w:pPr>
              <w:rPr>
                <w:rFonts w:ascii="宋体" w:hAnsi="宋体" w:eastAsia="宋体" w:cs="宋体"/>
                <w:color w:val="auto"/>
                <w:spacing w:val="0"/>
                <w:position w:val="0"/>
                <w:highlight w:val="none"/>
                <w:shd w:val="clear" w:fill="auto"/>
              </w:rPr>
            </w:pPr>
            <w:r>
              <w:rPr>
                <w:rFonts w:hint="eastAsia" w:ascii="宋体" w:hAnsi="宋体"/>
                <w:color w:val="auto"/>
                <w:sz w:val="24"/>
                <w:highlight w:val="none"/>
              </w:rPr>
              <w:t>网址：周口市公共资源电子交易服务平台会员系统（网址</w:t>
            </w:r>
            <w:r>
              <w:rPr>
                <w:rFonts w:hint="eastAsia" w:asciiTheme="minorEastAsia" w:hAnsiTheme="minorEastAsia"/>
                <w:color w:val="auto"/>
                <w:highlight w:val="none"/>
                <w:lang w:eastAsia="zh-CN"/>
              </w:rPr>
              <w:t>http://221.14.138.68/</w:t>
            </w:r>
            <w:r>
              <w:rPr>
                <w:rFonts w:hint="eastAsia" w:asciiTheme="minorEastAsia" w:hAnsiTheme="minorEastAsia" w:eastAsiaTheme="minorEastAsia"/>
                <w:color w:val="auto"/>
                <w:highlight w:val="none"/>
                <w:lang w:eastAsia="zh-CN"/>
              </w:rPr>
              <w:t>）</w:t>
            </w:r>
            <w:r>
              <w:rPr>
                <w:rFonts w:hint="eastAsia" w:ascii="宋体" w:hAnsi="宋体" w:eastAsia="宋体" w:cs="宋体"/>
                <w:color w:val="auto"/>
                <w:sz w:val="24"/>
                <w:szCs w:val="24"/>
                <w:highlight w:val="none"/>
              </w:rPr>
              <w:t>（本项目实行网上远程开标无须到现场提交响应文件）</w:t>
            </w:r>
          </w:p>
        </w:tc>
      </w:tr>
      <w:tr>
        <w:tblPrEx>
          <w:tblCellMar>
            <w:top w:w="0" w:type="dxa"/>
            <w:left w:w="10" w:type="dxa"/>
            <w:bottom w:w="0" w:type="dxa"/>
            <w:right w:w="10" w:type="dxa"/>
          </w:tblCellMar>
        </w:tblPrEx>
        <w:trPr>
          <w:trHeight w:val="51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见磋商公告</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详见磋商文件第二章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779"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本项目不需要交纳投标保证金</w:t>
            </w:r>
          </w:p>
        </w:tc>
      </w:tr>
      <w:tr>
        <w:tblPrEx>
          <w:tblCellMar>
            <w:top w:w="0" w:type="dxa"/>
            <w:left w:w="10" w:type="dxa"/>
            <w:bottom w:w="0" w:type="dxa"/>
            <w:right w:w="10" w:type="dxa"/>
          </w:tblCellMar>
        </w:tblPrEx>
        <w:trPr>
          <w:trHeight w:val="641"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hint="eastAsia" w:ascii="宋体" w:hAnsi="宋体" w:eastAsia="宋体" w:cs="宋体"/>
                <w:color w:val="auto"/>
                <w:spacing w:val="0"/>
                <w:position w:val="0"/>
                <w:highlight w:val="none"/>
                <w:shd w:val="clear" w:fill="auto"/>
                <w:lang w:eastAsia="zh-CN"/>
              </w:rPr>
            </w:pPr>
            <w:r>
              <w:rPr>
                <w:rFonts w:hint="eastAsia" w:ascii="宋体" w:hAnsi="宋体" w:eastAsia="宋体" w:cs="宋体"/>
                <w:color w:val="auto"/>
                <w:spacing w:val="0"/>
                <w:position w:val="0"/>
                <w:sz w:val="24"/>
                <w:highlight w:val="none"/>
                <w:shd w:val="clear" w:fill="auto"/>
              </w:rPr>
              <w:t>合同签订后</w:t>
            </w:r>
            <w:r>
              <w:rPr>
                <w:rFonts w:hint="eastAsia" w:ascii="宋体" w:hAnsi="宋体" w:eastAsia="宋体" w:cs="宋体"/>
                <w:color w:val="auto"/>
                <w:spacing w:val="0"/>
                <w:position w:val="0"/>
                <w:sz w:val="24"/>
                <w:highlight w:val="none"/>
                <w:shd w:val="clear" w:fill="auto"/>
                <w:lang w:val="en-US" w:eastAsia="zh-CN"/>
              </w:rPr>
              <w:t>15</w:t>
            </w:r>
            <w:r>
              <w:rPr>
                <w:rFonts w:hint="eastAsia" w:ascii="宋体" w:hAnsi="宋体" w:eastAsia="宋体" w:cs="宋体"/>
                <w:color w:val="auto"/>
                <w:spacing w:val="0"/>
                <w:position w:val="0"/>
                <w:sz w:val="24"/>
                <w:highlight w:val="none"/>
                <w:shd w:val="clear" w:fill="auto"/>
              </w:rPr>
              <w:t>日历天内供货安装调试完成</w:t>
            </w:r>
            <w:r>
              <w:rPr>
                <w:rFonts w:hint="eastAsia" w:ascii="宋体" w:hAnsi="宋体" w:eastAsia="宋体" w:cs="宋体"/>
                <w:color w:val="auto"/>
                <w:spacing w:val="0"/>
                <w:position w:val="0"/>
                <w:sz w:val="24"/>
                <w:highlight w:val="none"/>
                <w:shd w:val="clear" w:fill="auto"/>
                <w:lang w:eastAsia="zh-CN"/>
              </w:rPr>
              <w:t>。</w:t>
            </w:r>
          </w:p>
        </w:tc>
      </w:tr>
      <w:tr>
        <w:tblPrEx>
          <w:tblCellMar>
            <w:top w:w="0" w:type="dxa"/>
            <w:left w:w="10" w:type="dxa"/>
            <w:bottom w:w="0" w:type="dxa"/>
            <w:right w:w="10" w:type="dxa"/>
          </w:tblCellMar>
        </w:tblPrEx>
        <w:trPr>
          <w:trHeight w:val="885"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highlight w:val="none"/>
                <w:shd w:val="clear" w:fill="auto"/>
                <w:lang w:val="en-US" w:eastAsia="zh-CN"/>
              </w:rPr>
              <w:t>签订合同后预付40%合同款，经验收合格调试确保正常投入使用后付60%合同款。</w:t>
            </w:r>
          </w:p>
        </w:tc>
      </w:tr>
      <w:tr>
        <w:tblPrEx>
          <w:tblCellMar>
            <w:top w:w="0" w:type="dxa"/>
            <w:left w:w="10" w:type="dxa"/>
            <w:bottom w:w="0" w:type="dxa"/>
            <w:right w:w="10" w:type="dxa"/>
          </w:tblCellMar>
        </w:tblPrEx>
        <w:trPr>
          <w:trHeight w:val="55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both"/>
              <w:rPr>
                <w:rFonts w:hint="default"/>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pacing w:val="0"/>
                <w:position w:val="0"/>
                <w:sz w:val="24"/>
                <w:highlight w:val="none"/>
                <w:shd w:val="clear" w:fill="auto"/>
                <w:lang w:val="en-US" w:eastAsia="zh-CN"/>
              </w:rPr>
              <w:t>否</w:t>
            </w:r>
          </w:p>
        </w:tc>
      </w:tr>
      <w:tr>
        <w:tblPrEx>
          <w:tblCellMar>
            <w:top w:w="0" w:type="dxa"/>
            <w:left w:w="10" w:type="dxa"/>
            <w:bottom w:w="0" w:type="dxa"/>
            <w:right w:w="10" w:type="dxa"/>
          </w:tblCellMar>
        </w:tblPrEx>
        <w:trPr>
          <w:trHeight w:val="551"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一次报价</w:t>
            </w:r>
          </w:p>
        </w:tc>
      </w:tr>
      <w:tr>
        <w:tblPrEx>
          <w:tblCellMar>
            <w:top w:w="0" w:type="dxa"/>
            <w:left w:w="10" w:type="dxa"/>
            <w:bottom w:w="0" w:type="dxa"/>
            <w:right w:w="10" w:type="dxa"/>
          </w:tblCellMar>
        </w:tblPrEx>
        <w:trPr>
          <w:trHeight w:val="839"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hint="eastAsia" w:ascii="宋体" w:hAnsi="宋体" w:eastAsia="宋体" w:cs="宋体"/>
                <w:color w:val="auto"/>
                <w:spacing w:val="0"/>
                <w:position w:val="0"/>
                <w:sz w:val="22"/>
                <w:highlight w:val="none"/>
                <w:shd w:val="clear" w:fill="auto"/>
                <w:lang w:val="en-US" w:eastAsia="zh-CN"/>
              </w:rPr>
            </w:pPr>
            <w:r>
              <w:rPr>
                <w:rFonts w:hint="eastAsia" w:ascii="宋体" w:hAnsi="宋体" w:eastAsia="宋体" w:cs="宋体"/>
                <w:color w:val="auto"/>
                <w:spacing w:val="0"/>
                <w:position w:val="0"/>
                <w:sz w:val="22"/>
                <w:highlight w:val="none"/>
                <w:shd w:val="clear" w:fill="auto"/>
                <w:lang w:val="en-US" w:eastAsia="zh-CN"/>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hint="default"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其他</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采购人验收如需第三方质检部门介入，第三方质检验收所需费用由中标人负担。</w:t>
            </w:r>
          </w:p>
        </w:tc>
      </w:tr>
    </w:tbl>
    <w:p>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一、总则</w:t>
      </w:r>
    </w:p>
    <w:p>
      <w:pPr>
        <w:spacing w:before="0" w:after="0" w:line="560" w:lineRule="auto"/>
        <w:ind w:left="0" w:right="0" w:firstLine="482"/>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1．适用范围</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1.1本竞争性磋商文件仅适用于本次竞争性磋商邀请函中所述项目。</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2．定义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2.1“采购代理机构”：周口市公共资源交易中心政府采购中心。</w:t>
      </w:r>
    </w:p>
    <w:p>
      <w:pPr>
        <w:tabs>
          <w:tab w:val="left" w:pos="0"/>
        </w:tabs>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2.2“采购人”：</w:t>
      </w:r>
      <w:r>
        <w:rPr>
          <w:rFonts w:hint="eastAsia" w:ascii="宋体" w:hAnsi="宋体" w:eastAsia="宋体" w:cs="宋体"/>
          <w:color w:val="auto"/>
          <w:spacing w:val="0"/>
          <w:position w:val="0"/>
          <w:sz w:val="24"/>
          <w:highlight w:val="none"/>
          <w:shd w:val="clear" w:fill="auto"/>
          <w:lang w:val="en-US" w:eastAsia="zh-CN"/>
        </w:rPr>
        <w:t>周口理工职业学院</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2.3“供应商”系指按竞争性磋商文件规定取得竞争性磋商文件并参加竞争性磋商活动的法人、其他组织或者自然人。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2.4“供应商代表”：系指代表供应商参加本次竞争性磋商活动的供应商的法定代表人或其委托代理人。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2.5“货物“：系指各种形态和种类的物品，包括原材料、燃料、设备、产品等，包括与之相关的备品备件、工具、手册及安装、调试、技术协助、校准、培训、验收、售后服务等。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2.7“重大违法记录”系指供应商因违法经营受到刑事处罚或者责令停产停业、吊销许可证或者执照、较大数额罚款等行政处罚。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2.8“不具备良好的商业信誉”是指：</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（1）有重大违法记录的（满三年的除外）；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（2）被各级财政部门列入政府采购严重违法失信行为信息记录的（期限已满的除外）；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（3）被各级政府采购监督管理部门禁止在一定期限内参加政府采购活动等处罚的（期限已满的除外）；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（4）被各级法院列入失信名单的（已依法解除的除外）；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（5）法律法规规定的其他情形。</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3.采购预算</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3.1本次采购预算：见公告。</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4.合格的供应商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4.1.1符合供应商资格条件（详见第一部分供应商资格条件）</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4.1.2</w:t>
      </w:r>
      <w:r>
        <w:rPr>
          <w:rFonts w:ascii="宋体" w:hAnsi="宋体" w:eastAsia="宋体" w:cs="宋体"/>
          <w:color w:val="auto"/>
          <w:spacing w:val="0"/>
          <w:position w:val="0"/>
          <w:sz w:val="24"/>
          <w:highlight w:val="none"/>
          <w:shd w:val="clear" w:fill="auto"/>
        </w:rPr>
        <w:t>参加政府采购活动前三年内，在经营活动中没有重大违法记录的声明函</w:t>
      </w:r>
      <w:r>
        <w:rPr>
          <w:rFonts w:ascii="宋体" w:hAnsi="宋体" w:eastAsia="宋体" w:cs="宋体"/>
          <w:color w:val="auto"/>
          <w:spacing w:val="0"/>
          <w:position w:val="0"/>
          <w:sz w:val="24"/>
          <w:highlight w:val="none"/>
          <w:shd w:val="clear" w:fill="FFFFFF"/>
        </w:rPr>
        <w:t>；</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4.1.3 政府采购供应商诚信承诺书；</w:t>
      </w:r>
    </w:p>
    <w:p>
      <w:pPr>
        <w:spacing w:before="0" w:after="12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4.1.4 供应商自觉抵制政府采购领域商业贿赂行为承诺书；</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4.2 供应商需提供售后服务体系与承诺。</w:t>
      </w:r>
    </w:p>
    <w:p>
      <w:pPr>
        <w:spacing w:before="0" w:after="120" w:line="360" w:lineRule="auto"/>
        <w:ind w:left="0" w:right="0" w:firstLine="480"/>
        <w:jc w:val="left"/>
        <w:rPr>
          <w:rFonts w:ascii="宋体" w:hAnsi="宋体" w:eastAsia="宋体" w:cs="宋体"/>
          <w:color w:val="auto"/>
          <w:spacing w:val="15"/>
          <w:position w:val="0"/>
          <w:sz w:val="24"/>
          <w:highlight w:val="none"/>
          <w:shd w:val="clear" w:fill="auto"/>
        </w:rPr>
      </w:pPr>
      <w:r>
        <w:rPr>
          <w:rFonts w:ascii="宋体" w:hAnsi="宋体" w:eastAsia="宋体" w:cs="宋体"/>
          <w:color w:val="auto"/>
          <w:spacing w:val="0"/>
          <w:position w:val="0"/>
          <w:sz w:val="24"/>
          <w:highlight w:val="none"/>
          <w:shd w:val="clear" w:fill="auto"/>
        </w:rPr>
        <w:t>4.3符合本竞争性磋商文件规定的供应商资格要求及项目要求的其它条件，并按照要求提供相关证明材料。</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4.4供应商应遵守国家法律、法规有关竞争性磋商的规定。</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4.5 凡通过磋商小组符合性审查的供应商均为合格供应商。未通过符合性审查的供应商将视为不响应本项目的竞争性磋商文件被否决。</w:t>
      </w:r>
    </w:p>
    <w:p>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 xml:space="preserve">   4.6 </w:t>
      </w:r>
      <w:r>
        <w:rPr>
          <w:rFonts w:ascii="宋体" w:hAnsi="宋体" w:eastAsia="宋体" w:cs="宋体"/>
          <w:color w:val="auto"/>
          <w:spacing w:val="0"/>
          <w:position w:val="0"/>
          <w:sz w:val="24"/>
          <w:highlight w:val="none"/>
          <w:shd w:val="clear"/>
        </w:rPr>
        <w:t>（是否要求现场进行实地勘查）</w:t>
      </w:r>
      <w:r>
        <w:rPr>
          <w:rFonts w:hint="eastAsia" w:ascii="宋体" w:hAnsi="宋体" w:eastAsia="宋体" w:cs="宋体"/>
          <w:color w:val="auto"/>
          <w:spacing w:val="0"/>
          <w:position w:val="0"/>
          <w:sz w:val="24"/>
          <w:highlight w:val="none"/>
          <w:shd w:val="clear"/>
          <w:lang w:val="en-US" w:eastAsia="zh-CN"/>
        </w:rPr>
        <w:t>否</w:t>
      </w:r>
    </w:p>
    <w:p>
      <w:pPr>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注：单位负责人为同一人或者存在直接控股、管理关系的不同供应商，不得参加同一合同项下的政府采购活动。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需提供国家企业信息查询截图，加盖投标人公章</w:t>
      </w:r>
      <w:r>
        <w:rPr>
          <w:rFonts w:hint="eastAsia" w:ascii="宋体" w:hAnsi="宋体" w:eastAsia="宋体" w:cs="宋体"/>
          <w:color w:val="auto"/>
          <w:spacing w:val="0"/>
          <w:position w:val="0"/>
          <w:sz w:val="24"/>
          <w:highlight w:val="none"/>
          <w:shd w:val="clear" w:fill="auto"/>
          <w:lang w:eastAsia="zh-CN"/>
        </w:rPr>
        <w:t>）</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5.竞争性磋商文件的约束力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5.l供应商一旦参加竞争性磋商，即被认为接受了本竞争性磋商文件中的所有条款和规定。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5.3本磋商文件由采购人负责解释。</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二、竞争性磋商文件</w:t>
      </w:r>
    </w:p>
    <w:p>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6．竞争性磋商文件的组成</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6.1竞争性磋商文件是用以阐明的采购需求、采购程序和合同格式等的规范性文件。竞争性磋商文件主要由以下部分组成：</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（1）竞争性磋商邀请函；</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（2）供应商须知；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（3）采购需求；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（4）响应性文件内容及格式；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（5）合同主要条款。</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6.3供应商被视为充分熟悉本采购项目所在地的与履行合同有关的各种情况，包括自然环境、气候条件、劳动力及公用设施等，本竞争性磋商文件不再对上述情况进行描述。</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6.4供应商必须详阅竞争性磋商文件的所有条款、文件及表格格式等。供应商若未按竞争性磋商文件的要求和规范编制、提交响应性文件，将有可能导致响应性文件被拒绝接受或被视为无效。</w:t>
      </w: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7.竞争性磋商文件的澄清与修改</w:t>
      </w:r>
    </w:p>
    <w:p>
      <w:pPr>
        <w:pStyle w:val="25"/>
        <w:numPr>
          <w:ilvl w:val="0"/>
          <w:numId w:val="0"/>
        </w:numPr>
        <w:tabs>
          <w:tab w:val="left" w:pos="819"/>
        </w:tabs>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宋体" w:hAnsi="宋体" w:eastAsia="宋体" w:cs="宋体"/>
          <w:color w:val="auto"/>
          <w:spacing w:val="0"/>
          <w:position w:val="0"/>
          <w:sz w:val="24"/>
          <w:highlight w:val="none"/>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r>
        <w:rPr>
          <w:rFonts w:hint="eastAsia" w:asciiTheme="minorEastAsia" w:hAnsiTheme="minorEastAsia" w:eastAsiaTheme="minorEastAsia"/>
          <w:color w:val="auto"/>
          <w:sz w:val="24"/>
          <w:highlight w:val="none"/>
        </w:rPr>
        <w:t>如果对采购文件无异议，出具采购文件无异议确认书，</w:t>
      </w:r>
      <w:r>
        <w:rPr>
          <w:rFonts w:hint="eastAsia" w:asciiTheme="minorEastAsia" w:hAnsiTheme="minorEastAsia" w:eastAsiaTheme="minorEastAsia"/>
          <w:color w:val="auto"/>
          <w:sz w:val="24"/>
          <w:highlight w:val="none"/>
          <w:lang w:eastAsia="zh-CN"/>
        </w:rPr>
        <w:t>附到响应文件内</w:t>
      </w:r>
      <w:r>
        <w:rPr>
          <w:rFonts w:hint="eastAsia" w:asciiTheme="minorEastAsia" w:hAnsiTheme="minorEastAsia" w:eastAsiaTheme="minorEastAsia"/>
          <w:color w:val="auto"/>
          <w:sz w:val="24"/>
          <w:highlight w:val="none"/>
        </w:rPr>
        <w:t>。</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三、响应性文件的编制</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8.要求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8.2任何对竞争性磋商文件的忽略或误解不能作为响应性文件没有完全响应竞争性磋商文件的有效理由。</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8.3供应商没有按照竞争性磋商文件要求提供全部资料，或者供应商没有对竞争性磋商文件在各方面都作出实质性响应是供应商的风险，并可能导致其响应性文件被拒绝。</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8.3</w:t>
      </w:r>
      <w:r>
        <w:rPr>
          <w:rFonts w:hint="eastAsia" w:ascii="宋体" w:hAnsi="宋体" w:cs="宋体"/>
          <w:color w:val="auto"/>
          <w:sz w:val="24"/>
          <w:highlight w:val="none"/>
        </w:rPr>
        <w:t>参与竞争性磋商活动的各供应商应对竞争性磋商文件和竞争性磋商响应文件中的商业和技术等秘密保密，违者应对由此造成的后果承担法律责任。对上述作出书面承诺并附在响应文件中，否则视为不响应竞争性磋商文件的要求。</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9.响应性文件的语言及度量衡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9.1响应性文件以及供应商与采购代理机构之间的所有书面往来都应用简体中文书写。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9.2供应商使用其他语言的，以中文翻译为准。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9.3关于计量单位，竞争性磋商文件已有明确规定的，使用竞争性磋商文件规定的计量单位；竞争性磋商文件没有规定的，应采用中华人民共和国法定计量单位。</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9.4本竞争性磋商文件所表述的时间均为北京时间。</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10.响应性文件的组成</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10.1响应性文件由</w:t>
      </w:r>
      <w:r>
        <w:rPr>
          <w:rFonts w:ascii="宋体" w:hAnsi="宋体" w:eastAsia="宋体" w:cs="宋体"/>
          <w:color w:val="auto"/>
          <w:spacing w:val="0"/>
          <w:position w:val="0"/>
          <w:sz w:val="24"/>
          <w:highlight w:val="none"/>
          <w:u w:val="single"/>
          <w:shd w:val="clear" w:fill="auto"/>
        </w:rPr>
        <w:t>资格性证明材料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符合性证明材料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其他材料</w:t>
      </w:r>
      <w:r>
        <w:rPr>
          <w:rFonts w:ascii="宋体" w:hAnsi="宋体" w:eastAsia="宋体" w:cs="宋体"/>
          <w:color w:val="auto"/>
          <w:spacing w:val="0"/>
          <w:position w:val="0"/>
          <w:sz w:val="24"/>
          <w:highlight w:val="none"/>
          <w:shd w:val="clear" w:fill="auto"/>
        </w:rPr>
        <w:t>三部分组成。具体内容和格式见竞争性磋商文件第四章。</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11.响应性文件格式</w:t>
      </w:r>
    </w:p>
    <w:p>
      <w:pPr>
        <w:widowControl/>
        <w:spacing w:line="560" w:lineRule="exact"/>
        <w:ind w:firstLine="480" w:firstLineChars="200"/>
        <w:rPr>
          <w:rFonts w:hint="default" w:ascii="宋体" w:hAnsi="宋体" w:cs="宋体" w:eastAsiaTheme="minorEastAsia"/>
          <w:color w:val="auto"/>
          <w:sz w:val="24"/>
          <w:highlight w:val="none"/>
          <w:lang w:val="en-US" w:eastAsia="zh-CN"/>
        </w:rPr>
      </w:pPr>
      <w:r>
        <w:rPr>
          <w:rFonts w:ascii="宋体" w:hAnsi="宋体" w:eastAsia="宋体" w:cs="宋体"/>
          <w:color w:val="auto"/>
          <w:spacing w:val="0"/>
          <w:position w:val="0"/>
          <w:sz w:val="24"/>
          <w:highlight w:val="none"/>
          <w:shd w:val="clear" w:fill="auto"/>
        </w:rPr>
        <w:t>11.1</w:t>
      </w:r>
      <w:r>
        <w:rPr>
          <w:rFonts w:hint="eastAsia" w:ascii="宋体" w:hAnsi="宋体" w:cs="宋体"/>
          <w:color w:val="auto"/>
          <w:sz w:val="24"/>
          <w:highlight w:val="none"/>
        </w:rPr>
        <w:t>供应商应按照竞争性磋商文件提供的格式编写响应性文件，不得缺少、留空或私自更改任何竞争性磋商文件要求填写的表格或提交的资料。有关证明的复印件/扫描件均需加盖公章并注明与原件一致。竞争性磋商文件提供格式的按格式填列，未提供格式的可自行拟定。响应性文件</w:t>
      </w:r>
      <w:r>
        <w:rPr>
          <w:rFonts w:hint="eastAsia" w:ascii="宋体" w:hAnsi="宋体" w:cs="宋体"/>
          <w:color w:val="auto"/>
          <w:sz w:val="24"/>
          <w:highlight w:val="none"/>
          <w:lang w:val="en-US" w:eastAsia="zh-CN"/>
        </w:rPr>
        <w:t>封面需包含；项目名称、项目编号投标人名称、投标人详细地址、联系人、联系电话。</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12.竞争性磋商报价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12.1报价</w:t>
      </w:r>
      <w:r>
        <w:rPr>
          <w:rFonts w:hint="eastAsia" w:ascii="宋体" w:hAnsi="宋体" w:eastAsia="宋体" w:cs="宋体"/>
          <w:color w:val="auto"/>
          <w:spacing w:val="0"/>
          <w:position w:val="0"/>
          <w:sz w:val="24"/>
          <w:highlight w:val="none"/>
          <w:shd w:val="clear" w:fill="auto"/>
          <w:lang w:eastAsia="zh-CN"/>
        </w:rPr>
        <w:t>需</w:t>
      </w:r>
      <w:r>
        <w:rPr>
          <w:rFonts w:ascii="宋体" w:hAnsi="宋体" w:eastAsia="宋体" w:cs="宋体"/>
          <w:color w:val="auto"/>
          <w:spacing w:val="0"/>
          <w:position w:val="0"/>
          <w:sz w:val="24"/>
          <w:highlight w:val="none"/>
          <w:shd w:val="clear" w:fill="auto"/>
        </w:rPr>
        <w:t>包括所投货物、保险、税费、包装、加工及加工损耗、运输、现场验收和交付后约定期限内免费维保等工作所发生的一切</w:t>
      </w:r>
      <w:r>
        <w:rPr>
          <w:rFonts w:hint="eastAsia"/>
          <w:color w:val="auto"/>
          <w:sz w:val="24"/>
          <w:szCs w:val="24"/>
          <w:highlight w:val="none"/>
        </w:rPr>
        <w:t>全部费用</w:t>
      </w:r>
      <w:r>
        <w:rPr>
          <w:rFonts w:hint="eastAsia"/>
          <w:color w:val="auto"/>
          <w:sz w:val="24"/>
          <w:szCs w:val="24"/>
          <w:highlight w:val="none"/>
          <w:lang w:eastAsia="zh-CN"/>
        </w:rPr>
        <w:t>，并</w:t>
      </w:r>
      <w:r>
        <w:rPr>
          <w:rFonts w:hint="eastAsia"/>
          <w:color w:val="auto"/>
          <w:sz w:val="24"/>
          <w:szCs w:val="24"/>
          <w:highlight w:val="none"/>
          <w:lang w:val="en-US" w:eastAsia="zh-CN"/>
        </w:rPr>
        <w:t>作出实质响应。</w:t>
      </w:r>
      <w:r>
        <w:rPr>
          <w:rFonts w:hint="eastAsia"/>
          <w:color w:val="auto"/>
          <w:sz w:val="24"/>
          <w:szCs w:val="24"/>
          <w:highlight w:val="none"/>
          <w:lang w:eastAsia="zh-CN"/>
        </w:rPr>
        <w:t>投</w:t>
      </w:r>
      <w:r>
        <w:rPr>
          <w:rFonts w:hint="eastAsia"/>
          <w:color w:val="auto"/>
          <w:sz w:val="24"/>
          <w:szCs w:val="24"/>
          <w:highlight w:val="none"/>
        </w:rPr>
        <w:t>标人必须</w:t>
      </w:r>
      <w:r>
        <w:rPr>
          <w:rFonts w:hint="eastAsia"/>
          <w:color w:val="auto"/>
          <w:sz w:val="24"/>
          <w:szCs w:val="24"/>
          <w:highlight w:val="none"/>
          <w:lang w:eastAsia="zh-CN"/>
        </w:rPr>
        <w:t>保证中标后，所供货物</w:t>
      </w:r>
      <w:r>
        <w:rPr>
          <w:rFonts w:hint="eastAsia"/>
          <w:color w:val="auto"/>
          <w:sz w:val="24"/>
          <w:szCs w:val="24"/>
          <w:highlight w:val="none"/>
        </w:rPr>
        <w:t>整体通过用户方及有关主管部门验收,所发生的验收费用由中标人承担；</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12.2经过磋商后进行的报价为供应商的最终报价。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12.3采购人不接受有选择的报价。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12.4最终报价不得超过采购预算。</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12.5报价均须以人民币为计算单位。</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13．响应性文件有效期 </w:t>
      </w:r>
    </w:p>
    <w:p>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13.l响应性文件有效期为自竞争性磋商开始之日起60天，</w:t>
      </w:r>
      <w:r>
        <w:rPr>
          <w:rFonts w:hint="eastAsia" w:ascii="宋体" w:hAnsi="宋体" w:eastAsia="宋体" w:cs="宋体"/>
          <w:color w:val="auto"/>
          <w:spacing w:val="0"/>
          <w:position w:val="0"/>
          <w:sz w:val="24"/>
          <w:highlight w:val="none"/>
          <w:shd w:val="clear" w:fill="auto"/>
          <w:lang w:val="en-US" w:eastAsia="zh-CN"/>
        </w:rPr>
        <w:t>成交的响应文件其有效期应延长至合同执行结束，</w:t>
      </w:r>
      <w:r>
        <w:rPr>
          <w:rFonts w:ascii="宋体" w:hAnsi="宋体" w:eastAsia="宋体" w:cs="宋体"/>
          <w:color w:val="auto"/>
          <w:spacing w:val="0"/>
          <w:position w:val="0"/>
          <w:sz w:val="24"/>
          <w:highlight w:val="none"/>
          <w:shd w:val="clear" w:fill="auto"/>
        </w:rPr>
        <w:t>有效期短于此规定的响应性文件将被视为无效。</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14.响应性文件的签署、盖章</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14.1响应性文件中凡是要求签署和加盖公章处均须由供应商的法定代表人或其委托代理人签字</w:t>
      </w:r>
      <w:r>
        <w:rPr>
          <w:rFonts w:hint="eastAsia" w:ascii="宋体" w:hAnsi="宋体" w:eastAsia="宋体" w:cs="宋体"/>
          <w:color w:val="auto"/>
          <w:spacing w:val="0"/>
          <w:position w:val="0"/>
          <w:sz w:val="24"/>
          <w:highlight w:val="none"/>
          <w:shd w:val="clear" w:fill="auto"/>
          <w:lang w:val="en-US" w:eastAsia="zh-CN"/>
        </w:rPr>
        <w:t>和</w:t>
      </w:r>
      <w:r>
        <w:rPr>
          <w:rFonts w:ascii="宋体" w:hAnsi="宋体" w:eastAsia="宋体" w:cs="宋体"/>
          <w:color w:val="auto"/>
          <w:spacing w:val="0"/>
          <w:position w:val="0"/>
          <w:sz w:val="24"/>
          <w:highlight w:val="none"/>
          <w:shd w:val="clear" w:fill="auto"/>
        </w:rPr>
        <w:t>加盖供应商公章。本竞争性磋商文件</w:t>
      </w:r>
      <w:r>
        <w:rPr>
          <w:rFonts w:hint="eastAsia" w:ascii="宋体" w:hAnsi="宋体" w:eastAsia="宋体" w:cs="宋体"/>
          <w:color w:val="auto"/>
          <w:spacing w:val="0"/>
          <w:position w:val="0"/>
          <w:sz w:val="24"/>
          <w:highlight w:val="none"/>
          <w:shd w:val="clear" w:fill="auto"/>
        </w:rPr>
        <w:t>所表述（指定）</w:t>
      </w:r>
      <w:r>
        <w:rPr>
          <w:rFonts w:hint="eastAsia" w:ascii="宋体" w:hAnsi="宋体" w:eastAsia="宋体" w:cs="宋体"/>
          <w:color w:val="auto"/>
          <w:spacing w:val="0"/>
          <w:position w:val="0"/>
          <w:sz w:val="24"/>
          <w:highlight w:val="none"/>
          <w:shd w:val="clear" w:fill="auto"/>
          <w:lang w:val="en-US" w:eastAsia="zh-CN"/>
        </w:rPr>
        <w:t>的签章是指签字和盖章，</w:t>
      </w:r>
      <w:r>
        <w:rPr>
          <w:rFonts w:ascii="宋体" w:hAnsi="宋体" w:eastAsia="宋体" w:cs="宋体"/>
          <w:color w:val="auto"/>
          <w:spacing w:val="0"/>
          <w:position w:val="0"/>
          <w:sz w:val="24"/>
          <w:highlight w:val="none"/>
          <w:shd w:val="clear" w:fill="auto"/>
        </w:rPr>
        <w:t>所表述（指定）的公章是指法人（供应商）行政公章，不包括专用章。</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14.3供应商提交的资料应证明其满足竞争性磋商文件要求，该文件可以是文字资料、图纸和数据等详细描述的资料。</w:t>
      </w:r>
    </w:p>
    <w:p>
      <w:pPr>
        <w:spacing w:line="360" w:lineRule="auto"/>
        <w:ind w:firstLine="550"/>
        <w:rPr>
          <w:color w:val="auto"/>
          <w:highlight w:val="none"/>
        </w:rPr>
      </w:pPr>
      <w:r>
        <w:rPr>
          <w:rFonts w:hint="eastAsia" w:ascii="宋体" w:hAnsi="宋体" w:eastAsia="宋体" w:cs="宋体"/>
          <w:color w:val="auto"/>
          <w:spacing w:val="0"/>
          <w:position w:val="0"/>
          <w:sz w:val="24"/>
          <w:highlight w:val="none"/>
          <w:shd w:val="clear" w:fill="auto"/>
          <w:lang w:val="en-US" w:eastAsia="zh-CN"/>
        </w:rPr>
        <w:t>15</w:t>
      </w:r>
      <w:r>
        <w:rPr>
          <w:rFonts w:hint="eastAsia" w:ascii="宋体" w:hAnsi="宋体" w:cs="宋体"/>
          <w:color w:val="auto"/>
          <w:sz w:val="24"/>
          <w:highlight w:val="none"/>
          <w:lang w:val="en-US" w:eastAsia="zh-CN"/>
        </w:rPr>
        <w:t>电子投标文件制作</w:t>
      </w:r>
      <w:r>
        <w:rPr>
          <w:rFonts w:hint="eastAsia" w:ascii="宋体" w:hAnsi="宋体" w:cs="宋体"/>
          <w:color w:val="auto"/>
          <w:sz w:val="24"/>
          <w:highlight w:val="none"/>
          <w:lang w:eastAsia="zh-CN"/>
        </w:rPr>
        <w:t>，</w:t>
      </w:r>
      <w:r>
        <w:rPr>
          <w:rFonts w:hint="eastAsia" w:ascii="宋体" w:hAnsi="宋体" w:cs="宋体"/>
          <w:color w:val="auto"/>
          <w:sz w:val="24"/>
          <w:highlight w:val="none"/>
        </w:rPr>
        <w:t>见周口市公共资源交易中心</w:t>
      </w:r>
      <w:r>
        <w:rPr>
          <w:rFonts w:hint="eastAsia" w:ascii="宋体" w:hAnsi="宋体" w:cs="宋体"/>
          <w:color w:val="auto"/>
          <w:sz w:val="24"/>
          <w:highlight w:val="none"/>
          <w:lang w:val="en-US" w:eastAsia="zh-CN"/>
        </w:rPr>
        <w:t>网站下载中心版块</w:t>
      </w:r>
      <w:r>
        <w:rPr>
          <w:rFonts w:hint="eastAsia" w:ascii="宋体" w:hAnsi="宋体" w:cs="宋体"/>
          <w:color w:val="auto"/>
          <w:sz w:val="24"/>
          <w:highlight w:val="none"/>
        </w:rPr>
        <w:t>《投标单位-电子投标文件视频制作手册》的相关规定。</w:t>
      </w:r>
    </w:p>
    <w:p>
      <w:pPr>
        <w:pStyle w:val="22"/>
        <w:rPr>
          <w:color w:val="auto"/>
          <w:highlight w:val="none"/>
        </w:rPr>
      </w:pPr>
    </w:p>
    <w:p>
      <w:pPr>
        <w:numPr>
          <w:ilvl w:val="0"/>
          <w:numId w:val="0"/>
        </w:numPr>
        <w:tabs>
          <w:tab w:val="left" w:pos="720"/>
        </w:tabs>
        <w:spacing w:before="0" w:after="0" w:line="720" w:lineRule="auto"/>
        <w:ind w:leftChars="0" w:right="0" w:rightChars="0"/>
        <w:jc w:val="center"/>
        <w:rPr>
          <w:rFonts w:ascii="宋体" w:hAnsi="宋体" w:eastAsia="宋体" w:cs="宋体"/>
          <w:b/>
          <w:color w:val="auto"/>
          <w:spacing w:val="0"/>
          <w:position w:val="0"/>
          <w:sz w:val="24"/>
          <w:highlight w:val="none"/>
          <w:shd w:val="clear" w:fill="auto"/>
        </w:rPr>
      </w:pPr>
      <w:r>
        <w:rPr>
          <w:rFonts w:hint="eastAsia" w:ascii="宋体" w:hAnsi="宋体" w:eastAsia="宋体" w:cs="宋体"/>
          <w:b/>
          <w:color w:val="auto"/>
          <w:spacing w:val="0"/>
          <w:position w:val="0"/>
          <w:sz w:val="24"/>
          <w:highlight w:val="none"/>
          <w:shd w:val="clear" w:fill="auto"/>
          <w:lang w:val="en-US" w:eastAsia="zh-CN"/>
        </w:rPr>
        <w:t>四、</w:t>
      </w:r>
      <w:r>
        <w:rPr>
          <w:rFonts w:ascii="宋体" w:hAnsi="宋体" w:eastAsia="宋体" w:cs="宋体"/>
          <w:b/>
          <w:color w:val="auto"/>
          <w:spacing w:val="0"/>
          <w:position w:val="0"/>
          <w:sz w:val="24"/>
          <w:highlight w:val="none"/>
          <w:shd w:val="clear" w:fill="auto"/>
        </w:rPr>
        <w:t>响应性文件的递交</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文件和纸质</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文件均不再提交。在解密投标</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开始时30分钟内进行解密，超时视为放弃递交</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w:t>
      </w:r>
    </w:p>
    <w:p>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注：加密的电子投标文件的递交</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rPr>
        <w:t>见周口市公共资源交易中心</w:t>
      </w:r>
      <w:r>
        <w:rPr>
          <w:rFonts w:hint="eastAsia" w:ascii="宋体" w:hAnsi="宋体" w:eastAsia="宋体" w:cs="宋体"/>
          <w:color w:val="auto"/>
          <w:spacing w:val="0"/>
          <w:position w:val="0"/>
          <w:sz w:val="24"/>
          <w:highlight w:val="none"/>
          <w:shd w:val="clear" w:fill="auto"/>
          <w:lang w:val="en-US" w:eastAsia="zh-CN"/>
        </w:rPr>
        <w:t>网站下载中心版块</w:t>
      </w:r>
      <w:r>
        <w:rPr>
          <w:rFonts w:hint="eastAsia" w:ascii="宋体" w:hAnsi="宋体" w:eastAsia="宋体" w:cs="宋体"/>
          <w:color w:val="auto"/>
          <w:spacing w:val="0"/>
          <w:position w:val="0"/>
          <w:sz w:val="24"/>
          <w:highlight w:val="none"/>
          <w:shd w:val="clear" w:fill="auto"/>
        </w:rPr>
        <w:t>《投标单位-电子投标文件视频制作手册》的相关规定。如未在招标文件规定的投标时间截止前上传网上</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文件，投标无效。</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供应商须使用单位CA证书进行电子响应文件远程解密，详见周口市公共资源电子交易中心网站（网址：</w:t>
      </w:r>
      <w:r>
        <w:rPr>
          <w:rFonts w:hint="eastAsia" w:ascii="宋体" w:hAnsi="宋体" w:eastAsia="宋体" w:cs="宋体"/>
          <w:color w:val="auto"/>
          <w:spacing w:val="0"/>
          <w:position w:val="0"/>
          <w:sz w:val="24"/>
          <w:highlight w:val="none"/>
          <w:shd w:val="clear" w:fill="auto"/>
          <w:lang w:eastAsia="zh-CN"/>
        </w:rPr>
        <w:t>http://221.14.138.68/</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办事指南《</w:t>
      </w:r>
      <w:r>
        <w:rPr>
          <w:rFonts w:hint="eastAsia" w:ascii="宋体" w:hAnsi="宋体" w:eastAsia="宋体" w:cs="宋体"/>
          <w:color w:val="auto"/>
          <w:spacing w:val="0"/>
          <w:position w:val="0"/>
          <w:sz w:val="24"/>
          <w:highlight w:val="none"/>
          <w:shd w:val="clear" w:fill="auto"/>
        </w:rPr>
        <w:t>不见面开标远程在线解密会员端操作手册操作指南</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p>
    <w:p>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16.响应性文件的递交</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16.1供应商应在竞争性磋商邀请函中规定的截止日期和时间前，将响应性文件在会员系统成功上传，递交（接收）地点为竞争性磋商邀请函中规定的地址。</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16.2若采购人推迟了响应性文件接收截止时间，采购人和供应商受响应性文件接收截止时间制约的所有权利和义务均应以新的截止时间为准。 </w:t>
      </w: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17.响应性文件的修改和撤回</w:t>
      </w:r>
    </w:p>
    <w:p>
      <w:pPr>
        <w:widowControl w:val="0"/>
        <w:spacing w:before="0" w:after="0" w:line="560" w:lineRule="auto"/>
        <w:ind w:left="279" w:right="0" w:firstLine="24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17.1供应商在提交响应性文件截止时间前，可以对已上传的响应文件进行撤回补充、修改或撤回，补充、修改，之后进行再次上传，再次上传内容作为响应性文件的组成部分。</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17.2响应性文件的补充、修改文件应按照本竞争性磋商文件有关规定进行密封、签署，修改后的加密的电子投标文件须在投标截止时间前成功上传。 </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17.3供应商在响应性文件接收截止时间后不得修改、撤回响应性文件。供应商在响应性文件接收截止时间后修改响应性文件的，将被拒绝接受。</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17.4供应商有下列情形之一的，采购人将拒绝接受其响应性文件：</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17.4.1在竞争性磋商文件规定的响应性文件接收截止时间之后递交响应性文件的；</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17.4.2响应性文件未按竞争性磋商文件规定密封、签署、盖章的；</w:t>
      </w:r>
    </w:p>
    <w:p>
      <w:pPr>
        <w:widowControl w:val="0"/>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17.4.3一个供应商不止递交一套响应性文件的。</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五、竞争性磋商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18.组建竞争性磋商小组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18.1采购人根据采购项目的特点依法组建竞争性磋商小组。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18.2竞争性磋商小组确认竞争性磋商文件，并负责具体评审事务，根据有关法律法规和竞争性磋商文件规定的评审程序，按照评审方法及评审标准独立履行竞争性磋商小组职责。</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19.资格性和符合性审查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19.1.1资格性审查的内容包括：竞争性磋商文件规定的供应商资格条件；</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19.2.1符合性审查的内容包括：</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（1）响应性文件的有效性(签署情况等)；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（2）响应性文件的完整性；</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（3）对竞争性磋商文件的响应程度（是否存在重大负偏离等）。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u w:val="single"/>
          <w:shd w:val="clear" w:fill="auto"/>
        </w:rPr>
        <w:t>以上资格性审查和符合性审查的内容只要有一条不满足，则响应性文件无效，将不进入竞争性磋商程序。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注意事项：资格性、符合性证明材料见竞争性磋商文件第四章规定。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19.3实质性响应的响应性文件是指与竞争性磋商文件的全部条款、条件和规格相符，没有重大偏离；重大负偏离的认定须经竞争性磋商小组三分之二以上同意。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19.5如果响应性文件实质上没有响应竞争性磋商文件的要求，将作为无效处理，供应商不得再对响应性文件进行任何修正从而使其响应性文件成为实质上响应的文件；</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19.6竞争性磋商小组审定响应性文件的响应性只根据响应性文件本身的内容而不寻求外部证据。</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19.7凡有下列情况之一的，其响应性文件也被视为未实质性响应竞争性磋商文件，按照无效处理（不再参加竞争性磋商）：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19.7.1未按竞争性磋商文件规定要求签署、盖章的；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19.7.2资格证明文件不全的，或不符合竞争性磋商文件中规定的资格要求的；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19.7.3</w:t>
      </w:r>
      <w:r>
        <w:rPr>
          <w:rFonts w:hint="eastAsia"/>
          <w:color w:val="auto"/>
          <w:kern w:val="0"/>
          <w:sz w:val="24"/>
          <w:highlight w:val="none"/>
          <w:lang w:val="en-US"/>
        </w:rPr>
        <w:t>被授权人未附本单位为其缴纳的社会保险个人参保证明（可二维码查询）和劳动合同的；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19.7.4不符合竞争性磋商文件规定的实质性要求的；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19.7.5响应性文件内容不齐全或内容虚假的；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19.7.6响应性文件的实质性内容未使用中文表述；</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19.7.7响应性文件的内容修改处未按规定签名或盖章的；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19.7.8违反法律、行政法规、竞争性磋商文件规定的其他情形的。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不同供应商的投标（响应）文件的内容存在两处以上细节错误一致；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不同供应商投标（响应）文件中法定代表人或者负责人签字出自</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同一人之手</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lang w:val="en-US"/>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15投</w:t>
      </w:r>
      <w:r>
        <w:rPr>
          <w:rFonts w:hint="eastAsia" w:ascii="宋体" w:hAnsi="宋体" w:cs="宋体"/>
          <w:color w:val="auto"/>
          <w:sz w:val="24"/>
          <w:highlight w:val="none"/>
          <w:lang w:val="en-US"/>
        </w:rPr>
        <w:t>标供应商没有将“廉洁自律承诺书”附在投标（响应）文件中。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未提供经会计师事务所或审计机构审计的财务会计报表，包括资产负债表、现金流量表、利润表、和财务情况说明书的或针对本项目所开具的资信证明的。</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未提供</w:t>
      </w:r>
      <w:r>
        <w:rPr>
          <w:rFonts w:hint="eastAsia" w:ascii="宋体" w:hAnsi="宋体" w:cs="宋体"/>
          <w:color w:val="auto"/>
          <w:sz w:val="24"/>
          <w:highlight w:val="none"/>
          <w:lang w:eastAsia="zh-CN"/>
        </w:rPr>
        <w:t>产品质量承诺的。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19.8在评审过程中，竞争性磋商小组发现供应商有下列情形之一的，视为供应商相互串通，按照无效处理并依据法律、法规追究其相关责任。具体表现形式如下：</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19.8.1不同供应商的响应性文件互相混装的；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19.8.2不同供应商授权同一人作为供应商委托代理人的；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19.8.3不同供应商的响应性文件载明的项目管理成员为同一人的；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19.8.4有证据证明供应商与采购人、采购代理机构或者其他供应商串通的其他情形；</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19.8.5竞争性磋商小组认定的其他串通情形。</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4"/>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项目符合性审查表</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是否</w:t>
            </w:r>
          </w:p>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投标文件格式及</w:t>
            </w:r>
          </w:p>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提交资料要求</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639"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是否通过审查</w:t>
            </w:r>
          </w:p>
        </w:tc>
      </w:tr>
    </w:tbl>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20.响应性文件的澄清</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20.3供应商拒不进行澄清、说明、补正的，或者不能在竞争性磋商小组规定时间内作出书面澄清、说明、补正的，其响应性文件将被作为无效处理。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20.4供应商的书面澄清材料作为响应性文件的补充。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20.5竞争性磋商小组不得接受供应商主动提出的澄清和解释。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20.6并非每个供应商都将被询问、澄清。</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21.竞争性磋商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21.1资格性审查和符合性审查合格的供应商，将进入本次竞争性磋商程序。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21.2竞争性磋商将按照供应商的签到顺序进行。</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21.3磋商内容包括：</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21.3.1按照竞争性磋商文件中商务部分的内容，对照供应商提交的响应文件逐一进行比较各项指标和要求。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21.3.2按照竞争性磋商文件中技术部分的内容，对照供应商提交的响应文件逐一进行比较各项指标和要求。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21.3.3按照竞争性磋商文件中合同条款部分的内容，对照供应商提交的响应文件逐一进行比较各项指标和要求。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21.3.4在磋商中，磋商的任何一方不得透露与磋商有关的其他供应商的技术资料及其他信息。</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21.4.1对竞争性磋商文件作出实质性变动是竞争性磋商文件的有效组成部分，竞争性磋商小组应当及时以书面形式同时通知所有参加竞争性磋商的供应商。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pPr>
        <w:spacing w:line="560" w:lineRule="exact"/>
        <w:ind w:firstLine="480" w:firstLineChars="200"/>
        <w:rPr>
          <w:rFonts w:ascii="宋体" w:hAnsi="宋体" w:eastAsia="宋体" w:cs="宋体"/>
          <w:b/>
          <w:color w:val="auto"/>
          <w:spacing w:val="0"/>
          <w:position w:val="0"/>
          <w:sz w:val="24"/>
          <w:highlight w:val="none"/>
          <w:shd w:val="clear" w:fill="auto"/>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供应商的投标函和开标记</w:t>
      </w:r>
      <w:r>
        <w:rPr>
          <w:rFonts w:hint="eastAsia" w:ascii="宋体" w:hAnsi="宋体" w:eastAsia="宋体" w:cs="宋体"/>
          <w:color w:val="auto"/>
          <w:sz w:val="24"/>
          <w:highlight w:val="none"/>
          <w:lang w:val="en-US" w:eastAsia="zh-CN"/>
        </w:rPr>
        <w:t>录表</w:t>
      </w:r>
      <w:r>
        <w:rPr>
          <w:rFonts w:hint="eastAsia" w:ascii="宋体" w:hAnsi="宋体" w:eastAsia="宋体" w:cs="宋体"/>
          <w:color w:val="auto"/>
          <w:sz w:val="24"/>
          <w:highlight w:val="none"/>
          <w:lang w:val="zh-CN"/>
        </w:rPr>
        <w:t>。</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六、评定标准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22.竞争性磋商过程及保密原则</w:t>
      </w:r>
    </w:p>
    <w:p>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采购代理机构在评标结束后2个工作日内将评标报告送采购人。采购人自收到评标报告之日起５个工作日内，在评标报告确定的中标候选人名单中确定中标人。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22.2对通过初步审查的响应文件，采用百分制综合评分法进行评价。</w:t>
      </w:r>
    </w:p>
    <w:p>
      <w:pPr>
        <w:spacing w:before="0" w:after="0" w:line="360" w:lineRule="auto"/>
        <w:ind w:left="0" w:right="-92" w:firstLine="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评标方法：</w:t>
      </w:r>
    </w:p>
    <w:tbl>
      <w:tblPr>
        <w:tblStyle w:val="14"/>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3"/>
        <w:gridCol w:w="982"/>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
                <w:bCs/>
                <w:kern w:val="0"/>
                <w:szCs w:val="21"/>
              </w:rPr>
            </w:pPr>
            <w:r>
              <w:rPr>
                <w:rFonts w:hint="eastAsia" w:ascii="宋体" w:hAnsi="宋体" w:cs="微软雅黑"/>
                <w:b/>
                <w:bCs/>
                <w:kern w:val="0"/>
                <w:szCs w:val="21"/>
              </w:rPr>
              <w:t>序号</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
                <w:bCs/>
                <w:kern w:val="0"/>
                <w:szCs w:val="21"/>
              </w:rPr>
            </w:pPr>
            <w:r>
              <w:rPr>
                <w:rFonts w:hint="eastAsia" w:ascii="宋体" w:hAnsi="宋体" w:cs="微软雅黑"/>
                <w:b/>
                <w:bCs/>
                <w:kern w:val="0"/>
                <w:szCs w:val="21"/>
              </w:rPr>
              <w:t>评分因素</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
                <w:bCs/>
                <w:kern w:val="0"/>
                <w:szCs w:val="21"/>
              </w:rPr>
            </w:pPr>
            <w:r>
              <w:rPr>
                <w:rFonts w:hint="eastAsia" w:ascii="宋体" w:hAnsi="宋体" w:cs="微软雅黑"/>
                <w:b/>
                <w:bCs/>
                <w:kern w:val="0"/>
                <w:szCs w:val="21"/>
              </w:rPr>
              <w:t>分值</w:t>
            </w:r>
          </w:p>
        </w:tc>
        <w:tc>
          <w:tcPr>
            <w:tcW w:w="7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
                <w:bCs/>
                <w:kern w:val="0"/>
                <w:szCs w:val="21"/>
              </w:rPr>
            </w:pPr>
            <w:r>
              <w:rPr>
                <w:rFonts w:hint="eastAsia" w:ascii="宋体" w:hAnsi="宋体" w:cs="微软雅黑"/>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Cs/>
                <w:kern w:val="0"/>
                <w:szCs w:val="21"/>
              </w:rPr>
            </w:pPr>
            <w:r>
              <w:rPr>
                <w:rFonts w:ascii="宋体" w:hAnsi="宋体" w:cs="微软雅黑"/>
                <w:bCs/>
                <w:kern w:val="0"/>
                <w:szCs w:val="21"/>
              </w:rPr>
              <w:t>1</w:t>
            </w:r>
          </w:p>
        </w:tc>
        <w:tc>
          <w:tcPr>
            <w:tcW w:w="11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报价</w:t>
            </w:r>
          </w:p>
        </w:tc>
        <w:tc>
          <w:tcPr>
            <w:tcW w:w="982"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30</w:t>
            </w:r>
            <w:r>
              <w:rPr>
                <w:rFonts w:hint="eastAsia" w:ascii="宋体" w:hAnsi="宋体" w:eastAsia="宋体" w:cs="宋体"/>
                <w:color w:val="auto"/>
                <w:sz w:val="24"/>
                <w:highlight w:val="none"/>
                <w:lang w:val="en-US" w:eastAsia="zh-CN"/>
              </w:rPr>
              <w:t>分</w:t>
            </w:r>
          </w:p>
        </w:tc>
        <w:tc>
          <w:tcPr>
            <w:tcW w:w="74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满足磋商文件要求且最后报价最低的供应商的价格为磋商基准价，其价格分为满分。其他供应商的价格分统一按照下列公式计算：</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满足磋商文件要求且最后报价最低的供应商的价格为磋商基准价，其价格分为满分。其他供应商的价格分统一按照下列公式计算：</w:t>
            </w:r>
          </w:p>
          <w:p>
            <w:pPr>
              <w:spacing w:line="56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磋商报价得分=（磋商基准价/最后磋商报价）×</w:t>
            </w:r>
            <w:r>
              <w:rPr>
                <w:rFonts w:hint="eastAsia" w:ascii="宋体" w:hAnsi="宋体" w:eastAsia="宋体" w:cs="宋体"/>
                <w:color w:val="auto"/>
                <w:sz w:val="24"/>
                <w:highlight w:val="none"/>
                <w:lang w:val="en-US" w:eastAsia="zh-CN"/>
              </w:rPr>
              <w:t>30分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备注：价格分计算保留小数点后二位。</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根据财政部、工信部关于印发《政府采购促进中小企业发展管理办法》的通知（财库〔2020〕46号 ）文件规定：</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（1）对小微企业报价给予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val="zh-CN"/>
              </w:rPr>
              <w:t>%扣除，请按照《政府采购促进中小企业发展管理办法》要求提供中小企业声明函。</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（2）关于监狱企业：视同小微企业。须提供由省级以上监狱管理局、戒毒管理局（含新疆生产建设兵团）出具的属于监狱企业的证明文件，否则不考虑价格扣除。</w:t>
            </w:r>
          </w:p>
          <w:p>
            <w:pPr>
              <w:spacing w:line="560" w:lineRule="exact"/>
            </w:pPr>
            <w:r>
              <w:rPr>
                <w:rFonts w:hint="eastAsia" w:ascii="宋体" w:hAnsi="宋体" w:eastAsia="宋体" w:cs="宋体"/>
                <w:color w:val="auto"/>
                <w:sz w:val="24"/>
                <w:highlight w:val="none"/>
                <w:lang w:val="zh-CN"/>
              </w:rPr>
              <w:t>（3）关于残疾人福利性单位：视同小微企业。须提供完整的“残疾人福利性单位声明函”，否则在价格评审时不予考虑价格扣除</w:t>
            </w:r>
            <w:r>
              <w:rPr>
                <w:rFonts w:hint="eastAsia" w:ascii="宋体" w:hAnsi="宋体" w:cs="宋体"/>
                <w:bCs/>
                <w:color w:val="0000FF"/>
                <w:sz w:val="24"/>
                <w:szCs w:val="20"/>
                <w:highlight w:val="none"/>
              </w:rPr>
              <w:t>。</w:t>
            </w:r>
          </w:p>
          <w:p>
            <w:pPr>
              <w:rPr>
                <w:rFonts w:ascii="宋体" w:hAnsi="宋体"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微软雅黑"/>
                <w:bCs/>
                <w:kern w:val="0"/>
                <w:szCs w:val="21"/>
              </w:rPr>
            </w:pPr>
            <w:r>
              <w:rPr>
                <w:rFonts w:ascii="宋体" w:hAnsi="宋体" w:cs="微软雅黑"/>
                <w:bCs/>
                <w:kern w:val="0"/>
                <w:szCs w:val="21"/>
              </w:rPr>
              <w:t>2</w:t>
            </w:r>
          </w:p>
        </w:tc>
        <w:tc>
          <w:tcPr>
            <w:tcW w:w="11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技术部分36分</w:t>
            </w:r>
          </w:p>
        </w:tc>
        <w:tc>
          <w:tcPr>
            <w:tcW w:w="982"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技术参数符合性36</w:t>
            </w:r>
            <w:r>
              <w:rPr>
                <w:rFonts w:hint="eastAsia" w:ascii="宋体" w:hAnsi="宋体" w:eastAsia="宋体" w:cs="宋体"/>
                <w:color w:val="auto"/>
                <w:sz w:val="24"/>
                <w:highlight w:val="none"/>
                <w:lang w:val="en-US" w:eastAsia="zh-CN"/>
              </w:rPr>
              <w:t>分</w:t>
            </w:r>
          </w:p>
        </w:tc>
        <w:tc>
          <w:tcPr>
            <w:tcW w:w="74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按照招标文件要求提供相应证明文件，完全符合招标文件要求，没有负偏离得36分。未按照要求中提供相应证明文件的，对应条目内容视为负偏离。带★项为重要参数，每一项负偏离扣3分；非★项，每一项负偏离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63" w:type="dxa"/>
            <w:vMerge w:val="restart"/>
            <w:tcBorders>
              <w:top w:val="single" w:color="auto" w:sz="4" w:space="0"/>
              <w:left w:val="single" w:color="auto" w:sz="4" w:space="0"/>
              <w:right w:val="single" w:color="auto" w:sz="4" w:space="0"/>
            </w:tcBorders>
            <w:vAlign w:val="center"/>
          </w:tcPr>
          <w:p>
            <w:pPr>
              <w:jc w:val="center"/>
              <w:rPr>
                <w:rFonts w:ascii="宋体" w:hAnsi="宋体" w:cs="微软雅黑"/>
                <w:bCs/>
                <w:kern w:val="0"/>
                <w:szCs w:val="21"/>
              </w:rPr>
            </w:pPr>
            <w:r>
              <w:rPr>
                <w:rFonts w:ascii="宋体" w:hAnsi="宋体" w:cs="微软雅黑"/>
                <w:bCs/>
                <w:kern w:val="0"/>
                <w:szCs w:val="21"/>
              </w:rPr>
              <w:t>3</w:t>
            </w:r>
          </w:p>
        </w:tc>
        <w:tc>
          <w:tcPr>
            <w:tcW w:w="1193" w:type="dxa"/>
            <w:vMerge w:val="restart"/>
            <w:tcBorders>
              <w:top w:val="single" w:color="auto" w:sz="4" w:space="0"/>
              <w:left w:val="single" w:color="auto" w:sz="4" w:space="0"/>
              <w:right w:val="single" w:color="auto" w:sz="4" w:space="0"/>
            </w:tcBorders>
            <w:vAlign w:val="center"/>
          </w:tcPr>
          <w:p>
            <w:pPr>
              <w:spacing w:line="56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综合部分34分</w:t>
            </w:r>
          </w:p>
        </w:tc>
        <w:tc>
          <w:tcPr>
            <w:tcW w:w="982"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产品先进性与稳定性15</w:t>
            </w:r>
            <w:r>
              <w:rPr>
                <w:rFonts w:hint="eastAsia" w:ascii="宋体" w:hAnsi="宋体" w:eastAsia="宋体" w:cs="宋体"/>
                <w:color w:val="auto"/>
                <w:sz w:val="24"/>
                <w:highlight w:val="none"/>
                <w:lang w:val="en-US" w:eastAsia="zh-CN"/>
              </w:rPr>
              <w:t>分</w:t>
            </w:r>
          </w:p>
        </w:tc>
        <w:tc>
          <w:tcPr>
            <w:tcW w:w="74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1、为保证配套教学软件的正版来源，要求智慧黑板厂家提供智慧课堂软件、教学白板软件、投屏互动教学软件、集中控制软件的著作权。提供以上软件著作权复印件加盖公章得3分。不满足或缺项不得分。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2、为保证智慧黑板用电安全，黑板厂家具有智能黑板电能管理系统软件著作权。满足并提供计算机软件著作权复印件加盖公章得3分，未提供或不满足不得分。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智慧黑板采用人体工程学设计，流线型造型，最大程度减少几何棱角，黑板四角为圆弧角平滑过渡设计，有效减少师生在日常使用中的物理撞伤。提供国家级权威机构出具的体现上述内容的证明材料复印件加盖公章得3分，未提供或不满足的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智慧黑板采用结构稳定和热稳定的超薄背光玻璃设计，为师生提供更轻薄硬件结构，同时提供了更优质的透光效率和稳定的色彩表现，对显示素材的色彩进行极高还原，提供证明材料复印件加盖公章得3分，不满足或未提供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智慧黑板产品获得2020年中国电子视像行业协会科技创新奖——产品创新奖，获奖产品名称需体现“智慧黑板”或“互动黑板”等相关字样。满足并提供证明材料复印件并加盖公章得3分，不满足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63" w:type="dxa"/>
            <w:vMerge w:val="continue"/>
            <w:tcBorders>
              <w:left w:val="single" w:color="auto" w:sz="4" w:space="0"/>
              <w:right w:val="single" w:color="auto" w:sz="4" w:space="0"/>
            </w:tcBorders>
            <w:vAlign w:val="center"/>
          </w:tcPr>
          <w:p>
            <w:pPr>
              <w:jc w:val="center"/>
              <w:rPr>
                <w:rFonts w:ascii="宋体" w:hAnsi="宋体" w:cs="微软雅黑"/>
                <w:bCs/>
                <w:kern w:val="0"/>
                <w:szCs w:val="21"/>
              </w:rPr>
            </w:pPr>
          </w:p>
        </w:tc>
        <w:tc>
          <w:tcPr>
            <w:tcW w:w="1193" w:type="dxa"/>
            <w:vMerge w:val="continue"/>
            <w:tcBorders>
              <w:left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制造厂家实力13</w:t>
            </w:r>
            <w:r>
              <w:rPr>
                <w:rFonts w:hint="eastAsia" w:ascii="宋体" w:hAnsi="宋体" w:eastAsia="宋体" w:cs="宋体"/>
                <w:color w:val="auto"/>
                <w:sz w:val="24"/>
                <w:highlight w:val="none"/>
                <w:lang w:val="en-US" w:eastAsia="zh-CN"/>
              </w:rPr>
              <w:t>分</w:t>
            </w:r>
          </w:p>
        </w:tc>
        <w:tc>
          <w:tcPr>
            <w:tcW w:w="74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智慧黑板厂家同时通过质量管理体系认证、环境管理体系认证、职业健康安全管理体系认证、知识产权管理体系认证、信息安全管理体系认证、有害物质过程管理体系认证（要求以上认证覆盖的产品及其过程需包含智慧黑板产品，否则视为此条不满足），提供相关证明文件加盖公章得3分，缺一项或不满足均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2、智慧黑板厂家为 “管理体系优秀获证组织”，提供证明材料复印件加盖公章得3分，未提供不得分。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3、智慧黑板厂家具有权威第三方机构出具的商品售后服务评价认证（十星级），依据GB/T 27922-2011标准。提供证书复印件加盖公章。提供得3分，不满足或不提供不得分。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4、智慧黑板厂家为《智慧教育黑板技术规范》起草单位之一，提供证明截图并加盖公章得 2分，不满足或不提供不得分。</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5、智慧黑板厂家提供省级及以上工业设计中心（研究院、示范园区）认定名单和复核通过名单，提供证明查询截图加盖公章得2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63" w:type="dxa"/>
            <w:vMerge w:val="continue"/>
            <w:tcBorders>
              <w:left w:val="single" w:color="auto" w:sz="4" w:space="0"/>
              <w:bottom w:val="single" w:color="auto" w:sz="4" w:space="0"/>
              <w:right w:val="single" w:color="auto" w:sz="4" w:space="0"/>
            </w:tcBorders>
            <w:vAlign w:val="center"/>
          </w:tcPr>
          <w:p>
            <w:pPr>
              <w:jc w:val="center"/>
              <w:rPr>
                <w:rFonts w:ascii="宋体" w:hAnsi="宋体" w:cs="微软雅黑"/>
                <w:bCs/>
                <w:kern w:val="0"/>
                <w:szCs w:val="21"/>
              </w:rPr>
            </w:pPr>
          </w:p>
        </w:tc>
        <w:tc>
          <w:tcPr>
            <w:tcW w:w="1193" w:type="dxa"/>
            <w:vMerge w:val="continue"/>
            <w:tcBorders>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方案及售后服务体现6</w:t>
            </w:r>
            <w:r>
              <w:rPr>
                <w:rFonts w:hint="eastAsia" w:ascii="宋体" w:hAnsi="宋体" w:eastAsia="宋体" w:cs="宋体"/>
                <w:color w:val="auto"/>
                <w:sz w:val="24"/>
                <w:highlight w:val="none"/>
                <w:lang w:val="en-US" w:eastAsia="zh-CN"/>
              </w:rPr>
              <w:t>分</w:t>
            </w:r>
          </w:p>
        </w:tc>
        <w:tc>
          <w:tcPr>
            <w:tcW w:w="74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须根据招标文件要求提供项目实施方案、人员配置、供货方案、供货进度计划、货物质量保证措施的，提供售后服务方案（包括但不限于：质量保证期（保修期）、到达现场的时间及维修恢复时间、售后服务措施等）提供</w:t>
            </w:r>
            <w:r>
              <w:rPr>
                <w:rFonts w:hint="eastAsia" w:ascii="宋体" w:hAnsi="宋体" w:eastAsia="宋体" w:cs="宋体"/>
                <w:color w:val="auto"/>
                <w:sz w:val="24"/>
                <w:highlight w:val="none"/>
                <w:lang w:val="en-US" w:eastAsia="zh-CN"/>
              </w:rPr>
              <w:t>齐全</w:t>
            </w:r>
            <w:r>
              <w:rPr>
                <w:rFonts w:hint="eastAsia" w:ascii="宋体" w:hAnsi="宋体" w:eastAsia="宋体" w:cs="宋体"/>
                <w:color w:val="auto"/>
                <w:sz w:val="24"/>
                <w:highlight w:val="none"/>
                <w:lang w:val="zh-CN"/>
              </w:rPr>
              <w:t>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分，</w:t>
            </w:r>
            <w:r>
              <w:rPr>
                <w:rFonts w:hint="eastAsia" w:ascii="宋体" w:hAnsi="宋体" w:eastAsia="宋体" w:cs="宋体"/>
                <w:color w:val="auto"/>
                <w:sz w:val="24"/>
                <w:highlight w:val="none"/>
                <w:lang w:val="en-US" w:eastAsia="zh-CN"/>
              </w:rPr>
              <w:t>缺一项扣1分，扣完为止；</w:t>
            </w:r>
          </w:p>
        </w:tc>
      </w:tr>
    </w:tbl>
    <w:p>
      <w:pPr>
        <w:spacing w:before="0" w:after="0" w:line="560" w:lineRule="auto"/>
        <w:ind w:right="0" w:firstLine="482" w:firstLineChars="20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最终得分为磋商小组所有成员计分的算术平均值，计算保留小数点两位，小数点后第三位四舍五入。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22.3磋商小组根据综合评分情况，按照评审得分由高到低顺序推荐成交候选供应商，并编写评审报告。综合得分相同的供应商，报价较低者优先；报价也相同的，由采购人自行确定。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22.5若供应商的报价高于项目预算，磋商小组有权根据采购人意见及其实际情况，拒绝该报价。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22.7在竞争性磋商期间，供应商不得向竞争性磋商小组成员询问其它供应商竞争性磋商情况，不得进行旨在影响成交结果的活动。</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22.8在竞争性磋商期间，采购人将有专门人员与供应商进行联络。</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23.竞争性磋商终止</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23.1出现下列情形之一时，采购人有权宣布竞争性磋商终止，并将理由通知所有供应商：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（1）因情况变化，不再符合竞争性磋商适用情形的；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（2）出现影响采购公正的违法、违规行为的；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（3）在采购过程中符合磋商文件要求的供应商不足3家的；</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（4）在采购活动中因重大变故，采购任务取消的；</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七、成交通知</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24.成交通知</w:t>
      </w:r>
    </w:p>
    <w:p>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24.1在发出成交公告后请采购人、中标人登录周口市公共资源交易中心网（</w:t>
      </w:r>
      <w:r>
        <w:rPr>
          <w:rFonts w:hint="eastAsia" w:ascii="宋体" w:hAnsi="宋体" w:eastAsia="宋体" w:cs="宋体"/>
          <w:color w:val="auto"/>
          <w:spacing w:val="0"/>
          <w:position w:val="0"/>
          <w:sz w:val="24"/>
          <w:highlight w:val="none"/>
          <w:shd w:val="clear" w:fill="auto"/>
          <w:lang w:eastAsia="zh-CN"/>
        </w:rPr>
        <w:t>http://221.14.138.68/</w:t>
      </w:r>
      <w:r>
        <w:rPr>
          <w:rFonts w:ascii="宋体" w:hAnsi="宋体" w:eastAsia="宋体" w:cs="宋体"/>
          <w:color w:val="auto"/>
          <w:spacing w:val="0"/>
          <w:position w:val="0"/>
          <w:sz w:val="24"/>
          <w:highlight w:val="none"/>
          <w:shd w:val="clear" w:fill="auto"/>
        </w:rPr>
        <w:t>）自行下载成交通知书，成交通知书将作为签订合同的依据。</w:t>
      </w:r>
    </w:p>
    <w:p>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24.2成交通知书对采购人和成交供应商具有同等法律效力。成交通知书发出后，采购人改变成交结果，或者成交供应商放弃成交，应当承担相应的法律责任。</w:t>
      </w:r>
    </w:p>
    <w:p>
      <w:pPr>
        <w:spacing w:before="0" w:after="0" w:line="72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八、合同授予</w:t>
      </w:r>
    </w:p>
    <w:p>
      <w:pPr>
        <w:tabs>
          <w:tab w:val="left" w:pos="162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25.签订合同及合同的执行</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25.1采购人、成交供应商按照竞争性磋商文件确定的合同文本签订政府采购合同。</w:t>
      </w:r>
    </w:p>
    <w:p>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482"/>
        <w:jc w:val="both"/>
        <w:textAlignment w:val="auto"/>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25.2采购人不得向成交供应商提出超过竞争性磋商文件以外的任何要求作为签订合同的条件，不得与成交供应商订立背离竞争性磋商文件确定的合同文本协议。</w:t>
      </w:r>
    </w:p>
    <w:p>
      <w:pPr>
        <w:keepNext w:val="0"/>
        <w:keepLines w:val="0"/>
        <w:pageBreakBefore w:val="0"/>
        <w:widowControl w:val="0"/>
        <w:kinsoku/>
        <w:wordWrap/>
        <w:overflowPunct/>
        <w:topLinePunct w:val="0"/>
        <w:autoSpaceDE/>
        <w:autoSpaceDN/>
        <w:bidi w:val="0"/>
        <w:adjustRightInd/>
        <w:snapToGrid/>
        <w:spacing w:before="0" w:after="0" w:line="480" w:lineRule="auto"/>
        <w:ind w:left="0" w:right="0" w:firstLine="482"/>
        <w:jc w:val="both"/>
        <w:textAlignment w:val="auto"/>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九、质疑处理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26.质疑程序及处理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26.1供应商认为采购过程、成交结果使自己的合法权益受到损害的，可以在知道或应当知道自己的权益受到损害之日起7个工作日内，由投标人授权代表（或法人代表）按照相关规定，</w:t>
      </w:r>
      <w:r>
        <w:rPr>
          <w:rFonts w:hint="eastAsia" w:ascii="宋体" w:hAnsi="宋体" w:eastAsia="宋体" w:cs="宋体"/>
          <w:color w:val="auto"/>
          <w:spacing w:val="0"/>
          <w:position w:val="0"/>
          <w:sz w:val="24"/>
          <w:highlight w:val="none"/>
          <w:shd w:val="clear" w:fill="auto"/>
          <w:lang w:eastAsia="zh-CN"/>
        </w:rPr>
        <w:t>一次性</w:t>
      </w:r>
      <w:r>
        <w:rPr>
          <w:rFonts w:ascii="宋体" w:hAnsi="宋体" w:eastAsia="宋体" w:cs="宋体"/>
          <w:color w:val="auto"/>
          <w:spacing w:val="0"/>
          <w:position w:val="0"/>
          <w:sz w:val="24"/>
          <w:highlight w:val="none"/>
          <w:shd w:val="clear" w:fill="auto"/>
        </w:rPr>
        <w:t>向采购人提出质疑，逾期不予受理。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26.2采购人在收到供应商的书面质疑后七个工作日内做出答复，并以书面形式通知质疑供应商和其他供应商，但答复内容不得涉及商业秘密。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26.3质疑供应商行使质疑权时，必须遵守“实事求是”和“谨慎性”原则，承担使用虚假材料或恶意方式质疑的法律责任，采购人将遵循“谁过错谁负担”的原则，由过错方提交相关的调查论证费用。</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sectPr>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第三章 采购项目内容及要求</w:t>
      </w:r>
    </w:p>
    <w:p>
      <w:pPr>
        <w:numPr>
          <w:ilvl w:val="0"/>
          <w:numId w:val="25"/>
        </w:numPr>
        <w:spacing w:before="0" w:after="0" w:line="480" w:lineRule="auto"/>
        <w:ind w:left="350" w:right="0" w:firstLine="0"/>
        <w:jc w:val="both"/>
        <w:rPr>
          <w:rFonts w:hint="eastAsia" w:asciiTheme="minorEastAsia" w:hAnsiTheme="minorEastAsia" w:eastAsiaTheme="minorEastAsia" w:cstheme="minorEastAsia"/>
          <w:color w:val="auto"/>
          <w:sz w:val="28"/>
          <w:szCs w:val="28"/>
          <w:highlight w:val="none"/>
          <w:vertAlign w:val="baseline"/>
          <w:lang w:val="en-US" w:eastAsia="zh-CN"/>
        </w:rPr>
      </w:pPr>
      <w:r>
        <w:rPr>
          <w:rFonts w:ascii="宋体" w:hAnsi="宋体" w:eastAsia="宋体" w:cs="宋体"/>
          <w:color w:val="auto"/>
          <w:spacing w:val="0"/>
          <w:position w:val="0"/>
          <w:sz w:val="24"/>
          <w:highlight w:val="none"/>
          <w:shd w:val="clear" w:fill="auto"/>
        </w:rPr>
        <w:t>本项目采购内容：</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55"/>
        <w:gridCol w:w="6669"/>
        <w:gridCol w:w="444"/>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49" w:type="pct"/>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330" w:type="pct"/>
            <w:vAlign w:val="center"/>
          </w:tcPr>
          <w:p>
            <w:pPr>
              <w:jc w:val="center"/>
              <w:rPr>
                <w:rFonts w:ascii="宋体" w:hAnsi="宋体" w:eastAsia="宋体" w:cs="宋体"/>
                <w:b/>
                <w:bCs/>
                <w:szCs w:val="21"/>
              </w:rPr>
            </w:pPr>
            <w:r>
              <w:rPr>
                <w:rFonts w:hint="eastAsia" w:ascii="宋体" w:hAnsi="宋体" w:eastAsia="宋体" w:cs="宋体"/>
                <w:b/>
                <w:bCs/>
                <w:szCs w:val="21"/>
              </w:rPr>
              <w:t>产品名称</w:t>
            </w:r>
          </w:p>
        </w:tc>
        <w:tc>
          <w:tcPr>
            <w:tcW w:w="3914" w:type="pct"/>
            <w:vAlign w:val="center"/>
          </w:tcPr>
          <w:p>
            <w:pPr>
              <w:jc w:val="center"/>
              <w:rPr>
                <w:rFonts w:ascii="宋体" w:hAnsi="宋体" w:eastAsia="宋体" w:cs="宋体"/>
                <w:b/>
                <w:bCs/>
                <w:szCs w:val="21"/>
              </w:rPr>
            </w:pPr>
            <w:r>
              <w:rPr>
                <w:rFonts w:hint="eastAsia" w:ascii="宋体" w:hAnsi="宋体" w:eastAsia="宋体" w:cs="宋体"/>
                <w:b/>
                <w:bCs/>
                <w:szCs w:val="21"/>
              </w:rPr>
              <w:t>规格参数</w:t>
            </w:r>
          </w:p>
        </w:tc>
        <w:tc>
          <w:tcPr>
            <w:tcW w:w="265" w:type="pct"/>
            <w:vAlign w:val="center"/>
          </w:tcPr>
          <w:p>
            <w:pPr>
              <w:jc w:val="center"/>
              <w:rPr>
                <w:rFonts w:ascii="宋体" w:hAnsi="宋体" w:eastAsia="宋体" w:cs="宋体"/>
                <w:b/>
                <w:bCs/>
                <w:szCs w:val="21"/>
              </w:rPr>
            </w:pPr>
            <w:r>
              <w:rPr>
                <w:rFonts w:hint="eastAsia" w:ascii="宋体" w:hAnsi="宋体" w:eastAsia="宋体" w:cs="宋体"/>
                <w:b/>
                <w:bCs/>
                <w:szCs w:val="21"/>
              </w:rPr>
              <w:t>单位</w:t>
            </w:r>
          </w:p>
        </w:tc>
        <w:tc>
          <w:tcPr>
            <w:tcW w:w="238" w:type="pct"/>
            <w:vAlign w:val="center"/>
          </w:tcPr>
          <w:p>
            <w:pPr>
              <w:jc w:val="center"/>
              <w:rPr>
                <w:rFonts w:ascii="宋体" w:hAnsi="宋体" w:eastAsia="宋体" w:cs="宋体"/>
                <w:b/>
                <w:bCs/>
                <w:szCs w:val="21"/>
              </w:rPr>
            </w:pPr>
            <w:r>
              <w:rPr>
                <w:rFonts w:hint="eastAsia" w:ascii="宋体" w:hAnsi="宋体" w:eastAsia="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jc w:val="center"/>
              <w:rPr>
                <w:rFonts w:ascii="宋体" w:hAnsi="宋体" w:eastAsia="宋体" w:cs="宋体"/>
                <w:b/>
                <w:bCs/>
                <w:szCs w:val="21"/>
              </w:rPr>
            </w:pPr>
            <w:r>
              <w:rPr>
                <w:rFonts w:hint="eastAsia" w:ascii="宋体" w:hAnsi="宋体" w:eastAsia="宋体" w:cs="宋体"/>
                <w:b/>
                <w:bCs/>
                <w:szCs w:val="21"/>
              </w:rPr>
              <w:t>1</w:t>
            </w:r>
          </w:p>
        </w:tc>
        <w:tc>
          <w:tcPr>
            <w:tcW w:w="330" w:type="pct"/>
            <w:vAlign w:val="center"/>
          </w:tcPr>
          <w:p>
            <w:pPr>
              <w:jc w:val="center"/>
              <w:rPr>
                <w:rFonts w:ascii="宋体" w:hAnsi="宋体" w:eastAsia="宋体" w:cs="宋体"/>
                <w:b/>
                <w:bCs/>
                <w:szCs w:val="21"/>
              </w:rPr>
            </w:pPr>
            <w:r>
              <w:rPr>
                <w:rFonts w:hint="eastAsia" w:ascii="宋体" w:hAnsi="宋体" w:eastAsia="宋体" w:cs="宋体"/>
                <w:b/>
                <w:bCs/>
                <w:szCs w:val="21"/>
              </w:rPr>
              <w:t>智慧黑板</w:t>
            </w:r>
          </w:p>
        </w:tc>
        <w:tc>
          <w:tcPr>
            <w:tcW w:w="3914" w:type="pct"/>
          </w:tcPr>
          <w:p>
            <w:pPr>
              <w:pStyle w:val="11"/>
              <w:widowControl/>
              <w:spacing w:beforeAutospacing="0" w:afterAutospacing="0"/>
              <w:rPr>
                <w:rFonts w:ascii="宋体" w:hAnsi="宋体" w:eastAsia="宋体" w:cs="宋体"/>
                <w:b/>
                <w:bCs/>
                <w:sz w:val="21"/>
                <w:szCs w:val="21"/>
              </w:rPr>
            </w:pPr>
            <w:r>
              <w:rPr>
                <w:rFonts w:hint="eastAsia" w:ascii="宋体" w:hAnsi="宋体" w:eastAsia="宋体" w:cs="宋体"/>
                <w:b/>
                <w:bCs/>
                <w:sz w:val="21"/>
                <w:szCs w:val="21"/>
              </w:rPr>
              <w:t>一、智慧黑板整机特性：</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整机正面显示为三块拼接而成的平面黑板，非推拉式结构，采用一体化设计及无缝拼接技术，具有良好的一体性与完整性，两侧书写黑板釆用专用书写玻璃，整个黑板正面均可采用普通粉笔、水笔、水溶性粉笔书写。</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整机尺寸：长≥4000mm，高≥1200mm，厚≤96mm。中间区域显示屏幕采用不低于86英寸工业级A规液晶面板，图像分辨率3840*2160，显示比例16:9，亮度：不低于500cd/m²，可视角度不低于178度，响应速度≤8ms。</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采用电容触控，支持20点触摸，支持HID免驱技术，无需安装驱动即可以实现多人同时书写与操作功能。表面采用不低于4mm厚度玻璃，全贴合技术工艺，减少显示面板与玻璃间的偏光、散射，画面显示清晰通透、可视角度广。（提供第三方权威检测机构出具的检测报告复印件并</w:t>
            </w:r>
            <w:r>
              <w:rPr>
                <w:rFonts w:hint="eastAsia" w:ascii="宋体" w:hAnsi="宋体" w:eastAsia="宋体" w:cs="宋体"/>
                <w:color w:val="auto"/>
                <w:sz w:val="21"/>
                <w:szCs w:val="21"/>
              </w:rPr>
              <w:t>加盖公章）</w:t>
            </w:r>
          </w:p>
          <w:p>
            <w:pPr>
              <w:pStyle w:val="11"/>
              <w:widowControl/>
              <w:numPr>
                <w:ilvl w:val="0"/>
                <w:numId w:val="26"/>
              </w:numPr>
              <w:spacing w:beforeAutospacing="0" w:afterAutospacing="0"/>
              <w:rPr>
                <w:rFonts w:ascii="宋体" w:hAnsi="宋体" w:eastAsia="宋体" w:cs="宋体"/>
                <w:color w:val="auto"/>
                <w:sz w:val="21"/>
                <w:szCs w:val="21"/>
              </w:rPr>
            </w:pPr>
            <w:r>
              <w:rPr>
                <w:rFonts w:hint="eastAsia" w:ascii="宋体" w:hAnsi="宋体" w:eastAsia="宋体" w:cs="宋体"/>
                <w:sz w:val="21"/>
                <w:szCs w:val="21"/>
              </w:rPr>
              <w:t>★智慧黑板模组采用铝镁合金材料，导热性能佳，热扩散系</w:t>
            </w:r>
            <w:r>
              <w:rPr>
                <w:rFonts w:hint="eastAsia" w:ascii="宋体" w:hAnsi="宋体" w:eastAsia="宋体" w:cs="宋体"/>
                <w:color w:val="auto"/>
                <w:sz w:val="21"/>
                <w:szCs w:val="21"/>
              </w:rPr>
              <w:t>数≥55mm²/S。（提供第三方权威检测机构出具的检测报告复印件并加盖公章）</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在任意通道下，需支持五指熄屏，并同时关闭触摸，避免误触。也可使用前置物理按键息屏。</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为方便老师操作，整机需具有前置实体按键，数量不少于8个，功能应包括但不仅限于电源、主页、锁屏、录屏、触摸锁定、音量加减、设置等，均具有清晰简体中文标识，有效避免教学误操作，为简化操作，以上功能均一键直达，非多个按键组合。</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前置非转接接口：USB3.0≥3个，type C≥1个，HDMI In≥1个，TYPE B≥1个，USB接口均支持在安卓和Windows双系统下识别，无需区分。</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智慧黑板中间屏体下方支持一体化铝合金型材粉笔槽设计，可用于放置触摸笔、粉笔教学用品。为满足教学需求，黑板须自带扬声器，总功率≥30W。</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支持前置物理按键和虚拟按键启用录屏功能，Windows下所有操作可一键录制。支持虚拟按键实现系统还原功能，还原前需输入管理员密码确认以确保非无关人员误操作。</w:t>
            </w:r>
          </w:p>
          <w:p>
            <w:pPr>
              <w:pStyle w:val="11"/>
              <w:widowControl/>
              <w:numPr>
                <w:ilvl w:val="0"/>
                <w:numId w:val="26"/>
              </w:numPr>
              <w:spacing w:beforeAutospacing="0" w:afterAutospacing="0"/>
              <w:rPr>
                <w:rFonts w:ascii="宋体" w:hAnsi="宋体" w:eastAsia="宋体" w:cs="宋体"/>
                <w:color w:val="auto"/>
                <w:sz w:val="21"/>
                <w:szCs w:val="21"/>
              </w:rPr>
            </w:pPr>
            <w:r>
              <w:rPr>
                <w:rFonts w:hint="eastAsia" w:ascii="宋体" w:hAnsi="宋体" w:eastAsia="宋体" w:cs="宋体"/>
                <w:sz w:val="21"/>
                <w:szCs w:val="21"/>
              </w:rPr>
              <w:t>玻璃面板的碎片状态、抗冲击性、霰弹袋冲击性能、耐热冲击性能均通过国家强制玻璃标准，表面应力≥90Mpa,适应学校复杂环境，保障教学安全。（提供第三方权威检测机构出具的检测报告复印件并</w:t>
            </w:r>
            <w:r>
              <w:rPr>
                <w:rFonts w:hint="eastAsia" w:ascii="宋体" w:hAnsi="宋体" w:eastAsia="宋体" w:cs="宋体"/>
                <w:color w:val="auto"/>
                <w:sz w:val="21"/>
                <w:szCs w:val="21"/>
              </w:rPr>
              <w:t>加盖公章）</w:t>
            </w:r>
          </w:p>
          <w:p>
            <w:pPr>
              <w:pStyle w:val="11"/>
              <w:widowControl/>
              <w:numPr>
                <w:ilvl w:val="0"/>
                <w:numId w:val="26"/>
              </w:numPr>
              <w:spacing w:beforeAutospacing="0" w:afterAutospacing="0"/>
              <w:rPr>
                <w:rFonts w:ascii="宋体" w:hAnsi="宋体" w:eastAsia="宋体" w:cs="宋体"/>
                <w:color w:val="auto"/>
                <w:sz w:val="21"/>
                <w:szCs w:val="21"/>
              </w:rPr>
            </w:pPr>
            <w:r>
              <w:rPr>
                <w:rFonts w:hint="eastAsia" w:ascii="宋体" w:hAnsi="宋体" w:eastAsia="宋体" w:cs="宋体"/>
                <w:sz w:val="21"/>
                <w:szCs w:val="21"/>
              </w:rPr>
              <w:t>为了保障产品安全性，智慧黑板外壳须通过IPX5防护等级测试。（提供第三方权威检测机构出具的检测报告复印件并</w:t>
            </w:r>
            <w:r>
              <w:rPr>
                <w:rFonts w:hint="eastAsia" w:ascii="宋体" w:hAnsi="宋体" w:eastAsia="宋体" w:cs="宋体"/>
                <w:color w:val="auto"/>
                <w:sz w:val="21"/>
                <w:szCs w:val="21"/>
              </w:rPr>
              <w:t>加盖公章）</w:t>
            </w:r>
          </w:p>
          <w:p>
            <w:pPr>
              <w:pStyle w:val="11"/>
              <w:widowControl/>
              <w:numPr>
                <w:ilvl w:val="0"/>
                <w:numId w:val="26"/>
              </w:numPr>
              <w:spacing w:beforeAutospacing="0" w:afterAutospacing="0"/>
              <w:rPr>
                <w:rFonts w:ascii="宋体" w:hAnsi="宋体" w:eastAsia="宋体" w:cs="宋体"/>
                <w:color w:val="auto"/>
                <w:sz w:val="21"/>
                <w:szCs w:val="21"/>
              </w:rPr>
            </w:pPr>
            <w:r>
              <w:rPr>
                <w:rFonts w:hint="eastAsia" w:ascii="宋体" w:hAnsi="宋体" w:eastAsia="宋体" w:cs="宋体"/>
                <w:sz w:val="21"/>
                <w:szCs w:val="21"/>
              </w:rPr>
              <w:t>产品视网膜蓝光危害（蓝光加权辐射亮度 LB）＜0.3，依据GB/T</w:t>
            </w:r>
            <w:r>
              <w:rPr>
                <w:rFonts w:ascii="宋体" w:hAnsi="宋体" w:eastAsia="宋体" w:cs="宋体"/>
                <w:sz w:val="21"/>
                <w:szCs w:val="21"/>
              </w:rPr>
              <w:t xml:space="preserve"> </w:t>
            </w:r>
            <w:r>
              <w:rPr>
                <w:rFonts w:hint="eastAsia" w:ascii="宋体" w:hAnsi="宋体" w:eastAsia="宋体" w:cs="宋体"/>
                <w:sz w:val="21"/>
                <w:szCs w:val="21"/>
              </w:rPr>
              <w:t>20145-2006 国家标准，无蓝光危害。（提供第三方权威检测机构出具的检测报告复印件并</w:t>
            </w:r>
            <w:r>
              <w:rPr>
                <w:rFonts w:hint="eastAsia" w:ascii="宋体" w:hAnsi="宋体" w:eastAsia="宋体" w:cs="宋体"/>
                <w:color w:val="auto"/>
                <w:sz w:val="21"/>
                <w:szCs w:val="21"/>
              </w:rPr>
              <w:t>加盖公章）</w:t>
            </w:r>
          </w:p>
          <w:p>
            <w:pPr>
              <w:pStyle w:val="11"/>
              <w:widowControl/>
              <w:numPr>
                <w:ilvl w:val="0"/>
                <w:numId w:val="26"/>
              </w:numPr>
              <w:spacing w:beforeAutospacing="0" w:afterAutospacing="0"/>
              <w:rPr>
                <w:rFonts w:ascii="宋体" w:hAnsi="宋体" w:eastAsia="宋体" w:cs="宋体"/>
                <w:sz w:val="21"/>
                <w:szCs w:val="21"/>
              </w:rPr>
            </w:pPr>
            <w:r>
              <w:rPr>
                <w:rFonts w:hint="eastAsia" w:ascii="宋体" w:hAnsi="宋体" w:eastAsia="宋体" w:cs="宋体"/>
                <w:sz w:val="21"/>
                <w:szCs w:val="21"/>
              </w:rPr>
              <w:t>★支持一体化顶置高清摄像头，实配1300W像素并可升级为更高像素的摄像头，具有135°可视角度方便拍摄教室画面，支持远程巡课应用。支持阵列麦克风，采用8孔阵列，支持半径12米内课堂现场音频，辅助一键录屏对音频进行釆集。（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b/>
                <w:bCs/>
                <w:sz w:val="21"/>
                <w:szCs w:val="21"/>
              </w:rPr>
            </w:pPr>
            <w:r>
              <w:rPr>
                <w:rFonts w:hint="eastAsia" w:ascii="宋体" w:hAnsi="宋体" w:eastAsia="宋体" w:cs="宋体"/>
                <w:b/>
                <w:bCs/>
                <w:sz w:val="21"/>
                <w:szCs w:val="21"/>
              </w:rPr>
              <w:t>二、系统功能要求：</w:t>
            </w:r>
          </w:p>
          <w:p>
            <w:pPr>
              <w:pStyle w:val="11"/>
              <w:widowControl/>
              <w:spacing w:beforeAutospacing="0" w:afterAutospacing="0"/>
              <w:rPr>
                <w:rFonts w:ascii="宋体" w:hAnsi="宋体" w:eastAsia="宋体" w:cs="宋体"/>
                <w:color w:val="auto"/>
                <w:sz w:val="21"/>
                <w:szCs w:val="21"/>
              </w:rPr>
            </w:pPr>
            <w:r>
              <w:rPr>
                <w:rFonts w:hint="eastAsia" w:ascii="宋体" w:hAnsi="宋体" w:eastAsia="宋体" w:cs="宋体"/>
                <w:sz w:val="21"/>
                <w:szCs w:val="21"/>
              </w:rPr>
              <w:t>1、★嵌入式系统≥Android 11性能配置，ARM主芯片需采用八核及以上处理器，存储配置需满足4G RAM和32G ROM，支持8K解码，可播放8K视频。（提供第三方权威检测机构出具的检测报告复印件并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系统</w:t>
            </w:r>
            <w:r>
              <w:rPr>
                <w:rFonts w:hint="eastAsia" w:ascii="宋体" w:hAnsi="宋体" w:eastAsia="宋体" w:cs="宋体"/>
                <w:sz w:val="21"/>
                <w:szCs w:val="21"/>
              </w:rPr>
              <w:t>界面预览窗口显示对应信号源当前实时画面,包括OPS、HDMI、Type-C等通道。点击信号源名称，预览窗口跳转至对应信号源显示画面；点击显示窗口，信号窗口全屏显示。支持对信号源的名称、顺序、显示自定义设置，满足不同场景的使用需求。（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3、★为方便教学使用，设备可根据需要修改及记忆信号源名称，支持自动识别及切换到新接入的信号源来显示，断开信号源连接后即可返回之前信号源。（提供第三方权威检测机构出具的检测报告复印件并加盖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auto"/>
                <w:sz w:val="21"/>
                <w:szCs w:val="21"/>
              </w:rPr>
              <w:t>系统</w:t>
            </w:r>
            <w:r>
              <w:rPr>
                <w:rFonts w:hint="eastAsia" w:ascii="宋体" w:hAnsi="宋体" w:eastAsia="宋体" w:cs="宋体"/>
                <w:sz w:val="21"/>
                <w:szCs w:val="21"/>
              </w:rPr>
              <w:t>主界面具有常用固定应用教学软件，教师可根据教学实际使用需求，支持对固定应用中软件自定义排序及删除。同时可显示最近打开教学软件应用，显示教师最近使用的软件，方便教师快速调用。（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color w:val="auto"/>
                <w:sz w:val="21"/>
                <w:szCs w:val="21"/>
              </w:rPr>
            </w:pPr>
            <w:r>
              <w:rPr>
                <w:rFonts w:hint="eastAsia" w:ascii="宋体" w:hAnsi="宋体" w:eastAsia="宋体" w:cs="宋体"/>
                <w:sz w:val="21"/>
                <w:szCs w:val="21"/>
              </w:rPr>
              <w:t>5、★界面支持默认倒计时自动关机；点击关机按钮实现立即关机，同时支持重启或息屏操作。误关机操作只需轻触屏幕即可取消关机。（提供第三方权威检测机构出具的检测报告复印件并加盖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6、★支持屏体双侧快捷功能键，在任意通道下支持左右侧边悬浮球工具栏功能，点击悬浮球弹出悬浮框。（提供第三方权威检测机构出具的检测报告复印件并加盖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7、★悬浮框底部小工具栏提供教学工具（批注、护眼、U盘、下移、自检、主页、录屏、一键还原、进程、截屏、返回等功能），可根据实际使用场景进行扩展，支持对小工具进行自定义排序及增减。（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8、★悬浮框支持应用进程的直接预览，可根据进程显示直接点击切换界面，无须切换至进程界面进行切换。同时支持直接滑动删除。（提供第三方权威检测机构出具的检测报告复印件并加盖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b/>
                <w:bCs/>
                <w:sz w:val="21"/>
                <w:szCs w:val="21"/>
              </w:rPr>
            </w:pPr>
            <w:r>
              <w:rPr>
                <w:rFonts w:hint="eastAsia" w:ascii="宋体" w:hAnsi="宋体" w:eastAsia="宋体" w:cs="宋体"/>
                <w:b/>
                <w:bCs/>
                <w:sz w:val="21"/>
                <w:szCs w:val="21"/>
              </w:rPr>
              <w:t>三、OPS电脑</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1、OPS采用模块化电脑方案，抽拉内置式朝下设计，最大限度的减小灰尘、粉尘的影响与堆积；采用标准80针OPS-C电脑接口，外部无任何连线，方便老师使用与维护。</w:t>
            </w:r>
          </w:p>
          <w:p>
            <w:pPr>
              <w:pStyle w:val="11"/>
              <w:widowControl/>
              <w:spacing w:beforeAutospacing="0" w:afterAutospacing="0"/>
              <w:rPr>
                <w:rFonts w:hint="eastAsia" w:eastAsia="宋体" w:cs="宋体"/>
                <w:color w:val="auto"/>
                <w:sz w:val="21"/>
                <w:szCs w:val="21"/>
                <w:lang w:eastAsia="zh-CN"/>
              </w:rPr>
            </w:pPr>
            <w:r>
              <w:rPr>
                <w:rFonts w:ascii="宋体" w:hAnsi="宋体" w:eastAsia="宋体" w:cs="宋体"/>
                <w:color w:val="auto"/>
                <w:sz w:val="21"/>
                <w:szCs w:val="21"/>
              </w:rPr>
              <w:t>2</w:t>
            </w:r>
            <w:r>
              <w:rPr>
                <w:rFonts w:hint="eastAsia" w:ascii="宋体" w:hAnsi="宋体" w:eastAsia="宋体" w:cs="宋体"/>
                <w:color w:val="auto"/>
                <w:sz w:val="21"/>
                <w:szCs w:val="21"/>
              </w:rPr>
              <w:t>、OPS采用</w:t>
            </w:r>
            <w:r>
              <w:rPr>
                <w:rFonts w:hint="eastAsia" w:ascii="宋体" w:hAnsi="宋体" w:eastAsia="宋体" w:cs="宋体"/>
                <w:color w:val="auto"/>
                <w:sz w:val="21"/>
                <w:szCs w:val="21"/>
                <w:lang w:val="en-US" w:eastAsia="zh-CN"/>
              </w:rPr>
              <w:t>I</w:t>
            </w:r>
            <w:r>
              <w:rPr>
                <w:rFonts w:hint="eastAsia" w:ascii="宋体" w:hAnsi="宋体" w:eastAsia="宋体" w:cs="宋体"/>
                <w:color w:val="auto"/>
                <w:sz w:val="21"/>
                <w:szCs w:val="21"/>
              </w:rPr>
              <w:t>ntel</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coreI7-12700 ，内存：≥8GB，频率不低于3200MH</w:t>
            </w:r>
            <w:r>
              <w:rPr>
                <w:rFonts w:ascii="宋体" w:hAnsi="宋体" w:eastAsia="宋体" w:cs="宋体"/>
                <w:color w:val="auto"/>
                <w:sz w:val="21"/>
                <w:szCs w:val="21"/>
              </w:rPr>
              <w:t>z</w:t>
            </w:r>
            <w:r>
              <w:rPr>
                <w:rFonts w:hint="eastAsia" w:ascii="宋体" w:hAnsi="宋体" w:eastAsia="宋体" w:cs="宋体"/>
                <w:color w:val="auto"/>
                <w:sz w:val="21"/>
                <w:szCs w:val="21"/>
              </w:rPr>
              <w:t>；硬盘：256G SSD 固态硬盘M.2接口，NVME协议，PCIe3.0X4</w:t>
            </w:r>
            <w:r>
              <w:rPr>
                <w:rFonts w:hint="eastAsia" w:eastAsia="宋体" w:cs="宋体"/>
                <w:color w:val="auto"/>
                <w:sz w:val="21"/>
                <w:szCs w:val="21"/>
                <w:lang w:eastAsia="zh-CN"/>
              </w:rPr>
              <w:t>。</w:t>
            </w:r>
          </w:p>
          <w:p>
            <w:pPr>
              <w:pStyle w:val="11"/>
              <w:widowControl/>
              <w:spacing w:beforeAutospacing="0" w:afterAutospacing="0"/>
              <w:rPr>
                <w:rFonts w:hint="default" w:eastAsia="宋体" w:cs="宋体"/>
                <w:color w:val="auto"/>
                <w:sz w:val="21"/>
                <w:szCs w:val="21"/>
                <w:lang w:val="en-US" w:eastAsia="zh-CN"/>
              </w:rPr>
            </w:pPr>
            <w:r>
              <w:rPr>
                <w:rFonts w:hint="eastAsia" w:eastAsia="宋体" w:cs="宋体"/>
                <w:color w:val="auto"/>
                <w:sz w:val="21"/>
                <w:szCs w:val="21"/>
                <w:lang w:val="en-US" w:eastAsia="zh-CN"/>
              </w:rPr>
              <w:t>3、</w:t>
            </w:r>
            <w:r>
              <w:rPr>
                <w:rFonts w:hint="eastAsia" w:ascii="宋体" w:hAnsi="宋体" w:cs="宋体"/>
                <w:color w:val="auto"/>
                <w:kern w:val="0"/>
                <w:sz w:val="21"/>
                <w:szCs w:val="21"/>
                <w:lang w:bidi="ar"/>
              </w:rPr>
              <w:t>含1300万摄像头及阵列，实时远程巡课、摄录播、安防监控、AI分析无感考勤、AI学情分析；可设置每次关机后还原到设定状态，黑板系统自带一键还原到出厂状态</w:t>
            </w:r>
            <w:r>
              <w:rPr>
                <w:rFonts w:hint="eastAsia" w:cs="宋体"/>
                <w:color w:val="auto"/>
                <w:kern w:val="0"/>
                <w:sz w:val="21"/>
                <w:szCs w:val="21"/>
                <w:lang w:eastAsia="zh-CN" w:bidi="ar"/>
              </w:rPr>
              <w:t>，</w:t>
            </w:r>
            <w:r>
              <w:rPr>
                <w:rFonts w:hint="eastAsia" w:cs="宋体"/>
                <w:color w:val="auto"/>
                <w:kern w:val="0"/>
                <w:sz w:val="21"/>
                <w:szCs w:val="21"/>
                <w:lang w:val="en-US" w:eastAsia="zh-CN" w:bidi="ar"/>
              </w:rPr>
              <w:t>预装常用教学软件</w:t>
            </w:r>
            <w:r>
              <w:rPr>
                <w:rFonts w:hint="eastAsia" w:ascii="宋体" w:hAnsi="宋体" w:cs="宋体"/>
                <w:color w:val="auto"/>
                <w:kern w:val="0"/>
                <w:sz w:val="21"/>
                <w:szCs w:val="21"/>
                <w:lang w:bidi="ar"/>
              </w:rPr>
              <w:t>。</w:t>
            </w:r>
          </w:p>
          <w:p>
            <w:pPr>
              <w:pStyle w:val="11"/>
              <w:widowControl/>
              <w:spacing w:beforeAutospacing="0" w:afterAutospacing="0"/>
              <w:rPr>
                <w:rFonts w:ascii="宋体" w:hAnsi="宋体" w:eastAsia="宋体" w:cs="宋体"/>
                <w:sz w:val="21"/>
                <w:szCs w:val="21"/>
              </w:rPr>
            </w:pPr>
            <w:r>
              <w:rPr>
                <w:rFonts w:hint="eastAsia" w:ascii="宋体" w:hAnsi="宋体" w:eastAsia="宋体" w:cs="宋体"/>
                <w:b/>
                <w:bCs/>
                <w:sz w:val="21"/>
                <w:szCs w:val="21"/>
              </w:rPr>
              <w:t>四、教学应用软件</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1、★软件应用模块的整合成统一界面，集中管理，方便老师在各软件之间的切换和使用，教学模块包括备课、授课、视频展台、云课件、投屏、云资源等。（提供第三方权威检测机构出具的检测报告复印件并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2、PPT导入及插入：PPT导入可保留原文档中的音频、视频、图片、文字及动画，并可根据需要编辑、修改,最终生成白板格式的课件；支持以原生态的形式插入一个或多个PPT文档，并可在白板软件当中直接打开。</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3、屏幕截图：支持一键进行屏幕截图，支持自定义截图区域，且可选择隐藏备课主窗口，方便老师快速截取屏幕图像。</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4、图形插入：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5、备授课一体化，具有备课模式及授课模式，且操作界面根据备课和授课使用场景不同而区别设计，可选择直接进入授课模式，符合用户满足课堂教学使用需求。</w:t>
            </w:r>
          </w:p>
          <w:p>
            <w:pPr>
              <w:pStyle w:val="11"/>
              <w:widowControl/>
              <w:spacing w:beforeAutospacing="0" w:afterAutospacing="0"/>
              <w:rPr>
                <w:rFonts w:ascii="宋体" w:hAnsi="宋体" w:eastAsia="宋体" w:cs="宋体"/>
                <w:color w:val="auto"/>
                <w:sz w:val="21"/>
                <w:szCs w:val="21"/>
              </w:rPr>
            </w:pPr>
            <w:r>
              <w:rPr>
                <w:rFonts w:hint="eastAsia" w:ascii="宋体" w:hAnsi="宋体" w:eastAsia="宋体" w:cs="宋体"/>
                <w:sz w:val="21"/>
                <w:szCs w:val="21"/>
              </w:rPr>
              <w:t>6、支持资源库功能，提供多种素材模块的教学知识点资源，不少于700个教程资源。（提供第三方权威检测机构出具的检测报告复印件并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7、支持学校老师通过手机号码注册账号，支持手机验证码，账号、钉钉和微信扫码等登录方式；老师的个人账号提供不少于50G云端存储空间，最大可扩展到300G内存，用户无需通过完成特定任务就能获取，方便老师存储资料。（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8、易用的文本编辑：支持文本输入并可快速设置字体、大小、颜色、粗体、斜体、下划线、删除线、上标、下标、项目符号等复杂文本的输入，可对文本的对齐、行间距、透明度等进行设置，方便用户编辑文字；</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9、云资源分享：分享者可将课件、视频、文档等各类云资源精准推送至指定人员，可设定分享提取码，提取码可随机生成也可自定义；为确保时效性，分享资源可设定有效期。</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云盘功能</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1、云盘支持多种打开方式，支持在安卓联网下直接点击客户端应用程序运行打开。</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2、★多种登录方式：为使用方全体教师配备个人账号，手机号码注册，支持多种登录方式：账号登录，短信登录，钉钉登录，微信登录，不小于50G的个人云空间。（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3、云资源下载到本地的资源数据，在老师账号退出的时候可自动清除，以保证数据权限化管理，黑板随账号变化自动清除之前数据及节省本地存储空间。</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4、支持在云课件模块中打开对应课件，支持老师实时授课，具有白板、投图、计时、计分牌、聚光灯等，授课功能支持白板功能：选择笔、线宽、橡皮、清屏、图像、撤销、恢复、保存、更多；投图功能：支持6张图片同时显示、支持拖拽，旋转、放大操作。已投的图片自动缓存到云盘中，避免系统异常导致图片丢失，同时方便老师当天内反复调用查看，不受硬件显示设备限制。（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录屏功能</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1、用户无需额外安装其他软件即可在白板软件首页一键打开录屏功能。</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2、支持选择和切换全屏录制，区域录制、应用窗口录制。</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①　全屏录制：可对整个桌面进行一键录制；</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②　区域录制：可使用矩形拉取方式选择任意一部分桌面内容进行录制；</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③　应用窗口录制：可选择桌面上任意一个应用程序进行界面录制，录制的画面只显示该应用界面区域；</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3、在以上录制模式下分别支持录制系统声音，麦克风声音，系统＋麦克风声音，或者选择不录制声音四种方式。</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4、支持选择使用录制倒计时功能，可随意设置录制时间。支持查看录制视频的文件名，时间，文件大小。录制的视频自动生成视频列表，并可在列表内点击播放，查看文件位置，以及删除操作。</w:t>
            </w:r>
          </w:p>
          <w:p>
            <w:pPr>
              <w:pStyle w:val="11"/>
              <w:widowControl/>
              <w:spacing w:beforeAutospacing="0" w:afterAutospacing="0"/>
              <w:rPr>
                <w:rFonts w:ascii="宋体" w:hAnsi="宋体" w:eastAsia="宋体" w:cs="宋体"/>
                <w:b/>
                <w:bCs/>
                <w:sz w:val="21"/>
                <w:szCs w:val="21"/>
              </w:rPr>
            </w:pPr>
            <w:r>
              <w:rPr>
                <w:rFonts w:hint="eastAsia" w:ascii="宋体" w:hAnsi="宋体" w:eastAsia="宋体" w:cs="宋体"/>
                <w:sz w:val="21"/>
                <w:szCs w:val="21"/>
              </w:rPr>
              <w:t>五、</w:t>
            </w:r>
            <w:r>
              <w:rPr>
                <w:rFonts w:hint="eastAsia" w:ascii="宋体" w:hAnsi="宋体" w:eastAsia="宋体" w:cs="宋体"/>
                <w:b/>
                <w:bCs/>
                <w:sz w:val="21"/>
                <w:szCs w:val="21"/>
              </w:rPr>
              <w:t>集中控制管理平台</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1、平台采用B/S架构设计，可在Windows、Android、iOS等多种不同的操作系统上通过网页浏览器登陆控制智能交互设备。</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2、支持两种部署方式，可直接部署在共有云平台上，学校本地无需部署服务器，智能交互设备只需联网即可接受管控。也支持后期按照需求升级成本地化部署，服务器部署在学校本地，在局域网内进行管理，确保信息安全。</w:t>
            </w:r>
          </w:p>
          <w:p>
            <w:pPr>
              <w:pStyle w:val="11"/>
              <w:widowControl/>
              <w:spacing w:beforeAutospacing="0" w:afterAutospacing="0"/>
              <w:rPr>
                <w:rFonts w:ascii="宋体" w:hAnsi="宋体" w:eastAsia="宋体" w:cs="宋体"/>
                <w:color w:val="auto"/>
                <w:sz w:val="21"/>
                <w:szCs w:val="21"/>
              </w:rPr>
            </w:pPr>
            <w:r>
              <w:rPr>
                <w:rFonts w:hint="eastAsia" w:ascii="宋体" w:hAnsi="宋体" w:eastAsia="宋体" w:cs="宋体"/>
                <w:sz w:val="21"/>
                <w:szCs w:val="21"/>
              </w:rPr>
              <w:t>3、支持两种管理员账号，包括学校管理员账号和老师管理员账号，老师管理员账号由学校管理员创建，并支持设置老师管理员的权限，包括可管理的设备列表权限和可管理的功能菜单权限。（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4、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5、管理平台支持远程指令控制，支持单台设备控制或多台设备批量控制，包括：开关机、屏幕锁（支持自定义解锁密码）、打铃、启用/禁用U盘等。</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6、管理平台具有屏幕锁功能，可对智能交互设备实时锁屏和解锁屏幕，也可按照周一至周日实行定时锁屏和解锁。支持平台自定义解锁密码。</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7、 管理平台支持远程打铃，具有清脆、柔和、标准三种铃声类型，支持铃声试听，可选择打铃时长，包括10s，20s和30s等，最长可选择2min。也可按照周一至周日实行定时打铃。（提供第三方权威检测机构出具的检测报告复印件并</w:t>
            </w:r>
            <w:r>
              <w:rPr>
                <w:rFonts w:hint="eastAsia" w:ascii="宋体" w:hAnsi="宋体" w:eastAsia="宋体" w:cs="宋体"/>
                <w:color w:val="auto"/>
                <w:sz w:val="21"/>
                <w:szCs w:val="21"/>
              </w:rPr>
              <w:t>加盖公章）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8、管理平台具有安全管理功能，由平台开启和关闭智能交互设备的U盘识别功能，如后台禁用智能交互设备的U盘，则插入U盘后无法读取。</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9、管理平台具有图片展播功能，可向智能交互设备发送不低于10张图片，设备端将进行轮播展示，平台可设定轮播时长和速度。（提供第三方权威检测机构出具的检测报告复印件并加盖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color w:val="auto"/>
                <w:sz w:val="21"/>
                <w:szCs w:val="21"/>
              </w:rPr>
            </w:pPr>
            <w:r>
              <w:rPr>
                <w:rFonts w:hint="eastAsia" w:ascii="宋体" w:hAnsi="宋体" w:eastAsia="宋体" w:cs="宋体"/>
                <w:sz w:val="21"/>
                <w:szCs w:val="21"/>
              </w:rPr>
              <w:t>10、管理平台可推送视频、图片、ppt、word等文件到指定智能交互设备,支持单个文件上传和批量上传，支持依据文件的重要性进行状态设定，可设置是否下载后自动打开。（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11、管理平台提供远程巡课功能，可以图片形式巡课，也可以实时动态查看智能交互设备使用界面，并支持远程操作智能交互设备。（提供第三方权威检测机构出具的检测报告复印件并加盖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12、 管理平台支持批量对智能交互设备进行软件远程部署，配套专用教学软件批量部署支持静默安装。</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13、管理平台支持通过日均健康度、内存累计超过阈值次数、CPU累计超过阈值次数、连续使用时长超过阈值次数、累计使用时长等多维度分析智能交互设备健康度，可根据健康度自动排行。（提供第三方权威检测机构出具的检测报告复印件并加盖</w:t>
            </w:r>
            <w:r>
              <w:rPr>
                <w:rFonts w:hint="eastAsia" w:ascii="宋体" w:hAnsi="宋体" w:eastAsia="宋体" w:cs="宋体"/>
                <w:color w:val="auto"/>
                <w:sz w:val="21"/>
                <w:szCs w:val="21"/>
              </w:rPr>
              <w:t>公章）</w:t>
            </w:r>
          </w:p>
          <w:p>
            <w:pPr>
              <w:pStyle w:val="11"/>
              <w:widowControl/>
              <w:spacing w:beforeAutospacing="0" w:afterAutospacing="0"/>
              <w:rPr>
                <w:rFonts w:ascii="宋体" w:hAnsi="宋体" w:eastAsia="宋体" w:cs="宋体"/>
                <w:sz w:val="21"/>
                <w:szCs w:val="21"/>
              </w:rPr>
            </w:pPr>
            <w:r>
              <w:rPr>
                <w:rFonts w:hint="eastAsia" w:ascii="宋体" w:hAnsi="宋体" w:eastAsia="宋体" w:cs="宋体"/>
                <w:sz w:val="21"/>
                <w:szCs w:val="21"/>
              </w:rPr>
              <w:t>14、智能交互设备客户端输入所在学校管理员的账号密码进行注册绑定，支持自定义智能交互设备名称，方便管理员对应管理。</w:t>
            </w:r>
          </w:p>
          <w:p>
            <w:pPr>
              <w:pStyle w:val="11"/>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15、智能交互设备客户端可查看任务列表，包括关机、锁屏、打铃、倒计日等任务。可查看智能交互设备对应课程表信息。</w:t>
            </w:r>
          </w:p>
          <w:p>
            <w:pPr>
              <w:pStyle w:val="11"/>
              <w:widowControl/>
              <w:spacing w:beforeAutospacing="0" w:afterAutospacing="0"/>
              <w:rPr>
                <w:rFonts w:hint="eastAsia" w:ascii="宋体" w:hAnsi="宋体" w:cs="宋体"/>
                <w:b/>
                <w:bCs/>
                <w:color w:val="000000"/>
                <w:kern w:val="0"/>
                <w:szCs w:val="21"/>
                <w:lang w:bidi="ar"/>
              </w:rPr>
            </w:pPr>
            <w:r>
              <w:rPr>
                <w:rFonts w:hint="eastAsia" w:ascii="宋体" w:hAnsi="宋体" w:cs="宋体"/>
                <w:b/>
                <w:bCs/>
                <w:color w:val="000000"/>
                <w:kern w:val="0"/>
                <w:szCs w:val="21"/>
                <w:lang w:val="en-US" w:eastAsia="zh-CN" w:bidi="ar"/>
              </w:rPr>
              <w:t>六、</w:t>
            </w:r>
            <w:r>
              <w:rPr>
                <w:rFonts w:hint="eastAsia" w:ascii="宋体" w:hAnsi="宋体" w:cs="宋体"/>
                <w:b/>
                <w:bCs/>
                <w:color w:val="000000"/>
                <w:kern w:val="0"/>
                <w:szCs w:val="21"/>
                <w:lang w:bidi="ar"/>
              </w:rPr>
              <w:t>原有旧设备移机安装</w:t>
            </w:r>
          </w:p>
          <w:p>
            <w:pPr>
              <w:pStyle w:val="11"/>
              <w:widowControl/>
              <w:spacing w:beforeAutospacing="0" w:afterAutospacing="0"/>
              <w:rPr>
                <w:rFonts w:hint="eastAsia" w:ascii="宋体" w:hAnsi="宋体" w:cs="宋体" w:eastAsiaTheme="minorEastAsia"/>
                <w:b/>
                <w:bCs/>
                <w:color w:val="000000"/>
                <w:kern w:val="0"/>
                <w:szCs w:val="21"/>
                <w:lang w:eastAsia="zh-CN" w:bidi="ar"/>
              </w:rPr>
            </w:pPr>
            <w:r>
              <w:rPr>
                <w:rFonts w:hint="eastAsia" w:ascii="宋体" w:hAnsi="宋体" w:eastAsia="宋体" w:cs="宋体"/>
                <w:sz w:val="21"/>
                <w:szCs w:val="21"/>
              </w:rPr>
              <w:t>教室原有</w:t>
            </w:r>
            <w:r>
              <w:rPr>
                <w:rFonts w:hint="eastAsia" w:ascii="宋体" w:hAnsi="宋体" w:eastAsia="宋体" w:cs="宋体"/>
                <w:sz w:val="21"/>
                <w:szCs w:val="21"/>
                <w:lang w:val="en-US" w:eastAsia="zh-CN"/>
              </w:rPr>
              <w:t>39套设备的移机拆装，含原有的</w:t>
            </w:r>
            <w:r>
              <w:rPr>
                <w:rFonts w:hint="eastAsia" w:ascii="宋体" w:hAnsi="宋体" w:eastAsia="宋体" w:cs="宋体"/>
                <w:sz w:val="21"/>
                <w:szCs w:val="21"/>
              </w:rPr>
              <w:t>黑板、投影机、幕布的拆除，并搬运安装到指定房间</w:t>
            </w:r>
            <w:r>
              <w:rPr>
                <w:rFonts w:hint="eastAsia" w:ascii="宋体" w:hAnsi="宋体" w:eastAsia="宋体" w:cs="宋体"/>
                <w:sz w:val="21"/>
                <w:szCs w:val="21"/>
                <w:lang w:eastAsia="zh-CN"/>
              </w:rPr>
              <w:t>。</w:t>
            </w:r>
          </w:p>
        </w:tc>
        <w:tc>
          <w:tcPr>
            <w:tcW w:w="265" w:type="pct"/>
            <w:vAlign w:val="center"/>
          </w:tcPr>
          <w:p>
            <w:pPr>
              <w:jc w:val="center"/>
              <w:rPr>
                <w:rFonts w:ascii="宋体" w:hAnsi="宋体" w:eastAsia="宋体" w:cs="宋体"/>
                <w:szCs w:val="21"/>
              </w:rPr>
            </w:pPr>
            <w:r>
              <w:rPr>
                <w:rFonts w:hint="eastAsia" w:ascii="宋体" w:hAnsi="宋体" w:eastAsia="宋体" w:cs="宋体"/>
                <w:szCs w:val="21"/>
              </w:rPr>
              <w:t>台</w:t>
            </w:r>
          </w:p>
        </w:tc>
        <w:tc>
          <w:tcPr>
            <w:tcW w:w="238" w:type="pct"/>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vAlign w:val="center"/>
          </w:tcPr>
          <w:p>
            <w:pPr>
              <w:jc w:val="center"/>
              <w:rPr>
                <w:rFonts w:ascii="宋体" w:hAnsi="宋体" w:eastAsia="宋体" w:cs="宋体"/>
                <w:b/>
                <w:bCs/>
                <w:szCs w:val="21"/>
              </w:rPr>
            </w:pPr>
            <w:r>
              <w:rPr>
                <w:rFonts w:hint="eastAsia" w:ascii="宋体" w:hAnsi="宋体" w:eastAsia="宋体" w:cs="宋体"/>
                <w:b/>
                <w:bCs/>
                <w:szCs w:val="21"/>
              </w:rPr>
              <w:t>2</w:t>
            </w:r>
          </w:p>
        </w:tc>
        <w:tc>
          <w:tcPr>
            <w:tcW w:w="330" w:type="pct"/>
            <w:vAlign w:val="center"/>
          </w:tcPr>
          <w:p>
            <w:pPr>
              <w:jc w:val="center"/>
              <w:rPr>
                <w:rFonts w:ascii="宋体" w:hAnsi="宋体" w:eastAsia="宋体" w:cs="宋体"/>
                <w:b/>
                <w:bCs/>
                <w:szCs w:val="21"/>
              </w:rPr>
            </w:pPr>
            <w:r>
              <w:rPr>
                <w:rFonts w:hint="eastAsia" w:ascii="宋体" w:hAnsi="宋体" w:eastAsia="宋体" w:cs="宋体"/>
                <w:b/>
                <w:bCs/>
                <w:szCs w:val="21"/>
              </w:rPr>
              <w:t>视频展台</w:t>
            </w:r>
          </w:p>
        </w:tc>
        <w:tc>
          <w:tcPr>
            <w:tcW w:w="3914" w:type="pct"/>
          </w:tcPr>
          <w:p>
            <w:pPr>
              <w:widowControl/>
              <w:jc w:val="left"/>
              <w:rPr>
                <w:rFonts w:ascii="宋体" w:hAnsi="宋体" w:cs="宋体"/>
                <w:color w:val="000000"/>
                <w:spacing w:val="-1"/>
                <w:kern w:val="0"/>
                <w:szCs w:val="21"/>
                <w:lang w:bidi="zh-CN"/>
              </w:rPr>
            </w:pPr>
            <w:r>
              <w:rPr>
                <w:rFonts w:hint="eastAsia" w:ascii="宋体" w:hAnsi="宋体" w:cs="宋体"/>
                <w:color w:val="000000"/>
                <w:spacing w:val="-1"/>
                <w:kern w:val="0"/>
                <w:szCs w:val="21"/>
                <w:lang w:bidi="zh-CN"/>
              </w:rPr>
              <w:t>一、整机硬件：</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1.采用有线连接；不低于</w:t>
            </w:r>
            <w:r>
              <w:rPr>
                <w:rFonts w:ascii="宋体" w:hAnsi="宋体" w:eastAsia="宋体" w:cs="宋体"/>
                <w:color w:val="000000" w:themeColor="text1"/>
                <w:spacing w:val="-1"/>
                <w:kern w:val="0"/>
                <w:szCs w:val="21"/>
                <w:lang w:bidi="zh-CN"/>
                <w14:textFill>
                  <w14:solidFill>
                    <w14:schemeClr w14:val="tx1"/>
                  </w14:solidFill>
                </w14:textFill>
              </w:rPr>
              <w:t>13</w:t>
            </w:r>
            <w:r>
              <w:rPr>
                <w:rFonts w:hint="eastAsia" w:ascii="宋体" w:hAnsi="宋体" w:eastAsia="宋体" w:cs="宋体"/>
                <w:color w:val="000000" w:themeColor="text1"/>
                <w:spacing w:val="-1"/>
                <w:kern w:val="0"/>
                <w:szCs w:val="21"/>
                <w:lang w:bidi="zh-CN"/>
                <w14:textFill>
                  <w14:solidFill>
                    <w14:schemeClr w14:val="tx1"/>
                  </w14:solidFill>
                </w14:textFill>
              </w:rPr>
              <w:t>00万像素，采用USB接口供电和传输数据，拍摄幅面A4，图像色彩24位，视频输出FLV、MP4，图片输出BMP、JPG、PNG、GIF、TIF。</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2.支持连接黑板或电脑使用，只需开启视频展台设备电源，打开视频展台软件即可连接。</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3.支持多画面同屏展示对比教学，对比内容支持一键拍照；还可以进行视频展台实时动态多屏对比，同时可用工具进行批注。</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4.支持实物展示画面缩放，支持一键拍照后图片的缩放、旋转、批注等功能。</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5.支持软件上的拍照按钮拍照，支持视频展台设备按键一键拍照。</w:t>
            </w:r>
          </w:p>
          <w:p>
            <w:pPr>
              <w:widowControl/>
              <w:textAlignment w:val="center"/>
              <w:rPr>
                <w:rFonts w:ascii="宋体" w:hAnsi="宋体" w:eastAsia="宋体" w:cs="宋体"/>
                <w:color w:val="000000" w:themeColor="text1"/>
                <w:spacing w:val="-1"/>
                <w:kern w:val="0"/>
                <w:szCs w:val="21"/>
                <w:lang w:bidi="zh-CN"/>
                <w14:textFill>
                  <w14:solidFill>
                    <w14:schemeClr w14:val="tx1"/>
                  </w14:solidFill>
                </w14:textFill>
              </w:rPr>
            </w:pPr>
            <w:r>
              <w:rPr>
                <w:rFonts w:hint="eastAsia" w:ascii="宋体" w:hAnsi="宋体" w:eastAsia="宋体" w:cs="宋体"/>
                <w:color w:val="000000" w:themeColor="text1"/>
                <w:spacing w:val="-1"/>
                <w:kern w:val="0"/>
                <w:szCs w:val="21"/>
                <w:lang w:bidi="zh-CN"/>
                <w14:textFill>
                  <w14:solidFill>
                    <w14:schemeClr w14:val="tx1"/>
                  </w14:solidFill>
                </w14:textFill>
              </w:rPr>
              <w:t>6.光源：自然光+LED补光(白色) ；按键：电源键、拍照键、补光键；</w:t>
            </w:r>
          </w:p>
          <w:p>
            <w:pPr>
              <w:widowControl/>
              <w:jc w:val="left"/>
              <w:rPr>
                <w:rFonts w:ascii="宋体" w:hAnsi="宋体" w:cs="宋体"/>
                <w:color w:val="000000"/>
                <w:spacing w:val="-1"/>
                <w:kern w:val="0"/>
                <w:szCs w:val="21"/>
                <w:lang w:bidi="zh-CN"/>
              </w:rPr>
            </w:pPr>
            <w:r>
              <w:rPr>
                <w:rFonts w:hint="eastAsia" w:ascii="宋体" w:hAnsi="宋体" w:cs="宋体"/>
                <w:color w:val="000000"/>
                <w:spacing w:val="-1"/>
                <w:kern w:val="0"/>
                <w:szCs w:val="21"/>
                <w:lang w:bidi="zh-CN"/>
              </w:rPr>
              <w:t>二、软件功能：</w:t>
            </w:r>
          </w:p>
          <w:p>
            <w:pPr>
              <w:widowControl/>
              <w:jc w:val="left"/>
              <w:rPr>
                <w:rFonts w:ascii="宋体" w:hAnsi="宋体" w:cs="宋体"/>
                <w:color w:val="000000"/>
                <w:spacing w:val="-1"/>
                <w:kern w:val="0"/>
                <w:szCs w:val="21"/>
                <w:lang w:bidi="zh-CN"/>
              </w:rPr>
            </w:pPr>
            <w:r>
              <w:rPr>
                <w:rFonts w:ascii="宋体" w:hAnsi="宋体" w:cs="宋体"/>
                <w:color w:val="000000"/>
                <w:spacing w:val="-1"/>
                <w:kern w:val="0"/>
                <w:szCs w:val="21"/>
                <w:lang w:bidi="zh-CN"/>
              </w:rPr>
              <w:t>1</w:t>
            </w:r>
            <w:r>
              <w:rPr>
                <w:rFonts w:hint="eastAsia" w:ascii="宋体" w:hAnsi="宋体" w:cs="宋体"/>
                <w:color w:val="000000"/>
                <w:spacing w:val="-1"/>
                <w:kern w:val="0"/>
                <w:szCs w:val="21"/>
                <w:lang w:bidi="zh-CN"/>
              </w:rPr>
              <w:t>.支持对展台实时画面进行放大、缩小、旋转、锁定画面等操作。支持展台画面实时批注，预设多种笔划粗细及颜色供选择，支持一键清除批注。</w:t>
            </w:r>
          </w:p>
          <w:p>
            <w:pPr>
              <w:widowControl/>
              <w:jc w:val="left"/>
              <w:rPr>
                <w:rFonts w:ascii="宋体" w:hAnsi="宋体" w:cs="宋体"/>
                <w:color w:val="000000"/>
                <w:spacing w:val="-1"/>
                <w:kern w:val="0"/>
                <w:szCs w:val="21"/>
                <w:lang w:bidi="zh-CN"/>
              </w:rPr>
            </w:pPr>
            <w:r>
              <w:rPr>
                <w:rFonts w:ascii="宋体" w:hAnsi="宋体" w:cs="宋体"/>
                <w:color w:val="000000"/>
                <w:spacing w:val="-1"/>
                <w:kern w:val="0"/>
                <w:szCs w:val="21"/>
                <w:lang w:bidi="zh-CN"/>
              </w:rPr>
              <w:t>2</w:t>
            </w:r>
            <w:r>
              <w:rPr>
                <w:rFonts w:hint="eastAsia" w:ascii="宋体" w:hAnsi="宋体" w:cs="宋体"/>
                <w:color w:val="000000"/>
                <w:spacing w:val="-1"/>
                <w:kern w:val="0"/>
                <w:szCs w:val="21"/>
                <w:lang w:bidi="zh-CN"/>
              </w:rPr>
              <w:t>.支持截图功能：可选框选矩形截图、任意图形截图、窗口截图、全屏截图，截图后图片可发送到白板软件里，支持保存到电脑本地，保存格式可选图片、演示、PDF。支持截图批量删除。</w:t>
            </w:r>
          </w:p>
          <w:p>
            <w:pPr>
              <w:widowControl/>
              <w:jc w:val="left"/>
              <w:rPr>
                <w:rFonts w:ascii="宋体" w:hAnsi="宋体" w:cs="宋体"/>
                <w:color w:val="000000"/>
                <w:spacing w:val="-1"/>
                <w:kern w:val="0"/>
                <w:szCs w:val="21"/>
                <w:lang w:bidi="zh-CN"/>
              </w:rPr>
            </w:pPr>
            <w:r>
              <w:rPr>
                <w:rFonts w:ascii="宋体" w:hAnsi="宋体" w:cs="宋体"/>
                <w:color w:val="000000"/>
                <w:spacing w:val="-1"/>
                <w:kern w:val="0"/>
                <w:szCs w:val="21"/>
                <w:lang w:bidi="zh-CN"/>
              </w:rPr>
              <w:t>3</w:t>
            </w:r>
            <w:r>
              <w:rPr>
                <w:rFonts w:hint="eastAsia" w:ascii="宋体" w:hAnsi="宋体" w:cs="宋体"/>
                <w:color w:val="000000"/>
                <w:spacing w:val="-1"/>
                <w:kern w:val="0"/>
                <w:szCs w:val="21"/>
                <w:lang w:bidi="zh-CN"/>
              </w:rPr>
              <w:t>.支持多张截图拍照自动对比功能，图片数量不受限制，可任选其中一张图片进行全屏展示或返回视频画面，支持旋转、保存或删除。</w:t>
            </w:r>
          </w:p>
          <w:p>
            <w:pPr>
              <w:widowControl/>
              <w:jc w:val="left"/>
              <w:rPr>
                <w:rFonts w:ascii="宋体" w:hAnsi="宋体" w:eastAsia="宋体" w:cs="宋体"/>
                <w:b/>
                <w:bCs/>
                <w:szCs w:val="21"/>
              </w:rPr>
            </w:pPr>
            <w:r>
              <w:rPr>
                <w:rFonts w:ascii="宋体" w:hAnsi="宋体" w:cs="宋体"/>
                <w:color w:val="000000"/>
                <w:spacing w:val="-1"/>
                <w:kern w:val="0"/>
                <w:szCs w:val="21"/>
                <w:lang w:bidi="zh-CN"/>
              </w:rPr>
              <w:t>4</w:t>
            </w:r>
            <w:r>
              <w:rPr>
                <w:rFonts w:hint="eastAsia" w:ascii="宋体" w:hAnsi="宋体" w:cs="宋体"/>
                <w:color w:val="000000"/>
                <w:spacing w:val="-1"/>
                <w:kern w:val="0"/>
                <w:szCs w:val="21"/>
                <w:lang w:bidi="zh-CN"/>
              </w:rPr>
              <w:t>.支持亮度、饱和度、对比度、锐度、焦距等功能的调节。</w:t>
            </w:r>
          </w:p>
        </w:tc>
        <w:tc>
          <w:tcPr>
            <w:tcW w:w="265" w:type="pct"/>
            <w:vAlign w:val="center"/>
          </w:tcPr>
          <w:p>
            <w:pPr>
              <w:jc w:val="center"/>
              <w:rPr>
                <w:rFonts w:ascii="宋体" w:hAnsi="宋体" w:eastAsia="宋体" w:cs="宋体"/>
                <w:szCs w:val="21"/>
              </w:rPr>
            </w:pPr>
            <w:r>
              <w:rPr>
                <w:rFonts w:hint="eastAsia" w:ascii="宋体" w:hAnsi="宋体" w:eastAsia="宋体" w:cs="宋体"/>
                <w:szCs w:val="21"/>
              </w:rPr>
              <w:t>台</w:t>
            </w:r>
          </w:p>
        </w:tc>
        <w:tc>
          <w:tcPr>
            <w:tcW w:w="238" w:type="pct"/>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49" w:type="pct"/>
            <w:vAlign w:val="center"/>
          </w:tcPr>
          <w:p>
            <w:pPr>
              <w:jc w:val="center"/>
              <w:rPr>
                <w:rFonts w:ascii="宋体" w:hAnsi="宋体" w:eastAsia="宋体" w:cs="宋体"/>
                <w:b/>
                <w:bCs/>
                <w:szCs w:val="21"/>
              </w:rPr>
            </w:pPr>
            <w:r>
              <w:rPr>
                <w:rFonts w:hint="eastAsia" w:ascii="宋体" w:hAnsi="宋体" w:eastAsia="宋体" w:cs="宋体"/>
                <w:b/>
                <w:bCs/>
                <w:szCs w:val="21"/>
              </w:rPr>
              <w:t>3</w:t>
            </w:r>
          </w:p>
        </w:tc>
        <w:tc>
          <w:tcPr>
            <w:tcW w:w="330" w:type="pct"/>
            <w:vAlign w:val="center"/>
          </w:tcPr>
          <w:p>
            <w:pPr>
              <w:jc w:val="center"/>
              <w:rPr>
                <w:rFonts w:ascii="宋体" w:hAnsi="宋体" w:eastAsia="宋体" w:cs="宋体"/>
                <w:b/>
                <w:bCs/>
                <w:szCs w:val="21"/>
              </w:rPr>
            </w:pPr>
            <w:r>
              <w:rPr>
                <w:rFonts w:hint="eastAsia" w:ascii="宋体" w:hAnsi="宋体" w:eastAsia="宋体" w:cs="宋体"/>
                <w:b/>
                <w:bCs/>
                <w:szCs w:val="21"/>
              </w:rPr>
              <w:t>辅助显示终端</w:t>
            </w:r>
          </w:p>
        </w:tc>
        <w:tc>
          <w:tcPr>
            <w:tcW w:w="3914" w:type="pct"/>
          </w:tcPr>
          <w:p>
            <w:pPr>
              <w:widowControl/>
              <w:jc w:val="left"/>
              <w:rPr>
                <w:rFonts w:hint="eastAsia" w:ascii="宋体" w:hAnsi="宋体" w:cs="宋体"/>
                <w:color w:val="000000"/>
                <w:spacing w:val="-1"/>
                <w:kern w:val="0"/>
                <w:szCs w:val="21"/>
                <w:lang w:val="en-US" w:bidi="zh-CN"/>
              </w:rPr>
            </w:pPr>
            <w:r>
              <w:rPr>
                <w:rFonts w:hint="eastAsia" w:ascii="宋体" w:hAnsi="宋体" w:cs="宋体"/>
                <w:color w:val="000000"/>
                <w:spacing w:val="-1"/>
                <w:kern w:val="0"/>
                <w:szCs w:val="21"/>
                <w:lang w:val="en-US" w:bidi="zh-CN"/>
              </w:rPr>
              <w:t>一、</w:t>
            </w:r>
            <w:r>
              <w:rPr>
                <w:rFonts w:hint="eastAsia" w:ascii="宋体" w:hAnsi="宋体" w:cs="宋体"/>
                <w:color w:val="000000"/>
                <w:kern w:val="0"/>
                <w:szCs w:val="21"/>
                <w:lang w:bidi="ar"/>
              </w:rPr>
              <w:t>辅助显示终端</w:t>
            </w:r>
          </w:p>
          <w:p>
            <w:pPr>
              <w:widowControl/>
              <w:jc w:val="left"/>
              <w:rPr>
                <w:rFonts w:hint="eastAsia" w:ascii="宋体" w:hAnsi="宋体" w:cs="宋体"/>
                <w:color w:val="000000"/>
                <w:spacing w:val="-1"/>
                <w:kern w:val="0"/>
                <w:szCs w:val="21"/>
                <w:lang w:bidi="zh-CN"/>
              </w:rPr>
            </w:pPr>
            <w:r>
              <w:rPr>
                <w:rFonts w:hint="eastAsia" w:ascii="宋体" w:hAnsi="宋体" w:cs="宋体"/>
                <w:color w:val="000000"/>
                <w:spacing w:val="-1"/>
                <w:kern w:val="0"/>
                <w:szCs w:val="21"/>
                <w:lang w:bidi="zh-CN"/>
              </w:rPr>
              <w:t>屏幕尺寸:≥65寸,分辨率: ≥4</w:t>
            </w:r>
            <w:r>
              <w:rPr>
                <w:rFonts w:ascii="宋体" w:hAnsi="宋体" w:cs="宋体"/>
                <w:color w:val="000000"/>
                <w:spacing w:val="-1"/>
                <w:kern w:val="0"/>
                <w:szCs w:val="21"/>
                <w:lang w:bidi="zh-CN"/>
              </w:rPr>
              <w:t>K</w:t>
            </w:r>
            <w:r>
              <w:rPr>
                <w:rFonts w:hint="eastAsia" w:ascii="宋体" w:hAnsi="宋体" w:cs="宋体"/>
                <w:color w:val="000000"/>
                <w:spacing w:val="-1"/>
                <w:kern w:val="0"/>
                <w:szCs w:val="21"/>
                <w:lang w:bidi="zh-CN"/>
              </w:rPr>
              <w:t>; HDMI接口数量≥2个; USB接口≥2个；内置存储≥16</w:t>
            </w:r>
            <w:r>
              <w:rPr>
                <w:rFonts w:ascii="宋体" w:hAnsi="宋体" w:cs="宋体"/>
                <w:color w:val="000000"/>
                <w:spacing w:val="-1"/>
                <w:kern w:val="0"/>
                <w:szCs w:val="21"/>
                <w:lang w:bidi="zh-CN"/>
              </w:rPr>
              <w:t>G;</w:t>
            </w:r>
            <w:r>
              <w:rPr>
                <w:rFonts w:hint="eastAsia" w:ascii="宋体" w:hAnsi="宋体" w:cs="宋体"/>
                <w:color w:val="000000"/>
                <w:spacing w:val="-1"/>
                <w:kern w:val="0"/>
                <w:szCs w:val="21"/>
                <w:lang w:bidi="zh-CN"/>
              </w:rPr>
              <w:t>其他功能：媒体播放、WIF</w:t>
            </w:r>
            <w:r>
              <w:rPr>
                <w:rFonts w:ascii="宋体" w:hAnsi="宋体" w:cs="宋体"/>
                <w:color w:val="000000"/>
                <w:spacing w:val="-1"/>
                <w:kern w:val="0"/>
                <w:szCs w:val="21"/>
                <w:lang w:bidi="zh-CN"/>
              </w:rPr>
              <w:t>I</w:t>
            </w:r>
            <w:r>
              <w:rPr>
                <w:rFonts w:hint="eastAsia" w:ascii="宋体" w:hAnsi="宋体" w:cs="宋体"/>
                <w:color w:val="000000"/>
                <w:spacing w:val="-1"/>
                <w:kern w:val="0"/>
                <w:szCs w:val="21"/>
                <w:lang w:bidi="zh-CN"/>
              </w:rPr>
              <w:t>互联网电视、网络高清播放，自动背光调节; 接口类型:AV HDMI； 网络连接方式:有线、无线全部支持; 操作系统:安卓; 安装方式：吊装；售后服务:全国联保，国家质量三包;</w:t>
            </w:r>
          </w:p>
          <w:p>
            <w:pPr>
              <w:widowControl/>
              <w:numPr>
                <w:ilvl w:val="0"/>
                <w:numId w:val="27"/>
              </w:numPr>
              <w:jc w:val="left"/>
              <w:rPr>
                <w:rFonts w:hint="eastAsia" w:ascii="宋体" w:hAnsi="宋体" w:cs="宋体"/>
                <w:color w:val="000000"/>
                <w:kern w:val="0"/>
                <w:szCs w:val="21"/>
                <w:lang w:bidi="ar"/>
              </w:rPr>
            </w:pPr>
            <w:r>
              <w:rPr>
                <w:rFonts w:hint="eastAsia" w:ascii="宋体" w:hAnsi="宋体" w:cs="宋体"/>
                <w:color w:val="000000"/>
                <w:kern w:val="0"/>
                <w:szCs w:val="21"/>
                <w:lang w:bidi="ar"/>
              </w:rPr>
              <w:t>辅助显示终端安装辅材</w:t>
            </w:r>
          </w:p>
          <w:p>
            <w:pPr>
              <w:widowControl/>
              <w:numPr>
                <w:ilvl w:val="0"/>
                <w:numId w:val="0"/>
              </w:numPr>
              <w:jc w:val="left"/>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bidi="ar"/>
              </w:rPr>
              <w:t>大教室配65寸辅助显示终端安装及信号传输</w:t>
            </w:r>
            <w:r>
              <w:rPr>
                <w:rFonts w:hint="eastAsia" w:ascii="宋体" w:hAnsi="宋体" w:cs="宋体"/>
                <w:color w:val="000000"/>
                <w:kern w:val="0"/>
                <w:szCs w:val="21"/>
                <w:lang w:val="en-US" w:eastAsia="zh-CN" w:bidi="ar"/>
              </w:rPr>
              <w:t>配套辅材及安装。</w:t>
            </w:r>
          </w:p>
        </w:tc>
        <w:tc>
          <w:tcPr>
            <w:tcW w:w="265" w:type="pct"/>
            <w:vAlign w:val="center"/>
          </w:tcPr>
          <w:p>
            <w:pPr>
              <w:jc w:val="center"/>
              <w:rPr>
                <w:rFonts w:ascii="宋体" w:hAnsi="宋体" w:eastAsia="宋体" w:cs="宋体"/>
                <w:szCs w:val="21"/>
              </w:rPr>
            </w:pPr>
            <w:r>
              <w:rPr>
                <w:rFonts w:hint="eastAsia" w:ascii="宋体" w:hAnsi="宋体" w:eastAsia="宋体" w:cs="宋体"/>
                <w:szCs w:val="21"/>
              </w:rPr>
              <w:t>台</w:t>
            </w:r>
          </w:p>
        </w:tc>
        <w:tc>
          <w:tcPr>
            <w:tcW w:w="238" w:type="pct"/>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r>
    </w:tbl>
    <w:p>
      <w:pPr>
        <w:spacing w:before="0" w:after="0" w:line="480" w:lineRule="auto"/>
        <w:ind w:right="0"/>
        <w:jc w:val="both"/>
        <w:rPr>
          <w:rFonts w:ascii="宋体" w:hAnsi="宋体" w:eastAsia="宋体" w:cs="宋体"/>
          <w:color w:val="auto"/>
          <w:spacing w:val="0"/>
          <w:position w:val="0"/>
          <w:sz w:val="24"/>
          <w:highlight w:val="none"/>
          <w:shd w:val="clear" w:fill="auto"/>
        </w:rPr>
      </w:pPr>
    </w:p>
    <w:p>
      <w:pPr>
        <w:spacing w:before="0" w:after="0" w:line="480" w:lineRule="auto"/>
        <w:ind w:right="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2、售后服务内容及要求：</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2.1质量保证：按本项目的行业规则或双方签订合同时的约定执行。</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2.2售后服务：</w:t>
      </w:r>
      <w:r>
        <w:rPr>
          <w:rFonts w:ascii="宋体" w:hAnsi="宋体" w:eastAsia="宋体" w:cs="宋体"/>
          <w:color w:val="auto"/>
          <w:sz w:val="24"/>
          <w:highlight w:val="none"/>
        </w:rPr>
        <w:t>在接到采购方服务请求后，</w:t>
      </w:r>
      <w:r>
        <w:rPr>
          <w:rFonts w:hint="eastAsia" w:ascii="Times New Roman" w:hAnsi="Times New Roman" w:eastAsia="宋体" w:cs="Times New Roman"/>
          <w:color w:val="auto"/>
          <w:highlight w:val="none"/>
          <w:shd w:val="clear" w:color="auto" w:fill="FFFFFF"/>
          <w:lang w:val="en-US" w:eastAsia="zh-CN"/>
        </w:rPr>
        <w:t>2</w:t>
      </w:r>
      <w:r>
        <w:rPr>
          <w:rFonts w:ascii="宋体" w:hAnsi="宋体" w:eastAsia="宋体" w:cs="宋体"/>
          <w:color w:val="auto"/>
          <w:sz w:val="24"/>
          <w:highlight w:val="none"/>
        </w:rPr>
        <w:t>小时响应，</w:t>
      </w:r>
      <w:r>
        <w:rPr>
          <w:rFonts w:hint="eastAsia" w:ascii="Times New Roman" w:hAnsi="Times New Roman" w:eastAsia="宋体" w:cs="Times New Roman"/>
          <w:color w:val="auto"/>
          <w:highlight w:val="none"/>
          <w:shd w:val="clear" w:color="auto" w:fill="FFFFFF"/>
          <w:lang w:val="en-US" w:eastAsia="zh-CN"/>
        </w:rPr>
        <w:t>24</w:t>
      </w:r>
      <w:r>
        <w:rPr>
          <w:rFonts w:ascii="宋体" w:hAnsi="宋体" w:eastAsia="宋体" w:cs="宋体"/>
          <w:color w:val="auto"/>
          <w:sz w:val="24"/>
          <w:highlight w:val="none"/>
        </w:rPr>
        <w:t>小时内上门解决问题；质保期内提供免费上门服务，质保期外的收费按相关行业规则或由双方协商收取</w:t>
      </w:r>
      <w:r>
        <w:rPr>
          <w:rFonts w:ascii="宋体" w:hAnsi="宋体" w:eastAsia="宋体" w:cs="宋体"/>
          <w:color w:val="auto"/>
          <w:spacing w:val="0"/>
          <w:position w:val="0"/>
          <w:sz w:val="24"/>
          <w:highlight w:val="none"/>
          <w:shd w:val="clear" w:fill="auto"/>
        </w:rPr>
        <w:t>。</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2.3交货地点：采购人指定地点。</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w:t>
      </w:r>
      <w:r>
        <w:rPr>
          <w:rFonts w:hint="eastAsia" w:ascii="宋体" w:hAnsi="宋体" w:eastAsia="宋体" w:cs="宋体"/>
          <w:color w:val="auto"/>
          <w:spacing w:val="0"/>
          <w:position w:val="0"/>
          <w:sz w:val="24"/>
          <w:highlight w:val="none"/>
          <w:shd w:val="clear" w:fill="auto"/>
          <w:lang w:val="en-US" w:eastAsia="zh-CN"/>
        </w:rPr>
        <w:t>供货期：</w:t>
      </w:r>
      <w:r>
        <w:rPr>
          <w:rFonts w:hint="eastAsia" w:ascii="宋体" w:hAnsi="宋体" w:eastAsia="宋体" w:cs="宋体"/>
          <w:color w:val="auto"/>
          <w:spacing w:val="0"/>
          <w:position w:val="0"/>
          <w:sz w:val="24"/>
          <w:highlight w:val="none"/>
          <w:shd w:val="clear" w:fill="auto"/>
        </w:rPr>
        <w:t>合同签订后</w:t>
      </w:r>
      <w:r>
        <w:rPr>
          <w:rFonts w:hint="eastAsia" w:ascii="宋体" w:hAnsi="宋体" w:eastAsia="宋体" w:cs="宋体"/>
          <w:color w:val="auto"/>
          <w:spacing w:val="0"/>
          <w:position w:val="0"/>
          <w:sz w:val="24"/>
          <w:highlight w:val="none"/>
          <w:shd w:val="clear" w:fill="auto"/>
          <w:lang w:val="en-US" w:eastAsia="zh-CN"/>
        </w:rPr>
        <w:t>15</w:t>
      </w:r>
      <w:r>
        <w:rPr>
          <w:rFonts w:hint="eastAsia" w:ascii="宋体" w:hAnsi="宋体" w:eastAsia="宋体" w:cs="宋体"/>
          <w:color w:val="auto"/>
          <w:spacing w:val="0"/>
          <w:position w:val="0"/>
          <w:sz w:val="24"/>
          <w:highlight w:val="none"/>
          <w:shd w:val="clear" w:fill="auto"/>
        </w:rPr>
        <w:t>日历天内供货安装调试完成。</w:t>
      </w:r>
    </w:p>
    <w:p>
      <w:pPr>
        <w:spacing w:before="0" w:after="0" w:line="3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2.5质保期：3年</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6</w:t>
      </w:r>
      <w:r>
        <w:rPr>
          <w:rFonts w:ascii="宋体" w:hAnsi="宋体" w:eastAsia="宋体" w:cs="宋体"/>
          <w:color w:val="auto"/>
          <w:spacing w:val="0"/>
          <w:position w:val="0"/>
          <w:sz w:val="24"/>
          <w:highlight w:val="none"/>
          <w:shd w:val="clear" w:fill="auto"/>
        </w:rPr>
        <w:t>验收：由最终用户组织验收。</w:t>
      </w:r>
    </w:p>
    <w:p>
      <w:pPr>
        <w:spacing w:before="0" w:after="0" w:line="480" w:lineRule="auto"/>
        <w:ind w:left="0" w:right="0" w:firstLine="0"/>
        <w:jc w:val="center"/>
        <w:rPr>
          <w:rFonts w:ascii="宋体" w:hAnsi="宋体" w:eastAsia="宋体" w:cs="宋体"/>
          <w:b/>
          <w:bCs/>
          <w:color w:val="auto"/>
          <w:spacing w:val="0"/>
          <w:position w:val="0"/>
          <w:sz w:val="24"/>
          <w:highlight w:val="none"/>
          <w:shd w:val="clear" w:fill="auto"/>
        </w:rPr>
        <w:sectPr>
          <w:pgSz w:w="11906" w:h="16838"/>
          <w:cols w:space="720" w:num="1"/>
          <w:docGrid w:type="lines" w:linePitch="312" w:charSpace="0"/>
        </w:sectPr>
      </w:pPr>
    </w:p>
    <w:p>
      <w:pPr>
        <w:spacing w:before="0" w:after="0" w:line="480" w:lineRule="auto"/>
        <w:ind w:left="0" w:right="0" w:firstLine="0"/>
        <w:jc w:val="center"/>
        <w:rPr>
          <w:rFonts w:ascii="宋体" w:hAnsi="宋体" w:eastAsia="宋体" w:cs="宋体"/>
          <w:b/>
          <w:bCs/>
          <w:color w:val="auto"/>
          <w:spacing w:val="0"/>
          <w:position w:val="0"/>
          <w:sz w:val="24"/>
          <w:highlight w:val="none"/>
          <w:shd w:val="clear" w:fill="auto"/>
        </w:rPr>
      </w:pPr>
      <w:r>
        <w:rPr>
          <w:rFonts w:ascii="宋体" w:hAnsi="宋体" w:eastAsia="宋体" w:cs="宋体"/>
          <w:b/>
          <w:bCs/>
          <w:color w:val="auto"/>
          <w:spacing w:val="0"/>
          <w:position w:val="0"/>
          <w:sz w:val="24"/>
          <w:highlight w:val="none"/>
          <w:shd w:val="clear" w:fill="auto"/>
        </w:rPr>
        <w:t>第四章  响应性文件内容及格式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重要提示：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．供应商在编制响应性文件时，对于给定格式的文件内容，必须按照给定的标准格式进行填报；对于没有给定标准格式的文件内容，可以由供应商自行设计。</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.法定代表人本人参加竞争性磋商的，不需提供授权委托书。</w:t>
      </w: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格式2-1</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法定代表人身份证明书</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 xml:space="preserve">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同志，系我单位法定代表人，任</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职务。</w:t>
      </w:r>
    </w:p>
    <w:p>
      <w:pPr>
        <w:spacing w:before="0" w:after="0" w:line="360" w:lineRule="auto"/>
        <w:ind w:left="0" w:right="0" w:firstLine="4142" w:firstLineChars="1726"/>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4142" w:firstLineChars="1726"/>
        <w:jc w:val="both"/>
        <w:rPr>
          <w:rFonts w:ascii="宋体" w:hAnsi="宋体" w:eastAsia="宋体" w:cs="宋体"/>
          <w:color w:val="auto"/>
          <w:spacing w:val="0"/>
          <w:position w:val="0"/>
          <w:sz w:val="24"/>
          <w:highlight w:val="none"/>
          <w:shd w:val="clear" w:fill="auto"/>
        </w:rPr>
      </w:pPr>
    </w:p>
    <w:p>
      <w:pPr>
        <w:spacing w:before="0" w:after="0" w:line="360" w:lineRule="auto"/>
        <w:ind w:right="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特此证明。</w:t>
      </w:r>
    </w:p>
    <w:p>
      <w:pPr>
        <w:spacing w:before="0" w:after="0" w:line="360" w:lineRule="auto"/>
        <w:ind w:right="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附：联系地址：               </w:t>
      </w:r>
    </w:p>
    <w:p>
      <w:pPr>
        <w:spacing w:before="0" w:after="0" w:line="360" w:lineRule="auto"/>
        <w:ind w:right="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联系电话：</w:t>
      </w:r>
    </w:p>
    <w:tbl>
      <w:tblPr>
        <w:tblStyle w:val="14"/>
        <w:tblpPr w:leftFromText="180" w:rightFromText="180" w:vertAnchor="text" w:horzAnchor="page" w:tblpX="2742" w:tblpY="1346"/>
        <w:tblOverlap w:val="never"/>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（※附：法定代表人身份证复印件</w:t>
            </w:r>
            <w:r>
              <w:rPr>
                <w:rFonts w:hint="eastAsia" w:ascii="宋体" w:hAnsi="宋体" w:eastAsia="宋体" w:cs="宋体"/>
                <w:b/>
                <w:color w:val="auto"/>
                <w:spacing w:val="0"/>
                <w:position w:val="0"/>
                <w:sz w:val="24"/>
                <w:highlight w:val="none"/>
                <w:shd w:val="clear" w:fill="auto"/>
                <w:lang w:val="en-US" w:eastAsia="zh-CN"/>
              </w:rPr>
              <w:t>正反面</w:t>
            </w:r>
            <w:r>
              <w:rPr>
                <w:rFonts w:ascii="宋体" w:hAnsi="宋体" w:eastAsia="宋体" w:cs="宋体"/>
                <w:b/>
                <w:color w:val="auto"/>
                <w:spacing w:val="0"/>
                <w:position w:val="0"/>
                <w:sz w:val="24"/>
                <w:highlight w:val="none"/>
                <w:shd w:val="clear" w:fill="auto"/>
              </w:rPr>
              <w:t>※）</w:t>
            </w:r>
          </w:p>
          <w:p>
            <w:pPr>
              <w:spacing w:before="0" w:after="0" w:line="48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color w:val="auto"/>
                <w:spacing w:val="0"/>
                <w:position w:val="0"/>
                <w:highlight w:val="none"/>
                <w:shd w:val="clear" w:fill="auto"/>
              </w:rPr>
            </w:pPr>
          </w:p>
        </w:tc>
      </w:tr>
    </w:tbl>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38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投标人电子签章： </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格式2-2</w:t>
      </w:r>
    </w:p>
    <w:p>
      <w:pPr>
        <w:spacing w:before="0" w:after="0" w:line="360" w:lineRule="auto"/>
        <w:ind w:left="0" w:right="0" w:firstLine="48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授权委托书</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 xml:space="preserve">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委托人授权（被委托人的姓名、职务）为委托人的委托代理人，就项目编号为的项目及合同的执行，以本单位名义处理一切与之有关的事务。</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本授权书于年月日签字生效，特此声明。</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被委托人：</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w:t>
      </w:r>
    </w:p>
    <w:tbl>
      <w:tblPr>
        <w:tblStyle w:val="14"/>
        <w:tblpPr w:leftFromText="180" w:rightFromText="180" w:vertAnchor="text" w:horzAnchor="page" w:tblpX="2909" w:tblpY="1289"/>
        <w:tblOverlap w:val="never"/>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rPr>
          <w:trHeight w:val="2634"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（※附：被委托人身份证复印件</w:t>
            </w:r>
            <w:r>
              <w:rPr>
                <w:rFonts w:hint="eastAsia" w:ascii="宋体" w:hAnsi="宋体" w:eastAsia="宋体" w:cs="宋体"/>
                <w:b/>
                <w:color w:val="auto"/>
                <w:spacing w:val="0"/>
                <w:position w:val="0"/>
                <w:sz w:val="24"/>
                <w:highlight w:val="none"/>
                <w:shd w:val="clear" w:fill="auto"/>
                <w:lang w:val="en-US" w:eastAsia="zh-CN"/>
              </w:rPr>
              <w:t>正反面</w:t>
            </w:r>
            <w:r>
              <w:rPr>
                <w:rFonts w:ascii="宋体" w:hAnsi="宋体" w:eastAsia="宋体" w:cs="宋体"/>
                <w:b/>
                <w:color w:val="auto"/>
                <w:spacing w:val="0"/>
                <w:position w:val="0"/>
                <w:sz w:val="24"/>
                <w:highlight w:val="none"/>
                <w:shd w:val="clear" w:fill="auto"/>
              </w:rPr>
              <w:t>※）</w:t>
            </w:r>
          </w:p>
        </w:tc>
      </w:tr>
    </w:tbl>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pStyle w:val="22"/>
        <w:rPr>
          <w:color w:val="auto"/>
          <w:highlight w:val="none"/>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格式2-3</w:t>
      </w:r>
    </w:p>
    <w:p>
      <w:pPr>
        <w:spacing w:before="0" w:after="0" w:line="240" w:lineRule="auto"/>
        <w:ind w:left="0" w:right="0" w:firstLine="3151" w:firstLineChars="1313"/>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供应商资格其他资料</w:t>
      </w: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格式3</w:t>
      </w:r>
    </w:p>
    <w:p>
      <w:pPr>
        <w:spacing w:before="0" w:after="0" w:line="5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投标函</w:t>
      </w:r>
    </w:p>
    <w:p>
      <w:pPr>
        <w:widowControl w:val="0"/>
        <w:spacing w:before="0" w:after="0" w:line="360" w:lineRule="auto"/>
        <w:ind w:left="0" w:right="0" w:firstLine="0"/>
        <w:jc w:val="left"/>
        <w:rPr>
          <w:rFonts w:hint="eastAsia" w:ascii="宋体" w:hAnsi="宋体" w:eastAsia="宋体" w:cs="宋体"/>
          <w:color w:val="auto"/>
          <w:spacing w:val="0"/>
          <w:position w:val="0"/>
          <w:sz w:val="24"/>
          <w:highlight w:val="none"/>
          <w:shd w:val="clear" w:fill="FFFFFF"/>
          <w:lang w:val="en-US" w:eastAsia="zh-CN"/>
        </w:rPr>
      </w:pPr>
      <w:r>
        <w:rPr>
          <w:rFonts w:ascii="宋体" w:hAnsi="宋体" w:eastAsia="宋体" w:cs="宋体"/>
          <w:color w:val="auto"/>
          <w:spacing w:val="0"/>
          <w:position w:val="0"/>
          <w:sz w:val="24"/>
          <w:highlight w:val="none"/>
          <w:shd w:val="clear" w:fill="FFFFFF"/>
        </w:rPr>
        <w:t>致：周口市公共资源交易中心</w:t>
      </w: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政府采购中心</w:t>
      </w:r>
      <w:r>
        <w:rPr>
          <w:rFonts w:hint="eastAsia" w:ascii="宋体" w:hAnsi="宋体" w:eastAsia="宋体" w:cs="宋体"/>
          <w:color w:val="auto"/>
          <w:spacing w:val="0"/>
          <w:position w:val="0"/>
          <w:sz w:val="24"/>
          <w:highlight w:val="none"/>
          <w:shd w:val="clear" w:fill="FFFFFF"/>
          <w:lang w:val="en-US" w:eastAsia="zh-CN"/>
        </w:rPr>
        <w:t>)</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widowControl w:val="0"/>
        <w:spacing w:before="0" w:after="0" w:line="240" w:lineRule="auto"/>
        <w:ind w:left="0" w:right="0" w:firstLine="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根据贵方</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项目的竞争性磋商邀请（项目编号：          ），委托代理人      (全名、职务)</w:t>
      </w:r>
      <w:r>
        <w:rPr>
          <w:rFonts w:hint="eastAsia" w:ascii="宋体" w:hAnsi="宋体" w:eastAsia="宋体" w:cs="宋体"/>
          <w:color w:val="auto"/>
          <w:spacing w:val="0"/>
          <w:position w:val="0"/>
          <w:sz w:val="24"/>
          <w:highlight w:val="none"/>
          <w:shd w:val="clear" w:fill="auto"/>
          <w:lang w:eastAsia="zh-CN"/>
        </w:rPr>
        <w:t>签字，</w:t>
      </w:r>
      <w:r>
        <w:rPr>
          <w:rFonts w:ascii="宋体" w:hAnsi="宋体" w:eastAsia="宋体" w:cs="宋体"/>
          <w:color w:val="auto"/>
          <w:spacing w:val="0"/>
          <w:position w:val="0"/>
          <w:sz w:val="24"/>
          <w:highlight w:val="none"/>
          <w:shd w:val="clear" w:fill="auto"/>
        </w:rPr>
        <w:t>代表              供应商名称、地址)提交投标文件，报价为</w:t>
      </w:r>
      <w:r>
        <w:rPr>
          <w:rFonts w:ascii="宋体" w:hAnsi="宋体" w:eastAsia="宋体" w:cs="宋体"/>
          <w:color w:val="auto"/>
          <w:spacing w:val="0"/>
          <w:position w:val="0"/>
          <w:sz w:val="24"/>
          <w:highlight w:val="none"/>
          <w:u w:val="single"/>
          <w:shd w:val="clear" w:fill="auto"/>
        </w:rPr>
        <w:t>：    元，</w:t>
      </w:r>
      <w:r>
        <w:rPr>
          <w:rFonts w:ascii="宋体" w:hAnsi="宋体" w:eastAsia="宋体" w:cs="宋体"/>
          <w:color w:val="auto"/>
          <w:spacing w:val="0"/>
          <w:position w:val="0"/>
          <w:sz w:val="24"/>
          <w:highlight w:val="none"/>
          <w:shd w:val="clear" w:fill="auto"/>
        </w:rPr>
        <w:t>并对之负法律责任。</w:t>
      </w:r>
    </w:p>
    <w:p>
      <w:pPr>
        <w:spacing w:before="0" w:after="0" w:line="240" w:lineRule="auto"/>
        <w:ind w:left="0" w:right="0" w:firstLine="56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据此函，宣布同意如下：</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(1)我们完全理解贵方不一定要接受最低报价，并同意本文件规定的响应性文件有效期。</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(2)我们已详细审核全部竞争性磋商文件，我们知道必须放弃提出含糊不清或误解的问题的权利。</w:t>
      </w:r>
    </w:p>
    <w:p>
      <w:pPr>
        <w:numPr>
          <w:ilvl w:val="0"/>
          <w:numId w:val="0"/>
        </w:numPr>
        <w:spacing w:before="0" w:after="0" w:line="240" w:lineRule="auto"/>
        <w:ind w:left="480" w:leftChars="0" w:right="0" w:rightChars="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3</w:t>
      </w:r>
      <w:r>
        <w:rPr>
          <w:rFonts w:ascii="宋体" w:hAnsi="宋体" w:eastAsia="宋体" w:cs="宋体"/>
          <w:color w:val="auto"/>
          <w:spacing w:val="0"/>
          <w:position w:val="0"/>
          <w:sz w:val="24"/>
          <w:highlight w:val="none"/>
          <w:shd w:val="clear" w:fill="auto"/>
        </w:rPr>
        <w:t>)同意向贵方提供贵方可能另外要求的与其竞争性磋商有关的任何证据和资料。</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(4)一旦我们成交，我们将严格履行合同责任和义务。</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(5)我们完全理解不向未成交人解释未成交理由的义务。</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(6)与本次竞争性磋商有关的正式通讯地址为：</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                  邮 编：</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电 话：                  传 真：</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我们保证：</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(1)不提供虚假材料谋取成交；</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(2)不以不正当手段抵毁、排挤其他供应商；</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(3)不与采购人和其它供应商恶意串通；</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(4)不向采购人和采购代理机构提供不正当利益；</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(5)不拒绝有关部门监督检查或提供虚假情况。</w:t>
      </w:r>
    </w:p>
    <w:p>
      <w:pPr>
        <w:spacing w:before="0" w:after="0" w:line="560" w:lineRule="auto"/>
        <w:ind w:left="0" w:right="0" w:firstLine="72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联系人：              联系电话：</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336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格式4</w:t>
      </w:r>
    </w:p>
    <w:p>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一．报价一览表</w:t>
      </w:r>
    </w:p>
    <w:tbl>
      <w:tblPr>
        <w:tblStyle w:val="14"/>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trHeight w:val="556"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589"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最终投标报价（包：）</w:t>
            </w:r>
          </w:p>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 xml:space="preserve">投标总价：       大写：           </w:t>
            </w:r>
          </w:p>
        </w:tc>
      </w:tr>
      <w:tr>
        <w:tblPrEx>
          <w:tblCellMar>
            <w:top w:w="0" w:type="dxa"/>
            <w:left w:w="10" w:type="dxa"/>
            <w:bottom w:w="0" w:type="dxa"/>
            <w:right w:w="10" w:type="dxa"/>
          </w:tblCellMar>
        </w:tblPrEx>
        <w:trPr>
          <w:trHeight w:val="606"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供货期</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sz w:val="24"/>
                <w:highlight w:val="none"/>
                <w:shd w:val="clear" w:fill="auto"/>
              </w:rPr>
            </w:pPr>
          </w:p>
        </w:tc>
      </w:tr>
      <w:tr>
        <w:tblPrEx>
          <w:tblCellMar>
            <w:top w:w="0" w:type="dxa"/>
            <w:left w:w="10" w:type="dxa"/>
            <w:bottom w:w="0" w:type="dxa"/>
            <w:right w:w="10" w:type="dxa"/>
          </w:tblCellMar>
        </w:tblPrEx>
        <w:trPr>
          <w:trHeight w:val="666"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highlight w:val="none"/>
                <w:shd w:val="clear" w:fill="auto"/>
              </w:rPr>
            </w:pPr>
          </w:p>
        </w:tc>
      </w:tr>
    </w:tbl>
    <w:p>
      <w:pPr>
        <w:spacing w:before="100" w:after="100" w:line="360" w:lineRule="auto"/>
        <w:ind w:left="0" w:right="0" w:firstLine="492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备注：</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1、此表用于开标会唱标之用。</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2、表中最终投标报价即为优惠后报价，并作为评审及定标依据。任何有选择或有条件的最终投标报价，或者表中某一包填写多个报价，均为无效报价。</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格式5</w:t>
      </w:r>
    </w:p>
    <w:p>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．投标分项报价表</w:t>
      </w: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谈判供应商名称：</w:t>
      </w: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单位：元</w:t>
      </w:r>
    </w:p>
    <w:tbl>
      <w:tblPr>
        <w:tblStyle w:val="14"/>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小计</w:t>
            </w: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总价（人民币大写）：￥</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元</w:t>
            </w:r>
          </w:p>
        </w:tc>
      </w:tr>
    </w:tbl>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谈判供应商代表签字：谈判供应商公章日期：</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格式6                     </w:t>
      </w:r>
      <w:r>
        <w:rPr>
          <w:rFonts w:ascii="宋体" w:hAnsi="宋体" w:eastAsia="宋体" w:cs="宋体"/>
          <w:b/>
          <w:color w:val="auto"/>
          <w:spacing w:val="0"/>
          <w:position w:val="0"/>
          <w:sz w:val="24"/>
          <w:highlight w:val="none"/>
          <w:shd w:val="clear" w:fill="auto"/>
        </w:rPr>
        <w:t>技术参数响应表</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4"/>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按投标人所投内容填写</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偏离说明</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bl>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(可根据需求自行更改)</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5250" w:right="0" w:firstLine="2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60" w:lineRule="auto"/>
        <w:ind w:left="0" w:right="0" w:firstLine="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格式7</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售后服务承诺</w:t>
      </w: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80" w:lineRule="auto"/>
        <w:ind w:left="0" w:right="0" w:firstLine="36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400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pPr>
        <w:spacing w:before="0" w:after="0" w:line="380" w:lineRule="auto"/>
        <w:ind w:left="0" w:right="640" w:firstLine="468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80" w:lineRule="auto"/>
        <w:ind w:left="0" w:right="0" w:firstLine="3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80" w:lineRule="auto"/>
        <w:ind w:left="0" w:right="0" w:firstLine="360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color w:val="auto"/>
          <w:highlight w:val="none"/>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格式8</w:t>
      </w:r>
    </w:p>
    <w:p>
      <w:pPr>
        <w:spacing w:before="0" w:after="0" w:line="360" w:lineRule="auto"/>
        <w:ind w:left="0" w:right="0" w:firstLine="2400" w:firstLineChars="10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color w:val="auto"/>
          <w:highlight w:val="none"/>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80" w:lineRule="auto"/>
        <w:ind w:left="0" w:right="0" w:firstLine="336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5"/>
        <w:rPr>
          <w:rFonts w:ascii="宋体" w:hAnsi="宋体" w:eastAsia="宋体" w:cs="宋体"/>
          <w:b/>
          <w:color w:val="auto"/>
          <w:spacing w:val="0"/>
          <w:position w:val="0"/>
          <w:sz w:val="24"/>
          <w:highlight w:val="none"/>
          <w:shd w:val="clear" w:fill="auto"/>
        </w:rPr>
      </w:pPr>
    </w:p>
    <w:p>
      <w:pPr>
        <w:rPr>
          <w:color w:val="auto"/>
          <w:highlight w:val="none"/>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格式9</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供的货物全部由符合政策要求的中小企业制造。相关企业</w:t>
      </w:r>
      <w:r>
        <w:rPr>
          <w:rFonts w:hint="eastAsia" w:ascii="宋体" w:hAnsi="宋体" w:eastAsia="宋体" w:cs="宋体"/>
          <w:color w:val="auto"/>
          <w:sz w:val="24"/>
          <w:szCs w:val="24"/>
          <w:highlight w:val="none"/>
          <w:u w:val="none"/>
        </w:rPr>
        <w:t>（含联合体中的中小企业、签订分包意向协议的中小企业）</w:t>
      </w:r>
      <w:r>
        <w:rPr>
          <w:rFonts w:hint="eastAsia" w:ascii="宋体" w:hAnsi="宋体" w:eastAsia="宋体" w:cs="宋体"/>
          <w:color w:val="auto"/>
          <w:sz w:val="24"/>
          <w:szCs w:val="24"/>
          <w:highlight w:val="none"/>
        </w:rPr>
        <w:t>的具体情况如下：</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before="0" w:after="0" w:line="360" w:lineRule="auto"/>
        <w:ind w:left="0" w:right="0" w:firstLine="5040" w:firstLineChars="210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z w:val="24"/>
          <w:szCs w:val="24"/>
          <w:highlight w:val="none"/>
        </w:rPr>
        <w:t>日 期：</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2.本项目如是只面向中小企业采购的应当必须提供。</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spacing w:before="0" w:after="0" w:line="360" w:lineRule="auto"/>
        <w:ind w:left="0" w:right="0" w:firstLine="480"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w:t>
      </w:r>
      <w:r>
        <w:rPr>
          <w:rFonts w:hint="eastAsia" w:ascii="宋体" w:hAnsi="宋体" w:eastAsia="宋体" w:cs="宋体"/>
          <w:color w:val="auto"/>
          <w:spacing w:val="0"/>
          <w:position w:val="0"/>
          <w:sz w:val="24"/>
          <w:highlight w:val="none"/>
          <w:shd w:val="clear" w:fill="auto"/>
          <w:lang w:val="en-US" w:eastAsia="zh-CN"/>
        </w:rPr>
        <w:t>10</w:t>
      </w:r>
      <w:r>
        <w:rPr>
          <w:rFonts w:ascii="宋体" w:hAnsi="宋体" w:eastAsia="宋体" w:cs="宋体"/>
          <w:color w:val="auto"/>
          <w:spacing w:val="0"/>
          <w:position w:val="0"/>
          <w:sz w:val="24"/>
          <w:highlight w:val="none"/>
          <w:shd w:val="clear" w:fill="auto"/>
        </w:rPr>
        <w:t xml:space="preserve">  </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其他资料</w:t>
      </w: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eastAsia="zh-CN"/>
        </w:rPr>
        <w:t>、</w:t>
      </w:r>
    </w:p>
    <w:p>
      <w:pPr>
        <w:pStyle w:val="22"/>
        <w:rPr>
          <w:rFonts w:hint="eastAsia" w:ascii="宋体" w:hAnsi="宋体" w:eastAsia="宋体" w:cs="宋体"/>
          <w:color w:val="auto"/>
          <w:spacing w:val="0"/>
          <w:position w:val="0"/>
          <w:sz w:val="24"/>
          <w:highlight w:val="none"/>
          <w:shd w:val="clear" w:fill="auto"/>
          <w:lang w:eastAsia="zh-CN"/>
        </w:rPr>
      </w:pPr>
    </w:p>
    <w:p>
      <w:pPr>
        <w:pStyle w:val="22"/>
        <w:rPr>
          <w:rFonts w:hint="eastAsia" w:ascii="宋体" w:hAnsi="宋体" w:eastAsia="宋体" w:cs="宋体"/>
          <w:color w:val="auto"/>
          <w:spacing w:val="0"/>
          <w:position w:val="0"/>
          <w:sz w:val="24"/>
          <w:highlight w:val="none"/>
          <w:shd w:val="clear" w:fill="auto"/>
          <w:lang w:eastAsia="zh-CN"/>
        </w:rPr>
      </w:pPr>
    </w:p>
    <w:p>
      <w:pPr>
        <w:pStyle w:val="22"/>
        <w:rPr>
          <w:rFonts w:hint="eastAsia" w:ascii="宋体" w:hAnsi="宋体" w:eastAsia="宋体" w:cs="宋体"/>
          <w:color w:val="auto"/>
          <w:spacing w:val="0"/>
          <w:position w:val="0"/>
          <w:sz w:val="24"/>
          <w:highlight w:val="none"/>
          <w:shd w:val="clear" w:fill="auto"/>
          <w:lang w:eastAsia="zh-CN"/>
        </w:rPr>
      </w:pPr>
    </w:p>
    <w:p>
      <w:pPr>
        <w:pStyle w:val="24"/>
        <w:rPr>
          <w:rFonts w:ascii="宋体" w:hAnsi="宋体" w:eastAsia="宋体" w:cs="宋体"/>
          <w:color w:val="auto"/>
          <w:spacing w:val="0"/>
          <w:position w:val="0"/>
          <w:sz w:val="24"/>
          <w:highlight w:val="none"/>
          <w:shd w:val="clear" w:fill="auto"/>
        </w:rPr>
      </w:pPr>
    </w:p>
    <w:p>
      <w:pPr>
        <w:pStyle w:val="5"/>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color w:val="auto"/>
          <w:highlight w:val="none"/>
        </w:rPr>
      </w:pPr>
    </w:p>
    <w:p>
      <w:pPr>
        <w:spacing w:before="0" w:after="0" w:line="360" w:lineRule="auto"/>
        <w:ind w:left="0" w:right="0" w:firstLine="0"/>
        <w:jc w:val="both"/>
        <w:rPr>
          <w:rFonts w:hint="eastAsia" w:ascii="宋体" w:hAnsi="宋体" w:eastAsia="宋体" w:cs="宋体"/>
          <w:b/>
          <w:color w:val="auto"/>
          <w:spacing w:val="0"/>
          <w:position w:val="0"/>
          <w:sz w:val="21"/>
          <w:szCs w:val="21"/>
          <w:highlight w:val="none"/>
          <w:shd w:val="clear" w:fill="auto"/>
          <w:lang w:eastAsia="zh-CN"/>
        </w:rPr>
      </w:pPr>
      <w:r>
        <w:rPr>
          <w:rFonts w:hint="eastAsia" w:ascii="宋体" w:hAnsi="宋体" w:eastAsia="宋体" w:cs="宋体"/>
          <w:color w:val="auto"/>
          <w:spacing w:val="0"/>
          <w:position w:val="0"/>
          <w:sz w:val="21"/>
          <w:szCs w:val="21"/>
          <w:highlight w:val="none"/>
          <w:shd w:val="clear" w:fill="auto"/>
        </w:rPr>
        <w:t>格式1</w:t>
      </w:r>
      <w:r>
        <w:rPr>
          <w:rFonts w:hint="eastAsia" w:ascii="宋体" w:hAnsi="宋体" w:eastAsia="宋体" w:cs="宋体"/>
          <w:color w:val="auto"/>
          <w:spacing w:val="0"/>
          <w:position w:val="0"/>
          <w:sz w:val="21"/>
          <w:szCs w:val="21"/>
          <w:highlight w:val="none"/>
          <w:shd w:val="clear" w:fill="auto"/>
          <w:lang w:val="en-US" w:eastAsia="zh-CN"/>
        </w:rPr>
        <w:t>1</w:t>
      </w:r>
    </w:p>
    <w:p>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政府采购供应商诚信承诺书</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72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（一）提供虚假材料谋取中标;</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（二）采取不正当手段诋毁、排挤其他供应商;</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（三）与招标采购单位、其他投标人恶意串通;</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（四）向招标采购单位或提供其他不正当利益;</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（五）在招标过程中与招标采购单位进行协商谈判、不按照招标文件和投标文件订立合同，或者与采购人另立背离合同实质性内容协议;</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（六）开标后擅自撤销投标，影响招标继续进行的或领取招标文件纳投标保证金后不投标导致废标;</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（七）中标后无正当理由，在规定时间内不与采购单位签订合同;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（八）将中标项目转让给他人或非法分包他人;</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（九）无正当理由，拒绝履行合同义务;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（十）无正当理由放弃中标（成交）项目;</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（十ー）撞自或与与采购人串通或接受采购人要求，在履约合同中通过减少货物数量，更换品牌、降低配置、技术要求、质量和服务标准等，却仍按原合同进行虚假验收或终止政府采购合同;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（十二）与采购人串通，对尚未履约完毕的采购项目出具虚假验收报告；</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（十三）无不可抗力因素，拒绝提供售后服务、售后服务态度恶劣、故意提高维修配件价格（高于市场平均价）；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（十四）开标后对招标文件的相关内容再进行质疑；</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（十五）恶意投诉的行为：投诉经查无实据的、捏造事实或者提供虚假设诉材料；</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（十六）拒绝有关部门监督检查或者提供虚假情况；</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（十七）政府采购监管部门认定的其他政府采购活动中的不诚信行为。</w:t>
      </w: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供应商名称：（盖章）</w:t>
      </w:r>
    </w:p>
    <w:p>
      <w:pPr>
        <w:spacing w:before="0" w:after="0" w:line="240" w:lineRule="auto"/>
        <w:ind w:right="0" w:firstLine="3360" w:firstLineChars="160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法人代表</w:t>
      </w:r>
      <w:r>
        <w:rPr>
          <w:rFonts w:hint="eastAsia" w:ascii="宋体" w:hAnsi="宋体" w:eastAsia="宋体" w:cs="宋体"/>
          <w:color w:val="auto"/>
          <w:spacing w:val="0"/>
          <w:position w:val="0"/>
          <w:sz w:val="21"/>
          <w:szCs w:val="21"/>
          <w:highlight w:val="none"/>
          <w:shd w:val="clear" w:fill="auto"/>
          <w:lang w:val="en-US" w:eastAsia="zh-CN"/>
        </w:rPr>
        <w:t>和</w:t>
      </w:r>
      <w:r>
        <w:rPr>
          <w:rFonts w:hint="eastAsia" w:ascii="宋体" w:hAnsi="宋体" w:eastAsia="宋体" w:cs="宋体"/>
          <w:color w:val="auto"/>
          <w:spacing w:val="0"/>
          <w:position w:val="0"/>
          <w:sz w:val="21"/>
          <w:szCs w:val="21"/>
          <w:highlight w:val="none"/>
          <w:shd w:val="clear" w:fill="auto"/>
        </w:rPr>
        <w:t>授权委托人：（签</w:t>
      </w:r>
      <w:r>
        <w:rPr>
          <w:rFonts w:hint="eastAsia" w:ascii="宋体" w:hAnsi="宋体" w:eastAsia="宋体" w:cs="宋体"/>
          <w:color w:val="auto"/>
          <w:spacing w:val="0"/>
          <w:position w:val="0"/>
          <w:sz w:val="21"/>
          <w:szCs w:val="21"/>
          <w:highlight w:val="none"/>
          <w:shd w:val="clear" w:fill="auto"/>
          <w:lang w:val="en-US" w:eastAsia="zh-CN"/>
        </w:rPr>
        <w:t>章</w:t>
      </w:r>
      <w:r>
        <w:rPr>
          <w:rFonts w:hint="eastAsia" w:ascii="宋体" w:hAnsi="宋体" w:eastAsia="宋体" w:cs="宋体"/>
          <w:color w:val="auto"/>
          <w:spacing w:val="0"/>
          <w:position w:val="0"/>
          <w:sz w:val="21"/>
          <w:szCs w:val="21"/>
          <w:highlight w:val="none"/>
          <w:shd w:val="clear" w:fill="auto"/>
        </w:rPr>
        <w:t>）</w:t>
      </w: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3360"/>
        <w:jc w:val="both"/>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日期：</w:t>
      </w:r>
      <w:r>
        <w:rPr>
          <w:rFonts w:hint="eastAsia" w:ascii="宋体" w:hAnsi="宋体" w:eastAsia="宋体" w:cs="宋体"/>
          <w:color w:val="auto"/>
          <w:spacing w:val="0"/>
          <w:position w:val="0"/>
          <w:sz w:val="21"/>
          <w:szCs w:val="21"/>
          <w:highlight w:val="none"/>
          <w:shd w:val="clear" w:fill="auto"/>
          <w:lang w:val="en-US" w:eastAsia="zh-CN"/>
        </w:rPr>
        <w:t xml:space="preserve"> </w:t>
      </w:r>
      <w:r>
        <w:rPr>
          <w:rFonts w:hint="eastAsia" w:ascii="宋体" w:hAnsi="宋体" w:eastAsia="宋体" w:cs="宋体"/>
          <w:color w:val="auto"/>
          <w:spacing w:val="0"/>
          <w:position w:val="0"/>
          <w:sz w:val="21"/>
          <w:szCs w:val="21"/>
          <w:highlight w:val="none"/>
          <w:shd w:val="clear" w:fill="auto"/>
        </w:rPr>
        <w:t>年</w:t>
      </w:r>
      <w:r>
        <w:rPr>
          <w:rFonts w:hint="eastAsia" w:ascii="宋体" w:hAnsi="宋体" w:eastAsia="宋体" w:cs="宋体"/>
          <w:color w:val="auto"/>
          <w:spacing w:val="0"/>
          <w:position w:val="0"/>
          <w:sz w:val="21"/>
          <w:szCs w:val="21"/>
          <w:highlight w:val="none"/>
          <w:shd w:val="clear" w:fill="auto"/>
          <w:lang w:val="en-US" w:eastAsia="zh-CN"/>
        </w:rPr>
        <w:t xml:space="preserve">  </w:t>
      </w:r>
      <w:r>
        <w:rPr>
          <w:rFonts w:hint="eastAsia" w:ascii="宋体" w:hAnsi="宋体" w:eastAsia="宋体" w:cs="宋体"/>
          <w:color w:val="auto"/>
          <w:spacing w:val="0"/>
          <w:position w:val="0"/>
          <w:sz w:val="21"/>
          <w:szCs w:val="21"/>
          <w:highlight w:val="none"/>
          <w:shd w:val="clear" w:fill="auto"/>
        </w:rPr>
        <w:t>月</w:t>
      </w:r>
      <w:r>
        <w:rPr>
          <w:rFonts w:hint="eastAsia" w:ascii="宋体" w:hAnsi="宋体" w:eastAsia="宋体" w:cs="宋体"/>
          <w:color w:val="auto"/>
          <w:spacing w:val="0"/>
          <w:position w:val="0"/>
          <w:sz w:val="21"/>
          <w:szCs w:val="21"/>
          <w:highlight w:val="none"/>
          <w:shd w:val="clear" w:fill="auto"/>
          <w:lang w:val="en-US" w:eastAsia="zh-CN"/>
        </w:rPr>
        <w:t xml:space="preserve">   </w:t>
      </w:r>
      <w:r>
        <w:rPr>
          <w:rFonts w:hint="eastAsia" w:ascii="宋体" w:hAnsi="宋体" w:eastAsia="宋体" w:cs="宋体"/>
          <w:color w:val="auto"/>
          <w:spacing w:val="0"/>
          <w:position w:val="0"/>
          <w:sz w:val="21"/>
          <w:szCs w:val="21"/>
          <w:highlight w:val="none"/>
          <w:shd w:val="clear" w:fill="auto"/>
        </w:rPr>
        <w:t>日</w:t>
      </w:r>
    </w:p>
    <w:p>
      <w:pPr>
        <w:spacing w:before="0" w:after="0" w:line="240" w:lineRule="auto"/>
        <w:ind w:left="0" w:right="0" w:firstLine="0"/>
        <w:jc w:val="center"/>
        <w:rPr>
          <w:rFonts w:hint="eastAsia" w:ascii="宋体" w:hAnsi="宋体" w:eastAsia="宋体" w:cs="宋体"/>
          <w:b/>
          <w:color w:val="auto"/>
          <w:spacing w:val="0"/>
          <w:position w:val="0"/>
          <w:sz w:val="21"/>
          <w:szCs w:val="21"/>
          <w:highlight w:val="none"/>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pPr>
        <w:spacing w:before="0" w:after="0" w:line="240" w:lineRule="auto"/>
        <w:ind w:left="0" w:right="0" w:firstLine="321"/>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周口市政府采购合同融资政策告知函</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各供应商：</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欢迎贵公司参与周口市政府采购活动！</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贷款渠道和提供贷款的金融机构，可在河南省政府采购网“河南省政府采购合同融资平台”查询联系。</w:t>
      </w:r>
    </w:p>
    <w:p>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pPr>
        <w:pStyle w:val="24"/>
        <w:rPr>
          <w:rFonts w:hint="eastAsia" w:ascii="宋体" w:hAnsi="宋体" w:eastAsia="宋体" w:cs="宋体"/>
          <w:b/>
          <w:color w:val="auto"/>
          <w:spacing w:val="0"/>
          <w:position w:val="0"/>
          <w:sz w:val="21"/>
          <w:szCs w:val="21"/>
          <w:highlight w:val="none"/>
          <w:shd w:val="clear" w:fill="auto"/>
        </w:rPr>
      </w:pPr>
    </w:p>
    <w:p>
      <w:pPr>
        <w:pStyle w:val="5"/>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5"/>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5"/>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5"/>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5"/>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numPr>
          <w:ilvl w:val="0"/>
          <w:numId w:val="0"/>
        </w:numPr>
        <w:spacing w:before="0" w:after="0" w:line="360" w:lineRule="auto"/>
        <w:ind w:leftChars="0" w:right="0" w:rightChars="0"/>
        <w:jc w:val="both"/>
        <w:rPr>
          <w:rFonts w:ascii="宋体" w:hAnsi="宋体" w:eastAsia="宋体" w:cs="宋体"/>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 xml:space="preserve"> </w:t>
      </w:r>
    </w:p>
    <w:p>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周口市政府采购合同（货物类）标准文本</w:t>
      </w:r>
    </w:p>
    <w:p>
      <w:pPr>
        <w:spacing w:before="0" w:after="0" w:line="240" w:lineRule="auto"/>
        <w:ind w:left="0" w:right="0" w:firstLine="0"/>
        <w:jc w:val="both"/>
        <w:rPr>
          <w:rFonts w:ascii="黑体" w:hAnsi="黑体" w:eastAsia="黑体" w:cs="黑体"/>
          <w:color w:val="auto"/>
          <w:spacing w:val="0"/>
          <w:position w:val="0"/>
          <w:sz w:val="32"/>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政府采购项目名称：</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政府采购项目编号：</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采      购    人：</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供      应    商：</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 订 地：</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签订 时 间：</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460" w:lineRule="auto"/>
        <w:ind w:left="0" w:right="0" w:firstLine="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合同签订指引</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一、采购人在签订合同时应提供的资料：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、该政府采购项目的招标采购文件（以网上发布内容为准）；</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、该政府采购项目招标文件的澄清和修改内容（公告内容）；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、该政府采购项目评审报告；</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、采购单位法人授权委托书（法人到场并签字的除外）；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、采购单位被授权人身份证件（法人到场并签字的除外）；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、采购人和中标供应商约定的其它内容（不得超出招标采购文件实质性内容）。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二、供应商在签订合同时应提供的资料：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、该政府采购项目的投标文件（纸质或</w:t>
      </w:r>
      <w:r>
        <w:rPr>
          <w:rFonts w:ascii="Times New Roman" w:hAnsi="Times New Roman" w:eastAsia="Times New Roman" w:cs="Times New Roman"/>
          <w:color w:val="auto"/>
          <w:spacing w:val="0"/>
          <w:position w:val="0"/>
          <w:sz w:val="21"/>
          <w:highlight w:val="none"/>
          <w:shd w:val="clear" w:fill="auto"/>
        </w:rPr>
        <w:t>DPF</w:t>
      </w:r>
      <w:r>
        <w:rPr>
          <w:rFonts w:ascii="宋体" w:hAnsi="宋体" w:eastAsia="宋体" w:cs="宋体"/>
          <w:color w:val="auto"/>
          <w:spacing w:val="0"/>
          <w:position w:val="0"/>
          <w:sz w:val="21"/>
          <w:highlight w:val="none"/>
          <w:shd w:val="clear" w:fill="auto"/>
        </w:rPr>
        <w:t>格式的电子投标文件）；</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、针对该项目评审时评审委员会提出的质询答复（纸质并签章）；</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、该政府采购项目中标通知书；</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、供应商法人授权委托书（法人到场并签字的除外）；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、供应商和采购人约定的其它内容（不得超出招标采购文件实质性内容）。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highlight w:val="none"/>
          <w:shd w:val="clear" w:fill="auto"/>
        </w:rPr>
      </w:pPr>
      <w:r>
        <w:rPr>
          <w:rFonts w:ascii="宋体" w:hAnsi="宋体" w:eastAsia="宋体" w:cs="宋体"/>
          <w:color w:val="auto"/>
          <w:spacing w:val="0"/>
          <w:position w:val="0"/>
          <w:sz w:val="21"/>
          <w:highlight w:val="none"/>
          <w:shd w:val="clear" w:fill="auto"/>
        </w:rPr>
        <w:t>三、本合同签订后二个工作日内有采购人在“周口市政府采购网”上进行合同公示。</w:t>
      </w: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460" w:lineRule="auto"/>
        <w:ind w:left="0" w:right="0" w:firstLine="64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64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64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64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640"/>
        <w:jc w:val="center"/>
        <w:rPr>
          <w:rFonts w:ascii="宋体" w:hAnsi="宋体" w:eastAsia="宋体" w:cs="宋体"/>
          <w:color w:val="auto"/>
          <w:spacing w:val="0"/>
          <w:position w:val="0"/>
          <w:sz w:val="32"/>
          <w:highlight w:val="none"/>
          <w:shd w:val="clear" w:fill="auto"/>
        </w:rPr>
      </w:pP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供应商履约验收指引</w:t>
      </w:r>
    </w:p>
    <w:p>
      <w:pPr>
        <w:widowControl w:val="0"/>
        <w:numPr>
          <w:ilvl w:val="0"/>
          <w:numId w:val="28"/>
        </w:numPr>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供应商不得擅自变更合同标的物内容；</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2、不得以次充好、高投低配，确因在合同执行中不可抗力因素造成的，应提供相关依据；</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3、对因客观上采购人采购需求发生变化造成的，应提供采、供双方的纸质备忘录材料；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、在满足验收条件</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个工作日内通知采购人组织验收；</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、供应商应提供需验收物品的清单、参数、使用手册、人员培训情况等资料；</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6、采、供双方约定的验收机构及相关人员组成情况。</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7、督促采购人在项目验收结束并达到相关要求后一个工作日内，在“周口市政府采购网”上进行“履约验收”公示。</w:t>
      </w:r>
    </w:p>
    <w:p>
      <w:pPr>
        <w:spacing w:before="0" w:after="0" w:line="520" w:lineRule="auto"/>
        <w:ind w:left="0" w:right="0" w:firstLine="0"/>
        <w:jc w:val="center"/>
        <w:rPr>
          <w:rFonts w:ascii="宋体" w:hAnsi="宋体" w:eastAsia="宋体" w:cs="宋体"/>
          <w:color w:val="auto"/>
          <w:spacing w:val="0"/>
          <w:position w:val="0"/>
          <w:sz w:val="28"/>
          <w:highlight w:val="none"/>
          <w:shd w:val="clear" w:fill="auto"/>
        </w:rPr>
        <w:sectPr>
          <w:pgSz w:w="11906" w:h="16838"/>
          <w:cols w:space="720" w:num="1"/>
          <w:docGrid w:type="lines" w:linePitch="312" w:charSpace="0"/>
        </w:sectPr>
      </w:pPr>
    </w:p>
    <w:p>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采购合同内容</w:t>
      </w:r>
    </w:p>
    <w:p>
      <w:pPr>
        <w:spacing w:before="0" w:after="0" w:line="52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供应商（乙方）：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签订地点：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项目名称：</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项目编号：</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财政委托号：</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财政资金项目必须填写</w:t>
      </w:r>
      <w:r>
        <w:rPr>
          <w:rFonts w:ascii="Times New Roman" w:hAnsi="Times New Roman" w:eastAsia="Times New Roman" w:cs="Times New Roman"/>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本项目经批准采用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采购方式，经本项目评审委员会认真评审，决定将采购合同授予乙方。为进一步明确双方的责任，确保合同的顺利履行，根据《中华人民共和国采购法法》、《中华人民共和国</w:t>
      </w:r>
      <w:r>
        <w:rPr>
          <w:rFonts w:hint="eastAsia" w:ascii="宋体" w:hAnsi="宋体" w:eastAsia="宋体" w:cs="宋体"/>
          <w:color w:val="auto"/>
          <w:spacing w:val="0"/>
          <w:position w:val="0"/>
          <w:sz w:val="21"/>
          <w:highlight w:val="none"/>
          <w:shd w:val="clear" w:fill="auto"/>
          <w:lang w:val="en-US" w:eastAsia="zh-CN"/>
        </w:rPr>
        <w:t>民法典</w:t>
      </w:r>
      <w:r>
        <w:rPr>
          <w:rFonts w:ascii="宋体" w:hAnsi="宋体" w:eastAsia="宋体" w:cs="宋体"/>
          <w:color w:val="auto"/>
          <w:spacing w:val="0"/>
          <w:position w:val="0"/>
          <w:sz w:val="21"/>
          <w:highlight w:val="none"/>
          <w:shd w:val="clear" w:fill="auto"/>
        </w:rPr>
        <w:t>》之规定，经甲乙双方充分协商，特订立本合同，以便共同遵守。</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b/>
          <w:color w:val="auto"/>
          <w:spacing w:val="0"/>
          <w:position w:val="0"/>
          <w:sz w:val="21"/>
          <w:highlight w:val="none"/>
          <w:shd w:val="clear" w:fill="auto"/>
        </w:rPr>
        <w:t>第一条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产品的名称、品种、规格、数量和价格：（若产品过多则见附表，如有附表则必须加盖印章）</w:t>
      </w:r>
    </w:p>
    <w:tbl>
      <w:tblPr>
        <w:tblStyle w:val="14"/>
        <w:tblW w:w="0" w:type="auto"/>
        <w:tblInd w:w="108" w:type="dxa"/>
        <w:tblLayout w:type="autofit"/>
        <w:tblCellMar>
          <w:top w:w="0" w:type="dxa"/>
          <w:left w:w="10" w:type="dxa"/>
          <w:bottom w:w="0" w:type="dxa"/>
          <w:right w:w="10" w:type="dxa"/>
        </w:tblCellMar>
      </w:tblPr>
      <w:tblGrid>
        <w:gridCol w:w="1867"/>
        <w:gridCol w:w="1544"/>
        <w:gridCol w:w="854"/>
        <w:gridCol w:w="854"/>
        <w:gridCol w:w="1006"/>
        <w:gridCol w:w="1209"/>
        <w:gridCol w:w="1080"/>
      </w:tblGrid>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w:t>
            </w: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合同总价款（大小写）：</w:t>
            </w:r>
          </w:p>
          <w:p>
            <w:pPr>
              <w:spacing w:before="0" w:after="0" w:line="360" w:lineRule="auto"/>
              <w:ind w:left="0" w:right="0" w:firstLine="420"/>
              <w:jc w:val="both"/>
              <w:rPr>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备注：上述产品报价含产品生产、运输</w:t>
            </w:r>
            <w:r>
              <w:rPr>
                <w:rFonts w:ascii="Times New Roman" w:hAnsi="Times New Roman" w:eastAsia="Times New Roman" w:cs="Times New Roman"/>
                <w:color w:val="auto"/>
                <w:spacing w:val="0"/>
                <w:position w:val="0"/>
                <w:sz w:val="21"/>
                <w:highlight w:val="none"/>
                <w:shd w:val="clear" w:fill="auto"/>
              </w:rPr>
              <w:t>&lt;</w:t>
            </w:r>
            <w:r>
              <w:rPr>
                <w:rFonts w:ascii="宋体" w:hAnsi="宋体" w:eastAsia="宋体" w:cs="宋体"/>
                <w:color w:val="auto"/>
                <w:spacing w:val="0"/>
                <w:position w:val="0"/>
                <w:sz w:val="21"/>
                <w:highlight w:val="none"/>
                <w:shd w:val="clear" w:fill="auto"/>
              </w:rPr>
              <w:t>送达至甲方指定地点并下货</w:t>
            </w:r>
            <w:r>
              <w:rPr>
                <w:rFonts w:ascii="Times New Roman" w:hAnsi="Times New Roman" w:eastAsia="Times New Roman" w:cs="Times New Roman"/>
                <w:color w:val="auto"/>
                <w:spacing w:val="0"/>
                <w:position w:val="0"/>
                <w:sz w:val="21"/>
                <w:highlight w:val="none"/>
                <w:shd w:val="clear" w:fill="auto"/>
              </w:rPr>
              <w:t>&gt;</w:t>
            </w:r>
            <w:r>
              <w:rPr>
                <w:rFonts w:ascii="宋体" w:hAnsi="宋体" w:eastAsia="宋体" w:cs="宋体"/>
                <w:color w:val="auto"/>
                <w:spacing w:val="0"/>
                <w:position w:val="0"/>
                <w:sz w:val="21"/>
                <w:highlight w:val="none"/>
                <w:shd w:val="clear" w:fill="auto"/>
              </w:rPr>
              <w:t>、安装、调试、检验及售后服务、税金、劳保基金、人员培训等费用。</w:t>
            </w:r>
          </w:p>
        </w:tc>
      </w:tr>
    </w:tbl>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第二条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产品的技术标准（包括质量要求），按下列第（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①按国家标准执行；②按部颁标准执行；③若无以上标准，则应不低于同行业质量标准；④有特殊要求的，按甲乙双方在合同中商定的技术条件、样品或补充的技术要求执行；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进口产品的质量标准为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before="0" w:after="120" w:line="360" w:lineRule="auto"/>
        <w:ind w:right="0" w:firstLine="482"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第三条</w:t>
      </w:r>
      <w:r>
        <w:rPr>
          <w:rFonts w:ascii="宋体" w:hAnsi="宋体" w:eastAsia="宋体" w:cs="宋体"/>
          <w:color w:val="auto"/>
          <w:spacing w:val="0"/>
          <w:position w:val="0"/>
          <w:sz w:val="24"/>
          <w:highlight w:val="none"/>
          <w:shd w:val="clear" w:fill="auto"/>
        </w:rPr>
        <w:t>产品的包装标准和包装物的供应与回收</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（国家或行业主管部门有技术规定的，按技术规定执行；国家与行业主管部门无技术规定的，由甲乙双方商定。）</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【注：合同中约定的包装标准应与乙方在投标文件中承诺的一致，且投标文件应作为合同附件与合同具有同等法律效力。】</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产品的交货方法、到货地点和交货期限</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交货方法，按下列第（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①乙方送货上门；②乙方代运；③甲方自提自运。</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到货地点：</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甲方指定的任何地点，安装并调试</w:t>
      </w:r>
      <w:r>
        <w:rPr>
          <w:rFonts w:ascii="Times New Roman" w:hAnsi="Times New Roman" w:eastAsia="Times New Roman" w:cs="Times New Roman"/>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产品的交货期限</w:t>
      </w:r>
      <w:r>
        <w:rPr>
          <w:rFonts w:ascii="宋体" w:hAnsi="宋体" w:eastAsia="宋体" w:cs="宋体"/>
          <w:color w:val="auto"/>
          <w:spacing w:val="0"/>
          <w:position w:val="0"/>
          <w:sz w:val="21"/>
          <w:highlight w:val="none"/>
          <w:u w:val="single"/>
          <w:shd w:val="clear" w:fill="auto"/>
        </w:rPr>
        <w:t>                         </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第五条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合同总价款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合同总价款（大小写）：</w:t>
      </w:r>
      <w:r>
        <w:rPr>
          <w:rFonts w:ascii="Times New Roman" w:hAnsi="Times New Roman" w:eastAsia="Times New Roman" w:cs="Times New Roman"/>
          <w:color w:val="auto"/>
          <w:spacing w:val="0"/>
          <w:position w:val="0"/>
          <w:sz w:val="21"/>
          <w:highlight w:val="none"/>
          <w:u w:val="single"/>
          <w:shd w:val="clear" w:fill="auto"/>
        </w:rPr>
        <w:t xml:space="preserve">                        </w:t>
      </w:r>
    </w:p>
    <w:p>
      <w:pPr>
        <w:numPr>
          <w:ilvl w:val="0"/>
          <w:numId w:val="29"/>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付款条件</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本合同以人民币付款。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该项目是否实行预付款：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实行预付款的条件和比例：</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合同款项结算方式和支付比例：</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b/>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具体付款方式</w:t>
      </w:r>
      <w:r>
        <w:rPr>
          <w:rFonts w:ascii="宋体" w:hAnsi="宋体" w:eastAsia="宋体" w:cs="宋体"/>
          <w:color w:val="auto"/>
          <w:spacing w:val="0"/>
          <w:position w:val="0"/>
          <w:sz w:val="21"/>
          <w:highlight w:val="none"/>
          <w:u w:val="single"/>
          <w:shd w:val="clear" w:fill="auto"/>
        </w:rPr>
        <w:t>按投标人须知前附表以及采、购双方的具体约定</w:t>
      </w:r>
    </w:p>
    <w:p>
      <w:pPr>
        <w:numPr>
          <w:ilvl w:val="0"/>
          <w:numId w:val="30"/>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验收方法</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乙方安装调试后，在</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天内通知甲方组织验收，采购代理机构保留受托参与本项目验收的权利。验收不合格的，乙方应负责重新提供达到本合同约定的质量要求的产品。</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甲、乙双方应严格履行合同有关条款，如果验收过程中发现乙方在没有征得采购人同意的情况下擅自变更合同标的物，将拒绝通过验收，由此引起的一切后果及损失由乙方承担。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、甲方视情况可以邀请参加本项目的其他投标人或者第三方机构参与验收，参与验收的投标人或者第三方机构的意见作为验收书的参考资料一并存档。</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涉及安全、消防、环保等其他需要由质检或行业主管部门进行验收的项目，必须邀请相关部门或相关专家参与验收。</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检测、验收费用承担方式：</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第八条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对产品提出异议的时间和办法</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工作日内向乙方书面提出异议，并抄送采购代理机构，具体说明产品不符合规定的内容并附相关验收材料，同时提出不符合规定产品的处理意见。</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甲方因使用、保管、保养不善等造成产品质量下降的，不得提出异议。</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乙方在接到甲方异议后，应在</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工作日内负责处理，否则，即视为默认甲方提出的异议和处理意见。</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第九条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乙方应提供完善周到的技术支持和售后服务，否则甲方视情节轻重从乙方的质量保证金中扣除部分或全部补偿甲方。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保修</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乙方对其所提供的货物免费保修</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年，保修期从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开始。乙方应在接到报修通知后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天内上门维修，负责更换有瑕疵的货物、部件或提供相应的质量保证期内的服务。由此造成的损失，甲方保留索赔的权利。</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如果乙方在收到报修通知后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天内没有弥补缺陷，甲方可采取必要的补救措施，但费用和风险由乙方承担。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维修</w:t>
      </w:r>
    </w:p>
    <w:p>
      <w:pPr>
        <w:spacing w:before="0" w:after="12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保修期届满后，乙方应对其提供的货物负有维修义务，但所涉及的费用由甲方承担。</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乙方不能交货的，应向甲方偿付不能交货部分货款的</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30%</w:t>
      </w:r>
      <w:r>
        <w:rPr>
          <w:rFonts w:ascii="宋体" w:hAnsi="宋体" w:eastAsia="宋体" w:cs="宋体"/>
          <w:color w:val="auto"/>
          <w:spacing w:val="0"/>
          <w:position w:val="0"/>
          <w:sz w:val="21"/>
          <w:highlight w:val="none"/>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同时，乙方应按规定，对更换件相应延长质量保证期，并赔偿甲方相应的损失。乙方不能修理或者不能调换的，按不能交货处理。</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highlight w:val="none"/>
          <w:shd w:val="clear" w:fill="auto"/>
        </w:rPr>
        <w:t>0.5%</w:t>
      </w:r>
      <w:r>
        <w:rPr>
          <w:rFonts w:ascii="宋体" w:hAnsi="宋体" w:eastAsia="宋体" w:cs="宋体"/>
          <w:color w:val="auto"/>
          <w:spacing w:val="0"/>
          <w:position w:val="0"/>
          <w:sz w:val="21"/>
          <w:highlight w:val="none"/>
          <w:shd w:val="clear" w:fill="auto"/>
        </w:rPr>
        <w:t>计收。但违约金的最高限额为迟交货物或提供服务合同价的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。一周按</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天计算，不足</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天按一周计算。如果达到最高限额，甲方应考虑终止合同，由此给甲方造成的损失由乙方承担。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乙方提前交货的产品、多交的产品和不符合合同规定的产品，甲方在代保管期内实际支付的保管、保养等费用以及非因甲方保管不善而发生的损失，应当由乙方承担。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乙方应对其所提供的货物承担所有权担保责任，并应保证甲方在中华人民共和国内使用该货物时不侵犯第三人的知识产权。否则乙方应承担由此引起的一切法律责任及费用。</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违约金。</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甲方的违约责任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甲方中途退货，应向乙方偿付退货部分货款</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15%-30%</w:t>
      </w:r>
      <w:r>
        <w:rPr>
          <w:rFonts w:ascii="宋体" w:hAnsi="宋体" w:eastAsia="宋体" w:cs="宋体"/>
          <w:color w:val="auto"/>
          <w:spacing w:val="0"/>
          <w:position w:val="0"/>
          <w:sz w:val="21"/>
          <w:highlight w:val="none"/>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甲方违反合同规定拒绝接货的，应当承担由此造成的损失。</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Times New Roman" w:hAnsi="Times New Roman" w:eastAsia="Times New Roman" w:cs="Times New Roman"/>
          <w:color w:val="auto"/>
          <w:spacing w:val="0"/>
          <w:position w:val="0"/>
          <w:sz w:val="21"/>
          <w:highlight w:val="none"/>
          <w:shd w:val="clear" w:fill="auto"/>
        </w:rPr>
        <w:t xml:space="preserve">3. </w:t>
      </w:r>
      <w:r>
        <w:rPr>
          <w:rFonts w:ascii="宋体" w:hAnsi="宋体" w:eastAsia="宋体" w:cs="宋体"/>
          <w:color w:val="auto"/>
          <w:spacing w:val="0"/>
          <w:position w:val="0"/>
          <w:sz w:val="21"/>
          <w:highlight w:val="none"/>
          <w:shd w:val="clear" w:fill="auto"/>
        </w:rPr>
        <w:t>甲方未按照合同约定支付货款，应向乙方违约金</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元。</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第十二条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不可抗力</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第十三条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履约（或质量）保证金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本项目不收取履约保证金。确需收取履约保证金的，甲方不得要求乙方以现款的形式提供。乙方提供的履约保证金按规定格式以银行保函形式提供，与此有关的费用由卖方承担。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若确需质量保证金的，质量保证金不得超过合同总价款的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如乙方未能履行其合同规定的任何义务，甲方有权从履约保证金中取得补偿。</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转让与分包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除甲方事先书面同意外，乙方不得部分转让或全部转让其应履行的合同义务。</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乙方应在投标文件中或以其他书面形式对甲方确认本合同项下所授予的所有分包合同。但该确认不解除乙方承担的本合同下的任何责任或义务。意即在本合同项下，乙方对甲方负总责。</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第十五条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合同文件及资料的使用</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乙方在未经甲方同意的情况下，不得将合同、合同中的规定、有关计划、图纸、样本或甲方为上述内容向乙方提供的资料透露给任何人。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除非执行合同需要，在事先未得到甲方同意的情况下，乙方不得使用前款所列的任何文件和资料。</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第十六条 </w:t>
      </w:r>
      <w:r>
        <w:rPr>
          <w:rFonts w:ascii="宋体" w:hAnsi="宋体" w:eastAsia="宋体" w:cs="宋体"/>
          <w:color w:val="auto"/>
          <w:spacing w:val="0"/>
          <w:position w:val="0"/>
          <w:sz w:val="21"/>
          <w:highlight w:val="none"/>
          <w:shd w:val="clear" w:fill="auto"/>
        </w:rPr>
        <w:t>合同纠纷调处</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天内，按银行规定的结算办法付清，否则按逾期付款处理。但任何一方不得自行扣发货物或扣付货款来充抵。</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）项方式处理：①根据《中华人民共和国仲裁法》的规定向</w:t>
      </w:r>
      <w:r>
        <w:rPr>
          <w:rFonts w:ascii="宋体" w:hAnsi="宋体" w:eastAsia="宋体" w:cs="宋体"/>
          <w:b/>
          <w:color w:val="auto"/>
          <w:spacing w:val="0"/>
          <w:position w:val="0"/>
          <w:sz w:val="21"/>
          <w:highlight w:val="none"/>
          <w:u w:val="single"/>
          <w:shd w:val="clear" w:fill="auto"/>
        </w:rPr>
        <w:t>周口仲裁委员会</w:t>
      </w:r>
      <w:r>
        <w:rPr>
          <w:rFonts w:ascii="宋体" w:hAnsi="宋体" w:eastAsia="宋体" w:cs="宋体"/>
          <w:color w:val="auto"/>
          <w:spacing w:val="0"/>
          <w:position w:val="0"/>
          <w:sz w:val="21"/>
          <w:highlight w:val="none"/>
          <w:shd w:val="clear" w:fill="auto"/>
        </w:rPr>
        <w:t>申请仲裁。②向合同签订地有级别管辖权的人民法院起诉。</w:t>
      </w:r>
    </w:p>
    <w:p>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、甲、乙双方均有权利向本项目具有监管职能的政府采购监督管理部门举报反映对方在合同履约中的违法违纪行为。</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第十七条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下列关于周口市公共资源交易中心政府采购代理机构名称</w:t>
      </w:r>
      <w:r>
        <w:rPr>
          <w:rFonts w:ascii="宋体" w:hAnsi="宋体" w:eastAsia="宋体" w:cs="宋体"/>
          <w:color w:val="auto"/>
          <w:spacing w:val="0"/>
          <w:position w:val="0"/>
          <w:sz w:val="21"/>
          <w:highlight w:val="none"/>
          <w:u w:val="single"/>
          <w:shd w:val="clear" w:fill="auto"/>
        </w:rPr>
        <w:t>某项目（项目编号：某编号）</w:t>
      </w:r>
      <w:r>
        <w:rPr>
          <w:rFonts w:ascii="宋体" w:hAnsi="宋体" w:eastAsia="宋体" w:cs="宋体"/>
          <w:color w:val="auto"/>
          <w:spacing w:val="0"/>
          <w:position w:val="0"/>
          <w:sz w:val="21"/>
          <w:highlight w:val="none"/>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本合同一式</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份，甲乙双方各执</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份，自双方当事人签字盖章之日起生效。</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供货人（乙方）：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地址：</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地址：</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法定代表人：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法定代表人：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委托代理人：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委托代理人：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电话：</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电话：</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开户银行：</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开户银行：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账号：</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账号：</w:t>
      </w:r>
    </w:p>
    <w:p>
      <w:pPr>
        <w:spacing w:before="0" w:after="0" w:line="640" w:lineRule="auto"/>
        <w:ind w:left="0" w:right="0" w:firstLine="1575"/>
        <w:jc w:val="both"/>
        <w:rPr>
          <w:rFonts w:ascii="Times New Roman" w:hAnsi="Times New Roman" w:eastAsia="Times New Roman" w:cs="Times New Roman"/>
          <w:color w:val="auto"/>
          <w:spacing w:val="0"/>
          <w:position w:val="0"/>
          <w:sz w:val="21"/>
          <w:highlight w:val="none"/>
          <w:u w:val="single"/>
          <w:shd w:val="clear" w:fill="auto"/>
        </w:rPr>
      </w:pPr>
    </w:p>
    <w:p>
      <w:pPr>
        <w:spacing w:before="0" w:after="0" w:line="50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p>
    <w:p>
      <w:pPr>
        <w:spacing w:before="0" w:after="0" w:line="240" w:lineRule="auto"/>
        <w:ind w:left="0" w:right="0" w:firstLine="321"/>
        <w:jc w:val="center"/>
        <w:rPr>
          <w:rFonts w:ascii="Times New Roman" w:hAnsi="Times New Roman" w:eastAsia="Times New Roman" w:cs="Times New Roman"/>
          <w:b/>
          <w:color w:val="auto"/>
          <w:spacing w:val="0"/>
          <w:position w:val="0"/>
          <w:sz w:val="32"/>
          <w:highlight w:val="none"/>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7ABE6A-7A2F-4A7C-A70B-CFDFA154EC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embedRegular r:id="rId2" w:fontKey="{E5E62122-2A4B-4164-8DEC-FF78B9147B02}"/>
  </w:font>
  <w:font w:name="仿宋_GB2312">
    <w:panose1 w:val="02010609030101010101"/>
    <w:charset w:val="86"/>
    <w:family w:val="auto"/>
    <w:pitch w:val="default"/>
    <w:sig w:usb0="00000001" w:usb1="080E0000" w:usb2="00000000" w:usb3="00000000" w:csb0="00040000" w:csb1="00000000"/>
    <w:embedRegular r:id="rId3" w:fontKey="{31FB6298-CB3B-4640-9811-791C4C775A25}"/>
  </w:font>
  <w:font w:name="微软简标宋">
    <w:altName w:val="宋体"/>
    <w:panose1 w:val="00000000000000000000"/>
    <w:charset w:val="00"/>
    <w:family w:val="auto"/>
    <w:pitch w:val="default"/>
    <w:sig w:usb0="00000000" w:usb1="00000000" w:usb2="00000000" w:usb3="00000000" w:csb0="00000000" w:csb1="00000000"/>
    <w:embedRegular r:id="rId4" w:fontKey="{91EF5242-1CBA-4665-B15F-202253B605F7}"/>
  </w:font>
  <w:font w:name="微软雅黑">
    <w:panose1 w:val="020B0503020204020204"/>
    <w:charset w:val="86"/>
    <w:family w:val="swiss"/>
    <w:pitch w:val="default"/>
    <w:sig w:usb0="80000287" w:usb1="2ACF3C50" w:usb2="00000016" w:usb3="00000000" w:csb0="0004001F" w:csb1="00000000"/>
    <w:embedRegular r:id="rId5" w:fontKey="{FA013EFB-D604-4704-80F4-3719C5A00B4A}"/>
  </w:font>
  <w:font w:name="方正小标宋简体">
    <w:panose1 w:val="02000000000000000000"/>
    <w:charset w:val="86"/>
    <w:family w:val="auto"/>
    <w:pitch w:val="default"/>
    <w:sig w:usb0="A00002BF" w:usb1="184F6CFA" w:usb2="00000012" w:usb3="00000000" w:csb0="00040001" w:csb1="00000000"/>
    <w:embedRegular r:id="rId6" w:fontKey="{CAEFB218-710E-4248-8D15-EA707DB8E2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53208E"/>
    <w:multiLevelType w:val="singleLevel"/>
    <w:tmpl w:val="0053208E"/>
    <w:lvl w:ilvl="0" w:tentative="0">
      <w:start w:val="1"/>
      <w:numFmt w:val="bullet"/>
      <w:lvlText w:val="•"/>
      <w:lvlJc w:val="left"/>
    </w:lvl>
  </w:abstractNum>
  <w:abstractNum w:abstractNumId="11">
    <w:nsid w:val="0248C179"/>
    <w:multiLevelType w:val="multilevel"/>
    <w:tmpl w:val="0248C179"/>
    <w:lvl w:ilvl="0" w:tentative="0">
      <w:start w:val="1"/>
      <w:numFmt w:val="bullet"/>
      <w:lvlText w:val="•"/>
      <w:lvlJc w:val="left"/>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D62ECE"/>
    <w:multiLevelType w:val="singleLevel"/>
    <w:tmpl w:val="03D62ECE"/>
    <w:lvl w:ilvl="0" w:tentative="0">
      <w:start w:val="1"/>
      <w:numFmt w:val="bullet"/>
      <w:lvlText w:val="•"/>
      <w:lvlJc w:val="left"/>
    </w:lvl>
  </w:abstractNum>
  <w:abstractNum w:abstractNumId="13">
    <w:nsid w:val="0E640482"/>
    <w:multiLevelType w:val="singleLevel"/>
    <w:tmpl w:val="0E640482"/>
    <w:lvl w:ilvl="0" w:tentative="0">
      <w:start w:val="1"/>
      <w:numFmt w:val="bullet"/>
      <w:lvlText w:val="•"/>
      <w:lvlJc w:val="left"/>
    </w:lvl>
  </w:abstractNum>
  <w:abstractNum w:abstractNumId="14">
    <w:nsid w:val="1D25861E"/>
    <w:multiLevelType w:val="singleLevel"/>
    <w:tmpl w:val="1D25861E"/>
    <w:lvl w:ilvl="0" w:tentative="0">
      <w:start w:val="2"/>
      <w:numFmt w:val="chineseCounting"/>
      <w:suff w:val="nothing"/>
      <w:lvlText w:val="%1、"/>
      <w:lvlJc w:val="left"/>
      <w:rPr>
        <w:rFonts w:hint="eastAsia"/>
      </w:rPr>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5EACA32"/>
    <w:multiLevelType w:val="singleLevel"/>
    <w:tmpl w:val="35EACA32"/>
    <w:lvl w:ilvl="0" w:tentative="0">
      <w:start w:val="1"/>
      <w:numFmt w:val="decimal"/>
      <w:suff w:val="nothing"/>
      <w:lvlText w:val="%1、"/>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2D02975"/>
    <w:multiLevelType w:val="multilevel"/>
    <w:tmpl w:val="42D02975"/>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1">
    <w:nsid w:val="46A08BB8"/>
    <w:multiLevelType w:val="singleLevel"/>
    <w:tmpl w:val="46A08BB8"/>
    <w:lvl w:ilvl="0" w:tentative="0">
      <w:start w:val="1"/>
      <w:numFmt w:val="bullet"/>
      <w:lvlText w:val="•"/>
      <w:lvlJc w:val="left"/>
    </w:lvl>
  </w:abstractNum>
  <w:abstractNum w:abstractNumId="22">
    <w:nsid w:val="4C1BAE26"/>
    <w:multiLevelType w:val="singleLevel"/>
    <w:tmpl w:val="4C1BAE26"/>
    <w:lvl w:ilvl="0" w:tentative="0">
      <w:start w:val="1"/>
      <w:numFmt w:val="bullet"/>
      <w:lvlText w:val="•"/>
      <w:lvlJc w:val="left"/>
    </w:lvl>
  </w:abstractNum>
  <w:abstractNum w:abstractNumId="23">
    <w:nsid w:val="4D4DC07F"/>
    <w:multiLevelType w:val="singleLevel"/>
    <w:tmpl w:val="4D4DC07F"/>
    <w:lvl w:ilvl="0" w:tentative="0">
      <w:start w:val="1"/>
      <w:numFmt w:val="bullet"/>
      <w:lvlText w:val="•"/>
      <w:lvlJc w:val="left"/>
    </w:lvl>
  </w:abstractNum>
  <w:abstractNum w:abstractNumId="24">
    <w:nsid w:val="59ADCABA"/>
    <w:multiLevelType w:val="singleLevel"/>
    <w:tmpl w:val="59ADCABA"/>
    <w:lvl w:ilvl="0" w:tentative="0">
      <w:start w:val="1"/>
      <w:numFmt w:val="bullet"/>
      <w:lvlText w:val="•"/>
      <w:lvlJc w:val="left"/>
    </w:lvl>
  </w:abstractNum>
  <w:abstractNum w:abstractNumId="25">
    <w:nsid w:val="5A241D34"/>
    <w:multiLevelType w:val="singleLevel"/>
    <w:tmpl w:val="5A241D34"/>
    <w:lvl w:ilvl="0" w:tentative="0">
      <w:start w:val="1"/>
      <w:numFmt w:val="bullet"/>
      <w:lvlText w:val="•"/>
      <w:lvlJc w:val="left"/>
    </w:lvl>
  </w:abstractNum>
  <w:abstractNum w:abstractNumId="26">
    <w:nsid w:val="60382F6E"/>
    <w:multiLevelType w:val="singleLevel"/>
    <w:tmpl w:val="60382F6E"/>
    <w:lvl w:ilvl="0" w:tentative="0">
      <w:start w:val="1"/>
      <w:numFmt w:val="bullet"/>
      <w:lvlText w:val="•"/>
      <w:lvlJc w:val="left"/>
    </w:lvl>
  </w:abstractNum>
  <w:abstractNum w:abstractNumId="27">
    <w:nsid w:val="629F7852"/>
    <w:multiLevelType w:val="singleLevel"/>
    <w:tmpl w:val="629F7852"/>
    <w:lvl w:ilvl="0" w:tentative="0">
      <w:start w:val="1"/>
      <w:numFmt w:val="decimal"/>
      <w:lvlText w:val="%1."/>
      <w:lvlJc w:val="left"/>
    </w:lvl>
  </w:abstractNum>
  <w:abstractNum w:abstractNumId="28">
    <w:nsid w:val="72183CF9"/>
    <w:multiLevelType w:val="singleLevel"/>
    <w:tmpl w:val="72183CF9"/>
    <w:lvl w:ilvl="0" w:tentative="0">
      <w:start w:val="1"/>
      <w:numFmt w:val="bullet"/>
      <w:lvlText w:val="•"/>
      <w:lvlJc w:val="left"/>
    </w:lvl>
  </w:abstractNum>
  <w:abstractNum w:abstractNumId="29">
    <w:nsid w:val="7C246926"/>
    <w:multiLevelType w:val="singleLevel"/>
    <w:tmpl w:val="7C246926"/>
    <w:lvl w:ilvl="0" w:tentative="0">
      <w:start w:val="1"/>
      <w:numFmt w:val="decimal"/>
      <w:lvlText w:val="%1."/>
      <w:lvlJc w:val="left"/>
    </w:lvl>
  </w:abstractNum>
  <w:num w:numId="1">
    <w:abstractNumId w:val="20"/>
  </w:num>
  <w:num w:numId="2">
    <w:abstractNumId w:val="10"/>
  </w:num>
  <w:num w:numId="3">
    <w:abstractNumId w:val="6"/>
  </w:num>
  <w:num w:numId="4">
    <w:abstractNumId w:val="24"/>
  </w:num>
  <w:num w:numId="5">
    <w:abstractNumId w:val="4"/>
  </w:num>
  <w:num w:numId="6">
    <w:abstractNumId w:val="3"/>
  </w:num>
  <w:num w:numId="7">
    <w:abstractNumId w:val="12"/>
  </w:num>
  <w:num w:numId="8">
    <w:abstractNumId w:val="16"/>
  </w:num>
  <w:num w:numId="9">
    <w:abstractNumId w:val="28"/>
  </w:num>
  <w:num w:numId="10">
    <w:abstractNumId w:val="11"/>
  </w:num>
  <w:num w:numId="11">
    <w:abstractNumId w:val="0"/>
  </w:num>
  <w:num w:numId="12">
    <w:abstractNumId w:val="17"/>
  </w:num>
  <w:num w:numId="13">
    <w:abstractNumId w:val="25"/>
  </w:num>
  <w:num w:numId="14">
    <w:abstractNumId w:val="5"/>
  </w:num>
  <w:num w:numId="15">
    <w:abstractNumId w:val="23"/>
  </w:num>
  <w:num w:numId="16">
    <w:abstractNumId w:val="9"/>
  </w:num>
  <w:num w:numId="17">
    <w:abstractNumId w:val="15"/>
  </w:num>
  <w:num w:numId="18">
    <w:abstractNumId w:val="8"/>
  </w:num>
  <w:num w:numId="19">
    <w:abstractNumId w:val="7"/>
  </w:num>
  <w:num w:numId="20">
    <w:abstractNumId w:val="2"/>
  </w:num>
  <w:num w:numId="21">
    <w:abstractNumId w:val="22"/>
  </w:num>
  <w:num w:numId="22">
    <w:abstractNumId w:val="26"/>
  </w:num>
  <w:num w:numId="23">
    <w:abstractNumId w:val="13"/>
  </w:num>
  <w:num w:numId="24">
    <w:abstractNumId w:val="21"/>
  </w:num>
  <w:num w:numId="25">
    <w:abstractNumId w:val="29"/>
  </w:num>
  <w:num w:numId="26">
    <w:abstractNumId w:val="18"/>
  </w:num>
  <w:num w:numId="27">
    <w:abstractNumId w:val="14"/>
  </w:num>
  <w:num w:numId="28">
    <w:abstractNumId w:val="27"/>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NTFkZjg3ZTFjOWE3NmM0NWZmYWUyYjc2ODE4NjMifQ=="/>
  </w:docVars>
  <w:rsids>
    <w:rsidRoot w:val="00000000"/>
    <w:rsid w:val="00381040"/>
    <w:rsid w:val="00C25DC4"/>
    <w:rsid w:val="00FE1942"/>
    <w:rsid w:val="017D301E"/>
    <w:rsid w:val="02105DD0"/>
    <w:rsid w:val="02283016"/>
    <w:rsid w:val="02E21879"/>
    <w:rsid w:val="03571952"/>
    <w:rsid w:val="03EB5E79"/>
    <w:rsid w:val="04640B52"/>
    <w:rsid w:val="051A6E80"/>
    <w:rsid w:val="05942874"/>
    <w:rsid w:val="05A5591B"/>
    <w:rsid w:val="060C2D53"/>
    <w:rsid w:val="06F2019A"/>
    <w:rsid w:val="080B5655"/>
    <w:rsid w:val="085409E1"/>
    <w:rsid w:val="089873F6"/>
    <w:rsid w:val="0935436E"/>
    <w:rsid w:val="09742A87"/>
    <w:rsid w:val="09DC47EA"/>
    <w:rsid w:val="0A24014A"/>
    <w:rsid w:val="0AC769A1"/>
    <w:rsid w:val="0B0D0DC2"/>
    <w:rsid w:val="0B446AEB"/>
    <w:rsid w:val="0B8D5973"/>
    <w:rsid w:val="0B8D66E4"/>
    <w:rsid w:val="0BCD088E"/>
    <w:rsid w:val="0C4A0F50"/>
    <w:rsid w:val="0CD110D6"/>
    <w:rsid w:val="0CD8398F"/>
    <w:rsid w:val="0D336E17"/>
    <w:rsid w:val="0DE2375F"/>
    <w:rsid w:val="0DF76096"/>
    <w:rsid w:val="0E2B3F92"/>
    <w:rsid w:val="0E3F6CC6"/>
    <w:rsid w:val="0E407A3D"/>
    <w:rsid w:val="0E6A4ABA"/>
    <w:rsid w:val="0F0F5662"/>
    <w:rsid w:val="0F2C7FC2"/>
    <w:rsid w:val="0FDE34AD"/>
    <w:rsid w:val="114710E3"/>
    <w:rsid w:val="1299596E"/>
    <w:rsid w:val="12EC592C"/>
    <w:rsid w:val="131D034D"/>
    <w:rsid w:val="136C4E31"/>
    <w:rsid w:val="13D65F26"/>
    <w:rsid w:val="13DA623E"/>
    <w:rsid w:val="1484072D"/>
    <w:rsid w:val="14F11A91"/>
    <w:rsid w:val="158B190C"/>
    <w:rsid w:val="16AA639C"/>
    <w:rsid w:val="16AE5760"/>
    <w:rsid w:val="16C57C0B"/>
    <w:rsid w:val="17D80CE7"/>
    <w:rsid w:val="18DD40DB"/>
    <w:rsid w:val="190406EA"/>
    <w:rsid w:val="190A277E"/>
    <w:rsid w:val="1A0F4768"/>
    <w:rsid w:val="1C0244DB"/>
    <w:rsid w:val="1C535580"/>
    <w:rsid w:val="1CD221A8"/>
    <w:rsid w:val="1D230D15"/>
    <w:rsid w:val="1D7B50A2"/>
    <w:rsid w:val="1DE30BC9"/>
    <w:rsid w:val="1E29229C"/>
    <w:rsid w:val="1ECB3353"/>
    <w:rsid w:val="1EE75CB3"/>
    <w:rsid w:val="1F1A58AA"/>
    <w:rsid w:val="1F35597B"/>
    <w:rsid w:val="1FA86C0B"/>
    <w:rsid w:val="20570B93"/>
    <w:rsid w:val="205B0707"/>
    <w:rsid w:val="20D149F6"/>
    <w:rsid w:val="21C66054"/>
    <w:rsid w:val="223E3F95"/>
    <w:rsid w:val="22A939AB"/>
    <w:rsid w:val="22AC524A"/>
    <w:rsid w:val="23906CE4"/>
    <w:rsid w:val="23935CB2"/>
    <w:rsid w:val="23B73EA6"/>
    <w:rsid w:val="24084847"/>
    <w:rsid w:val="240C4401"/>
    <w:rsid w:val="24BF1142"/>
    <w:rsid w:val="24E85212"/>
    <w:rsid w:val="259336F5"/>
    <w:rsid w:val="25C66622"/>
    <w:rsid w:val="25CB455E"/>
    <w:rsid w:val="270A57B1"/>
    <w:rsid w:val="28904CC6"/>
    <w:rsid w:val="29347478"/>
    <w:rsid w:val="298A0C9C"/>
    <w:rsid w:val="299A55ED"/>
    <w:rsid w:val="29A26025"/>
    <w:rsid w:val="2B404781"/>
    <w:rsid w:val="2CBB5CE4"/>
    <w:rsid w:val="2CF040EF"/>
    <w:rsid w:val="2D852BC0"/>
    <w:rsid w:val="2E701821"/>
    <w:rsid w:val="2E750BE6"/>
    <w:rsid w:val="2E8B0650"/>
    <w:rsid w:val="2F48043E"/>
    <w:rsid w:val="2F61560E"/>
    <w:rsid w:val="304204AA"/>
    <w:rsid w:val="31B144C5"/>
    <w:rsid w:val="31C53C32"/>
    <w:rsid w:val="31EF73B8"/>
    <w:rsid w:val="320504D2"/>
    <w:rsid w:val="32CE5A64"/>
    <w:rsid w:val="33915BE2"/>
    <w:rsid w:val="342C61EA"/>
    <w:rsid w:val="3436271A"/>
    <w:rsid w:val="34645E1B"/>
    <w:rsid w:val="34906FBA"/>
    <w:rsid w:val="349437F1"/>
    <w:rsid w:val="34C957E7"/>
    <w:rsid w:val="3525321D"/>
    <w:rsid w:val="361E09AE"/>
    <w:rsid w:val="363D46DF"/>
    <w:rsid w:val="36743E79"/>
    <w:rsid w:val="374B2E2B"/>
    <w:rsid w:val="391F07CD"/>
    <w:rsid w:val="3A654B5F"/>
    <w:rsid w:val="3AA865FF"/>
    <w:rsid w:val="3AF702C7"/>
    <w:rsid w:val="3B0A71ED"/>
    <w:rsid w:val="3C5F7FE1"/>
    <w:rsid w:val="3D2E4D81"/>
    <w:rsid w:val="3E0D2F0E"/>
    <w:rsid w:val="3E6D4DC0"/>
    <w:rsid w:val="3ED93AD8"/>
    <w:rsid w:val="3F337D86"/>
    <w:rsid w:val="3F7D3D9E"/>
    <w:rsid w:val="3FF73FB7"/>
    <w:rsid w:val="420D2C9E"/>
    <w:rsid w:val="44C30432"/>
    <w:rsid w:val="44EC51A0"/>
    <w:rsid w:val="45D4045E"/>
    <w:rsid w:val="46D02740"/>
    <w:rsid w:val="47FF6169"/>
    <w:rsid w:val="483E1C57"/>
    <w:rsid w:val="495450A4"/>
    <w:rsid w:val="49601FFF"/>
    <w:rsid w:val="4A372D9B"/>
    <w:rsid w:val="4AA46683"/>
    <w:rsid w:val="4AF00899"/>
    <w:rsid w:val="4B0D06CC"/>
    <w:rsid w:val="4BF54CBC"/>
    <w:rsid w:val="4C3A6B73"/>
    <w:rsid w:val="4C9B1D07"/>
    <w:rsid w:val="4D3A32CE"/>
    <w:rsid w:val="4D9D3A2C"/>
    <w:rsid w:val="4DCD4142"/>
    <w:rsid w:val="4DFC67D6"/>
    <w:rsid w:val="4E3008D6"/>
    <w:rsid w:val="4E6E5EAB"/>
    <w:rsid w:val="4F073684"/>
    <w:rsid w:val="4F4369CF"/>
    <w:rsid w:val="4FD712A8"/>
    <w:rsid w:val="500C10C1"/>
    <w:rsid w:val="50D312BC"/>
    <w:rsid w:val="51360251"/>
    <w:rsid w:val="5142067F"/>
    <w:rsid w:val="51A90A23"/>
    <w:rsid w:val="520A0CF8"/>
    <w:rsid w:val="52D27F49"/>
    <w:rsid w:val="53763619"/>
    <w:rsid w:val="53C802D0"/>
    <w:rsid w:val="54C3004D"/>
    <w:rsid w:val="55472A2C"/>
    <w:rsid w:val="55E36458"/>
    <w:rsid w:val="56907890"/>
    <w:rsid w:val="572F1517"/>
    <w:rsid w:val="57C87729"/>
    <w:rsid w:val="587B7D8B"/>
    <w:rsid w:val="58BF17B7"/>
    <w:rsid w:val="593411F0"/>
    <w:rsid w:val="59371E3F"/>
    <w:rsid w:val="59984BED"/>
    <w:rsid w:val="5A906085"/>
    <w:rsid w:val="5AF43252"/>
    <w:rsid w:val="5C035309"/>
    <w:rsid w:val="5C2B7379"/>
    <w:rsid w:val="5D0128BF"/>
    <w:rsid w:val="5D6314B8"/>
    <w:rsid w:val="5DFB0858"/>
    <w:rsid w:val="606A75CF"/>
    <w:rsid w:val="60C413D5"/>
    <w:rsid w:val="61453B98"/>
    <w:rsid w:val="61557FBA"/>
    <w:rsid w:val="623C143F"/>
    <w:rsid w:val="624B5761"/>
    <w:rsid w:val="62600C89"/>
    <w:rsid w:val="62685D90"/>
    <w:rsid w:val="62BB23EC"/>
    <w:rsid w:val="62C31218"/>
    <w:rsid w:val="63D70E99"/>
    <w:rsid w:val="64ED59C5"/>
    <w:rsid w:val="65296215"/>
    <w:rsid w:val="656A0ABD"/>
    <w:rsid w:val="660D2ED6"/>
    <w:rsid w:val="66F12303"/>
    <w:rsid w:val="67840744"/>
    <w:rsid w:val="67E52BE0"/>
    <w:rsid w:val="683D4DCE"/>
    <w:rsid w:val="689934CB"/>
    <w:rsid w:val="69586B2A"/>
    <w:rsid w:val="69E71C90"/>
    <w:rsid w:val="6B472B04"/>
    <w:rsid w:val="6B545B16"/>
    <w:rsid w:val="6BED321C"/>
    <w:rsid w:val="6C144D58"/>
    <w:rsid w:val="6C237274"/>
    <w:rsid w:val="6C6677E4"/>
    <w:rsid w:val="6CD803A4"/>
    <w:rsid w:val="6DFA1C04"/>
    <w:rsid w:val="6E686E56"/>
    <w:rsid w:val="6FE54EC4"/>
    <w:rsid w:val="6FE73A98"/>
    <w:rsid w:val="70333D34"/>
    <w:rsid w:val="70495773"/>
    <w:rsid w:val="70545BA6"/>
    <w:rsid w:val="70E965A9"/>
    <w:rsid w:val="71153FAB"/>
    <w:rsid w:val="724063E2"/>
    <w:rsid w:val="73351CBE"/>
    <w:rsid w:val="73A17354"/>
    <w:rsid w:val="74126857"/>
    <w:rsid w:val="744A79EB"/>
    <w:rsid w:val="747C5A5B"/>
    <w:rsid w:val="74992CD1"/>
    <w:rsid w:val="752913AF"/>
    <w:rsid w:val="754713FC"/>
    <w:rsid w:val="75AB44BA"/>
    <w:rsid w:val="75CB05D8"/>
    <w:rsid w:val="766034F6"/>
    <w:rsid w:val="76D0242A"/>
    <w:rsid w:val="77091498"/>
    <w:rsid w:val="793E1270"/>
    <w:rsid w:val="79B576B5"/>
    <w:rsid w:val="79C30024"/>
    <w:rsid w:val="79E8584D"/>
    <w:rsid w:val="79EF1DC7"/>
    <w:rsid w:val="7A3C5A92"/>
    <w:rsid w:val="7A953307"/>
    <w:rsid w:val="7AB94F83"/>
    <w:rsid w:val="7AC7413D"/>
    <w:rsid w:val="7B7F7F7B"/>
    <w:rsid w:val="7BA17641"/>
    <w:rsid w:val="7BA51453"/>
    <w:rsid w:val="7BB3735C"/>
    <w:rsid w:val="7BB43A63"/>
    <w:rsid w:val="7C185920"/>
    <w:rsid w:val="7C2D5C29"/>
    <w:rsid w:val="7C833A9B"/>
    <w:rsid w:val="7D545C6A"/>
    <w:rsid w:val="7D893333"/>
    <w:rsid w:val="7F2A644F"/>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autoRedefine/>
    <w:unhideWhenUsed/>
    <w:qFormat/>
    <w:uiPriority w:val="0"/>
    <w:pPr>
      <w:keepNext/>
      <w:keepLines/>
      <w:numPr>
        <w:ilvl w:val="1"/>
        <w:numId w:val="1"/>
      </w:numPr>
      <w:spacing w:before="50" w:beforeLines="50" w:after="50" w:afterLines="50" w:line="276" w:lineRule="auto"/>
      <w:ind w:left="575" w:hanging="575"/>
      <w:jc w:val="left"/>
      <w:outlineLvl w:val="1"/>
    </w:pPr>
    <w:rPr>
      <w:rFonts w:ascii="Times New Roman" w:hAnsi="Times New Roman" w:eastAsia="宋体" w:cs="Times New Roman"/>
      <w:b/>
      <w:bCs/>
      <w:sz w:val="28"/>
      <w:szCs w:val="24"/>
      <w:lang w:val="zh-CN"/>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semiHidden/>
    <w:unhideWhenUsed/>
    <w:qFormat/>
    <w:uiPriority w:val="99"/>
    <w:pPr>
      <w:ind w:firstLine="420" w:firstLineChars="200"/>
    </w:pPr>
  </w:style>
  <w:style w:type="paragraph" w:styleId="4">
    <w:name w:val="Body Text 2"/>
    <w:basedOn w:val="1"/>
    <w:autoRedefine/>
    <w:qFormat/>
    <w:uiPriority w:val="0"/>
    <w:pPr>
      <w:adjustRightInd w:val="0"/>
      <w:snapToGrid w:val="0"/>
      <w:spacing w:after="120" w:afterLines="0" w:afterAutospacing="0" w:line="480" w:lineRule="auto"/>
    </w:pPr>
    <w:rPr>
      <w:sz w:val="24"/>
    </w:rPr>
  </w:style>
  <w:style w:type="paragraph" w:styleId="5">
    <w:name w:val="caption"/>
    <w:basedOn w:val="1"/>
    <w:next w:val="1"/>
    <w:autoRedefine/>
    <w:qFormat/>
    <w:uiPriority w:val="0"/>
    <w:rPr>
      <w:rFonts w:ascii="Cambria" w:hAnsi="Cambria" w:eastAsia="黑体"/>
      <w:sz w:val="20"/>
    </w:r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2">
    <w:name w:val="Body Text First Indent"/>
    <w:basedOn w:val="6"/>
    <w:next w:val="13"/>
    <w:autoRedefine/>
    <w:qFormat/>
    <w:uiPriority w:val="0"/>
    <w:pPr>
      <w:spacing w:line="312" w:lineRule="auto"/>
      <w:ind w:firstLine="420"/>
    </w:pPr>
  </w:style>
  <w:style w:type="paragraph" w:styleId="13">
    <w:name w:val="Body Text First Indent 2"/>
    <w:basedOn w:val="7"/>
    <w:next w:val="1"/>
    <w:autoRedefine/>
    <w:qFormat/>
    <w:uiPriority w:val="0"/>
    <w:pPr>
      <w:ind w:firstLine="420" w:firstLineChars="200"/>
    </w:pPr>
  </w:style>
  <w:style w:type="table" w:styleId="15">
    <w:name w:val="Table Grid"/>
    <w:basedOn w:val="14"/>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FollowedHyperlink"/>
    <w:basedOn w:val="16"/>
    <w:autoRedefine/>
    <w:qFormat/>
    <w:uiPriority w:val="0"/>
    <w:rPr>
      <w:color w:val="000000"/>
      <w:u w:val="none"/>
    </w:rPr>
  </w:style>
  <w:style w:type="character" w:styleId="19">
    <w:name w:val="Hyperlink"/>
    <w:basedOn w:val="16"/>
    <w:autoRedefine/>
    <w:qFormat/>
    <w:uiPriority w:val="0"/>
    <w:rPr>
      <w:color w:val="000000"/>
      <w:u w:val="none"/>
    </w:rPr>
  </w:style>
  <w:style w:type="paragraph" w:customStyle="1" w:styleId="20">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22">
    <w:name w:val="BodyText1I"/>
    <w:basedOn w:val="23"/>
    <w:autoRedefine/>
    <w:qFormat/>
    <w:uiPriority w:val="99"/>
    <w:pPr>
      <w:ind w:firstLine="420" w:firstLineChars="100"/>
    </w:pPr>
  </w:style>
  <w:style w:type="paragraph" w:customStyle="1" w:styleId="23">
    <w:name w:val="BodyText"/>
    <w:basedOn w:val="1"/>
    <w:autoRedefine/>
    <w:qFormat/>
    <w:uiPriority w:val="99"/>
    <w:pPr>
      <w:spacing w:after="120"/>
    </w:pPr>
  </w:style>
  <w:style w:type="paragraph" w:customStyle="1" w:styleId="24">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styleId="25">
    <w:name w:val="List Paragraph"/>
    <w:basedOn w:val="1"/>
    <w:autoRedefine/>
    <w:qFormat/>
    <w:uiPriority w:val="34"/>
    <w:pPr>
      <w:ind w:firstLine="420" w:firstLineChars="200"/>
    </w:pPr>
  </w:style>
  <w:style w:type="character" w:customStyle="1" w:styleId="26">
    <w:name w:val="NormalCharacter"/>
    <w:autoRedefine/>
    <w:semiHidden/>
    <w:qFormat/>
    <w:uiPriority w:val="0"/>
    <w:rPr>
      <w:rFonts w:asciiTheme="minorHAnsi" w:hAnsiTheme="minorHAnsi" w:eastAsiaTheme="minorEastAsia" w:cstheme="minorBidi"/>
      <w:sz w:val="21"/>
      <w:szCs w:val="22"/>
    </w:rPr>
  </w:style>
  <w:style w:type="paragraph" w:customStyle="1" w:styleId="27">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8">
    <w:name w:val="列出段落1"/>
    <w:basedOn w:val="1"/>
    <w:autoRedefine/>
    <w:qFormat/>
    <w:uiPriority w:val="0"/>
    <w:pPr>
      <w:spacing w:before="100" w:beforeAutospacing="1" w:after="100" w:afterAutospacing="1" w:line="240" w:lineRule="auto"/>
      <w:ind w:firstLine="0"/>
      <w:jc w:val="left"/>
      <w:textAlignment w:val="auto"/>
    </w:pPr>
    <w:rPr>
      <w:rFonts w:ascii="宋体" w:hAnsi="宋体" w:cs="宋体"/>
      <w:color w:val="auto"/>
      <w:sz w:val="24"/>
      <w:szCs w:val="24"/>
      <w:u w:val="none" w:color="auto"/>
    </w:rPr>
  </w:style>
  <w:style w:type="paragraph" w:customStyle="1" w:styleId="29">
    <w:name w:val="列表 21"/>
    <w:basedOn w:val="1"/>
    <w:autoRedefine/>
    <w:qFormat/>
    <w:uiPriority w:val="0"/>
    <w:pPr>
      <w:suppressAutoHyphens/>
      <w:ind w:left="100" w:hanging="200"/>
    </w:pPr>
    <w:rPr>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26205</Words>
  <Characters>27944</Characters>
  <TotalTime>0</TotalTime>
  <ScaleCrop>false</ScaleCrop>
  <LinksUpToDate>false</LinksUpToDate>
  <CharactersWithSpaces>29199</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曹晨阳</cp:lastModifiedBy>
  <cp:lastPrinted>2024-04-04T01:43:00Z</cp:lastPrinted>
  <dcterms:modified xsi:type="dcterms:W3CDTF">2024-04-07T07:24:38Z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78AC7FF024EC4DDDBFD7BB8C807898DE_13</vt:lpwstr>
  </property>
</Properties>
</file>