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pPr>
        <w:tabs>
          <w:tab w:val="left" w:pos="315"/>
          <w:tab w:val="left" w:pos="8820"/>
        </w:tabs>
        <w:spacing w:line="500" w:lineRule="exact"/>
        <w:ind w:right="267" w:rightChars="127"/>
        <w:jc w:val="center"/>
        <w:rPr>
          <w:rFonts w:ascii="仿宋_GB2312" w:eastAsia="仿宋_GB2312"/>
          <w:b/>
          <w:bCs/>
          <w:sz w:val="48"/>
          <w:highlight w:val="none"/>
        </w:rPr>
      </w:pPr>
    </w:p>
    <w:p>
      <w:pPr>
        <w:tabs>
          <w:tab w:val="left" w:pos="315"/>
          <w:tab w:val="left" w:pos="8820"/>
        </w:tabs>
        <w:spacing w:line="360" w:lineRule="auto"/>
        <w:ind w:right="267" w:rightChars="127"/>
        <w:jc w:val="center"/>
        <w:rPr>
          <w:rFonts w:ascii="微软简标宋" w:eastAsia="黑体"/>
          <w:b/>
          <w:bCs/>
          <w:sz w:val="52"/>
          <w:highlight w:val="none"/>
        </w:rPr>
      </w:pPr>
      <w:r>
        <w:rPr>
          <w:rFonts w:hint="eastAsia" w:ascii="微软简标宋" w:eastAsia="黑体"/>
          <w:b/>
          <w:bCs/>
          <w:sz w:val="52"/>
          <w:highlight w:val="none"/>
        </w:rPr>
        <w:t>竞争性磋商文件</w:t>
      </w:r>
    </w:p>
    <w:p>
      <w:pPr>
        <w:tabs>
          <w:tab w:val="left" w:pos="315"/>
          <w:tab w:val="left" w:pos="8820"/>
        </w:tabs>
        <w:spacing w:line="500" w:lineRule="exact"/>
        <w:ind w:right="267" w:rightChars="127"/>
        <w:jc w:val="center"/>
        <w:rPr>
          <w:rFonts w:ascii="仿宋_GB2312" w:eastAsia="仿宋_GB2312"/>
          <w:sz w:val="44"/>
          <w:highlight w:val="none"/>
        </w:rPr>
      </w:pPr>
    </w:p>
    <w:p>
      <w:pPr>
        <w:tabs>
          <w:tab w:val="left" w:pos="315"/>
          <w:tab w:val="left" w:pos="8820"/>
        </w:tabs>
        <w:ind w:right="267" w:rightChars="127"/>
        <w:rPr>
          <w:rFonts w:ascii="仿宋_GB2312" w:eastAsia="仿宋_GB2312"/>
          <w:sz w:val="44"/>
          <w:highlight w:val="none"/>
        </w:rPr>
      </w:pPr>
    </w:p>
    <w:p>
      <w:pPr>
        <w:tabs>
          <w:tab w:val="left" w:pos="315"/>
          <w:tab w:val="left" w:pos="8820"/>
        </w:tabs>
        <w:spacing w:line="500" w:lineRule="exact"/>
        <w:ind w:right="267" w:rightChars="127"/>
        <w:rPr>
          <w:rFonts w:ascii="仿宋_GB2312" w:eastAsia="仿宋_GB2312"/>
          <w:b/>
          <w:bCs/>
          <w:sz w:val="36"/>
          <w:highlight w:val="none"/>
        </w:rPr>
      </w:pPr>
    </w:p>
    <w:p>
      <w:pPr>
        <w:tabs>
          <w:tab w:val="left" w:pos="315"/>
          <w:tab w:val="left" w:pos="8820"/>
        </w:tabs>
        <w:spacing w:line="500" w:lineRule="exact"/>
        <w:ind w:right="267" w:rightChars="127"/>
        <w:rPr>
          <w:rFonts w:ascii="仿宋_GB2312" w:eastAsia="仿宋_GB2312"/>
          <w:b/>
          <w:bCs/>
          <w:sz w:val="36"/>
          <w:highlight w:val="none"/>
        </w:rPr>
      </w:pPr>
    </w:p>
    <w:p>
      <w:pPr>
        <w:tabs>
          <w:tab w:val="left" w:pos="315"/>
          <w:tab w:val="left" w:pos="8820"/>
        </w:tabs>
        <w:spacing w:line="500" w:lineRule="exact"/>
        <w:ind w:right="267" w:rightChars="127"/>
        <w:jc w:val="center"/>
        <w:rPr>
          <w:rFonts w:ascii="宋体" w:hAnsi="宋体"/>
          <w:sz w:val="32"/>
          <w:highlight w:val="none"/>
        </w:rPr>
      </w:pPr>
    </w:p>
    <w:p>
      <w:pPr>
        <w:pStyle w:val="3"/>
        <w:rPr>
          <w:rFonts w:ascii="宋体" w:hAnsi="宋体"/>
          <w:sz w:val="32"/>
          <w:highlight w:val="none"/>
        </w:rPr>
      </w:pPr>
    </w:p>
    <w:p>
      <w:pPr>
        <w:pStyle w:val="34"/>
        <w:rPr>
          <w:rFonts w:ascii="宋体" w:hAnsi="宋体"/>
          <w:sz w:val="32"/>
          <w:highlight w:val="none"/>
        </w:rPr>
      </w:pPr>
    </w:p>
    <w:p>
      <w:pPr>
        <w:rPr>
          <w:highlight w:val="none"/>
        </w:rPr>
      </w:pPr>
    </w:p>
    <w:p>
      <w:pPr>
        <w:rPr>
          <w:highlight w:val="none"/>
        </w:rPr>
      </w:pPr>
    </w:p>
    <w:p>
      <w:pPr>
        <w:rPr>
          <w:highlight w:val="none"/>
        </w:rPr>
      </w:pPr>
    </w:p>
    <w:p>
      <w:pPr>
        <w:pStyle w:val="3"/>
        <w:rPr>
          <w:highlight w:val="none"/>
        </w:rPr>
      </w:pPr>
    </w:p>
    <w:p>
      <w:pPr>
        <w:tabs>
          <w:tab w:val="left" w:pos="315"/>
          <w:tab w:val="left" w:pos="8820"/>
        </w:tabs>
        <w:spacing w:line="500" w:lineRule="exact"/>
        <w:ind w:right="267" w:rightChars="127"/>
        <w:jc w:val="center"/>
        <w:rPr>
          <w:rFonts w:ascii="微软简标宋" w:eastAsia="黑体"/>
          <w:b/>
          <w:bCs/>
          <w:sz w:val="52"/>
          <w:highlight w:val="none"/>
        </w:rPr>
      </w:pPr>
    </w:p>
    <w:p>
      <w:pPr>
        <w:tabs>
          <w:tab w:val="left" w:pos="315"/>
          <w:tab w:val="left" w:pos="8820"/>
        </w:tabs>
        <w:spacing w:line="600" w:lineRule="exact"/>
        <w:ind w:right="-92" w:rightChars="-44" w:firstLine="602" w:firstLineChars="2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项目名称: 周口市第六人民医院家庭病床信息管理平台（居民端）项目</w:t>
      </w:r>
    </w:p>
    <w:p>
      <w:pPr>
        <w:tabs>
          <w:tab w:val="left" w:pos="315"/>
          <w:tab w:val="left" w:pos="8820"/>
        </w:tabs>
        <w:spacing w:line="600" w:lineRule="exact"/>
        <w:ind w:right="-92" w:rightChars="-44" w:firstLine="602" w:firstLineChars="200"/>
        <w:jc w:val="left"/>
        <w:rPr>
          <w:rFonts w:hint="default" w:ascii="宋体" w:hAnsi="宋体" w:eastAsia="宋体" w:cs="宋体"/>
          <w:b/>
          <w:bCs/>
          <w:color w:val="0D0D0D" w:themeColor="text1" w:themeTint="F2"/>
          <w:sz w:val="30"/>
          <w:szCs w:val="30"/>
          <w:highlight w:val="none"/>
          <w:lang w:val="en-US" w:eastAsia="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30"/>
          <w:szCs w:val="30"/>
          <w:highlight w:val="none"/>
          <w:lang w:eastAsia="zh-CN"/>
          <w14:textFill>
            <w14:solidFill>
              <w14:schemeClr w14:val="tx1">
                <w14:lumMod w14:val="95000"/>
                <w14:lumOff w14:val="5000"/>
              </w14:schemeClr>
            </w14:solidFill>
          </w14:textFill>
        </w:rPr>
        <w:t xml:space="preserve">项目编号: </w:t>
      </w:r>
      <w:r>
        <w:rPr>
          <w:rFonts w:hint="eastAsia" w:ascii="宋体" w:hAnsi="宋体" w:cs="宋体"/>
          <w:b/>
          <w:bCs/>
          <w:color w:val="0D0D0D" w:themeColor="text1" w:themeTint="F2"/>
          <w:sz w:val="30"/>
          <w:szCs w:val="30"/>
          <w:highlight w:val="none"/>
          <w:lang w:eastAsia="zh-CN"/>
          <w14:textFill>
            <w14:solidFill>
              <w14:schemeClr w14:val="tx1">
                <w14:lumMod w14:val="95000"/>
                <w14:lumOff w14:val="5000"/>
              </w14:schemeClr>
            </w14:solidFill>
          </w14:textFill>
        </w:rPr>
        <w:t>周财磋商采购</w:t>
      </w:r>
      <w:r>
        <w:rPr>
          <w:rFonts w:hint="eastAsia" w:ascii="宋体" w:hAnsi="宋体" w:cs="宋体"/>
          <w:b/>
          <w:bCs/>
          <w:color w:val="0D0D0D" w:themeColor="text1" w:themeTint="F2"/>
          <w:sz w:val="30"/>
          <w:szCs w:val="30"/>
          <w:highlight w:val="none"/>
          <w:lang w:val="en-US" w:eastAsia="zh-CN"/>
          <w14:textFill>
            <w14:solidFill>
              <w14:schemeClr w14:val="tx1">
                <w14:lumMod w14:val="95000"/>
                <w14:lumOff w14:val="5000"/>
              </w14:schemeClr>
            </w14:solidFill>
          </w14:textFill>
        </w:rPr>
        <w:t>-2024-24</w:t>
      </w:r>
    </w:p>
    <w:p>
      <w:pPr>
        <w:tabs>
          <w:tab w:val="left" w:pos="315"/>
          <w:tab w:val="left" w:pos="8820"/>
        </w:tabs>
        <w:spacing w:line="600" w:lineRule="exact"/>
        <w:ind w:left="1895" w:leftChars="0" w:right="-92" w:rightChars="-44" w:hanging="1895" w:hangingChars="590"/>
        <w:jc w:val="left"/>
        <w:rPr>
          <w:rFonts w:hint="eastAsia" w:ascii="宋体" w:hAnsi="宋体" w:eastAsia="宋体" w:cs="宋体"/>
          <w:b/>
          <w:bCs/>
          <w:color w:val="auto"/>
          <w:sz w:val="32"/>
          <w:szCs w:val="32"/>
          <w:highlight w:val="none"/>
          <w:lang w:eastAsia="zh-CN"/>
        </w:rPr>
      </w:pPr>
    </w:p>
    <w:p>
      <w:pPr>
        <w:tabs>
          <w:tab w:val="left" w:pos="315"/>
          <w:tab w:val="left" w:pos="8820"/>
        </w:tabs>
        <w:spacing w:line="600" w:lineRule="exact"/>
        <w:ind w:left="1895" w:leftChars="0" w:right="-92" w:rightChars="-44" w:hanging="1895" w:hangingChars="59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2024年04月</w:t>
      </w:r>
    </w:p>
    <w:p>
      <w:pPr>
        <w:pStyle w:val="13"/>
        <w:jc w:val="center"/>
        <w:rPr>
          <w:rFonts w:ascii="宋体" w:hAnsi="宋体"/>
          <w:b/>
          <w:sz w:val="32"/>
          <w:highlight w:val="none"/>
        </w:rPr>
      </w:pPr>
    </w:p>
    <w:p>
      <w:pPr>
        <w:rPr>
          <w:rFonts w:ascii="仿宋_GB2312" w:eastAsia="仿宋_GB2312"/>
          <w:b/>
          <w:sz w:val="30"/>
          <w:szCs w:val="30"/>
          <w:highlight w:val="none"/>
        </w:rPr>
        <w:sectPr>
          <w:headerReference r:id="rId3" w:type="default"/>
          <w:pgSz w:w="11907" w:h="16840"/>
          <w:pgMar w:top="2098" w:right="1474" w:bottom="1985" w:left="1588" w:header="851" w:footer="992" w:gutter="0"/>
          <w:pgNumType w:fmt="decimal" w:start="1"/>
          <w:cols w:space="720" w:num="1"/>
          <w:docGrid w:type="lines" w:linePitch="312" w:charSpace="0"/>
        </w:sectPr>
      </w:pPr>
    </w:p>
    <w:p>
      <w:pPr>
        <w:rPr>
          <w:rFonts w:ascii="仿宋_GB2312" w:eastAsia="仿宋_GB2312"/>
          <w:b/>
          <w:sz w:val="30"/>
          <w:szCs w:val="30"/>
          <w:highlight w:val="none"/>
        </w:rPr>
      </w:pPr>
    </w:p>
    <w:p>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pPr>
        <w:rPr>
          <w:rFonts w:ascii="宋体" w:hAnsi="宋体" w:cs="宋体"/>
          <w:b/>
          <w:sz w:val="32"/>
          <w:szCs w:val="32"/>
          <w:highlight w:val="none"/>
        </w:rPr>
      </w:pPr>
    </w:p>
    <w:p>
      <w:pPr>
        <w:spacing w:line="800" w:lineRule="exact"/>
        <w:rPr>
          <w:rFonts w:ascii="宋体" w:hAnsi="宋体" w:cs="宋体"/>
          <w:b/>
          <w:sz w:val="32"/>
          <w:szCs w:val="32"/>
          <w:highlight w:val="none"/>
        </w:rPr>
      </w:pPr>
      <w:r>
        <w:rPr>
          <w:rFonts w:hint="eastAsia" w:ascii="宋体" w:hAnsi="宋体" w:cs="宋体"/>
          <w:b/>
          <w:sz w:val="32"/>
          <w:szCs w:val="32"/>
          <w:highlight w:val="none"/>
        </w:rPr>
        <w:t xml:space="preserve">第一章  竞争性磋商邀请函 </w:t>
      </w:r>
    </w:p>
    <w:p>
      <w:pPr>
        <w:spacing w:line="800" w:lineRule="exact"/>
        <w:rPr>
          <w:rFonts w:ascii="宋体" w:hAnsi="宋体" w:cs="宋体"/>
          <w:b/>
          <w:sz w:val="32"/>
          <w:szCs w:val="32"/>
          <w:highlight w:val="none"/>
        </w:rPr>
      </w:pPr>
      <w:r>
        <w:rPr>
          <w:rFonts w:hint="eastAsia" w:ascii="宋体" w:hAnsi="宋体" w:cs="宋体"/>
          <w:b/>
          <w:sz w:val="32"/>
          <w:szCs w:val="32"/>
          <w:highlight w:val="none"/>
        </w:rPr>
        <w:t>第二章  供应商须知</w:t>
      </w:r>
    </w:p>
    <w:p>
      <w:pPr>
        <w:spacing w:line="800" w:lineRule="exact"/>
        <w:rPr>
          <w:rFonts w:ascii="宋体" w:hAnsi="宋体" w:cs="宋体"/>
          <w:b/>
          <w:sz w:val="32"/>
          <w:szCs w:val="32"/>
          <w:highlight w:val="none"/>
        </w:rPr>
      </w:pPr>
      <w:r>
        <w:rPr>
          <w:rFonts w:hint="eastAsia" w:ascii="宋体" w:hAnsi="宋体" w:cs="宋体"/>
          <w:b/>
          <w:sz w:val="32"/>
          <w:szCs w:val="32"/>
          <w:highlight w:val="none"/>
        </w:rPr>
        <w:t>第三章  采购项目内容及要求</w:t>
      </w:r>
    </w:p>
    <w:p>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p>
    <w:p>
      <w:pPr>
        <w:spacing w:line="800" w:lineRule="exact"/>
        <w:rPr>
          <w:rFonts w:ascii="宋体" w:hAnsi="宋体" w:cs="宋体"/>
          <w:b/>
          <w:sz w:val="32"/>
          <w:szCs w:val="32"/>
          <w:highlight w:val="none"/>
        </w:rPr>
      </w:pPr>
      <w:r>
        <w:rPr>
          <w:rFonts w:hint="eastAsia" w:ascii="宋体" w:hAnsi="宋体" w:cs="宋体"/>
          <w:b/>
          <w:sz w:val="32"/>
          <w:szCs w:val="32"/>
          <w:highlight w:val="none"/>
        </w:rPr>
        <w:t>第五章  合同主要条款 合同签订指引、供应商履约验收指引</w:t>
      </w:r>
    </w:p>
    <w:p>
      <w:pPr>
        <w:spacing w:line="800" w:lineRule="exact"/>
        <w:ind w:firstLine="2249" w:firstLineChars="700"/>
        <w:rPr>
          <w:rFonts w:ascii="宋体" w:hAnsi="宋体" w:cs="宋体"/>
          <w:b/>
          <w:sz w:val="32"/>
          <w:szCs w:val="32"/>
          <w:highlight w:val="none"/>
        </w:rPr>
      </w:pPr>
    </w:p>
    <w:p>
      <w:pPr>
        <w:spacing w:line="800" w:lineRule="exact"/>
        <w:ind w:firstLine="2249" w:firstLineChars="700"/>
        <w:rPr>
          <w:rFonts w:ascii="宋体" w:hAnsi="宋体" w:cs="宋体"/>
          <w:b/>
          <w:sz w:val="32"/>
          <w:szCs w:val="32"/>
          <w:highlight w:val="none"/>
        </w:rPr>
      </w:pPr>
    </w:p>
    <w:p>
      <w:pPr>
        <w:spacing w:line="800" w:lineRule="exact"/>
        <w:ind w:firstLine="2249" w:firstLineChars="700"/>
        <w:rPr>
          <w:rFonts w:ascii="宋体" w:hAnsi="宋体" w:cs="宋体"/>
          <w:b/>
          <w:sz w:val="32"/>
          <w:szCs w:val="32"/>
          <w:highlight w:val="none"/>
        </w:rPr>
      </w:pPr>
    </w:p>
    <w:p>
      <w:pPr>
        <w:jc w:val="center"/>
        <w:rPr>
          <w:rFonts w:ascii="宋体" w:hAnsi="宋体" w:cs="宋体"/>
          <w:b/>
          <w:sz w:val="32"/>
          <w:szCs w:val="32"/>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第一章    竞争性磋商邀请函</w:t>
      </w:r>
    </w:p>
    <w:p>
      <w:pPr>
        <w:pStyle w:val="40"/>
        <w:rPr>
          <w:highlight w:val="none"/>
        </w:rPr>
      </w:pP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项目概况</w:t>
      </w:r>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宋体" w:hAnsi="宋体" w:cs="宋体"/>
          <w:sz w:val="24"/>
          <w:highlight w:val="none"/>
          <w:lang w:eastAsia="zh-CN"/>
        </w:rPr>
        <w:t>周口市第六人民医院家庭病床信息管理平台（居民端）项目</w:t>
      </w:r>
      <w:r>
        <w:rPr>
          <w:rFonts w:hint="eastAsia" w:ascii="宋体" w:hAnsi="宋体" w:cs="宋体"/>
          <w:sz w:val="24"/>
          <w:highlight w:val="none"/>
        </w:rPr>
        <w:t>的潜在投标人应在周口市公共资源交易中心网（</w:t>
      </w:r>
      <w:r>
        <w:rPr>
          <w:rFonts w:hint="eastAsia" w:ascii="宋体" w:hAnsi="宋体" w:cs="宋体"/>
          <w:sz w:val="24"/>
          <w:highlight w:val="none"/>
          <w:lang w:eastAsia="zh-CN"/>
        </w:rPr>
        <w:t>http://221.14.138.68/</w:t>
      </w:r>
      <w:r>
        <w:rPr>
          <w:rFonts w:hint="eastAsia" w:ascii="宋体" w:hAnsi="宋体" w:cs="宋体"/>
          <w:sz w:val="24"/>
          <w:highlight w:val="none"/>
        </w:rPr>
        <w:t>）获取招标文件，并于</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分（北京时间）前递交投标文件。</w:t>
      </w:r>
    </w:p>
    <w:p>
      <w:pPr>
        <w:pStyle w:val="8"/>
        <w:autoSpaceDE w:val="0"/>
        <w:autoSpaceDN w:val="0"/>
        <w:spacing w:line="360" w:lineRule="auto"/>
        <w:jc w:val="left"/>
        <w:rPr>
          <w:rFonts w:asciiTheme="minorEastAsia" w:hAnsiTheme="minorEastAsia" w:eastAsiaTheme="minorEastAsia" w:cstheme="minorEastAsia"/>
          <w:sz w:val="24"/>
          <w:highlight w:val="none"/>
        </w:rPr>
      </w:pPr>
      <w:bookmarkStart w:id="0" w:name="_Toc28359012"/>
      <w:bookmarkStart w:id="1" w:name="_Toc35393798"/>
      <w:bookmarkStart w:id="2" w:name="_Toc28359089"/>
      <w:bookmarkStart w:id="3" w:name="_Toc35393629"/>
      <w:r>
        <w:rPr>
          <w:rFonts w:hint="eastAsia" w:asciiTheme="minorEastAsia" w:hAnsiTheme="minorEastAsia" w:eastAsiaTheme="minorEastAsia" w:cstheme="minorEastAsia"/>
          <w:sz w:val="24"/>
          <w:highlight w:val="none"/>
        </w:rPr>
        <w:t>一、项目基本情况</w:t>
      </w:r>
      <w:bookmarkEnd w:id="0"/>
      <w:bookmarkEnd w:id="1"/>
      <w:bookmarkEnd w:id="2"/>
      <w:bookmarkEnd w:id="3"/>
    </w:p>
    <w:p>
      <w:pPr>
        <w:autoSpaceDE w:val="0"/>
        <w:autoSpaceDN w:val="0"/>
        <w:spacing w:line="360" w:lineRule="auto"/>
        <w:ind w:firstLine="480" w:firstLineChars="200"/>
        <w:rPr>
          <w:rFonts w:hint="default" w:asciiTheme="minorEastAsia" w:hAnsiTheme="minorEastAsia" w:eastAsiaTheme="minorEastAsia" w:cstheme="minorEastAsia"/>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highlight w:val="none"/>
          <w14:textFill>
            <w14:solidFill>
              <w14:schemeClr w14:val="tx1">
                <w14:lumMod w14:val="95000"/>
                <w14:lumOff w14:val="5000"/>
              </w14:schemeClr>
            </w14:solidFill>
          </w14:textFill>
        </w:rPr>
        <w:t>项目编号：</w:t>
      </w:r>
      <w:r>
        <w:rPr>
          <w:rFonts w:hint="eastAsia" w:asciiTheme="minorEastAsia" w:hAnsiTheme="minorEastAsia" w:eastAsiaTheme="minorEastAsia" w:cstheme="minorEastAsia"/>
          <w:color w:val="0D0D0D" w:themeColor="text1" w:themeTint="F2"/>
          <w:sz w:val="24"/>
          <w:highlight w:val="none"/>
          <w:lang w:eastAsia="zh-CN"/>
          <w14:textFill>
            <w14:solidFill>
              <w14:schemeClr w14:val="tx1">
                <w14:lumMod w14:val="95000"/>
                <w14:lumOff w14:val="5000"/>
              </w14:schemeClr>
            </w14:solidFill>
          </w14:textFill>
        </w:rPr>
        <w:t>周财磋商采购-2024-</w:t>
      </w:r>
      <w:r>
        <w:rPr>
          <w:rFonts w:hint="eastAsia" w:asciiTheme="minorEastAsia" w:hAnsiTheme="minorEastAsia" w:eastAsiaTheme="minorEastAsia" w:cstheme="minorEastAsia"/>
          <w:color w:val="0D0D0D" w:themeColor="text1" w:themeTint="F2"/>
          <w:sz w:val="24"/>
          <w:highlight w:val="none"/>
          <w:lang w:val="en-US" w:eastAsia="zh-CN"/>
          <w14:textFill>
            <w14:solidFill>
              <w14:schemeClr w14:val="tx1">
                <w14:lumMod w14:val="95000"/>
                <w14:lumOff w14:val="5000"/>
              </w14:schemeClr>
            </w14:solidFill>
          </w14:textFill>
        </w:rPr>
        <w:t>24</w:t>
      </w:r>
    </w:p>
    <w:p>
      <w:pPr>
        <w:autoSpaceDE w:val="0"/>
        <w:autoSpaceDN w:val="0"/>
        <w:spacing w:line="360" w:lineRule="auto"/>
        <w:ind w:left="1680" w:leftChars="200" w:hanging="1260" w:hangingChars="525"/>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lang w:eastAsia="zh-CN"/>
        </w:rPr>
        <w:t>周口市第六人民医院家庭病床信息管理平台（居民端）项目</w:t>
      </w:r>
    </w:p>
    <w:p>
      <w:pPr>
        <w:autoSpaceDE w:val="0"/>
        <w:autoSpaceDN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采购方式：竞争性磋商</w:t>
      </w:r>
    </w:p>
    <w:p>
      <w:pPr>
        <w:autoSpaceDE w:val="0"/>
        <w:autoSpaceDN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预算金额：</w:t>
      </w:r>
      <w:r>
        <w:rPr>
          <w:rFonts w:hint="eastAsia" w:asciiTheme="minorEastAsia" w:hAnsiTheme="minorEastAsia" w:eastAsiaTheme="minorEastAsia" w:cstheme="minorEastAsia"/>
          <w:sz w:val="24"/>
          <w:highlight w:val="none"/>
          <w:lang w:val="en-US" w:eastAsia="zh-CN"/>
        </w:rPr>
        <w:t>600000.00</w:t>
      </w:r>
      <w:r>
        <w:rPr>
          <w:rFonts w:hint="eastAsia" w:asciiTheme="minorEastAsia" w:hAnsiTheme="minorEastAsia" w:eastAsiaTheme="minorEastAsia" w:cstheme="minorEastAsia"/>
          <w:sz w:val="24"/>
          <w:highlight w:val="none"/>
          <w:lang w:eastAsia="zh-CN"/>
        </w:rPr>
        <w:t>元</w:t>
      </w:r>
    </w:p>
    <w:p>
      <w:pPr>
        <w:autoSpaceDE w:val="0"/>
        <w:autoSpaceDN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最高限价：</w:t>
      </w:r>
      <w:r>
        <w:rPr>
          <w:rFonts w:hint="eastAsia" w:asciiTheme="minorEastAsia" w:hAnsiTheme="minorEastAsia" w:eastAsiaTheme="minorEastAsia" w:cstheme="minorEastAsia"/>
          <w:sz w:val="24"/>
          <w:highlight w:val="none"/>
          <w:lang w:val="en-US" w:eastAsia="zh-CN"/>
        </w:rPr>
        <w:t>600000.00</w:t>
      </w:r>
      <w:r>
        <w:rPr>
          <w:rFonts w:hint="eastAsia" w:asciiTheme="minorEastAsia" w:hAnsiTheme="minorEastAsia" w:eastAsiaTheme="minorEastAsia" w:cstheme="minorEastAsia"/>
          <w:sz w:val="24"/>
          <w:highlight w:val="none"/>
          <w:lang w:eastAsia="zh-CN"/>
        </w:rPr>
        <w:t>元</w:t>
      </w:r>
    </w:p>
    <w:p>
      <w:pPr>
        <w:pStyle w:val="25"/>
        <w:snapToGrid w:val="0"/>
        <w:spacing w:before="0" w:beforeAutospacing="0" w:after="0" w:afterAutospacing="0" w:line="360" w:lineRule="auto"/>
        <w:ind w:firstLine="480"/>
        <w:jc w:val="both"/>
        <w:rPr>
          <w:rFonts w:cs="宋体"/>
          <w:color w:val="000000"/>
          <w:highlight w:val="none"/>
        </w:rPr>
      </w:pPr>
      <w:r>
        <w:rPr>
          <w:rFonts w:hint="eastAsia" w:cs="宋体"/>
          <w:color w:val="000000"/>
          <w:highlight w:val="none"/>
        </w:rPr>
        <w:t>包划分：</w:t>
      </w:r>
      <w:r>
        <w:rPr>
          <w:rFonts w:hint="eastAsia" w:cs="宋体"/>
          <w:color w:val="000000"/>
          <w:highlight w:val="none"/>
          <w:lang w:val="en-US" w:eastAsia="zh-CN"/>
        </w:rPr>
        <w:t>1</w:t>
      </w:r>
      <w:r>
        <w:rPr>
          <w:rFonts w:hint="eastAsia" w:cs="宋体"/>
          <w:color w:val="000000"/>
          <w:highlight w:val="none"/>
        </w:rPr>
        <w:t>个包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628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Align w:val="center"/>
          </w:tcPr>
          <w:p>
            <w:pPr>
              <w:pStyle w:val="25"/>
              <w:shd w:val="clear" w:color="auto" w:fill="FFFFFF"/>
              <w:adjustRightInd w:val="0"/>
              <w:snapToGrid w:val="0"/>
              <w:spacing w:before="0" w:beforeAutospacing="0" w:after="0" w:afterAutospacing="0" w:line="360" w:lineRule="auto"/>
              <w:jc w:val="center"/>
              <w:rPr>
                <w:highlight w:val="none"/>
              </w:rPr>
            </w:pPr>
            <w:r>
              <w:rPr>
                <w:rFonts w:hint="eastAsia" w:cs="宋体" w:asciiTheme="minorEastAsia" w:hAnsiTheme="minorEastAsia" w:eastAsiaTheme="minorEastAsia"/>
                <w:kern w:val="2"/>
                <w:szCs w:val="24"/>
                <w:highlight w:val="none"/>
              </w:rPr>
              <w:t>包号</w:t>
            </w:r>
          </w:p>
        </w:tc>
        <w:tc>
          <w:tcPr>
            <w:tcW w:w="6286" w:type="dxa"/>
            <w:vAlign w:val="center"/>
          </w:tcPr>
          <w:p>
            <w:pPr>
              <w:pStyle w:val="25"/>
              <w:shd w:val="clear" w:color="auto" w:fill="FFFFFF"/>
              <w:adjustRightInd w:val="0"/>
              <w:snapToGrid w:val="0"/>
              <w:spacing w:before="0" w:beforeAutospacing="0" w:after="0" w:afterAutospacing="0" w:line="360" w:lineRule="auto"/>
              <w:jc w:val="center"/>
              <w:rPr>
                <w:highlight w:val="none"/>
              </w:rPr>
            </w:pPr>
            <w:r>
              <w:rPr>
                <w:rFonts w:hint="eastAsia" w:cs="宋体" w:asciiTheme="minorEastAsia" w:hAnsiTheme="minorEastAsia" w:eastAsiaTheme="minorEastAsia"/>
                <w:kern w:val="2"/>
                <w:szCs w:val="24"/>
                <w:highlight w:val="none"/>
              </w:rPr>
              <w:t>包名称</w:t>
            </w:r>
          </w:p>
        </w:tc>
        <w:tc>
          <w:tcPr>
            <w:tcW w:w="0" w:type="auto"/>
            <w:vAlign w:val="center"/>
          </w:tcPr>
          <w:p>
            <w:pPr>
              <w:pStyle w:val="25"/>
              <w:shd w:val="clear" w:color="auto" w:fill="FFFFFF"/>
              <w:adjustRightInd w:val="0"/>
              <w:snapToGrid w:val="0"/>
              <w:spacing w:before="0" w:beforeAutospacing="0" w:after="0" w:afterAutospacing="0" w:line="360" w:lineRule="auto"/>
              <w:jc w:val="center"/>
              <w:rPr>
                <w:highlight w:val="none"/>
              </w:rPr>
            </w:pPr>
            <w:r>
              <w:rPr>
                <w:rFonts w:hint="eastAsia" w:cs="宋体" w:asciiTheme="minorEastAsia" w:hAnsiTheme="minorEastAsia" w:eastAsiaTheme="minorEastAsia"/>
                <w:kern w:val="2"/>
                <w:szCs w:val="24"/>
                <w:highlight w:val="none"/>
              </w:rPr>
              <w:t>包最高限价</w:t>
            </w:r>
            <w:r>
              <w:rPr>
                <w:rFonts w:hint="eastAsia" w:cs="宋体" w:asciiTheme="minorEastAsia" w:hAnsiTheme="minorEastAsia" w:eastAsiaTheme="minorEastAsia"/>
                <w:kern w:val="2"/>
                <w:szCs w:val="24"/>
                <w:highlight w:val="none"/>
                <w:lang w:eastAsia="zh-CN"/>
              </w:rPr>
              <w:t>（</w:t>
            </w:r>
            <w:r>
              <w:rPr>
                <w:rFonts w:hint="eastAsia" w:cs="宋体" w:asciiTheme="minorEastAsia" w:hAnsiTheme="minorEastAsia" w:eastAsiaTheme="minorEastAsia"/>
                <w:kern w:val="2"/>
                <w:szCs w:val="24"/>
                <w:highlight w:val="none"/>
              </w:rPr>
              <w:t>元</w:t>
            </w:r>
            <w:r>
              <w:rPr>
                <w:rFonts w:hint="eastAsia" w:cs="宋体" w:asciiTheme="minorEastAsia" w:hAnsiTheme="minorEastAsia" w:eastAsiaTheme="minorEastAsia"/>
                <w:kern w:val="2"/>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pPr>
              <w:pStyle w:val="25"/>
              <w:shd w:val="clear" w:color="auto" w:fill="FFFFFF"/>
              <w:adjustRightInd w:val="0"/>
              <w:snapToGrid w:val="0"/>
              <w:spacing w:before="0" w:beforeAutospacing="0" w:after="0" w:afterAutospacing="0" w:line="360" w:lineRule="auto"/>
              <w:jc w:val="center"/>
              <w:rPr>
                <w:highlight w:val="none"/>
              </w:rPr>
            </w:pPr>
            <w:r>
              <w:rPr>
                <w:rFonts w:hint="eastAsia" w:cs="宋体" w:asciiTheme="minorEastAsia" w:hAnsiTheme="minorEastAsia" w:eastAsiaTheme="minorEastAsia"/>
                <w:kern w:val="2"/>
                <w:szCs w:val="24"/>
                <w:highlight w:val="none"/>
              </w:rPr>
              <w:t>1</w:t>
            </w:r>
          </w:p>
        </w:tc>
        <w:tc>
          <w:tcPr>
            <w:tcW w:w="6286" w:type="dxa"/>
            <w:vAlign w:val="center"/>
          </w:tcPr>
          <w:p>
            <w:pPr>
              <w:adjustRightInd w:val="0"/>
              <w:snapToGrid w:val="0"/>
              <w:spacing w:line="360" w:lineRule="auto"/>
              <w:rPr>
                <w:highlight w:val="none"/>
              </w:rPr>
            </w:pPr>
            <w:r>
              <w:rPr>
                <w:rFonts w:hint="eastAsia" w:asciiTheme="minorEastAsia" w:hAnsiTheme="minorEastAsia" w:eastAsiaTheme="minorEastAsia" w:cstheme="minorEastAsia"/>
                <w:sz w:val="24"/>
                <w:highlight w:val="none"/>
                <w:lang w:eastAsia="zh-CN"/>
              </w:rPr>
              <w:t>周口市第六人民医院家庭病床信息管理平台（居民端）项目</w:t>
            </w:r>
          </w:p>
        </w:tc>
        <w:tc>
          <w:tcPr>
            <w:tcW w:w="0" w:type="auto"/>
            <w:vAlign w:val="center"/>
          </w:tcPr>
          <w:p>
            <w:pPr>
              <w:adjustRightInd w:val="0"/>
              <w:snapToGrid w:val="0"/>
              <w:spacing w:line="360" w:lineRule="auto"/>
              <w:rPr>
                <w:rFonts w:hint="eastAsia" w:eastAsia="宋体"/>
                <w:highlight w:val="none"/>
                <w:lang w:val="en-US" w:eastAsia="zh-CN"/>
              </w:rPr>
            </w:pPr>
            <w:r>
              <w:rPr>
                <w:rFonts w:hint="eastAsia" w:asciiTheme="minorEastAsia" w:hAnsiTheme="minorEastAsia" w:eastAsiaTheme="minorEastAsia" w:cstheme="minorEastAsia"/>
                <w:sz w:val="24"/>
                <w:highlight w:val="none"/>
                <w:lang w:val="en-US" w:eastAsia="zh-CN"/>
              </w:rPr>
              <w:t>600000.00</w:t>
            </w:r>
          </w:p>
        </w:tc>
      </w:tr>
    </w:tbl>
    <w:p>
      <w:pPr>
        <w:autoSpaceDE w:val="0"/>
        <w:autoSpaceDN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w:t>
      </w:r>
      <w:r>
        <w:rPr>
          <w:rFonts w:hint="eastAsia" w:asciiTheme="minorEastAsia" w:hAnsiTheme="minorEastAsia" w:eastAsiaTheme="minorEastAsia" w:cstheme="minorEastAsia"/>
          <w:color w:val="0D0D0D" w:themeColor="text1" w:themeTint="F2"/>
          <w:sz w:val="24"/>
          <w:highlight w:val="none"/>
          <w14:textFill>
            <w14:solidFill>
              <w14:schemeClr w14:val="tx1">
                <w14:lumMod w14:val="95000"/>
                <w14:lumOff w14:val="5000"/>
              </w14:schemeClr>
            </w14:solidFill>
          </w14:textFill>
        </w:rPr>
        <w:t>需求：</w:t>
      </w:r>
      <w:r>
        <w:rPr>
          <w:rFonts w:hint="eastAsia" w:asciiTheme="minorEastAsia" w:hAnsiTheme="minorEastAsia" w:eastAsiaTheme="minorEastAsia" w:cstheme="minorEastAsia"/>
          <w:color w:val="0D0D0D" w:themeColor="text1" w:themeTint="F2"/>
          <w:sz w:val="24"/>
          <w:highlight w:val="none"/>
          <w:lang w:val="en-US" w:eastAsia="zh-CN"/>
          <w14:textFill>
            <w14:solidFill>
              <w14:schemeClr w14:val="tx1">
                <w14:lumMod w14:val="95000"/>
                <w14:lumOff w14:val="5000"/>
              </w14:schemeClr>
            </w14:solidFill>
          </w14:textFill>
        </w:rPr>
        <w:t>通信网络维护和管理系统</w:t>
      </w:r>
      <w:r>
        <w:rPr>
          <w:rFonts w:hint="eastAsia" w:asciiTheme="minorEastAsia" w:hAnsiTheme="minorEastAsia" w:eastAsiaTheme="minorEastAsia" w:cstheme="minorEastAsia"/>
          <w:color w:val="0D0D0D" w:themeColor="text1" w:themeTint="F2"/>
          <w:sz w:val="24"/>
          <w:highlight w:val="none"/>
          <w14:textFill>
            <w14:solidFill>
              <w14:schemeClr w14:val="tx1">
                <w14:lumMod w14:val="95000"/>
                <w14:lumOff w14:val="5000"/>
              </w14:schemeClr>
            </w14:solidFill>
          </w14:textFill>
        </w:rPr>
        <w:t>（包括但</w:t>
      </w:r>
      <w:r>
        <w:rPr>
          <w:rFonts w:hint="eastAsia" w:asciiTheme="minorEastAsia" w:hAnsiTheme="minorEastAsia" w:eastAsiaTheme="minorEastAsia" w:cstheme="minorEastAsia"/>
          <w:sz w:val="24"/>
          <w:highlight w:val="none"/>
        </w:rPr>
        <w:t>不限于标的的名称、数量、简要技术需求或服务要求等）</w:t>
      </w:r>
    </w:p>
    <w:p>
      <w:pPr>
        <w:autoSpaceDE w:val="0"/>
        <w:autoSpaceDN w:val="0"/>
        <w:spacing w:line="360" w:lineRule="auto"/>
        <w:ind w:firstLine="480" w:firstLineChars="200"/>
        <w:rPr>
          <w:rFonts w:hint="default"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rPr>
        <w:t>合同履行期限：</w:t>
      </w:r>
      <w:r>
        <w:rPr>
          <w:rFonts w:hint="eastAsia" w:asciiTheme="minorEastAsia" w:hAnsiTheme="minorEastAsia" w:cstheme="minorEastAsia"/>
          <w:color w:val="auto"/>
          <w:sz w:val="24"/>
          <w:szCs w:val="24"/>
          <w:highlight w:val="none"/>
          <w:lang w:val="en-US" w:eastAsia="zh-CN"/>
        </w:rPr>
        <w:t>一年</w:t>
      </w:r>
    </w:p>
    <w:p>
      <w:pPr>
        <w:spacing w:line="360" w:lineRule="auto"/>
        <w:ind w:firstLine="480" w:firstLineChars="200"/>
        <w:jc w:val="left"/>
        <w:rPr>
          <w:rFonts w:ascii="宋体" w:hAnsi="宋体" w:cs="宋体"/>
          <w:sz w:val="24"/>
          <w:highlight w:val="none"/>
        </w:rPr>
      </w:pPr>
      <w:bookmarkStart w:id="4" w:name="_Toc35393799"/>
      <w:bookmarkStart w:id="5" w:name="_Toc28359013"/>
      <w:bookmarkStart w:id="6" w:name="_Toc35393630"/>
      <w:bookmarkStart w:id="7" w:name="_Toc28359090"/>
      <w:r>
        <w:rPr>
          <w:rFonts w:hint="eastAsia" w:ascii="宋体" w:hAnsi="宋体" w:cs="宋体"/>
          <w:sz w:val="24"/>
          <w:highlight w:val="none"/>
        </w:rPr>
        <w:t>是否接受进口产品：否</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本项目是否接受联合体投标：否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highlight w:val="none"/>
          <w:lang w:eastAsia="zh-CN"/>
        </w:rPr>
      </w:pPr>
      <w:r>
        <w:rPr>
          <w:rFonts w:hint="eastAsia" w:ascii="宋体" w:hAnsi="宋体" w:cs="宋体"/>
          <w:sz w:val="24"/>
          <w:highlight w:val="none"/>
        </w:rPr>
        <w:t>本项目是否为只面向中小企业采购：</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否</w:t>
      </w:r>
    </w:p>
    <w:p>
      <w:pPr>
        <w:pStyle w:val="8"/>
        <w:autoSpaceDE w:val="0"/>
        <w:autoSpaceDN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二、申请人的资格要求：</w:t>
      </w:r>
      <w:bookmarkEnd w:id="4"/>
      <w:bookmarkEnd w:id="5"/>
      <w:bookmarkEnd w:id="6"/>
      <w:bookmarkEnd w:id="7"/>
    </w:p>
    <w:p>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pPr>
        <w:adjustRightInd w:val="0"/>
        <w:snapToGrid w:val="0"/>
        <w:spacing w:line="360" w:lineRule="auto"/>
        <w:ind w:firstLine="480" w:firstLineChars="200"/>
        <w:rPr>
          <w:highlight w:val="none"/>
        </w:rPr>
      </w:pPr>
      <w:r>
        <w:rPr>
          <w:rFonts w:hint="eastAsia"/>
          <w:sz w:val="24"/>
          <w:highlight w:val="none"/>
        </w:rPr>
        <w:t xml:space="preserve">（6）法律、行政法规规定的其他条件。 </w:t>
      </w:r>
    </w:p>
    <w:p>
      <w:pPr>
        <w:autoSpaceDE w:val="0"/>
        <w:autoSpaceDN w:val="0"/>
        <w:spacing w:line="360" w:lineRule="auto"/>
        <w:ind w:firstLine="540"/>
        <w:rPr>
          <w:rFonts w:asciiTheme="minorEastAsia" w:hAnsiTheme="minorEastAsia" w:eastAsiaTheme="minorEastAsia" w:cstheme="minorEastAsia"/>
          <w:sz w:val="24"/>
          <w:highlight w:val="none"/>
        </w:rPr>
      </w:pPr>
      <w:bookmarkStart w:id="8" w:name="_Toc28359014"/>
      <w:bookmarkStart w:id="9" w:name="_Toc28359091"/>
      <w:r>
        <w:rPr>
          <w:rFonts w:hint="eastAsia" w:asciiTheme="minorEastAsia" w:hAnsiTheme="minorEastAsia" w:eastAsiaTheme="minorEastAsia" w:cstheme="minorEastAsia"/>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3.本项目的特定资格要求：</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（根据《关于在政府采购活动中查询及使用信用记录有关问题的通知》(财库[2016]125号)和豫财购【2016】15号的规定，对列入“信用中国”网站（</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"http://www.creditchina.gov.cn/"</w:instrText>
      </w:r>
      <w:r>
        <w:rPr>
          <w:rFonts w:hint="eastAsia" w:ascii="宋体" w:hAnsi="宋体" w:cs="宋体"/>
          <w:sz w:val="24"/>
          <w:highlight w:val="none"/>
        </w:rPr>
        <w:fldChar w:fldCharType="separate"/>
      </w:r>
      <w:r>
        <w:rPr>
          <w:rFonts w:hint="eastAsia" w:ascii="宋体" w:hAnsi="宋体" w:cs="宋体"/>
          <w:sz w:val="24"/>
          <w:highlight w:val="none"/>
        </w:rPr>
        <w:t>www.creditchina.gov.cn</w:t>
      </w:r>
      <w:r>
        <w:rPr>
          <w:rFonts w:hint="eastAsia" w:ascii="宋体" w:hAnsi="宋体" w:cs="宋体"/>
          <w:sz w:val="24"/>
          <w:highlight w:val="none"/>
        </w:rPr>
        <w:fldChar w:fldCharType="end"/>
      </w:r>
      <w:r>
        <w:rPr>
          <w:rFonts w:hint="eastAsia" w:ascii="宋体" w:hAnsi="宋体" w:cs="宋体"/>
          <w:sz w:val="24"/>
          <w:highlight w:val="none"/>
        </w:rPr>
        <w:t>）的“失信被执行人”、</w:t>
      </w:r>
      <w:r>
        <w:rPr>
          <w:rFonts w:hint="eastAsia" w:ascii="宋体" w:hAnsi="宋体" w:cs="宋体"/>
          <w:sz w:val="24"/>
          <w:highlight w:val="none"/>
          <w:lang w:eastAsia="zh-CN"/>
        </w:rPr>
        <w:t>“</w:t>
      </w:r>
      <w:r>
        <w:rPr>
          <w:rFonts w:hint="eastAsia" w:ascii="宋体" w:hAnsi="宋体" w:cs="宋体"/>
          <w:sz w:val="24"/>
          <w:highlight w:val="none"/>
        </w:rPr>
        <w:t>政府采购严重违法失信行为记录名单</w:t>
      </w:r>
      <w:r>
        <w:rPr>
          <w:rFonts w:hint="eastAsia" w:ascii="宋体" w:hAnsi="宋体" w:cs="宋体"/>
          <w:sz w:val="24"/>
          <w:highlight w:val="none"/>
          <w:lang w:eastAsia="zh-CN"/>
        </w:rPr>
        <w:t>”、“</w:t>
      </w:r>
      <w:r>
        <w:rPr>
          <w:rFonts w:hint="eastAsia" w:ascii="宋体" w:hAnsi="宋体" w:cs="宋体"/>
          <w:sz w:val="24"/>
          <w:highlight w:val="none"/>
          <w:lang w:val="en-US" w:eastAsia="zh-CN"/>
        </w:rPr>
        <w:t>重大税收违法失信主体</w:t>
      </w:r>
      <w:r>
        <w:rPr>
          <w:rFonts w:hint="eastAsia" w:ascii="宋体" w:hAnsi="宋体" w:cs="宋体"/>
          <w:sz w:val="24"/>
          <w:highlight w:val="none"/>
        </w:rPr>
        <w:t>”</w:t>
      </w:r>
      <w:r>
        <w:rPr>
          <w:rFonts w:hint="eastAsia" w:ascii="宋体" w:hAnsi="宋体" w:cs="宋体"/>
          <w:color w:val="auto"/>
          <w:sz w:val="24"/>
          <w:highlight w:val="none"/>
          <w:lang w:eastAsia="zh-CN"/>
        </w:rPr>
        <w:t>的供应商和法定代表人</w:t>
      </w:r>
      <w:r>
        <w:rPr>
          <w:rFonts w:hint="eastAsia" w:ascii="宋体" w:hAnsi="宋体" w:cs="宋体"/>
          <w:color w:val="auto"/>
          <w:sz w:val="24"/>
          <w:highlight w:val="none"/>
        </w:rPr>
        <w:t>和“</w:t>
      </w:r>
      <w:r>
        <w:rPr>
          <w:rFonts w:hint="eastAsia" w:ascii="宋体" w:hAnsi="宋体" w:cs="宋体"/>
          <w:sz w:val="24"/>
          <w:highlight w:val="none"/>
        </w:rPr>
        <w:t>中国政府采购”网站(</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 w:val="24"/>
          <w:highlight w:val="none"/>
        </w:rPr>
        <w:t>www.ccgp.gov.cn</w:t>
      </w:r>
      <w:r>
        <w:rPr>
          <w:rFonts w:hint="eastAsia" w:ascii="宋体" w:hAnsi="宋体" w:cs="宋体"/>
          <w:sz w:val="24"/>
          <w:highlight w:val="none"/>
        </w:rPr>
        <w:fldChar w:fldCharType="end"/>
      </w:r>
      <w:r>
        <w:rPr>
          <w:rFonts w:hint="eastAsia" w:ascii="宋体" w:hAnsi="宋体" w:cs="宋体"/>
          <w:sz w:val="24"/>
          <w:highlight w:val="none"/>
        </w:rPr>
        <w:t>)的“政府采购严重违法失信行为记录名单”的供应商，将拒绝其参加政府采购活动；在标书中附网页查询</w:t>
      </w:r>
      <w:r>
        <w:rPr>
          <w:rFonts w:hint="eastAsia" w:ascii="宋体" w:hAnsi="宋体" w:cs="宋体"/>
          <w:sz w:val="24"/>
          <w:highlight w:val="none"/>
          <w:lang w:eastAsia="zh-CN"/>
        </w:rPr>
        <w:t>截图</w:t>
      </w:r>
      <w:r>
        <w:rPr>
          <w:rFonts w:hint="eastAsia" w:ascii="宋体" w:hAnsi="宋体" w:cs="宋体"/>
          <w:sz w:val="24"/>
          <w:highlight w:val="none"/>
        </w:rPr>
        <w:t>，查询日期为公告发布之日起至投标截止之日止。</w:t>
      </w:r>
    </w:p>
    <w:p>
      <w:pPr>
        <w:pStyle w:val="8"/>
        <w:autoSpaceDE w:val="0"/>
        <w:autoSpaceDN w:val="0"/>
        <w:spacing w:line="360" w:lineRule="auto"/>
        <w:jc w:val="left"/>
        <w:rPr>
          <w:rFonts w:asciiTheme="minorEastAsia" w:hAnsiTheme="minorEastAsia" w:eastAsiaTheme="minorEastAsia" w:cstheme="minorEastAsia"/>
          <w:sz w:val="24"/>
          <w:highlight w:val="none"/>
        </w:rPr>
      </w:pPr>
      <w:bookmarkStart w:id="10" w:name="_Toc35393800"/>
      <w:bookmarkStart w:id="11" w:name="_Toc35393631"/>
      <w:r>
        <w:rPr>
          <w:rFonts w:hint="eastAsia" w:asciiTheme="minorEastAsia" w:hAnsiTheme="minorEastAsia" w:eastAsiaTheme="minorEastAsia" w:cstheme="minorEastAsia"/>
          <w:sz w:val="24"/>
          <w:highlight w:val="none"/>
        </w:rPr>
        <w:t>三、获取采购文件</w:t>
      </w:r>
      <w:bookmarkEnd w:id="8"/>
      <w:bookmarkEnd w:id="9"/>
      <w:bookmarkEnd w:id="10"/>
      <w:bookmarkEnd w:id="11"/>
    </w:p>
    <w:p>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u w:val="single"/>
          <w:lang w:val="en-US" w:eastAsia="zh-CN"/>
        </w:rPr>
        <w:t>2024</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4</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10</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lang w:val="en-US" w:eastAsia="zh-CN"/>
        </w:rPr>
        <w:t>2024</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4</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17</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rPr>
        <w:t>（北京时间，法定节假日除外 ）</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地点：周口市公共资源交易中心网（</w:t>
      </w:r>
      <w:r>
        <w:rPr>
          <w:rFonts w:hint="eastAsia" w:ascii="宋体" w:hAnsi="宋体" w:cs="宋体"/>
          <w:sz w:val="24"/>
          <w:highlight w:val="none"/>
          <w:lang w:eastAsia="zh-CN"/>
        </w:rPr>
        <w:t>http://221.14.138.68/</w:t>
      </w: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售价：0</w:t>
      </w:r>
    </w:p>
    <w:p>
      <w:pPr>
        <w:pStyle w:val="8"/>
        <w:autoSpaceDE w:val="0"/>
        <w:autoSpaceDN w:val="0"/>
        <w:spacing w:line="360" w:lineRule="auto"/>
        <w:jc w:val="left"/>
        <w:rPr>
          <w:rFonts w:asciiTheme="minorEastAsia" w:hAnsiTheme="minorEastAsia" w:eastAsiaTheme="minorEastAsia" w:cstheme="minorEastAsia"/>
          <w:sz w:val="24"/>
          <w:highlight w:val="none"/>
        </w:rPr>
      </w:pPr>
      <w:bookmarkStart w:id="12" w:name="_Toc35393801"/>
      <w:bookmarkStart w:id="13" w:name="_Toc28359015"/>
      <w:bookmarkStart w:id="14" w:name="_Toc28359092"/>
      <w:bookmarkStart w:id="15" w:name="_Toc35393632"/>
      <w:r>
        <w:rPr>
          <w:rFonts w:hint="eastAsia" w:asciiTheme="minorEastAsia" w:hAnsiTheme="minorEastAsia" w:eastAsiaTheme="minorEastAsia" w:cstheme="minorEastAsia"/>
          <w:sz w:val="24"/>
          <w:highlight w:val="none"/>
        </w:rPr>
        <w:t>四、响应文件提交</w:t>
      </w:r>
      <w:bookmarkEnd w:id="12"/>
      <w:bookmarkEnd w:id="13"/>
      <w:bookmarkEnd w:id="14"/>
      <w:bookmarkEnd w:id="15"/>
    </w:p>
    <w:p>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截止时间：</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w:t>
      </w:r>
      <w:r>
        <w:rPr>
          <w:rFonts w:hint="eastAsia" w:asciiTheme="minorEastAsia" w:hAnsiTheme="minorEastAsia" w:eastAsiaTheme="minorEastAsia" w:cstheme="minorEastAsia"/>
          <w:bCs/>
          <w:sz w:val="24"/>
          <w:highlight w:val="none"/>
        </w:rPr>
        <w:t>（北京时间）</w:t>
      </w:r>
    </w:p>
    <w:p>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地点：加密电子响应文件须在投标截止时间前通过</w:t>
      </w:r>
      <w:r>
        <w:rPr>
          <w:rFonts w:hint="eastAsia" w:asciiTheme="minorEastAsia" w:hAnsiTheme="minorEastAsia" w:eastAsiaTheme="minorEastAsia" w:cstheme="minorEastAsia"/>
          <w:spacing w:val="-6"/>
          <w:sz w:val="24"/>
          <w:highlight w:val="none"/>
        </w:rPr>
        <w:t>周口市公共资源交易中心网</w:t>
      </w:r>
      <w:r>
        <w:rPr>
          <w:rFonts w:hint="eastAsia" w:asciiTheme="minorEastAsia" w:hAnsiTheme="minorEastAsia" w:eastAsiaTheme="minorEastAsia" w:cstheme="minorEastAsia"/>
          <w:sz w:val="24"/>
          <w:highlight w:val="none"/>
        </w:rPr>
        <w:t>（网址</w:t>
      </w:r>
      <w:r>
        <w:rPr>
          <w:rFonts w:hint="eastAsia" w:asciiTheme="minorEastAsia" w:hAnsiTheme="minorEastAsia" w:eastAsiaTheme="minorEastAsia" w:cstheme="minorEastAsia"/>
          <w:color w:val="000000"/>
          <w:sz w:val="24"/>
          <w:highlight w:val="none"/>
          <w:lang w:eastAsia="zh-CN"/>
        </w:rPr>
        <w:t>http://221.14.138.68/</w:t>
      </w:r>
      <w:r>
        <w:rPr>
          <w:rFonts w:hint="eastAsia" w:asciiTheme="minorEastAsia" w:hAnsiTheme="minorEastAsia" w:eastAsiaTheme="minorEastAsia" w:cstheme="minorEastAsia"/>
          <w:sz w:val="24"/>
          <w:highlight w:val="none"/>
        </w:rPr>
        <w:t>）。</w:t>
      </w:r>
    </w:p>
    <w:p>
      <w:pPr>
        <w:pStyle w:val="8"/>
        <w:autoSpaceDE w:val="0"/>
        <w:autoSpaceDN w:val="0"/>
        <w:spacing w:line="360" w:lineRule="auto"/>
        <w:jc w:val="left"/>
        <w:rPr>
          <w:rFonts w:asciiTheme="minorEastAsia" w:hAnsiTheme="minorEastAsia" w:eastAsiaTheme="minorEastAsia" w:cstheme="minorEastAsia"/>
          <w:sz w:val="24"/>
          <w:highlight w:val="none"/>
        </w:rPr>
      </w:pPr>
      <w:bookmarkStart w:id="16" w:name="_Toc28359016"/>
      <w:bookmarkStart w:id="17" w:name="_Toc35393633"/>
      <w:bookmarkStart w:id="18" w:name="_Toc35393802"/>
      <w:bookmarkStart w:id="19" w:name="_Toc28359093"/>
      <w:r>
        <w:rPr>
          <w:rFonts w:hint="eastAsia" w:asciiTheme="minorEastAsia" w:hAnsiTheme="minorEastAsia" w:eastAsiaTheme="minorEastAsia" w:cstheme="minorEastAsia"/>
          <w:sz w:val="24"/>
          <w:highlight w:val="none"/>
        </w:rPr>
        <w:t>五、开启（竞争性磋商方式必须填写）</w:t>
      </w:r>
      <w:bookmarkEnd w:id="16"/>
      <w:bookmarkEnd w:id="17"/>
      <w:bookmarkEnd w:id="18"/>
      <w:bookmarkEnd w:id="19"/>
    </w:p>
    <w:p>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时间：</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w:t>
      </w:r>
      <w:r>
        <w:rPr>
          <w:rFonts w:hint="eastAsia" w:asciiTheme="minorEastAsia" w:hAnsiTheme="minorEastAsia" w:eastAsiaTheme="minorEastAsia" w:cstheme="minorEastAsia"/>
          <w:bCs/>
          <w:sz w:val="24"/>
          <w:highlight w:val="none"/>
        </w:rPr>
        <w:t>（北京时间）</w:t>
      </w:r>
    </w:p>
    <w:p>
      <w:pPr>
        <w:autoSpaceDE w:val="0"/>
        <w:autoSpaceDN w:val="0"/>
        <w:spacing w:line="360" w:lineRule="auto"/>
        <w:ind w:firstLine="480" w:firstLineChars="200"/>
        <w:jc w:val="left"/>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w:t>
      </w:r>
      <w:r>
        <w:rPr>
          <w:rFonts w:hint="eastAsia" w:ascii="宋体" w:hAnsi="宋体" w:cs="宋体"/>
          <w:sz w:val="24"/>
          <w:highlight w:val="none"/>
        </w:rPr>
        <w:t>周口市公共资源交易中心开标室</w:t>
      </w:r>
    </w:p>
    <w:p>
      <w:pPr>
        <w:pStyle w:val="8"/>
        <w:autoSpaceDE w:val="0"/>
        <w:autoSpaceDN w:val="0"/>
        <w:spacing w:line="360" w:lineRule="auto"/>
        <w:jc w:val="left"/>
        <w:rPr>
          <w:rFonts w:asciiTheme="minorEastAsia" w:hAnsiTheme="minorEastAsia" w:eastAsiaTheme="minorEastAsia" w:cstheme="minorEastAsia"/>
          <w:sz w:val="24"/>
          <w:highlight w:val="none"/>
        </w:rPr>
      </w:pPr>
      <w:bookmarkStart w:id="20" w:name="_Toc28359094"/>
      <w:bookmarkStart w:id="21" w:name="_Toc28359017"/>
      <w:bookmarkStart w:id="22" w:name="_Toc35393634"/>
      <w:bookmarkStart w:id="23" w:name="_Toc35393803"/>
      <w:r>
        <w:rPr>
          <w:rFonts w:hint="eastAsia" w:asciiTheme="minorEastAsia" w:hAnsiTheme="minorEastAsia" w:eastAsiaTheme="minorEastAsia" w:cstheme="minorEastAsia"/>
          <w:sz w:val="24"/>
          <w:highlight w:val="none"/>
        </w:rPr>
        <w:t>六、公告期限</w:t>
      </w:r>
      <w:bookmarkEnd w:id="20"/>
      <w:bookmarkEnd w:id="21"/>
      <w:bookmarkEnd w:id="22"/>
      <w:bookmarkEnd w:id="23"/>
    </w:p>
    <w:p>
      <w:pPr>
        <w:autoSpaceDE w:val="0"/>
        <w:autoSpaceDN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w:t>
      </w:r>
      <w:r>
        <w:rPr>
          <w:rFonts w:hint="eastAsia" w:asciiTheme="minorEastAsia" w:hAnsiTheme="minorEastAsia" w:eastAsiaTheme="minorEastAsia" w:cstheme="minorEastAsia"/>
          <w:kern w:val="0"/>
          <w:sz w:val="24"/>
          <w:highlight w:val="none"/>
          <w:lang w:val="en-US" w:eastAsia="zh-CN"/>
        </w:rPr>
        <w:t>5</w:t>
      </w:r>
      <w:r>
        <w:rPr>
          <w:rFonts w:hint="eastAsia" w:asciiTheme="minorEastAsia" w:hAnsiTheme="minorEastAsia" w:eastAsiaTheme="minorEastAsia" w:cstheme="minorEastAsia"/>
          <w:kern w:val="0"/>
          <w:sz w:val="24"/>
          <w:highlight w:val="none"/>
        </w:rPr>
        <w:t>个工作日。</w:t>
      </w:r>
    </w:p>
    <w:p>
      <w:pPr>
        <w:pStyle w:val="8"/>
        <w:autoSpaceDE w:val="0"/>
        <w:autoSpaceDN w:val="0"/>
        <w:spacing w:line="360" w:lineRule="auto"/>
        <w:jc w:val="left"/>
        <w:rPr>
          <w:rFonts w:asciiTheme="minorEastAsia" w:hAnsiTheme="minorEastAsia" w:eastAsiaTheme="minorEastAsia" w:cstheme="minorEastAsia"/>
          <w:sz w:val="24"/>
          <w:highlight w:val="none"/>
        </w:rPr>
      </w:pPr>
      <w:bookmarkStart w:id="24" w:name="_Toc35393804"/>
      <w:bookmarkStart w:id="25" w:name="_Toc35393635"/>
      <w:r>
        <w:rPr>
          <w:rFonts w:hint="eastAsia" w:asciiTheme="minorEastAsia" w:hAnsiTheme="minorEastAsia" w:eastAsiaTheme="minorEastAsia" w:cstheme="minorEastAsia"/>
          <w:sz w:val="24"/>
          <w:highlight w:val="none"/>
        </w:rPr>
        <w:t>七、其他补充事宜</w:t>
      </w:r>
      <w:bookmarkEnd w:id="24"/>
      <w:bookmarkEnd w:id="25"/>
    </w:p>
    <w:p>
      <w:pPr>
        <w:pStyle w:val="8"/>
        <w:autoSpaceDE w:val="0"/>
        <w:autoSpaceDN w:val="0"/>
        <w:spacing w:line="360" w:lineRule="auto"/>
        <w:jc w:val="left"/>
        <w:rPr>
          <w:rFonts w:asciiTheme="minorEastAsia" w:hAnsiTheme="minorEastAsia" w:eastAsiaTheme="minorEastAsia" w:cstheme="minorEastAsia"/>
          <w:sz w:val="24"/>
          <w:highlight w:val="none"/>
        </w:rPr>
      </w:pPr>
      <w:bookmarkStart w:id="26" w:name="_Toc28359018"/>
      <w:bookmarkStart w:id="27" w:name="_Toc35393805"/>
      <w:bookmarkStart w:id="28" w:name="_Toc28359095"/>
      <w:bookmarkStart w:id="29" w:name="_Toc35393636"/>
      <w:r>
        <w:rPr>
          <w:rFonts w:hint="eastAsia" w:asciiTheme="minorEastAsia" w:hAnsiTheme="minorEastAsia" w:eastAsiaTheme="minorEastAsia" w:cstheme="minorEastAsia"/>
          <w:sz w:val="24"/>
          <w:highlight w:val="none"/>
        </w:rPr>
        <w:t>八、凡对本次采购提出询问，请按以下方式联系。</w:t>
      </w:r>
      <w:bookmarkEnd w:id="26"/>
      <w:bookmarkEnd w:id="27"/>
      <w:bookmarkEnd w:id="28"/>
      <w:bookmarkEnd w:id="29"/>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1.采购人信息</w:t>
      </w:r>
    </w:p>
    <w:p>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名 称：</w:t>
      </w:r>
      <w:r>
        <w:rPr>
          <w:rFonts w:hint="eastAsia" w:ascii="宋体" w:hAnsi="宋体" w:cs="宋体"/>
          <w:sz w:val="24"/>
          <w:highlight w:val="none"/>
          <w:lang w:eastAsia="zh-CN"/>
        </w:rPr>
        <w:t>周口市第六人民医院</w:t>
      </w:r>
      <w:r>
        <w:rPr>
          <w:rFonts w:ascii="宋体" w:hAnsi="宋体" w:eastAsia="宋体" w:cs="宋体"/>
          <w:sz w:val="24"/>
          <w:highlight w:val="none"/>
        </w:rPr>
        <w:t>　　　　　　　　　</w:t>
      </w:r>
    </w:p>
    <w:p>
      <w:pPr>
        <w:spacing w:line="360" w:lineRule="auto"/>
        <w:ind w:firstLine="480"/>
        <w:jc w:val="left"/>
        <w:rPr>
          <w:rFonts w:ascii="宋体" w:hAnsi="宋体" w:eastAsia="宋体" w:cs="宋体"/>
          <w:color w:val="0D0D0D" w:themeColor="text1" w:themeTint="F2"/>
          <w:sz w:val="24"/>
          <w:highlight w:val="none"/>
          <w14:textFill>
            <w14:solidFill>
              <w14:schemeClr w14:val="tx1">
                <w14:lumMod w14:val="95000"/>
                <w14:lumOff w14:val="5000"/>
              </w14:schemeClr>
            </w14:solidFill>
          </w14:textFill>
        </w:rPr>
      </w:pPr>
      <w:r>
        <w:rPr>
          <w:rFonts w:ascii="宋体" w:hAnsi="宋体" w:eastAsia="宋体" w:cs="宋体"/>
          <w:color w:val="0D0D0D" w:themeColor="text1" w:themeTint="F2"/>
          <w:sz w:val="24"/>
          <w:highlight w:val="none"/>
          <w14:textFill>
            <w14:solidFill>
              <w14:schemeClr w14:val="tx1">
                <w14:lumMod w14:val="95000"/>
                <w14:lumOff w14:val="5000"/>
              </w14:schemeClr>
            </w14:solidFill>
          </w14:textFill>
        </w:rPr>
        <w:t>地址：</w:t>
      </w:r>
      <w:r>
        <w:rPr>
          <w:rFonts w:hint="eastAsia" w:ascii="宋体" w:hAnsi="宋体" w:cs="宋体"/>
          <w:i w:val="0"/>
          <w:iCs w:val="0"/>
          <w:color w:val="0D0D0D" w:themeColor="text1" w:themeTint="F2"/>
          <w:sz w:val="24"/>
          <w:szCs w:val="24"/>
          <w:highlight w:val="none"/>
          <w:lang w:eastAsia="zh-CN"/>
          <w14:textFill>
            <w14:solidFill>
              <w14:schemeClr w14:val="tx1">
                <w14:lumMod w14:val="95000"/>
                <w14:lumOff w14:val="5000"/>
              </w14:schemeClr>
            </w14:solidFill>
          </w14:textFill>
        </w:rPr>
        <w:t>周口市</w:t>
      </w:r>
      <w:r>
        <w:rPr>
          <w:rFonts w:ascii="宋体" w:hAnsi="宋体" w:eastAsia="宋体" w:cs="宋体"/>
          <w:color w:val="0D0D0D" w:themeColor="text1" w:themeTint="F2"/>
          <w:sz w:val="24"/>
          <w:highlight w:val="none"/>
          <w14:textFill>
            <w14:solidFill>
              <w14:schemeClr w14:val="tx1">
                <w14:lumMod w14:val="95000"/>
                <w14:lumOff w14:val="5000"/>
              </w14:schemeClr>
            </w14:solidFill>
          </w14:textFill>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highlight w:val="none"/>
        </w:rPr>
      </w:pPr>
      <w:r>
        <w:rPr>
          <w:rFonts w:ascii="宋体" w:hAnsi="宋体" w:eastAsia="宋体" w:cs="宋体"/>
          <w:color w:val="0D0D0D" w:themeColor="text1" w:themeTint="F2"/>
          <w:sz w:val="24"/>
          <w:highlight w:val="none"/>
          <w14:textFill>
            <w14:solidFill>
              <w14:schemeClr w14:val="tx1">
                <w14:lumMod w14:val="95000"/>
                <w14:lumOff w14:val="5000"/>
              </w14:schemeClr>
            </w14:solidFill>
          </w14:textFill>
        </w:rPr>
        <w:t>项目联系人：</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 xml:space="preserve">赵赫    </w:t>
      </w:r>
      <w:r>
        <w:rPr>
          <w:rFonts w:ascii="宋体" w:hAnsi="宋体" w:eastAsia="宋体" w:cs="宋体"/>
          <w:color w:val="0D0D0D" w:themeColor="text1" w:themeTint="F2"/>
          <w:sz w:val="24"/>
          <w:highlight w:val="none"/>
          <w14:textFill>
            <w14:solidFill>
              <w14:schemeClr w14:val="tx1">
                <w14:lumMod w14:val="95000"/>
                <w14:lumOff w14:val="5000"/>
              </w14:schemeClr>
            </w14:solidFill>
          </w14:textFill>
        </w:rPr>
        <w:t xml:space="preserve">   联系方式：</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13592209292</w:t>
      </w:r>
      <w:r>
        <w:rPr>
          <w:rFonts w:ascii="宋体" w:hAnsi="宋体" w:eastAsia="宋体" w:cs="宋体"/>
          <w:color w:val="0D0D0D" w:themeColor="text1" w:themeTint="F2"/>
          <w:sz w:val="24"/>
          <w:highlight w:val="none"/>
          <w14:textFill>
            <w14:solidFill>
              <w14:schemeClr w14:val="tx1">
                <w14:lumMod w14:val="95000"/>
                <w14:lumOff w14:val="5000"/>
              </w14:schemeClr>
            </w14:solidFill>
          </w14:textFill>
        </w:rPr>
        <w:t>　</w:t>
      </w:r>
      <w:r>
        <w:rPr>
          <w:rFonts w:ascii="宋体" w:hAnsi="宋体" w:eastAsia="宋体" w:cs="宋体"/>
          <w:sz w:val="24"/>
          <w:highlight w:val="none"/>
        </w:rPr>
        <w:t xml:space="preserve">　　　　　 </w:t>
      </w:r>
    </w:p>
    <w:p>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2.采购代理机构信息</w:t>
      </w:r>
    </w:p>
    <w:p>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名 称：周口市公共资源交易中心政府采购中心　　　　　　　　　　　　</w:t>
      </w:r>
    </w:p>
    <w:p>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地　址：周口市光明路与政通路交叉口向北100米路东</w:t>
      </w:r>
    </w:p>
    <w:p>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项目联系人：</w:t>
      </w:r>
      <w:r>
        <w:rPr>
          <w:rFonts w:hint="eastAsia" w:ascii="宋体" w:hAnsi="宋体" w:cs="宋体"/>
          <w:sz w:val="24"/>
          <w:highlight w:val="none"/>
          <w:lang w:val="en-US" w:eastAsia="zh-CN"/>
        </w:rPr>
        <w:t>张光</w:t>
      </w:r>
      <w:r>
        <w:rPr>
          <w:rFonts w:ascii="宋体" w:hAnsi="宋体" w:eastAsia="宋体" w:cs="宋体"/>
          <w:sz w:val="24"/>
          <w:highlight w:val="none"/>
        </w:rPr>
        <w:t xml:space="preserve">    联系方式：</w:t>
      </w:r>
      <w:r>
        <w:rPr>
          <w:rFonts w:hint="eastAsia" w:ascii="宋体" w:hAnsi="宋体" w:cs="宋体"/>
          <w:sz w:val="24"/>
          <w:highlight w:val="none"/>
          <w:lang w:val="en-US" w:eastAsia="zh-CN"/>
        </w:rPr>
        <w:t>0394-8106517</w:t>
      </w:r>
      <w:r>
        <w:rPr>
          <w:rFonts w:ascii="宋体" w:hAnsi="宋体" w:eastAsia="宋体" w:cs="宋体"/>
          <w:sz w:val="24"/>
          <w:highlight w:val="none"/>
        </w:rPr>
        <w:t>3.</w:t>
      </w:r>
    </w:p>
    <w:p>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监督单位：</w:t>
      </w:r>
      <w:r>
        <w:rPr>
          <w:rFonts w:hint="eastAsia" w:ascii="宋体" w:hAnsi="宋体" w:cs="宋体"/>
          <w:i w:val="0"/>
          <w:iCs w:val="0"/>
          <w:sz w:val="24"/>
          <w:szCs w:val="24"/>
          <w:highlight w:val="none"/>
          <w:lang w:val="en-US" w:eastAsia="zh-CN"/>
        </w:rPr>
        <w:t>周口市财政局政府采购管理办公室</w:t>
      </w:r>
    </w:p>
    <w:p>
      <w:pPr>
        <w:ind w:firstLine="720"/>
        <w:jc w:val="left"/>
        <w:rPr>
          <w:rFonts w:ascii="宋体" w:hAnsi="宋体" w:eastAsia="宋体" w:cs="宋体"/>
          <w:sz w:val="24"/>
          <w:highlight w:val="none"/>
        </w:rPr>
      </w:pPr>
      <w:r>
        <w:rPr>
          <w:rFonts w:ascii="宋体" w:hAnsi="宋体" w:eastAsia="宋体" w:cs="宋体"/>
          <w:sz w:val="24"/>
          <w:highlight w:val="none"/>
        </w:rPr>
        <w:t>联系方式：</w:t>
      </w:r>
      <w:r>
        <w:rPr>
          <w:rFonts w:hint="eastAsia" w:ascii="宋体" w:hAnsi="宋体" w:cs="宋体"/>
          <w:sz w:val="24"/>
          <w:highlight w:val="none"/>
          <w:lang w:val="en-US" w:eastAsia="zh-CN"/>
        </w:rPr>
        <w:t xml:space="preserve">0394-8106976 </w:t>
      </w:r>
      <w:r>
        <w:rPr>
          <w:rFonts w:hint="eastAsia" w:ascii="宋体" w:hAnsi="宋体" w:eastAsia="宋体" w:cs="宋体"/>
          <w:sz w:val="24"/>
          <w:highlight w:val="none"/>
          <w:lang w:val="en-US" w:eastAsia="zh-CN"/>
        </w:rPr>
        <w:t xml:space="preserve"> </w:t>
      </w:r>
    </w:p>
    <w:p>
      <w:pPr>
        <w:pStyle w:val="38"/>
        <w:ind w:firstLine="630" w:firstLineChars="300"/>
        <w:rPr>
          <w:highlight w:val="none"/>
        </w:rPr>
      </w:pPr>
    </w:p>
    <w:p>
      <w:pPr>
        <w:pStyle w:val="38"/>
        <w:rPr>
          <w:highlight w:val="none"/>
        </w:rPr>
      </w:pPr>
    </w:p>
    <w:p>
      <w:pPr>
        <w:pStyle w:val="3"/>
        <w:adjustRightInd w:val="0"/>
        <w:snapToGrid w:val="0"/>
        <w:spacing w:line="360" w:lineRule="auto"/>
        <w:ind w:left="0" w:leftChars="0" w:firstLine="3129" w:firstLineChars="1304"/>
        <w:rPr>
          <w:rFonts w:ascii="宋体" w:hAnsi="宋体" w:cs="宋体"/>
          <w:sz w:val="24"/>
          <w:highlight w:val="none"/>
        </w:rPr>
      </w:pPr>
      <w:r>
        <w:rPr>
          <w:rFonts w:hint="eastAsia" w:ascii="宋体" w:hAnsi="宋体" w:cs="宋体"/>
          <w:sz w:val="24"/>
          <w:highlight w:val="none"/>
        </w:rPr>
        <w:t>周口市公共资源交易中心政府采购中心</w:t>
      </w:r>
    </w:p>
    <w:p>
      <w:pPr>
        <w:pStyle w:val="22"/>
        <w:adjustRightInd w:val="0"/>
        <w:spacing w:line="360" w:lineRule="auto"/>
        <w:ind w:left="0" w:leftChars="0" w:firstLine="4324" w:firstLineChars="1802"/>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2024年04月10日</w:t>
      </w:r>
    </w:p>
    <w:p>
      <w:pPr>
        <w:pStyle w:val="4"/>
        <w:adjustRightInd w:val="0"/>
        <w:snapToGrid w:val="0"/>
        <w:spacing w:line="360" w:lineRule="auto"/>
        <w:ind w:firstLine="0" w:firstLineChars="0"/>
        <w:rPr>
          <w:highlight w:val="none"/>
        </w:rPr>
      </w:pPr>
    </w:p>
    <w:p>
      <w:pPr>
        <w:pStyle w:val="4"/>
        <w:ind w:firstLine="0" w:firstLineChars="0"/>
        <w:rPr>
          <w:highlight w:val="none"/>
        </w:rPr>
      </w:pPr>
    </w:p>
    <w:p>
      <w:pPr>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第二章    供应商须知</w:t>
      </w:r>
    </w:p>
    <w:tbl>
      <w:tblPr>
        <w:tblStyle w:val="2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szCs w:val="21"/>
                <w:highlight w:val="none"/>
              </w:rPr>
            </w:pPr>
            <w:r>
              <w:rPr>
                <w:rFonts w:hint="eastAsia" w:ascii="宋体" w:hAnsi="宋体" w:cs="楷体_GB2312"/>
                <w:sz w:val="32"/>
                <w:szCs w:val="32"/>
                <w:highlight w:val="none"/>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pPr>
              <w:rPr>
                <w:rFonts w:ascii="宋体" w:hAnsi="宋体" w:cs="宋体"/>
                <w:sz w:val="24"/>
                <w:highlight w:val="none"/>
              </w:rPr>
            </w:pPr>
            <w:r>
              <w:rPr>
                <w:rFonts w:hint="eastAsia" w:ascii="宋体" w:hAnsi="宋体" w:cs="宋体"/>
                <w:sz w:val="24"/>
                <w:highlight w:val="none"/>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jc w:val="center"/>
              <w:rPr>
                <w:rFonts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项目概况</w:t>
            </w:r>
          </w:p>
        </w:tc>
        <w:tc>
          <w:tcPr>
            <w:tcW w:w="6615" w:type="dxa"/>
            <w:vAlign w:val="center"/>
          </w:tcPr>
          <w:p>
            <w:pPr>
              <w:rPr>
                <w:rFonts w:hint="eastAsia" w:ascii="宋体" w:hAnsi="宋体" w:eastAsia="宋体" w:cs="宋体"/>
                <w:color w:val="0D0D0D" w:themeColor="text1" w:themeTint="F2"/>
                <w:sz w:val="24"/>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项目名称：</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周口市第六人民医院家庭病床信息管理平台（居民端）项目</w:t>
            </w:r>
          </w:p>
          <w:p>
            <w:pPr>
              <w:rPr>
                <w:rFonts w:hint="eastAsia" w:ascii="宋体" w:hAnsi="宋体" w:eastAsia="宋体" w:cs="宋体"/>
                <w:color w:val="0D0D0D" w:themeColor="text1" w:themeTint="F2"/>
                <w:sz w:val="24"/>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采购内容：</w:t>
            </w: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通信网络维护和管理系统</w:t>
            </w:r>
          </w:p>
          <w:p>
            <w:pPr>
              <w:rPr>
                <w:rFonts w:hint="eastAsia" w:ascii="宋体" w:hAnsi="宋体" w:eastAsia="宋体" w:cs="宋体"/>
                <w:color w:val="0D0D0D" w:themeColor="text1" w:themeTint="F2"/>
                <w:sz w:val="24"/>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采购人：</w:t>
            </w:r>
            <w:r>
              <w:rPr>
                <w:rFonts w:hint="eastAsia" w:ascii="宋体" w:hAnsi="宋体" w:cs="宋体"/>
                <w:color w:val="0D0D0D" w:themeColor="text1" w:themeTint="F2"/>
                <w:sz w:val="24"/>
                <w:highlight w:val="none"/>
                <w:lang w:eastAsia="zh-CN"/>
                <w14:textFill>
                  <w14:solidFill>
                    <w14:schemeClr w14:val="tx1">
                      <w14:lumMod w14:val="95000"/>
                      <w14:lumOff w14:val="5000"/>
                    </w14:schemeClr>
                  </w14:solidFill>
                </w14:textFill>
              </w:rPr>
              <w:t>周口市第六人民医院　　　</w:t>
            </w:r>
          </w:p>
          <w:p>
            <w:pPr>
              <w:rPr>
                <w:rFonts w:ascii="宋体" w:hAnsi="宋体" w:cs="宋体"/>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采购代理机构：周口市公共资源交易中心政府采购中心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5" w:type="dxa"/>
            <w:vAlign w:val="center"/>
          </w:tcPr>
          <w:p>
            <w:pPr>
              <w:spacing w:before="156"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pPr>
              <w:rPr>
                <w:rFonts w:ascii="宋体" w:hAnsi="宋体" w:cs="宋体"/>
                <w:sz w:val="24"/>
                <w:highlight w:val="none"/>
              </w:rPr>
            </w:pPr>
            <w:r>
              <w:rPr>
                <w:rFonts w:hint="eastAsia" w:ascii="宋体" w:hAnsi="宋体" w:cs="宋体"/>
                <w:sz w:val="24"/>
                <w:highlight w:val="none"/>
              </w:rPr>
              <w:t>无论报价和磋商的过程和结果如何，供应商自行</w:t>
            </w:r>
            <w:r>
              <w:rPr>
                <w:rFonts w:hint="eastAsia" w:ascii="宋体" w:hAnsi="宋体" w:cs="宋体"/>
                <w:sz w:val="24"/>
                <w:highlight w:val="none"/>
                <w:lang w:val="en-US" w:eastAsia="zh-CN"/>
              </w:rPr>
              <w:t>承诺</w:t>
            </w:r>
            <w:r>
              <w:rPr>
                <w:rFonts w:hint="eastAsia" w:ascii="宋体" w:hAnsi="宋体" w:cs="宋体"/>
                <w:sz w:val="24"/>
                <w:highlight w:val="none"/>
              </w:rPr>
              <w:t>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156" w:beforeLines="50"/>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pPr>
              <w:snapToGrid w:val="0"/>
              <w:rPr>
                <w:rFonts w:ascii="宋体" w:hAnsi="宋体" w:cs="宋体"/>
                <w:sz w:val="24"/>
                <w:highlight w:val="none"/>
              </w:rPr>
            </w:pPr>
            <w:r>
              <w:rPr>
                <w:rFonts w:hint="eastAsia" w:ascii="宋体" w:hAnsi="宋体" w:cs="宋体"/>
                <w:sz w:val="24"/>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pPr>
              <w:rPr>
                <w:rFonts w:ascii="宋体" w:hAnsi="宋体" w:cs="宋体"/>
                <w:sz w:val="24"/>
                <w:highlight w:val="none"/>
              </w:rPr>
            </w:pPr>
            <w:r>
              <w:rPr>
                <w:rFonts w:hint="eastAsia" w:ascii="宋体" w:hAnsi="宋体" w:cs="宋体"/>
                <w:sz w:val="24"/>
                <w:highlight w:val="none"/>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pPr>
              <w:rPr>
                <w:rFonts w:ascii="宋体" w:hAnsi="宋体" w:cs="宋体"/>
                <w:sz w:val="24"/>
                <w:highlight w:val="none"/>
              </w:rPr>
            </w:pPr>
            <w:r>
              <w:rPr>
                <w:rFonts w:hint="eastAsia" w:ascii="宋体" w:hAnsi="宋体" w:cs="宋体"/>
                <w:sz w:val="24"/>
                <w:highlight w:val="none"/>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pPr>
              <w:tabs>
                <w:tab w:val="left" w:pos="8640"/>
              </w:tabs>
              <w:rPr>
                <w:rFonts w:ascii="宋体" w:hAnsi="宋体" w:cs="宋体"/>
                <w:sz w:val="24"/>
                <w:highlight w:val="none"/>
              </w:rPr>
            </w:pPr>
            <w:r>
              <w:rPr>
                <w:rFonts w:hint="eastAsia" w:ascii="宋体" w:hAnsi="宋体" w:cs="宋体"/>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pPr>
              <w:rPr>
                <w:rFonts w:ascii="宋体" w:hAnsi="宋体" w:cs="宋体"/>
                <w:sz w:val="24"/>
                <w:highlight w:val="none"/>
              </w:rPr>
            </w:pPr>
            <w:r>
              <w:rPr>
                <w:rFonts w:hint="eastAsia" w:ascii="宋体" w:hAnsi="宋体" w:cs="宋体"/>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pPr>
              <w:rPr>
                <w:rFonts w:ascii="宋体" w:hAnsi="宋体" w:cs="宋体"/>
                <w:sz w:val="24"/>
                <w:highlight w:val="none"/>
              </w:rPr>
            </w:pPr>
            <w:r>
              <w:rPr>
                <w:rFonts w:hint="eastAsia" w:ascii="宋体" w:hAnsi="宋体" w:cs="宋体"/>
                <w:sz w:val="24"/>
                <w:highlight w:val="none"/>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pPr>
              <w:ind w:firstLine="240" w:firstLineChars="100"/>
              <w:rPr>
                <w:rFonts w:ascii="宋体" w:hAnsi="宋体" w:cs="宋体"/>
                <w:sz w:val="24"/>
                <w:highlight w:val="none"/>
              </w:rPr>
            </w:pP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 xml:space="preserve">分   （见磋商公告）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pPr>
              <w:rPr>
                <w:rFonts w:ascii="宋体" w:hAnsi="宋体"/>
                <w:sz w:val="24"/>
                <w:highlight w:val="none"/>
              </w:rPr>
            </w:pPr>
            <w:r>
              <w:rPr>
                <w:rFonts w:hint="eastAsia" w:ascii="宋体" w:hAnsi="宋体"/>
                <w:sz w:val="24"/>
                <w:highlight w:val="none"/>
              </w:rPr>
              <w:t>周口市公共资源交易中心网</w:t>
            </w:r>
          </w:p>
          <w:p>
            <w:pPr>
              <w:rPr>
                <w:rFonts w:ascii="宋体" w:hAnsi="宋体" w:cs="宋体" w:eastAsiaTheme="minorEastAsia"/>
                <w:sz w:val="24"/>
                <w:highlight w:val="none"/>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sz w:val="24"/>
                <w:szCs w:val="24"/>
                <w:highlight w:val="none"/>
                <w:lang w:eastAsia="zh-CN"/>
              </w:rPr>
              <w:t>http://221.14.138.68/</w:t>
            </w:r>
            <w:r>
              <w:rPr>
                <w:rFonts w:hint="eastAsia" w:asciiTheme="minorEastAsia" w:hAnsiTheme="minorEastAsia" w:eastAsiaTheme="minorEastAsia"/>
                <w:color w:val="000000"/>
                <w:sz w:val="24"/>
                <w:szCs w:val="24"/>
                <w:highlight w:val="none"/>
              </w:rPr>
              <w:t>）</w:t>
            </w:r>
          </w:p>
          <w:p>
            <w:pPr>
              <w:spacing w:line="560" w:lineRule="exact"/>
              <w:rPr>
                <w:rFonts w:ascii="宋体" w:hAnsi="宋体" w:cs="宋体"/>
                <w:sz w:val="24"/>
                <w:highlight w:val="none"/>
              </w:rPr>
            </w:pPr>
            <w:r>
              <w:rPr>
                <w:rFonts w:hint="eastAsia" w:ascii="宋体" w:hAnsi="宋体" w:cs="宋体"/>
                <w:sz w:val="24"/>
                <w:highlight w:val="none"/>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pPr>
              <w:tabs>
                <w:tab w:val="left" w:pos="8640"/>
              </w:tabs>
              <w:ind w:left="-2" w:leftChars="-1" w:firstLine="240" w:firstLineChars="100"/>
              <w:rPr>
                <w:rFonts w:ascii="宋体" w:hAnsi="宋体" w:cs="宋体"/>
                <w:sz w:val="24"/>
                <w:highlight w:val="none"/>
              </w:rPr>
            </w:pP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点</w:t>
            </w:r>
            <w:r>
              <w:rPr>
                <w:rFonts w:hint="eastAsia" w:ascii="宋体" w:hAnsi="宋体" w:cs="宋体"/>
                <w:sz w:val="24"/>
                <w:highlight w:val="none"/>
                <w:lang w:val="en-US" w:eastAsia="zh-CN"/>
              </w:rPr>
              <w:t>00</w:t>
            </w:r>
            <w:r>
              <w:rPr>
                <w:rFonts w:hint="eastAsia" w:ascii="宋体" w:hAnsi="宋体" w:cs="宋体"/>
                <w:sz w:val="24"/>
                <w:highlight w:val="none"/>
              </w:rPr>
              <w:t>分</w:t>
            </w:r>
            <w:bookmarkStart w:id="34" w:name="_GoBack"/>
            <w:bookmarkEnd w:id="34"/>
            <w:r>
              <w:rPr>
                <w:rFonts w:hint="eastAsia" w:ascii="宋体" w:hAnsi="宋体" w:cs="宋体"/>
                <w:sz w:val="24"/>
                <w:highlight w:val="none"/>
              </w:rPr>
              <w:t xml:space="preserve">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5" w:type="dxa"/>
            <w:vAlign w:val="center"/>
          </w:tcPr>
          <w:p>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1）接到成交通知书30天内，成交供应商应与采购人签订采购合同。</w:t>
            </w:r>
          </w:p>
          <w:p>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5" w:type="dxa"/>
            <w:vAlign w:val="center"/>
          </w:tcPr>
          <w:p>
            <w:pPr>
              <w:rPr>
                <w:rFonts w:hint="eastAsia"/>
                <w:highlight w:val="none"/>
              </w:rPr>
            </w:pPr>
            <w:r>
              <w:rPr>
                <w:rFonts w:hint="eastAsia" w:ascii="宋体" w:hAnsi="宋体" w:cs="宋体"/>
                <w:sz w:val="24"/>
                <w:szCs w:val="24"/>
                <w:highlight w:val="none"/>
              </w:rPr>
              <w:t>不需要缴纳投标保证金</w:t>
            </w:r>
            <w:r>
              <w:rPr>
                <w:rFonts w:hint="eastAsia"/>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615" w:type="dxa"/>
            <w:vAlign w:val="center"/>
          </w:tcPr>
          <w:p>
            <w:pPr>
              <w:jc w:val="left"/>
              <w:rPr>
                <w:rFonts w:ascii="宋体" w:hAnsi="宋体" w:cs="宋体"/>
                <w:color w:val="auto"/>
                <w:sz w:val="24"/>
                <w:highlight w:val="none"/>
              </w:rPr>
            </w:pPr>
            <w:r>
              <w:rPr>
                <w:rFonts w:hint="eastAsia" w:asciiTheme="minorEastAsia" w:hAnsiTheme="minorEastAsia" w:cstheme="minorEastAsia"/>
                <w:sz w:val="24"/>
                <w:szCs w:val="24"/>
                <w:highlight w:val="none"/>
                <w:lang w:val="en-US" w:eastAsia="zh-CN"/>
              </w:rPr>
              <w:t>一年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tabs>
                <w:tab w:val="left" w:pos="8640"/>
              </w:tabs>
              <w:ind w:left="-2" w:leftChars="-1"/>
              <w:jc w:val="center"/>
              <w:rPr>
                <w:rFonts w:hint="eastAsia" w:ascii="宋体" w:hAnsi="宋体" w:cs="宋体"/>
                <w:sz w:val="24"/>
                <w:highlight w:val="none"/>
              </w:rPr>
            </w:pPr>
            <w:r>
              <w:rPr>
                <w:rFonts w:hint="eastAsia" w:ascii="宋体" w:hAnsi="宋体" w:cs="宋体"/>
                <w:sz w:val="24"/>
                <w:highlight w:val="none"/>
              </w:rPr>
              <w:t>付款方式</w:t>
            </w:r>
          </w:p>
        </w:tc>
        <w:tc>
          <w:tcPr>
            <w:tcW w:w="6615" w:type="dxa"/>
            <w:vAlign w:val="center"/>
          </w:tcPr>
          <w:p>
            <w:pPr>
              <w:tabs>
                <w:tab w:val="left" w:pos="8640"/>
              </w:tabs>
              <w:ind w:left="-2" w:leftChars="-1"/>
              <w:rPr>
                <w:rFonts w:hint="default" w:ascii="宋体" w:hAnsi="宋体" w:cs="宋体"/>
                <w:sz w:val="24"/>
                <w:highlight w:val="none"/>
                <w:lang w:val="en-US" w:eastAsia="zh-CN"/>
              </w:rPr>
            </w:pPr>
            <w:r>
              <w:rPr>
                <w:rFonts w:hint="default" w:ascii="宋体" w:hAnsi="宋体" w:cs="宋体"/>
                <w:sz w:val="24"/>
                <w:highlight w:val="none"/>
                <w:lang w:val="en-US" w:eastAsia="zh-CN"/>
              </w:rPr>
              <w:t>合同签订后付全款的30%，项目完成付全款的60%，验收合格付剩余的10%。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rPr>
              <w:t>勘察现场</w:t>
            </w:r>
          </w:p>
        </w:tc>
        <w:tc>
          <w:tcPr>
            <w:tcW w:w="6615" w:type="dxa"/>
            <w:vAlign w:val="center"/>
          </w:tcPr>
          <w:p>
            <w:pPr>
              <w:tabs>
                <w:tab w:val="left" w:pos="8640"/>
              </w:tabs>
              <w:jc w:val="left"/>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 xml:space="preserve"> </w:t>
            </w:r>
            <w:r>
              <w:rPr>
                <w:rFonts w:hint="eastAsia" w:ascii="宋体" w:hAnsi="宋体" w:cs="宋体"/>
                <w:sz w:val="24"/>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highlight w:val="none"/>
              </w:rPr>
              <w:t>报价</w:t>
            </w:r>
          </w:p>
        </w:tc>
        <w:tc>
          <w:tcPr>
            <w:tcW w:w="6615" w:type="dxa"/>
            <w:vAlign w:val="center"/>
          </w:tcPr>
          <w:p>
            <w:pPr>
              <w:tabs>
                <w:tab w:val="left" w:pos="8640"/>
              </w:tabs>
              <w:jc w:val="left"/>
              <w:rPr>
                <w:rFonts w:hint="eastAsia" w:ascii="宋体" w:hAnsi="宋体" w:eastAsia="宋体" w:cs="宋体"/>
                <w:b/>
                <w:bCs/>
                <w:kern w:val="2"/>
                <w:sz w:val="24"/>
                <w:szCs w:val="24"/>
                <w:highlight w:val="none"/>
                <w:u w:val="single"/>
                <w:lang w:val="en-US" w:eastAsia="zh-CN" w:bidi="ar-SA"/>
              </w:rPr>
            </w:pPr>
            <w:r>
              <w:rPr>
                <w:rFonts w:hint="eastAsia" w:ascii="宋体" w:hAnsi="宋体" w:cs="宋体"/>
                <w:b/>
                <w:bCs/>
                <w:sz w:val="24"/>
                <w:highlight w:val="none"/>
              </w:rPr>
              <w:t>一次报价</w:t>
            </w:r>
          </w:p>
        </w:tc>
      </w:tr>
    </w:tbl>
    <w:p>
      <w:pPr>
        <w:pStyle w:val="4"/>
        <w:ind w:firstLine="0" w:firstLineChars="0"/>
        <w:rPr>
          <w:rFonts w:hint="eastAsia" w:ascii="宋体" w:hAnsi="宋体" w:cs="宋体"/>
          <w:b/>
          <w:sz w:val="30"/>
          <w:szCs w:val="30"/>
          <w:highlight w:val="none"/>
        </w:rPr>
      </w:pPr>
    </w:p>
    <w:p>
      <w:pPr>
        <w:rPr>
          <w:rFonts w:hint="eastAsia" w:ascii="宋体" w:hAnsi="宋体" w:cs="宋体"/>
          <w:b/>
          <w:sz w:val="30"/>
          <w:szCs w:val="30"/>
          <w:highlight w:val="none"/>
        </w:rPr>
      </w:pPr>
      <w:r>
        <w:rPr>
          <w:rFonts w:hint="eastAsia" w:ascii="宋体" w:hAnsi="宋体" w:cs="宋体"/>
          <w:b/>
          <w:sz w:val="30"/>
          <w:szCs w:val="30"/>
          <w:highlight w:val="none"/>
        </w:rPr>
        <w:br w:type="page"/>
      </w:r>
    </w:p>
    <w:p>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pPr>
        <w:tabs>
          <w:tab w:val="left" w:pos="0"/>
        </w:tabs>
        <w:spacing w:line="5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2.2“采购人”：</w:t>
      </w:r>
      <w:r>
        <w:rPr>
          <w:rFonts w:hint="eastAsia" w:ascii="宋体" w:hAnsi="宋体" w:cs="宋体"/>
          <w:sz w:val="24"/>
          <w:highlight w:val="none"/>
          <w:lang w:eastAsia="zh-CN"/>
        </w:rPr>
        <w:t>周口市第六人民医院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3.采购预算</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3.1本次采购预算：见公告。</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4.合格的供应商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供应商资格条件（详见第一部分供应商资格条件）</w:t>
      </w:r>
    </w:p>
    <w:p>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4.1.2参加政府采购活动前三年内，在经营活动中没有重大违法记录的声明函；</w:t>
      </w:r>
    </w:p>
    <w:p>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4.1.3 政府采购供应商诚信承诺书；</w:t>
      </w:r>
    </w:p>
    <w:p>
      <w:pPr>
        <w:pStyle w:val="74"/>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4.2 </w:t>
      </w:r>
      <w:r>
        <w:rPr>
          <w:rFonts w:hint="eastAsia" w:ascii="宋体" w:hAnsi="宋体" w:cs="宋体"/>
          <w:color w:val="000000"/>
          <w:kern w:val="0"/>
          <w:sz w:val="24"/>
          <w:highlight w:val="none"/>
        </w:rPr>
        <w:t>供应商需提供售后服务体系与承诺</w:t>
      </w:r>
      <w:r>
        <w:rPr>
          <w:rFonts w:hint="eastAsia" w:ascii="宋体" w:hAnsi="宋体" w:cs="宋体"/>
          <w:color w:val="000000"/>
          <w:kern w:val="0"/>
          <w:sz w:val="24"/>
          <w:highlight w:val="none"/>
          <w:lang w:val="zh-CN"/>
        </w:rPr>
        <w:t>。</w:t>
      </w:r>
    </w:p>
    <w:p>
      <w:pPr>
        <w:pStyle w:val="74"/>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3</w:t>
      </w:r>
      <w:r>
        <w:rPr>
          <w:rFonts w:hint="eastAsia" w:hAnsi="宋体" w:eastAsia="宋体"/>
          <w:color w:val="000000"/>
          <w:sz w:val="24"/>
          <w:highlight w:val="none"/>
        </w:rPr>
        <w:t>符合本竞争性磋商文件规定的供应商资格要求及项目要求的其它条件，并按照要求提供相关证明材料。</w:t>
      </w:r>
    </w:p>
    <w:p>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4.4供应商应遵守国家法律、法规有关竞争性磋商的规定。</w:t>
      </w:r>
    </w:p>
    <w:p>
      <w:pPr>
        <w:autoSpaceDE w:val="0"/>
        <w:autoSpaceDN w:val="0"/>
        <w:adjustRightInd w:val="0"/>
        <w:snapToGrid w:val="0"/>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4.5 凡通过磋商小组符合性审查的供应商均为合格供应商。未通过符合性审查的供应商为不合格供应商。</w:t>
      </w:r>
    </w:p>
    <w:p>
      <w:pPr>
        <w:spacing w:line="560" w:lineRule="exact"/>
        <w:ind w:firstLine="480" w:firstLineChars="200"/>
        <w:rPr>
          <w:rFonts w:ascii="宋体" w:hAnsi="宋体" w:cs="宋体"/>
          <w:sz w:val="24"/>
          <w:highlight w:val="none"/>
        </w:rPr>
      </w:pPr>
      <w:r>
        <w:rPr>
          <w:rFonts w:hint="eastAsia" w:ascii="宋体" w:hAnsi="宋体" w:cs="宋体"/>
          <w:color w:val="000000"/>
          <w:kern w:val="0"/>
          <w:sz w:val="24"/>
          <w:highlight w:val="none"/>
          <w:lang w:val="zh-CN"/>
        </w:rPr>
        <w:t>注：</w:t>
      </w:r>
      <w:r>
        <w:rPr>
          <w:rFonts w:hint="eastAsia" w:ascii="宋体" w:hAnsi="宋体" w:cs="宋体"/>
          <w:sz w:val="24"/>
          <w:highlight w:val="none"/>
        </w:rPr>
        <w:t>单位负责人为同一人或者存在直接控股、管理关系的不同供应商，不得参加同一合同项下的政府采购活动，并提供承诺。</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pPr>
        <w:pStyle w:val="4"/>
        <w:ind w:firstLine="480"/>
        <w:rPr>
          <w:rFonts w:ascii="宋体" w:hAnsi="宋体" w:eastAsia="宋体" w:cs="宋体"/>
          <w:sz w:val="24"/>
          <w:highlight w:val="none"/>
        </w:rPr>
      </w:pPr>
    </w:p>
    <w:p>
      <w:pPr>
        <w:spacing w:line="720" w:lineRule="auto"/>
        <w:jc w:val="center"/>
        <w:rPr>
          <w:rFonts w:ascii="宋体" w:hAnsi="宋体" w:cs="宋体"/>
          <w:b/>
          <w:sz w:val="24"/>
          <w:highlight w:val="none"/>
        </w:rPr>
      </w:pPr>
      <w:r>
        <w:rPr>
          <w:rFonts w:hint="eastAsia" w:ascii="宋体" w:hAnsi="宋体" w:cs="宋体"/>
          <w:b/>
          <w:sz w:val="24"/>
          <w:highlight w:val="none"/>
        </w:rPr>
        <w:t>二、竞争性磋商文件</w:t>
      </w:r>
    </w:p>
    <w:p>
      <w:pPr>
        <w:tabs>
          <w:tab w:val="left" w:pos="632"/>
          <w:tab w:val="left" w:pos="790"/>
        </w:tabs>
        <w:spacing w:line="560" w:lineRule="exact"/>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（1）竞争性磋商邀请函；</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（2）供应商须知；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（3）采购需求；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（4）响应性文件内容及格式；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（5）合同主要条款。</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pPr>
        <w:autoSpaceDE w:val="0"/>
        <w:autoSpaceDN w:val="0"/>
        <w:adjustRightInd w:val="0"/>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sz w:val="24"/>
          <w:highlight w:val="none"/>
        </w:rPr>
      </w:pPr>
      <w:r>
        <w:rPr>
          <w:rFonts w:hint="eastAsia" w:ascii="宋体" w:hAnsi="宋体" w:cs="宋体"/>
          <w:b/>
          <w:sz w:val="24"/>
          <w:highlight w:val="none"/>
        </w:rPr>
        <w:t>三、响应性文件的编制</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8.要求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承</w:t>
      </w:r>
      <w:r>
        <w:rPr>
          <w:rFonts w:hint="eastAsia" w:ascii="宋体" w:hAnsi="宋体" w:cs="宋体"/>
          <w:sz w:val="2"/>
          <w:szCs w:val="2"/>
          <w:highlight w:val="none"/>
          <w:lang w:val="en-US" w:eastAsia="zh-CN"/>
        </w:rPr>
        <w:t xml:space="preserve">    </w:t>
      </w:r>
      <w:r>
        <w:rPr>
          <w:rFonts w:hint="eastAsia" w:ascii="宋体" w:hAnsi="宋体" w:cs="宋体"/>
          <w:sz w:val="24"/>
          <w:highlight w:val="none"/>
        </w:rPr>
        <w:t>诺，否则其响应性文件将作为无效处理。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10.响应性文件的组成</w:t>
      </w:r>
    </w:p>
    <w:p>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11.响应性文件格式</w:t>
      </w:r>
    </w:p>
    <w:p>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12.2经过磋商后进行的报价为供应商的最终报价。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13.l响应性文件有效期为自竞争性磋商开始之日起60天，有效期短于此规定的响应性文件将被视为无效。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15电子投标文件制作，见周口市公共资源交易中心网站下载中心版块《投标单位-电子投标文件视频制作手册》的相关规定。</w:t>
      </w:r>
    </w:p>
    <w:p>
      <w:pPr>
        <w:numPr>
          <w:ilvl w:val="0"/>
          <w:numId w:val="2"/>
        </w:numPr>
        <w:spacing w:line="720" w:lineRule="auto"/>
        <w:jc w:val="center"/>
        <w:rPr>
          <w:rFonts w:ascii="宋体" w:hAnsi="宋体" w:cs="宋体"/>
          <w:b/>
          <w:sz w:val="24"/>
          <w:highlight w:val="none"/>
        </w:rPr>
      </w:pPr>
      <w:r>
        <w:rPr>
          <w:rFonts w:hint="eastAsia" w:ascii="宋体" w:hAnsi="宋体" w:cs="宋体"/>
          <w:b/>
          <w:sz w:val="24"/>
          <w:highlight w:val="none"/>
        </w:rPr>
        <w:t>响应性文件的递交</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sz w:val="24"/>
          <w:highlight w:val="none"/>
        </w:rPr>
      </w:pPr>
      <w:r>
        <w:rPr>
          <w:rFonts w:hint="eastAsia" w:ascii="宋体" w:hAnsi="宋体" w:cs="宋体"/>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w:t>
      </w:r>
      <w:r>
        <w:rPr>
          <w:rFonts w:hint="eastAsia" w:ascii="宋体" w:hAnsi="宋体" w:cs="宋体"/>
          <w:sz w:val="24"/>
          <w:highlight w:val="none"/>
          <w:lang w:eastAsia="zh-CN"/>
        </w:rPr>
        <w:t>http://221.14.138.68/</w:t>
      </w:r>
      <w:r>
        <w:rPr>
          <w:rFonts w:hint="eastAsia" w:ascii="宋体" w:hAnsi="宋体" w:cs="宋体"/>
          <w:sz w:val="24"/>
          <w:highlight w:val="none"/>
        </w:rPr>
        <w:t>）办事指南</w:t>
      </w:r>
      <w:r>
        <w:rPr>
          <w:rFonts w:hint="eastAsia" w:ascii="宋体" w:hAnsi="宋体" w:cs="宋体"/>
          <w:bCs/>
          <w:sz w:val="24"/>
          <w:highlight w:val="none"/>
        </w:rPr>
        <w:t>《不见面开标远程在线解密会员端操作手册操作指南》</w:t>
      </w:r>
      <w:r>
        <w:rPr>
          <w:rFonts w:hint="eastAsia" w:ascii="宋体" w:hAnsi="宋体" w:cs="宋体"/>
          <w:sz w:val="24"/>
          <w:highlight w:val="none"/>
        </w:rPr>
        <w:t>。</w:t>
      </w:r>
    </w:p>
    <w:p>
      <w:pPr>
        <w:spacing w:line="560" w:lineRule="exact"/>
        <w:rPr>
          <w:rFonts w:ascii="宋体" w:hAnsi="宋体" w:cs="宋体"/>
          <w:b/>
          <w:sz w:val="24"/>
          <w:highlight w:val="none"/>
        </w:rPr>
      </w:pPr>
      <w:r>
        <w:rPr>
          <w:rFonts w:hint="eastAsia" w:ascii="宋体" w:hAnsi="宋体" w:cs="宋体"/>
          <w:b/>
          <w:sz w:val="24"/>
          <w:highlight w:val="none"/>
        </w:rPr>
        <w:t>16.响应性文件的递交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pPr>
        <w:pStyle w:val="58"/>
        <w:spacing w:line="560" w:lineRule="exact"/>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pPr>
        <w:pStyle w:val="58"/>
        <w:spacing w:line="560" w:lineRule="exact"/>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pPr>
        <w:pStyle w:val="58"/>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pPr>
        <w:pStyle w:val="58"/>
        <w:spacing w:line="560" w:lineRule="exact"/>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pPr>
        <w:pStyle w:val="58"/>
        <w:spacing w:line="560" w:lineRule="exact"/>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pPr>
        <w:pStyle w:val="58"/>
        <w:spacing w:line="560" w:lineRule="exact"/>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pPr>
        <w:pStyle w:val="58"/>
        <w:spacing w:line="560" w:lineRule="exact"/>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pPr>
        <w:pStyle w:val="58"/>
        <w:spacing w:line="560" w:lineRule="exact"/>
        <w:ind w:firstLine="480" w:firstLineChars="200"/>
        <w:rPr>
          <w:rFonts w:ascii="宋体" w:hAnsi="宋体"/>
          <w:b/>
          <w:sz w:val="24"/>
          <w:szCs w:val="24"/>
          <w:highlight w:val="none"/>
        </w:rPr>
      </w:pPr>
      <w:r>
        <w:rPr>
          <w:rFonts w:hint="eastAsia" w:ascii="宋体" w:hAnsi="宋体"/>
          <w:sz w:val="24"/>
          <w:szCs w:val="24"/>
          <w:highlight w:val="none"/>
        </w:rPr>
        <w:t>17.4.3一个供应商不止递交一套响应性文件的。</w:t>
      </w:r>
    </w:p>
    <w:p>
      <w:pPr>
        <w:spacing w:line="720" w:lineRule="auto"/>
        <w:jc w:val="center"/>
        <w:rPr>
          <w:rFonts w:ascii="宋体" w:hAnsi="宋体" w:cs="宋体"/>
          <w:b/>
          <w:sz w:val="24"/>
          <w:highlight w:val="none"/>
        </w:rPr>
      </w:pPr>
      <w:r>
        <w:rPr>
          <w:rFonts w:hint="eastAsia" w:ascii="宋体" w:hAnsi="宋体" w:cs="宋体"/>
          <w:b/>
          <w:sz w:val="24"/>
          <w:highlight w:val="none"/>
        </w:rPr>
        <w:t>五、竞争性磋商</w:t>
      </w:r>
    </w:p>
    <w:p>
      <w:pPr>
        <w:spacing w:line="560" w:lineRule="exact"/>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（2）响应性文件的完整性；</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19.7.3供应商代表未能出具有效身份证明，或与身份不符的；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19.7.10不同供应商的投标（响应）文件由同一电子设备编制，打印、复印、加密或者上传的；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19.7.12不同供应商的投标（响应）文件的内容存在两处以上细节错误一致；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19.7.13不同供应商的法定代表人、委托代理人、项目经理、项目负责人等由同一个单位缴纳社会保险或者领取报酬的；</w:t>
      </w:r>
    </w:p>
    <w:p>
      <w:pPr>
        <w:spacing w:line="360" w:lineRule="auto"/>
        <w:ind w:firstLine="480" w:firstLineChars="200"/>
        <w:rPr>
          <w:highlight w:val="none"/>
        </w:rPr>
      </w:pPr>
      <w:r>
        <w:rPr>
          <w:rFonts w:hint="eastAsia" w:ascii="宋体" w:hAnsi="宋体" w:cs="宋体"/>
          <w:sz w:val="24"/>
          <w:highlight w:val="none"/>
        </w:rPr>
        <w:t>19.7.14不同供应商投标（响应）文件中法定代表人或者负责人签字出自同一人之手。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pPr>
        <w:spacing w:line="560" w:lineRule="exact"/>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pPr>
        <w:pStyle w:val="40"/>
        <w:rPr>
          <w:rFonts w:ascii="宋体" w:hAnsi="宋体" w:cs="宋体"/>
          <w:sz w:val="24"/>
          <w:szCs w:val="24"/>
          <w:highlight w:val="none"/>
        </w:rPr>
      </w:pP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5"/>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pPr>
              <w:pStyle w:val="75"/>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投标文件签字盖章格式</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服务期</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投标有效期</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10</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服务技术要求</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11</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其他实质性要求</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12</w:t>
            </w:r>
          </w:p>
        </w:tc>
        <w:tc>
          <w:tcPr>
            <w:tcW w:w="2665" w:type="dxa"/>
            <w:vAlign w:val="center"/>
          </w:tcPr>
          <w:p>
            <w:pPr>
              <w:spacing w:after="50" w:line="360" w:lineRule="auto"/>
              <w:ind w:right="-10"/>
              <w:jc w:val="center"/>
              <w:rPr>
                <w:rFonts w:ascii="宋体" w:hAnsi="宋体" w:cs="宋体"/>
                <w:bCs/>
                <w:sz w:val="24"/>
                <w:highlight w:val="none"/>
              </w:rPr>
            </w:pPr>
          </w:p>
        </w:tc>
        <w:tc>
          <w:tcPr>
            <w:tcW w:w="1937" w:type="dxa"/>
            <w:vAlign w:val="center"/>
          </w:tcPr>
          <w:p>
            <w:pPr>
              <w:spacing w:after="50" w:line="360" w:lineRule="auto"/>
              <w:ind w:right="-10"/>
              <w:jc w:val="center"/>
              <w:rPr>
                <w:rFonts w:ascii="宋体" w:hAnsi="宋体" w:cs="宋体"/>
                <w:sz w:val="24"/>
                <w:highlight w:val="none"/>
              </w:rPr>
            </w:pP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13</w:t>
            </w:r>
          </w:p>
        </w:tc>
        <w:tc>
          <w:tcPr>
            <w:tcW w:w="2665" w:type="dxa"/>
            <w:vAlign w:val="center"/>
          </w:tcPr>
          <w:p>
            <w:pPr>
              <w:spacing w:after="50" w:line="360" w:lineRule="auto"/>
              <w:ind w:right="-10"/>
              <w:jc w:val="center"/>
              <w:rPr>
                <w:rFonts w:ascii="宋体" w:hAnsi="宋体" w:cs="宋体"/>
                <w:sz w:val="24"/>
                <w:highlight w:val="none"/>
              </w:rPr>
            </w:pPr>
          </w:p>
        </w:tc>
        <w:tc>
          <w:tcPr>
            <w:tcW w:w="1937" w:type="dxa"/>
            <w:vAlign w:val="center"/>
          </w:tcPr>
          <w:p>
            <w:pPr>
              <w:spacing w:after="50" w:line="360" w:lineRule="auto"/>
              <w:ind w:right="-10"/>
              <w:jc w:val="center"/>
              <w:rPr>
                <w:rFonts w:ascii="宋体" w:hAnsi="宋体" w:cs="宋体"/>
                <w:sz w:val="24"/>
                <w:highlight w:val="none"/>
              </w:rPr>
            </w:pP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14</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pPr>
        <w:pStyle w:val="40"/>
        <w:rPr>
          <w:rFonts w:ascii="宋体" w:hAnsi="宋体" w:cs="宋体"/>
          <w:sz w:val="24"/>
          <w:szCs w:val="24"/>
          <w:highlight w:val="none"/>
        </w:rPr>
      </w:pPr>
    </w:p>
    <w:p>
      <w:pPr>
        <w:pStyle w:val="40"/>
        <w:rPr>
          <w:rFonts w:ascii="宋体" w:hAnsi="宋体" w:cs="宋体"/>
          <w:sz w:val="24"/>
          <w:szCs w:val="24"/>
          <w:highlight w:val="none"/>
        </w:rPr>
      </w:pP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21.5报价</w:t>
      </w:r>
    </w:p>
    <w:p>
      <w:pPr>
        <w:pStyle w:val="38"/>
        <w:ind w:firstLine="480" w:firstLineChars="200"/>
        <w:rPr>
          <w:rFonts w:ascii="宋体" w:hAnsi="宋体" w:cs="宋体"/>
          <w:color w:val="FF0000"/>
          <w:sz w:val="24"/>
          <w:highlight w:val="none"/>
        </w:rPr>
      </w:pPr>
      <w:r>
        <w:rPr>
          <w:rFonts w:hint="eastAsia" w:ascii="宋体" w:hAnsi="宋体" w:cs="宋体"/>
          <w:color w:val="auto"/>
          <w:sz w:val="24"/>
          <w:highlight w:val="none"/>
          <w:lang w:val="zh-CN"/>
        </w:rPr>
        <w:t>一次报价依据</w:t>
      </w:r>
      <w:r>
        <w:rPr>
          <w:rFonts w:hint="eastAsia" w:ascii="宋体" w:hAnsi="宋体" w:cs="宋体"/>
          <w:color w:val="auto"/>
          <w:sz w:val="24"/>
          <w:highlight w:val="none"/>
        </w:rPr>
        <w:t>是</w:t>
      </w:r>
      <w:r>
        <w:rPr>
          <w:rFonts w:hint="eastAsia" w:ascii="宋体" w:hAnsi="宋体" w:cs="宋体"/>
          <w:color w:val="auto"/>
          <w:sz w:val="24"/>
          <w:highlight w:val="none"/>
          <w:lang w:val="zh-CN"/>
        </w:rPr>
        <w:t>供应商的投标函和开标记录表</w:t>
      </w:r>
    </w:p>
    <w:p>
      <w:pPr>
        <w:pStyle w:val="38"/>
        <w:ind w:firstLine="240"/>
        <w:rPr>
          <w:rFonts w:ascii="宋体" w:hAnsi="宋体" w:cs="宋体"/>
          <w:color w:val="FF0000"/>
          <w:sz w:val="24"/>
          <w:highlight w:val="none"/>
        </w:rPr>
      </w:pPr>
    </w:p>
    <w:p>
      <w:pPr>
        <w:rPr>
          <w:rFonts w:hint="eastAsia" w:ascii="宋体" w:hAnsi="宋体" w:cs="宋体"/>
          <w:b/>
          <w:sz w:val="24"/>
          <w:highlight w:val="none"/>
        </w:rPr>
      </w:pPr>
      <w:r>
        <w:rPr>
          <w:rFonts w:hint="eastAsia" w:ascii="宋体" w:hAnsi="宋体" w:cs="宋体"/>
          <w:b/>
          <w:sz w:val="24"/>
          <w:highlight w:val="none"/>
        </w:rPr>
        <w:br w:type="page"/>
      </w:r>
    </w:p>
    <w:p>
      <w:pPr>
        <w:spacing w:line="720" w:lineRule="auto"/>
        <w:jc w:val="center"/>
        <w:rPr>
          <w:rFonts w:ascii="宋体" w:hAnsi="宋体" w:cs="宋体"/>
          <w:b/>
          <w:color w:val="0D0D0D" w:themeColor="text1" w:themeTint="F2"/>
          <w:sz w:val="24"/>
          <w:highlight w:val="none"/>
          <w14:textFill>
            <w14:solidFill>
              <w14:schemeClr w14:val="tx1">
                <w14:lumMod w14:val="95000"/>
                <w14:lumOff w14:val="5000"/>
              </w14:schemeClr>
            </w14:solidFill>
          </w14:textFill>
        </w:rPr>
      </w:pPr>
      <w:r>
        <w:rPr>
          <w:rFonts w:hint="eastAsia" w:ascii="宋体" w:hAnsi="宋体" w:cs="宋体"/>
          <w:b/>
          <w:color w:val="0D0D0D" w:themeColor="text1" w:themeTint="F2"/>
          <w:sz w:val="24"/>
          <w:highlight w:val="none"/>
          <w14:textFill>
            <w14:solidFill>
              <w14:schemeClr w14:val="tx1">
                <w14:lumMod w14:val="95000"/>
                <w14:lumOff w14:val="5000"/>
              </w14:schemeClr>
            </w14:solidFill>
          </w14:textFill>
        </w:rPr>
        <w:t>六、评定标准</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hint="eastAsia" w:ascii="宋体" w:hAnsi="宋体" w:cs="宋体"/>
          <w:bCs/>
          <w:sz w:val="24"/>
          <w:highlight w:val="none"/>
        </w:rPr>
      </w:pPr>
      <w:r>
        <w:rPr>
          <w:rFonts w:hint="eastAsia" w:ascii="宋体" w:hAnsi="宋体" w:cs="宋体"/>
          <w:bCs/>
          <w:sz w:val="24"/>
          <w:highlight w:val="none"/>
        </w:rPr>
        <w:t>采购</w:t>
      </w:r>
      <w:r>
        <w:rPr>
          <w:rFonts w:hint="eastAsia" w:ascii="宋体" w:hAnsi="宋体" w:eastAsia="宋体" w:cs="宋体"/>
          <w:bCs/>
          <w:sz w:val="24"/>
          <w:highlight w:val="none"/>
        </w:rPr>
        <w:t>代理机构在评标结束后1个工作日内将评标报告送采购人。采购人自收到评标报告之日起５个工作日</w:t>
      </w:r>
      <w:r>
        <w:rPr>
          <w:rFonts w:hint="eastAsia" w:ascii="宋体" w:hAnsi="宋体" w:cs="宋体"/>
          <w:bCs/>
          <w:sz w:val="24"/>
          <w:highlight w:val="none"/>
        </w:rPr>
        <w:t>内，在评标报告确定的中标候选人名单中确定中标人。</w:t>
      </w:r>
    </w:p>
    <w:p>
      <w:pPr>
        <w:pStyle w:val="17"/>
        <w:spacing w:after="0" w:line="560" w:lineRule="exact"/>
        <w:ind w:left="0" w:leftChars="0" w:firstLine="480" w:firstLineChars="200"/>
        <w:rPr>
          <w:rFonts w:hint="eastAsia"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pPr>
        <w:spacing w:line="360" w:lineRule="auto"/>
        <w:ind w:right="-92" w:rightChars="-44"/>
        <w:rPr>
          <w:rFonts w:hint="eastAsia" w:ascii="宋体" w:hAnsi="宋体" w:cs="宋体"/>
          <w:bCs/>
          <w:sz w:val="24"/>
          <w:highlight w:val="none"/>
        </w:rPr>
      </w:pPr>
      <w:r>
        <w:rPr>
          <w:rFonts w:hint="eastAsia" w:ascii="宋体" w:hAnsi="宋体" w:cs="宋体"/>
          <w:sz w:val="24"/>
          <w:highlight w:val="none"/>
        </w:rPr>
        <w:t>评标方法：</w:t>
      </w:r>
    </w:p>
    <w:tbl>
      <w:tblPr>
        <w:tblStyle w:val="26"/>
        <w:tblpPr w:leftFromText="180" w:rightFromText="180" w:vertAnchor="text" w:horzAnchor="page" w:tblpX="1564" w:tblpY="437"/>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259"/>
        <w:gridCol w:w="4172"/>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评分指标</w:t>
            </w:r>
          </w:p>
        </w:tc>
        <w:tc>
          <w:tcPr>
            <w:tcW w:w="695" w:type="pct"/>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2303" w:type="pct"/>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指标说明及评分标准</w:t>
            </w:r>
          </w:p>
        </w:tc>
        <w:tc>
          <w:tcPr>
            <w:tcW w:w="1284" w:type="pct"/>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报价得分（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95" w:type="pc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3587" w:type="pct"/>
            <w:gridSpan w:val="2"/>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满足磋商文件要求且最后报价最低的供应商的价格为磋商基准价，其价格分为满分。其他供应商的价格分统一按照下列公式计算：</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lang w:val="en-US" w:eastAsia="zh-CN"/>
              </w:rPr>
              <w:t>×10</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备注：价格分计算保留小数点后二位。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根据财政部、工信部关于印发《政府采购促进中小企业发展管理办法》的通知（财库〔2020〕46号 ）文件规定：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（1）对小微企业报价给予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%扣除，请按照《政府采购促进中小企业发展管理办法》要求提供中小企业声明函。</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（2）关于监狱企业：视同小微企业。须提供由省级以上监狱管理局、戒毒管理局（含新疆生产建设兵团）出具的属于监狱企业的证明文件，否则不考虑价格扣除。</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（4）没有提供有效证明材料的供应商将被视为不接受投标总价的扣除，用原投标总价参与评审。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Merge w:val="restart"/>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（60分）</w:t>
            </w:r>
          </w:p>
        </w:tc>
        <w:tc>
          <w:tcPr>
            <w:tcW w:w="695" w:type="pct"/>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技术参数响应情况</w:t>
            </w:r>
            <w:r>
              <w:rPr>
                <w:rFonts w:hint="eastAsia" w:ascii="宋体" w:hAnsi="宋体" w:eastAsia="宋体" w:cs="宋体"/>
                <w:sz w:val="24"/>
                <w:szCs w:val="24"/>
                <w:highlight w:val="none"/>
                <w:lang w:val="en-US" w:eastAsia="zh-CN"/>
              </w:rPr>
              <w:t>（30分）</w:t>
            </w:r>
          </w:p>
        </w:tc>
        <w:tc>
          <w:tcPr>
            <w:tcW w:w="3587" w:type="pct"/>
            <w:gridSpan w:val="2"/>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技术要求全部满足招标文件要求</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得基本分</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招标文件参数序号前有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重点标注的，投标人每负偏离一处扣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分，其他常规参数有负偏离的每处扣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r>
              <w:rPr>
                <w:rFonts w:hint="eastAsia" w:ascii="宋体" w:hAnsi="宋体" w:eastAsia="宋体" w:cs="宋体"/>
                <w:sz w:val="24"/>
                <w:szCs w:val="24"/>
                <w:highlight w:val="none"/>
              </w:rPr>
              <w:t>：带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参数必须提供证明材料（提供软件系统功能截图或者</w:t>
            </w: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证明材料）</w:t>
            </w:r>
            <w:r>
              <w:rPr>
                <w:rFonts w:hint="eastAsia" w:ascii="宋体" w:hAnsi="宋体" w:eastAsia="宋体" w:cs="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Merge w:val="continue"/>
            <w:vAlign w:val="center"/>
          </w:tcPr>
          <w:p>
            <w:pPr>
              <w:spacing w:line="360" w:lineRule="auto"/>
              <w:rPr>
                <w:rFonts w:hint="eastAsia" w:ascii="宋体" w:hAnsi="宋体" w:eastAsia="宋体" w:cs="宋体"/>
                <w:sz w:val="24"/>
                <w:szCs w:val="24"/>
                <w:highlight w:val="none"/>
                <w:lang w:val="en-US" w:eastAsia="zh-CN"/>
              </w:rPr>
            </w:pPr>
          </w:p>
        </w:tc>
        <w:tc>
          <w:tcPr>
            <w:tcW w:w="695" w:type="pc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总体设计方案 </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3587" w:type="pct"/>
            <w:gridSpan w:val="2"/>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针对本项目提供</w:t>
            </w:r>
            <w:r>
              <w:rPr>
                <w:rFonts w:hint="eastAsia" w:ascii="宋体" w:hAnsi="宋体" w:eastAsia="宋体" w:cs="宋体"/>
                <w:sz w:val="24"/>
                <w:szCs w:val="24"/>
                <w:highlight w:val="none"/>
              </w:rPr>
              <w:t>总体设计方案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w:t>
            </w:r>
            <w:r>
              <w:rPr>
                <w:rFonts w:hint="eastAsia" w:ascii="宋体" w:hAnsi="宋体" w:eastAsia="宋体" w:cs="宋体"/>
                <w:sz w:val="24"/>
                <w:szCs w:val="24"/>
                <w:highlight w:val="none"/>
                <w:lang w:eastAsia="zh-CN"/>
              </w:rPr>
              <w:t>建设目标、系统架构、建设内容</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的得10分，缺项或不提供不得分。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Merge w:val="continue"/>
            <w:vAlign w:val="center"/>
          </w:tcPr>
          <w:p>
            <w:pPr>
              <w:spacing w:line="360" w:lineRule="auto"/>
              <w:rPr>
                <w:rFonts w:hint="eastAsia" w:ascii="宋体" w:hAnsi="宋体" w:eastAsia="宋体" w:cs="宋体"/>
                <w:sz w:val="24"/>
                <w:szCs w:val="24"/>
                <w:highlight w:val="none"/>
                <w:lang w:val="en-US" w:eastAsia="zh-CN"/>
              </w:rPr>
            </w:pPr>
          </w:p>
        </w:tc>
        <w:tc>
          <w:tcPr>
            <w:tcW w:w="695" w:type="pc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项目实施方案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3587" w:type="pct"/>
            <w:gridSpan w:val="2"/>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针对本项目提供项目实施方案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w:t>
            </w:r>
            <w:r>
              <w:rPr>
                <w:rFonts w:hint="eastAsia" w:ascii="宋体" w:hAnsi="宋体" w:eastAsia="宋体" w:cs="宋体"/>
                <w:sz w:val="24"/>
                <w:szCs w:val="24"/>
                <w:highlight w:val="none"/>
              </w:rPr>
              <w:t>项目进度控制、验收方案</w:t>
            </w:r>
            <w:r>
              <w:rPr>
                <w:rFonts w:hint="eastAsia" w:ascii="宋体" w:hAnsi="宋体" w:eastAsia="宋体" w:cs="宋体"/>
                <w:sz w:val="24"/>
                <w:szCs w:val="24"/>
                <w:highlight w:val="none"/>
                <w:lang w:eastAsia="zh-CN"/>
              </w:rPr>
              <w:t>、实施团队</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的得10分，缺项或不提供不得分。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Merge w:val="continue"/>
            <w:vAlign w:val="center"/>
          </w:tcPr>
          <w:p>
            <w:pPr>
              <w:spacing w:line="360" w:lineRule="auto"/>
              <w:rPr>
                <w:rFonts w:hint="eastAsia" w:ascii="宋体" w:hAnsi="宋体" w:eastAsia="宋体" w:cs="宋体"/>
                <w:sz w:val="24"/>
                <w:szCs w:val="24"/>
                <w:highlight w:val="none"/>
                <w:lang w:val="en-US" w:eastAsia="zh-CN"/>
              </w:rPr>
            </w:pPr>
          </w:p>
        </w:tc>
        <w:tc>
          <w:tcPr>
            <w:tcW w:w="695" w:type="pc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培训计划</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3587" w:type="pct"/>
            <w:gridSpan w:val="2"/>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针对本项目提供</w:t>
            </w:r>
            <w:r>
              <w:rPr>
                <w:rFonts w:hint="eastAsia" w:ascii="宋体" w:hAnsi="宋体" w:eastAsia="宋体" w:cs="宋体"/>
                <w:sz w:val="24"/>
                <w:szCs w:val="24"/>
                <w:highlight w:val="none"/>
              </w:rPr>
              <w:t>培训计划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w:t>
            </w:r>
            <w:r>
              <w:rPr>
                <w:rFonts w:hint="eastAsia" w:ascii="宋体" w:hAnsi="宋体" w:eastAsia="宋体" w:cs="宋体"/>
                <w:sz w:val="24"/>
                <w:szCs w:val="24"/>
                <w:highlight w:val="none"/>
              </w:rPr>
              <w:t>培训方式、培训师资力量、培训内容、培训单位等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的得10分，缺项或不提供不得分。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Merge w:val="restart"/>
            <w:vAlign w:val="center"/>
          </w:tcPr>
          <w:p>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商务部分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val="zh-CN"/>
              </w:rPr>
              <w:t>分）</w:t>
            </w:r>
          </w:p>
        </w:tc>
        <w:tc>
          <w:tcPr>
            <w:tcW w:w="695" w:type="pct"/>
            <w:vAlign w:val="center"/>
          </w:tcPr>
          <w:p>
            <w:pPr>
              <w:spacing w:line="360"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rPr>
              <w:t>技术管理体系</w:t>
            </w:r>
            <w:r>
              <w:rPr>
                <w:rFonts w:hint="eastAsia" w:ascii="宋体" w:hAnsi="宋体" w:eastAsia="宋体" w:cs="宋体"/>
                <w:sz w:val="24"/>
                <w:szCs w:val="24"/>
                <w:highlight w:val="none"/>
                <w:lang w:val="en-US" w:eastAsia="zh-CN"/>
              </w:rPr>
              <w:t>（16分）</w:t>
            </w:r>
          </w:p>
        </w:tc>
        <w:tc>
          <w:tcPr>
            <w:tcW w:w="3587" w:type="pct"/>
            <w:gridSpan w:val="2"/>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投标人或信息化产品厂商具有建设所需的信息系统及相关建设功能需要具备的自主知识产权产品：</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家庭病床管理信息平台（2）医疗健康大数据应用分析平台（3）智慧公卫健康管理平台（4）双向转诊系统（5）医疗行为监管与风控服务平台（6）满意度调查系统（7）医护到家信息系统（8）居民健康评估系统等类似产品著作权登记证书。一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分。（软著证书取得时间需在本次招标发布之前，否则视为无效）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Merge w:val="continue"/>
            <w:vAlign w:val="center"/>
          </w:tcPr>
          <w:p>
            <w:pPr>
              <w:spacing w:line="360" w:lineRule="auto"/>
              <w:rPr>
                <w:rFonts w:hint="eastAsia" w:ascii="宋体" w:hAnsi="宋体" w:eastAsia="宋体" w:cs="宋体"/>
                <w:sz w:val="24"/>
                <w:szCs w:val="24"/>
                <w:highlight w:val="none"/>
              </w:rPr>
            </w:pPr>
          </w:p>
        </w:tc>
        <w:tc>
          <w:tcPr>
            <w:tcW w:w="695" w:type="pct"/>
            <w:vAlign w:val="center"/>
          </w:tcPr>
          <w:p>
            <w:pPr>
              <w:spacing w:line="360"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企业实力(9分）</w:t>
            </w:r>
          </w:p>
        </w:tc>
        <w:tc>
          <w:tcPr>
            <w:tcW w:w="3587" w:type="pct"/>
            <w:gridSpan w:val="2"/>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通过信息安全管理体系认证、信息技术服务管理体系认证、CMMI-DEV（系统与软件）模型成熟度等级（5级）认证，且在有效期内的，每提供一个得3分，最多得9分。（提供证书扫描件并加盖投标单位电子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17" w:type="pct"/>
            <w:vMerge w:val="continue"/>
            <w:vAlign w:val="center"/>
          </w:tcPr>
          <w:p>
            <w:pPr>
              <w:spacing w:line="360" w:lineRule="auto"/>
              <w:rPr>
                <w:rFonts w:hint="eastAsia" w:ascii="宋体" w:hAnsi="宋体" w:eastAsia="宋体" w:cs="宋体"/>
                <w:sz w:val="24"/>
                <w:szCs w:val="24"/>
                <w:highlight w:val="none"/>
              </w:rPr>
            </w:pPr>
          </w:p>
        </w:tc>
        <w:tc>
          <w:tcPr>
            <w:tcW w:w="695" w:type="pc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质保及售后服务</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3587" w:type="pct"/>
            <w:gridSpan w:val="2"/>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针对本项目提供</w:t>
            </w:r>
            <w:r>
              <w:rPr>
                <w:rFonts w:hint="eastAsia" w:ascii="宋体" w:hAnsi="宋体" w:eastAsia="宋体" w:cs="宋体"/>
                <w:sz w:val="24"/>
                <w:szCs w:val="24"/>
                <w:highlight w:val="none"/>
              </w:rPr>
              <w:t>质保及售后服务</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w:t>
            </w:r>
            <w:r>
              <w:rPr>
                <w:rFonts w:hint="eastAsia" w:ascii="宋体" w:hAnsi="宋体" w:eastAsia="宋体" w:cs="宋体"/>
                <w:sz w:val="24"/>
                <w:szCs w:val="24"/>
                <w:highlight w:val="none"/>
              </w:rPr>
              <w:t>质保期、响应时间、服务流程、服务方式、服务承诺等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的得5分，缺项或不提供不得分。</w:t>
            </w:r>
          </w:p>
        </w:tc>
      </w:tr>
    </w:tbl>
    <w:p>
      <w:pPr>
        <w:pStyle w:val="34"/>
        <w:rPr>
          <w:rFonts w:hint="eastAsia" w:ascii="宋体" w:hAnsi="宋体" w:cs="宋体"/>
          <w:sz w:val="24"/>
          <w:highlight w:val="none"/>
        </w:rPr>
      </w:pPr>
    </w:p>
    <w:p>
      <w:pPr>
        <w:spacing w:line="560" w:lineRule="exact"/>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pPr>
        <w:pStyle w:val="38"/>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24.2在发出成交公告后请采购人、中标人登录周口市公共资源交易中心网（</w:t>
      </w:r>
      <w:r>
        <w:rPr>
          <w:rFonts w:hint="eastAsia" w:ascii="宋体" w:hAnsi="宋体" w:cs="宋体"/>
          <w:sz w:val="24"/>
          <w:highlight w:val="none"/>
          <w:lang w:eastAsia="zh-CN"/>
        </w:rPr>
        <w:t>http://221.14.138.68/</w:t>
      </w:r>
      <w:r>
        <w:rPr>
          <w:rFonts w:hint="eastAsia" w:ascii="宋体" w:hAnsi="宋体" w:cs="宋体"/>
          <w:sz w:val="24"/>
          <w:highlight w:val="none"/>
        </w:rPr>
        <w:t>）自行下载</w:t>
      </w:r>
      <w:r>
        <w:rPr>
          <w:rFonts w:hint="eastAsia" w:cs="宋体"/>
          <w:sz w:val="24"/>
          <w:highlight w:val="none"/>
        </w:rPr>
        <w:t>成交</w:t>
      </w:r>
      <w:r>
        <w:rPr>
          <w:rFonts w:hint="eastAsia" w:ascii="宋体" w:hAnsi="宋体" w:cs="宋体"/>
          <w:sz w:val="24"/>
          <w:highlight w:val="none"/>
        </w:rPr>
        <w:t>通知书。</w:t>
      </w:r>
    </w:p>
    <w:p>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sz w:val="24"/>
          <w:highlight w:val="none"/>
        </w:rPr>
      </w:pPr>
      <w:r>
        <w:rPr>
          <w:rFonts w:hint="eastAsia" w:ascii="宋体" w:hAnsi="宋体" w:cs="宋体"/>
          <w:b/>
          <w:sz w:val="24"/>
          <w:highlight w:val="none"/>
        </w:rPr>
        <w:t>八、合同授予</w:t>
      </w:r>
    </w:p>
    <w:p>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pPr>
        <w:pStyle w:val="8"/>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hAnsi="宋体" w:cs="宋体"/>
          <w:sz w:val="24"/>
          <w:highlight w:val="none"/>
        </w:rPr>
        <w:sectPr>
          <w:footerReference r:id="rId4" w:type="default"/>
          <w:pgSz w:w="11907" w:h="16840"/>
          <w:pgMar w:top="2098" w:right="1474" w:bottom="1985" w:left="1588" w:header="851" w:footer="992" w:gutter="0"/>
          <w:pgNumType w:fmt="decimal" w:start="1"/>
          <w:cols w:space="720" w:num="1"/>
          <w:docGrid w:type="lines" w:linePitch="312" w:charSpace="0"/>
        </w:sectPr>
      </w:pPr>
    </w:p>
    <w:p>
      <w:pPr>
        <w:jc w:val="center"/>
        <w:rPr>
          <w:rFonts w:ascii="宋体" w:hAnsi="宋体" w:cs="宋体"/>
          <w:b/>
          <w:color w:val="auto"/>
          <w:sz w:val="24"/>
          <w:highlight w:val="none"/>
        </w:rPr>
      </w:pPr>
      <w:r>
        <w:rPr>
          <w:rFonts w:hint="eastAsia" w:ascii="宋体" w:hAnsi="宋体" w:cs="宋体"/>
          <w:b/>
          <w:color w:val="auto"/>
          <w:sz w:val="24"/>
          <w:highlight w:val="none"/>
        </w:rPr>
        <w:t>第三章 采购项目内容及要求</w:t>
      </w:r>
    </w:p>
    <w:p>
      <w:pPr>
        <w:spacing w:line="480" w:lineRule="auto"/>
        <w:jc w:val="both"/>
        <w:rPr>
          <w:rStyle w:val="69"/>
          <w:rFonts w:hint="eastAsia" w:ascii="宋体" w:hAnsi="宋体" w:cs="宋体"/>
          <w:b/>
          <w:bCs/>
          <w:color w:val="auto"/>
          <w:sz w:val="24"/>
          <w:highlight w:val="none"/>
          <w:lang w:val="zh-CN"/>
        </w:rPr>
      </w:pPr>
      <w:r>
        <w:rPr>
          <w:rStyle w:val="69"/>
          <w:rFonts w:hint="eastAsia" w:ascii="宋体" w:hAnsi="宋体" w:cs="宋体"/>
          <w:b/>
          <w:bCs/>
          <w:color w:val="auto"/>
          <w:sz w:val="24"/>
          <w:highlight w:val="none"/>
        </w:rPr>
        <w:t>1、</w:t>
      </w:r>
      <w:r>
        <w:rPr>
          <w:rStyle w:val="69"/>
          <w:rFonts w:hint="eastAsia" w:ascii="宋体" w:hAnsi="宋体" w:cs="宋体"/>
          <w:b/>
          <w:bCs/>
          <w:color w:val="auto"/>
          <w:sz w:val="24"/>
          <w:highlight w:val="none"/>
          <w:lang w:val="zh-CN"/>
        </w:rPr>
        <w:t>本项目采购内容：</w:t>
      </w:r>
    </w:p>
    <w:p>
      <w:pPr>
        <w:ind w:firstLine="0" w:firstLineChars="0"/>
        <w:jc w:val="center"/>
        <w:rPr>
          <w:rFonts w:hint="eastAsia"/>
          <w:b/>
          <w:bCs/>
          <w:sz w:val="36"/>
          <w:szCs w:val="28"/>
          <w:highlight w:val="none"/>
          <w:lang w:eastAsia="zh-CN"/>
        </w:rPr>
      </w:pPr>
      <w:r>
        <w:rPr>
          <w:rFonts w:hint="eastAsia"/>
          <w:b/>
          <w:bCs/>
          <w:sz w:val="36"/>
          <w:szCs w:val="28"/>
          <w:highlight w:val="none"/>
          <w:lang w:eastAsia="zh-CN"/>
        </w:rPr>
        <w:t>家庭病床信息管理系统（居民端）清单及参数</w:t>
      </w:r>
    </w:p>
    <w:tbl>
      <w:tblPr>
        <w:tblStyle w:val="26"/>
        <w:tblW w:w="9795" w:type="dxa"/>
        <w:jc w:val="center"/>
        <w:tblLayout w:type="autofit"/>
        <w:tblCellMar>
          <w:top w:w="0" w:type="dxa"/>
          <w:left w:w="108" w:type="dxa"/>
          <w:bottom w:w="0" w:type="dxa"/>
          <w:right w:w="108" w:type="dxa"/>
        </w:tblCellMar>
      </w:tblPr>
      <w:tblGrid>
        <w:gridCol w:w="1261"/>
        <w:gridCol w:w="1444"/>
        <w:gridCol w:w="7090"/>
      </w:tblGrid>
      <w:tr>
        <w:tblPrEx>
          <w:tblCellMar>
            <w:top w:w="0" w:type="dxa"/>
            <w:left w:w="108" w:type="dxa"/>
            <w:bottom w:w="0" w:type="dxa"/>
            <w:right w:w="108" w:type="dxa"/>
          </w:tblCellMar>
        </w:tblPrEx>
        <w:trPr>
          <w:trHeight w:val="42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insoku w:val="0"/>
              <w:autoSpaceDE w:val="0"/>
              <w:autoSpaceDN w:val="0"/>
              <w:adjustRightInd w:val="0"/>
              <w:snapToGrid w:val="0"/>
              <w:spacing w:line="240" w:lineRule="auto"/>
              <w:ind w:firstLine="0" w:firstLineChars="0"/>
              <w:jc w:val="center"/>
              <w:textAlignment w:val="baseline"/>
              <w:rPr>
                <w:rFonts w:hint="eastAsia" w:ascii="Arial" w:hAnsi="Arial" w:eastAsia="宋体" w:cs="Arial"/>
                <w:b/>
                <w:bCs/>
                <w:snapToGrid w:val="0"/>
                <w:color w:val="000000"/>
                <w:sz w:val="24"/>
                <w:szCs w:val="21"/>
                <w:highlight w:val="none"/>
                <w:lang w:val="en-US" w:eastAsia="zh-CN" w:bidi="ar-SA"/>
              </w:rPr>
            </w:pPr>
            <w:r>
              <w:rPr>
                <w:rFonts w:hint="eastAsia" w:ascii="Arial" w:hAnsi="Arial" w:eastAsia="宋体" w:cs="Arial"/>
                <w:b/>
                <w:bCs/>
                <w:snapToGrid w:val="0"/>
                <w:color w:val="000000"/>
                <w:sz w:val="24"/>
                <w:szCs w:val="21"/>
                <w:highlight w:val="none"/>
                <w:lang w:val="en-US" w:eastAsia="zh-CN" w:bidi="ar-SA"/>
              </w:rPr>
              <w:t>功能模块</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insoku w:val="0"/>
              <w:autoSpaceDE w:val="0"/>
              <w:autoSpaceDN w:val="0"/>
              <w:adjustRightInd w:val="0"/>
              <w:snapToGrid w:val="0"/>
              <w:spacing w:line="240" w:lineRule="auto"/>
              <w:ind w:firstLine="0" w:firstLineChars="0"/>
              <w:jc w:val="center"/>
              <w:textAlignment w:val="baseline"/>
              <w:rPr>
                <w:rFonts w:hint="eastAsia" w:ascii="Arial" w:hAnsi="Arial" w:eastAsia="宋体" w:cs="Arial"/>
                <w:b/>
                <w:bCs/>
                <w:snapToGrid w:val="0"/>
                <w:color w:val="000000"/>
                <w:sz w:val="24"/>
                <w:szCs w:val="21"/>
                <w:highlight w:val="none"/>
                <w:lang w:val="en-US" w:eastAsia="zh-CN" w:bidi="ar-SA"/>
              </w:rPr>
            </w:pPr>
            <w:r>
              <w:rPr>
                <w:rFonts w:hint="eastAsia" w:ascii="Arial" w:hAnsi="Arial" w:eastAsia="宋体" w:cs="Arial"/>
                <w:b/>
                <w:bCs/>
                <w:snapToGrid w:val="0"/>
                <w:color w:val="000000"/>
                <w:sz w:val="24"/>
                <w:szCs w:val="21"/>
                <w:highlight w:val="none"/>
                <w:lang w:val="en-US" w:eastAsia="zh-CN" w:bidi="ar-SA"/>
              </w:rPr>
              <w:t>子模块</w:t>
            </w:r>
          </w:p>
        </w:tc>
        <w:tc>
          <w:tcPr>
            <w:tcW w:w="7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insoku w:val="0"/>
              <w:autoSpaceDE w:val="0"/>
              <w:autoSpaceDN w:val="0"/>
              <w:adjustRightInd w:val="0"/>
              <w:snapToGrid w:val="0"/>
              <w:spacing w:line="240" w:lineRule="auto"/>
              <w:ind w:firstLine="0" w:firstLineChars="0"/>
              <w:jc w:val="center"/>
              <w:textAlignment w:val="baseline"/>
              <w:rPr>
                <w:rFonts w:hint="eastAsia" w:ascii="Arial" w:hAnsi="Arial" w:eastAsia="宋体" w:cs="Arial"/>
                <w:b/>
                <w:bCs/>
                <w:snapToGrid w:val="0"/>
                <w:color w:val="000000"/>
                <w:sz w:val="24"/>
                <w:szCs w:val="21"/>
                <w:highlight w:val="none"/>
                <w:lang w:val="en-US" w:eastAsia="zh-CN" w:bidi="ar-SA"/>
              </w:rPr>
            </w:pPr>
            <w:r>
              <w:rPr>
                <w:rFonts w:hint="eastAsia" w:ascii="Arial" w:hAnsi="Arial" w:eastAsia="宋体" w:cs="Arial"/>
                <w:b/>
                <w:bCs/>
                <w:snapToGrid w:val="0"/>
                <w:color w:val="000000"/>
                <w:sz w:val="24"/>
                <w:szCs w:val="21"/>
                <w:highlight w:val="none"/>
                <w:lang w:val="en-US" w:eastAsia="zh-CN" w:bidi="ar-SA"/>
              </w:rPr>
              <w:t>功能业务描述</w:t>
            </w:r>
          </w:p>
        </w:tc>
      </w:tr>
      <w:tr>
        <w:tblPrEx>
          <w:tblCellMar>
            <w:top w:w="0" w:type="dxa"/>
            <w:left w:w="108" w:type="dxa"/>
            <w:bottom w:w="0" w:type="dxa"/>
            <w:right w:w="108" w:type="dxa"/>
          </w:tblCellMar>
        </w:tblPrEx>
        <w:trPr>
          <w:trHeight w:val="1275" w:hRule="atLeast"/>
          <w:jc w:val="center"/>
        </w:trPr>
        <w:tc>
          <w:tcPr>
            <w:tcW w:w="1261" w:type="dxa"/>
            <w:vMerge w:val="restart"/>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便民服务（公众号）</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病床申请</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★支持居民对有资质的医疗机构申请建床，填写申请资料，医疗机构进行评估。</w:t>
            </w:r>
            <w:r>
              <w:rPr>
                <w:rFonts w:hint="eastAsia" w:ascii="Arial" w:hAnsi="Arial" w:eastAsia="宋体" w:cs="Arial"/>
                <w:snapToGrid w:val="0"/>
                <w:color w:val="000000"/>
                <w:sz w:val="24"/>
                <w:szCs w:val="21"/>
                <w:highlight w:val="none"/>
                <w:lang w:val="en-US" w:eastAsia="zh-CN" w:bidi="ar-SA"/>
              </w:rPr>
              <w:br w:type="textWrapping"/>
            </w:r>
            <w:r>
              <w:rPr>
                <w:rFonts w:hint="eastAsia" w:ascii="Arial" w:hAnsi="Arial" w:eastAsia="宋体" w:cs="Arial"/>
                <w:snapToGrid w:val="0"/>
                <w:color w:val="000000"/>
                <w:sz w:val="24"/>
                <w:szCs w:val="21"/>
                <w:highlight w:val="none"/>
                <w:lang w:val="en-US" w:eastAsia="zh-CN" w:bidi="ar-SA"/>
              </w:rPr>
              <w:t>支持上传图片。提供3种方式申请①患者本人移动端申请②家属代替患者移动端申请③患者本人或家属在医疗机构刷社保卡、身份证、电子医保凭证申请建床</w:t>
            </w:r>
          </w:p>
        </w:tc>
      </w:tr>
      <w:tr>
        <w:tblPrEx>
          <w:tblCellMar>
            <w:top w:w="0" w:type="dxa"/>
            <w:left w:w="108" w:type="dxa"/>
            <w:bottom w:w="0" w:type="dxa"/>
            <w:right w:w="108" w:type="dxa"/>
          </w:tblCellMar>
        </w:tblPrEx>
        <w:trPr>
          <w:trHeight w:val="1785"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健康管理</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支持居民通过接入的智能检测设备自动上传和手动录入两种上传数据方式（包含血压、血氧、血糖、体脂体重、BMI、血脂四项、尿酸、心电、腰围、体温、糖化血红蛋白、运动、睡眠、止鼾枕等），健康数据同步至居民端机医护服务（PC端及App），形成动态健康趋势图。便于管理居民近期体质情况；同时支持居民录入的健康管理数据回流到居民的个人健康档案，居民可以查看自己的健康档案数据、公共卫生服务的历次体检、随访等相关业务数据。</w:t>
            </w:r>
          </w:p>
        </w:tc>
      </w:tr>
      <w:tr>
        <w:tblPrEx>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满意度评价</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★居民根据建床服务情况，对建床服务医疗机构进行专业知识、服务态度、服务效果最高5星的评价，医疗机构通过PC端可以查询回复。</w:t>
            </w:r>
          </w:p>
        </w:tc>
      </w:tr>
      <w:tr>
        <w:tblPrEx>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服务查询</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居民可以按时间段查询建床服务过程中产生的已完成和未完成服务的医疗明细费用，包括及对应的服务时间、金额、数量、建床状态查询。</w:t>
            </w:r>
          </w:p>
        </w:tc>
      </w:tr>
      <w:tr>
        <w:tblPrEx>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健康咨询</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★居民通过移动端选择医疗机构和医生，通过语音、视频、文字、图片方式实现在线健康咨询，优先提供建床机构的医生咨询</w:t>
            </w:r>
          </w:p>
        </w:tc>
      </w:tr>
      <w:tr>
        <w:tblPrEx>
          <w:tblCellMar>
            <w:top w:w="0" w:type="dxa"/>
            <w:left w:w="108" w:type="dxa"/>
            <w:bottom w:w="0" w:type="dxa"/>
            <w:right w:w="108" w:type="dxa"/>
          </w:tblCellMar>
        </w:tblPrEx>
        <w:trPr>
          <w:trHeight w:val="27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居民服务申请</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居民主动申请巡诊时间，医生端确认时间</w:t>
            </w:r>
          </w:p>
        </w:tc>
      </w:tr>
      <w:tr>
        <w:tblPrEx>
          <w:tblCellMar>
            <w:top w:w="0" w:type="dxa"/>
            <w:left w:w="108" w:type="dxa"/>
            <w:bottom w:w="0" w:type="dxa"/>
            <w:right w:w="108" w:type="dxa"/>
          </w:tblCellMar>
        </w:tblPrEx>
        <w:trPr>
          <w:trHeight w:val="765"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撤床申请</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★患者根据治疗情况申请撤床，展示患者病床信息包括住院号、患者类型、建床时间、建床天数、责任医生、责任护士、押金总额、选择撤床原因进行撤床申请。医生通过移动端或者PC评估是否通过申请。</w:t>
            </w:r>
          </w:p>
        </w:tc>
      </w:tr>
      <w:tr>
        <w:tblPrEx>
          <w:tblCellMar>
            <w:top w:w="0" w:type="dxa"/>
            <w:left w:w="108" w:type="dxa"/>
            <w:bottom w:w="0" w:type="dxa"/>
            <w:right w:w="108" w:type="dxa"/>
          </w:tblCellMar>
        </w:tblPrEx>
        <w:trPr>
          <w:trHeight w:val="102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转诊申请</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在患者建床期间，病情发生变化，经医生评估向医疗机构申请转诊，内容包括居民病床信息号、病人类型、建床时间、责任医生、建床期间医嘱明细信息、建床医疗机构等信息，选择医疗机构进行转诊申请，建床机构通过PC端评估通过，生成转诊单。</w:t>
            </w:r>
          </w:p>
        </w:tc>
      </w:tr>
      <w:tr>
        <w:tblPrEx>
          <w:tblCellMar>
            <w:top w:w="0" w:type="dxa"/>
            <w:left w:w="108" w:type="dxa"/>
            <w:bottom w:w="0" w:type="dxa"/>
            <w:right w:w="108" w:type="dxa"/>
          </w:tblCellMar>
        </w:tblPrEx>
        <w:trPr>
          <w:trHeight w:val="78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消息推送</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主要解决医护和居民之间互通提醒。包含建床申请提醒、评估通过提醒、检验检查报告提醒、用药提醒、建床预交金支付提醒、咨询通知、预约服务提醒、转诊会诊提醒、撤床申请提醒、健康知识推送。</w:t>
            </w:r>
          </w:p>
        </w:tc>
      </w:tr>
      <w:tr>
        <w:tblPrEx>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个人中心</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包含地址管理、订单管理、就诊人管理、实人认证、档案信息、电子发票、充值、费用查询、支付管理、电子签名管理。</w:t>
            </w:r>
          </w:p>
        </w:tc>
      </w:tr>
      <w:tr>
        <w:tblPrEx>
          <w:tblCellMar>
            <w:top w:w="0" w:type="dxa"/>
            <w:left w:w="108" w:type="dxa"/>
            <w:bottom w:w="0" w:type="dxa"/>
            <w:right w:w="108" w:type="dxa"/>
          </w:tblCellMar>
        </w:tblPrEx>
        <w:trPr>
          <w:trHeight w:val="760" w:hRule="atLeast"/>
          <w:jc w:val="center"/>
        </w:trPr>
        <w:tc>
          <w:tcPr>
            <w:tcW w:w="1261" w:type="dxa"/>
            <w:vMerge w:val="restart"/>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费用管理</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预缴押金</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居民可以查询预交金缴费记录，线上直接缴费，医护端推送给居民预交金不足，提醒居民缴费。</w:t>
            </w:r>
          </w:p>
        </w:tc>
      </w:tr>
      <w:tr>
        <w:tblPrEx>
          <w:tblCellMar>
            <w:top w:w="0" w:type="dxa"/>
            <w:left w:w="108" w:type="dxa"/>
            <w:bottom w:w="0" w:type="dxa"/>
            <w:right w:w="108" w:type="dxa"/>
          </w:tblCellMar>
        </w:tblPrEx>
        <w:trPr>
          <w:trHeight w:val="66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撤床结算</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居民撤床之后，在手机端确认结算支付或退款，支持医保移动支付。</w:t>
            </w:r>
          </w:p>
        </w:tc>
      </w:tr>
      <w:tr>
        <w:tblPrEx>
          <w:tblCellMar>
            <w:top w:w="0" w:type="dxa"/>
            <w:left w:w="108" w:type="dxa"/>
            <w:bottom w:w="0" w:type="dxa"/>
            <w:right w:w="108" w:type="dxa"/>
          </w:tblCellMar>
        </w:tblPrEx>
        <w:trPr>
          <w:trHeight w:val="276"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vMerge w:val="restart"/>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催款通知单</w:t>
            </w:r>
          </w:p>
        </w:tc>
        <w:tc>
          <w:tcPr>
            <w:tcW w:w="7090" w:type="dxa"/>
            <w:vMerge w:val="restart"/>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根据押金余额情况，对患者进行催交提醒，发送通知催其补交。</w:t>
            </w:r>
            <w:r>
              <w:rPr>
                <w:rFonts w:hint="eastAsia" w:ascii="Arial" w:hAnsi="Arial" w:eastAsia="宋体" w:cs="Arial"/>
                <w:snapToGrid w:val="0"/>
                <w:color w:val="000000"/>
                <w:sz w:val="24"/>
                <w:szCs w:val="21"/>
                <w:highlight w:val="none"/>
                <w:lang w:val="en-US" w:eastAsia="zh-CN" w:bidi="ar-SA"/>
              </w:rPr>
              <w:br w:type="textWrapping"/>
            </w:r>
            <w:r>
              <w:rPr>
                <w:rFonts w:hint="eastAsia" w:ascii="Arial" w:hAnsi="Arial" w:eastAsia="宋体" w:cs="Arial"/>
                <w:snapToGrid w:val="0"/>
                <w:color w:val="000000"/>
                <w:sz w:val="24"/>
                <w:szCs w:val="21"/>
                <w:highlight w:val="none"/>
                <w:lang w:val="en-US" w:eastAsia="zh-CN" w:bidi="ar-SA"/>
              </w:rPr>
              <w:t>根据科室设定的欠费公式，产生催款通知记录，并打印。</w:t>
            </w:r>
          </w:p>
        </w:tc>
      </w:tr>
      <w:tr>
        <w:tblPrEx>
          <w:tblCellMar>
            <w:top w:w="0" w:type="dxa"/>
            <w:left w:w="108" w:type="dxa"/>
            <w:bottom w:w="0" w:type="dxa"/>
            <w:right w:w="108" w:type="dxa"/>
          </w:tblCellMar>
        </w:tblPrEx>
        <w:trPr>
          <w:trHeight w:val="276"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7090"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r>
      <w:tr>
        <w:tblPrEx>
          <w:tblCellMar>
            <w:top w:w="0" w:type="dxa"/>
            <w:left w:w="108" w:type="dxa"/>
            <w:bottom w:w="0" w:type="dxa"/>
            <w:right w:w="108" w:type="dxa"/>
          </w:tblCellMar>
        </w:tblPrEx>
        <w:trPr>
          <w:trHeight w:val="276"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vMerge w:val="restart"/>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费用结算</w:t>
            </w:r>
          </w:p>
        </w:tc>
        <w:tc>
          <w:tcPr>
            <w:tcW w:w="7090" w:type="dxa"/>
            <w:vMerge w:val="restart"/>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支持自费结算、医保结算、医保读医保电子凭证、刷脸、读医保卡以及读身份证方式，结算后可打印纸质发票或电子发票。</w:t>
            </w:r>
            <w:r>
              <w:rPr>
                <w:rFonts w:hint="eastAsia" w:ascii="Arial" w:hAnsi="Arial" w:eastAsia="宋体" w:cs="Arial"/>
                <w:snapToGrid w:val="0"/>
                <w:color w:val="000000"/>
                <w:sz w:val="24"/>
                <w:szCs w:val="21"/>
                <w:highlight w:val="none"/>
                <w:lang w:val="en-US" w:eastAsia="zh-CN" w:bidi="ar-SA"/>
              </w:rPr>
              <w:br w:type="textWrapping"/>
            </w:r>
            <w:r>
              <w:rPr>
                <w:rFonts w:hint="eastAsia" w:ascii="Arial" w:hAnsi="Arial" w:eastAsia="宋体" w:cs="Arial"/>
                <w:snapToGrid w:val="0"/>
                <w:color w:val="000000"/>
                <w:sz w:val="24"/>
                <w:szCs w:val="21"/>
                <w:highlight w:val="none"/>
                <w:lang w:val="en-US" w:eastAsia="zh-CN" w:bidi="ar-SA"/>
              </w:rPr>
              <w:t>支持对已办理医保入院登记的患者的费用明细上传及撤销上传，医保患者的出院结算及撤销结算,电子病案上传,打印结算单,取消电子病案,强制结算,中结后重住院,医保兑付,取消医保兑付。</w:t>
            </w:r>
          </w:p>
        </w:tc>
      </w:tr>
      <w:tr>
        <w:tblPrEx>
          <w:tblCellMar>
            <w:top w:w="0" w:type="dxa"/>
            <w:left w:w="108" w:type="dxa"/>
            <w:bottom w:w="0" w:type="dxa"/>
            <w:right w:w="108" w:type="dxa"/>
          </w:tblCellMar>
        </w:tblPrEx>
        <w:trPr>
          <w:trHeight w:val="276"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7090"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r>
      <w:tr>
        <w:tblPrEx>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催交押金</w:t>
            </w:r>
          </w:p>
        </w:tc>
        <w:tc>
          <w:tcPr>
            <w:tcW w:w="7090"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240" w:lineRule="auto"/>
              <w:ind w:firstLine="0" w:firstLineChars="0"/>
              <w:textAlignment w:val="baseline"/>
              <w:rPr>
                <w:rFonts w:hint="eastAsia" w:ascii="Arial" w:hAnsi="Arial" w:eastAsia="宋体" w:cs="Arial"/>
                <w:snapToGrid w:val="0"/>
                <w:color w:val="000000"/>
                <w:sz w:val="24"/>
                <w:szCs w:val="21"/>
                <w:highlight w:val="none"/>
                <w:lang w:val="en-US" w:eastAsia="zh-CN" w:bidi="ar-SA"/>
              </w:rPr>
            </w:pPr>
            <w:r>
              <w:rPr>
                <w:rFonts w:hint="eastAsia" w:ascii="Arial" w:hAnsi="Arial" w:eastAsia="宋体" w:cs="Arial"/>
                <w:snapToGrid w:val="0"/>
                <w:color w:val="000000"/>
                <w:sz w:val="24"/>
                <w:szCs w:val="21"/>
                <w:highlight w:val="none"/>
                <w:lang w:val="en-US" w:eastAsia="zh-CN" w:bidi="ar-SA"/>
              </w:rPr>
              <w:t>患者押金不足时，护理端可对家庭患者进行催交押金通知提醒，提醒患者端当前押金余额，建议补交金额。</w:t>
            </w:r>
          </w:p>
        </w:tc>
      </w:tr>
    </w:tbl>
    <w:p>
      <w:pPr>
        <w:pStyle w:val="2"/>
        <w:tabs>
          <w:tab w:val="left" w:pos="567"/>
        </w:tabs>
        <w:ind w:firstLine="240"/>
        <w:rPr>
          <w:highlight w:val="none"/>
          <w:lang w:eastAsia="zh-CN"/>
        </w:rPr>
      </w:pPr>
    </w:p>
    <w:p>
      <w:pPr>
        <w:ind w:firstLine="0" w:firstLineChars="0"/>
        <w:rPr>
          <w:highlight w:val="none"/>
          <w:lang w:eastAsia="zh-CN"/>
        </w:rPr>
      </w:pPr>
    </w:p>
    <w:p>
      <w:pPr>
        <w:rPr>
          <w:rStyle w:val="69"/>
          <w:rFonts w:hint="eastAsia" w:ascii="宋体" w:hAnsi="宋体" w:cs="宋体"/>
          <w:b/>
          <w:bCs/>
          <w:color w:val="auto"/>
          <w:sz w:val="24"/>
          <w:highlight w:val="none"/>
          <w:lang w:val="zh-CN"/>
        </w:rPr>
      </w:pPr>
    </w:p>
    <w:p>
      <w:pPr>
        <w:rPr>
          <w:rStyle w:val="69"/>
          <w:rFonts w:ascii="宋体" w:hAnsi="宋体" w:cs="宋体"/>
          <w:b/>
          <w:bCs/>
          <w:color w:val="auto"/>
          <w:sz w:val="24"/>
          <w:highlight w:val="none"/>
          <w:lang w:val="zh-CN"/>
        </w:rPr>
      </w:pPr>
      <w:r>
        <w:rPr>
          <w:rStyle w:val="69"/>
          <w:rFonts w:hint="eastAsia" w:ascii="宋体" w:hAnsi="宋体" w:cs="宋体"/>
          <w:b/>
          <w:bCs/>
          <w:color w:val="auto"/>
          <w:sz w:val="24"/>
          <w:highlight w:val="none"/>
          <w:lang w:val="zh-CN"/>
        </w:rPr>
        <w:t>2、服务内容及要求：</w:t>
      </w:r>
    </w:p>
    <w:p>
      <w:pPr>
        <w:spacing w:line="420" w:lineRule="exact"/>
        <w:ind w:firstLine="480" w:firstLineChars="200"/>
        <w:rPr>
          <w:rStyle w:val="69"/>
          <w:rFonts w:hint="eastAsia" w:ascii="宋体" w:hAnsi="宋体" w:cs="宋体"/>
          <w:color w:val="auto"/>
          <w:sz w:val="24"/>
          <w:highlight w:val="none"/>
          <w:lang w:val="en-US" w:eastAsia="zh-CN"/>
        </w:rPr>
      </w:pPr>
      <w:r>
        <w:rPr>
          <w:rStyle w:val="69"/>
          <w:rFonts w:hint="eastAsia" w:ascii="宋体" w:hAnsi="宋体" w:cs="宋体"/>
          <w:color w:val="auto"/>
          <w:sz w:val="24"/>
          <w:highlight w:val="none"/>
          <w:lang w:val="zh-CN"/>
        </w:rPr>
        <w:t>2.1服务要求：</w:t>
      </w:r>
      <w:r>
        <w:rPr>
          <w:rStyle w:val="69"/>
          <w:rFonts w:hint="eastAsia" w:ascii="宋体" w:hAnsi="宋体" w:cs="宋体"/>
          <w:color w:val="auto"/>
          <w:sz w:val="24"/>
          <w:highlight w:val="none"/>
          <w:lang w:val="en-US" w:eastAsia="zh-CN"/>
        </w:rPr>
        <w:t>满足采购人要求</w:t>
      </w:r>
    </w:p>
    <w:p>
      <w:pPr>
        <w:spacing w:line="420" w:lineRule="exact"/>
        <w:ind w:firstLine="480" w:firstLineChars="200"/>
        <w:rPr>
          <w:rStyle w:val="69"/>
          <w:rFonts w:ascii="宋体" w:hAnsi="宋体" w:cs="宋体"/>
          <w:color w:val="auto"/>
          <w:sz w:val="24"/>
          <w:highlight w:val="none"/>
          <w:lang w:val="zh-CN"/>
        </w:rPr>
      </w:pPr>
      <w:r>
        <w:rPr>
          <w:rStyle w:val="69"/>
          <w:rFonts w:hint="eastAsia" w:ascii="宋体" w:hAnsi="宋体" w:cs="宋体"/>
          <w:color w:val="auto"/>
          <w:sz w:val="24"/>
          <w:highlight w:val="none"/>
          <w:lang w:val="zh-CN"/>
        </w:rPr>
        <w:t>2.2</w:t>
      </w:r>
      <w:r>
        <w:rPr>
          <w:rStyle w:val="69"/>
          <w:rFonts w:hint="eastAsia" w:ascii="宋体" w:hAnsi="宋体" w:cs="宋体"/>
          <w:color w:val="auto"/>
          <w:sz w:val="24"/>
          <w:highlight w:val="none"/>
        </w:rPr>
        <w:t>服务</w:t>
      </w:r>
      <w:r>
        <w:rPr>
          <w:rStyle w:val="69"/>
          <w:rFonts w:hint="eastAsia" w:ascii="宋体" w:hAnsi="宋体" w:cs="宋体"/>
          <w:color w:val="auto"/>
          <w:sz w:val="24"/>
          <w:highlight w:val="none"/>
          <w:lang w:val="zh-CN"/>
        </w:rPr>
        <w:t>地点：采购人指定地点。</w:t>
      </w:r>
    </w:p>
    <w:p>
      <w:pPr>
        <w:spacing w:line="420" w:lineRule="exact"/>
        <w:ind w:firstLine="480" w:firstLineChars="200"/>
        <w:rPr>
          <w:rStyle w:val="69"/>
          <w:rFonts w:ascii="宋体" w:hAnsi="宋体" w:cs="宋体"/>
          <w:color w:val="auto"/>
          <w:sz w:val="24"/>
          <w:highlight w:val="none"/>
          <w:lang w:val="zh-CN"/>
        </w:rPr>
      </w:pPr>
      <w:r>
        <w:rPr>
          <w:rStyle w:val="69"/>
          <w:rFonts w:hint="eastAsia" w:ascii="宋体" w:hAnsi="宋体" w:cs="宋体"/>
          <w:color w:val="auto"/>
          <w:sz w:val="24"/>
          <w:highlight w:val="none"/>
          <w:lang w:val="zh-CN"/>
        </w:rPr>
        <w:t>2.3</w:t>
      </w:r>
      <w:r>
        <w:rPr>
          <w:rStyle w:val="69"/>
          <w:rFonts w:hint="eastAsia" w:ascii="宋体" w:hAnsi="宋体" w:cs="宋体"/>
          <w:color w:val="auto"/>
          <w:sz w:val="24"/>
          <w:highlight w:val="none"/>
        </w:rPr>
        <w:t>服务</w:t>
      </w:r>
      <w:r>
        <w:rPr>
          <w:rStyle w:val="69"/>
          <w:rFonts w:hint="eastAsia" w:ascii="宋体" w:hAnsi="宋体" w:cs="宋体"/>
          <w:color w:val="auto"/>
          <w:sz w:val="24"/>
          <w:highlight w:val="none"/>
          <w:lang w:val="zh-CN"/>
        </w:rPr>
        <w:t>日期：</w:t>
      </w:r>
      <w:r>
        <w:rPr>
          <w:rFonts w:hint="eastAsia" w:asciiTheme="minorEastAsia" w:hAnsiTheme="minorEastAsia" w:cstheme="minorEastAsia"/>
          <w:color w:val="auto"/>
          <w:sz w:val="24"/>
          <w:szCs w:val="24"/>
          <w:highlight w:val="none"/>
          <w:lang w:val="en-US" w:eastAsia="zh-CN"/>
        </w:rPr>
        <w:t>一年</w:t>
      </w:r>
      <w:r>
        <w:rPr>
          <w:rStyle w:val="69"/>
          <w:rFonts w:hint="eastAsia" w:ascii="宋体" w:hAnsi="宋体" w:cs="宋体"/>
          <w:color w:val="auto"/>
          <w:sz w:val="24"/>
          <w:highlight w:val="none"/>
          <w:lang w:val="zh-CN"/>
        </w:rPr>
        <w:t>。</w:t>
      </w:r>
    </w:p>
    <w:p>
      <w:pPr>
        <w:spacing w:line="420" w:lineRule="exact"/>
        <w:ind w:firstLine="480" w:firstLineChars="200"/>
        <w:rPr>
          <w:rStyle w:val="69"/>
          <w:rFonts w:ascii="宋体" w:hAnsi="宋体" w:cs="宋体"/>
          <w:color w:val="auto"/>
          <w:sz w:val="24"/>
          <w:highlight w:val="none"/>
          <w:lang w:val="zh-CN"/>
        </w:rPr>
      </w:pPr>
      <w:r>
        <w:rPr>
          <w:rStyle w:val="69"/>
          <w:rFonts w:hint="eastAsia" w:ascii="宋体" w:hAnsi="宋体" w:cs="宋体"/>
          <w:color w:val="auto"/>
          <w:sz w:val="24"/>
          <w:highlight w:val="none"/>
          <w:lang w:val="zh-CN"/>
        </w:rPr>
        <w:t>2.4验收：由最终用户组织验收。</w:t>
      </w:r>
    </w:p>
    <w:p>
      <w:pPr>
        <w:rPr>
          <w:rFonts w:hint="eastAsia" w:ascii="宋体" w:hAnsi="宋体" w:cs="宋体"/>
          <w:b/>
          <w:bCs/>
          <w:sz w:val="24"/>
          <w:highlight w:val="none"/>
        </w:rPr>
      </w:pPr>
      <w:r>
        <w:rPr>
          <w:rFonts w:hint="eastAsia" w:ascii="宋体" w:hAnsi="宋体" w:cs="宋体"/>
          <w:b/>
          <w:bCs/>
          <w:sz w:val="24"/>
          <w:highlight w:val="none"/>
        </w:rPr>
        <w:br w:type="page"/>
      </w:r>
    </w:p>
    <w:p>
      <w:pPr>
        <w:spacing w:line="480" w:lineRule="auto"/>
        <w:jc w:val="center"/>
        <w:rPr>
          <w:rFonts w:ascii="宋体" w:hAnsi="宋体" w:cs="宋体"/>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章  响应性文件内容及格式</w:t>
      </w:r>
    </w:p>
    <w:p>
      <w:pPr>
        <w:widowControl/>
        <w:spacing w:line="520" w:lineRule="exact"/>
        <w:ind w:firstLine="480" w:firstLineChars="200"/>
        <w:jc w:val="center"/>
        <w:rPr>
          <w:rFonts w:ascii="宋体" w:hAnsi="宋体" w:cs="宋体"/>
          <w:sz w:val="24"/>
          <w:highlight w:val="none"/>
        </w:rPr>
      </w:pP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2.法定代表人本人参加竞争性磋商的，不需提供授权委托书。</w:t>
      </w: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4"/>
        <w:ind w:firstLine="480"/>
        <w:rPr>
          <w:rFonts w:ascii="宋体" w:hAnsi="宋体" w:eastAsia="宋体" w:cs="宋体"/>
          <w:sz w:val="24"/>
          <w:highlight w:val="none"/>
        </w:rPr>
      </w:pPr>
    </w:p>
    <w:p>
      <w:pPr>
        <w:pStyle w:val="4"/>
        <w:ind w:firstLine="480"/>
        <w:rPr>
          <w:rFonts w:ascii="宋体" w:hAnsi="宋体" w:eastAsia="宋体" w:cs="宋体"/>
          <w:sz w:val="24"/>
          <w:highlight w:val="none"/>
        </w:rPr>
      </w:pPr>
    </w:p>
    <w:p>
      <w:pPr>
        <w:pStyle w:val="4"/>
        <w:ind w:firstLine="480"/>
        <w:rPr>
          <w:rFonts w:ascii="宋体" w:hAnsi="宋体" w:eastAsia="宋体" w:cs="宋体"/>
          <w:sz w:val="24"/>
          <w:highlight w:val="none"/>
        </w:rPr>
      </w:pPr>
    </w:p>
    <w:p>
      <w:pPr>
        <w:pStyle w:val="4"/>
        <w:ind w:firstLine="480"/>
        <w:rPr>
          <w:rFonts w:ascii="宋体" w:hAnsi="宋体" w:eastAsia="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4"/>
        <w:ind w:firstLine="480"/>
        <w:rPr>
          <w:rFonts w:ascii="宋体" w:hAnsi="宋体" w:eastAsia="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4"/>
        <w:ind w:firstLine="480"/>
        <w:rPr>
          <w:rFonts w:ascii="宋体" w:hAnsi="宋体" w:eastAsia="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格式2-1</w:t>
      </w:r>
    </w:p>
    <w:p>
      <w:pPr>
        <w:widowControl/>
        <w:jc w:val="center"/>
        <w:rPr>
          <w:rFonts w:ascii="宋体" w:hAnsi="宋体" w:cs="宋体"/>
          <w:kern w:val="0"/>
          <w:sz w:val="24"/>
          <w:highlight w:val="none"/>
        </w:rPr>
      </w:pPr>
      <w:r>
        <w:rPr>
          <w:rFonts w:hint="eastAsia" w:ascii="宋体" w:hAnsi="宋体" w:cs="宋体"/>
          <w:sz w:val="24"/>
          <w:highlight w:val="none"/>
        </w:rPr>
        <w:t>企业营业执照副本及</w:t>
      </w:r>
      <w:r>
        <w:rPr>
          <w:rFonts w:hint="eastAsia" w:ascii="宋体" w:hAnsi="宋体" w:cs="宋体"/>
          <w:kern w:val="0"/>
          <w:sz w:val="24"/>
          <w:highlight w:val="none"/>
        </w:rPr>
        <w:t>资格性证明材料</w:t>
      </w:r>
    </w:p>
    <w:p>
      <w:pPr>
        <w:pStyle w:val="38"/>
        <w:ind w:firstLine="210"/>
        <w:rPr>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格式2-2</w:t>
      </w:r>
    </w:p>
    <w:p>
      <w:pPr>
        <w:spacing w:line="360" w:lineRule="auto"/>
        <w:jc w:val="center"/>
        <w:rPr>
          <w:rFonts w:ascii="宋体" w:hAnsi="宋体" w:cs="宋体"/>
          <w:sz w:val="24"/>
          <w:highlight w:val="none"/>
        </w:rPr>
      </w:pPr>
      <w:r>
        <w:rPr>
          <w:rFonts w:hint="eastAsia" w:ascii="宋体" w:hAnsi="宋体" w:cs="宋体"/>
          <w:sz w:val="24"/>
          <w:highlight w:val="none"/>
        </w:rPr>
        <w:t>法定代表人身份证明书</w:t>
      </w:r>
    </w:p>
    <w:p>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sz w:val="24"/>
                <w:highlight w:val="none"/>
              </w:rPr>
            </w:pPr>
          </w:p>
          <w:p>
            <w:pPr>
              <w:spacing w:line="480" w:lineRule="exact"/>
              <w:rPr>
                <w:rFonts w:ascii="宋体" w:hAnsi="宋体" w:cs="宋体"/>
                <w:b/>
                <w:bCs/>
                <w:sz w:val="24"/>
                <w:highlight w:val="none"/>
              </w:rPr>
            </w:pPr>
          </w:p>
          <w:p>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pPr>
              <w:spacing w:line="480" w:lineRule="exact"/>
              <w:rPr>
                <w:rFonts w:ascii="宋体" w:hAnsi="宋体" w:cs="宋体"/>
                <w:sz w:val="24"/>
                <w:highlight w:val="none"/>
              </w:rPr>
            </w:pPr>
          </w:p>
          <w:p>
            <w:pPr>
              <w:spacing w:line="480" w:lineRule="exact"/>
              <w:rPr>
                <w:rFonts w:ascii="宋体" w:hAnsi="宋体" w:cs="宋体"/>
                <w:sz w:val="24"/>
                <w:highlight w:val="none"/>
              </w:rPr>
            </w:pPr>
          </w:p>
        </w:tc>
      </w:tr>
    </w:tbl>
    <w:p>
      <w:pPr>
        <w:spacing w:line="360" w:lineRule="auto"/>
        <w:ind w:firstLine="960" w:firstLineChars="4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spacing w:line="360" w:lineRule="auto"/>
        <w:jc w:val="center"/>
        <w:rPr>
          <w:rFonts w:ascii="宋体" w:hAnsi="宋体" w:cs="宋体"/>
          <w:sz w:val="24"/>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jc w:val="left"/>
        <w:rPr>
          <w:rFonts w:ascii="宋体" w:hAnsi="宋体" w:cs="宋体"/>
          <w:sz w:val="24"/>
          <w:highlight w:val="none"/>
        </w:rPr>
      </w:pPr>
      <w:r>
        <w:rPr>
          <w:rFonts w:hint="eastAsia" w:ascii="宋体" w:hAnsi="宋体" w:cs="宋体"/>
          <w:sz w:val="24"/>
          <w:highlight w:val="none"/>
        </w:rPr>
        <w:t>格式2-3</w:t>
      </w:r>
    </w:p>
    <w:p>
      <w:pPr>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授权委托书</w:t>
      </w:r>
    </w:p>
    <w:p>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pPr>
        <w:spacing w:line="360" w:lineRule="auto"/>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供应商电子签章：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2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sz w:val="24"/>
                <w:highlight w:val="none"/>
              </w:rPr>
            </w:pPr>
          </w:p>
          <w:p>
            <w:pPr>
              <w:spacing w:line="480" w:lineRule="exact"/>
              <w:rPr>
                <w:rFonts w:ascii="宋体" w:hAnsi="宋体" w:cs="宋体"/>
                <w:b/>
                <w:bCs/>
                <w:sz w:val="24"/>
                <w:highlight w:val="none"/>
              </w:rPr>
            </w:pPr>
          </w:p>
          <w:p>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pacing w:line="360" w:lineRule="auto"/>
        <w:ind w:firstLine="4920" w:firstLineChars="2050"/>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pStyle w:val="38"/>
        <w:ind w:firstLine="210"/>
        <w:rPr>
          <w:highlight w:val="none"/>
        </w:rPr>
      </w:pPr>
    </w:p>
    <w:p>
      <w:pPr>
        <w:pStyle w:val="38"/>
        <w:ind w:firstLine="210"/>
        <w:rPr>
          <w:highlight w:val="none"/>
        </w:rPr>
      </w:pPr>
    </w:p>
    <w:p>
      <w:pPr>
        <w:pStyle w:val="38"/>
        <w:ind w:firstLine="210"/>
        <w:rPr>
          <w:highlight w:val="none"/>
        </w:rPr>
      </w:pPr>
    </w:p>
    <w:p>
      <w:pPr>
        <w:pStyle w:val="38"/>
        <w:ind w:firstLine="210"/>
        <w:rPr>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jc w:val="left"/>
        <w:rPr>
          <w:rFonts w:ascii="宋体" w:hAnsi="宋体" w:cs="宋体"/>
          <w:sz w:val="24"/>
          <w:highlight w:val="none"/>
        </w:rPr>
      </w:pPr>
      <w:r>
        <w:rPr>
          <w:rFonts w:hint="eastAsia" w:ascii="宋体" w:hAnsi="宋体" w:cs="宋体"/>
          <w:sz w:val="24"/>
          <w:highlight w:val="none"/>
        </w:rPr>
        <w:t>格式2-3政府采购法第二十二条及参加政府采购活动前三年内无重大违法记录的书面声明</w:t>
      </w:r>
    </w:p>
    <w:p>
      <w:pPr>
        <w:spacing w:line="360" w:lineRule="auto"/>
        <w:jc w:val="left"/>
        <w:rPr>
          <w:rFonts w:ascii="宋体" w:hAnsi="宋体" w:cs="宋体"/>
          <w:sz w:val="24"/>
          <w:highlight w:val="none"/>
        </w:rPr>
      </w:pPr>
    </w:p>
    <w:p>
      <w:pPr>
        <w:spacing w:line="360" w:lineRule="auto"/>
        <w:jc w:val="left"/>
        <w:rPr>
          <w:rFonts w:hint="eastAsia"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格式3</w:t>
      </w:r>
    </w:p>
    <w:p>
      <w:pPr>
        <w:spacing w:line="560" w:lineRule="exact"/>
        <w:jc w:val="center"/>
        <w:rPr>
          <w:rFonts w:ascii="宋体" w:hAnsi="宋体" w:cs="宋体"/>
          <w:sz w:val="24"/>
          <w:highlight w:val="none"/>
        </w:rPr>
      </w:pPr>
      <w:r>
        <w:rPr>
          <w:rFonts w:hint="eastAsia" w:ascii="宋体" w:hAnsi="宋体" w:cs="宋体"/>
          <w:sz w:val="24"/>
          <w:highlight w:val="none"/>
        </w:rPr>
        <w:t>投标函</w:t>
      </w:r>
    </w:p>
    <w:p>
      <w:pPr>
        <w:pStyle w:val="25"/>
        <w:shd w:val="clear" w:color="auto" w:fill="FFFFFF"/>
        <w:adjustRightInd w:val="0"/>
        <w:snapToGrid w:val="0"/>
        <w:spacing w:before="0" w:beforeAutospacing="0" w:after="0" w:afterAutospacing="0" w:line="360" w:lineRule="auto"/>
        <w:rPr>
          <w:rFonts w:cs="宋体"/>
          <w:highlight w:val="none"/>
        </w:rPr>
      </w:pPr>
      <w:r>
        <w:rPr>
          <w:rFonts w:hint="eastAsia" w:cs="宋体"/>
          <w:szCs w:val="24"/>
          <w:highlight w:val="none"/>
        </w:rPr>
        <w:t>致：</w:t>
      </w:r>
      <w:r>
        <w:rPr>
          <w:rFonts w:hint="eastAsia" w:cs="宋体"/>
          <w:kern w:val="2"/>
          <w:highlight w:val="none"/>
        </w:rPr>
        <w:t>（采购人或采购代理机构）</w:t>
      </w:r>
    </w:p>
    <w:p>
      <w:pPr>
        <w:pStyle w:val="58"/>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），委托代理人 (全名、职务)代表 供应商名称、地址)提交投标文件，报价为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pPr>
        <w:ind w:firstLine="568" w:firstLineChars="237"/>
        <w:rPr>
          <w:rFonts w:ascii="宋体" w:hAnsi="宋体" w:cs="宋体"/>
          <w:sz w:val="24"/>
          <w:highlight w:val="none"/>
        </w:rPr>
      </w:pPr>
      <w:r>
        <w:rPr>
          <w:rFonts w:hint="eastAsia" w:ascii="宋体" w:hAnsi="宋体" w:cs="宋体"/>
          <w:sz w:val="24"/>
          <w:highlight w:val="none"/>
        </w:rPr>
        <w:t>据此函，宣布同意如下：</w:t>
      </w:r>
    </w:p>
    <w:p>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pPr>
        <w:numPr>
          <w:ilvl w:val="0"/>
          <w:numId w:val="3"/>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我方愿按《中华人民共和国民法典》履行我方的全部责任。</w:t>
      </w:r>
    </w:p>
    <w:p>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pPr>
        <w:ind w:firstLine="480" w:firstLineChars="200"/>
        <w:rPr>
          <w:rFonts w:ascii="宋体" w:hAnsi="宋体" w:cs="宋体"/>
          <w:sz w:val="24"/>
          <w:highlight w:val="none"/>
        </w:rPr>
      </w:pPr>
      <w:r>
        <w:rPr>
          <w:rFonts w:hint="eastAsia" w:ascii="宋体" w:hAnsi="宋体" w:cs="宋体"/>
          <w:sz w:val="24"/>
          <w:highlight w:val="none"/>
        </w:rPr>
        <w:t>地 址：                  邮 编：</w:t>
      </w:r>
    </w:p>
    <w:p>
      <w:pPr>
        <w:ind w:firstLine="480" w:firstLineChars="200"/>
        <w:rPr>
          <w:rFonts w:ascii="宋体" w:hAnsi="宋体" w:cs="宋体"/>
          <w:sz w:val="24"/>
          <w:highlight w:val="none"/>
        </w:rPr>
      </w:pPr>
      <w:r>
        <w:rPr>
          <w:rFonts w:hint="eastAsia" w:ascii="宋体" w:hAnsi="宋体" w:cs="宋体"/>
          <w:sz w:val="24"/>
          <w:highlight w:val="none"/>
        </w:rPr>
        <w:t>电 话：                  电子信箱：</w:t>
      </w:r>
    </w:p>
    <w:p>
      <w:pPr>
        <w:ind w:firstLine="480" w:firstLineChars="200"/>
        <w:jc w:val="left"/>
        <w:rPr>
          <w:rFonts w:ascii="宋体" w:hAnsi="宋体" w:cs="宋体"/>
          <w:sz w:val="24"/>
          <w:highlight w:val="none"/>
        </w:rPr>
      </w:pPr>
      <w:r>
        <w:rPr>
          <w:rFonts w:hint="eastAsia" w:ascii="宋体" w:hAnsi="宋体" w:cs="宋体"/>
          <w:sz w:val="24"/>
          <w:highlight w:val="none"/>
        </w:rPr>
        <w:t>我们保证：</w:t>
      </w:r>
    </w:p>
    <w:p>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pPr>
        <w:spacing w:line="560" w:lineRule="exact"/>
        <w:jc w:val="left"/>
        <w:rPr>
          <w:rFonts w:ascii="宋体" w:hAnsi="宋体" w:cs="宋体"/>
          <w:sz w:val="24"/>
          <w:highlight w:val="none"/>
        </w:rPr>
      </w:pPr>
    </w:p>
    <w:p>
      <w:pPr>
        <w:spacing w:line="560" w:lineRule="exact"/>
        <w:jc w:val="left"/>
        <w:rPr>
          <w:rFonts w:ascii="宋体" w:hAnsi="宋体" w:cs="宋体"/>
          <w:sz w:val="24"/>
          <w:highlight w:val="none"/>
        </w:rPr>
      </w:pPr>
      <w:r>
        <w:rPr>
          <w:rFonts w:hint="eastAsia" w:ascii="宋体" w:hAnsi="宋体" w:cs="宋体"/>
          <w:sz w:val="24"/>
          <w:highlight w:val="none"/>
        </w:rPr>
        <w:t xml:space="preserve">     联系人：              联系电话：</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格式4</w:t>
      </w:r>
    </w:p>
    <w:p>
      <w:pPr>
        <w:pStyle w:val="9"/>
        <w:jc w:val="center"/>
        <w:rPr>
          <w:rFonts w:ascii="宋体" w:hAnsi="宋体" w:cs="宋体"/>
          <w:b w:val="0"/>
          <w:sz w:val="24"/>
          <w:szCs w:val="24"/>
          <w:highlight w:val="none"/>
        </w:rPr>
      </w:pPr>
      <w:bookmarkStart w:id="30" w:name="_Toc495414231"/>
      <w:bookmarkStart w:id="31" w:name="_Toc197934561"/>
      <w:r>
        <w:rPr>
          <w:rFonts w:hint="eastAsia" w:ascii="宋体" w:hAnsi="宋体" w:cs="宋体"/>
          <w:b w:val="0"/>
          <w:sz w:val="24"/>
          <w:szCs w:val="24"/>
          <w:highlight w:val="none"/>
        </w:rPr>
        <w:t>报价一览表</w:t>
      </w:r>
      <w:bookmarkEnd w:id="30"/>
      <w:bookmarkEnd w:id="31"/>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pPr>
              <w:spacing w:line="360" w:lineRule="auto"/>
              <w:jc w:val="left"/>
              <w:rPr>
                <w:rFonts w:ascii="宋体" w:hAnsi="宋体" w:cs="宋体"/>
                <w:sz w:val="24"/>
                <w:highlight w:val="none"/>
              </w:rPr>
            </w:pPr>
          </w:p>
        </w:tc>
      </w:tr>
    </w:tbl>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rPr>
          <w:rFonts w:ascii="宋体" w:hAnsi="宋体" w:cs="宋体"/>
          <w:sz w:val="24"/>
          <w:highlight w:val="none"/>
        </w:rPr>
      </w:pPr>
      <w:r>
        <w:rPr>
          <w:rFonts w:hint="eastAsia" w:ascii="宋体" w:hAnsi="宋体" w:cs="宋体"/>
          <w:sz w:val="24"/>
          <w:highlight w:val="none"/>
        </w:rPr>
        <w:t>备注：</w:t>
      </w:r>
    </w:p>
    <w:p>
      <w:pPr>
        <w:spacing w:line="360" w:lineRule="auto"/>
        <w:rPr>
          <w:rFonts w:ascii="宋体" w:hAnsi="宋体" w:cs="宋体"/>
          <w:sz w:val="24"/>
          <w:highlight w:val="none"/>
        </w:rPr>
      </w:pPr>
      <w:r>
        <w:rPr>
          <w:rFonts w:hint="eastAsia" w:ascii="宋体" w:hAnsi="宋体" w:cs="宋体"/>
          <w:sz w:val="24"/>
          <w:highlight w:val="none"/>
        </w:rPr>
        <w:t>1、此表用于开标会唱标之用。</w:t>
      </w:r>
    </w:p>
    <w:p>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sz w:val="24"/>
          <w:highlight w:val="none"/>
        </w:rPr>
      </w:pPr>
      <w:bookmarkStart w:id="32" w:name="_Toc495414234"/>
      <w:bookmarkStart w:id="33" w:name="_Toc220232409"/>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pStyle w:val="38"/>
        <w:ind w:firstLine="240"/>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格式5</w:t>
      </w:r>
    </w:p>
    <w:p>
      <w:pPr>
        <w:pStyle w:val="9"/>
        <w:jc w:val="center"/>
        <w:rPr>
          <w:rFonts w:ascii="宋体" w:hAnsi="宋体" w:cs="宋体"/>
          <w:b w:val="0"/>
          <w:sz w:val="24"/>
          <w:szCs w:val="24"/>
          <w:highlight w:val="none"/>
        </w:rPr>
      </w:pPr>
      <w:r>
        <w:rPr>
          <w:rFonts w:hint="eastAsia" w:ascii="宋体" w:hAnsi="宋体" w:cs="宋体"/>
          <w:b w:val="0"/>
          <w:sz w:val="24"/>
          <w:szCs w:val="24"/>
          <w:highlight w:val="none"/>
        </w:rPr>
        <w:t>投标分项报价表</w:t>
      </w:r>
      <w:bookmarkEnd w:id="32"/>
      <w:bookmarkEnd w:id="33"/>
    </w:p>
    <w:tbl>
      <w:tblPr>
        <w:tblStyle w:val="2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62"/>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vAlign w:val="center"/>
          </w:tcPr>
          <w:p>
            <w:pPr>
              <w:pStyle w:val="63"/>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pStyle w:val="63"/>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vAlign w:val="center"/>
          </w:tcPr>
          <w:p>
            <w:pPr>
              <w:pStyle w:val="63"/>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bl>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pStyle w:val="38"/>
        <w:ind w:firstLine="241"/>
        <w:rPr>
          <w:rFonts w:ascii="宋体" w:hAnsi="宋体" w:cs="宋体"/>
          <w:b/>
          <w:sz w:val="24"/>
          <w:highlight w:val="none"/>
        </w:rPr>
      </w:pPr>
    </w:p>
    <w:p>
      <w:pPr>
        <w:pStyle w:val="38"/>
        <w:ind w:firstLine="241"/>
        <w:rPr>
          <w:rFonts w:ascii="宋体" w:hAnsi="宋体" w:cs="宋体"/>
          <w:b/>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 xml:space="preserve">格式6                     </w:t>
      </w:r>
      <w:r>
        <w:rPr>
          <w:rFonts w:hint="eastAsia" w:ascii="宋体" w:hAnsi="宋体" w:cs="宋体"/>
          <w:b/>
          <w:sz w:val="24"/>
          <w:highlight w:val="none"/>
        </w:rPr>
        <w:t>技术参数响应表</w:t>
      </w:r>
    </w:p>
    <w:p>
      <w:pPr>
        <w:rPr>
          <w:rFonts w:ascii="宋体" w:hAnsi="宋体" w:cs="宋体"/>
          <w:sz w:val="24"/>
          <w:highlight w:val="none"/>
        </w:rPr>
      </w:pPr>
    </w:p>
    <w:p>
      <w:pPr>
        <w:rPr>
          <w:rFonts w:ascii="宋体" w:hAnsi="宋体" w:cs="宋体"/>
          <w:sz w:val="24"/>
          <w:highlight w:val="none"/>
        </w:rPr>
      </w:pPr>
    </w:p>
    <w:tbl>
      <w:tblPr>
        <w:tblStyle w:val="26"/>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5"/>
              <w:jc w:val="center"/>
              <w:rPr>
                <w:rFonts w:hAnsi="宋体" w:cs="宋体"/>
                <w:bCs/>
                <w:sz w:val="24"/>
                <w:szCs w:val="24"/>
                <w:highlight w:val="none"/>
              </w:rPr>
            </w:pPr>
            <w:r>
              <w:rPr>
                <w:rFonts w:hint="eastAsia" w:hAnsi="宋体" w:cs="宋体"/>
                <w:bCs/>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pPr>
              <w:pStyle w:val="15"/>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pPr>
              <w:pStyle w:val="15"/>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5"/>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pPr>
              <w:pStyle w:val="15"/>
              <w:jc w:val="center"/>
              <w:rPr>
                <w:rFonts w:hAnsi="宋体" w:cs="宋体"/>
                <w:bCs/>
                <w:sz w:val="24"/>
                <w:szCs w:val="24"/>
                <w:highlight w:val="none"/>
              </w:rPr>
            </w:pPr>
            <w:r>
              <w:rPr>
                <w:rFonts w:hint="eastAsia" w:hAnsi="宋体" w:cs="宋体"/>
                <w:bCs/>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bl>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(可根据需求自行更改)</w:t>
      </w:r>
    </w:p>
    <w:p>
      <w:pP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格式7</w:t>
      </w:r>
    </w:p>
    <w:p>
      <w:pPr>
        <w:pStyle w:val="4"/>
        <w:ind w:firstLine="480"/>
        <w:rPr>
          <w:rFonts w:ascii="宋体" w:hAnsi="宋体" w:eastAsia="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服务方案及服务承诺</w:t>
      </w:r>
    </w:p>
    <w:p>
      <w:pPr>
        <w:spacing w:line="380" w:lineRule="exact"/>
        <w:jc w:val="center"/>
        <w:rPr>
          <w:rFonts w:ascii="宋体" w:hAnsi="宋体" w:cs="宋体"/>
          <w:sz w:val="24"/>
          <w:highlight w:val="none"/>
        </w:rPr>
      </w:pPr>
    </w:p>
    <w:p>
      <w:pPr>
        <w:spacing w:line="380" w:lineRule="exact"/>
        <w:ind w:firstLine="360" w:firstLineChars="150"/>
        <w:rPr>
          <w:rFonts w:ascii="宋体" w:hAnsi="宋体" w:cs="宋体"/>
          <w:sz w:val="24"/>
          <w:highlight w:val="none"/>
        </w:rPr>
      </w:pPr>
    </w:p>
    <w:p>
      <w:pPr>
        <w:pStyle w:val="40"/>
        <w:rPr>
          <w:rFonts w:ascii="宋体" w:hAnsi="宋体" w:cs="宋体"/>
          <w:sz w:val="24"/>
          <w:szCs w:val="24"/>
          <w:highlight w:val="none"/>
        </w:rPr>
      </w:pPr>
    </w:p>
    <w:p>
      <w:pPr>
        <w:pStyle w:val="40"/>
        <w:rPr>
          <w:rFonts w:ascii="宋体" w:hAnsi="宋体" w:cs="宋体"/>
          <w:sz w:val="24"/>
          <w:szCs w:val="24"/>
          <w:highlight w:val="none"/>
        </w:rPr>
      </w:pPr>
    </w:p>
    <w:p>
      <w:pPr>
        <w:pStyle w:val="40"/>
        <w:rPr>
          <w:rFonts w:ascii="宋体" w:hAnsi="宋体" w:cs="宋体"/>
          <w:sz w:val="24"/>
          <w:szCs w:val="24"/>
          <w:highlight w:val="none"/>
        </w:rPr>
      </w:pPr>
    </w:p>
    <w:p>
      <w:pPr>
        <w:pStyle w:val="40"/>
        <w:rPr>
          <w:rFonts w:ascii="宋体" w:hAnsi="宋体" w:cs="宋体"/>
          <w:sz w:val="24"/>
          <w:szCs w:val="24"/>
          <w:highlight w:val="none"/>
        </w:rPr>
      </w:pPr>
    </w:p>
    <w:p>
      <w:pPr>
        <w:pStyle w:val="40"/>
        <w:rPr>
          <w:rFonts w:ascii="宋体" w:hAnsi="宋体" w:cs="宋体"/>
          <w:sz w:val="24"/>
          <w:szCs w:val="24"/>
          <w:highlight w:val="none"/>
        </w:rPr>
      </w:pPr>
    </w:p>
    <w:p>
      <w:pPr>
        <w:pStyle w:val="40"/>
        <w:rPr>
          <w:rFonts w:ascii="宋体" w:hAnsi="宋体" w:cs="宋体"/>
          <w:sz w:val="24"/>
          <w:szCs w:val="24"/>
          <w:highlight w:val="none"/>
        </w:rPr>
      </w:pPr>
    </w:p>
    <w:p>
      <w:pPr>
        <w:spacing w:line="380" w:lineRule="exact"/>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80" w:lineRule="exact"/>
        <w:ind w:right="640" w:firstLine="1560" w:firstLineChars="650"/>
        <w:rPr>
          <w:rFonts w:ascii="宋体" w:hAnsi="宋体" w:cs="宋体"/>
          <w:sz w:val="24"/>
          <w:highlight w:val="none"/>
        </w:rPr>
      </w:pPr>
    </w:p>
    <w:p>
      <w:pPr>
        <w:spacing w:line="380" w:lineRule="exact"/>
        <w:ind w:right="640" w:firstLine="4680" w:firstLineChars="1950"/>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pPr>
        <w:spacing w:line="380" w:lineRule="exact"/>
        <w:jc w:val="center"/>
        <w:rPr>
          <w:rFonts w:ascii="宋体" w:hAnsi="宋体" w:cs="宋体"/>
          <w:sz w:val="24"/>
          <w:highlight w:val="none"/>
        </w:rPr>
      </w:pPr>
      <w:r>
        <w:rPr>
          <w:rFonts w:hint="eastAsia" w:ascii="宋体" w:hAnsi="宋体" w:cs="宋体"/>
          <w:sz w:val="24"/>
          <w:highlight w:val="none"/>
        </w:rPr>
        <w:t>格式8合格供应商的声明函和承诺书</w:t>
      </w:r>
    </w:p>
    <w:p>
      <w:pPr>
        <w:spacing w:line="360" w:lineRule="auto"/>
        <w:rPr>
          <w:rFonts w:ascii="宋体" w:hAnsi="宋体" w:cs="宋体"/>
          <w:sz w:val="24"/>
          <w:highlight w:val="none"/>
        </w:rPr>
      </w:pPr>
    </w:p>
    <w:p>
      <w:pPr>
        <w:spacing w:line="360" w:lineRule="auto"/>
        <w:jc w:val="center"/>
        <w:rPr>
          <w:rFonts w:ascii="宋体" w:hAnsi="宋体" w:cs="宋体"/>
          <w:b/>
          <w:bCs/>
          <w:sz w:val="24"/>
          <w:highlight w:val="none"/>
        </w:rPr>
      </w:pPr>
    </w:p>
    <w:p>
      <w:pPr>
        <w:pStyle w:val="40"/>
        <w:rPr>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80" w:lineRule="exact"/>
        <w:ind w:right="640" w:firstLine="1560" w:firstLineChars="650"/>
        <w:rPr>
          <w:rFonts w:ascii="宋体" w:hAnsi="宋体" w:cs="宋体"/>
          <w:sz w:val="24"/>
          <w:highlight w:val="none"/>
        </w:rPr>
      </w:pP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格式9中小企业声明函（工程、服务）</w:t>
      </w:r>
    </w:p>
    <w:p>
      <w:pPr>
        <w:spacing w:line="360" w:lineRule="auto"/>
        <w:rPr>
          <w:b/>
          <w:bCs/>
          <w:sz w:val="32"/>
          <w:szCs w:val="32"/>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 xml:space="preserve">万元，属于（中型企业、小型企业、微型企业）；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 法承担相应责任。 </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企业名称（盖章）： </w:t>
      </w:r>
    </w:p>
    <w:p>
      <w:pPr>
        <w:spacing w:line="360" w:lineRule="auto"/>
        <w:ind w:firstLine="4800" w:firstLineChars="2000"/>
        <w:rPr>
          <w:rFonts w:ascii="宋体" w:hAnsi="宋体" w:cs="宋体"/>
          <w:sz w:val="24"/>
          <w:highlight w:val="none"/>
        </w:rPr>
      </w:pPr>
      <w:r>
        <w:rPr>
          <w:rFonts w:hint="eastAsia" w:ascii="宋体" w:hAnsi="宋体" w:cs="宋体"/>
          <w:sz w:val="24"/>
          <w:highlight w:val="none"/>
        </w:rPr>
        <w:t xml:space="preserve">日 期： </w:t>
      </w:r>
    </w:p>
    <w:p>
      <w:pPr>
        <w:pStyle w:val="40"/>
        <w:rPr>
          <w:rFonts w:ascii="宋体" w:hAnsi="宋体" w:cs="宋体"/>
          <w:sz w:val="24"/>
          <w:szCs w:val="24"/>
          <w:highlight w:val="none"/>
        </w:rPr>
      </w:pPr>
    </w:p>
    <w:p>
      <w:pPr>
        <w:pStyle w:val="10"/>
        <w:rPr>
          <w:rFonts w:ascii="宋体" w:hAnsi="宋体" w:eastAsia="宋体" w:cs="宋体"/>
          <w:sz w:val="24"/>
          <w:highlight w:val="none"/>
        </w:rPr>
      </w:pPr>
    </w:p>
    <w:p>
      <w:pPr>
        <w:rPr>
          <w:rFonts w:ascii="宋体" w:hAnsi="宋体" w:cs="宋体"/>
          <w:sz w:val="24"/>
          <w:highlight w:val="none"/>
        </w:rPr>
      </w:pPr>
    </w:p>
    <w:p>
      <w:pPr>
        <w:pStyle w:val="40"/>
        <w:rPr>
          <w:rFonts w:ascii="宋体" w:hAnsi="宋体" w:cs="宋体"/>
          <w:sz w:val="24"/>
          <w:szCs w:val="24"/>
          <w:highlight w:val="none"/>
        </w:rPr>
      </w:pPr>
    </w:p>
    <w:p>
      <w:pPr>
        <w:pStyle w:val="10"/>
        <w:rPr>
          <w:highlight w:val="none"/>
        </w:rPr>
      </w:pPr>
    </w:p>
    <w:p>
      <w:pPr>
        <w:spacing w:line="360" w:lineRule="auto"/>
        <w:ind w:firstLine="420" w:firstLineChars="200"/>
        <w:rPr>
          <w:highlight w:val="none"/>
        </w:rPr>
      </w:pPr>
      <w:r>
        <w:rPr>
          <w:rFonts w:hint="eastAsia"/>
          <w:highlight w:val="none"/>
        </w:rPr>
        <w:t>注：1.从业人员、营业收入、资产总额填报上一年度数据，无上一年度数据的新成立企业可不填报。</w:t>
      </w:r>
    </w:p>
    <w:p>
      <w:pPr>
        <w:numPr>
          <w:ilvl w:val="0"/>
          <w:numId w:val="4"/>
        </w:numPr>
        <w:spacing w:line="360" w:lineRule="auto"/>
        <w:ind w:firstLine="420" w:firstLineChars="200"/>
        <w:rPr>
          <w:rFonts w:hint="eastAsia"/>
          <w:highlight w:val="none"/>
        </w:rPr>
      </w:pPr>
      <w:r>
        <w:rPr>
          <w:rFonts w:hint="eastAsia"/>
          <w:highlight w:val="none"/>
        </w:rPr>
        <w:t>本项目如是只面向中小企业采购的应当必须提供。</w:t>
      </w:r>
    </w:p>
    <w:p>
      <w:pPr>
        <w:numPr>
          <w:ilvl w:val="0"/>
          <w:numId w:val="4"/>
        </w:numPr>
        <w:spacing w:line="360" w:lineRule="auto"/>
        <w:ind w:firstLine="420" w:firstLineChars="200"/>
        <w:rPr>
          <w:rFonts w:hint="default" w:eastAsia="宋体"/>
          <w:highlight w:val="none"/>
          <w:lang w:val="en-US" w:eastAsia="zh-CN"/>
        </w:rPr>
      </w:pPr>
      <w:r>
        <w:rPr>
          <w:rFonts w:hint="eastAsia"/>
          <w:highlight w:val="none"/>
          <w:lang w:val="en-US" w:eastAsia="zh-CN"/>
        </w:rPr>
        <w:t>此格式仅供参考。</w:t>
      </w:r>
    </w:p>
    <w:p>
      <w:pPr>
        <w:spacing w:line="360" w:lineRule="auto"/>
        <w:jc w:val="center"/>
        <w:rPr>
          <w:rFonts w:ascii="宋体" w:hAnsi="宋体" w:cs="宋体"/>
          <w:b/>
          <w:bCs/>
          <w:sz w:val="24"/>
          <w:highlight w:val="none"/>
        </w:rPr>
      </w:pPr>
    </w:p>
    <w:p>
      <w:pPr>
        <w:spacing w:line="360" w:lineRule="auto"/>
        <w:jc w:val="center"/>
        <w:rPr>
          <w:rFonts w:ascii="宋体" w:hAnsi="宋体" w:cs="宋体"/>
          <w:b/>
          <w:bCs/>
          <w:sz w:val="24"/>
          <w:highlight w:val="none"/>
        </w:rPr>
      </w:pPr>
    </w:p>
    <w:p>
      <w:pPr>
        <w:pStyle w:val="40"/>
        <w:rPr>
          <w:rFonts w:ascii="宋体" w:hAnsi="宋体" w:cs="宋体"/>
          <w:b/>
          <w:bCs/>
          <w:sz w:val="24"/>
          <w:highlight w:val="none"/>
        </w:rPr>
      </w:pPr>
    </w:p>
    <w:p>
      <w:pPr>
        <w:pStyle w:val="10"/>
        <w:rPr>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格式10其他资料</w:t>
      </w:r>
    </w:p>
    <w:p>
      <w:pPr>
        <w:spacing w:line="360" w:lineRule="auto"/>
        <w:rPr>
          <w:highlight w:val="none"/>
        </w:rPr>
      </w:pPr>
      <w:r>
        <w:rPr>
          <w:rFonts w:hint="eastAsia" w:ascii="宋体" w:hAnsi="宋体" w:cs="宋体"/>
          <w:sz w:val="24"/>
          <w:highlight w:val="none"/>
        </w:rPr>
        <w:t>格式11</w:t>
      </w:r>
    </w:p>
    <w:p>
      <w:pPr>
        <w:spacing w:line="380" w:lineRule="exact"/>
        <w:jc w:val="center"/>
        <w:rPr>
          <w:rStyle w:val="69"/>
          <w:rFonts w:ascii="宋体"/>
          <w:b/>
          <w:bCs/>
          <w:sz w:val="28"/>
          <w:szCs w:val="28"/>
          <w:highlight w:val="none"/>
        </w:rPr>
      </w:pPr>
      <w:r>
        <w:rPr>
          <w:rStyle w:val="69"/>
          <w:rFonts w:hint="eastAsia" w:ascii="宋体" w:hAnsi="宋体" w:cs="宋体"/>
          <w:b/>
          <w:bCs/>
          <w:sz w:val="28"/>
          <w:szCs w:val="28"/>
          <w:highlight w:val="none"/>
        </w:rPr>
        <w:t>政府采购供应商诚信承诺书</w:t>
      </w:r>
    </w:p>
    <w:p>
      <w:pPr>
        <w:spacing w:line="380" w:lineRule="exact"/>
        <w:jc w:val="center"/>
        <w:rPr>
          <w:rStyle w:val="69"/>
          <w:rFonts w:ascii="宋体"/>
          <w:b/>
          <w:bCs/>
          <w:sz w:val="24"/>
          <w:highlight w:val="none"/>
        </w:rPr>
      </w:pPr>
    </w:p>
    <w:p>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sz w:val="24"/>
          <w:highlight w:val="none"/>
        </w:rPr>
      </w:pPr>
      <w:r>
        <w:rPr>
          <w:rFonts w:hint="eastAsia" w:ascii="宋体" w:hAnsi="宋体" w:cs="宋体"/>
          <w:sz w:val="24"/>
          <w:highlight w:val="none"/>
        </w:rPr>
        <w:t>（一）提供虚假材料谋取中标;</w:t>
      </w:r>
    </w:p>
    <w:p>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pPr>
        <w:spacing w:line="380" w:lineRule="exact"/>
        <w:rPr>
          <w:rFonts w:ascii="宋体" w:hAnsi="宋体" w:cs="宋体"/>
          <w:sz w:val="24"/>
          <w:highlight w:val="none"/>
        </w:rPr>
      </w:pPr>
      <w:r>
        <w:rPr>
          <w:rFonts w:hint="eastAsia" w:ascii="宋体" w:hAnsi="宋体" w:cs="宋体"/>
          <w:sz w:val="24"/>
          <w:highlight w:val="none"/>
        </w:rPr>
        <w:t>（十一）</w:t>
      </w:r>
      <w:r>
        <w:rPr>
          <w:rFonts w:hint="eastAsia" w:ascii="宋体" w:hAnsi="宋体" w:cs="宋体"/>
          <w:sz w:val="24"/>
          <w:highlight w:val="none"/>
          <w:lang w:val="en-US" w:eastAsia="zh-CN"/>
        </w:rPr>
        <w:t>擅自</w:t>
      </w:r>
      <w:r>
        <w:rPr>
          <w:rFonts w:hint="eastAsia" w:ascii="宋体" w:hAnsi="宋体" w:cs="宋体"/>
          <w:sz w:val="24"/>
          <w:highlight w:val="none"/>
        </w:rPr>
        <w:t>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pPr>
        <w:spacing w:line="380" w:lineRule="exact"/>
        <w:ind w:firstLine="3360" w:firstLineChars="1400"/>
        <w:rPr>
          <w:rFonts w:ascii="宋体" w:hAnsi="宋体" w:cs="宋体"/>
          <w:sz w:val="24"/>
          <w:highlight w:val="none"/>
        </w:rPr>
      </w:pPr>
    </w:p>
    <w:p>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pPr>
        <w:spacing w:line="380" w:lineRule="exact"/>
        <w:ind w:firstLine="3360" w:firstLineChars="1400"/>
        <w:rPr>
          <w:rFonts w:ascii="宋体" w:hAnsi="宋体" w:cs="宋体"/>
          <w:sz w:val="24"/>
          <w:highlight w:val="none"/>
        </w:rPr>
      </w:pPr>
      <w:r>
        <w:rPr>
          <w:rFonts w:hint="eastAsia" w:ascii="宋体" w:hAnsi="宋体" w:cs="宋体"/>
          <w:sz w:val="24"/>
          <w:highlight w:val="none"/>
        </w:rPr>
        <w:t>法定代表人：（签字）</w:t>
      </w:r>
    </w:p>
    <w:p>
      <w:pPr>
        <w:spacing w:line="380" w:lineRule="exact"/>
        <w:ind w:firstLine="3360" w:firstLineChars="1400"/>
        <w:rPr>
          <w:rFonts w:ascii="宋体" w:hAnsi="宋体" w:cs="宋体"/>
          <w:sz w:val="24"/>
          <w:highlight w:val="none"/>
        </w:rPr>
      </w:pPr>
    </w:p>
    <w:p>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pPr>
        <w:pStyle w:val="38"/>
        <w:ind w:firstLine="0" w:firstLineChars="0"/>
        <w:rPr>
          <w:rFonts w:ascii="宋体" w:hAnsi="宋体" w:cs="宋体"/>
          <w:b/>
          <w:sz w:val="24"/>
          <w:highlight w:val="none"/>
        </w:rPr>
      </w:pPr>
    </w:p>
    <w:p>
      <w:pPr>
        <w:rPr>
          <w:rFonts w:hint="eastAsia" w:ascii="宋体" w:hAnsi="宋体" w:cs="宋体"/>
          <w:b/>
          <w:sz w:val="32"/>
          <w:szCs w:val="32"/>
          <w:highlight w:val="none"/>
        </w:rPr>
      </w:pPr>
    </w:p>
    <w:p>
      <w:pPr>
        <w:pStyle w:val="8"/>
        <w:spacing w:line="500" w:lineRule="exact"/>
        <w:rPr>
          <w:rFonts w:ascii="宋体" w:hAnsi="宋体" w:cs="宋体"/>
          <w:b/>
          <w:sz w:val="32"/>
          <w:szCs w:val="32"/>
          <w:highlight w:val="none"/>
        </w:rPr>
      </w:pPr>
      <w:r>
        <w:rPr>
          <w:rFonts w:hint="eastAsia" w:ascii="宋体" w:hAnsi="宋体" w:cs="宋体"/>
          <w:b/>
          <w:sz w:val="32"/>
          <w:szCs w:val="32"/>
          <w:highlight w:val="none"/>
        </w:rPr>
        <w:t xml:space="preserve">第五章  </w:t>
      </w:r>
      <w:r>
        <w:rPr>
          <w:rFonts w:hint="eastAsia" w:ascii="宋体" w:hAnsi="宋体" w:cs="宋体"/>
          <w:b/>
          <w:w w:val="92"/>
          <w:sz w:val="32"/>
          <w:szCs w:val="32"/>
          <w:highlight w:val="none"/>
        </w:rPr>
        <w:t>周口市</w:t>
      </w:r>
      <w:r>
        <w:rPr>
          <w:rFonts w:hint="eastAsia" w:ascii="宋体" w:hAnsi="宋体" w:cs="宋体"/>
          <w:b/>
          <w:sz w:val="32"/>
          <w:szCs w:val="32"/>
          <w:highlight w:val="none"/>
        </w:rPr>
        <w:t>政府采购合同（服务类）标准文本</w:t>
      </w:r>
    </w:p>
    <w:p>
      <w:pPr>
        <w:ind w:firstLine="640" w:firstLineChars="200"/>
        <w:rPr>
          <w:rFonts w:ascii="宋体" w:hAnsi="宋体" w:cs="宋体"/>
          <w:sz w:val="32"/>
          <w:szCs w:val="32"/>
          <w:highlight w:val="none"/>
        </w:rPr>
      </w:pPr>
    </w:p>
    <w:p>
      <w:pPr>
        <w:pStyle w:val="82"/>
        <w:spacing w:beforeLines="0" w:afterLines="0"/>
        <w:ind w:left="0" w:firstLine="640" w:firstLineChars="200"/>
        <w:rPr>
          <w:rFonts w:ascii="宋体" w:hAnsi="宋体" w:cs="宋体"/>
          <w:sz w:val="32"/>
          <w:szCs w:val="32"/>
          <w:highlight w:val="none"/>
        </w:rPr>
      </w:pPr>
    </w:p>
    <w:p>
      <w:pPr>
        <w:pStyle w:val="82"/>
        <w:spacing w:beforeLines="0" w:afterLines="0"/>
        <w:ind w:left="0" w:firstLine="640" w:firstLineChars="200"/>
        <w:rPr>
          <w:rFonts w:ascii="宋体" w:hAnsi="宋体" w:cs="宋体"/>
          <w:sz w:val="32"/>
          <w:szCs w:val="32"/>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政府采购项目名称：</w:t>
      </w:r>
    </w:p>
    <w:p>
      <w:pPr>
        <w:pStyle w:val="82"/>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政府采购项目编号：</w:t>
      </w:r>
    </w:p>
    <w:p>
      <w:pPr>
        <w:pStyle w:val="82"/>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采      购    人：</w:t>
      </w:r>
    </w:p>
    <w:p>
      <w:pPr>
        <w:pStyle w:val="82"/>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供      应    商：</w:t>
      </w:r>
    </w:p>
    <w:p>
      <w:pPr>
        <w:pStyle w:val="82"/>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 订 地：</w:t>
      </w:r>
    </w:p>
    <w:p>
      <w:pPr>
        <w:pStyle w:val="82"/>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签订 时 间：</w:t>
      </w: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ind w:left="0" w:firstLine="600" w:firstLineChars="200"/>
        <w:rPr>
          <w:rFonts w:ascii="宋体" w:hAnsi="宋体" w:cs="宋体"/>
          <w:sz w:val="30"/>
          <w:szCs w:val="30"/>
          <w:highlight w:val="none"/>
        </w:rPr>
      </w:pPr>
    </w:p>
    <w:p>
      <w:pPr>
        <w:pStyle w:val="82"/>
        <w:spacing w:beforeLines="0" w:afterLines="0" w:line="440" w:lineRule="exact"/>
        <w:ind w:left="0"/>
        <w:jc w:val="center"/>
        <w:rPr>
          <w:rFonts w:ascii="宋体" w:hAnsi="宋体" w:cs="宋体"/>
          <w:sz w:val="32"/>
          <w:szCs w:val="32"/>
          <w:highlight w:val="none"/>
        </w:rPr>
      </w:pPr>
      <w:r>
        <w:rPr>
          <w:rFonts w:hint="eastAsia" w:ascii="宋体" w:hAnsi="宋体" w:cs="宋体"/>
          <w:sz w:val="32"/>
          <w:szCs w:val="32"/>
          <w:highlight w:val="none"/>
        </w:rPr>
        <w:t>合同签订指引</w:t>
      </w:r>
    </w:p>
    <w:p>
      <w:pPr>
        <w:pStyle w:val="82"/>
        <w:spacing w:beforeLines="0" w:afterLines="0" w:line="440" w:lineRule="exact"/>
        <w:ind w:left="0"/>
        <w:rPr>
          <w:rFonts w:ascii="宋体" w:hAnsi="宋体" w:cs="宋体"/>
          <w:sz w:val="30"/>
          <w:szCs w:val="30"/>
          <w:highlight w:val="none"/>
        </w:rPr>
      </w:pP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一、采购人在签订合同时应提供的资料：</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1、该政府采购项目的招标采购文件（以网上发布内容为准）；</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2、该政府采购项目招标文件的澄清和修改内容（公告内容）；</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3、该政府采购项目评审报告；</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4、采购单位法人授权委托书（法人到场并签字的除外）；</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5、采购单位被授权人身份证件（法人到场并签字的除外）；</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二、供应商在签订合同时应提供的资料：</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1、该政府采购项目的投标文件（纸质或DPF格式的电子投标文件）；</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2、针对该项目评审时评审委员会提出的质询答复（纸质并签章）；</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3、该政府采购项目中标通知书；</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4、供应商法人授权委托书（法人到场并签字的除外）；</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5、供应商被授权人身份证件（法人到场并签字的除外）；</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pPr>
        <w:pStyle w:val="82"/>
        <w:spacing w:beforeLines="0" w:afterLines="0" w:line="440" w:lineRule="exact"/>
        <w:ind w:left="0" w:firstLine="420" w:firstLineChars="200"/>
        <w:rPr>
          <w:rFonts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pPr>
        <w:pStyle w:val="82"/>
        <w:spacing w:beforeLines="0" w:afterLines="0" w:line="440" w:lineRule="exact"/>
        <w:ind w:left="0"/>
        <w:jc w:val="center"/>
        <w:rPr>
          <w:rFonts w:ascii="宋体" w:hAnsi="宋体" w:cs="宋体"/>
          <w:bCs/>
          <w:sz w:val="32"/>
          <w:szCs w:val="32"/>
          <w:highlight w:val="none"/>
        </w:rPr>
      </w:pPr>
    </w:p>
    <w:p>
      <w:pPr>
        <w:pStyle w:val="82"/>
        <w:spacing w:beforeLines="0" w:afterLines="0" w:line="440" w:lineRule="exact"/>
        <w:ind w:left="0"/>
        <w:jc w:val="center"/>
        <w:rPr>
          <w:rFonts w:ascii="宋体" w:hAnsi="宋体" w:cs="宋体"/>
          <w:sz w:val="32"/>
          <w:szCs w:val="32"/>
          <w:highlight w:val="none"/>
        </w:rPr>
      </w:pPr>
      <w:r>
        <w:rPr>
          <w:rFonts w:hint="eastAsia" w:ascii="宋体" w:hAnsi="宋体" w:cs="宋体"/>
          <w:bCs/>
          <w:sz w:val="32"/>
          <w:szCs w:val="32"/>
          <w:highlight w:val="none"/>
        </w:rPr>
        <w:t>供应商履约验收指引</w:t>
      </w:r>
    </w:p>
    <w:p>
      <w:pPr>
        <w:pStyle w:val="82"/>
        <w:spacing w:beforeLines="0" w:afterLines="0" w:line="440" w:lineRule="exact"/>
        <w:ind w:left="0" w:firstLine="420" w:firstLineChars="200"/>
        <w:rPr>
          <w:rFonts w:ascii="宋体" w:hAnsi="宋体" w:cs="宋体"/>
          <w:szCs w:val="27"/>
          <w:highlight w:val="none"/>
        </w:rPr>
      </w:pPr>
      <w:r>
        <w:rPr>
          <w:rFonts w:hint="eastAsia" w:ascii="宋体" w:hAnsi="宋体" w:cs="宋体"/>
          <w:szCs w:val="21"/>
          <w:highlight w:val="none"/>
        </w:rPr>
        <w:t>1、供应商不得擅自变更合同标的服务内容；</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2、不得以次充优，随意降低服务标准和水平；</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4、在满足验收条件5个工作日内通知采购人组织验收；</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5、供应商应提供需验收服务的清单、标准、达到的水平等量化资料；</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6、采、供双方约定的验收机构及相关人员组成情况。</w:t>
      </w:r>
    </w:p>
    <w:p>
      <w:pPr>
        <w:pStyle w:val="82"/>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pPr>
        <w:pStyle w:val="8"/>
        <w:spacing w:line="500" w:lineRule="exact"/>
        <w:jc w:val="both"/>
        <w:rPr>
          <w:rFonts w:ascii="宋体" w:hAnsi="宋体" w:cs="宋体"/>
          <w:sz w:val="21"/>
          <w:szCs w:val="21"/>
          <w:highlight w:val="none"/>
        </w:rPr>
      </w:pPr>
    </w:p>
    <w:p>
      <w:pPr>
        <w:pStyle w:val="8"/>
        <w:spacing w:line="500" w:lineRule="exact"/>
        <w:rPr>
          <w:rFonts w:ascii="宋体" w:hAnsi="宋体" w:cs="宋体"/>
          <w:sz w:val="44"/>
          <w:szCs w:val="44"/>
          <w:highlight w:val="none"/>
        </w:rPr>
      </w:pPr>
      <w:r>
        <w:rPr>
          <w:rFonts w:hint="eastAsia" w:ascii="宋体" w:hAnsi="宋体" w:cs="宋体"/>
          <w:sz w:val="44"/>
          <w:szCs w:val="44"/>
          <w:highlight w:val="none"/>
        </w:rPr>
        <w:t>服务合同内容</w:t>
      </w:r>
    </w:p>
    <w:p>
      <w:pPr>
        <w:spacing w:line="360" w:lineRule="auto"/>
        <w:ind w:firstLine="420" w:firstLineChars="200"/>
        <w:rPr>
          <w:rFonts w:ascii="宋体" w:hAnsi="宋体" w:cs="宋体"/>
          <w:szCs w:val="27"/>
          <w:highlight w:val="none"/>
        </w:rPr>
      </w:pP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 xml:space="preserve">采购人（甲方）： </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供应商（乙方）：</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签订地点：</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项目名称：</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项目编号：</w:t>
      </w:r>
    </w:p>
    <w:p>
      <w:pPr>
        <w:spacing w:line="360" w:lineRule="auto"/>
        <w:ind w:firstLine="420" w:firstLineChars="200"/>
        <w:rPr>
          <w:rFonts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pPr>
        <w:spacing w:line="360" w:lineRule="auto"/>
        <w:ind w:firstLine="420" w:firstLineChars="200"/>
        <w:rPr>
          <w:rFonts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采购方式，经本项目评审委员会认真评审，决定将采购合同授予乙方。为进一步明确双方的责任，确保合同的顺利履行，根据《中华人民共和国采购法》、《中华人民共和国</w:t>
      </w:r>
      <w:r>
        <w:rPr>
          <w:rFonts w:hint="eastAsia" w:ascii="宋体" w:hAnsi="宋体" w:cs="宋体"/>
          <w:szCs w:val="27"/>
          <w:highlight w:val="none"/>
          <w:lang w:eastAsia="zh-CN"/>
        </w:rPr>
        <w:t>民法典</w:t>
      </w:r>
      <w:r>
        <w:rPr>
          <w:rFonts w:hint="eastAsia" w:ascii="宋体" w:hAnsi="宋体" w:cs="宋体"/>
          <w:szCs w:val="27"/>
          <w:highlight w:val="none"/>
        </w:rPr>
        <w:t>》之规定，经甲乙双方充分协商，特订立本合同，以便共同遵守。</w:t>
      </w:r>
    </w:p>
    <w:p>
      <w:pPr>
        <w:spacing w:line="360" w:lineRule="auto"/>
        <w:ind w:firstLine="422" w:firstLineChars="200"/>
        <w:rPr>
          <w:rFonts w:ascii="宋体" w:hAnsi="宋体" w:cs="宋体"/>
          <w:highlight w:val="none"/>
          <w:u w:val="single"/>
        </w:rPr>
      </w:pPr>
      <w:r>
        <w:rPr>
          <w:rFonts w:hint="eastAsia" w:ascii="宋体" w:hAnsi="宋体" w:cs="宋体"/>
          <w:b/>
          <w:bCs/>
          <w:szCs w:val="27"/>
          <w:highlight w:val="none"/>
        </w:rPr>
        <w:t>第一条</w:t>
      </w:r>
      <w:r>
        <w:rPr>
          <w:rFonts w:hint="eastAsia" w:ascii="宋体" w:hAnsi="宋体" w:cs="宋体"/>
          <w:szCs w:val="27"/>
          <w:highlight w:val="none"/>
        </w:rPr>
        <w:t>   服务的内容、标准、数量和价格：（若服务项目过多则见附表，如有附表则必须加盖印章）</w:t>
      </w:r>
    </w:p>
    <w:tbl>
      <w:tblPr>
        <w:tblStyle w:val="26"/>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r>
              <w:rPr>
                <w:rFonts w:hint="eastAsia" w:ascii="宋体" w:hAnsi="宋体" w:cs="宋体"/>
                <w:highlight w:val="none"/>
              </w:rPr>
              <w:t>服务内容</w:t>
            </w:r>
          </w:p>
        </w:tc>
        <w:tc>
          <w:tcPr>
            <w:tcW w:w="1623" w:type="dxa"/>
          </w:tcPr>
          <w:p>
            <w:pPr>
              <w:spacing w:line="360" w:lineRule="auto"/>
              <w:ind w:firstLine="420" w:firstLineChars="200"/>
              <w:rPr>
                <w:rFonts w:ascii="宋体" w:hAnsi="宋体" w:cs="宋体"/>
                <w:highlight w:val="none"/>
              </w:rPr>
            </w:pPr>
            <w:r>
              <w:rPr>
                <w:rFonts w:hint="eastAsia" w:ascii="宋体" w:hAnsi="宋体" w:cs="宋体"/>
                <w:highlight w:val="none"/>
              </w:rPr>
              <w:t>标准水平</w:t>
            </w:r>
          </w:p>
        </w:tc>
        <w:tc>
          <w:tcPr>
            <w:tcW w:w="902" w:type="dxa"/>
          </w:tcPr>
          <w:p>
            <w:pPr>
              <w:spacing w:line="360" w:lineRule="auto"/>
              <w:rPr>
                <w:rFonts w:ascii="宋体" w:hAnsi="宋体" w:cs="宋体"/>
                <w:highlight w:val="none"/>
              </w:rPr>
            </w:pPr>
            <w:r>
              <w:rPr>
                <w:rFonts w:hint="eastAsia" w:ascii="宋体" w:hAnsi="宋体" w:cs="宋体"/>
                <w:highlight w:val="none"/>
              </w:rPr>
              <w:t>单位</w:t>
            </w:r>
          </w:p>
        </w:tc>
        <w:tc>
          <w:tcPr>
            <w:tcW w:w="902" w:type="dxa"/>
          </w:tcPr>
          <w:p>
            <w:pPr>
              <w:spacing w:line="360" w:lineRule="auto"/>
              <w:rPr>
                <w:rFonts w:ascii="宋体" w:hAnsi="宋体" w:cs="宋体"/>
                <w:highlight w:val="none"/>
              </w:rPr>
            </w:pPr>
            <w:r>
              <w:rPr>
                <w:rFonts w:hint="eastAsia" w:ascii="宋体" w:hAnsi="宋体" w:cs="宋体"/>
                <w:highlight w:val="none"/>
              </w:rPr>
              <w:t>数量</w:t>
            </w:r>
          </w:p>
        </w:tc>
        <w:tc>
          <w:tcPr>
            <w:tcW w:w="1071" w:type="dxa"/>
          </w:tcPr>
          <w:p>
            <w:pPr>
              <w:spacing w:line="360" w:lineRule="auto"/>
              <w:ind w:firstLine="420" w:firstLineChars="200"/>
              <w:rPr>
                <w:rFonts w:ascii="宋体" w:hAnsi="宋体" w:cs="宋体"/>
                <w:highlight w:val="none"/>
              </w:rPr>
            </w:pPr>
            <w:r>
              <w:rPr>
                <w:rFonts w:hint="eastAsia" w:ascii="宋体" w:hAnsi="宋体" w:cs="宋体"/>
                <w:highlight w:val="none"/>
              </w:rPr>
              <w:t>单价</w:t>
            </w:r>
          </w:p>
        </w:tc>
        <w:tc>
          <w:tcPr>
            <w:tcW w:w="1250" w:type="dxa"/>
          </w:tcPr>
          <w:p>
            <w:pPr>
              <w:spacing w:line="360" w:lineRule="auto"/>
              <w:ind w:firstLine="420" w:firstLineChars="200"/>
              <w:rPr>
                <w:rFonts w:ascii="宋体" w:hAnsi="宋体" w:cs="宋体"/>
                <w:highlight w:val="none"/>
              </w:rPr>
            </w:pPr>
            <w:r>
              <w:rPr>
                <w:rFonts w:hint="eastAsia" w:ascii="宋体" w:hAnsi="宋体" w:cs="宋体"/>
                <w:highlight w:val="none"/>
              </w:rPr>
              <w:t>小计</w:t>
            </w:r>
          </w:p>
        </w:tc>
        <w:tc>
          <w:tcPr>
            <w:tcW w:w="1106" w:type="dxa"/>
          </w:tcPr>
          <w:p>
            <w:pPr>
              <w:spacing w:line="360" w:lineRule="auto"/>
              <w:ind w:firstLine="420" w:firstLineChars="200"/>
              <w:rPr>
                <w:rFonts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hAnsi="宋体" w:cs="宋体"/>
                <w:highlight w:val="none"/>
              </w:rPr>
            </w:pPr>
            <w:r>
              <w:rPr>
                <w:rFonts w:hint="eastAsia" w:ascii="宋体" w:hAnsi="宋体" w:cs="宋体"/>
                <w:highlight w:val="none"/>
              </w:rPr>
              <w:t>合同总价款（大小写）：</w:t>
            </w:r>
          </w:p>
          <w:p>
            <w:pPr>
              <w:spacing w:line="360" w:lineRule="auto"/>
              <w:ind w:firstLine="420" w:firstLineChars="200"/>
              <w:rPr>
                <w:rFonts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pPr>
        <w:spacing w:line="360" w:lineRule="auto"/>
        <w:ind w:firstLine="422" w:firstLineChars="200"/>
        <w:rPr>
          <w:rFonts w:ascii="宋体" w:hAnsi="宋体" w:cs="宋体"/>
          <w:highlight w:val="none"/>
        </w:rPr>
      </w:pPr>
      <w:r>
        <w:rPr>
          <w:rFonts w:hint="eastAsia" w:ascii="宋体" w:hAnsi="宋体" w:cs="宋体"/>
          <w:b/>
          <w:bCs/>
          <w:szCs w:val="27"/>
          <w:highlight w:val="none"/>
        </w:rPr>
        <w:t xml:space="preserve">第二条  </w:t>
      </w:r>
      <w:r>
        <w:rPr>
          <w:rFonts w:hint="eastAsia" w:ascii="宋体" w:hAnsi="宋体" w:cs="宋体"/>
          <w:szCs w:val="27"/>
          <w:highlight w:val="none"/>
        </w:rPr>
        <w:t>服务标准（包括达到的水平要求），按下列第（ ）项执行：</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第三条  </w:t>
      </w:r>
      <w:r>
        <w:rPr>
          <w:rFonts w:hint="eastAsia" w:ascii="宋体" w:hAnsi="宋体" w:cs="宋体"/>
          <w:szCs w:val="27"/>
          <w:highlight w:val="none"/>
        </w:rPr>
        <w:t>服务的方式、方法、、地点和期限</w:t>
      </w:r>
    </w:p>
    <w:p>
      <w:pPr>
        <w:spacing w:line="360" w:lineRule="auto"/>
        <w:ind w:firstLine="420" w:firstLineChars="200"/>
        <w:rPr>
          <w:rFonts w:ascii="宋体" w:hAnsi="宋体" w:cs="宋体"/>
          <w:highlight w:val="none"/>
        </w:rPr>
      </w:pPr>
      <w:r>
        <w:rPr>
          <w:rFonts w:hint="eastAsia" w:ascii="宋体" w:hAnsi="宋体" w:cs="宋体"/>
          <w:szCs w:val="27"/>
          <w:highlight w:val="none"/>
        </w:rPr>
        <w:t>1、服务方式：</w:t>
      </w:r>
    </w:p>
    <w:p>
      <w:pPr>
        <w:spacing w:line="360" w:lineRule="auto"/>
        <w:ind w:firstLine="420" w:firstLineChars="200"/>
        <w:rPr>
          <w:rFonts w:ascii="宋体" w:hAnsi="宋体" w:cs="宋体"/>
          <w:highlight w:val="none"/>
        </w:rPr>
      </w:pPr>
      <w:r>
        <w:rPr>
          <w:rFonts w:hint="eastAsia" w:ascii="宋体" w:hAnsi="宋体" w:cs="宋体"/>
          <w:highlight w:val="none"/>
        </w:rPr>
        <w:t>2、服务方法：</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3、服务期限：</w:t>
      </w:r>
    </w:p>
    <w:p>
      <w:pPr>
        <w:spacing w:line="360" w:lineRule="auto"/>
        <w:ind w:firstLine="420" w:firstLineChars="200"/>
        <w:rPr>
          <w:rFonts w:ascii="宋体" w:hAnsi="宋体" w:cs="宋体"/>
          <w:highlight w:val="none"/>
        </w:rPr>
      </w:pPr>
      <w:r>
        <w:rPr>
          <w:rFonts w:hint="eastAsia" w:ascii="宋体" w:hAnsi="宋体" w:cs="宋体"/>
          <w:highlight w:val="none"/>
        </w:rPr>
        <w:t>第四条  费用及支付方式</w:t>
      </w:r>
    </w:p>
    <w:p>
      <w:pPr>
        <w:pStyle w:val="3"/>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(一)本项目费用有以下组成：</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 xml:space="preserve"> 1、XX 万元；</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 万元；</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w:t>
      </w:r>
    </w:p>
    <w:p>
      <w:pPr>
        <w:pStyle w:val="3"/>
        <w:kinsoku w:val="0"/>
        <w:overflowPunct w:val="0"/>
        <w:ind w:firstLine="422" w:firstLineChars="200"/>
        <w:rPr>
          <w:rFonts w:ascii="宋体" w:hAnsi="宋体" w:cs="宋体"/>
          <w:b/>
          <w:highlight w:val="none"/>
        </w:rPr>
      </w:pPr>
      <w:r>
        <w:rPr>
          <w:rFonts w:hint="eastAsia" w:ascii="宋体" w:hAnsi="宋体" w:cs="宋体"/>
          <w:b/>
          <w:highlight w:val="none"/>
        </w:rPr>
        <w:t>(二)费用支付方式：</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1、XXXX；</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2、XXXX ；</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pPr>
        <w:pStyle w:val="3"/>
        <w:kinsoku w:val="0"/>
        <w:overflowPunct w:val="0"/>
        <w:ind w:firstLine="422" w:firstLineChars="200"/>
        <w:rPr>
          <w:rFonts w:ascii="宋体" w:hAnsi="宋体" w:cs="宋体"/>
          <w:highlight w:val="none"/>
        </w:rPr>
      </w:pPr>
      <w:r>
        <w:rPr>
          <w:rFonts w:hint="eastAsia" w:ascii="宋体" w:hAnsi="宋体" w:cs="宋体"/>
          <w:b/>
          <w:highlight w:val="none"/>
        </w:rPr>
        <w:t xml:space="preserve">第五条  付款条件   </w:t>
      </w:r>
      <w:r>
        <w:rPr>
          <w:rFonts w:hint="eastAsia" w:ascii="宋体" w:hAnsi="宋体" w:cs="宋体"/>
          <w:highlight w:val="none"/>
        </w:rPr>
        <w:t xml:space="preserve">               </w:t>
      </w:r>
    </w:p>
    <w:p>
      <w:pPr>
        <w:spacing w:line="360" w:lineRule="auto"/>
        <w:ind w:firstLine="420" w:firstLineChars="200"/>
        <w:rPr>
          <w:rFonts w:ascii="宋体" w:hAnsi="宋体" w:cs="宋体"/>
          <w:highlight w:val="none"/>
        </w:rPr>
      </w:pPr>
      <w:r>
        <w:rPr>
          <w:rFonts w:hint="eastAsia" w:ascii="宋体" w:hAnsi="宋体" w:cs="宋体"/>
          <w:highlight w:val="none"/>
        </w:rPr>
        <w:t>本合同以人民币付款。</w:t>
      </w:r>
    </w:p>
    <w:p>
      <w:pPr>
        <w:spacing w:line="360" w:lineRule="auto"/>
        <w:ind w:firstLine="420" w:firstLineChars="200"/>
        <w:rPr>
          <w:rFonts w:ascii="宋体" w:hAnsi="宋体" w:cs="宋体"/>
          <w:highlight w:val="none"/>
        </w:rPr>
      </w:pPr>
      <w:r>
        <w:rPr>
          <w:rFonts w:hint="eastAsia" w:ascii="宋体" w:hAnsi="宋体" w:cs="宋体"/>
          <w:highlight w:val="none"/>
        </w:rPr>
        <w:t>该项目是否实行预付款：</w:t>
      </w:r>
    </w:p>
    <w:p>
      <w:pPr>
        <w:spacing w:line="360" w:lineRule="auto"/>
        <w:ind w:firstLine="420" w:firstLineChars="200"/>
        <w:rPr>
          <w:rFonts w:ascii="宋体" w:hAnsi="宋体" w:cs="宋体"/>
          <w:highlight w:val="none"/>
        </w:rPr>
      </w:pPr>
      <w:r>
        <w:rPr>
          <w:rFonts w:hint="eastAsia" w:ascii="宋体" w:hAnsi="宋体" w:cs="宋体"/>
          <w:highlight w:val="none"/>
        </w:rPr>
        <w:t>实行预付款的条件和比例：</w:t>
      </w:r>
    </w:p>
    <w:p>
      <w:pPr>
        <w:spacing w:line="360" w:lineRule="auto"/>
        <w:ind w:firstLine="420" w:firstLineChars="200"/>
        <w:rPr>
          <w:rFonts w:ascii="宋体" w:hAnsi="宋体" w:cs="宋体"/>
          <w:highlight w:val="none"/>
        </w:rPr>
      </w:pPr>
      <w:r>
        <w:rPr>
          <w:rFonts w:hint="eastAsia" w:ascii="宋体" w:hAnsi="宋体" w:cs="宋体"/>
          <w:highlight w:val="none"/>
        </w:rPr>
        <w:t xml:space="preserve">合同款项结算方式和支付比例：   </w:t>
      </w:r>
    </w:p>
    <w:p>
      <w:pPr>
        <w:spacing w:line="360" w:lineRule="auto"/>
        <w:ind w:firstLine="420" w:firstLineChars="200"/>
        <w:rPr>
          <w:rFonts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pPr>
        <w:pStyle w:val="7"/>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第六条  验收方法</w:t>
      </w:r>
    </w:p>
    <w:p>
      <w:pPr>
        <w:spacing w:line="360" w:lineRule="auto"/>
        <w:ind w:firstLine="420" w:firstLineChars="200"/>
        <w:rPr>
          <w:rFonts w:ascii="宋体" w:hAnsi="宋体" w:cs="宋体"/>
          <w:highlight w:val="none"/>
        </w:rPr>
      </w:pPr>
      <w:r>
        <w:rPr>
          <w:rFonts w:hint="eastAsia" w:ascii="宋体" w:hAnsi="宋体" w:cs="宋体"/>
          <w:highlight w:val="none"/>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highlight w:val="none"/>
        </w:rPr>
      </w:pPr>
      <w:r>
        <w:rPr>
          <w:rFonts w:hint="eastAsia" w:ascii="宋体" w:hAnsi="宋体" w:cs="宋体"/>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highlight w:val="none"/>
        </w:rPr>
      </w:pPr>
      <w:r>
        <w:rPr>
          <w:rFonts w:hint="eastAsia" w:ascii="宋体" w:hAnsi="宋体" w:cs="宋体"/>
          <w:highlight w:val="none"/>
        </w:rPr>
        <w:t>检测、验收费用承担方式：</w:t>
      </w:r>
    </w:p>
    <w:p>
      <w:pPr>
        <w:pStyle w:val="3"/>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第七条 知识产权</w:t>
      </w:r>
    </w:p>
    <w:p>
      <w:pPr>
        <w:pStyle w:val="3"/>
        <w:kinsoku w:val="0"/>
        <w:overflowPunct w:val="0"/>
        <w:spacing w:line="364" w:lineRule="auto"/>
        <w:ind w:firstLine="420" w:firstLineChars="200"/>
        <w:rPr>
          <w:rFonts w:ascii="宋体" w:hAnsi="宋体" w:cs="宋体"/>
          <w:highlight w:val="none"/>
        </w:rPr>
      </w:pPr>
      <w:r>
        <w:rPr>
          <w:rFonts w:hint="eastAsia" w:ascii="宋体" w:hAnsi="宋体" w:eastAsia="宋体" w:cs="宋体"/>
          <w:highlight w:val="none"/>
        </w:rPr>
        <w:t>乙方应</w:t>
      </w:r>
      <w:r>
        <w:rPr>
          <w:rFonts w:hint="eastAsia" w:ascii="宋体" w:hAnsi="宋体" w:cs="宋体"/>
          <w:highlight w:val="none"/>
          <w:lang w:val="en-US" w:eastAsia="zh-CN"/>
        </w:rPr>
        <w:t>保证</w:t>
      </w:r>
      <w:r>
        <w:rPr>
          <w:rFonts w:hint="eastAsia" w:ascii="宋体" w:hAnsi="宋体" w:eastAsia="宋体" w:cs="宋体"/>
          <w:highlight w:val="none"/>
        </w:rPr>
        <w:t>所提供的</w:t>
      </w:r>
      <w:r>
        <w:rPr>
          <w:rFonts w:hint="eastAsia" w:ascii="宋体" w:hAnsi="宋体" w:cs="宋体"/>
          <w:highlight w:val="none"/>
        </w:rPr>
        <w:t>服务或其任何一部分均不会侵犯任何第三方的专利权、商标权或著作权。</w:t>
      </w:r>
    </w:p>
    <w:p>
      <w:pPr>
        <w:pStyle w:val="7"/>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第八条 无产权瑕疵条款</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hAnsi="宋体" w:cs="宋体"/>
          <w:b/>
          <w:bCs/>
          <w:szCs w:val="27"/>
          <w:highlight w:val="none"/>
        </w:rPr>
      </w:pPr>
      <w:r>
        <w:rPr>
          <w:rFonts w:hint="eastAsia" w:ascii="宋体" w:hAnsi="宋体" w:cs="宋体"/>
          <w:b/>
          <w:bCs/>
          <w:szCs w:val="27"/>
          <w:highlight w:val="none"/>
        </w:rPr>
        <w:t xml:space="preserve">第九条  </w:t>
      </w:r>
      <w:r>
        <w:rPr>
          <w:rFonts w:hint="eastAsia" w:ascii="宋体" w:hAnsi="宋体" w:cs="宋体"/>
          <w:szCs w:val="27"/>
          <w:highlight w:val="none"/>
        </w:rPr>
        <w:t>履约（或质量）保证金</w:t>
      </w:r>
    </w:p>
    <w:p>
      <w:pPr>
        <w:spacing w:line="360" w:lineRule="auto"/>
        <w:ind w:firstLine="420" w:firstLineChars="200"/>
        <w:rPr>
          <w:rFonts w:ascii="宋体" w:hAnsi="宋体" w:cs="宋体"/>
          <w:highlight w:val="none"/>
        </w:rPr>
      </w:pPr>
      <w:r>
        <w:rPr>
          <w:rFonts w:hint="eastAsia" w:ascii="宋体" w:hAnsi="宋体" w:cs="宋体"/>
          <w:highlight w:val="none"/>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highlight w:val="none"/>
        </w:rPr>
      </w:pPr>
      <w:r>
        <w:rPr>
          <w:rFonts w:hint="eastAsia" w:ascii="宋体" w:hAnsi="宋体" w:cs="宋体"/>
          <w:highlight w:val="none"/>
        </w:rPr>
        <w:t>2.若确需质量保证金的，质量保证金不得超过合同总价款的5%</w:t>
      </w:r>
    </w:p>
    <w:p>
      <w:pPr>
        <w:spacing w:line="360" w:lineRule="auto"/>
        <w:ind w:firstLine="420" w:firstLineChars="200"/>
        <w:rPr>
          <w:rFonts w:ascii="宋体" w:hAnsi="宋体" w:cs="宋体"/>
          <w:highlight w:val="none"/>
        </w:rPr>
      </w:pPr>
      <w:r>
        <w:rPr>
          <w:rFonts w:hint="eastAsia" w:ascii="宋体" w:hAnsi="宋体" w:cs="宋体"/>
          <w:highlight w:val="none"/>
        </w:rPr>
        <w:t>3.如乙方未能履行其合同规定的任何义务，甲方有权从履约保证金中取得补偿。</w:t>
      </w:r>
    </w:p>
    <w:p>
      <w:pPr>
        <w:pStyle w:val="7"/>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第十条 甲方的权利和义务</w:t>
      </w:r>
    </w:p>
    <w:p>
      <w:pPr>
        <w:spacing w:line="360" w:lineRule="auto"/>
        <w:ind w:firstLine="420" w:firstLineChars="200"/>
        <w:rPr>
          <w:rFonts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highlight w:val="none"/>
        </w:rPr>
      </w:pPr>
      <w:r>
        <w:rPr>
          <w:rFonts w:hint="eastAsia" w:ascii="宋体" w:hAnsi="宋体" w:cs="宋体"/>
          <w:highlight w:val="none"/>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highlight w:val="none"/>
        </w:rPr>
      </w:pPr>
      <w:r>
        <w:rPr>
          <w:rFonts w:hint="eastAsia" w:ascii="宋体" w:hAnsi="宋体" w:cs="宋体"/>
          <w:highlight w:val="none"/>
        </w:rPr>
        <w:t>3、负责检查监督乙方管理工作的实施及制度的执行情况。</w:t>
      </w:r>
    </w:p>
    <w:p>
      <w:pPr>
        <w:spacing w:line="360" w:lineRule="auto"/>
        <w:ind w:firstLine="420" w:firstLineChars="200"/>
        <w:rPr>
          <w:rFonts w:ascii="宋体" w:hAnsi="宋体" w:cs="宋体"/>
          <w:highlight w:val="none"/>
        </w:rPr>
      </w:pPr>
      <w:r>
        <w:rPr>
          <w:rFonts w:hint="eastAsia" w:ascii="宋体" w:hAnsi="宋体" w:cs="宋体"/>
          <w:highlight w:val="none"/>
        </w:rPr>
        <w:t>4、根据本合同规定，按时向乙方支付应付服务费用。</w:t>
      </w:r>
    </w:p>
    <w:p>
      <w:pPr>
        <w:spacing w:line="360" w:lineRule="auto"/>
        <w:ind w:firstLine="420" w:firstLineChars="200"/>
        <w:rPr>
          <w:rFonts w:ascii="宋体" w:hAnsi="宋体" w:cs="宋体"/>
          <w:highlight w:val="none"/>
        </w:rPr>
      </w:pPr>
      <w:r>
        <w:rPr>
          <w:rFonts w:hint="eastAsia" w:ascii="宋体" w:hAnsi="宋体" w:cs="宋体"/>
          <w:highlight w:val="none"/>
        </w:rPr>
        <w:t xml:space="preserve">5、国家法律、法规所规定由甲方承担的其他责任               </w:t>
      </w:r>
    </w:p>
    <w:p>
      <w:pPr>
        <w:pStyle w:val="3"/>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第十一条 乙方的权利和义务</w:t>
      </w:r>
    </w:p>
    <w:p>
      <w:pPr>
        <w:spacing w:line="360" w:lineRule="auto"/>
        <w:ind w:firstLine="420" w:firstLineChars="200"/>
        <w:rPr>
          <w:rFonts w:ascii="宋体" w:hAnsi="宋体" w:cs="宋体"/>
          <w:highlight w:val="none"/>
        </w:rPr>
      </w:pPr>
      <w:r>
        <w:rPr>
          <w:rFonts w:hint="eastAsia" w:ascii="宋体" w:hAnsi="宋体" w:cs="宋体"/>
          <w:highlight w:val="none"/>
        </w:rPr>
        <w:t>1、对本合同规定的委托服务范围内的项目享有管理权及服务义务。</w:t>
      </w:r>
    </w:p>
    <w:p>
      <w:pPr>
        <w:spacing w:line="360" w:lineRule="auto"/>
        <w:ind w:firstLine="420" w:firstLineChars="200"/>
        <w:rPr>
          <w:rFonts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pPr>
        <w:spacing w:line="360" w:lineRule="auto"/>
        <w:ind w:firstLine="420" w:firstLineChars="200"/>
        <w:rPr>
          <w:rFonts w:ascii="宋体" w:hAnsi="宋体" w:cs="宋体"/>
          <w:highlight w:val="none"/>
        </w:rPr>
      </w:pPr>
      <w:r>
        <w:rPr>
          <w:rFonts w:hint="eastAsia" w:ascii="宋体" w:hAnsi="宋体" w:cs="宋体"/>
          <w:highlight w:val="none"/>
        </w:rPr>
        <w:t>3、及时向甲方通告本项目服务范围内有关服务的重大事项，及时配合处理投诉。</w:t>
      </w:r>
    </w:p>
    <w:p>
      <w:pPr>
        <w:spacing w:line="360" w:lineRule="auto"/>
        <w:ind w:firstLine="420" w:firstLineChars="200"/>
        <w:rPr>
          <w:rFonts w:ascii="宋体" w:hAnsi="宋体" w:cs="宋体"/>
          <w:highlight w:val="none"/>
        </w:rPr>
      </w:pPr>
      <w:r>
        <w:rPr>
          <w:rFonts w:hint="eastAsia" w:ascii="宋体" w:hAnsi="宋体" w:cs="宋体"/>
          <w:highlight w:val="none"/>
        </w:rPr>
        <w:t>4、接受项目行业管理部门及政府有关部门的指导，接受甲方的监督。</w:t>
      </w:r>
    </w:p>
    <w:p>
      <w:pPr>
        <w:spacing w:line="360" w:lineRule="auto"/>
        <w:ind w:firstLine="420" w:firstLineChars="200"/>
        <w:rPr>
          <w:rFonts w:ascii="宋体" w:hAnsi="宋体" w:cs="宋体"/>
          <w:highlight w:val="none"/>
        </w:rPr>
      </w:pPr>
      <w:r>
        <w:rPr>
          <w:rFonts w:hint="eastAsia" w:ascii="宋体" w:hAnsi="宋体" w:cs="宋体"/>
          <w:highlight w:val="none"/>
        </w:rPr>
        <w:t>5、国家法律、法规所规定由乙方承担的其它责任。</w:t>
      </w:r>
    </w:p>
    <w:p>
      <w:pPr>
        <w:pStyle w:val="3"/>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第十二条 违约责任</w:t>
      </w:r>
    </w:p>
    <w:p>
      <w:pPr>
        <w:pStyle w:val="3"/>
        <w:kinsoku w:val="0"/>
        <w:overflowPunct w:val="0"/>
        <w:ind w:firstLine="420" w:firstLineChars="200"/>
        <w:rPr>
          <w:rFonts w:ascii="宋体" w:hAnsi="宋体" w:cs="宋体"/>
          <w:highlight w:val="none"/>
        </w:rPr>
      </w:pPr>
      <w:r>
        <w:rPr>
          <w:rFonts w:hint="eastAsia" w:ascii="宋体" w:hAnsi="宋体" w:cs="宋体"/>
          <w:highlight w:val="none"/>
        </w:rPr>
        <w:t>1、甲乙双方必须遵守本合同并执行合同中的各项规定，保证本合同的正常履行。</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3"/>
        <w:kinsoku w:val="0"/>
        <w:overflowPunct w:val="0"/>
        <w:spacing w:line="364" w:lineRule="auto"/>
        <w:ind w:firstLine="420" w:firstLineChars="200"/>
        <w:rPr>
          <w:rFonts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第十三条 </w:t>
      </w:r>
      <w:r>
        <w:rPr>
          <w:rFonts w:hint="eastAsia" w:ascii="宋体" w:hAnsi="宋体" w:cs="宋体"/>
          <w:bCs/>
          <w:highlight w:val="none"/>
        </w:rPr>
        <w:t>转让与分包</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除甲方事先书面同意外，乙方不得部分转让或全部转让其应履行的合同义务。</w:t>
      </w:r>
    </w:p>
    <w:p>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第十四条 </w:t>
      </w:r>
      <w:r>
        <w:rPr>
          <w:rFonts w:hint="eastAsia" w:ascii="宋体" w:hAnsi="宋体" w:cs="宋体"/>
          <w:bCs/>
          <w:highlight w:val="none"/>
        </w:rPr>
        <w:t>合同文件及资料的使用</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除非执行合同需要，在事先未得到甲方同意的情况下，乙方不得使用前款所列的任何文件和资料。</w:t>
      </w:r>
    </w:p>
    <w:p>
      <w:pPr>
        <w:pStyle w:val="7"/>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第十五条 不可抗力事件处理</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7"/>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第十六条 合同纠纷调处</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pPr>
        <w:pStyle w:val="7"/>
        <w:kinsoku w:val="0"/>
        <w:overflowPunct w:val="0"/>
        <w:ind w:firstLine="420" w:firstLineChars="200"/>
        <w:rPr>
          <w:rFonts w:ascii="宋体" w:hAnsi="宋体" w:cs="宋体"/>
          <w:b w:val="0"/>
          <w:bCs w:val="0"/>
          <w:kern w:val="2"/>
          <w:sz w:val="21"/>
          <w:szCs w:val="27"/>
          <w:highlight w:val="none"/>
        </w:rPr>
      </w:pPr>
      <w:r>
        <w:rPr>
          <w:rFonts w:hint="eastAsia" w:ascii="宋体" w:hAnsi="宋体" w:cs="宋体"/>
          <w:b w:val="0"/>
          <w:bCs w:val="0"/>
          <w:kern w:val="2"/>
          <w:sz w:val="21"/>
          <w:szCs w:val="27"/>
          <w:highlight w:val="none"/>
        </w:rPr>
        <w:t>3、甲、乙双方均有权利向本项目具有监管职能的政府采购监督管理部门举报反映对方在合同履约中的违法违纪行为。</w:t>
      </w:r>
    </w:p>
    <w:p>
      <w:pPr>
        <w:spacing w:line="360" w:lineRule="auto"/>
        <w:ind w:firstLine="422" w:firstLineChars="200"/>
        <w:rPr>
          <w:rFonts w:ascii="宋体" w:hAnsi="宋体" w:cs="宋体"/>
          <w:b/>
          <w:bCs/>
          <w:szCs w:val="27"/>
          <w:highlight w:val="none"/>
        </w:rPr>
      </w:pPr>
      <w:r>
        <w:rPr>
          <w:rFonts w:hint="eastAsia" w:ascii="宋体" w:hAnsi="宋体" w:cs="宋体"/>
          <w:b/>
          <w:bCs/>
          <w:szCs w:val="27"/>
          <w:highlight w:val="none"/>
        </w:rPr>
        <w:t>第十七条 其他</w:t>
      </w:r>
    </w:p>
    <w:p>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    </w:t>
      </w: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pPr>
        <w:spacing w:line="360" w:lineRule="auto"/>
        <w:ind w:firstLine="420" w:firstLineChars="200"/>
        <w:rPr>
          <w:rFonts w:ascii="宋体" w:hAnsi="宋体" w:cs="宋体"/>
          <w:szCs w:val="27"/>
          <w:highlight w:val="none"/>
        </w:rPr>
      </w:pPr>
    </w:p>
    <w:p>
      <w:pPr>
        <w:pStyle w:val="38"/>
        <w:ind w:firstLine="210"/>
        <w:rPr>
          <w:rFonts w:ascii="宋体" w:hAnsi="宋体" w:cs="宋体"/>
          <w:highlight w:val="none"/>
        </w:rPr>
      </w:pP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采购人（甲方）：    （公章）           供货人（乙方）：     （公章）  </w:t>
      </w:r>
    </w:p>
    <w:p>
      <w:pPr>
        <w:spacing w:line="360" w:lineRule="auto"/>
        <w:ind w:firstLine="420" w:firstLineChars="200"/>
        <w:rPr>
          <w:rFonts w:ascii="宋体" w:hAnsi="宋体" w:cs="宋体"/>
          <w:highlight w:val="none"/>
        </w:rPr>
      </w:pPr>
      <w:r>
        <w:rPr>
          <w:rFonts w:hint="eastAsia" w:ascii="宋体" w:hAnsi="宋体" w:cs="宋体"/>
          <w:szCs w:val="27"/>
          <w:highlight w:val="none"/>
        </w:rPr>
        <w:t>地址：                               地址：</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法定代表人：                         法定代表人：</w:t>
      </w:r>
    </w:p>
    <w:p>
      <w:pPr>
        <w:spacing w:line="360" w:lineRule="auto"/>
        <w:ind w:firstLine="420" w:firstLineChars="200"/>
        <w:rPr>
          <w:rFonts w:ascii="宋体" w:hAnsi="宋体" w:cs="宋体"/>
          <w:highlight w:val="none"/>
          <w:u w:val="single"/>
        </w:rPr>
      </w:pPr>
      <w:r>
        <w:rPr>
          <w:rFonts w:hint="eastAsia" w:ascii="宋体" w:hAnsi="宋体" w:cs="宋体"/>
          <w:szCs w:val="27"/>
          <w:highlight w:val="none"/>
        </w:rPr>
        <w:t>委托代理人：                         委托代理人：</w:t>
      </w:r>
    </w:p>
    <w:p>
      <w:pPr>
        <w:spacing w:line="360" w:lineRule="auto"/>
        <w:ind w:firstLine="420" w:firstLineChars="200"/>
        <w:rPr>
          <w:rFonts w:ascii="宋体" w:hAnsi="宋体" w:cs="宋体"/>
          <w:highlight w:val="none"/>
        </w:rPr>
      </w:pPr>
      <w:r>
        <w:rPr>
          <w:rFonts w:hint="eastAsia" w:ascii="宋体" w:hAnsi="宋体" w:cs="宋体"/>
          <w:highlight w:val="none"/>
        </w:rPr>
        <w:t>电话：                               电话：</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开户银行：                           开户银行：</w:t>
      </w:r>
    </w:p>
    <w:p>
      <w:pPr>
        <w:spacing w:line="360" w:lineRule="auto"/>
        <w:ind w:firstLine="420" w:firstLineChars="200"/>
        <w:rPr>
          <w:rFonts w:ascii="宋体" w:hAnsi="宋体" w:cs="宋体"/>
          <w:highlight w:val="none"/>
        </w:rPr>
      </w:pPr>
      <w:r>
        <w:rPr>
          <w:rFonts w:hint="eastAsia" w:ascii="宋体" w:hAnsi="宋体" w:cs="宋体"/>
          <w:szCs w:val="27"/>
          <w:highlight w:val="none"/>
        </w:rPr>
        <w:t>账号：                               账号：</w:t>
      </w:r>
    </w:p>
    <w:p>
      <w:pPr>
        <w:spacing w:line="640" w:lineRule="exact"/>
        <w:ind w:firstLine="420" w:firstLineChars="200"/>
        <w:rPr>
          <w:rFonts w:ascii="宋体" w:hAnsi="宋体" w:cs="宋体"/>
          <w:szCs w:val="27"/>
          <w:highlight w:val="none"/>
          <w:u w:val="single"/>
        </w:rPr>
      </w:pPr>
    </w:p>
    <w:p>
      <w:pPr>
        <w:pStyle w:val="38"/>
        <w:ind w:firstLine="210"/>
        <w:jc w:val="center"/>
        <w:rPr>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日</w:t>
      </w:r>
    </w:p>
    <w:p>
      <w:pPr>
        <w:pStyle w:val="38"/>
        <w:ind w:firstLine="321"/>
        <w:jc w:val="center"/>
        <w:rPr>
          <w:b/>
          <w:sz w:val="32"/>
          <w:szCs w:val="32"/>
          <w:highlight w:val="none"/>
        </w:rPr>
      </w:pPr>
      <w:r>
        <w:rPr>
          <w:rFonts w:hint="eastAsia"/>
          <w:b/>
          <w:sz w:val="32"/>
          <w:szCs w:val="32"/>
          <w:highlight w:val="none"/>
        </w:rPr>
        <w:t>周口市政府采购合同融资政策告知函</w:t>
      </w:r>
    </w:p>
    <w:p>
      <w:pPr>
        <w:pStyle w:val="38"/>
        <w:ind w:firstLine="240"/>
        <w:rPr>
          <w:rFonts w:asciiTheme="minorEastAsia" w:hAnsiTheme="minorEastAsia" w:eastAsiaTheme="minorEastAsia"/>
          <w:sz w:val="24"/>
          <w:highlight w:val="none"/>
        </w:rPr>
      </w:pPr>
    </w:p>
    <w:p>
      <w:pPr>
        <w:pStyle w:val="38"/>
        <w:ind w:firstLine="240"/>
        <w:rPr>
          <w:rFonts w:asciiTheme="minorEastAsia" w:hAnsiTheme="minorEastAsia" w:eastAsiaTheme="minorEastAsia"/>
          <w:sz w:val="24"/>
          <w:highlight w:val="none"/>
        </w:rPr>
      </w:pPr>
    </w:p>
    <w:p>
      <w:pPr>
        <w:pStyle w:val="38"/>
        <w:ind w:firstLine="240"/>
        <w:rPr>
          <w:rFonts w:asciiTheme="minorEastAsia" w:hAnsiTheme="minorEastAsia" w:eastAsiaTheme="minorEastAsia"/>
          <w:sz w:val="24"/>
          <w:highlight w:val="none"/>
        </w:rPr>
      </w:pPr>
    </w:p>
    <w:p>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8"/>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25"/>
        <w:spacing w:before="0" w:beforeAutospacing="0" w:after="0" w:afterAutospacing="0" w:line="330" w:lineRule="atLeast"/>
        <w:rPr>
          <w:rFonts w:cs="仿宋_GB2312"/>
          <w:b/>
          <w:bCs/>
          <w:color w:val="0000FF"/>
          <w:sz w:val="21"/>
          <w:szCs w:val="21"/>
          <w:highlight w:val="none"/>
        </w:rPr>
      </w:pPr>
    </w:p>
    <w:p>
      <w:pPr>
        <w:pStyle w:val="38"/>
        <w:ind w:firstLine="210"/>
        <w:rPr>
          <w:highlight w:val="none"/>
        </w:rPr>
      </w:pPr>
    </w:p>
    <w:sectPr>
      <w:pgSz w:w="11907" w:h="16840"/>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D9CF9"/>
    <w:multiLevelType w:val="singleLevel"/>
    <w:tmpl w:val="8E3D9CF9"/>
    <w:lvl w:ilvl="0" w:tentative="0">
      <w:start w:val="2"/>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 w:name="KSO_WPS_MARK_KEY" w:val="ec31006d-67c7-4ee0-b39f-6b2b4290ec38"/>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24B"/>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810"/>
    <w:rsid w:val="006E6A04"/>
    <w:rsid w:val="006F3DCD"/>
    <w:rsid w:val="006F61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84242"/>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53E32"/>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1A62ED"/>
    <w:rsid w:val="021F6AE2"/>
    <w:rsid w:val="027A149C"/>
    <w:rsid w:val="02B07FF7"/>
    <w:rsid w:val="02CA345F"/>
    <w:rsid w:val="02ED333D"/>
    <w:rsid w:val="03196F07"/>
    <w:rsid w:val="03733BDF"/>
    <w:rsid w:val="03802AE2"/>
    <w:rsid w:val="038F0F77"/>
    <w:rsid w:val="03A308DC"/>
    <w:rsid w:val="040532BA"/>
    <w:rsid w:val="04176582"/>
    <w:rsid w:val="041B7F63"/>
    <w:rsid w:val="04784101"/>
    <w:rsid w:val="04912ACD"/>
    <w:rsid w:val="04BC223F"/>
    <w:rsid w:val="05094EA6"/>
    <w:rsid w:val="050B0AD1"/>
    <w:rsid w:val="050B6D23"/>
    <w:rsid w:val="051259ED"/>
    <w:rsid w:val="051C4A8C"/>
    <w:rsid w:val="05252CCF"/>
    <w:rsid w:val="053718C6"/>
    <w:rsid w:val="056326BB"/>
    <w:rsid w:val="05645491"/>
    <w:rsid w:val="057A17B3"/>
    <w:rsid w:val="05F504EE"/>
    <w:rsid w:val="06127D66"/>
    <w:rsid w:val="064B1AAF"/>
    <w:rsid w:val="065D2B7B"/>
    <w:rsid w:val="06695AAF"/>
    <w:rsid w:val="066C559F"/>
    <w:rsid w:val="07041580"/>
    <w:rsid w:val="072010BD"/>
    <w:rsid w:val="07736D89"/>
    <w:rsid w:val="07932A4C"/>
    <w:rsid w:val="07F876A6"/>
    <w:rsid w:val="07FB6BDB"/>
    <w:rsid w:val="086C5D2B"/>
    <w:rsid w:val="08703D30"/>
    <w:rsid w:val="08CC4A1B"/>
    <w:rsid w:val="08DB1CFF"/>
    <w:rsid w:val="095C6D8E"/>
    <w:rsid w:val="09615163"/>
    <w:rsid w:val="09885527"/>
    <w:rsid w:val="09A92667"/>
    <w:rsid w:val="09D27E0F"/>
    <w:rsid w:val="0A2148F3"/>
    <w:rsid w:val="0A261F09"/>
    <w:rsid w:val="0A9E30AD"/>
    <w:rsid w:val="0AA026E7"/>
    <w:rsid w:val="0AAC0660"/>
    <w:rsid w:val="0AC736EC"/>
    <w:rsid w:val="0AEE2A27"/>
    <w:rsid w:val="0B4B60CB"/>
    <w:rsid w:val="0B6813FA"/>
    <w:rsid w:val="0BAB4DBC"/>
    <w:rsid w:val="0BE35ECF"/>
    <w:rsid w:val="0BEB3B44"/>
    <w:rsid w:val="0C0644C0"/>
    <w:rsid w:val="0C505731"/>
    <w:rsid w:val="0C523489"/>
    <w:rsid w:val="0C7B02EA"/>
    <w:rsid w:val="0C9D2956"/>
    <w:rsid w:val="0CB3217A"/>
    <w:rsid w:val="0CB8153E"/>
    <w:rsid w:val="0CBB4B8B"/>
    <w:rsid w:val="0D417345"/>
    <w:rsid w:val="0D755681"/>
    <w:rsid w:val="0DDF6F9F"/>
    <w:rsid w:val="0DFA16E3"/>
    <w:rsid w:val="0DFC18FF"/>
    <w:rsid w:val="0E3C1CFB"/>
    <w:rsid w:val="0EA31D7A"/>
    <w:rsid w:val="0EB14497"/>
    <w:rsid w:val="0F395129"/>
    <w:rsid w:val="0F557518"/>
    <w:rsid w:val="0F9F2542"/>
    <w:rsid w:val="0FDF5034"/>
    <w:rsid w:val="101A2510"/>
    <w:rsid w:val="103435D2"/>
    <w:rsid w:val="103C4234"/>
    <w:rsid w:val="1068327B"/>
    <w:rsid w:val="10855BDB"/>
    <w:rsid w:val="109127D2"/>
    <w:rsid w:val="109220A6"/>
    <w:rsid w:val="10D62AA4"/>
    <w:rsid w:val="11186A50"/>
    <w:rsid w:val="112F78F5"/>
    <w:rsid w:val="11585A44"/>
    <w:rsid w:val="1178129C"/>
    <w:rsid w:val="118539B9"/>
    <w:rsid w:val="11AD363C"/>
    <w:rsid w:val="11BF29F6"/>
    <w:rsid w:val="11F33019"/>
    <w:rsid w:val="126A32DB"/>
    <w:rsid w:val="12EF1A32"/>
    <w:rsid w:val="134358DA"/>
    <w:rsid w:val="1351688D"/>
    <w:rsid w:val="13552B79"/>
    <w:rsid w:val="13763F01"/>
    <w:rsid w:val="13793DF7"/>
    <w:rsid w:val="141C4A83"/>
    <w:rsid w:val="14214AFF"/>
    <w:rsid w:val="143108FD"/>
    <w:rsid w:val="14354A58"/>
    <w:rsid w:val="144E2788"/>
    <w:rsid w:val="14677422"/>
    <w:rsid w:val="14852498"/>
    <w:rsid w:val="14D7277E"/>
    <w:rsid w:val="152E6B10"/>
    <w:rsid w:val="15311E8E"/>
    <w:rsid w:val="157C1645"/>
    <w:rsid w:val="15BF1042"/>
    <w:rsid w:val="15D47D5A"/>
    <w:rsid w:val="16041350"/>
    <w:rsid w:val="161C0D90"/>
    <w:rsid w:val="16557DFE"/>
    <w:rsid w:val="1656732A"/>
    <w:rsid w:val="16571DC8"/>
    <w:rsid w:val="169C3C7F"/>
    <w:rsid w:val="169F376F"/>
    <w:rsid w:val="16EA2C3C"/>
    <w:rsid w:val="17215529"/>
    <w:rsid w:val="175B58E8"/>
    <w:rsid w:val="1783656C"/>
    <w:rsid w:val="17885FB1"/>
    <w:rsid w:val="179A1DFB"/>
    <w:rsid w:val="17E10BD4"/>
    <w:rsid w:val="181939B9"/>
    <w:rsid w:val="18465138"/>
    <w:rsid w:val="186B5020"/>
    <w:rsid w:val="18952734"/>
    <w:rsid w:val="18C66D91"/>
    <w:rsid w:val="18D74DC1"/>
    <w:rsid w:val="18EB2C9C"/>
    <w:rsid w:val="1954261A"/>
    <w:rsid w:val="199F74A2"/>
    <w:rsid w:val="19EA2F53"/>
    <w:rsid w:val="19ED659F"/>
    <w:rsid w:val="1AA66E7A"/>
    <w:rsid w:val="1AE259D8"/>
    <w:rsid w:val="1AED58EF"/>
    <w:rsid w:val="1B4F7512"/>
    <w:rsid w:val="1B730D89"/>
    <w:rsid w:val="1B960FA2"/>
    <w:rsid w:val="1C1C4F1A"/>
    <w:rsid w:val="1C273FEB"/>
    <w:rsid w:val="1C2A5889"/>
    <w:rsid w:val="1C940F54"/>
    <w:rsid w:val="1CA078F9"/>
    <w:rsid w:val="1CA76EDA"/>
    <w:rsid w:val="1CC82894"/>
    <w:rsid w:val="1CFA2F29"/>
    <w:rsid w:val="1D747E59"/>
    <w:rsid w:val="1DB01DBE"/>
    <w:rsid w:val="1E3E386E"/>
    <w:rsid w:val="1E430E84"/>
    <w:rsid w:val="1E4F7829"/>
    <w:rsid w:val="1E7159F1"/>
    <w:rsid w:val="1EBF4137"/>
    <w:rsid w:val="1ED41ADC"/>
    <w:rsid w:val="1ED65854"/>
    <w:rsid w:val="1EFC175F"/>
    <w:rsid w:val="1F1C595D"/>
    <w:rsid w:val="1F397F3B"/>
    <w:rsid w:val="1F3A0BB5"/>
    <w:rsid w:val="1F5A46D7"/>
    <w:rsid w:val="1FA92FCB"/>
    <w:rsid w:val="1FAB4B1F"/>
    <w:rsid w:val="1FC252A5"/>
    <w:rsid w:val="20193BC8"/>
    <w:rsid w:val="203B0065"/>
    <w:rsid w:val="204F3B10"/>
    <w:rsid w:val="20601879"/>
    <w:rsid w:val="206C46C2"/>
    <w:rsid w:val="20981EA4"/>
    <w:rsid w:val="20A51947"/>
    <w:rsid w:val="20EC5803"/>
    <w:rsid w:val="2197576F"/>
    <w:rsid w:val="21EF55AB"/>
    <w:rsid w:val="220D398C"/>
    <w:rsid w:val="22A77C33"/>
    <w:rsid w:val="22C73E32"/>
    <w:rsid w:val="22DA21F5"/>
    <w:rsid w:val="22EA32EC"/>
    <w:rsid w:val="22F4099F"/>
    <w:rsid w:val="2301566F"/>
    <w:rsid w:val="23242385"/>
    <w:rsid w:val="2378337E"/>
    <w:rsid w:val="23894501"/>
    <w:rsid w:val="23CB7951"/>
    <w:rsid w:val="24165293"/>
    <w:rsid w:val="244119C2"/>
    <w:rsid w:val="2482721D"/>
    <w:rsid w:val="24A10BF5"/>
    <w:rsid w:val="24D70B68"/>
    <w:rsid w:val="250011E1"/>
    <w:rsid w:val="2519649B"/>
    <w:rsid w:val="25237319"/>
    <w:rsid w:val="2536529E"/>
    <w:rsid w:val="25E22D30"/>
    <w:rsid w:val="25E46AA9"/>
    <w:rsid w:val="264E6012"/>
    <w:rsid w:val="26802C75"/>
    <w:rsid w:val="26AB07CC"/>
    <w:rsid w:val="275D3960"/>
    <w:rsid w:val="27CB43C4"/>
    <w:rsid w:val="28593D52"/>
    <w:rsid w:val="286471A2"/>
    <w:rsid w:val="287B63A6"/>
    <w:rsid w:val="28887BBF"/>
    <w:rsid w:val="28A80261"/>
    <w:rsid w:val="28C66939"/>
    <w:rsid w:val="292A336C"/>
    <w:rsid w:val="294206B6"/>
    <w:rsid w:val="29613C02"/>
    <w:rsid w:val="29883D77"/>
    <w:rsid w:val="29BA46F0"/>
    <w:rsid w:val="29E259F5"/>
    <w:rsid w:val="2A111E36"/>
    <w:rsid w:val="2A397C18"/>
    <w:rsid w:val="2A5015D5"/>
    <w:rsid w:val="2A5A320E"/>
    <w:rsid w:val="2A701253"/>
    <w:rsid w:val="2AB949A8"/>
    <w:rsid w:val="2AF63392"/>
    <w:rsid w:val="2B381D70"/>
    <w:rsid w:val="2B54022C"/>
    <w:rsid w:val="2B593A95"/>
    <w:rsid w:val="2B794137"/>
    <w:rsid w:val="2BA67492"/>
    <w:rsid w:val="2BD63337"/>
    <w:rsid w:val="2C0F23A5"/>
    <w:rsid w:val="2C471B3F"/>
    <w:rsid w:val="2C66791C"/>
    <w:rsid w:val="2C6B1CD2"/>
    <w:rsid w:val="2C7D0233"/>
    <w:rsid w:val="2CC338BC"/>
    <w:rsid w:val="2CE00E0B"/>
    <w:rsid w:val="2D221D01"/>
    <w:rsid w:val="2D360531"/>
    <w:rsid w:val="2D531028"/>
    <w:rsid w:val="2D676A80"/>
    <w:rsid w:val="2D7A3266"/>
    <w:rsid w:val="2DDB4C35"/>
    <w:rsid w:val="2DE53D06"/>
    <w:rsid w:val="2DFB7085"/>
    <w:rsid w:val="2E053A60"/>
    <w:rsid w:val="2E100D83"/>
    <w:rsid w:val="2E620EB2"/>
    <w:rsid w:val="2E876B6B"/>
    <w:rsid w:val="2E8E1A42"/>
    <w:rsid w:val="2EAA4B78"/>
    <w:rsid w:val="2EC95935"/>
    <w:rsid w:val="2F212B1B"/>
    <w:rsid w:val="2F5F2B72"/>
    <w:rsid w:val="2FC17E5A"/>
    <w:rsid w:val="305B205D"/>
    <w:rsid w:val="312513B2"/>
    <w:rsid w:val="31644F41"/>
    <w:rsid w:val="31B042BF"/>
    <w:rsid w:val="31F12401"/>
    <w:rsid w:val="31FF5F72"/>
    <w:rsid w:val="32035D60"/>
    <w:rsid w:val="323F1C36"/>
    <w:rsid w:val="324A2389"/>
    <w:rsid w:val="325154C6"/>
    <w:rsid w:val="326E6953"/>
    <w:rsid w:val="329D4BAF"/>
    <w:rsid w:val="32C71C2C"/>
    <w:rsid w:val="33055DF4"/>
    <w:rsid w:val="33523A32"/>
    <w:rsid w:val="33F848B7"/>
    <w:rsid w:val="340D1B3C"/>
    <w:rsid w:val="34142C4F"/>
    <w:rsid w:val="342804A8"/>
    <w:rsid w:val="345B087E"/>
    <w:rsid w:val="347B0F20"/>
    <w:rsid w:val="348002E4"/>
    <w:rsid w:val="349A13A6"/>
    <w:rsid w:val="34B524C1"/>
    <w:rsid w:val="354237EC"/>
    <w:rsid w:val="355E12E1"/>
    <w:rsid w:val="357A2F85"/>
    <w:rsid w:val="362A64C1"/>
    <w:rsid w:val="362D7FF8"/>
    <w:rsid w:val="364F61C0"/>
    <w:rsid w:val="36A06A1C"/>
    <w:rsid w:val="36C066E3"/>
    <w:rsid w:val="36D23A94"/>
    <w:rsid w:val="376940D0"/>
    <w:rsid w:val="37B370E4"/>
    <w:rsid w:val="37D56B99"/>
    <w:rsid w:val="37EF1A09"/>
    <w:rsid w:val="380F20AB"/>
    <w:rsid w:val="38204506"/>
    <w:rsid w:val="38DC4FA1"/>
    <w:rsid w:val="38ED03A5"/>
    <w:rsid w:val="38FB1FB4"/>
    <w:rsid w:val="39321D68"/>
    <w:rsid w:val="393517E8"/>
    <w:rsid w:val="396170BB"/>
    <w:rsid w:val="397321C6"/>
    <w:rsid w:val="39A93E39"/>
    <w:rsid w:val="39D52E80"/>
    <w:rsid w:val="3A1C460B"/>
    <w:rsid w:val="3A282FB0"/>
    <w:rsid w:val="3A777A93"/>
    <w:rsid w:val="3ACA2C02"/>
    <w:rsid w:val="3ACC4283"/>
    <w:rsid w:val="3AE80991"/>
    <w:rsid w:val="3B862684"/>
    <w:rsid w:val="3B903503"/>
    <w:rsid w:val="3B945CA7"/>
    <w:rsid w:val="3BAE6CD9"/>
    <w:rsid w:val="3BB84807"/>
    <w:rsid w:val="3BD74C8E"/>
    <w:rsid w:val="3BF910A8"/>
    <w:rsid w:val="3C270B87"/>
    <w:rsid w:val="3C3000ED"/>
    <w:rsid w:val="3C371186"/>
    <w:rsid w:val="3C7B12AF"/>
    <w:rsid w:val="3CE21B3C"/>
    <w:rsid w:val="3CF25AF7"/>
    <w:rsid w:val="3D232399"/>
    <w:rsid w:val="3D2E2D19"/>
    <w:rsid w:val="3D31181A"/>
    <w:rsid w:val="3DC87CB2"/>
    <w:rsid w:val="3DE2791A"/>
    <w:rsid w:val="3E216694"/>
    <w:rsid w:val="3E2302E9"/>
    <w:rsid w:val="3E285C74"/>
    <w:rsid w:val="3E9055C8"/>
    <w:rsid w:val="3EAD617A"/>
    <w:rsid w:val="3ECF7E9E"/>
    <w:rsid w:val="3F1749BD"/>
    <w:rsid w:val="3F185CE9"/>
    <w:rsid w:val="3F4F365B"/>
    <w:rsid w:val="3F9A5B70"/>
    <w:rsid w:val="3FB3156E"/>
    <w:rsid w:val="3FB5178A"/>
    <w:rsid w:val="40517EBE"/>
    <w:rsid w:val="40D53766"/>
    <w:rsid w:val="41093759"/>
    <w:rsid w:val="412F10C8"/>
    <w:rsid w:val="41380196"/>
    <w:rsid w:val="41395AA3"/>
    <w:rsid w:val="41415EFF"/>
    <w:rsid w:val="416C5E78"/>
    <w:rsid w:val="418238EE"/>
    <w:rsid w:val="41AF045B"/>
    <w:rsid w:val="41D026B4"/>
    <w:rsid w:val="41E13839"/>
    <w:rsid w:val="420A5691"/>
    <w:rsid w:val="425D589D"/>
    <w:rsid w:val="42723962"/>
    <w:rsid w:val="42935686"/>
    <w:rsid w:val="437C436D"/>
    <w:rsid w:val="43A318F9"/>
    <w:rsid w:val="43AD2778"/>
    <w:rsid w:val="43D1290A"/>
    <w:rsid w:val="43DE2931"/>
    <w:rsid w:val="43F108B7"/>
    <w:rsid w:val="440A7BCA"/>
    <w:rsid w:val="44F45243"/>
    <w:rsid w:val="452567EA"/>
    <w:rsid w:val="456B16B7"/>
    <w:rsid w:val="45E83F3B"/>
    <w:rsid w:val="46184820"/>
    <w:rsid w:val="465313B5"/>
    <w:rsid w:val="46886BA6"/>
    <w:rsid w:val="4691012F"/>
    <w:rsid w:val="46A860EC"/>
    <w:rsid w:val="46BD4A69"/>
    <w:rsid w:val="475E44B5"/>
    <w:rsid w:val="481132D5"/>
    <w:rsid w:val="48524AAD"/>
    <w:rsid w:val="48847F4B"/>
    <w:rsid w:val="48861F15"/>
    <w:rsid w:val="488C031D"/>
    <w:rsid w:val="48965ED0"/>
    <w:rsid w:val="490552AA"/>
    <w:rsid w:val="491017DF"/>
    <w:rsid w:val="49396F88"/>
    <w:rsid w:val="493A685C"/>
    <w:rsid w:val="49470F79"/>
    <w:rsid w:val="4A260766"/>
    <w:rsid w:val="4B3C03A4"/>
    <w:rsid w:val="4B7A4CDC"/>
    <w:rsid w:val="4B8225F6"/>
    <w:rsid w:val="4C004255"/>
    <w:rsid w:val="4C935807"/>
    <w:rsid w:val="4CB87FAD"/>
    <w:rsid w:val="4CC21042"/>
    <w:rsid w:val="4D556248"/>
    <w:rsid w:val="4D7F33D7"/>
    <w:rsid w:val="4DA90454"/>
    <w:rsid w:val="4E01203E"/>
    <w:rsid w:val="4EAF1A9A"/>
    <w:rsid w:val="4ECF5C98"/>
    <w:rsid w:val="4FFA680C"/>
    <w:rsid w:val="50720FD1"/>
    <w:rsid w:val="50947199"/>
    <w:rsid w:val="50981A4B"/>
    <w:rsid w:val="50BD3AD5"/>
    <w:rsid w:val="50FF09C9"/>
    <w:rsid w:val="516923D4"/>
    <w:rsid w:val="5177586B"/>
    <w:rsid w:val="521F6F37"/>
    <w:rsid w:val="52390069"/>
    <w:rsid w:val="528D1696"/>
    <w:rsid w:val="529F2FD8"/>
    <w:rsid w:val="52CB2821"/>
    <w:rsid w:val="53815E89"/>
    <w:rsid w:val="53B65415"/>
    <w:rsid w:val="53FD0BB2"/>
    <w:rsid w:val="53FF0DCE"/>
    <w:rsid w:val="540957A8"/>
    <w:rsid w:val="542F765C"/>
    <w:rsid w:val="54300F87"/>
    <w:rsid w:val="546463D8"/>
    <w:rsid w:val="54813591"/>
    <w:rsid w:val="5486329D"/>
    <w:rsid w:val="54914939"/>
    <w:rsid w:val="54B576DE"/>
    <w:rsid w:val="54D758A7"/>
    <w:rsid w:val="54EB5EC1"/>
    <w:rsid w:val="553B4087"/>
    <w:rsid w:val="553D1BAE"/>
    <w:rsid w:val="554D13F6"/>
    <w:rsid w:val="56625644"/>
    <w:rsid w:val="56A879B3"/>
    <w:rsid w:val="56B24C1F"/>
    <w:rsid w:val="570457DB"/>
    <w:rsid w:val="57580486"/>
    <w:rsid w:val="575E462C"/>
    <w:rsid w:val="57D63BF4"/>
    <w:rsid w:val="58071DF2"/>
    <w:rsid w:val="58913FBE"/>
    <w:rsid w:val="589A7317"/>
    <w:rsid w:val="59722042"/>
    <w:rsid w:val="599C09DC"/>
    <w:rsid w:val="59B52E52"/>
    <w:rsid w:val="59D6612D"/>
    <w:rsid w:val="59DA41E0"/>
    <w:rsid w:val="5A2424B3"/>
    <w:rsid w:val="5A3906A0"/>
    <w:rsid w:val="5A7B6CD4"/>
    <w:rsid w:val="5A897643"/>
    <w:rsid w:val="5A9164F8"/>
    <w:rsid w:val="5A9919E3"/>
    <w:rsid w:val="5ABF12B7"/>
    <w:rsid w:val="5B2A7B0A"/>
    <w:rsid w:val="5B411CCC"/>
    <w:rsid w:val="5B417B6B"/>
    <w:rsid w:val="5B4377F2"/>
    <w:rsid w:val="5B54373E"/>
    <w:rsid w:val="5B953DC6"/>
    <w:rsid w:val="5BAB0BC1"/>
    <w:rsid w:val="5BC30933"/>
    <w:rsid w:val="5BC745F2"/>
    <w:rsid w:val="5C3F7E9C"/>
    <w:rsid w:val="5C5F065B"/>
    <w:rsid w:val="5CA161B2"/>
    <w:rsid w:val="5CB87D6C"/>
    <w:rsid w:val="5CE46DB3"/>
    <w:rsid w:val="5D487342"/>
    <w:rsid w:val="5DBB4195"/>
    <w:rsid w:val="5DE51034"/>
    <w:rsid w:val="5E007C1C"/>
    <w:rsid w:val="5E391380"/>
    <w:rsid w:val="5E604B5F"/>
    <w:rsid w:val="5E631F59"/>
    <w:rsid w:val="5EE21916"/>
    <w:rsid w:val="5F0E295E"/>
    <w:rsid w:val="5F2416E8"/>
    <w:rsid w:val="5F261B1F"/>
    <w:rsid w:val="5F4417E0"/>
    <w:rsid w:val="5F88669E"/>
    <w:rsid w:val="5FF94923"/>
    <w:rsid w:val="606F72DB"/>
    <w:rsid w:val="60F035F8"/>
    <w:rsid w:val="61483DB4"/>
    <w:rsid w:val="61BC20AC"/>
    <w:rsid w:val="61FF01EB"/>
    <w:rsid w:val="622F04A1"/>
    <w:rsid w:val="62707B3A"/>
    <w:rsid w:val="629628FD"/>
    <w:rsid w:val="62A15DCF"/>
    <w:rsid w:val="62DF24F6"/>
    <w:rsid w:val="633F11E7"/>
    <w:rsid w:val="63C86026"/>
    <w:rsid w:val="63F0603D"/>
    <w:rsid w:val="63FF54F4"/>
    <w:rsid w:val="645C0879"/>
    <w:rsid w:val="64741C1C"/>
    <w:rsid w:val="648C064A"/>
    <w:rsid w:val="64E04304"/>
    <w:rsid w:val="651641C9"/>
    <w:rsid w:val="656B3097"/>
    <w:rsid w:val="65A44D2D"/>
    <w:rsid w:val="65EF1521"/>
    <w:rsid w:val="665C4848"/>
    <w:rsid w:val="66A3383B"/>
    <w:rsid w:val="66AB4942"/>
    <w:rsid w:val="66B477F6"/>
    <w:rsid w:val="66F67E0E"/>
    <w:rsid w:val="67303449"/>
    <w:rsid w:val="673152EA"/>
    <w:rsid w:val="67D57A24"/>
    <w:rsid w:val="67E73776"/>
    <w:rsid w:val="680D18B3"/>
    <w:rsid w:val="6833299C"/>
    <w:rsid w:val="687951D6"/>
    <w:rsid w:val="68AB69AF"/>
    <w:rsid w:val="68CC52CB"/>
    <w:rsid w:val="68D653C8"/>
    <w:rsid w:val="68D85250"/>
    <w:rsid w:val="696077C1"/>
    <w:rsid w:val="698D4180"/>
    <w:rsid w:val="69931944"/>
    <w:rsid w:val="69AF055A"/>
    <w:rsid w:val="69B51B3F"/>
    <w:rsid w:val="6A1567FD"/>
    <w:rsid w:val="6AC344AB"/>
    <w:rsid w:val="6B182A49"/>
    <w:rsid w:val="6B4D0219"/>
    <w:rsid w:val="6B6D2FE8"/>
    <w:rsid w:val="6BA53BB1"/>
    <w:rsid w:val="6BE9595D"/>
    <w:rsid w:val="6CA67BE1"/>
    <w:rsid w:val="6CAB3449"/>
    <w:rsid w:val="6CD02EB0"/>
    <w:rsid w:val="6CE4796A"/>
    <w:rsid w:val="6D1F0B58"/>
    <w:rsid w:val="6D321474"/>
    <w:rsid w:val="6D3654A5"/>
    <w:rsid w:val="6D723F67"/>
    <w:rsid w:val="6DB602F7"/>
    <w:rsid w:val="6E22598D"/>
    <w:rsid w:val="6E3B6A4F"/>
    <w:rsid w:val="6EAA606E"/>
    <w:rsid w:val="6EB24C26"/>
    <w:rsid w:val="6EE47BF5"/>
    <w:rsid w:val="6F047014"/>
    <w:rsid w:val="6F2B6AC3"/>
    <w:rsid w:val="6F751AEC"/>
    <w:rsid w:val="6F8D6E36"/>
    <w:rsid w:val="70001CFE"/>
    <w:rsid w:val="70180DF5"/>
    <w:rsid w:val="70D50A94"/>
    <w:rsid w:val="7130059F"/>
    <w:rsid w:val="71324139"/>
    <w:rsid w:val="715045BF"/>
    <w:rsid w:val="71EC42E8"/>
    <w:rsid w:val="71FD0B25"/>
    <w:rsid w:val="727D297F"/>
    <w:rsid w:val="72BE68BD"/>
    <w:rsid w:val="73075151"/>
    <w:rsid w:val="739A5FC5"/>
    <w:rsid w:val="73CB43D1"/>
    <w:rsid w:val="74013C26"/>
    <w:rsid w:val="74170E85"/>
    <w:rsid w:val="74392095"/>
    <w:rsid w:val="7447614D"/>
    <w:rsid w:val="74975370"/>
    <w:rsid w:val="74DE3871"/>
    <w:rsid w:val="751E6757"/>
    <w:rsid w:val="75CD2682"/>
    <w:rsid w:val="75DA08FB"/>
    <w:rsid w:val="75DC35E9"/>
    <w:rsid w:val="76342701"/>
    <w:rsid w:val="763F04CF"/>
    <w:rsid w:val="7671125F"/>
    <w:rsid w:val="767F69B6"/>
    <w:rsid w:val="768A0573"/>
    <w:rsid w:val="76C00701"/>
    <w:rsid w:val="76F61765"/>
    <w:rsid w:val="77184DE6"/>
    <w:rsid w:val="77AE2E62"/>
    <w:rsid w:val="77BE6726"/>
    <w:rsid w:val="77ED2E5B"/>
    <w:rsid w:val="77FA11D3"/>
    <w:rsid w:val="77FA5285"/>
    <w:rsid w:val="77FD1797"/>
    <w:rsid w:val="78112CFA"/>
    <w:rsid w:val="784C3D32"/>
    <w:rsid w:val="789E6834"/>
    <w:rsid w:val="78A73D3E"/>
    <w:rsid w:val="78ED1F7D"/>
    <w:rsid w:val="78FB3F8B"/>
    <w:rsid w:val="794A5D98"/>
    <w:rsid w:val="799815AF"/>
    <w:rsid w:val="79DD67E6"/>
    <w:rsid w:val="79E675CF"/>
    <w:rsid w:val="7A545120"/>
    <w:rsid w:val="7A696DAB"/>
    <w:rsid w:val="7AAC05DE"/>
    <w:rsid w:val="7AD93877"/>
    <w:rsid w:val="7B3E36DA"/>
    <w:rsid w:val="7B615D46"/>
    <w:rsid w:val="7B9D48A5"/>
    <w:rsid w:val="7BAC19B7"/>
    <w:rsid w:val="7BCF79D9"/>
    <w:rsid w:val="7BDA1655"/>
    <w:rsid w:val="7C096E5E"/>
    <w:rsid w:val="7C1A4C7A"/>
    <w:rsid w:val="7C2974E5"/>
    <w:rsid w:val="7C444892"/>
    <w:rsid w:val="7C943EFA"/>
    <w:rsid w:val="7CAE7448"/>
    <w:rsid w:val="7CB24380"/>
    <w:rsid w:val="7CC7607D"/>
    <w:rsid w:val="7CCD4D16"/>
    <w:rsid w:val="7CF624BE"/>
    <w:rsid w:val="7D64746E"/>
    <w:rsid w:val="7D6F401F"/>
    <w:rsid w:val="7D9D293A"/>
    <w:rsid w:val="7DF36BF7"/>
    <w:rsid w:val="7DF764EE"/>
    <w:rsid w:val="7E543E84"/>
    <w:rsid w:val="7E6C1CCD"/>
    <w:rsid w:val="7EBB39C0"/>
    <w:rsid w:val="7EC5039A"/>
    <w:rsid w:val="7EC90255"/>
    <w:rsid w:val="7F565496"/>
    <w:rsid w:val="7F620EF8"/>
    <w:rsid w:val="7F871AF4"/>
    <w:rsid w:val="7FA97CBC"/>
    <w:rsid w:val="7FED31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8"/>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spacing w:line="0" w:lineRule="atLeast"/>
      <w:jc w:val="center"/>
      <w:outlineLvl w:val="1"/>
    </w:pPr>
    <w:rPr>
      <w:kern w:val="0"/>
      <w:sz w:val="28"/>
    </w:rPr>
  </w:style>
  <w:style w:type="paragraph" w:styleId="9">
    <w:name w:val="heading 3"/>
    <w:basedOn w:val="1"/>
    <w:next w:val="1"/>
    <w:link w:val="41"/>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45"/>
    <w:qFormat/>
    <w:uiPriority w:val="0"/>
    <w:pPr>
      <w:ind w:firstLine="420" w:firstLineChars="100"/>
    </w:pPr>
  </w:style>
  <w:style w:type="paragraph" w:styleId="3">
    <w:name w:val="Body Text"/>
    <w:basedOn w:val="1"/>
    <w:next w:val="1"/>
    <w:link w:val="46"/>
    <w:qFormat/>
    <w:uiPriority w:val="99"/>
    <w:pPr>
      <w:spacing w:after="120"/>
    </w:pPr>
  </w:style>
  <w:style w:type="paragraph" w:styleId="4">
    <w:name w:val="Body Text First Indent 2"/>
    <w:basedOn w:val="5"/>
    <w:next w:val="1"/>
    <w:qFormat/>
    <w:uiPriority w:val="99"/>
    <w:pPr>
      <w:tabs>
        <w:tab w:val="left" w:pos="0"/>
        <w:tab w:val="left" w:pos="993"/>
        <w:tab w:val="left" w:pos="1134"/>
      </w:tabs>
      <w:ind w:firstLine="420"/>
    </w:pPr>
  </w:style>
  <w:style w:type="paragraph" w:styleId="5">
    <w:name w:val="Body Text Indent"/>
    <w:basedOn w:val="1"/>
    <w:next w:val="6"/>
    <w:qFormat/>
    <w:uiPriority w:val="0"/>
    <w:pPr>
      <w:ind w:firstLine="632" w:firstLineChars="200"/>
    </w:pPr>
    <w:rPr>
      <w:rFonts w:ascii="仿宋_GB2312" w:hAnsi="华文楷体" w:eastAsia="仿宋_GB2312"/>
      <w:sz w:val="32"/>
    </w:rPr>
  </w:style>
  <w:style w:type="paragraph" w:styleId="6">
    <w:name w:val="envelope return"/>
    <w:basedOn w:val="1"/>
    <w:qFormat/>
    <w:uiPriority w:val="99"/>
    <w:pPr>
      <w:snapToGrid w:val="0"/>
    </w:pPr>
    <w:rPr>
      <w:rFonts w:ascii="Arial" w:hAnsi="Arial"/>
    </w:rPr>
  </w:style>
  <w:style w:type="paragraph" w:styleId="10">
    <w:name w:val="caption"/>
    <w:basedOn w:val="1"/>
    <w:next w:val="1"/>
    <w:qFormat/>
    <w:uiPriority w:val="0"/>
    <w:rPr>
      <w:rFonts w:ascii="Cambria" w:hAnsi="Cambria" w:eastAsia="黑体"/>
      <w:sz w:val="20"/>
    </w:rPr>
  </w:style>
  <w:style w:type="paragraph" w:styleId="11">
    <w:name w:val="Document Map"/>
    <w:basedOn w:val="1"/>
    <w:link w:val="49"/>
    <w:qFormat/>
    <w:uiPriority w:val="0"/>
    <w:rPr>
      <w:rFonts w:ascii="宋体"/>
      <w:sz w:val="18"/>
      <w:szCs w:val="18"/>
    </w:rPr>
  </w:style>
  <w:style w:type="paragraph" w:styleId="12">
    <w:name w:val="annotation text"/>
    <w:basedOn w:val="1"/>
    <w:link w:val="48"/>
    <w:qFormat/>
    <w:uiPriority w:val="0"/>
    <w:pPr>
      <w:jc w:val="left"/>
    </w:pPr>
  </w:style>
  <w:style w:type="paragraph" w:styleId="13">
    <w:name w:val="Body Text 3"/>
    <w:basedOn w:val="1"/>
    <w:qFormat/>
    <w:uiPriority w:val="0"/>
    <w:pPr>
      <w:spacing w:after="120"/>
    </w:pPr>
    <w:rPr>
      <w:sz w:val="16"/>
      <w:szCs w:val="16"/>
    </w:rPr>
  </w:style>
  <w:style w:type="paragraph" w:styleId="14">
    <w:name w:val="List 2"/>
    <w:basedOn w:val="1"/>
    <w:qFormat/>
    <w:uiPriority w:val="0"/>
    <w:pPr>
      <w:ind w:left="400" w:leftChars="200" w:hanging="200" w:hangingChars="200"/>
    </w:pPr>
  </w:style>
  <w:style w:type="paragraph" w:styleId="15">
    <w:name w:val="Plain Text"/>
    <w:basedOn w:val="1"/>
    <w:link w:val="54"/>
    <w:qFormat/>
    <w:uiPriority w:val="99"/>
    <w:rPr>
      <w:rFonts w:ascii="宋体" w:hAnsi="Courier New"/>
      <w:szCs w:val="20"/>
    </w:rPr>
  </w:style>
  <w:style w:type="paragraph" w:styleId="16">
    <w:name w:val="Date"/>
    <w:basedOn w:val="1"/>
    <w:next w:val="1"/>
    <w:link w:val="50"/>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71"/>
    <w:qFormat/>
    <w:uiPriority w:val="99"/>
    <w:pPr>
      <w:tabs>
        <w:tab w:val="center" w:pos="4153"/>
        <w:tab w:val="right" w:pos="8306"/>
      </w:tabs>
      <w:snapToGrid w:val="0"/>
      <w:jc w:val="left"/>
    </w:pPr>
    <w:rPr>
      <w:sz w:val="18"/>
      <w:szCs w:val="18"/>
    </w:rPr>
  </w:style>
  <w:style w:type="paragraph" w:styleId="20">
    <w:name w:val="header"/>
    <w:basedOn w:val="1"/>
    <w:link w:val="7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rPr>
  </w:style>
  <w:style w:type="paragraph" w:styleId="22">
    <w:name w:val="footnote text"/>
    <w:basedOn w:val="1"/>
    <w:qFormat/>
    <w:uiPriority w:val="99"/>
    <w:pPr>
      <w:snapToGrid w:val="0"/>
      <w:jc w:val="left"/>
    </w:pPr>
    <w:rPr>
      <w:sz w:val="18"/>
      <w:szCs w:val="18"/>
    </w:rPr>
  </w:style>
  <w:style w:type="paragraph" w:styleId="23">
    <w:name w:val="Body Text 2"/>
    <w:basedOn w:val="1"/>
    <w:link w:val="68"/>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autoRedefine/>
    <w:qFormat/>
    <w:uiPriority w:val="22"/>
    <w:rPr>
      <w:b/>
      <w:bCs/>
    </w:rPr>
  </w:style>
  <w:style w:type="character" w:styleId="30">
    <w:name w:val="page number"/>
    <w:basedOn w:val="28"/>
    <w:autoRedefine/>
    <w:qFormat/>
    <w:uiPriority w:val="0"/>
  </w:style>
  <w:style w:type="character" w:styleId="31">
    <w:name w:val="FollowedHyperlink"/>
    <w:basedOn w:val="28"/>
    <w:qFormat/>
    <w:uiPriority w:val="0"/>
    <w:rPr>
      <w:color w:val="000000"/>
      <w:u w:val="none"/>
    </w:rPr>
  </w:style>
  <w:style w:type="character" w:styleId="32">
    <w:name w:val="Hyperlink"/>
    <w:qFormat/>
    <w:uiPriority w:val="0"/>
    <w:rPr>
      <w:color w:val="333333"/>
      <w:u w:val="none"/>
    </w:rPr>
  </w:style>
  <w:style w:type="character" w:styleId="33">
    <w:name w:val="annotation reference"/>
    <w:qFormat/>
    <w:uiPriority w:val="99"/>
    <w:rPr>
      <w:sz w:val="21"/>
    </w:rPr>
  </w:style>
  <w:style w:type="paragraph" w:customStyle="1" w:styleId="34">
    <w:name w:val="Default"/>
    <w:next w:val="35"/>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5">
    <w:name w:val="Char Char10 Char Char Char Char"/>
    <w:basedOn w:val="1"/>
    <w:next w:val="36"/>
    <w:qFormat/>
    <w:uiPriority w:val="0"/>
    <w:rPr>
      <w:rFonts w:ascii="Times New Roman" w:hAnsi="Times New Roman" w:eastAsia="宋体" w:cs="Times New Roman"/>
    </w:rPr>
  </w:style>
  <w:style w:type="paragraph" w:customStyle="1" w:styleId="36">
    <w:name w:val="xl87"/>
    <w:basedOn w:val="1"/>
    <w:next w:val="37"/>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rPr>
  </w:style>
  <w:style w:type="paragraph" w:customStyle="1" w:styleId="37">
    <w:name w:val="xl72"/>
    <w:basedOn w:val="1"/>
    <w:next w:val="1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_GB2312" w:hAnsi="宋体" w:eastAsia="仿宋_GB2312" w:cs="宋体"/>
      <w:kern w:val="0"/>
      <w:sz w:val="20"/>
    </w:rPr>
  </w:style>
  <w:style w:type="paragraph" w:customStyle="1" w:styleId="38">
    <w:name w:val="BodyText1I"/>
    <w:basedOn w:val="39"/>
    <w:qFormat/>
    <w:uiPriority w:val="99"/>
    <w:pPr>
      <w:ind w:firstLine="420" w:firstLineChars="100"/>
    </w:pPr>
  </w:style>
  <w:style w:type="paragraph" w:customStyle="1" w:styleId="39">
    <w:name w:val="BodyText"/>
    <w:basedOn w:val="1"/>
    <w:qFormat/>
    <w:uiPriority w:val="99"/>
    <w:pPr>
      <w:spacing w:after="120"/>
    </w:pPr>
  </w:style>
  <w:style w:type="paragraph" w:customStyle="1" w:styleId="40">
    <w:name w:val="无间隔1"/>
    <w:next w:val="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标题 3 字符"/>
    <w:link w:val="9"/>
    <w:semiHidden/>
    <w:qFormat/>
    <w:uiPriority w:val="0"/>
    <w:rPr>
      <w:b/>
      <w:bCs/>
      <w:kern w:val="2"/>
      <w:sz w:val="32"/>
      <w:szCs w:val="32"/>
    </w:rPr>
  </w:style>
  <w:style w:type="character" w:customStyle="1" w:styleId="42">
    <w:name w:val="font231"/>
    <w:qFormat/>
    <w:uiPriority w:val="0"/>
    <w:rPr>
      <w:rFonts w:hint="eastAsia" w:ascii="宋体" w:hAnsi="宋体" w:eastAsia="宋体" w:cs="宋体"/>
      <w:color w:val="000000"/>
      <w:sz w:val="22"/>
      <w:szCs w:val="22"/>
      <w:u w:val="none"/>
    </w:rPr>
  </w:style>
  <w:style w:type="character" w:customStyle="1" w:styleId="43">
    <w:name w:val="font11"/>
    <w:qFormat/>
    <w:uiPriority w:val="0"/>
    <w:rPr>
      <w:rFonts w:hint="default" w:ascii="Times New Roman" w:hAnsi="Times New Roman" w:cs="Times New Roman"/>
      <w:color w:val="000000"/>
      <w:sz w:val="18"/>
      <w:szCs w:val="18"/>
      <w:u w:val="none"/>
    </w:rPr>
  </w:style>
  <w:style w:type="character" w:customStyle="1" w:styleId="44">
    <w:name w:val="font191"/>
    <w:qFormat/>
    <w:uiPriority w:val="0"/>
    <w:rPr>
      <w:rFonts w:hint="default" w:ascii="Calibri" w:hAnsi="Calibri" w:cs="Calibri"/>
      <w:color w:val="000000"/>
      <w:sz w:val="22"/>
      <w:szCs w:val="22"/>
      <w:u w:val="none"/>
    </w:rPr>
  </w:style>
  <w:style w:type="character" w:customStyle="1" w:styleId="45">
    <w:name w:val="正文文本首行缩进 字符"/>
    <w:link w:val="2"/>
    <w:autoRedefine/>
    <w:qFormat/>
    <w:uiPriority w:val="0"/>
    <w:rPr>
      <w:kern w:val="2"/>
      <w:sz w:val="21"/>
      <w:szCs w:val="24"/>
    </w:rPr>
  </w:style>
  <w:style w:type="character" w:customStyle="1" w:styleId="46">
    <w:name w:val="正文文本 字符"/>
    <w:link w:val="3"/>
    <w:qFormat/>
    <w:uiPriority w:val="99"/>
    <w:rPr>
      <w:kern w:val="2"/>
      <w:sz w:val="21"/>
      <w:szCs w:val="24"/>
    </w:rPr>
  </w:style>
  <w:style w:type="character" w:customStyle="1" w:styleId="47">
    <w:name w:val="font151"/>
    <w:qFormat/>
    <w:uiPriority w:val="0"/>
    <w:rPr>
      <w:rFonts w:hint="default" w:ascii="Calibri" w:hAnsi="Calibri" w:cs="Calibri"/>
      <w:color w:val="000000"/>
      <w:sz w:val="22"/>
      <w:szCs w:val="22"/>
      <w:u w:val="none"/>
    </w:rPr>
  </w:style>
  <w:style w:type="character" w:customStyle="1" w:styleId="48">
    <w:name w:val="批注文字 字符"/>
    <w:link w:val="12"/>
    <w:qFormat/>
    <w:uiPriority w:val="0"/>
    <w:rPr>
      <w:kern w:val="2"/>
      <w:sz w:val="21"/>
      <w:szCs w:val="24"/>
    </w:rPr>
  </w:style>
  <w:style w:type="character" w:customStyle="1" w:styleId="49">
    <w:name w:val="文档结构图 字符"/>
    <w:link w:val="11"/>
    <w:qFormat/>
    <w:uiPriority w:val="0"/>
    <w:rPr>
      <w:rFonts w:ascii="宋体"/>
      <w:kern w:val="2"/>
      <w:sz w:val="18"/>
      <w:szCs w:val="18"/>
    </w:rPr>
  </w:style>
  <w:style w:type="character" w:customStyle="1" w:styleId="50">
    <w:name w:val="日期 字符"/>
    <w:link w:val="16"/>
    <w:qFormat/>
    <w:uiPriority w:val="0"/>
    <w:rPr>
      <w:kern w:val="2"/>
      <w:sz w:val="21"/>
      <w:szCs w:val="24"/>
    </w:rPr>
  </w:style>
  <w:style w:type="character" w:customStyle="1" w:styleId="51">
    <w:name w:val="font221"/>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eastAsia" w:ascii="宋体" w:hAnsi="宋体" w:eastAsia="宋体" w:cs="宋体"/>
      <w:color w:val="FF0000"/>
      <w:sz w:val="22"/>
      <w:szCs w:val="22"/>
      <w:u w:val="none"/>
    </w:rPr>
  </w:style>
  <w:style w:type="character" w:customStyle="1" w:styleId="53">
    <w:name w:val="font31"/>
    <w:qFormat/>
    <w:uiPriority w:val="0"/>
    <w:rPr>
      <w:rFonts w:hint="eastAsia" w:ascii="宋体" w:hAnsi="宋体" w:eastAsia="宋体" w:cs="宋体"/>
      <w:color w:val="000000"/>
      <w:sz w:val="18"/>
      <w:szCs w:val="18"/>
      <w:u w:val="none"/>
    </w:rPr>
  </w:style>
  <w:style w:type="character" w:customStyle="1" w:styleId="54">
    <w:name w:val="纯文本 字符"/>
    <w:link w:val="15"/>
    <w:autoRedefine/>
    <w:qFormat/>
    <w:uiPriority w:val="99"/>
    <w:rPr>
      <w:rFonts w:ascii="宋体" w:hAnsi="Courier New"/>
      <w:kern w:val="2"/>
      <w:sz w:val="21"/>
    </w:rPr>
  </w:style>
  <w:style w:type="character" w:customStyle="1" w:styleId="55">
    <w:name w:val="访问过的超链接1"/>
    <w:qFormat/>
    <w:uiPriority w:val="0"/>
    <w:rPr>
      <w:color w:val="333333"/>
      <w:u w:val="none"/>
    </w:rPr>
  </w:style>
  <w:style w:type="character" w:customStyle="1" w:styleId="56">
    <w:name w:val="font01"/>
    <w:autoRedefine/>
    <w:qFormat/>
    <w:uiPriority w:val="0"/>
    <w:rPr>
      <w:rFonts w:hint="eastAsia" w:ascii="宋体" w:hAnsi="宋体" w:eastAsia="宋体" w:cs="宋体"/>
      <w:color w:val="000000"/>
      <w:sz w:val="22"/>
      <w:szCs w:val="22"/>
      <w:u w:val="none"/>
    </w:rPr>
  </w:style>
  <w:style w:type="character" w:customStyle="1" w:styleId="57">
    <w:name w:val="font21"/>
    <w:qFormat/>
    <w:uiPriority w:val="0"/>
    <w:rPr>
      <w:rFonts w:hint="default" w:ascii="Times New Roman" w:hAnsi="Times New Roman" w:cs="Times New Roman"/>
      <w:color w:val="000000"/>
      <w:sz w:val="18"/>
      <w:szCs w:val="18"/>
      <w:u w:val="none"/>
    </w:rPr>
  </w:style>
  <w:style w:type="paragraph" w:customStyle="1" w:styleId="58">
    <w:name w:val="p0"/>
    <w:basedOn w:val="1"/>
    <w:autoRedefine/>
    <w:qFormat/>
    <w:uiPriority w:val="0"/>
    <w:pPr>
      <w:widowControl/>
    </w:pPr>
    <w:rPr>
      <w:rFonts w:ascii="Calibri" w:hAnsi="Calibri" w:cs="宋体"/>
      <w:kern w:val="0"/>
      <w:szCs w:val="21"/>
    </w:rPr>
  </w:style>
  <w:style w:type="paragraph" w:customStyle="1" w:styleId="59">
    <w:name w:val="List Paragraph1"/>
    <w:basedOn w:val="1"/>
    <w:autoRedefine/>
    <w:qFormat/>
    <w:uiPriority w:val="0"/>
    <w:pPr>
      <w:ind w:firstLine="420" w:firstLineChars="200"/>
    </w:pPr>
  </w:style>
  <w:style w:type="paragraph" w:customStyle="1" w:styleId="60">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61">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3">
    <w:name w:val="Char Char Char Char Char Char Char1 Char"/>
    <w:basedOn w:val="1"/>
    <w:autoRedefine/>
    <w:qFormat/>
    <w:uiPriority w:val="0"/>
    <w:rPr>
      <w:rFonts w:ascii="Tahoma" w:hAnsi="Tahoma"/>
      <w:sz w:val="24"/>
      <w:szCs w:val="20"/>
    </w:rPr>
  </w:style>
  <w:style w:type="paragraph" w:styleId="64">
    <w:name w:val="List Paragraph"/>
    <w:basedOn w:val="1"/>
    <w:qFormat/>
    <w:uiPriority w:val="34"/>
    <w:pPr>
      <w:ind w:firstLine="420" w:firstLineChars="200"/>
    </w:pPr>
  </w:style>
  <w:style w:type="paragraph" w:customStyle="1" w:styleId="65">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6">
    <w:name w:val="默认段落字体 Para Char Char Char Char Char Char Char Char Char Char"/>
    <w:basedOn w:val="1"/>
    <w:autoRedefine/>
    <w:qFormat/>
    <w:uiPriority w:val="0"/>
    <w:pPr>
      <w:tabs>
        <w:tab w:val="right" w:pos="-2120"/>
      </w:tabs>
      <w:snapToGrid w:val="0"/>
    </w:pPr>
  </w:style>
  <w:style w:type="character" w:customStyle="1" w:styleId="67">
    <w:name w:val="generalinfo-address-text"/>
    <w:basedOn w:val="28"/>
    <w:qFormat/>
    <w:uiPriority w:val="0"/>
  </w:style>
  <w:style w:type="character" w:customStyle="1" w:styleId="68">
    <w:name w:val="正文文本 2 字符"/>
    <w:link w:val="23"/>
    <w:qFormat/>
    <w:uiPriority w:val="0"/>
    <w:rPr>
      <w:kern w:val="2"/>
      <w:sz w:val="21"/>
      <w:szCs w:val="24"/>
    </w:rPr>
  </w:style>
  <w:style w:type="character" w:customStyle="1" w:styleId="69">
    <w:name w:val="NormalCharacter"/>
    <w:autoRedefine/>
    <w:qFormat/>
    <w:uiPriority w:val="0"/>
  </w:style>
  <w:style w:type="character" w:customStyle="1" w:styleId="70">
    <w:name w:val="页眉 字符"/>
    <w:link w:val="20"/>
    <w:autoRedefine/>
    <w:qFormat/>
    <w:uiPriority w:val="99"/>
    <w:rPr>
      <w:kern w:val="2"/>
      <w:sz w:val="18"/>
      <w:szCs w:val="18"/>
    </w:rPr>
  </w:style>
  <w:style w:type="character" w:customStyle="1" w:styleId="71">
    <w:name w:val="页脚 字符"/>
    <w:link w:val="19"/>
    <w:autoRedefine/>
    <w:qFormat/>
    <w:uiPriority w:val="99"/>
    <w:rPr>
      <w:kern w:val="2"/>
      <w:sz w:val="18"/>
      <w:szCs w:val="18"/>
    </w:rPr>
  </w:style>
  <w:style w:type="paragraph" w:customStyle="1" w:styleId="72">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3">
    <w:name w:val="contentlabel"/>
    <w:autoRedefine/>
    <w:qFormat/>
    <w:uiPriority w:val="0"/>
  </w:style>
  <w:style w:type="paragraph" w:customStyle="1" w:styleId="74">
    <w:name w:val="Body Text First Indent1"/>
    <w:basedOn w:val="3"/>
    <w:qFormat/>
    <w:uiPriority w:val="0"/>
    <w:pPr>
      <w:autoSpaceDE w:val="0"/>
      <w:autoSpaceDN w:val="0"/>
      <w:ind w:firstLine="420" w:firstLineChars="100"/>
      <w:jc w:val="left"/>
    </w:pPr>
    <w:rPr>
      <w:rFonts w:ascii="宋体" w:hAnsi="等线" w:eastAsia="等线" w:cs="宋体"/>
      <w:kern w:val="0"/>
      <w:lang w:val="zh-CN"/>
    </w:rPr>
  </w:style>
  <w:style w:type="paragraph" w:customStyle="1" w:styleId="75">
    <w:name w:val="D&amp;L"/>
    <w:basedOn w:val="2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6">
    <w:name w:val="icon_gys"/>
    <w:basedOn w:val="28"/>
    <w:autoRedefine/>
    <w:qFormat/>
    <w:uiPriority w:val="0"/>
    <w:rPr>
      <w:sz w:val="21"/>
      <w:szCs w:val="21"/>
    </w:rPr>
  </w:style>
  <w:style w:type="character" w:customStyle="1" w:styleId="77">
    <w:name w:val="first-child"/>
    <w:basedOn w:val="28"/>
    <w:qFormat/>
    <w:uiPriority w:val="0"/>
    <w:rPr>
      <w:color w:val="1F3149"/>
      <w:sz w:val="24"/>
      <w:szCs w:val="24"/>
    </w:rPr>
  </w:style>
  <w:style w:type="character" w:customStyle="1" w:styleId="78">
    <w:name w:val="first-child1"/>
    <w:basedOn w:val="28"/>
    <w:autoRedefine/>
    <w:qFormat/>
    <w:uiPriority w:val="0"/>
    <w:rPr>
      <w:color w:val="1F3149"/>
      <w:sz w:val="24"/>
      <w:szCs w:val="24"/>
    </w:rPr>
  </w:style>
  <w:style w:type="character" w:customStyle="1" w:styleId="79">
    <w:name w:val="xiadan"/>
    <w:basedOn w:val="28"/>
    <w:autoRedefine/>
    <w:qFormat/>
    <w:uiPriority w:val="0"/>
    <w:rPr>
      <w:shd w:val="clear" w:color="auto" w:fill="E4393C"/>
    </w:rPr>
  </w:style>
  <w:style w:type="character" w:customStyle="1" w:styleId="80">
    <w:name w:val="fr"/>
    <w:basedOn w:val="28"/>
    <w:autoRedefine/>
    <w:qFormat/>
    <w:uiPriority w:val="0"/>
  </w:style>
  <w:style w:type="character" w:customStyle="1" w:styleId="81">
    <w:name w:val="icon_ds"/>
    <w:basedOn w:val="28"/>
    <w:autoRedefine/>
    <w:qFormat/>
    <w:uiPriority w:val="0"/>
  </w:style>
  <w:style w:type="paragraph" w:customStyle="1" w:styleId="82">
    <w:name w:val="正文1"/>
    <w:basedOn w:val="1"/>
    <w:autoRedefine/>
    <w:qFormat/>
    <w:uiPriority w:val="0"/>
    <w:pPr>
      <w:widowControl/>
      <w:topLinePunct/>
      <w:spacing w:beforeLines="50" w:afterLines="50" w:line="300" w:lineRule="auto"/>
      <w:ind w:left="420"/>
    </w:pPr>
  </w:style>
  <w:style w:type="table" w:customStyle="1" w:styleId="83">
    <w:name w:val="Table Normal"/>
    <w:basedOn w:val="26"/>
    <w:autoRedefine/>
    <w:semiHidden/>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84">
    <w:name w:val="前附表"/>
    <w:basedOn w:val="85"/>
    <w:qFormat/>
    <w:uiPriority w:val="0"/>
    <w:pPr>
      <w:spacing w:line="440" w:lineRule="exact"/>
      <w:ind w:left="50" w:leftChars="50" w:right="50" w:rightChars="50" w:firstLine="0" w:firstLineChars="0"/>
      <w:jc w:val="left"/>
    </w:pPr>
    <w:rPr>
      <w:rFonts w:cs="宋体"/>
      <w:color w:val="000000"/>
      <w:kern w:val="0"/>
      <w:sz w:val="21"/>
      <w:szCs w:val="21"/>
    </w:rPr>
  </w:style>
  <w:style w:type="paragraph" w:customStyle="1" w:styleId="85">
    <w:name w:val="正文样式"/>
    <w:basedOn w:val="1"/>
    <w:autoRedefine/>
    <w:qFormat/>
    <w:uiPriority w:val="0"/>
  </w:style>
  <w:style w:type="character" w:customStyle="1" w:styleId="86">
    <w:name w:val="icon_ds1"/>
    <w:basedOn w:val="28"/>
    <w:autoRedefine/>
    <w:qFormat/>
    <w:uiPriority w:val="0"/>
    <w:rPr>
      <w:sz w:val="21"/>
      <w:szCs w:val="21"/>
    </w:rPr>
  </w:style>
  <w:style w:type="character" w:customStyle="1" w:styleId="87">
    <w:name w:val="font41"/>
    <w:basedOn w:val="28"/>
    <w:autoRedefine/>
    <w:qFormat/>
    <w:uiPriority w:val="0"/>
    <w:rPr>
      <w:rFonts w:hint="eastAsia" w:ascii="微软雅黑" w:hAnsi="微软雅黑" w:eastAsia="微软雅黑" w:cs="微软雅黑"/>
      <w:color w:val="000000"/>
      <w:sz w:val="20"/>
      <w:szCs w:val="20"/>
      <w:u w:val="none"/>
    </w:rPr>
  </w:style>
  <w:style w:type="paragraph" w:customStyle="1" w:styleId="88">
    <w:name w:val="表格小四"/>
    <w:basedOn w:val="1"/>
    <w:autoRedefine/>
    <w:qFormat/>
    <w:uiPriority w:val="0"/>
    <w:pPr>
      <w:spacing w:line="240" w:lineRule="auto"/>
      <w:ind w:firstLine="0" w:firstLineChars="0"/>
    </w:pPr>
    <w:rPr>
      <w:rFonts w:hint="eastAsia"/>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46</Pages>
  <Words>20440</Words>
  <Characters>21263</Characters>
  <Lines>146</Lines>
  <Paragraphs>41</Paragraphs>
  <TotalTime>5</TotalTime>
  <ScaleCrop>false</ScaleCrop>
  <LinksUpToDate>false</LinksUpToDate>
  <CharactersWithSpaces>22159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张光</cp:lastModifiedBy>
  <cp:lastPrinted>2020-11-18T03:21:00Z</cp:lastPrinted>
  <dcterms:modified xsi:type="dcterms:W3CDTF">2024-04-10T07:35:22Z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90B4FA7F4C8847949DBC6BA5DD6F8965</vt:lpwstr>
  </property>
</Properties>
</file>