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Theme="minorEastAsia" w:hAnsiTheme="minorEastAsia" w:eastAsiaTheme="minorEastAsia"/>
          <w:sz w:val="20"/>
        </w:rPr>
      </w:pPr>
    </w:p>
    <w:p>
      <w:pPr>
        <w:pStyle w:val="7"/>
        <w:rPr>
          <w:rFonts w:asciiTheme="minorEastAsia" w:hAnsiTheme="minorEastAsia" w:eastAsiaTheme="minorEastAsia"/>
          <w:sz w:val="20"/>
        </w:rPr>
      </w:pPr>
    </w:p>
    <w:p>
      <w:pPr>
        <w:pStyle w:val="7"/>
        <w:spacing w:before="4"/>
        <w:rPr>
          <w:rFonts w:asciiTheme="minorEastAsia" w:hAnsiTheme="minorEastAsia" w:eastAsiaTheme="minorEastAsia"/>
          <w:sz w:val="21"/>
        </w:rPr>
      </w:pPr>
    </w:p>
    <w:p>
      <w:pPr>
        <w:pStyle w:val="2"/>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pPr>
        <w:pStyle w:val="7"/>
        <w:rPr>
          <w:rFonts w:asciiTheme="minorEastAsia" w:hAnsiTheme="minorEastAsia" w:eastAsiaTheme="minorEastAsia"/>
        </w:rPr>
      </w:pPr>
    </w:p>
    <w:p>
      <w:pPr>
        <w:pStyle w:val="2"/>
        <w:spacing w:line="487" w:lineRule="auto"/>
        <w:ind w:right="987"/>
        <w:rPr>
          <w:rFonts w:asciiTheme="minorEastAsia" w:hAnsiTheme="minorEastAsia" w:eastAsiaTheme="minorEastAsia"/>
          <w:spacing w:val="-1"/>
          <w:w w:val="95"/>
        </w:rPr>
      </w:pPr>
    </w:p>
    <w:p>
      <w:pPr>
        <w:pStyle w:val="2"/>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pPr>
        <w:pStyle w:val="7"/>
        <w:rPr>
          <w:rFonts w:asciiTheme="minorEastAsia" w:hAnsiTheme="minorEastAsia" w:eastAsiaTheme="minorEastAsia"/>
          <w:b/>
          <w:sz w:val="44"/>
          <w:lang w:val="en-US"/>
        </w:rPr>
      </w:pPr>
    </w:p>
    <w:p>
      <w:pPr>
        <w:pStyle w:val="7"/>
        <w:rPr>
          <w:rFonts w:asciiTheme="minorEastAsia" w:hAnsiTheme="minorEastAsia" w:eastAsiaTheme="minorEastAsia"/>
          <w:b/>
          <w:sz w:val="44"/>
        </w:rPr>
      </w:pPr>
    </w:p>
    <w:p>
      <w:pPr>
        <w:pStyle w:val="7"/>
        <w:rPr>
          <w:rFonts w:asciiTheme="minorEastAsia" w:hAnsiTheme="minorEastAsia" w:eastAsiaTheme="minorEastAsia"/>
          <w:b/>
          <w:sz w:val="44"/>
        </w:rPr>
      </w:pPr>
    </w:p>
    <w:p>
      <w:pPr>
        <w:pStyle w:val="7"/>
        <w:rPr>
          <w:rFonts w:asciiTheme="minorEastAsia" w:hAnsiTheme="minorEastAsia" w:eastAsiaTheme="minorEastAsia"/>
          <w:b/>
          <w:sz w:val="44"/>
        </w:rPr>
      </w:pPr>
    </w:p>
    <w:p>
      <w:pPr>
        <w:pStyle w:val="7"/>
        <w:rPr>
          <w:rFonts w:asciiTheme="minorEastAsia" w:hAnsiTheme="minorEastAsia" w:eastAsiaTheme="minorEastAsia"/>
          <w:b/>
          <w:sz w:val="44"/>
        </w:rPr>
      </w:pPr>
    </w:p>
    <w:p>
      <w:pPr>
        <w:pStyle w:val="7"/>
        <w:rPr>
          <w:rFonts w:asciiTheme="minorEastAsia" w:hAnsiTheme="minorEastAsia" w:eastAsiaTheme="minorEastAsia"/>
          <w:b/>
          <w:sz w:val="44"/>
        </w:rPr>
      </w:pPr>
    </w:p>
    <w:p>
      <w:pPr>
        <w:spacing w:before="1"/>
        <w:ind w:right="987"/>
        <w:rPr>
          <w:rFonts w:hint="eastAsia" w:asciiTheme="minorEastAsia" w:hAnsiTheme="minorEastAsia" w:eastAsiaTheme="minorEastAsia"/>
          <w:sz w:val="32"/>
        </w:rPr>
      </w:pPr>
    </w:p>
    <w:p>
      <w:pPr>
        <w:spacing w:before="1"/>
        <w:ind w:right="987"/>
        <w:rPr>
          <w:rFonts w:hint="eastAsia" w:asciiTheme="minorEastAsia" w:hAnsiTheme="minorEastAsia" w:eastAsiaTheme="minorEastAsia"/>
          <w:sz w:val="32"/>
        </w:rPr>
      </w:pPr>
    </w:p>
    <w:p>
      <w:pPr>
        <w:spacing w:before="1"/>
        <w:ind w:right="987"/>
        <w:rPr>
          <w:rFonts w:hint="eastAsia" w:asciiTheme="minorEastAsia" w:hAnsiTheme="minorEastAsia" w:eastAsiaTheme="minorEastAsia"/>
          <w:sz w:val="32"/>
        </w:rPr>
      </w:pPr>
    </w:p>
    <w:p>
      <w:pPr>
        <w:spacing w:before="1"/>
        <w:ind w:right="987"/>
        <w:rPr>
          <w:rFonts w:hint="eastAsia" w:asciiTheme="minorEastAsia" w:hAnsiTheme="minorEastAsia" w:eastAsiaTheme="minorEastAsia"/>
          <w:sz w:val="32"/>
        </w:rPr>
      </w:pPr>
    </w:p>
    <w:p>
      <w:pPr>
        <w:spacing w:before="1"/>
        <w:ind w:right="987"/>
        <w:rPr>
          <w:rFonts w:hint="eastAsia" w:asciiTheme="minorEastAsia" w:hAnsiTheme="minorEastAsia" w:eastAsiaTheme="minorEastAsia"/>
          <w:sz w:val="32"/>
        </w:rPr>
      </w:pPr>
    </w:p>
    <w:p>
      <w:pPr>
        <w:spacing w:before="1"/>
        <w:ind w:right="987"/>
        <w:rPr>
          <w:rFonts w:asciiTheme="minorEastAsia" w:hAnsiTheme="minorEastAsia" w:eastAsiaTheme="minorEastAsia"/>
          <w:sz w:val="32"/>
        </w:rPr>
      </w:pPr>
      <w:r>
        <w:rPr>
          <w:rFonts w:hint="eastAsia" w:asciiTheme="minorEastAsia" w:hAnsiTheme="minorEastAsia" w:eastAsiaTheme="minorEastAsia"/>
          <w:sz w:val="32"/>
        </w:rPr>
        <w:t>项目名称：项城市第二人民医院</w:t>
      </w:r>
      <w:r>
        <w:rPr>
          <w:rFonts w:asciiTheme="minorEastAsia" w:hAnsiTheme="minorEastAsia" w:eastAsiaTheme="minorEastAsia"/>
          <w:sz w:val="32"/>
        </w:rPr>
        <w:t>1.5T磁共振室屏蔽及配套设备工程项目</w:t>
      </w:r>
    </w:p>
    <w:p>
      <w:pPr>
        <w:spacing w:before="344"/>
        <w:rPr>
          <w:rFonts w:asciiTheme="minorEastAsia" w:hAnsiTheme="minorEastAsia" w:eastAsiaTheme="minorEastAsia"/>
          <w:sz w:val="32"/>
        </w:rPr>
      </w:pPr>
      <w:r>
        <w:rPr>
          <w:rFonts w:hint="eastAsia" w:asciiTheme="minorEastAsia" w:hAnsiTheme="minorEastAsia" w:eastAsiaTheme="minorEastAsia"/>
          <w:sz w:val="32"/>
        </w:rPr>
        <w:t>项目编号：项财竞谈-2024-6</w:t>
      </w:r>
    </w:p>
    <w:p>
      <w:pPr>
        <w:spacing w:before="1"/>
        <w:ind w:right="987"/>
        <w:rPr>
          <w:rFonts w:asciiTheme="minorEastAsia" w:hAnsiTheme="minorEastAsia" w:eastAsiaTheme="minorEastAsia"/>
          <w:sz w:val="32"/>
        </w:rPr>
      </w:pPr>
    </w:p>
    <w:p>
      <w:pPr>
        <w:rPr>
          <w:rFonts w:asciiTheme="minorEastAsia" w:hAnsiTheme="minorEastAsia" w:eastAsiaTheme="minorEastAsia"/>
        </w:rPr>
      </w:pPr>
    </w:p>
    <w:p>
      <w:pPr>
        <w:ind w:left="592" w:right="987"/>
        <w:jc w:val="center"/>
        <w:rPr>
          <w:rFonts w:asciiTheme="minorEastAsia" w:hAnsiTheme="minorEastAsia" w:eastAsiaTheme="minorEastAsia"/>
          <w:sz w:val="32"/>
        </w:rPr>
      </w:pPr>
      <w:r>
        <w:rPr>
          <w:rFonts w:hint="eastAsia" w:asciiTheme="minorEastAsia" w:hAnsiTheme="minorEastAsia" w:eastAsiaTheme="minorEastAsia"/>
          <w:sz w:val="32"/>
        </w:rPr>
        <w:t>2024年4月2</w:t>
      </w:r>
      <w:r>
        <w:rPr>
          <w:rFonts w:hint="eastAsia" w:asciiTheme="minorEastAsia" w:hAnsiTheme="minorEastAsia" w:eastAsiaTheme="minorEastAsia"/>
          <w:sz w:val="32"/>
          <w:lang w:val="en-US" w:eastAsia="zh-CN"/>
        </w:rPr>
        <w:t>3</w:t>
      </w:r>
      <w:r>
        <w:rPr>
          <w:rFonts w:hint="eastAsia" w:asciiTheme="minorEastAsia" w:hAnsiTheme="minorEastAsia" w:eastAsiaTheme="minorEastAsia"/>
          <w:sz w:val="32"/>
        </w:rPr>
        <w:t>日</w:t>
      </w:r>
    </w:p>
    <w:p>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pPr>
            <w:pStyle w:val="14"/>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pPr>
            <w:pStyle w:val="14"/>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8</w:t>
          </w:r>
          <w:r>
            <w:rPr>
              <w:rFonts w:hint="eastAsia" w:asciiTheme="minorEastAsia" w:hAnsiTheme="minorEastAsia" w:eastAsiaTheme="minorEastAsia"/>
            </w:rPr>
            <w:fldChar w:fldCharType="end"/>
          </w:r>
        </w:p>
        <w:p>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20</w:t>
          </w:r>
          <w:r>
            <w:rPr>
              <w:rFonts w:hint="eastAsia" w:asciiTheme="minorEastAsia" w:hAnsiTheme="minorEastAsia" w:eastAsiaTheme="minorEastAsia"/>
              <w:lang w:val="en-US"/>
            </w:rPr>
            <w:fldChar w:fldCharType="end"/>
          </w:r>
        </w:p>
        <w:p>
          <w:pPr>
            <w:pStyle w:val="14"/>
            <w:tabs>
              <w:tab w:val="left" w:pos="1619"/>
              <w:tab w:val="right" w:leader="dot" w:pos="8852"/>
            </w:tabs>
            <w:rPr>
              <w:rFonts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25</w:t>
          </w:r>
        </w:p>
        <w:p>
          <w:pPr>
            <w:pStyle w:val="14"/>
            <w:tabs>
              <w:tab w:val="left" w:pos="1619"/>
              <w:tab w:val="right" w:leader="dot" w:pos="8851"/>
            </w:tabs>
            <w:rPr>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44</w:t>
          </w:r>
        </w:p>
        <w:p/>
        <w:p>
          <w:pPr>
            <w:pStyle w:val="14"/>
            <w:tabs>
              <w:tab w:val="left" w:pos="1619"/>
              <w:tab w:val="right" w:leader="dot" w:pos="8852"/>
            </w:tabs>
            <w:rPr>
              <w:rFonts w:asciiTheme="minorEastAsia" w:hAnsiTheme="minorEastAsia" w:eastAsiaTheme="minorEastAsia"/>
            </w:rPr>
          </w:pPr>
        </w:p>
      </w:sdtContent>
    </w:sdt>
    <w:p>
      <w:pPr>
        <w:rPr>
          <w:rFonts w:asciiTheme="minorEastAsia" w:hAnsiTheme="minorEastAsia" w:eastAsiaTheme="minorEastAsia"/>
        </w:rPr>
      </w:pPr>
    </w:p>
    <w:p>
      <w:pPr>
        <w:pStyle w:val="18"/>
        <w:ind w:left="440" w:firstLine="482"/>
        <w:rPr>
          <w:rFonts w:asciiTheme="minorEastAsia" w:hAnsiTheme="minorEastAsia" w:eastAsiaTheme="minorEastAsia"/>
          <w:b/>
          <w:bCs/>
          <w:sz w:val="24"/>
          <w:szCs w:val="24"/>
        </w:rPr>
      </w:pPr>
    </w:p>
    <w:p>
      <w:pPr>
        <w:pStyle w:val="18"/>
        <w:ind w:left="440" w:firstLine="482"/>
        <w:rPr>
          <w:rFonts w:asciiTheme="minorEastAsia" w:hAnsiTheme="minorEastAsia" w:eastAsiaTheme="minorEastAsia"/>
          <w:b/>
          <w:bCs/>
          <w:sz w:val="24"/>
          <w:szCs w:val="24"/>
        </w:rPr>
      </w:pPr>
    </w:p>
    <w:p>
      <w:pPr>
        <w:pStyle w:val="18"/>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pPr>
        <w:pStyle w:val="3"/>
        <w:numPr>
          <w:ilvl w:val="0"/>
          <w:numId w:val="1"/>
        </w:numPr>
        <w:tabs>
          <w:tab w:val="left" w:pos="1607"/>
        </w:tabs>
        <w:spacing w:before="100"/>
        <w:rPr>
          <w:rFonts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pPr>
        <w:pStyle w:val="2"/>
        <w:tabs>
          <w:tab w:val="left" w:pos="0"/>
        </w:tabs>
        <w:adjustRightInd w:val="0"/>
        <w:spacing w:before="0" w:line="360" w:lineRule="auto"/>
        <w:rPr>
          <w:rFonts w:ascii="华文中宋" w:hAnsi="华文中宋" w:eastAsia="华文中宋"/>
        </w:rPr>
      </w:pPr>
      <w:bookmarkStart w:id="2" w:name="_Toc35393797"/>
      <w:bookmarkStart w:id="3" w:name="_Toc28359011"/>
      <w:bookmarkStart w:id="4" w:name="OLE_LINK1"/>
      <w:bookmarkStart w:id="5" w:name="OLE_LINK2"/>
      <w:r>
        <w:rPr>
          <w:rFonts w:hint="eastAsia" w:ascii="华文中宋" w:hAnsi="华文中宋" w:eastAsia="华文中宋"/>
        </w:rPr>
        <w:t>竞争性谈判公告</w:t>
      </w:r>
      <w:bookmarkEnd w:id="2"/>
      <w:bookmarkEnd w:id="3"/>
    </w:p>
    <w:bookmarkEnd w:id="4"/>
    <w:bookmarkEnd w:id="5"/>
    <w:p>
      <w:pPr>
        <w:pStyle w:val="26"/>
      </w:pPr>
    </w:p>
    <w:p>
      <w:pPr>
        <w:pStyle w:val="3"/>
        <w:spacing w:line="360" w:lineRule="auto"/>
        <w:jc w:val="left"/>
        <w:rPr>
          <w:rFonts w:asciiTheme="minorEastAsia" w:hAnsiTheme="minorEastAsia" w:eastAsiaTheme="minorEastAsia" w:cstheme="minorEastAsia"/>
          <w:b w:val="0"/>
          <w:sz w:val="24"/>
          <w:szCs w:val="24"/>
        </w:rPr>
      </w:pPr>
      <w:bookmarkStart w:id="6" w:name="_Toc35393798"/>
      <w:bookmarkStart w:id="7" w:name="_Toc35393629"/>
      <w:bookmarkStart w:id="8" w:name="_Toc28359012"/>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项目编号：项财竞谈</w:t>
      </w:r>
      <w:r>
        <w:rPr>
          <w:rFonts w:asciiTheme="minorEastAsia" w:hAnsiTheme="minorEastAsia" w:eastAsiaTheme="minorEastAsia" w:cstheme="minorEastAsia"/>
          <w:sz w:val="24"/>
          <w:szCs w:val="24"/>
        </w:rPr>
        <w:t>-2024-6</w:t>
      </w:r>
    </w:p>
    <w:p>
      <w:pPr>
        <w:spacing w:line="360" w:lineRule="auto"/>
        <w:ind w:firstLine="480"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项目名称：项城市第二人民医院</w:t>
      </w:r>
      <w:r>
        <w:rPr>
          <w:rFonts w:asciiTheme="minorEastAsia" w:hAnsiTheme="minorEastAsia" w:eastAsiaTheme="minorEastAsia" w:cstheme="minorEastAsia"/>
          <w:sz w:val="24"/>
          <w:szCs w:val="24"/>
        </w:rPr>
        <w:t>1.5T磁共振室屏蔽及配套设备工程项目</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预算金额：750000.00元</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最高限价：750000.00元</w:t>
      </w:r>
    </w:p>
    <w:p>
      <w:pPr>
        <w:pStyle w:val="16"/>
        <w:snapToGrid w:val="0"/>
        <w:spacing w:before="0" w:beforeAutospacing="0" w:after="0" w:afterAutospacing="0" w:line="360" w:lineRule="auto"/>
        <w:ind w:firstLine="480"/>
        <w:jc w:val="both"/>
        <w:rPr>
          <w:color w:val="000000"/>
        </w:rPr>
      </w:pPr>
      <w:r>
        <w:rPr>
          <w:rFonts w:hint="eastAsia"/>
          <w:color w:val="000000"/>
        </w:rPr>
        <w:t>包划分：1个包</w:t>
      </w:r>
    </w:p>
    <w:tbl>
      <w:tblPr>
        <w:tblStyle w:val="20"/>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4635"/>
        <w:gridCol w:w="2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4635"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232"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00"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4635" w:type="dxa"/>
            <w:vAlign w:val="center"/>
          </w:tcPr>
          <w:p>
            <w:pPr>
              <w:adjustRightInd w:val="0"/>
              <w:snapToGrid w:val="0"/>
              <w:spacing w:line="360" w:lineRule="auto"/>
              <w:jc w:val="both"/>
            </w:pPr>
            <w:r>
              <w:rPr>
                <w:rFonts w:hint="eastAsia" w:asciiTheme="minorEastAsia" w:hAnsiTheme="minorEastAsia" w:eastAsiaTheme="minorEastAsia"/>
                <w:sz w:val="24"/>
              </w:rPr>
              <w:t>项城市第二人民医院</w:t>
            </w:r>
            <w:r>
              <w:rPr>
                <w:rFonts w:asciiTheme="minorEastAsia" w:hAnsiTheme="minorEastAsia" w:eastAsiaTheme="minorEastAsia"/>
                <w:sz w:val="24"/>
              </w:rPr>
              <w:t>1.5T磁共振室屏蔽及配套设备工程项目</w:t>
            </w:r>
          </w:p>
        </w:tc>
        <w:tc>
          <w:tcPr>
            <w:tcW w:w="2232" w:type="dxa"/>
            <w:vAlign w:val="center"/>
          </w:tcPr>
          <w:p>
            <w:pPr>
              <w:adjustRightInd w:val="0"/>
              <w:snapToGrid w:val="0"/>
              <w:spacing w:line="360" w:lineRule="auto"/>
              <w:jc w:val="both"/>
            </w:pPr>
            <w:r>
              <w:rPr>
                <w:rFonts w:hint="eastAsia" w:asciiTheme="minorEastAsia" w:hAnsiTheme="minorEastAsia" w:eastAsiaTheme="minorEastAsia" w:cstheme="minorEastAsia"/>
                <w:sz w:val="24"/>
                <w:szCs w:val="24"/>
              </w:rPr>
              <w:t xml:space="preserve">         75</w:t>
            </w:r>
            <w:r>
              <w:t xml:space="preserve"> </w:t>
            </w:r>
          </w:p>
        </w:tc>
      </w:tr>
    </w:tbl>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采购需求：项城市第二人民医院</w:t>
      </w:r>
      <w:r>
        <w:rPr>
          <w:rFonts w:asciiTheme="minorEastAsia" w:hAnsiTheme="minorEastAsia" w:eastAsiaTheme="minorEastAsia" w:cstheme="minorEastAsia"/>
          <w:sz w:val="24"/>
          <w:szCs w:val="24"/>
        </w:rPr>
        <w:t>1.5T磁共振室屏蔽及配套设备工程项目</w:t>
      </w:r>
      <w:r>
        <w:rPr>
          <w:rFonts w:hint="eastAsia" w:asciiTheme="minorEastAsia" w:hAnsiTheme="minorEastAsia" w:eastAsiaTheme="minorEastAsia" w:cstheme="minorEastAsia"/>
          <w:sz w:val="24"/>
          <w:szCs w:val="24"/>
        </w:rPr>
        <w:t>（包括但不限于标的的名称、数量、简要技术需求或服务要求等）</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合同履行期限：40日历天</w:t>
      </w:r>
    </w:p>
    <w:p>
      <w:pPr>
        <w:autoSpaceDE/>
        <w:autoSpaceDN/>
        <w:spacing w:line="360" w:lineRule="auto"/>
        <w:ind w:firstLine="480" w:firstLineChars="200"/>
        <w:rPr>
          <w:sz w:val="24"/>
          <w:szCs w:val="24"/>
          <w:lang w:val="en-US"/>
        </w:rPr>
      </w:pPr>
      <w:bookmarkStart w:id="10" w:name="_Toc35393630"/>
      <w:bookmarkStart w:id="11" w:name="_Toc28359090"/>
      <w:bookmarkStart w:id="12" w:name="_Toc35393799"/>
      <w:bookmarkStart w:id="13" w:name="_Toc28359013"/>
      <w:r>
        <w:rPr>
          <w:rFonts w:hint="eastAsia"/>
          <w:sz w:val="24"/>
          <w:szCs w:val="24"/>
        </w:rPr>
        <w:t>是否接受进口产品：否</w:t>
      </w:r>
    </w:p>
    <w:p>
      <w:pPr>
        <w:autoSpaceDE/>
        <w:autoSpaceDN/>
        <w:spacing w:line="360" w:lineRule="auto"/>
        <w:ind w:firstLine="480" w:firstLineChars="200"/>
        <w:rPr>
          <w:sz w:val="24"/>
          <w:szCs w:val="24"/>
        </w:rPr>
      </w:pPr>
      <w:r>
        <w:rPr>
          <w:rFonts w:hint="eastAsia"/>
          <w:sz w:val="24"/>
          <w:szCs w:val="24"/>
        </w:rPr>
        <w:t>本项目是否接受联合体投标：否</w:t>
      </w:r>
    </w:p>
    <w:p>
      <w:pPr>
        <w:autoSpaceDE/>
        <w:autoSpaceDN/>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是否为只面向中小企业采购：是，采购预留金额（万元）</w:t>
      </w:r>
      <w:r>
        <w:rPr>
          <w:rFonts w:hint="eastAsia" w:asciiTheme="minorEastAsia" w:hAnsiTheme="minorEastAsia" w:eastAsiaTheme="minorEastAsia" w:cstheme="minorEastAsia"/>
          <w:sz w:val="24"/>
          <w:szCs w:val="24"/>
        </w:rPr>
        <w:t>75</w:t>
      </w:r>
      <w:r>
        <w:rPr>
          <w:rFonts w:hint="eastAsia"/>
          <w:sz w:val="24"/>
          <w:szCs w:val="24"/>
          <w:lang w:val="en-US"/>
        </w:rPr>
        <w:t>万元必须提供中小企业声明函。</w:t>
      </w:r>
    </w:p>
    <w:p>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spacing w:line="360" w:lineRule="auto"/>
        <w:ind w:firstLine="540"/>
        <w:rPr>
          <w:rFonts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autoSpaceDE/>
        <w:autoSpaceDN/>
        <w:spacing w:line="360" w:lineRule="auto"/>
        <w:ind w:firstLine="480" w:firstLineChars="20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color w:val="000000" w:themeColor="text1"/>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pPr>
        <w:autoSpaceDE/>
        <w:autoSpaceDN/>
        <w:spacing w:line="360" w:lineRule="auto"/>
        <w:ind w:firstLine="480" w:firstLineChars="200"/>
        <w:rPr>
          <w:sz w:val="24"/>
          <w:szCs w:val="24"/>
          <w:lang w:val="en-US"/>
        </w:rPr>
      </w:pPr>
      <w:r>
        <w:rPr>
          <w:rFonts w:hint="eastAsia"/>
          <w:sz w:val="24"/>
          <w:szCs w:val="24"/>
          <w:lang w:val="en-US"/>
        </w:rPr>
        <w:t>（</w:t>
      </w:r>
      <w:r>
        <w:rPr>
          <w:sz w:val="24"/>
          <w:szCs w:val="24"/>
          <w:lang w:val="en-US"/>
        </w:rPr>
        <w:t>2）有本项目的经营范围。</w:t>
      </w:r>
    </w:p>
    <w:p>
      <w:pPr>
        <w:pStyle w:val="3"/>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23</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26</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pPr>
        <w:autoSpaceDE/>
        <w:autoSpaceDN/>
        <w:spacing w:line="360" w:lineRule="auto"/>
        <w:ind w:firstLine="480" w:firstLineChars="200"/>
        <w:rPr>
          <w:sz w:val="24"/>
          <w:szCs w:val="24"/>
        </w:rPr>
      </w:pPr>
      <w:r>
        <w:rPr>
          <w:rFonts w:hint="eastAsia"/>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pPr>
        <w:pStyle w:val="3"/>
        <w:spacing w:line="360" w:lineRule="auto"/>
        <w:jc w:val="left"/>
        <w:rPr>
          <w:rFonts w:asciiTheme="minorEastAsia" w:hAnsiTheme="minorEastAsia" w:eastAsiaTheme="minorEastAsia" w:cstheme="minorEastAsia"/>
          <w:b w:val="0"/>
          <w:sz w:val="24"/>
          <w:szCs w:val="24"/>
        </w:rPr>
      </w:pPr>
      <w:bookmarkStart w:id="18" w:name="_Toc28359092"/>
      <w:bookmarkStart w:id="19" w:name="_Toc35393801"/>
      <w:bookmarkStart w:id="20" w:name="_Toc35393632"/>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rPr>
        <w:t>2024</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28</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pPr>
        <w:pStyle w:val="3"/>
        <w:spacing w:line="360" w:lineRule="auto"/>
        <w:jc w:val="left"/>
        <w:rPr>
          <w:rFonts w:asciiTheme="minorEastAsia" w:hAnsiTheme="minorEastAsia" w:eastAsiaTheme="minorEastAsia" w:cstheme="minorEastAsia"/>
          <w:b w:val="0"/>
          <w:sz w:val="24"/>
          <w:szCs w:val="24"/>
        </w:rPr>
      </w:pPr>
      <w:bookmarkStart w:id="22" w:name="_Toc35393802"/>
      <w:bookmarkStart w:id="23" w:name="_Toc28359016"/>
      <w:bookmarkStart w:id="24" w:name="_Toc35393633"/>
      <w:bookmarkStart w:id="25" w:name="_Toc2835909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2024</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4</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28</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pPr>
        <w:pStyle w:val="3"/>
        <w:spacing w:line="360" w:lineRule="auto"/>
        <w:jc w:val="left"/>
        <w:rPr>
          <w:rFonts w:asciiTheme="minorEastAsia" w:hAnsiTheme="minorEastAsia" w:eastAsiaTheme="minorEastAsia" w:cstheme="minorEastAsia"/>
          <w:b w:val="0"/>
          <w:sz w:val="24"/>
          <w:szCs w:val="24"/>
        </w:rPr>
      </w:pPr>
      <w:bookmarkStart w:id="26" w:name="_Toc35393634"/>
      <w:bookmarkStart w:id="27" w:name="_Toc35393803"/>
      <w:bookmarkStart w:id="28" w:name="_Toc28359017"/>
      <w:bookmarkStart w:id="29" w:name="_Toc28359094"/>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pPr>
        <w:pStyle w:val="3"/>
        <w:spacing w:line="360" w:lineRule="auto"/>
        <w:jc w:val="left"/>
        <w:rPr>
          <w:rFonts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pPr>
        <w:pStyle w:val="3"/>
        <w:spacing w:line="360" w:lineRule="auto"/>
        <w:jc w:val="left"/>
        <w:rPr>
          <w:rFonts w:asciiTheme="minorEastAsia" w:hAnsiTheme="minorEastAsia" w:eastAsiaTheme="minorEastAsia" w:cstheme="minorEastAsia"/>
          <w:b w:val="0"/>
          <w:sz w:val="24"/>
          <w:szCs w:val="24"/>
        </w:rPr>
      </w:pPr>
      <w:bookmarkStart w:id="32" w:name="_Toc35393636"/>
      <w:bookmarkStart w:id="33" w:name="_Toc28359018"/>
      <w:bookmarkStart w:id="34" w:name="_Toc35393805"/>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pStyle w:val="3"/>
        <w:spacing w:line="360" w:lineRule="auto"/>
        <w:ind w:firstLine="720" w:firstLineChars="300"/>
        <w:jc w:val="left"/>
        <w:rPr>
          <w:rFonts w:asciiTheme="minorEastAsia" w:hAnsiTheme="minorEastAsia" w:eastAsiaTheme="minorEastAsia" w:cstheme="minorEastAsia"/>
          <w:b w:val="0"/>
          <w:sz w:val="24"/>
          <w:szCs w:val="24"/>
        </w:rPr>
      </w:pPr>
      <w:bookmarkStart w:id="36" w:name="_Toc28359019"/>
      <w:bookmarkStart w:id="37" w:name="_Toc28359096"/>
      <w:bookmarkStart w:id="38" w:name="_Toc35393637"/>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pPr>
        <w:pStyle w:val="3"/>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称：项城市第二人民医院　　　　　　　　　　　　</w:t>
      </w:r>
    </w:p>
    <w:p>
      <w:pPr>
        <w:pStyle w:val="3"/>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　河南省项城市秣陵镇项新东路　　　　　　　　　　　</w:t>
      </w:r>
    </w:p>
    <w:p>
      <w:pPr>
        <w:pStyle w:val="3"/>
        <w:spacing w:line="360" w:lineRule="auto"/>
        <w:ind w:firstLine="720" w:firstLineChars="300"/>
        <w:jc w:val="left"/>
        <w:rPr>
          <w:rFonts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项目联系人：蒋亚伟</w:t>
      </w:r>
    </w:p>
    <w:p>
      <w:pPr>
        <w:pStyle w:val="3"/>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asciiTheme="minorEastAsia" w:hAnsiTheme="minorEastAsia" w:eastAsiaTheme="minorEastAsia" w:cstheme="minorEastAsia"/>
          <w:b w:val="0"/>
          <w:sz w:val="24"/>
          <w:szCs w:val="24"/>
        </w:rPr>
        <w:t>19337235067</w:t>
      </w:r>
      <w:r>
        <w:rPr>
          <w:rFonts w:hint="eastAsia" w:asciiTheme="minorEastAsia" w:hAnsiTheme="minorEastAsia" w:eastAsiaTheme="minorEastAsia" w:cstheme="minorEastAsia"/>
          <w:b w:val="0"/>
          <w:sz w:val="24"/>
          <w:szCs w:val="24"/>
        </w:rPr>
        <w:t xml:space="preserve">　　　　　　　　 　　　 </w:t>
      </w:r>
    </w:p>
    <w:p>
      <w:pPr>
        <w:pStyle w:val="3"/>
        <w:spacing w:line="360" w:lineRule="auto"/>
        <w:ind w:firstLine="720" w:firstLineChars="300"/>
        <w:jc w:val="left"/>
        <w:rPr>
          <w:rFonts w:asciiTheme="minorEastAsia" w:hAnsiTheme="minorEastAsia" w:eastAsiaTheme="minorEastAsia" w:cstheme="minorEastAsia"/>
          <w:b w:val="0"/>
          <w:sz w:val="24"/>
          <w:szCs w:val="24"/>
        </w:rPr>
      </w:pPr>
      <w:bookmarkStart w:id="40" w:name="_Toc35393638"/>
      <w:bookmarkStart w:id="41" w:name="_Toc28359020"/>
      <w:bookmarkStart w:id="42" w:name="_Toc28359097"/>
      <w:bookmarkStart w:id="43" w:name="_Toc3539380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郭战伟</w:t>
      </w:r>
    </w:p>
    <w:p>
      <w:pPr>
        <w:spacing w:line="360" w:lineRule="auto"/>
        <w:ind w:firstLine="720" w:firstLineChars="3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w:t>
      </w:r>
    </w:p>
    <w:p>
      <w:pPr>
        <w:spacing w:line="360" w:lineRule="auto"/>
        <w:ind w:firstLine="684"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3.</w:t>
      </w:r>
      <w:r>
        <w:rPr>
          <w:rFonts w:hint="eastAsia" w:asciiTheme="minorEastAsia" w:hAnsiTheme="minorEastAsia" w:eastAsiaTheme="minorEastAsia" w:cstheme="minorEastAsia"/>
          <w:spacing w:val="-6"/>
          <w:sz w:val="24"/>
          <w:szCs w:val="24"/>
          <w:lang w:val="en-US" w:eastAsia="zh-CN"/>
        </w:rPr>
        <w:t>监督单位：项城市财政局</w:t>
      </w:r>
      <w:r>
        <w:rPr>
          <w:rFonts w:hint="eastAsia" w:asciiTheme="minorEastAsia" w:hAnsiTheme="minorEastAsia" w:eastAsiaTheme="minorEastAsia" w:cstheme="minorEastAsia"/>
          <w:spacing w:val="-6"/>
          <w:sz w:val="24"/>
          <w:szCs w:val="24"/>
        </w:rPr>
        <w:t xml:space="preserve">  </w:t>
      </w:r>
    </w:p>
    <w:p>
      <w:pPr>
        <w:spacing w:line="360" w:lineRule="auto"/>
        <w:ind w:firstLine="720" w:firstLineChars="3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联系方式：</w:t>
      </w:r>
      <w:r>
        <w:rPr>
          <w:rFonts w:hint="eastAsia" w:ascii="宋体" w:hAnsi="宋体" w:cs="宋体"/>
          <w:color w:val="000000" w:themeColor="text1"/>
          <w:kern w:val="0"/>
          <w:sz w:val="24"/>
          <w:szCs w:val="22"/>
        </w:rPr>
        <w:t>0394-4315676</w:t>
      </w:r>
    </w:p>
    <w:p>
      <w:pPr>
        <w:pStyle w:val="24"/>
        <w:ind w:firstLine="240"/>
        <w:rPr>
          <w:rFonts w:asciiTheme="minorEastAsia" w:hAnsiTheme="minorEastAsia" w:eastAsiaTheme="minorEastAsia" w:cstheme="minorEastAsia"/>
          <w:sz w:val="24"/>
          <w:szCs w:val="24"/>
          <w:lang w:val="en-US"/>
        </w:rPr>
      </w:pPr>
    </w:p>
    <w:p>
      <w:pPr>
        <w:pStyle w:val="7"/>
        <w:adjustRightInd w:val="0"/>
        <w:snapToGrid w:val="0"/>
        <w:spacing w:line="360" w:lineRule="auto"/>
        <w:ind w:firstLine="480" w:firstLineChars="200"/>
        <w:rPr>
          <w:rFonts w:asciiTheme="minorEastAsia" w:hAnsiTheme="minorEastAsia" w:eastAsiaTheme="minorEastAsia" w:cstheme="minorEastAsia"/>
        </w:rPr>
      </w:pPr>
      <w:bookmarkStart w:id="64" w:name="_GoBack"/>
      <w:bookmarkEnd w:id="64"/>
    </w:p>
    <w:p>
      <w:pPr>
        <w:pStyle w:val="7"/>
        <w:adjustRightInd w:val="0"/>
        <w:snapToGrid w:val="0"/>
        <w:spacing w:line="360" w:lineRule="auto"/>
        <w:ind w:firstLine="1680" w:firstLineChars="7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pPr>
        <w:pStyle w:val="7"/>
        <w:adjustRightInd w:val="0"/>
        <w:snapToGrid w:val="0"/>
        <w:spacing w:line="360" w:lineRule="auto"/>
        <w:ind w:right="480" w:firstLine="2040" w:firstLineChars="8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lang w:val="en-US"/>
        </w:rPr>
        <w:t xml:space="preserve">     2024</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4</w:t>
      </w:r>
      <w:r>
        <w:rPr>
          <w:rFonts w:hint="eastAsia" w:asciiTheme="minorEastAsia" w:hAnsiTheme="minorEastAsia" w:eastAsiaTheme="minorEastAsia" w:cstheme="minorEastAsia"/>
        </w:rPr>
        <w:t>月2</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日</w:t>
      </w:r>
    </w:p>
    <w:p/>
    <w:p/>
    <w:p/>
    <w:p/>
    <w:p/>
    <w:p/>
    <w:p/>
    <w:p/>
    <w:p/>
    <w:p/>
    <w:p/>
    <w:p/>
    <w:p/>
    <w:p/>
    <w:p/>
    <w:p/>
    <w:p/>
    <w:p/>
    <w:p/>
    <w:p>
      <w:pPr>
        <w:pStyle w:val="3"/>
        <w:numPr>
          <w:ilvl w:val="0"/>
          <w:numId w:val="1"/>
        </w:numPr>
        <w:tabs>
          <w:tab w:val="left" w:pos="1607"/>
        </w:tabs>
        <w:spacing w:before="100"/>
        <w:rPr>
          <w:rFonts w:asciiTheme="minorEastAsia" w:hAnsiTheme="minorEastAsia" w:eastAsiaTheme="minorEastAsia"/>
        </w:rPr>
      </w:pPr>
      <w:bookmarkStart w:id="44" w:name="_bookmark1"/>
      <w:bookmarkEnd w:id="44"/>
      <w:bookmarkStart w:id="45" w:name="第二部分__项目内容及施工要求"/>
      <w:bookmarkEnd w:id="45"/>
      <w:r>
        <w:rPr>
          <w:rFonts w:hint="eastAsia" w:asciiTheme="minorEastAsia" w:hAnsiTheme="minorEastAsia" w:eastAsiaTheme="minorEastAsia"/>
          <w:lang w:val="en-US"/>
        </w:rPr>
        <w:t>谈判供应商须知</w:t>
      </w:r>
    </w:p>
    <w:p>
      <w:pPr>
        <w:spacing w:line="360" w:lineRule="auto"/>
        <w:jc w:val="center"/>
        <w:rPr>
          <w:rFonts w:asciiTheme="minorEastAsia" w:hAnsiTheme="minorEastAsia" w:eastAsiaTheme="minorEastAsia"/>
          <w:b/>
          <w:szCs w:val="21"/>
        </w:rPr>
      </w:pPr>
    </w:p>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pPr>
        <w:pStyle w:val="15"/>
        <w:rPr>
          <w:rFonts w:asciiTheme="minorEastAsia" w:hAnsiTheme="minorEastAsia" w:eastAsiaTheme="minorEastAsia"/>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项城市第二人民医院</w:t>
            </w:r>
            <w:r>
              <w:rPr>
                <w:rFonts w:asciiTheme="minorEastAsia" w:hAnsiTheme="minorEastAsia" w:eastAsiaTheme="minorEastAsia"/>
                <w:color w:val="000000"/>
                <w:shd w:val="clear" w:color="auto" w:fill="FFFFFF"/>
              </w:rPr>
              <w:t>1.5T磁共振室屏蔽及配套设备工程项目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项财竞谈</w:t>
            </w:r>
            <w:r>
              <w:rPr>
                <w:rFonts w:asciiTheme="minorEastAsia" w:hAnsiTheme="minorEastAsia" w:eastAsiaTheme="minorEastAsia"/>
                <w:bCs/>
                <w:szCs w:val="21"/>
              </w:rPr>
              <w:t>-2024-6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pPr>
              <w:spacing w:line="360" w:lineRule="auto"/>
              <w:rPr>
                <w:rFonts w:asciiTheme="minorEastAsia" w:hAnsiTheme="minorEastAsia" w:eastAsiaTheme="minorEastAsia"/>
                <w:bCs/>
                <w:szCs w:val="21"/>
              </w:rPr>
            </w:pPr>
            <w:r>
              <w:rPr>
                <w:rFonts w:hint="eastAsia" w:asciiTheme="minorEastAsia" w:hAnsiTheme="minorEastAsia" w:eastAsiaTheme="minorEastAsia"/>
                <w:szCs w:val="21"/>
              </w:rPr>
              <w:t>采购人</w:t>
            </w:r>
            <w:r>
              <w:rPr>
                <w:rFonts w:hint="eastAsia" w:asciiTheme="minorEastAsia" w:hAnsiTheme="minorEastAsia" w:eastAsiaTheme="minorEastAsia"/>
                <w:bCs/>
                <w:szCs w:val="21"/>
              </w:rPr>
              <w:t>：项城市第二人民医院</w:t>
            </w:r>
          </w:p>
          <w:p>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联系人：蒋亚伟</w:t>
            </w:r>
          </w:p>
          <w:p>
            <w:pPr>
              <w:spacing w:line="360" w:lineRule="auto"/>
              <w:rPr>
                <w:bCs/>
                <w:szCs w:val="21"/>
                <w:lang w:val="en-US"/>
              </w:rPr>
            </w:pPr>
            <w:r>
              <w:rPr>
                <w:rFonts w:hint="eastAsia"/>
                <w:bCs/>
                <w:szCs w:val="21"/>
              </w:rPr>
              <w:t>电    话：</w:t>
            </w:r>
            <w:r>
              <w:rPr>
                <w:rFonts w:asciiTheme="minorEastAsia" w:hAnsiTheme="minorEastAsia" w:eastAsiaTheme="minorEastAsia" w:cstheme="minorEastAsia"/>
                <w:sz w:val="24"/>
                <w:szCs w:val="24"/>
              </w:rPr>
              <w:t>19337235067</w:t>
            </w:r>
          </w:p>
          <w:p>
            <w:pPr>
              <w:spacing w:line="360" w:lineRule="auto"/>
              <w:rPr>
                <w:rFonts w:asciiTheme="minorEastAsia" w:hAnsiTheme="minorEastAsia" w:eastAsiaTheme="minorEastAsia"/>
                <w:szCs w:val="21"/>
                <w:lang w:val="en-US"/>
              </w:rPr>
            </w:pPr>
            <w:r>
              <w:rPr>
                <w:rFonts w:hint="eastAsia"/>
                <w:bCs/>
                <w:szCs w:val="21"/>
              </w:rPr>
              <w:t xml:space="preserve">联系地址：周口市东新区光明路和政通路交叉口北100米路东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rPr>
              <w:t>******</w:t>
            </w:r>
          </w:p>
          <w:p>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周口市光明路与政通路交叉口向北</w:t>
            </w:r>
            <w:r>
              <w:rPr>
                <w:rFonts w:asciiTheme="minorEastAsia" w:hAnsiTheme="minorEastAsia" w:eastAsiaTheme="minorEastAsia"/>
                <w:color w:val="000000"/>
                <w:shd w:val="clear" w:color="auto" w:fill="FFFFFF"/>
              </w:rPr>
              <w:t>100米路东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pPr>
              <w:spacing w:line="360" w:lineRule="auto"/>
              <w:rPr>
                <w:rFonts w:asciiTheme="minorEastAsia" w:hAnsiTheme="minorEastAsia" w:eastAsiaTheme="minorEastAsia"/>
                <w:bCs/>
                <w:szCs w:val="21"/>
              </w:rPr>
            </w:pPr>
            <w:r>
              <w:rPr>
                <w:rFonts w:hint="eastAsia"/>
                <w:bCs/>
                <w:szCs w:val="21"/>
                <w:lang w:val="en-US"/>
              </w:rPr>
              <w:t>自筹资金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pPr>
              <w:spacing w:line="360" w:lineRule="auto"/>
              <w:rPr>
                <w:rFonts w:asciiTheme="minorEastAsia" w:hAnsiTheme="minorEastAsia" w:eastAsiaTheme="minorEastAsia"/>
                <w:bCs/>
                <w:szCs w:val="21"/>
              </w:rPr>
            </w:pPr>
            <w:r>
              <w:rPr>
                <w:rFonts w:hint="eastAsia" w:asciiTheme="minorEastAsia" w:hAnsiTheme="minorEastAsia" w:eastAsiaTheme="minorEastAsia" w:cstheme="minorEastAsia"/>
                <w:sz w:val="24"/>
                <w:szCs w:val="24"/>
              </w:rPr>
              <w:t>75万元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40日历天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项城市第二人民医院</w:t>
            </w:r>
            <w:r>
              <w:rPr>
                <w:rFonts w:asciiTheme="minorEastAsia" w:hAnsiTheme="minorEastAsia" w:eastAsiaTheme="minorEastAsia"/>
                <w:color w:val="000000"/>
                <w:shd w:val="clear" w:color="auto" w:fill="FFFFFF"/>
              </w:rPr>
              <w:t>1.5T磁共振室屏蔽及配套设备工程项目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pPr>
              <w:adjustRightInd w:val="0"/>
              <w:snapToGrid w:val="0"/>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pPr>
              <w:spacing w:line="400" w:lineRule="exact"/>
              <w:rPr>
                <w:szCs w:val="21"/>
              </w:rPr>
            </w:pPr>
            <w:r>
              <w:rPr>
                <w:rFonts w:hint="eastAsia"/>
                <w:szCs w:val="21"/>
              </w:rPr>
              <w:t>开标时间：</w:t>
            </w:r>
            <w:r>
              <w:rPr>
                <w:rFonts w:hint="eastAsia" w:asciiTheme="minorEastAsia" w:hAnsiTheme="minorEastAsia" w:eastAsiaTheme="minorEastAsia"/>
                <w:color w:val="000000"/>
                <w:shd w:val="clear" w:color="auto" w:fill="FFFFFF"/>
              </w:rPr>
              <w:t>***</w:t>
            </w:r>
            <w:r>
              <w:rPr>
                <w:szCs w:val="21"/>
              </w:rPr>
              <w:t>年</w:t>
            </w:r>
            <w:r>
              <w:rPr>
                <w:rFonts w:hint="eastAsia" w:asciiTheme="minorEastAsia" w:hAnsiTheme="minorEastAsia" w:eastAsiaTheme="minorEastAsia"/>
                <w:color w:val="000000"/>
                <w:shd w:val="clear" w:color="auto" w:fill="FFFFFF"/>
              </w:rPr>
              <w:t>******</w:t>
            </w:r>
            <w:r>
              <w:rPr>
                <w:szCs w:val="21"/>
              </w:rPr>
              <w:t>月</w:t>
            </w:r>
            <w:r>
              <w:rPr>
                <w:rFonts w:hint="eastAsia" w:asciiTheme="minorEastAsia" w:hAnsiTheme="minorEastAsia" w:eastAsiaTheme="minorEastAsia"/>
                <w:color w:val="000000"/>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pPr>
              <w:spacing w:line="360" w:lineRule="auto"/>
              <w:rPr>
                <w:szCs w:val="21"/>
                <w:lang w:val="en-US"/>
              </w:rPr>
            </w:pPr>
            <w:r>
              <w:rPr>
                <w:rFonts w:hint="eastAsia"/>
                <w:szCs w:val="21"/>
              </w:rPr>
              <w:t>开标地点：周口市公共资源交易中心</w:t>
            </w:r>
            <w:r>
              <w:rPr>
                <w:rFonts w:hint="eastAsia"/>
                <w:szCs w:val="21"/>
                <w:lang w:val="en-US"/>
              </w:rPr>
              <w:t>网</w:t>
            </w:r>
          </w:p>
          <w:p>
            <w:pPr>
              <w:spacing w:line="360" w:lineRule="auto"/>
              <w:rPr>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Cs w:val="21"/>
              </w:rPr>
              <w:t>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lang w:val="en-US"/>
              </w:rPr>
              <w:t>20</w:t>
            </w:r>
          </w:p>
        </w:tc>
        <w:tc>
          <w:tcPr>
            <w:tcW w:w="1418" w:type="dxa"/>
            <w:tcBorders>
              <w:left w:val="single" w:color="auto" w:sz="4" w:space="0"/>
            </w:tcBorders>
            <w:vAlign w:val="center"/>
          </w:tcPr>
          <w:p>
            <w:pPr>
              <w:spacing w:beforeLines="50"/>
              <w:ind w:firstLine="14" w:firstLineChars="6"/>
              <w:jc w:val="center"/>
              <w:rPr>
                <w:rFonts w:asciiTheme="minorEastAsia" w:hAnsiTheme="minorEastAsia" w:eastAsiaTheme="minorEastAsia"/>
                <w:szCs w:val="21"/>
                <w:lang w:val="en-US"/>
              </w:rPr>
            </w:pPr>
            <w:r>
              <w:rPr>
                <w:rFonts w:hint="eastAsia"/>
                <w:b/>
                <w:bCs/>
                <w:sz w:val="24"/>
                <w:lang w:val="en-US"/>
              </w:rPr>
              <w:t>报价</w:t>
            </w:r>
          </w:p>
        </w:tc>
        <w:tc>
          <w:tcPr>
            <w:tcW w:w="6601" w:type="dxa"/>
            <w:vAlign w:val="center"/>
          </w:tcPr>
          <w:p>
            <w:pPr>
              <w:tabs>
                <w:tab w:val="left" w:pos="8640"/>
              </w:tabs>
              <w:rPr>
                <w:rFonts w:asciiTheme="minorEastAsia" w:hAnsiTheme="minorEastAsia" w:eastAsiaTheme="minorEastAsia"/>
                <w:szCs w:val="21"/>
                <w:lang w:val="en-US"/>
              </w:rPr>
            </w:pPr>
            <w:r>
              <w:rPr>
                <w:rFonts w:hint="eastAsia"/>
                <w:b/>
                <w:bCs/>
                <w:sz w:val="24"/>
                <w:lang w:val="en-US"/>
              </w:rPr>
              <w:t>二次报价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21</w:t>
            </w:r>
          </w:p>
        </w:tc>
        <w:tc>
          <w:tcPr>
            <w:tcW w:w="8019" w:type="dxa"/>
            <w:gridSpan w:val="2"/>
            <w:tcBorders>
              <w:left w:val="single" w:color="auto" w:sz="4" w:space="0"/>
            </w:tcBorders>
            <w:vAlign w:val="center"/>
          </w:tcPr>
          <w:p>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bl>
    <w:p>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pPr>
        <w:pStyle w:val="7"/>
        <w:rPr>
          <w:rFonts w:asciiTheme="minorEastAsia" w:hAnsiTheme="minorEastAsia" w:eastAsiaTheme="minorEastAsia"/>
          <w:b/>
          <w:sz w:val="20"/>
        </w:rPr>
      </w:pPr>
      <w:bookmarkStart w:id="46" w:name="第三部分__谈判项目要求"/>
      <w:bookmarkEnd w:id="46"/>
      <w:bookmarkStart w:id="47" w:name="第四部分__谈判供应商须知"/>
      <w:bookmarkEnd w:id="47"/>
      <w:bookmarkStart w:id="48" w:name="_bookmark3"/>
      <w:bookmarkEnd w:id="48"/>
    </w:p>
    <w:p>
      <w:pPr>
        <w:pStyle w:val="4"/>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pPr>
        <w:pStyle w:val="28"/>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pPr>
        <w:pStyle w:val="28"/>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pPr>
        <w:pStyle w:val="28"/>
        <w:numPr>
          <w:ilvl w:val="1"/>
          <w:numId w:val="3"/>
        </w:numPr>
        <w:tabs>
          <w:tab w:val="left" w:pos="819"/>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采购人——项城市第二人民医院</w:t>
      </w:r>
    </w:p>
    <w:p>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pPr>
        <w:pStyle w:val="28"/>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pPr>
        <w:pStyle w:val="28"/>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pPr>
        <w:adjustRightInd w:val="0"/>
        <w:snapToGrid w:val="0"/>
        <w:spacing w:line="360" w:lineRule="auto"/>
        <w:ind w:firstLine="440" w:firstLineChars="200"/>
        <w:rPr>
          <w:rFonts w:asciiTheme="minorEastAsia" w:hAnsiTheme="minorEastAsia" w:eastAsiaTheme="minorEastAsia"/>
        </w:rPr>
        <w:sectPr>
          <w:footerReference r:id="rId5" w:type="default"/>
          <w:pgSz w:w="11850" w:h="16790"/>
          <w:pgMar w:top="1600" w:right="1180" w:bottom="920" w:left="1580" w:header="0" w:footer="721" w:gutter="0"/>
          <w:cols w:space="720" w:num="1"/>
        </w:sectPr>
      </w:pPr>
    </w:p>
    <w:p>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pPr>
        <w:pStyle w:val="28"/>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pPr>
        <w:pStyle w:val="28"/>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pPr>
        <w:pStyle w:val="28"/>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pPr>
        <w:pStyle w:val="28"/>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49" w:name="_Toc466298108"/>
      <w:bookmarkStart w:id="50" w:name="_Toc779"/>
      <w:bookmarkStart w:id="51" w:name="_Toc455867785"/>
      <w:bookmarkStart w:id="52" w:name="_Toc8768"/>
      <w:bookmarkStart w:id="53" w:name="_Toc22864"/>
      <w:bookmarkStart w:id="54" w:name="_Toc31433"/>
      <w:bookmarkStart w:id="55" w:name="_Toc18750"/>
      <w:bookmarkStart w:id="56" w:name="_Toc455080125"/>
      <w:bookmarkStart w:id="57" w:name="_Toc31931"/>
      <w:bookmarkStart w:id="58" w:name="_Toc490667845"/>
      <w:bookmarkStart w:id="59" w:name="_Toc13280"/>
      <w:bookmarkStart w:id="60"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49"/>
      <w:bookmarkEnd w:id="50"/>
      <w:bookmarkEnd w:id="51"/>
      <w:bookmarkEnd w:id="52"/>
      <w:bookmarkEnd w:id="53"/>
      <w:bookmarkEnd w:id="54"/>
      <w:bookmarkEnd w:id="55"/>
      <w:bookmarkEnd w:id="56"/>
      <w:bookmarkEnd w:id="57"/>
      <w:bookmarkEnd w:id="58"/>
      <w:bookmarkEnd w:id="59"/>
      <w:r>
        <w:rPr>
          <w:rFonts w:hint="eastAsia" w:asciiTheme="minorEastAsia" w:hAnsiTheme="minorEastAsia" w:eastAsiaTheme="minorEastAsia"/>
          <w:spacing w:val="-3"/>
          <w:sz w:val="24"/>
        </w:rPr>
        <w:t>。</w:t>
      </w:r>
      <w:bookmarkEnd w:id="60"/>
    </w:p>
    <w:p>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pPr>
        <w:pStyle w:val="28"/>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谈判报价执行政府采购政策，被认定为小微企业最终报价按扣除10%作为评审报价。</w:t>
      </w:r>
    </w:p>
    <w:p>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pPr>
        <w:pStyle w:val="28"/>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pPr>
        <w:pStyle w:val="28"/>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pPr>
        <w:pStyle w:val="28"/>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pPr>
        <w:pStyle w:val="28"/>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rPr>
        <w:t>注：开标后请供应商在计算前等待报价。</w:t>
      </w:r>
    </w:p>
    <w:p>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pPr>
        <w:pStyle w:val="28"/>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pPr>
        <w:pStyle w:val="4"/>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pPr>
        <w:pStyle w:val="28"/>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pPr>
        <w:pStyle w:val="5"/>
        <w:numPr>
          <w:ilvl w:val="0"/>
          <w:numId w:val="18"/>
        </w:numPr>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成交通知</w:t>
      </w:r>
    </w:p>
    <w:p>
      <w:pPr>
        <w:pStyle w:val="28"/>
        <w:tabs>
          <w:tab w:val="left" w:pos="939"/>
        </w:tabs>
        <w:adjustRightInd w:val="0"/>
        <w:snapToGrid w:val="0"/>
        <w:spacing w:line="360" w:lineRule="auto"/>
        <w:ind w:left="440"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1" w:name="_bookmark4"/>
      <w:bookmarkEnd w:id="61"/>
      <w:r>
        <w:rPr>
          <w:rFonts w:hint="eastAsia" w:asciiTheme="minorEastAsia" w:hAnsiTheme="minorEastAsia" w:eastAsiaTheme="minorEastAsia"/>
          <w:sz w:val="24"/>
          <w:lang w:val="en-US"/>
        </w:rPr>
        <w:t>及其澄清文件等，均为签定合同的依据。</w:t>
      </w:r>
    </w:p>
    <w:p>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pPr>
        <w:pStyle w:val="15"/>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pPr>
        <w:pStyle w:val="15"/>
        <w:rPr>
          <w:rFonts w:asciiTheme="minorEastAsia" w:hAnsiTheme="minorEastAsia" w:eastAsiaTheme="minorEastAsia"/>
          <w:bCs/>
          <w:sz w:val="24"/>
          <w:highlight w:val="yellow"/>
        </w:rPr>
      </w:pPr>
    </w:p>
    <w:p>
      <w:pPr>
        <w:pStyle w:val="3"/>
        <w:tabs>
          <w:tab w:val="left" w:pos="1607"/>
        </w:tabs>
        <w:spacing w:before="41"/>
        <w:rPr>
          <w:rFonts w:asciiTheme="minorEastAsia" w:hAnsiTheme="minorEastAsia" w:eastAsiaTheme="minorEastAsia"/>
        </w:rPr>
      </w:pPr>
    </w:p>
    <w:p>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pPr>
        <w:pStyle w:val="7"/>
        <w:spacing w:before="4"/>
        <w:rPr>
          <w:rFonts w:asciiTheme="minorEastAsia" w:hAnsiTheme="minorEastAsia" w:eastAsiaTheme="minorEastAsia"/>
          <w:b/>
          <w:sz w:val="44"/>
        </w:rPr>
      </w:pPr>
    </w:p>
    <w:p>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pPr>
        <w:pStyle w:val="7"/>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六、付款方式：合同签订效后支付</w:t>
      </w:r>
      <w:r>
        <w:rPr>
          <w:rFonts w:asciiTheme="minorEastAsia" w:hAnsiTheme="minorEastAsia" w:eastAsiaTheme="minorEastAsia"/>
        </w:rPr>
        <w:t>30%预付款，安装完成符合装机要求支付65%，质保期</w:t>
      </w:r>
      <w:r>
        <w:rPr>
          <w:rFonts w:hint="eastAsia" w:asciiTheme="minorEastAsia" w:hAnsiTheme="minorEastAsia" w:eastAsiaTheme="minorEastAsia"/>
        </w:rPr>
        <w:t>之</w:t>
      </w:r>
      <w:r>
        <w:rPr>
          <w:rFonts w:asciiTheme="minorEastAsia" w:hAnsiTheme="minorEastAsia" w:eastAsiaTheme="minorEastAsia"/>
        </w:rPr>
        <w:t>后支付5%。</w:t>
      </w:r>
    </w:p>
    <w:p>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pPr>
        <w:pStyle w:val="7"/>
        <w:adjustRightInd w:val="0"/>
        <w:snapToGrid w:val="0"/>
        <w:spacing w:line="360" w:lineRule="auto"/>
        <w:ind w:firstLine="480" w:firstLineChars="200"/>
        <w:rPr>
          <w:rFonts w:asciiTheme="minorEastAsia" w:hAnsiTheme="minorEastAsia" w:eastAsiaTheme="minorEastAsia"/>
        </w:rPr>
      </w:pPr>
      <w:r>
        <w:rPr>
          <w:rFonts w:asciiTheme="minorEastAsia" w:hAnsiTheme="minorEastAsia" w:eastAsiaTheme="minorEastAsia"/>
        </w:rPr>
        <w:t>八</w:t>
      </w:r>
      <w:r>
        <w:rPr>
          <w:rFonts w:hint="eastAsia" w:asciiTheme="minorEastAsia" w:hAnsiTheme="minorEastAsia" w:eastAsiaTheme="minorEastAsia"/>
        </w:rPr>
        <w:t>、项目其他要求：无</w:t>
      </w:r>
    </w:p>
    <w:p>
      <w:pPr>
        <w:pStyle w:val="15"/>
        <w:ind w:firstLine="480" w:firstLineChars="200"/>
        <w:rPr>
          <w:rFonts w:asciiTheme="minorEastAsia" w:hAnsiTheme="minorEastAsia" w:eastAsiaTheme="minorEastAsia"/>
          <w:bCs/>
          <w:sz w:val="24"/>
          <w:highlight w:val="yellow"/>
        </w:rPr>
      </w:pPr>
    </w:p>
    <w:p>
      <w:pPr>
        <w:pStyle w:val="15"/>
        <w:ind w:firstLine="480" w:firstLineChars="200"/>
        <w:rPr>
          <w:rFonts w:asciiTheme="minorEastAsia" w:hAnsiTheme="minorEastAsia" w:eastAsiaTheme="minorEastAsia"/>
          <w:bCs/>
          <w:sz w:val="24"/>
          <w:highlight w:val="yellow"/>
        </w:rPr>
      </w:pPr>
    </w:p>
    <w:p>
      <w:pPr>
        <w:pStyle w:val="15"/>
        <w:ind w:firstLine="480" w:firstLineChars="200"/>
        <w:rPr>
          <w:rFonts w:asciiTheme="minorEastAsia" w:hAnsiTheme="minorEastAsia" w:eastAsiaTheme="minorEastAsia"/>
          <w:bCs/>
          <w:sz w:val="24"/>
          <w:highlight w:val="yellow"/>
        </w:rPr>
      </w:pPr>
    </w:p>
    <w:p>
      <w:pPr>
        <w:pStyle w:val="15"/>
        <w:ind w:firstLine="2249" w:firstLineChars="700"/>
        <w:rPr>
          <w:rFonts w:asciiTheme="minorEastAsia" w:hAnsiTheme="minorEastAsia" w:eastAsiaTheme="minorEastAsia"/>
          <w:b/>
          <w:bCs/>
          <w:sz w:val="32"/>
          <w:szCs w:val="32"/>
          <w:lang w:val="en-US"/>
        </w:rPr>
      </w:pPr>
    </w:p>
    <w:p>
      <w:pPr>
        <w:pStyle w:val="15"/>
        <w:rPr>
          <w:rFonts w:asciiTheme="minorEastAsia" w:hAnsiTheme="minorEastAsia" w:eastAsiaTheme="minorEastAsia"/>
          <w:b/>
          <w:bCs/>
          <w:sz w:val="32"/>
          <w:szCs w:val="32"/>
          <w:lang w:val="en-US"/>
        </w:rPr>
      </w:pPr>
    </w:p>
    <w:p>
      <w:pPr>
        <w:pStyle w:val="15"/>
        <w:ind w:firstLine="2249" w:firstLineChars="700"/>
        <w:rPr>
          <w:rFonts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pPr>
        <w:widowControl/>
        <w:autoSpaceDE/>
        <w:autoSpaceDN/>
        <w:spacing w:line="276" w:lineRule="auto"/>
        <w:jc w:val="both"/>
        <w:textAlignment w:val="center"/>
        <w:rPr>
          <w:b/>
          <w:bCs/>
          <w:sz w:val="24"/>
          <w:szCs w:val="24"/>
          <w:lang w:val="en-US"/>
        </w:rPr>
      </w:pPr>
      <w:r>
        <w:rPr>
          <w:rFonts w:hint="eastAsia"/>
          <w:b/>
          <w:bCs/>
          <w:sz w:val="24"/>
          <w:szCs w:val="24"/>
          <w:lang w:val="en-US"/>
        </w:rPr>
        <w:t>1、项城市第二人民医院Prodiva 1.5T屏蔽室技术参数</w:t>
      </w:r>
    </w:p>
    <w:p>
      <w:pPr>
        <w:widowControl/>
        <w:autoSpaceDE/>
        <w:autoSpaceDN/>
        <w:spacing w:line="276" w:lineRule="auto"/>
        <w:jc w:val="both"/>
        <w:textAlignment w:val="center"/>
        <w:rPr>
          <w:b/>
          <w:bCs/>
          <w:sz w:val="24"/>
          <w:szCs w:val="24"/>
          <w:lang w:val="en-US"/>
        </w:rPr>
      </w:pPr>
    </w:p>
    <w:tbl>
      <w:tblPr>
        <w:tblStyle w:val="19"/>
        <w:tblW w:w="9239" w:type="dxa"/>
        <w:tblInd w:w="0" w:type="dxa"/>
        <w:tblLayout w:type="fixed"/>
        <w:tblCellMar>
          <w:top w:w="0" w:type="dxa"/>
          <w:left w:w="108" w:type="dxa"/>
          <w:bottom w:w="0" w:type="dxa"/>
          <w:right w:w="108" w:type="dxa"/>
        </w:tblCellMar>
      </w:tblPr>
      <w:tblGrid>
        <w:gridCol w:w="1124"/>
        <w:gridCol w:w="2484"/>
        <w:gridCol w:w="5631"/>
      </w:tblGrid>
      <w:tr>
        <w:tblPrEx>
          <w:tblCellMar>
            <w:top w:w="0" w:type="dxa"/>
            <w:left w:w="108" w:type="dxa"/>
            <w:bottom w:w="0" w:type="dxa"/>
            <w:right w:w="108" w:type="dxa"/>
          </w:tblCellMar>
        </w:tblPrEx>
        <w:trPr>
          <w:trHeight w:val="478" w:hRule="atLeast"/>
        </w:trPr>
        <w:tc>
          <w:tcPr>
            <w:tcW w:w="112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textAlignment w:val="center"/>
              <w:rPr>
                <w:b/>
                <w:bCs/>
                <w:sz w:val="24"/>
                <w:szCs w:val="24"/>
                <w:lang w:val="en-US"/>
              </w:rPr>
            </w:pPr>
            <w:r>
              <w:rPr>
                <w:rFonts w:hint="eastAsia"/>
                <w:b/>
                <w:bCs/>
                <w:sz w:val="24"/>
                <w:szCs w:val="24"/>
                <w:lang w:val="en-US"/>
              </w:rPr>
              <w:t>序号</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b/>
                <w:bCs/>
                <w:sz w:val="24"/>
                <w:szCs w:val="24"/>
              </w:rPr>
            </w:pPr>
            <w:r>
              <w:rPr>
                <w:rFonts w:hint="eastAsia"/>
                <w:b/>
                <w:bCs/>
                <w:sz w:val="24"/>
                <w:szCs w:val="24"/>
                <w:lang w:val="en-US"/>
              </w:rPr>
              <w:t xml:space="preserve"> 项  目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b/>
                <w:bCs/>
                <w:sz w:val="24"/>
                <w:szCs w:val="24"/>
              </w:rPr>
            </w:pPr>
            <w:r>
              <w:rPr>
                <w:rFonts w:hint="eastAsia"/>
                <w:b/>
                <w:bCs/>
                <w:sz w:val="24"/>
                <w:szCs w:val="24"/>
                <w:lang w:val="en-US"/>
              </w:rPr>
              <w:t xml:space="preserve"> 描  述 </w:t>
            </w:r>
          </w:p>
        </w:tc>
      </w:tr>
      <w:tr>
        <w:tblPrEx>
          <w:tblCellMar>
            <w:top w:w="0" w:type="dxa"/>
            <w:left w:w="108" w:type="dxa"/>
            <w:bottom w:w="0" w:type="dxa"/>
            <w:right w:w="108" w:type="dxa"/>
          </w:tblCellMar>
        </w:tblPrEx>
        <w:trPr>
          <w:trHeight w:val="688"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RF屏蔽体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0.2#优质紫铜板 </w:t>
            </w:r>
          </w:p>
        </w:tc>
      </w:tr>
      <w:tr>
        <w:tblPrEx>
          <w:tblCellMar>
            <w:top w:w="0" w:type="dxa"/>
            <w:left w:w="108" w:type="dxa"/>
            <w:bottom w:w="0" w:type="dxa"/>
            <w:right w:w="108" w:type="dxa"/>
          </w:tblCellMar>
        </w:tblPrEx>
        <w:trPr>
          <w:trHeight w:val="1039"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木龙骨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防蛀防火处理（五个面）</w:t>
            </w:r>
            <w:r>
              <w:rPr>
                <w:rFonts w:hint="eastAsia"/>
                <w:sz w:val="24"/>
                <w:szCs w:val="24"/>
                <w:lang w:val="en-US"/>
              </w:rPr>
              <w:br w:type="textWrapping"/>
            </w:r>
            <w:r>
              <w:rPr>
                <w:rFonts w:hint="eastAsia"/>
                <w:sz w:val="24"/>
                <w:szCs w:val="24"/>
                <w:lang w:val="en-US"/>
              </w:rPr>
              <w:t xml:space="preserve">框架连接无磁绝缘件以及氩弧焊气体 </w:t>
            </w:r>
          </w:p>
        </w:tc>
      </w:tr>
      <w:tr>
        <w:tblPrEx>
          <w:tblCellMar>
            <w:top w:w="0" w:type="dxa"/>
            <w:left w:w="108" w:type="dxa"/>
            <w:bottom w:w="0" w:type="dxa"/>
            <w:right w:w="108" w:type="dxa"/>
          </w:tblCellMar>
        </w:tblPrEx>
        <w:trPr>
          <w:trHeight w:val="488"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地面绝缘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PVC板 </w:t>
            </w:r>
          </w:p>
        </w:tc>
      </w:tr>
      <w:tr>
        <w:tblPrEx>
          <w:tblCellMar>
            <w:top w:w="0" w:type="dxa"/>
            <w:left w:w="108" w:type="dxa"/>
            <w:bottom w:w="0" w:type="dxa"/>
            <w:right w:w="108" w:type="dxa"/>
          </w:tblCellMar>
        </w:tblPrEx>
        <w:trPr>
          <w:trHeight w:val="1039"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4★</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RF单开屏蔽</w:t>
            </w:r>
            <w:r>
              <w:rPr>
                <w:rStyle w:val="43"/>
                <w:rFonts w:hint="default"/>
                <w:color w:val="auto"/>
                <w:lang w:val="en-US"/>
              </w:rPr>
              <w:t xml:space="preserve">门（含门框）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型材单开门型材 </w:t>
            </w:r>
          </w:p>
        </w:tc>
      </w:tr>
      <w:tr>
        <w:tblPrEx>
          <w:tblCellMar>
            <w:top w:w="0" w:type="dxa"/>
            <w:left w:w="108" w:type="dxa"/>
            <w:bottom w:w="0" w:type="dxa"/>
            <w:right w:w="108" w:type="dxa"/>
          </w:tblCellMar>
        </w:tblPrEx>
        <w:trPr>
          <w:trHeight w:val="2397"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5★</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RF屏蔽窗</w:t>
            </w:r>
          </w:p>
          <w:p>
            <w:pPr>
              <w:widowControl/>
              <w:autoSpaceDE/>
              <w:autoSpaceDN/>
              <w:spacing w:line="276" w:lineRule="auto"/>
              <w:jc w:val="both"/>
              <w:textAlignment w:val="center"/>
              <w:rPr>
                <w:sz w:val="24"/>
                <w:szCs w:val="24"/>
                <w:lang w:val="en-US"/>
              </w:rPr>
            </w:pPr>
            <w:r>
              <w:rPr>
                <w:rFonts w:hint="eastAsia"/>
                <w:sz w:val="24"/>
                <w:szCs w:val="24"/>
                <w:lang w:val="en-US"/>
              </w:rPr>
              <w:t xml:space="preserve">（含窗框）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双层铜网加白玻璃（双层0.5毫米粗的铜网，木方制作框架）</w:t>
            </w:r>
            <w:r>
              <w:rPr>
                <w:rFonts w:hint="eastAsia"/>
                <w:sz w:val="24"/>
                <w:szCs w:val="24"/>
                <w:lang w:val="en-US"/>
              </w:rPr>
              <w:br w:type="textWrapping"/>
            </w:r>
            <w:r>
              <w:rPr>
                <w:rFonts w:hint="eastAsia"/>
                <w:sz w:val="24"/>
                <w:szCs w:val="24"/>
                <w:lang w:val="en-US"/>
              </w:rPr>
              <w:t xml:space="preserve">屏蔽窗双面采用18-20目铜网，铜网表面喷涂亚光黑漆无反射条纹。双面安装钢化玻璃一体化。 </w:t>
            </w:r>
          </w:p>
        </w:tc>
      </w:tr>
      <w:tr>
        <w:tblPrEx>
          <w:tblCellMar>
            <w:top w:w="0" w:type="dxa"/>
            <w:left w:w="108" w:type="dxa"/>
            <w:bottom w:w="0" w:type="dxa"/>
            <w:right w:w="108" w:type="dxa"/>
          </w:tblCellMar>
        </w:tblPrEx>
        <w:trPr>
          <w:trHeight w:val="38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6</w:t>
            </w:r>
          </w:p>
        </w:tc>
        <w:tc>
          <w:tcPr>
            <w:tcW w:w="2484" w:type="dxa"/>
            <w:vMerge w:val="restart"/>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通风波导器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网状结构，无磁材质 </w:t>
            </w:r>
          </w:p>
        </w:tc>
      </w:tr>
      <w:tr>
        <w:tblPrEx>
          <w:tblCellMar>
            <w:top w:w="0" w:type="dxa"/>
            <w:left w:w="108" w:type="dxa"/>
            <w:bottom w:w="0" w:type="dxa"/>
            <w:right w:w="108" w:type="dxa"/>
          </w:tblCellMar>
        </w:tblPrEx>
        <w:trPr>
          <w:trHeight w:val="38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7</w:t>
            </w:r>
          </w:p>
        </w:tc>
        <w:tc>
          <w:tcPr>
            <w:tcW w:w="2484" w:type="dxa"/>
            <w:vMerge w:val="continue"/>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rPr>
                <w:sz w:val="24"/>
                <w:szCs w:val="24"/>
              </w:rPr>
            </w:pP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网状结构，无磁材质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8</w:t>
            </w:r>
          </w:p>
        </w:tc>
        <w:tc>
          <w:tcPr>
            <w:tcW w:w="2484" w:type="dxa"/>
            <w:vMerge w:val="continue"/>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rPr>
                <w:sz w:val="24"/>
                <w:szCs w:val="24"/>
              </w:rPr>
            </w:pP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网状结构，无磁材质 </w:t>
            </w:r>
          </w:p>
        </w:tc>
      </w:tr>
      <w:tr>
        <w:tblPrEx>
          <w:tblCellMar>
            <w:top w:w="0" w:type="dxa"/>
            <w:left w:w="108" w:type="dxa"/>
            <w:bottom w:w="0" w:type="dxa"/>
            <w:right w:w="108" w:type="dxa"/>
          </w:tblCellMar>
        </w:tblPrEx>
        <w:trPr>
          <w:trHeight w:val="438"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9</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传导板框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rFonts w:ascii="Times New Roman" w:hAnsi="Times New Roman" w:cs="Times New Roman"/>
                <w:sz w:val="24"/>
                <w:szCs w:val="24"/>
              </w:rPr>
            </w:pPr>
            <w:r>
              <w:rPr>
                <w:rStyle w:val="43"/>
                <w:rFonts w:hint="default"/>
                <w:color w:val="auto"/>
                <w:lang w:val="en-US"/>
              </w:rPr>
              <w:t xml:space="preserve">2毫米黄铜板 </w:t>
            </w:r>
          </w:p>
        </w:tc>
      </w:tr>
      <w:tr>
        <w:tblPrEx>
          <w:tblCellMar>
            <w:top w:w="0" w:type="dxa"/>
            <w:left w:w="108" w:type="dxa"/>
            <w:bottom w:w="0" w:type="dxa"/>
            <w:right w:w="108" w:type="dxa"/>
          </w:tblCellMar>
        </w:tblPrEx>
        <w:trPr>
          <w:trHeight w:val="1409"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10★</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失超管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159及以上无缝不锈钢管，从磁体连接至室外排放，并做保温处理。具体长度和管径根据机器厂商失超压降计算确定。 </w:t>
            </w:r>
          </w:p>
        </w:tc>
      </w:tr>
      <w:tr>
        <w:tblPrEx>
          <w:tblCellMar>
            <w:top w:w="0" w:type="dxa"/>
            <w:left w:w="108" w:type="dxa"/>
            <w:bottom w:w="0" w:type="dxa"/>
            <w:right w:w="108" w:type="dxa"/>
          </w:tblCellMar>
        </w:tblPrEx>
        <w:trPr>
          <w:trHeight w:val="49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11</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空调风道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无磁双面铝箔挤塑保温复合板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12</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Style w:val="43"/>
                <w:rFonts w:hint="default"/>
                <w:color w:val="auto"/>
                <w:lang w:val="en-US"/>
              </w:rPr>
              <w:t xml:space="preserve">LED直流变压器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铝合金制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13</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直流电源滤波器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将交流电转成直流电供屏蔽室内照明设备用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14</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门控开关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西门子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15</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轴流风机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噪音低于30db </w:t>
            </w:r>
          </w:p>
        </w:tc>
      </w:tr>
      <w:tr>
        <w:tblPrEx>
          <w:tblCellMar>
            <w:top w:w="0" w:type="dxa"/>
            <w:left w:w="108" w:type="dxa"/>
            <w:bottom w:w="0" w:type="dxa"/>
            <w:right w:w="108" w:type="dxa"/>
          </w:tblCellMar>
        </w:tblPrEx>
        <w:trPr>
          <w:trHeight w:val="543"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16</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电源线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国标聚乙烯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17</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铝垫块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国标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18</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吊顶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无</w:t>
            </w:r>
            <w:r>
              <w:rPr>
                <w:rStyle w:val="44"/>
                <w:color w:val="auto"/>
                <w:lang w:val="en-US"/>
              </w:rPr>
              <w:t>磁0.</w:t>
            </w:r>
            <w:r>
              <w:rPr>
                <w:rStyle w:val="45"/>
                <w:rFonts w:hint="default"/>
                <w:color w:val="auto"/>
                <w:lang w:val="en-US"/>
              </w:rPr>
              <w:t xml:space="preserve">8毫米厚铝网孔板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19</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墙面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无磁优质吸音板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20</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木龙骨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防蛀防火处理（四面）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21</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核磁专用平板灯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无磁LED平板灯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22</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Style w:val="43"/>
                <w:rFonts w:hint="default"/>
                <w:color w:val="auto"/>
                <w:lang w:val="en-US"/>
              </w:rPr>
              <w:t xml:space="preserve">LED照明嵌入式筒灯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无磁铝合金筒灯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23</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Style w:val="43"/>
                <w:rFonts w:hint="default"/>
                <w:color w:val="auto"/>
                <w:lang w:val="en-US"/>
              </w:rPr>
              <w:t xml:space="preserve">LED照明嵌入式筒灯架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无磁雷士灯架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24</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电缆槽（桥架）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无磁铝合金制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25</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门、窗装饰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无磁不锈钢制作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26</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传导板小门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无磁生态板制作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27</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散流器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无磁铝合金制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28</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排风扇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专用无声风机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29</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铝合金格栅回风口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无磁铝合金制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30</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电源开关及维修插座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西门子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31</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屏蔽室内地面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抗静</w:t>
            </w:r>
            <w:r>
              <w:rPr>
                <w:rStyle w:val="44"/>
                <w:color w:val="auto"/>
                <w:lang w:val="en-US"/>
              </w:rPr>
              <w:t>电PV</w:t>
            </w:r>
            <w:r>
              <w:rPr>
                <w:rStyle w:val="43"/>
                <w:rFonts w:hint="default"/>
                <w:color w:val="auto"/>
                <w:lang w:val="en-US"/>
              </w:rPr>
              <w:t xml:space="preserve">C塑胶地板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32</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垫层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密度板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33</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桥架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无磁铝制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34</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空调风管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无磁镀锌板加保温棉 </w:t>
            </w:r>
          </w:p>
        </w:tc>
      </w:tr>
      <w:tr>
        <w:tblPrEx>
          <w:tblCellMar>
            <w:top w:w="0" w:type="dxa"/>
            <w:left w:w="108" w:type="dxa"/>
            <w:bottom w:w="0" w:type="dxa"/>
            <w:right w:w="108" w:type="dxa"/>
          </w:tblCellMar>
        </w:tblPrEx>
        <w:trPr>
          <w:trHeight w:val="70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35</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蓝天白云灯箱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无磁标准LED制作 </w:t>
            </w:r>
          </w:p>
        </w:tc>
      </w:tr>
      <w:tr>
        <w:tblPrEx>
          <w:tblCellMar>
            <w:top w:w="0" w:type="dxa"/>
            <w:left w:w="108" w:type="dxa"/>
            <w:bottom w:w="0" w:type="dxa"/>
            <w:right w:w="108" w:type="dxa"/>
          </w:tblCellMar>
        </w:tblPrEx>
        <w:trPr>
          <w:trHeight w:val="36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36</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无磁线圈柜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无磁材料及生态板制作 </w:t>
            </w:r>
          </w:p>
        </w:tc>
      </w:tr>
      <w:tr>
        <w:tblPrEx>
          <w:tblCellMar>
            <w:top w:w="0" w:type="dxa"/>
            <w:left w:w="108" w:type="dxa"/>
            <w:bottom w:w="0" w:type="dxa"/>
            <w:right w:w="108" w:type="dxa"/>
          </w:tblCellMar>
        </w:tblPrEx>
        <w:trPr>
          <w:trHeight w:val="413"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37</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无磁踏步凳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bottom"/>
              <w:rPr>
                <w:sz w:val="24"/>
                <w:szCs w:val="24"/>
              </w:rPr>
            </w:pPr>
            <w:r>
              <w:rPr>
                <w:rFonts w:hint="eastAsia"/>
                <w:sz w:val="24"/>
                <w:szCs w:val="24"/>
                <w:lang w:val="en-US"/>
              </w:rPr>
              <w:t xml:space="preserve">无磁材料及生态板制作 </w:t>
            </w:r>
          </w:p>
        </w:tc>
      </w:tr>
      <w:tr>
        <w:tblPrEx>
          <w:tblCellMar>
            <w:top w:w="0" w:type="dxa"/>
            <w:left w:w="108" w:type="dxa"/>
            <w:bottom w:w="0" w:type="dxa"/>
            <w:right w:w="108" w:type="dxa"/>
          </w:tblCellMar>
        </w:tblPrEx>
        <w:trPr>
          <w:trHeight w:val="620" w:hRule="atLeast"/>
        </w:trPr>
        <w:tc>
          <w:tcPr>
            <w:tcW w:w="1124" w:type="dxa"/>
            <w:tcBorders>
              <w:top w:val="single" w:color="000000" w:sz="8" w:space="0"/>
              <w:left w:val="single" w:color="000000" w:sz="8" w:space="0"/>
              <w:bottom w:val="single" w:color="000000" w:sz="8" w:space="0"/>
              <w:right w:val="single" w:color="000000" w:sz="8" w:space="0"/>
            </w:tcBorders>
            <w:noWrap/>
            <w:vAlign w:val="bottom"/>
          </w:tcPr>
          <w:p>
            <w:pPr>
              <w:widowControl/>
              <w:autoSpaceDE/>
              <w:autoSpaceDN/>
              <w:spacing w:line="276" w:lineRule="auto"/>
              <w:textAlignment w:val="bottom"/>
              <w:rPr>
                <w:sz w:val="24"/>
                <w:szCs w:val="24"/>
                <w:lang w:val="en-US"/>
              </w:rPr>
            </w:pPr>
            <w:r>
              <w:rPr>
                <w:rFonts w:hint="eastAsia"/>
                <w:color w:val="000000"/>
                <w:sz w:val="24"/>
                <w:szCs w:val="24"/>
                <w:lang w:val="en-US"/>
              </w:rPr>
              <w:t>38★</w:t>
            </w:r>
          </w:p>
        </w:tc>
        <w:tc>
          <w:tcPr>
            <w:tcW w:w="248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第三方检测 </w:t>
            </w:r>
          </w:p>
        </w:tc>
        <w:tc>
          <w:tcPr>
            <w:tcW w:w="5631"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sz w:val="24"/>
                <w:szCs w:val="24"/>
              </w:rPr>
            </w:pPr>
            <w:r>
              <w:rPr>
                <w:rFonts w:hint="eastAsia"/>
                <w:sz w:val="24"/>
                <w:szCs w:val="24"/>
                <w:lang w:val="en-US"/>
              </w:rPr>
              <w:t xml:space="preserve">检测合格并出据检测报告 </w:t>
            </w:r>
          </w:p>
        </w:tc>
      </w:tr>
      <w:tr>
        <w:tblPrEx>
          <w:tblCellMar>
            <w:top w:w="0" w:type="dxa"/>
            <w:left w:w="108" w:type="dxa"/>
            <w:bottom w:w="0" w:type="dxa"/>
            <w:right w:w="108" w:type="dxa"/>
          </w:tblCellMar>
        </w:tblPrEx>
        <w:trPr>
          <w:trHeight w:val="640" w:hRule="atLeast"/>
        </w:trPr>
        <w:tc>
          <w:tcPr>
            <w:tcW w:w="1124" w:type="dxa"/>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276" w:lineRule="auto"/>
              <w:jc w:val="both"/>
              <w:textAlignment w:val="center"/>
              <w:rPr>
                <w:color w:val="000000"/>
                <w:sz w:val="24"/>
                <w:szCs w:val="24"/>
                <w:lang w:val="en-US"/>
              </w:rPr>
            </w:pPr>
            <w:r>
              <w:rPr>
                <w:rFonts w:hint="eastAsia"/>
                <w:sz w:val="24"/>
                <w:szCs w:val="24"/>
                <w:lang w:val="en-US"/>
              </w:rPr>
              <w:t>39★</w:t>
            </w:r>
          </w:p>
        </w:tc>
        <w:tc>
          <w:tcPr>
            <w:tcW w:w="8115" w:type="dxa"/>
            <w:gridSpan w:val="2"/>
            <w:tcBorders>
              <w:top w:val="single" w:color="000000" w:sz="8" w:space="0"/>
              <w:left w:val="single" w:color="000000" w:sz="8" w:space="0"/>
              <w:bottom w:val="single" w:color="000000" w:sz="8" w:space="0"/>
              <w:right w:val="single" w:color="auto" w:sz="4" w:space="0"/>
            </w:tcBorders>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完全满足飞利浦1.5T核磁设务使用要求</w:t>
            </w:r>
          </w:p>
        </w:tc>
      </w:tr>
    </w:tbl>
    <w:p>
      <w:pPr>
        <w:widowControl/>
        <w:autoSpaceDE/>
        <w:autoSpaceDN/>
        <w:spacing w:line="276" w:lineRule="auto"/>
        <w:jc w:val="both"/>
        <w:textAlignment w:val="center"/>
        <w:rPr>
          <w:b/>
          <w:bCs/>
          <w:sz w:val="24"/>
          <w:szCs w:val="24"/>
          <w:lang w:val="en-US"/>
        </w:rPr>
      </w:pPr>
    </w:p>
    <w:p>
      <w:pPr>
        <w:widowControl/>
        <w:numPr>
          <w:ilvl w:val="0"/>
          <w:numId w:val="21"/>
        </w:numPr>
        <w:autoSpaceDE/>
        <w:autoSpaceDN/>
        <w:spacing w:line="276" w:lineRule="auto"/>
        <w:jc w:val="both"/>
        <w:textAlignment w:val="center"/>
        <w:rPr>
          <w:b/>
          <w:bCs/>
          <w:sz w:val="24"/>
          <w:szCs w:val="24"/>
          <w:lang w:val="en-US"/>
        </w:rPr>
      </w:pPr>
      <w:r>
        <w:rPr>
          <w:rFonts w:hint="eastAsia"/>
          <w:b/>
          <w:bCs/>
          <w:sz w:val="24"/>
          <w:szCs w:val="24"/>
          <w:lang w:val="en-US"/>
        </w:rPr>
        <w:t>项城市第二人民医院Prodiva 1.5T屏蔽室恒温恒湿精密空调叁数</w:t>
      </w:r>
    </w:p>
    <w:tbl>
      <w:tblPr>
        <w:tblStyle w:val="19"/>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8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 xml:space="preserve">序号   </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招标参数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1</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设备配件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1.1★</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 xml:space="preserve">单机双系统一台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2</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设备功能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2.1★</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 xml:space="preserve">总制冷量≥40KW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 xml:space="preserve">2.2★ </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风量≥11000立方米每小时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2.3</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上送风，前回风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2.4.1★</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机房温度21℃±1℃相对湿度30-80±1℅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2.4.2</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温度控制范围：16-28℃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2.5</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必须具备有电加热器≥9KW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3、</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过滤器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noWrap/>
          </w:tcPr>
          <w:p>
            <w:pPr>
              <w:widowControl/>
              <w:autoSpaceDE/>
              <w:autoSpaceDN/>
              <w:spacing w:line="276" w:lineRule="auto"/>
              <w:jc w:val="both"/>
              <w:textAlignment w:val="center"/>
              <w:rPr>
                <w:sz w:val="24"/>
                <w:szCs w:val="24"/>
                <w:lang w:val="en-US"/>
              </w:rPr>
            </w:pPr>
            <w:r>
              <w:rPr>
                <w:rFonts w:hint="eastAsia"/>
                <w:sz w:val="24"/>
                <w:szCs w:val="24"/>
                <w:lang w:val="en-US"/>
              </w:rPr>
              <w:t>3.1★</w:t>
            </w:r>
          </w:p>
        </w:tc>
        <w:tc>
          <w:tcPr>
            <w:tcW w:w="8289" w:type="dxa"/>
            <w:noWrap/>
          </w:tcPr>
          <w:p>
            <w:pPr>
              <w:widowControl/>
              <w:autoSpaceDE/>
              <w:autoSpaceDN/>
              <w:spacing w:line="276" w:lineRule="auto"/>
              <w:jc w:val="both"/>
              <w:textAlignment w:val="center"/>
              <w:rPr>
                <w:sz w:val="24"/>
                <w:szCs w:val="24"/>
                <w:lang w:val="en-US"/>
              </w:rPr>
            </w:pPr>
            <w:r>
              <w:rPr>
                <w:rFonts w:hint="eastAsia"/>
                <w:sz w:val="24"/>
                <w:szCs w:val="24"/>
                <w:lang w:val="en-US"/>
              </w:rPr>
              <w:t>有效过滤大于10微米的灰尘颗粒起到净化机房的作用</w:t>
            </w:r>
          </w:p>
        </w:tc>
      </w:tr>
    </w:tbl>
    <w:tbl>
      <w:tblPr>
        <w:tblStyle w:val="19"/>
        <w:tblpPr w:leftFromText="181" w:rightFromText="181" w:vertAnchor="text" w:horzAnchor="margin" w:tblpXSpec="center"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8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527" w:type="pc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4★</w:t>
            </w:r>
          </w:p>
        </w:tc>
        <w:tc>
          <w:tcPr>
            <w:tcW w:w="4472" w:type="pc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完全满足飞利浦1.5T核磁设备机房使用要求</w:t>
            </w:r>
          </w:p>
        </w:tc>
      </w:tr>
    </w:tbl>
    <w:p>
      <w:pPr>
        <w:widowControl/>
        <w:autoSpaceDE/>
        <w:autoSpaceDN/>
        <w:spacing w:line="276" w:lineRule="auto"/>
        <w:jc w:val="both"/>
        <w:textAlignment w:val="center"/>
        <w:rPr>
          <w:b/>
          <w:bCs/>
          <w:sz w:val="24"/>
          <w:szCs w:val="24"/>
          <w:lang w:val="en-US"/>
        </w:rPr>
      </w:pPr>
    </w:p>
    <w:p>
      <w:pPr>
        <w:widowControl/>
        <w:numPr>
          <w:ilvl w:val="0"/>
          <w:numId w:val="21"/>
        </w:numPr>
        <w:autoSpaceDE/>
        <w:autoSpaceDN/>
        <w:spacing w:line="276" w:lineRule="auto"/>
        <w:jc w:val="both"/>
        <w:textAlignment w:val="center"/>
        <w:rPr>
          <w:b/>
          <w:bCs/>
          <w:sz w:val="24"/>
          <w:szCs w:val="24"/>
          <w:lang w:val="en-US"/>
        </w:rPr>
      </w:pPr>
      <w:r>
        <w:rPr>
          <w:rFonts w:hint="eastAsia"/>
          <w:b/>
          <w:bCs/>
          <w:sz w:val="24"/>
          <w:szCs w:val="24"/>
          <w:lang w:val="en-US"/>
        </w:rPr>
        <w:t>项城市第二人民医院Prodiva 1.5T屏蔽室专用UPS无间断电源系统叁数</w:t>
      </w:r>
    </w:p>
    <w:tbl>
      <w:tblPr>
        <w:tblStyle w:val="19"/>
        <w:tblpPr w:leftFromText="181" w:rightFromText="181" w:vertAnchor="text" w:horzAnchor="margin" w:tblpXSpec="center"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617"/>
        <w:gridCol w:w="1760"/>
        <w:gridCol w:w="3011"/>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trPr>
        <w:tc>
          <w:tcPr>
            <w:tcW w:w="1763" w:type="pct"/>
            <w:gridSpan w:val="3"/>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电源容量★</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160KVA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818"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重量KG</w:t>
            </w:r>
          </w:p>
        </w:tc>
        <w:tc>
          <w:tcPr>
            <w:tcW w:w="944" w:type="pc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785</w:t>
            </w:r>
          </w:p>
        </w:tc>
        <w:tc>
          <w:tcPr>
            <w:tcW w:w="1618" w:type="pc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 xml:space="preserve">  尺寸深宽高mm</w:t>
            </w:r>
          </w:p>
        </w:tc>
        <w:tc>
          <w:tcPr>
            <w:tcW w:w="1618" w:type="pc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1051*705*1376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restar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输入</w:t>
            </w: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额定电压</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3*380VAC/400VAC(3PH+N)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电压范围</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285VAC~475VAC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频 率</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50HZ/60HZ±10%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restar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输出</w:t>
            </w: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额定电压</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3*380VAC/400VAC(3PH+N)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电压稳定性</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稳态：±1% 瞬态：±5%（负载变化100-0-100%）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频率范围（同步校正）</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50HZ/60HZ同步±1%  市电丢失0.1Hz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频率跟踪速率</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±1Hz/s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频率稳定度</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50HZ±0.5%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输出波形</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正弦波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总谐波</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＜2%（线性负载）＜5%（非线性负载）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相位不平衡度</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120°±1%（平衡负载）120°±2%（50%不平衡负载）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动态调整时间</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＜60毫米恢复至额定值90%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过载能力</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110%~150%10min~1min;150%＞160%1min~200ms;200ms for＞160%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峰值系数</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3:1（最大）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负载功率因数范围</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0.6~1（容性或感性）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@100%不平衡输出电压@100%不平衡负载</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restar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时间</w:t>
            </w: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★交流到直流</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★逆变稳态响应时间</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 xml:space="preserve"> 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波 形</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纯正弦波 线性负载 ＜3%，非线性负载＜3%，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restar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旁路</w:t>
            </w: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类型</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静态开关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电压</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3*380VAC/400VAC(3PH+N)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频率</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50/60HZ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控制方法</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微处理器控制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转换时间</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过载能力</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150%-180-% 1h-30s;180%＞200%30s~200ms for 大于200%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切换到旁路</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过载160%，立即切换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切回逆变</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报警清除后自动切换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restar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警告</w:t>
            </w: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电池模式</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每4秒响一次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电池电量低</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每1秒响一次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过载</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每0.5秒响一次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487" w:type="pct"/>
            <w:vMerge w:val="restar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环境</w:t>
            </w: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湿度</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0-95%RH@0-45℃（不结露）海拔 ≥4000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IP等级</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IP21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487" w:type="pct"/>
            <w:vMerge w:val="restar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控制  管理★</w:t>
            </w: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RS-232/可选USB</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Windows2000/2003/XP/Vista/2008Windows7/8,Linux,Unix,andMAC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487" w:type="pct"/>
            <w:vMerge w:val="continue"/>
            <w:noWrap/>
            <w:vAlign w:val="center"/>
          </w:tcPr>
          <w:p>
            <w:pPr>
              <w:widowControl/>
              <w:autoSpaceDE/>
              <w:autoSpaceDN/>
              <w:spacing w:line="276" w:lineRule="auto"/>
              <w:jc w:val="both"/>
              <w:textAlignment w:val="center"/>
              <w:rPr>
                <w:sz w:val="24"/>
                <w:szCs w:val="24"/>
                <w:lang w:val="en-US"/>
              </w:rPr>
            </w:pP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可选SNMP</w:t>
            </w: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电池管理支持SNMP管理与网络管理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487" w:type="pc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保护</w:t>
            </w:r>
          </w:p>
        </w:tc>
        <w:tc>
          <w:tcPr>
            <w:tcW w:w="127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输出带隔离变压器，保证负载和公用电网全隔离</w:t>
            </w:r>
          </w:p>
          <w:p>
            <w:pPr>
              <w:widowControl/>
              <w:autoSpaceDE/>
              <w:autoSpaceDN/>
              <w:spacing w:line="276" w:lineRule="auto"/>
              <w:jc w:val="both"/>
              <w:textAlignment w:val="center"/>
              <w:rPr>
                <w:sz w:val="24"/>
                <w:szCs w:val="24"/>
                <w:lang w:val="en-US"/>
              </w:rPr>
            </w:pPr>
          </w:p>
        </w:tc>
        <w:tc>
          <w:tcPr>
            <w:tcW w:w="3236" w:type="pct"/>
            <w:gridSpan w:val="2"/>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配有输出隔离变压器，UPS负载中不会出现直流成份，能有效的保护计算机，网络和通讯设备的开关电源不为直流电流损坏，同时，对于非线性负载，也可表现出优良的动态性能，提高了UPS的带载能力，且负载兼容性好。输出变压器的隔离作用，使负载减小谐波电流及市电的直接干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487" w:type="pct"/>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对应设备要求★</w:t>
            </w:r>
          </w:p>
        </w:tc>
        <w:tc>
          <w:tcPr>
            <w:tcW w:w="4512" w:type="pct"/>
            <w:gridSpan w:val="4"/>
            <w:noWrap/>
            <w:vAlign w:val="center"/>
          </w:tcPr>
          <w:p>
            <w:pPr>
              <w:widowControl/>
              <w:autoSpaceDE/>
              <w:autoSpaceDN/>
              <w:spacing w:line="276" w:lineRule="auto"/>
              <w:jc w:val="both"/>
              <w:textAlignment w:val="center"/>
              <w:rPr>
                <w:sz w:val="24"/>
                <w:szCs w:val="24"/>
                <w:lang w:val="en-US"/>
              </w:rPr>
            </w:pPr>
            <w:r>
              <w:rPr>
                <w:rFonts w:hint="eastAsia"/>
                <w:sz w:val="24"/>
                <w:szCs w:val="24"/>
                <w:lang w:val="en-US"/>
              </w:rPr>
              <w:t>完全满足飞利浦1.5T核磁设备使用要求</w:t>
            </w:r>
          </w:p>
        </w:tc>
      </w:tr>
    </w:tbl>
    <w:p>
      <w:pPr>
        <w:widowControl/>
        <w:autoSpaceDE/>
        <w:autoSpaceDN/>
        <w:spacing w:line="276" w:lineRule="auto"/>
        <w:jc w:val="both"/>
        <w:textAlignment w:val="center"/>
        <w:rPr>
          <w:sz w:val="24"/>
          <w:szCs w:val="24"/>
          <w:lang w:val="en-US"/>
        </w:rPr>
      </w:pPr>
    </w:p>
    <w:p>
      <w:pPr>
        <w:widowControl/>
        <w:autoSpaceDE/>
        <w:autoSpaceDN/>
        <w:spacing w:line="360" w:lineRule="auto"/>
        <w:jc w:val="center"/>
        <w:textAlignment w:val="center"/>
        <w:rPr>
          <w:b/>
          <w:bCs/>
          <w:sz w:val="24"/>
          <w:szCs w:val="24"/>
          <w:lang w:val="en-US"/>
        </w:rPr>
      </w:pPr>
      <w:r>
        <w:rPr>
          <w:rFonts w:hint="eastAsia"/>
          <w:b/>
          <w:bCs/>
          <w:sz w:val="24"/>
          <w:szCs w:val="24"/>
          <w:lang w:val="en-US"/>
        </w:rPr>
        <w:t>项城市第二人民医院MRI超导室屏蔽及配套设备一览表</w:t>
      </w:r>
    </w:p>
    <w:tbl>
      <w:tblPr>
        <w:tblStyle w:val="19"/>
        <w:tblW w:w="9721" w:type="dxa"/>
        <w:tblInd w:w="93" w:type="dxa"/>
        <w:tblLayout w:type="autofit"/>
        <w:tblCellMar>
          <w:top w:w="0" w:type="dxa"/>
          <w:left w:w="108" w:type="dxa"/>
          <w:bottom w:w="0" w:type="dxa"/>
          <w:right w:w="108" w:type="dxa"/>
        </w:tblCellMar>
      </w:tblPr>
      <w:tblGrid>
        <w:gridCol w:w="903"/>
        <w:gridCol w:w="664"/>
        <w:gridCol w:w="1028"/>
        <w:gridCol w:w="2498"/>
        <w:gridCol w:w="835"/>
        <w:gridCol w:w="921"/>
        <w:gridCol w:w="2872"/>
      </w:tblGrid>
      <w:tr>
        <w:tblPrEx>
          <w:tblCellMar>
            <w:top w:w="0" w:type="dxa"/>
            <w:left w:w="108" w:type="dxa"/>
            <w:bottom w:w="0" w:type="dxa"/>
            <w:right w:w="108" w:type="dxa"/>
          </w:tblCellMar>
        </w:tblPrEx>
        <w:trPr>
          <w:trHeight w:val="645" w:hRule="atLeast"/>
        </w:trPr>
        <w:tc>
          <w:tcPr>
            <w:tcW w:w="903" w:type="dxa"/>
            <w:tcBorders>
              <w:top w:val="single" w:color="000000" w:sz="8" w:space="0"/>
              <w:left w:val="single" w:color="000000" w:sz="8" w:space="0"/>
              <w:bottom w:val="single" w:color="000000" w:sz="8" w:space="0"/>
              <w:right w:val="single" w:color="000000" w:sz="8" w:space="0"/>
            </w:tcBorders>
            <w:vAlign w:val="bottom"/>
          </w:tcPr>
          <w:p>
            <w:pPr>
              <w:widowControl/>
              <w:autoSpaceDE/>
              <w:autoSpaceDN/>
              <w:jc w:val="both"/>
              <w:textAlignment w:val="center"/>
              <w:rPr>
                <w:sz w:val="24"/>
                <w:szCs w:val="24"/>
                <w:lang w:val="en-US"/>
              </w:rPr>
            </w:pPr>
            <w:r>
              <w:rPr>
                <w:rFonts w:hint="eastAsia"/>
                <w:sz w:val="24"/>
                <w:szCs w:val="24"/>
                <w:lang w:val="en-US"/>
              </w:rPr>
              <w:t xml:space="preserve"> 序号 </w:t>
            </w:r>
          </w:p>
        </w:tc>
        <w:tc>
          <w:tcPr>
            <w:tcW w:w="1690" w:type="dxa"/>
            <w:gridSpan w:val="2"/>
            <w:tcBorders>
              <w:top w:val="single" w:color="000000" w:sz="8" w:space="0"/>
              <w:left w:val="single" w:color="000000" w:sz="8" w:space="0"/>
              <w:bottom w:val="single" w:color="000000" w:sz="8" w:space="0"/>
              <w:right w:val="single" w:color="000000" w:sz="8" w:space="0"/>
            </w:tcBorders>
            <w:vAlign w:val="bottom"/>
          </w:tcPr>
          <w:p>
            <w:pPr>
              <w:widowControl/>
              <w:autoSpaceDE/>
              <w:autoSpaceDN/>
              <w:jc w:val="both"/>
              <w:textAlignment w:val="center"/>
              <w:rPr>
                <w:sz w:val="24"/>
                <w:szCs w:val="24"/>
                <w:lang w:val="en-US"/>
              </w:rPr>
            </w:pPr>
            <w:r>
              <w:rPr>
                <w:rFonts w:hint="eastAsia"/>
                <w:sz w:val="24"/>
                <w:szCs w:val="24"/>
                <w:lang w:val="en-US"/>
              </w:rPr>
              <w:t xml:space="preserve"> 产品名称 </w:t>
            </w:r>
          </w:p>
        </w:tc>
        <w:tc>
          <w:tcPr>
            <w:tcW w:w="2496" w:type="dxa"/>
            <w:tcBorders>
              <w:top w:val="single" w:color="000000" w:sz="8" w:space="0"/>
              <w:left w:val="single" w:color="000000" w:sz="8" w:space="0"/>
              <w:bottom w:val="single" w:color="000000" w:sz="8" w:space="0"/>
              <w:right w:val="single" w:color="000000" w:sz="8" w:space="0"/>
            </w:tcBorders>
            <w:vAlign w:val="bottom"/>
          </w:tcPr>
          <w:p>
            <w:pPr>
              <w:widowControl/>
              <w:autoSpaceDE/>
              <w:autoSpaceDN/>
              <w:jc w:val="both"/>
              <w:textAlignment w:val="center"/>
              <w:rPr>
                <w:sz w:val="24"/>
                <w:szCs w:val="24"/>
                <w:lang w:val="en-US"/>
              </w:rPr>
            </w:pPr>
            <w:r>
              <w:rPr>
                <w:rFonts w:hint="eastAsia"/>
                <w:sz w:val="24"/>
                <w:szCs w:val="24"/>
                <w:lang w:val="en-US"/>
              </w:rPr>
              <w:t xml:space="preserve">规格型号 </w:t>
            </w:r>
          </w:p>
        </w:tc>
        <w:tc>
          <w:tcPr>
            <w:tcW w:w="834" w:type="dxa"/>
            <w:tcBorders>
              <w:top w:val="single" w:color="000000" w:sz="8" w:space="0"/>
              <w:left w:val="single" w:color="000000" w:sz="8" w:space="0"/>
              <w:bottom w:val="single" w:color="000000" w:sz="8" w:space="0"/>
              <w:right w:val="single" w:color="000000" w:sz="8" w:space="0"/>
            </w:tcBorders>
            <w:vAlign w:val="bottom"/>
          </w:tcPr>
          <w:p>
            <w:pPr>
              <w:widowControl/>
              <w:autoSpaceDE/>
              <w:autoSpaceDN/>
              <w:jc w:val="both"/>
              <w:textAlignment w:val="center"/>
              <w:rPr>
                <w:sz w:val="24"/>
                <w:szCs w:val="24"/>
                <w:lang w:val="en-US"/>
              </w:rPr>
            </w:pPr>
            <w:r>
              <w:rPr>
                <w:rFonts w:hint="eastAsia"/>
                <w:sz w:val="24"/>
                <w:szCs w:val="24"/>
                <w:lang w:val="en-US"/>
              </w:rPr>
              <w:t xml:space="preserve">计量单位 </w:t>
            </w:r>
          </w:p>
        </w:tc>
        <w:tc>
          <w:tcPr>
            <w:tcW w:w="920" w:type="dxa"/>
            <w:tcBorders>
              <w:top w:val="single" w:color="000000" w:sz="8" w:space="0"/>
              <w:left w:val="single" w:color="000000" w:sz="8" w:space="0"/>
              <w:bottom w:val="single" w:color="000000" w:sz="8" w:space="0"/>
              <w:right w:val="single" w:color="000000" w:sz="8" w:space="0"/>
            </w:tcBorders>
            <w:vAlign w:val="bottom"/>
          </w:tcPr>
          <w:p>
            <w:pPr>
              <w:widowControl/>
              <w:autoSpaceDE/>
              <w:autoSpaceDN/>
              <w:jc w:val="both"/>
              <w:textAlignment w:val="center"/>
              <w:rPr>
                <w:sz w:val="24"/>
                <w:szCs w:val="24"/>
                <w:lang w:val="en-US"/>
              </w:rPr>
            </w:pPr>
            <w:r>
              <w:rPr>
                <w:rFonts w:hint="eastAsia"/>
                <w:sz w:val="24"/>
                <w:szCs w:val="24"/>
                <w:lang w:val="en-US"/>
              </w:rPr>
              <w:t xml:space="preserve"> 数量 </w:t>
            </w:r>
          </w:p>
        </w:tc>
        <w:tc>
          <w:tcPr>
            <w:tcW w:w="1857" w:type="dxa"/>
            <w:tcBorders>
              <w:top w:val="single" w:color="000000" w:sz="8" w:space="0"/>
              <w:left w:val="single" w:color="000000" w:sz="8" w:space="0"/>
              <w:bottom w:val="single" w:color="000000" w:sz="8" w:space="0"/>
              <w:right w:val="single" w:color="000000" w:sz="8" w:space="0"/>
            </w:tcBorders>
            <w:vAlign w:val="bottom"/>
          </w:tcPr>
          <w:p>
            <w:pPr>
              <w:widowControl/>
              <w:autoSpaceDE/>
              <w:autoSpaceDN/>
              <w:jc w:val="both"/>
              <w:textAlignment w:val="center"/>
              <w:rPr>
                <w:sz w:val="24"/>
                <w:szCs w:val="24"/>
                <w:lang w:val="en-US"/>
              </w:rPr>
            </w:pPr>
            <w:r>
              <w:rPr>
                <w:rFonts w:hint="eastAsia"/>
                <w:sz w:val="24"/>
                <w:szCs w:val="24"/>
                <w:lang w:val="en-US"/>
              </w:rPr>
              <w:t xml:space="preserve"> 单项造价 </w:t>
            </w:r>
          </w:p>
        </w:tc>
      </w:tr>
      <w:tr>
        <w:tblPrEx>
          <w:tblCellMar>
            <w:top w:w="0" w:type="dxa"/>
            <w:left w:w="108" w:type="dxa"/>
            <w:bottom w:w="0" w:type="dxa"/>
            <w:right w:w="108" w:type="dxa"/>
          </w:tblCellMar>
        </w:tblPrEx>
        <w:trPr>
          <w:trHeight w:val="645" w:hRule="atLeast"/>
        </w:trPr>
        <w:tc>
          <w:tcPr>
            <w:tcW w:w="903" w:type="dxa"/>
            <w:tcBorders>
              <w:top w:val="single" w:color="000000" w:sz="8" w:space="0"/>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 1.00 </w:t>
            </w:r>
          </w:p>
        </w:tc>
        <w:tc>
          <w:tcPr>
            <w:tcW w:w="1690" w:type="dxa"/>
            <w:gridSpan w:val="2"/>
            <w:tcBorders>
              <w:top w:val="single" w:color="000000" w:sz="8" w:space="0"/>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核磁机房屏蔽 </w:t>
            </w:r>
          </w:p>
        </w:tc>
        <w:tc>
          <w:tcPr>
            <w:tcW w:w="2496" w:type="dxa"/>
            <w:tcBorders>
              <w:top w:val="single" w:color="000000" w:sz="8" w:space="0"/>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DZ-F1.5T-3 </w:t>
            </w:r>
          </w:p>
        </w:tc>
        <w:tc>
          <w:tcPr>
            <w:tcW w:w="834" w:type="dxa"/>
            <w:tcBorders>
              <w:top w:val="single" w:color="000000" w:sz="8" w:space="0"/>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套 </w:t>
            </w:r>
          </w:p>
        </w:tc>
        <w:tc>
          <w:tcPr>
            <w:tcW w:w="920" w:type="dxa"/>
            <w:tcBorders>
              <w:top w:val="single" w:color="000000" w:sz="8" w:space="0"/>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 1.00 </w:t>
            </w:r>
          </w:p>
        </w:tc>
        <w:tc>
          <w:tcPr>
            <w:tcW w:w="1857" w:type="dxa"/>
            <w:tcBorders>
              <w:top w:val="single" w:color="000000" w:sz="8" w:space="0"/>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sz w:val="24"/>
                <w:szCs w:val="24"/>
                <w:lang w:val="en-US"/>
              </w:rPr>
              <w:t xml:space="preserve"> </w:t>
            </w:r>
          </w:p>
        </w:tc>
      </w:tr>
      <w:tr>
        <w:tblPrEx>
          <w:tblCellMar>
            <w:top w:w="0" w:type="dxa"/>
            <w:left w:w="108" w:type="dxa"/>
            <w:bottom w:w="0" w:type="dxa"/>
            <w:right w:w="108" w:type="dxa"/>
          </w:tblCellMar>
        </w:tblPrEx>
        <w:trPr>
          <w:trHeight w:val="870" w:hRule="atLeast"/>
        </w:trPr>
        <w:tc>
          <w:tcPr>
            <w:tcW w:w="903"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 2.00 </w:t>
            </w:r>
          </w:p>
        </w:tc>
        <w:tc>
          <w:tcPr>
            <w:tcW w:w="1690" w:type="dxa"/>
            <w:gridSpan w:val="2"/>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核磁机房专用恒温恒湿精密空调系统 </w:t>
            </w:r>
          </w:p>
        </w:tc>
        <w:tc>
          <w:tcPr>
            <w:tcW w:w="2496"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SAU/F362 </w:t>
            </w:r>
          </w:p>
        </w:tc>
        <w:tc>
          <w:tcPr>
            <w:tcW w:w="834"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套 </w:t>
            </w:r>
          </w:p>
        </w:tc>
        <w:tc>
          <w:tcPr>
            <w:tcW w:w="920"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 1.00 </w:t>
            </w:r>
          </w:p>
        </w:tc>
        <w:tc>
          <w:tcPr>
            <w:tcW w:w="1857"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 </w:t>
            </w:r>
          </w:p>
        </w:tc>
      </w:tr>
      <w:tr>
        <w:tblPrEx>
          <w:tblCellMar>
            <w:top w:w="0" w:type="dxa"/>
            <w:left w:w="108" w:type="dxa"/>
            <w:bottom w:w="0" w:type="dxa"/>
            <w:right w:w="108" w:type="dxa"/>
          </w:tblCellMar>
        </w:tblPrEx>
        <w:trPr>
          <w:trHeight w:val="870" w:hRule="atLeast"/>
        </w:trPr>
        <w:tc>
          <w:tcPr>
            <w:tcW w:w="903"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 3.00 </w:t>
            </w:r>
          </w:p>
        </w:tc>
        <w:tc>
          <w:tcPr>
            <w:tcW w:w="1690" w:type="dxa"/>
            <w:gridSpan w:val="2"/>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核磁机房专用UPS无间断电源系统 </w:t>
            </w:r>
          </w:p>
        </w:tc>
        <w:tc>
          <w:tcPr>
            <w:tcW w:w="2496"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IBM-160KVA/12V120AH </w:t>
            </w:r>
          </w:p>
        </w:tc>
        <w:tc>
          <w:tcPr>
            <w:tcW w:w="834"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套 </w:t>
            </w:r>
          </w:p>
        </w:tc>
        <w:tc>
          <w:tcPr>
            <w:tcW w:w="920"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 1.00 </w:t>
            </w:r>
          </w:p>
        </w:tc>
        <w:tc>
          <w:tcPr>
            <w:tcW w:w="1857" w:type="dxa"/>
            <w:tcBorders>
              <w:top w:val="nil"/>
              <w:left w:val="single" w:color="000000" w:sz="8" w:space="0"/>
              <w:bottom w:val="single" w:color="000000" w:sz="8" w:space="0"/>
              <w:right w:val="single" w:color="000000" w:sz="8" w:space="0"/>
            </w:tcBorders>
            <w:vAlign w:val="center"/>
          </w:tcPr>
          <w:p>
            <w:pPr>
              <w:widowControl/>
              <w:autoSpaceDE/>
              <w:autoSpaceDN/>
              <w:jc w:val="both"/>
              <w:textAlignment w:val="center"/>
              <w:rPr>
                <w:sz w:val="24"/>
                <w:szCs w:val="24"/>
                <w:lang w:val="en-US"/>
              </w:rPr>
            </w:pPr>
            <w:r>
              <w:rPr>
                <w:rFonts w:hint="eastAsia"/>
                <w:sz w:val="24"/>
                <w:szCs w:val="24"/>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9712" w:type="dxa"/>
            <w:gridSpan w:val="7"/>
            <w:tcBorders>
              <w:bottom w:val="single" w:color="auto" w:sz="4" w:space="0"/>
            </w:tcBorders>
            <w:vAlign w:val="center"/>
          </w:tcPr>
          <w:p>
            <w:pPr>
              <w:widowControl/>
              <w:autoSpaceDE/>
              <w:autoSpaceDN/>
              <w:jc w:val="both"/>
              <w:textAlignment w:val="center"/>
              <w:rPr>
                <w:sz w:val="24"/>
                <w:szCs w:val="24"/>
                <w:lang w:val="en-US"/>
              </w:rPr>
            </w:pPr>
            <w:r>
              <w:rPr>
                <w:rFonts w:hint="eastAsia"/>
                <w:sz w:val="24"/>
                <w:szCs w:val="24"/>
                <w:lang w:val="en-US"/>
              </w:rPr>
              <w:t>总造价大写人民币：</w:t>
            </w:r>
            <w:r>
              <w:rPr>
                <w:sz w:val="24"/>
                <w:szCs w:val="24"/>
                <w:lang w:val="en-US"/>
              </w:rPr>
              <w:pict>
                <v:line id="直接连接符 1" o:spid="_x0000_s5123" o:spt="20" style="position:absolute;left:0pt;margin-left:99.75pt;margin-top:23.75pt;height:0pt;width:0.05pt;z-index:251660288;mso-width-relative:page;mso-height-relative:page;" coordsize="21600,21600" o:allowincell="f" o:gfxdata="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b2pGfWAAAACQEAAA8AAAAAAAAAAQAgAAAAIgAAAGRycy9kb3ducmV2LnhtbFBLAQIUABQAAAAI&#10;AIdO4kCpKmT77wEAAOADAAAOAAAAAAAAAAEAIAAAACUBAABkcnMvZTJvRG9jLnhtbFBLBQYAAAAA&#10;BgAGAFkBAACGBQAAAAA=&#10;">
                  <v:path arrowok="t"/>
                  <v:fill focussize="0,0"/>
                  <v:stroke/>
                  <v:imagedata o:title=""/>
                  <o:lock v:ext="edit"/>
                </v:line>
              </w:pict>
            </w:r>
            <w:r>
              <w:rPr>
                <w:rFonts w:hint="eastAsia"/>
                <w:sz w:val="24"/>
                <w:szCs w:val="24"/>
                <w:lang w:val="en-US"/>
              </w:rPr>
              <w:t xml:space="preserve"> </w:t>
            </w:r>
          </w:p>
        </w:tc>
      </w:tr>
      <w:tr>
        <w:tblPrEx>
          <w:tblCellMar>
            <w:top w:w="0" w:type="dxa"/>
            <w:left w:w="108" w:type="dxa"/>
            <w:bottom w:w="0" w:type="dxa"/>
            <w:right w:w="108" w:type="dxa"/>
          </w:tblCellMar>
        </w:tblPrEx>
        <w:trPr>
          <w:trHeight w:val="549" w:hRule="atLeast"/>
        </w:trPr>
        <w:tc>
          <w:tcPr>
            <w:tcW w:w="1566" w:type="dxa"/>
            <w:gridSpan w:val="2"/>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360" w:lineRule="auto"/>
              <w:jc w:val="both"/>
              <w:textAlignment w:val="center"/>
              <w:rPr>
                <w:sz w:val="24"/>
                <w:szCs w:val="24"/>
                <w:lang w:val="en-US"/>
              </w:rPr>
            </w:pPr>
            <w:r>
              <w:rPr>
                <w:rFonts w:hint="eastAsia"/>
                <w:sz w:val="24"/>
                <w:szCs w:val="24"/>
                <w:lang w:val="en-US"/>
              </w:rPr>
              <w:t xml:space="preserve">备注 </w:t>
            </w:r>
          </w:p>
        </w:tc>
        <w:tc>
          <w:tcPr>
            <w:tcW w:w="8146" w:type="dxa"/>
            <w:gridSpan w:val="5"/>
            <w:tcBorders>
              <w:top w:val="single" w:color="000000" w:sz="8" w:space="0"/>
              <w:left w:val="single" w:color="000000" w:sz="8" w:space="0"/>
              <w:bottom w:val="single" w:color="000000" w:sz="8" w:space="0"/>
              <w:right w:val="single" w:color="auto" w:sz="4" w:space="0"/>
            </w:tcBorders>
            <w:noWrap/>
            <w:vAlign w:val="center"/>
          </w:tcPr>
          <w:p>
            <w:pPr>
              <w:widowControl/>
              <w:autoSpaceDE/>
              <w:autoSpaceDN/>
              <w:spacing w:line="360" w:lineRule="auto"/>
              <w:jc w:val="both"/>
              <w:textAlignment w:val="center"/>
              <w:rPr>
                <w:sz w:val="24"/>
                <w:szCs w:val="24"/>
                <w:lang w:val="en-US"/>
              </w:rPr>
            </w:pPr>
            <w:r>
              <w:rPr>
                <w:rFonts w:hint="eastAsia"/>
                <w:sz w:val="24"/>
                <w:szCs w:val="24"/>
                <w:lang w:val="en-US"/>
              </w:rPr>
              <w:t>以上价格为总包价，含安装，运输。</w:t>
            </w:r>
          </w:p>
        </w:tc>
      </w:tr>
      <w:tr>
        <w:tblPrEx>
          <w:tblCellMar>
            <w:top w:w="0" w:type="dxa"/>
            <w:left w:w="108" w:type="dxa"/>
            <w:bottom w:w="0" w:type="dxa"/>
            <w:right w:w="108" w:type="dxa"/>
          </w:tblCellMar>
        </w:tblPrEx>
        <w:trPr>
          <w:trHeight w:val="646" w:hRule="atLeast"/>
        </w:trPr>
        <w:tc>
          <w:tcPr>
            <w:tcW w:w="1566" w:type="dxa"/>
            <w:gridSpan w:val="2"/>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360" w:lineRule="auto"/>
              <w:jc w:val="both"/>
              <w:textAlignment w:val="center"/>
              <w:rPr>
                <w:sz w:val="24"/>
                <w:szCs w:val="24"/>
                <w:lang w:val="en-US"/>
              </w:rPr>
            </w:pPr>
            <w:r>
              <w:rPr>
                <w:rFonts w:hint="eastAsia"/>
                <w:sz w:val="24"/>
                <w:szCs w:val="24"/>
                <w:lang w:val="en-US"/>
              </w:rPr>
              <w:t xml:space="preserve">质保期限 </w:t>
            </w:r>
          </w:p>
        </w:tc>
        <w:tc>
          <w:tcPr>
            <w:tcW w:w="8146" w:type="dxa"/>
            <w:gridSpan w:val="5"/>
            <w:tcBorders>
              <w:top w:val="single" w:color="000000" w:sz="8" w:space="0"/>
              <w:left w:val="single" w:color="000000" w:sz="8" w:space="0"/>
              <w:bottom w:val="single" w:color="000000" w:sz="8" w:space="0"/>
              <w:right w:val="single" w:color="auto" w:sz="4" w:space="0"/>
            </w:tcBorders>
            <w:vAlign w:val="center"/>
          </w:tcPr>
          <w:p>
            <w:pPr>
              <w:widowControl/>
              <w:autoSpaceDE/>
              <w:autoSpaceDN/>
              <w:spacing w:line="360" w:lineRule="auto"/>
              <w:jc w:val="both"/>
              <w:textAlignment w:val="center"/>
              <w:rPr>
                <w:sz w:val="24"/>
                <w:szCs w:val="24"/>
                <w:lang w:val="en-US"/>
              </w:rPr>
            </w:pPr>
            <w:r>
              <w:rPr>
                <w:rFonts w:hint="eastAsia"/>
                <w:sz w:val="24"/>
                <w:szCs w:val="24"/>
                <w:lang w:val="en-US"/>
              </w:rPr>
              <w:t>以上产品实行三包：产品质保一年，终身维修。</w:t>
            </w:r>
          </w:p>
        </w:tc>
      </w:tr>
      <w:tr>
        <w:tblPrEx>
          <w:tblCellMar>
            <w:top w:w="0" w:type="dxa"/>
            <w:left w:w="108" w:type="dxa"/>
            <w:bottom w:w="0" w:type="dxa"/>
            <w:right w:w="108" w:type="dxa"/>
          </w:tblCellMar>
        </w:tblPrEx>
        <w:trPr>
          <w:trHeight w:val="748" w:hRule="atLeast"/>
        </w:trPr>
        <w:tc>
          <w:tcPr>
            <w:tcW w:w="1566" w:type="dxa"/>
            <w:gridSpan w:val="2"/>
            <w:tcBorders>
              <w:top w:val="single" w:color="000000" w:sz="8" w:space="0"/>
              <w:left w:val="single" w:color="000000" w:sz="8" w:space="0"/>
              <w:bottom w:val="single" w:color="000000" w:sz="8" w:space="0"/>
              <w:right w:val="single" w:color="000000" w:sz="8" w:space="0"/>
            </w:tcBorders>
            <w:noWrap/>
            <w:vAlign w:val="center"/>
          </w:tcPr>
          <w:p>
            <w:pPr>
              <w:widowControl/>
              <w:autoSpaceDE/>
              <w:autoSpaceDN/>
              <w:spacing w:line="360" w:lineRule="auto"/>
              <w:jc w:val="both"/>
              <w:textAlignment w:val="center"/>
              <w:rPr>
                <w:sz w:val="24"/>
                <w:szCs w:val="24"/>
                <w:lang w:val="en-US"/>
              </w:rPr>
            </w:pPr>
            <w:r>
              <w:rPr>
                <w:rFonts w:hint="eastAsia"/>
                <w:sz w:val="24"/>
                <w:szCs w:val="24"/>
                <w:lang w:val="en-US"/>
              </w:rPr>
              <w:t xml:space="preserve">技术要求： </w:t>
            </w:r>
          </w:p>
        </w:tc>
        <w:tc>
          <w:tcPr>
            <w:tcW w:w="8146" w:type="dxa"/>
            <w:gridSpan w:val="5"/>
            <w:tcBorders>
              <w:top w:val="single" w:color="000000" w:sz="8" w:space="0"/>
              <w:left w:val="single" w:color="000000" w:sz="8" w:space="0"/>
              <w:bottom w:val="single" w:color="000000" w:sz="8" w:space="0"/>
              <w:right w:val="single" w:color="auto" w:sz="4" w:space="0"/>
            </w:tcBorders>
            <w:vAlign w:val="center"/>
          </w:tcPr>
          <w:p>
            <w:pPr>
              <w:widowControl/>
              <w:autoSpaceDE/>
              <w:autoSpaceDN/>
              <w:spacing w:line="360" w:lineRule="auto"/>
              <w:jc w:val="both"/>
              <w:textAlignment w:val="center"/>
              <w:rPr>
                <w:sz w:val="24"/>
                <w:szCs w:val="24"/>
                <w:lang w:val="en-US"/>
              </w:rPr>
            </w:pPr>
            <w:r>
              <w:rPr>
                <w:rFonts w:hint="eastAsia"/>
                <w:sz w:val="24"/>
                <w:szCs w:val="24"/>
                <w:lang w:val="en-US"/>
              </w:rPr>
              <w:t>完全满足飞利浦1.5T核磁机房使用要求。</w:t>
            </w:r>
          </w:p>
        </w:tc>
      </w:tr>
    </w:tbl>
    <w:p>
      <w:pPr>
        <w:widowControl/>
        <w:autoSpaceDE/>
        <w:autoSpaceDN/>
        <w:spacing w:line="340" w:lineRule="exact"/>
        <w:jc w:val="both"/>
        <w:textAlignment w:val="center"/>
        <w:rPr>
          <w:b/>
          <w:bCs/>
          <w:sz w:val="24"/>
          <w:szCs w:val="24"/>
          <w:lang w:val="en-US"/>
        </w:rPr>
      </w:pPr>
    </w:p>
    <w:p>
      <w:pPr>
        <w:tabs>
          <w:tab w:val="left" w:pos="303"/>
        </w:tabs>
        <w:rPr>
          <w:lang w:val="en-US"/>
        </w:rPr>
        <w:sectPr>
          <w:pgSz w:w="11850" w:h="16790"/>
          <w:pgMar w:top="1560" w:right="1180" w:bottom="920" w:left="1580" w:header="0" w:footer="721" w:gutter="0"/>
          <w:cols w:space="720" w:num="1"/>
        </w:sectPr>
      </w:pPr>
      <w:r>
        <w:rPr>
          <w:lang w:val="en-US" w:bidi="ar-SA"/>
        </w:rPr>
        <w:drawing>
          <wp:anchor distT="0" distB="0" distL="114300" distR="114300" simplePos="0" relativeHeight="251662336" behindDoc="1" locked="0" layoutInCell="1" allowOverlap="1">
            <wp:simplePos x="0" y="0"/>
            <wp:positionH relativeFrom="column">
              <wp:posOffset>-41275</wp:posOffset>
            </wp:positionH>
            <wp:positionV relativeFrom="paragraph">
              <wp:posOffset>709295</wp:posOffset>
            </wp:positionV>
            <wp:extent cx="6105525" cy="4295775"/>
            <wp:effectExtent l="19050" t="0" r="9525" b="0"/>
            <wp:wrapNone/>
            <wp:docPr id="2" name="图片 1" descr="D:\我的文档\Documents\WeChat Files\wxid_8y9sg0dxw51922\FileStorage\Temp\6aed1965990011247338540563bf5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D:\我的文档\Documents\WeChat Files\wxid_8y9sg0dxw51922\FileStorage\Temp\6aed1965990011247338540563bf5f2.png"/>
                    <pic:cNvPicPr>
                      <a:picLocks noChangeAspect="1" noChangeArrowheads="1"/>
                    </pic:cNvPicPr>
                  </pic:nvPicPr>
                  <pic:blipFill>
                    <a:blip r:embed="rId7"/>
                    <a:srcRect/>
                    <a:stretch>
                      <a:fillRect/>
                    </a:stretch>
                  </pic:blipFill>
                  <pic:spPr>
                    <a:xfrm>
                      <a:off x="0" y="0"/>
                      <a:ext cx="6105525" cy="4295775"/>
                    </a:xfrm>
                    <a:prstGeom prst="rect">
                      <a:avLst/>
                    </a:prstGeom>
                    <a:noFill/>
                    <a:ln w="9525">
                      <a:noFill/>
                      <a:miter lim="800000"/>
                      <a:headEnd/>
                      <a:tailEnd/>
                    </a:ln>
                  </pic:spPr>
                </pic:pic>
              </a:graphicData>
            </a:graphic>
          </wp:anchor>
        </w:drawing>
      </w:r>
    </w:p>
    <w:p>
      <w:pPr>
        <w:pStyle w:val="3"/>
        <w:tabs>
          <w:tab w:val="left" w:pos="1607"/>
        </w:tabs>
        <w:spacing w:before="41"/>
        <w:rPr>
          <w:rFonts w:asciiTheme="minorEastAsia" w:hAnsiTheme="minorEastAsia" w:eastAsiaTheme="minorEastAsia"/>
        </w:rPr>
      </w:pPr>
      <w:bookmarkStart w:id="62" w:name="第五部分__谈判文件格式"/>
      <w:bookmarkEnd w:id="62"/>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pPr>
        <w:pStyle w:val="7"/>
        <w:rPr>
          <w:rFonts w:asciiTheme="minorEastAsia" w:hAnsiTheme="minorEastAsia" w:eastAsiaTheme="minorEastAsia"/>
          <w:b/>
          <w:sz w:val="20"/>
        </w:rPr>
      </w:pPr>
    </w:p>
    <w:p>
      <w:pPr>
        <w:rPr>
          <w:rFonts w:asciiTheme="minorEastAsia" w:hAnsiTheme="minorEastAsia" w:eastAsiaTheme="minorEastAsia"/>
          <w:sz w:val="19"/>
        </w:rPr>
        <w:sectPr>
          <w:pgSz w:w="11850" w:h="16790"/>
          <w:pgMar w:top="1400" w:right="1180" w:bottom="920" w:left="1580" w:header="0" w:footer="721" w:gutter="0"/>
          <w:cols w:space="720" w:num="1"/>
        </w:sectPr>
      </w:pPr>
    </w:p>
    <w:p>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根据贵方谈判邀请函，签字代表（全名、职务）经正式授权并代表谈判供应商（谈判供应商名称、地址）提交下述文件，并对之负法律责任。</w:t>
      </w:r>
    </w:p>
    <w:p>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、所附谈判响应报价表中规定的应提供和交付的货物总价为人民币，即（大写）。</w:t>
      </w:r>
    </w:p>
    <w:p>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pPr>
        <w:adjustRightInd w:val="0"/>
        <w:spacing w:line="360" w:lineRule="auto"/>
        <w:rPr>
          <w:rFonts w:asciiTheme="minorEastAsia" w:hAnsiTheme="minorEastAsia" w:eastAsiaTheme="minorEastAsia"/>
          <w:sz w:val="24"/>
          <w:szCs w:val="24"/>
        </w:rPr>
      </w:pPr>
    </w:p>
    <w:p>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pPr>
        <w:adjustRightInd w:val="0"/>
        <w:rPr>
          <w:rFonts w:asciiTheme="minorEastAsia" w:hAnsiTheme="minorEastAsia" w:eastAsiaTheme="minorEastAsia"/>
          <w:sz w:val="28"/>
          <w:szCs w:val="28"/>
        </w:rPr>
      </w:pPr>
    </w:p>
    <w:p>
      <w:pPr>
        <w:adjustRightInd w:val="0"/>
        <w:rPr>
          <w:rFonts w:asciiTheme="minorEastAsia" w:hAnsiTheme="minorEastAsia" w:eastAsiaTheme="minorEastAsia"/>
        </w:rPr>
        <w:sectPr>
          <w:pgSz w:w="12240" w:h="15840"/>
          <w:pgMar w:top="1440" w:right="1797" w:bottom="1440" w:left="1797" w:header="720" w:footer="720" w:gutter="0"/>
          <w:cols w:space="720" w:num="1"/>
        </w:sectPr>
      </w:pPr>
    </w:p>
    <w:p>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pPr>
        <w:adjustRightInd w:val="0"/>
        <w:spacing w:line="240" w:lineRule="exact"/>
        <w:jc w:val="center"/>
        <w:rPr>
          <w:rFonts w:asciiTheme="minorEastAsia" w:hAnsiTheme="minorEastAsia" w:eastAsiaTheme="minorEastAsia"/>
          <w:sz w:val="36"/>
          <w:szCs w:val="36"/>
        </w:rPr>
      </w:pPr>
    </w:p>
    <w:p>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pPr>
              <w:adjustRightInd w:val="0"/>
              <w:rPr>
                <w:rFonts w:asciiTheme="minorEastAsia" w:hAnsiTheme="minorEastAsia" w:eastAsiaTheme="minorEastAsia"/>
                <w:sz w:val="28"/>
                <w:szCs w:val="28"/>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rPr>
            </w:pPr>
          </w:p>
        </w:tc>
      </w:tr>
      <w:tr>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pPr>
              <w:adjustRightInd w:val="0"/>
              <w:rPr>
                <w:rFonts w:asciiTheme="minorEastAsia" w:hAnsiTheme="minorEastAsia" w:eastAsiaTheme="minorEastAsia"/>
                <w:sz w:val="28"/>
                <w:szCs w:val="28"/>
              </w:rPr>
            </w:pPr>
          </w:p>
        </w:tc>
      </w:tr>
      <w:tr>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pPr>
        <w:adjustRightInd w:val="0"/>
        <w:rPr>
          <w:rFonts w:asciiTheme="minorEastAsia" w:hAnsiTheme="minorEastAsia" w:eastAsiaTheme="minorEastAsia"/>
          <w:sz w:val="24"/>
          <w:szCs w:val="24"/>
        </w:rPr>
      </w:pPr>
    </w:p>
    <w:p>
      <w:pPr>
        <w:adjustRightInd w:val="0"/>
        <w:rPr>
          <w:rFonts w:asciiTheme="minorEastAsia" w:hAnsiTheme="minorEastAsia" w:eastAsiaTheme="minorEastAsia"/>
          <w:sz w:val="24"/>
          <w:szCs w:val="24"/>
        </w:rPr>
      </w:pPr>
    </w:p>
    <w:p>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pPr>
        <w:adjustRightInd w:val="0"/>
        <w:rPr>
          <w:rFonts w:cs="仿宋_GB2312" w:asciiTheme="minorEastAsia" w:hAnsiTheme="minorEastAsia" w:eastAsiaTheme="minorEastAsia"/>
          <w:b/>
          <w:bCs/>
          <w:sz w:val="24"/>
          <w:szCs w:val="24"/>
        </w:rPr>
      </w:pPr>
    </w:p>
    <w:p>
      <w:pPr>
        <w:adjustRightInd w:val="0"/>
        <w:rPr>
          <w:rFonts w:cs="仿宋_GB2312" w:asciiTheme="minorEastAsia" w:hAnsiTheme="minorEastAsia" w:eastAsiaTheme="minorEastAsia"/>
          <w:b/>
          <w:bCs/>
          <w:sz w:val="24"/>
          <w:szCs w:val="24"/>
        </w:rPr>
      </w:pPr>
    </w:p>
    <w:p>
      <w:pPr>
        <w:adjustRightInd w:val="0"/>
        <w:rPr>
          <w:rFonts w:cs="仿宋_GB2312" w:asciiTheme="minorEastAsia" w:hAnsiTheme="minorEastAsia" w:eastAsiaTheme="minorEastAsia"/>
          <w:b/>
          <w:bCs/>
          <w:sz w:val="24"/>
          <w:szCs w:val="24"/>
        </w:rPr>
      </w:pPr>
    </w:p>
    <w:p>
      <w:pPr>
        <w:adjustRightInd w:val="0"/>
        <w:rPr>
          <w:rFonts w:cs="仿宋_GB2312" w:asciiTheme="minorEastAsia" w:hAnsiTheme="minorEastAsia" w:eastAsiaTheme="minorEastAsia"/>
          <w:b/>
          <w:bCs/>
          <w:sz w:val="24"/>
          <w:szCs w:val="24"/>
        </w:rPr>
      </w:pPr>
    </w:p>
    <w:p>
      <w:pPr>
        <w:adjustRightInd w:val="0"/>
        <w:rPr>
          <w:rFonts w:asciiTheme="minorEastAsia" w:hAnsiTheme="minorEastAsia" w:eastAsiaTheme="minorEastAsia"/>
        </w:rPr>
        <w:sectPr>
          <w:pgSz w:w="11907" w:h="16840"/>
          <w:pgMar w:top="1440" w:right="1797" w:bottom="1440" w:left="1797" w:header="720" w:footer="720" w:gutter="0"/>
          <w:cols w:space="720" w:num="1"/>
        </w:sectPr>
      </w:pPr>
    </w:p>
    <w:p>
      <w:pPr>
        <w:adjustRightInd w:val="0"/>
        <w:rPr>
          <w:rFonts w:cs="黑体" w:asciiTheme="minorEastAsia" w:hAnsiTheme="minorEastAsia" w:eastAsiaTheme="minorEastAsia"/>
          <w:b/>
          <w:bCs/>
          <w:sz w:val="28"/>
          <w:szCs w:val="28"/>
        </w:rPr>
      </w:pPr>
    </w:p>
    <w:p>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pPr>
        <w:adjustRightInd w:val="0"/>
        <w:jc w:val="center"/>
        <w:rPr>
          <w:rFonts w:cs="仿宋_GB2312" w:asciiTheme="minorEastAsia" w:hAnsiTheme="minorEastAsia" w:eastAsiaTheme="minorEastAsia"/>
          <w:sz w:val="24"/>
          <w:szCs w:val="24"/>
        </w:rPr>
      </w:pPr>
    </w:p>
    <w:p>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r>
      <w:tr>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r>
      <w:tr>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r>
      <w:tr>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r>
      <w:tr>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r>
      <w:tr>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p>
        </w:tc>
      </w:tr>
      <w:tr>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pPr>
        <w:adjustRightInd w:val="0"/>
        <w:jc w:val="center"/>
        <w:rPr>
          <w:rFonts w:cs="仿宋_GB2312" w:asciiTheme="minorEastAsia" w:hAnsiTheme="minorEastAsia" w:eastAsiaTheme="minorEastAsia"/>
          <w:sz w:val="24"/>
          <w:szCs w:val="24"/>
        </w:rPr>
      </w:pPr>
    </w:p>
    <w:p>
      <w:pPr>
        <w:adjustRightInd w:val="0"/>
        <w:jc w:val="center"/>
        <w:rPr>
          <w:rFonts w:cs="仿宋_GB2312" w:asciiTheme="minorEastAsia" w:hAnsiTheme="minorEastAsia" w:eastAsiaTheme="minorEastAsia"/>
          <w:sz w:val="24"/>
          <w:szCs w:val="24"/>
        </w:rPr>
      </w:pPr>
    </w:p>
    <w:p>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pPr>
        <w:adjustRightInd w:val="0"/>
        <w:jc w:val="center"/>
        <w:rPr>
          <w:rFonts w:cs="仿宋_GB2312" w:asciiTheme="minorEastAsia" w:hAnsiTheme="minorEastAsia" w:eastAsiaTheme="minorEastAsia"/>
          <w:sz w:val="24"/>
          <w:szCs w:val="24"/>
        </w:rPr>
      </w:pPr>
    </w:p>
    <w:p>
      <w:pPr>
        <w:adjustRightInd w:val="0"/>
        <w:rPr>
          <w:rFonts w:cs="仿宋_GB2312" w:asciiTheme="minorEastAsia" w:hAnsiTheme="minorEastAsia" w:eastAsiaTheme="minorEastAsia"/>
          <w:b/>
          <w:bCs/>
          <w:sz w:val="24"/>
          <w:szCs w:val="24"/>
        </w:rPr>
      </w:pPr>
    </w:p>
    <w:p>
      <w:pPr>
        <w:adjustRightInd w:val="0"/>
        <w:rPr>
          <w:rFonts w:cs="仿宋_GB2312" w:asciiTheme="minorEastAsia" w:hAnsiTheme="minorEastAsia" w:eastAsiaTheme="minorEastAsia"/>
          <w:b/>
          <w:bCs/>
          <w:sz w:val="24"/>
          <w:szCs w:val="24"/>
        </w:rPr>
      </w:pPr>
    </w:p>
    <w:p>
      <w:pPr>
        <w:adjustRightInd w:val="0"/>
        <w:rPr>
          <w:rFonts w:cs="仿宋_GB2312" w:asciiTheme="minorEastAsia" w:hAnsiTheme="minorEastAsia" w:eastAsiaTheme="minorEastAsia"/>
          <w:b/>
          <w:bCs/>
          <w:sz w:val="24"/>
          <w:szCs w:val="24"/>
        </w:rPr>
      </w:pPr>
    </w:p>
    <w:p>
      <w:pPr>
        <w:adjustRightInd w:val="0"/>
        <w:rPr>
          <w:rFonts w:cs="仿宋_GB2312" w:asciiTheme="minorEastAsia" w:hAnsiTheme="minorEastAsia" w:eastAsiaTheme="minorEastAsia"/>
          <w:b/>
          <w:bCs/>
          <w:sz w:val="24"/>
          <w:szCs w:val="24"/>
        </w:rPr>
      </w:pPr>
    </w:p>
    <w:p>
      <w:pPr>
        <w:adjustRightInd w:val="0"/>
        <w:rPr>
          <w:rFonts w:cs="黑体" w:asciiTheme="minorEastAsia" w:hAnsiTheme="minorEastAsia" w:eastAsiaTheme="minorEastAsia"/>
          <w:b/>
          <w:bCs/>
          <w:sz w:val="28"/>
          <w:szCs w:val="28"/>
        </w:rPr>
      </w:pPr>
    </w:p>
    <w:p>
      <w:pPr>
        <w:adjustRightInd w:val="0"/>
        <w:rPr>
          <w:rFonts w:cs="黑体" w:asciiTheme="minorEastAsia" w:hAnsiTheme="minorEastAsia" w:eastAsiaTheme="minorEastAsia"/>
          <w:b/>
          <w:bCs/>
          <w:sz w:val="28"/>
          <w:szCs w:val="28"/>
        </w:rPr>
      </w:pPr>
    </w:p>
    <w:p>
      <w:pPr>
        <w:adjustRightInd w:val="0"/>
        <w:rPr>
          <w:rFonts w:cs="黑体" w:asciiTheme="minorEastAsia" w:hAnsiTheme="minorEastAsia" w:eastAsiaTheme="minorEastAsia"/>
          <w:b/>
          <w:bCs/>
          <w:sz w:val="28"/>
          <w:szCs w:val="28"/>
        </w:rPr>
      </w:pPr>
    </w:p>
    <w:p>
      <w:pPr>
        <w:adjustRightInd w:val="0"/>
        <w:rPr>
          <w:rFonts w:cs="黑体" w:asciiTheme="minorEastAsia" w:hAnsiTheme="minorEastAsia" w:eastAsiaTheme="minorEastAsia"/>
          <w:b/>
          <w:bCs/>
          <w:sz w:val="28"/>
          <w:szCs w:val="28"/>
        </w:rPr>
      </w:pPr>
    </w:p>
    <w:p>
      <w:pPr>
        <w:adjustRightInd w:val="0"/>
        <w:rPr>
          <w:rFonts w:cs="黑体" w:asciiTheme="minorEastAsia" w:hAnsiTheme="minorEastAsia" w:eastAsiaTheme="minorEastAsia"/>
          <w:b/>
          <w:bCs/>
          <w:sz w:val="28"/>
          <w:szCs w:val="28"/>
        </w:rPr>
      </w:pPr>
    </w:p>
    <w:p>
      <w:pPr>
        <w:adjustRightInd w:val="0"/>
        <w:jc w:val="center"/>
        <w:rPr>
          <w:rFonts w:cs="黑体" w:asciiTheme="minorEastAsia" w:hAnsiTheme="minorEastAsia" w:eastAsiaTheme="minorEastAsia"/>
          <w:b/>
          <w:bCs/>
          <w:sz w:val="32"/>
          <w:szCs w:val="32"/>
        </w:rPr>
      </w:pPr>
    </w:p>
    <w:p>
      <w:pPr>
        <w:adjustRightInd w:val="0"/>
        <w:jc w:val="center"/>
        <w:rPr>
          <w:rFonts w:cs="黑体" w:asciiTheme="minorEastAsia" w:hAnsiTheme="minorEastAsia" w:eastAsiaTheme="minorEastAsia"/>
          <w:b/>
          <w:bCs/>
          <w:sz w:val="32"/>
          <w:szCs w:val="32"/>
        </w:rPr>
      </w:pPr>
    </w:p>
    <w:p>
      <w:pPr>
        <w:adjustRightInd w:val="0"/>
        <w:jc w:val="center"/>
        <w:rPr>
          <w:rFonts w:cs="黑体" w:asciiTheme="minorEastAsia" w:hAnsiTheme="minorEastAsia" w:eastAsiaTheme="minorEastAsia"/>
          <w:b/>
          <w:bCs/>
          <w:sz w:val="32"/>
          <w:szCs w:val="32"/>
        </w:rPr>
      </w:pPr>
    </w:p>
    <w:p>
      <w:pPr>
        <w:adjustRightInd w:val="0"/>
        <w:jc w:val="center"/>
        <w:rPr>
          <w:rFonts w:cs="黑体" w:asciiTheme="minorEastAsia" w:hAnsiTheme="minorEastAsia" w:eastAsiaTheme="minorEastAsia"/>
          <w:b/>
          <w:bCs/>
          <w:sz w:val="32"/>
          <w:szCs w:val="32"/>
        </w:rPr>
      </w:pPr>
    </w:p>
    <w:p>
      <w:pPr>
        <w:adjustRightInd w:val="0"/>
        <w:jc w:val="center"/>
        <w:rPr>
          <w:rFonts w:cs="黑体" w:asciiTheme="minorEastAsia" w:hAnsiTheme="minorEastAsia" w:eastAsiaTheme="minorEastAsia"/>
          <w:b/>
          <w:bCs/>
          <w:sz w:val="32"/>
          <w:szCs w:val="32"/>
        </w:rPr>
      </w:pPr>
    </w:p>
    <w:p>
      <w:pPr>
        <w:adjustRightInd w:val="0"/>
        <w:jc w:val="center"/>
        <w:rPr>
          <w:rFonts w:cs="黑体" w:asciiTheme="minorEastAsia" w:hAnsiTheme="minorEastAsia" w:eastAsiaTheme="minorEastAsia"/>
          <w:b/>
          <w:bCs/>
          <w:sz w:val="32"/>
          <w:szCs w:val="32"/>
        </w:rPr>
      </w:pPr>
    </w:p>
    <w:p>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pPr>
        <w:adjustRightInd w:val="0"/>
        <w:rPr>
          <w:rFonts w:cs="黑体" w:asciiTheme="minorEastAsia" w:hAnsiTheme="minorEastAsia" w:eastAsiaTheme="minorEastAsia"/>
          <w:b/>
          <w:bCs/>
          <w:sz w:val="32"/>
          <w:szCs w:val="32"/>
        </w:rPr>
      </w:pPr>
    </w:p>
    <w:p>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pPr>
        <w:adjustRightInd w:val="0"/>
        <w:rPr>
          <w:rFonts w:asciiTheme="minorEastAsia" w:hAnsiTheme="minorEastAsia" w:eastAsiaTheme="minorEastAsia"/>
        </w:rPr>
      </w:pPr>
    </w:p>
    <w:p>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asciiTheme="minorEastAsia" w:hAnsiTheme="minorEastAsia" w:eastAsiaTheme="minorEastAsia"/>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asciiTheme="minorEastAsia" w:hAnsiTheme="minorEastAsia" w:eastAsiaTheme="minorEastAsia"/>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asciiTheme="minorEastAsia" w:hAnsiTheme="minorEastAsia" w:eastAsiaTheme="minorEastAsia"/>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asciiTheme="minorEastAsia" w:hAnsiTheme="minorEastAsia" w:eastAsiaTheme="minorEastAsia"/>
              </w:rPr>
            </w:pPr>
          </w:p>
        </w:tc>
      </w:tr>
      <w:tr>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pPr>
              <w:spacing w:beforeLines="20" w:afterLines="20"/>
              <w:ind w:left="110" w:leftChars="50" w:right="110" w:rightChars="50"/>
              <w:jc w:val="center"/>
              <w:rPr>
                <w:rFonts w:asciiTheme="minorEastAsia" w:hAnsiTheme="minorEastAsia" w:eastAsiaTheme="minorEastAsia"/>
              </w:rPr>
            </w:pPr>
          </w:p>
        </w:tc>
      </w:tr>
    </w:tbl>
    <w:p>
      <w:pPr>
        <w:adjustRightInd w:val="0"/>
        <w:rPr>
          <w:rFonts w:asciiTheme="minorEastAsia" w:hAnsiTheme="minorEastAsia" w:eastAsiaTheme="minorEastAsia"/>
          <w:sz w:val="24"/>
          <w:szCs w:val="24"/>
        </w:rPr>
      </w:pPr>
    </w:p>
    <w:p>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pPr>
        <w:adjustRightInd w:val="0"/>
        <w:rPr>
          <w:rFonts w:asciiTheme="minorEastAsia" w:hAnsiTheme="minorEastAsia" w:eastAsiaTheme="minorEastAsia"/>
          <w:sz w:val="24"/>
          <w:szCs w:val="24"/>
        </w:rPr>
      </w:pPr>
    </w:p>
    <w:p>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pPr>
        <w:adjustRightInd w:val="0"/>
        <w:ind w:firstLine="390"/>
        <w:rPr>
          <w:rFonts w:asciiTheme="minorEastAsia" w:hAnsiTheme="minorEastAsia" w:eastAsiaTheme="minorEastAsia"/>
          <w:sz w:val="18"/>
          <w:szCs w:val="18"/>
        </w:rPr>
      </w:pPr>
    </w:p>
    <w:p>
      <w:pPr>
        <w:adjustRightInd w:val="0"/>
        <w:rPr>
          <w:rFonts w:asciiTheme="minorEastAsia" w:hAnsiTheme="minorEastAsia" w:eastAsiaTheme="minorEastAsia"/>
          <w:sz w:val="28"/>
          <w:szCs w:val="28"/>
        </w:rPr>
      </w:pPr>
    </w:p>
    <w:p>
      <w:pPr>
        <w:adjustRightInd w:val="0"/>
        <w:rPr>
          <w:rFonts w:asciiTheme="minorEastAsia" w:hAnsiTheme="minorEastAsia" w:eastAsiaTheme="minorEastAsia"/>
        </w:rPr>
        <w:sectPr>
          <w:pgSz w:w="11907" w:h="16840"/>
          <w:pgMar w:top="1440" w:right="1797" w:bottom="1440" w:left="1797" w:header="720" w:footer="720" w:gutter="0"/>
          <w:cols w:space="720" w:num="1"/>
        </w:sectPr>
      </w:pPr>
    </w:p>
    <w:p>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pPr>
        <w:adjustRightInd w:val="0"/>
        <w:jc w:val="center"/>
        <w:rPr>
          <w:rFonts w:cs="黑体" w:asciiTheme="minorEastAsia" w:hAnsiTheme="minorEastAsia" w:eastAsiaTheme="minorEastAsia"/>
          <w:b/>
          <w:bCs/>
          <w:sz w:val="32"/>
          <w:szCs w:val="32"/>
        </w:rPr>
      </w:pPr>
    </w:p>
    <w:p>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pPr>
        <w:adjustRightInd w:val="0"/>
        <w:jc w:val="center"/>
        <w:rPr>
          <w:rFonts w:asciiTheme="minorEastAsia" w:hAnsiTheme="minorEastAsia" w:eastAsiaTheme="minorEastAsia"/>
          <w:sz w:val="28"/>
          <w:szCs w:val="28"/>
        </w:rPr>
      </w:pPr>
    </w:p>
    <w:p>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pPr>
        <w:adjustRightInd w:val="0"/>
        <w:rPr>
          <w:rFonts w:asciiTheme="minorEastAsia" w:hAnsiTheme="minorEastAsia" w:eastAsiaTheme="minorEastAsia"/>
          <w:sz w:val="28"/>
          <w:szCs w:val="28"/>
        </w:rPr>
      </w:pPr>
    </w:p>
    <w:p>
      <w:pPr>
        <w:adjustRightInd w:val="0"/>
        <w:rPr>
          <w:rFonts w:asciiTheme="minorEastAsia" w:hAnsiTheme="minorEastAsia" w:eastAsiaTheme="minorEastAsia"/>
          <w:sz w:val="28"/>
          <w:szCs w:val="28"/>
        </w:rPr>
      </w:pPr>
    </w:p>
    <w:p>
      <w:pPr>
        <w:adjustRightInd w:val="0"/>
        <w:rPr>
          <w:rFonts w:asciiTheme="minorEastAsia" w:hAnsiTheme="minorEastAsia" w:eastAsiaTheme="minorEastAsia"/>
          <w:sz w:val="24"/>
          <w:szCs w:val="24"/>
        </w:rPr>
      </w:pPr>
    </w:p>
    <w:p>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pPr>
        <w:adjustRightInd w:val="0"/>
        <w:rPr>
          <w:rFonts w:cs="楷体_GB2312" w:asciiTheme="minorEastAsia" w:hAnsiTheme="minorEastAsia" w:eastAsiaTheme="minorEastAsia"/>
          <w:sz w:val="24"/>
          <w:szCs w:val="24"/>
        </w:rPr>
      </w:pPr>
    </w:p>
    <w:p>
      <w:pPr>
        <w:adjustRightInd w:val="0"/>
        <w:ind w:firstLine="280"/>
        <w:rPr>
          <w:rFonts w:cs="楷体_GB2312" w:asciiTheme="minorEastAsia" w:hAnsiTheme="minorEastAsia" w:eastAsiaTheme="minorEastAsia"/>
          <w:sz w:val="24"/>
          <w:szCs w:val="24"/>
        </w:rPr>
      </w:pPr>
    </w:p>
    <w:p>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pPr>
        <w:adjustRightInd w:val="0"/>
        <w:rPr>
          <w:rFonts w:asciiTheme="minorEastAsia" w:hAnsiTheme="minorEastAsia" w:eastAsiaTheme="minorEastAsia"/>
          <w:sz w:val="28"/>
          <w:szCs w:val="28"/>
        </w:rPr>
      </w:pPr>
    </w:p>
    <w:p>
      <w:pPr>
        <w:adjustRightInd w:val="0"/>
        <w:rPr>
          <w:rFonts w:asciiTheme="minorEastAsia" w:hAnsiTheme="minorEastAsia" w:eastAsiaTheme="minorEastAsia"/>
          <w:sz w:val="28"/>
          <w:szCs w:val="28"/>
        </w:rPr>
      </w:pPr>
    </w:p>
    <w:p>
      <w:pPr>
        <w:adjustRightInd w:val="0"/>
        <w:rPr>
          <w:rFonts w:asciiTheme="minorEastAsia" w:hAnsiTheme="minorEastAsia" w:eastAsiaTheme="minorEastAsia"/>
        </w:rPr>
        <w:sectPr>
          <w:pgSz w:w="12240" w:h="15840"/>
          <w:pgMar w:top="1440" w:right="1797" w:bottom="1440" w:left="1797" w:header="720" w:footer="720" w:gutter="0"/>
          <w:cols w:space="720" w:num="1"/>
        </w:sectPr>
      </w:pPr>
    </w:p>
    <w:p>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pPr>
        <w:adjustRightInd w:val="0"/>
        <w:rPr>
          <w:rFonts w:asciiTheme="minorEastAsia" w:hAnsiTheme="minorEastAsia" w:eastAsiaTheme="minorEastAsia"/>
          <w:sz w:val="36"/>
          <w:szCs w:val="36"/>
        </w:rPr>
      </w:pPr>
    </w:p>
    <w:p>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6、其它证明文件或证件。</w:t>
      </w:r>
    </w:p>
    <w:p>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pPr>
        <w:adjustRightInd w:val="0"/>
        <w:ind w:firstLine="480"/>
        <w:rPr>
          <w:rFonts w:asciiTheme="minorEastAsia" w:hAnsiTheme="minorEastAsia" w:eastAsiaTheme="minorEastAsia"/>
          <w:sz w:val="24"/>
          <w:szCs w:val="24"/>
        </w:rPr>
      </w:pPr>
    </w:p>
    <w:p>
      <w:pPr>
        <w:adjustRightInd w:val="0"/>
        <w:ind w:firstLine="480"/>
        <w:rPr>
          <w:rFonts w:asciiTheme="minorEastAsia" w:hAnsiTheme="minorEastAsia" w:eastAsiaTheme="minorEastAsia"/>
          <w:sz w:val="24"/>
          <w:szCs w:val="24"/>
        </w:rPr>
      </w:pPr>
    </w:p>
    <w:p>
      <w:pPr>
        <w:adjustRightInd w:val="0"/>
        <w:ind w:firstLine="480"/>
        <w:rPr>
          <w:rFonts w:asciiTheme="minorEastAsia" w:hAnsiTheme="minorEastAsia" w:eastAsiaTheme="minorEastAsia"/>
          <w:sz w:val="24"/>
          <w:szCs w:val="24"/>
        </w:rPr>
      </w:pPr>
    </w:p>
    <w:p>
      <w:pPr>
        <w:adjustRightInd w:val="0"/>
        <w:ind w:firstLine="480"/>
        <w:rPr>
          <w:rFonts w:asciiTheme="minorEastAsia" w:hAnsiTheme="minorEastAsia" w:eastAsiaTheme="minorEastAsia"/>
          <w:sz w:val="24"/>
          <w:szCs w:val="24"/>
        </w:rPr>
      </w:pPr>
    </w:p>
    <w:p>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单位名称（签章）：法定代表人（签字）：</w:t>
      </w:r>
    </w:p>
    <w:p>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pPr>
        <w:adjustRightInd w:val="0"/>
        <w:rPr>
          <w:rFonts w:cs="仿宋_GB2312" w:asciiTheme="minorEastAsia" w:hAnsiTheme="minorEastAsia" w:eastAsiaTheme="minorEastAsia"/>
          <w:sz w:val="24"/>
          <w:szCs w:val="24"/>
        </w:rPr>
      </w:pPr>
    </w:p>
    <w:p>
      <w:pPr>
        <w:adjustRightInd w:val="0"/>
        <w:rPr>
          <w:rFonts w:asciiTheme="minorEastAsia" w:hAnsiTheme="minorEastAsia" w:eastAsiaTheme="minorEastAsia"/>
          <w:sz w:val="28"/>
          <w:szCs w:val="28"/>
        </w:rPr>
      </w:pPr>
    </w:p>
    <w:p>
      <w:pPr>
        <w:adjustRightInd w:val="0"/>
        <w:rPr>
          <w:rFonts w:asciiTheme="minorEastAsia" w:hAnsiTheme="minorEastAsia" w:eastAsiaTheme="minorEastAsia"/>
          <w:sz w:val="28"/>
          <w:szCs w:val="28"/>
        </w:rPr>
      </w:pPr>
    </w:p>
    <w:p>
      <w:pPr>
        <w:adjustRightInd w:val="0"/>
        <w:rPr>
          <w:rFonts w:asciiTheme="minorEastAsia" w:hAnsiTheme="minorEastAsia" w:eastAsiaTheme="minorEastAsia"/>
        </w:rPr>
        <w:sectPr>
          <w:pgSz w:w="12240" w:h="15840"/>
          <w:pgMar w:top="1440" w:right="1797" w:bottom="1440" w:left="1797" w:header="720" w:footer="720" w:gutter="0"/>
          <w:cols w:space="720" w:num="1"/>
        </w:sectPr>
      </w:pPr>
    </w:p>
    <w:p>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pPr>
        <w:adjustRightInd w:val="0"/>
        <w:jc w:val="center"/>
        <w:rPr>
          <w:rFonts w:asciiTheme="minorEastAsia" w:hAnsiTheme="minorEastAsia" w:eastAsiaTheme="minorEastAsia"/>
          <w:b/>
          <w:bCs/>
          <w:sz w:val="32"/>
          <w:szCs w:val="32"/>
        </w:rPr>
      </w:pPr>
    </w:p>
    <w:p>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pPr>
        <w:adjustRightInd w:val="0"/>
        <w:rPr>
          <w:rFonts w:cs="仿宋_GB2312" w:asciiTheme="minorEastAsia" w:hAnsiTheme="minorEastAsia" w:eastAsiaTheme="minorEastAsia"/>
          <w:sz w:val="24"/>
          <w:szCs w:val="24"/>
        </w:rPr>
      </w:pPr>
    </w:p>
    <w:p>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pPr>
        <w:adjustRightInd w:val="0"/>
        <w:rPr>
          <w:rFonts w:cs="仿宋_GB2312" w:asciiTheme="minorEastAsia" w:hAnsiTheme="minorEastAsia" w:eastAsiaTheme="minorEastAsia"/>
          <w:sz w:val="24"/>
          <w:szCs w:val="24"/>
        </w:rPr>
      </w:pPr>
    </w:p>
    <w:p>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pPr>
        <w:adjustRightInd w:val="0"/>
        <w:rPr>
          <w:rFonts w:cs="仿宋_GB2312" w:asciiTheme="minorEastAsia" w:hAnsiTheme="minorEastAsia" w:eastAsiaTheme="minorEastAsia"/>
          <w:sz w:val="24"/>
          <w:szCs w:val="24"/>
        </w:rPr>
      </w:pPr>
    </w:p>
    <w:p>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pPr>
        <w:adjustRightInd w:val="0"/>
        <w:rPr>
          <w:rFonts w:cs="仿宋_GB2312" w:asciiTheme="minorEastAsia" w:hAnsiTheme="minorEastAsia" w:eastAsiaTheme="minorEastAsia"/>
          <w:sz w:val="24"/>
          <w:szCs w:val="24"/>
        </w:rPr>
      </w:pPr>
    </w:p>
    <w:p>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pPr>
        <w:adjustRightInd w:val="0"/>
        <w:rPr>
          <w:rFonts w:cs="仿宋_GB2312" w:asciiTheme="minorEastAsia" w:hAnsiTheme="minorEastAsia" w:eastAsiaTheme="minorEastAsia"/>
          <w:sz w:val="24"/>
          <w:szCs w:val="24"/>
        </w:rPr>
      </w:pPr>
    </w:p>
    <w:p>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pPr>
        <w:adjustRightInd w:val="0"/>
        <w:rPr>
          <w:rFonts w:cs="仿宋_GB2312" w:asciiTheme="minorEastAsia" w:hAnsiTheme="minorEastAsia" w:eastAsiaTheme="minorEastAsia"/>
          <w:sz w:val="24"/>
          <w:szCs w:val="24"/>
        </w:rPr>
      </w:pPr>
    </w:p>
    <w:p>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pPr>
        <w:adjustRightInd w:val="0"/>
        <w:rPr>
          <w:rFonts w:cs="仿宋_GB2312" w:asciiTheme="minorEastAsia" w:hAnsiTheme="minorEastAsia" w:eastAsiaTheme="minorEastAsia"/>
          <w:sz w:val="24"/>
          <w:szCs w:val="24"/>
        </w:rPr>
      </w:pPr>
    </w:p>
    <w:p>
      <w:pPr>
        <w:adjustRightInd w:val="0"/>
        <w:ind w:firstLine="480" w:firstLineChars="200"/>
        <w:rPr>
          <w:rFonts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p>
    <w:p>
      <w:pPr>
        <w:adjustRightInd w:val="0"/>
        <w:rPr>
          <w:rFonts w:asciiTheme="minorEastAsia" w:hAnsiTheme="minorEastAsia" w:eastAsiaTheme="minorEastAsia"/>
        </w:rPr>
      </w:pPr>
    </w:p>
    <w:p>
      <w:pPr>
        <w:adjustRightInd w:val="0"/>
        <w:spacing w:line="320" w:lineRule="exact"/>
        <w:ind w:firstLine="5520" w:firstLineChars="230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pPr>
        <w:pStyle w:val="7"/>
        <w:rPr>
          <w:rFonts w:asciiTheme="minorEastAsia" w:hAnsiTheme="minorEastAsia" w:eastAsiaTheme="minorEastAsia"/>
        </w:rPr>
      </w:pPr>
    </w:p>
    <w:p>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pStyle w:val="24"/>
        <w:ind w:firstLine="240"/>
        <w:rPr>
          <w:rFonts w:cs="仿宋_GB2312" w:asciiTheme="minorEastAsia" w:hAnsiTheme="minorEastAsia" w:eastAsiaTheme="minorEastAsia"/>
          <w:sz w:val="24"/>
          <w:szCs w:val="24"/>
        </w:rPr>
      </w:pPr>
    </w:p>
    <w:p>
      <w:pPr>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pPr>
        <w:pStyle w:val="24"/>
        <w:ind w:firstLine="220"/>
      </w:pPr>
    </w:p>
    <w:p>
      <w:pPr>
        <w:ind w:firstLine="480" w:firstLineChars="200"/>
        <w:rPr>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采购活动，提供的货物全部由符合政策要求的中小企业制造。相关企业（含联合体中的中小企业、签订分包意向协议的中小企业）的具体情况如下：</w:t>
      </w:r>
    </w:p>
    <w:p>
      <w:pPr>
        <w:ind w:firstLine="480" w:firstLineChars="200"/>
        <w:rPr>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，从业人员人，营业收入为万元，资产总额为万元，属于</w:t>
      </w:r>
      <w:r>
        <w:rPr>
          <w:rFonts w:hint="eastAsia"/>
          <w:sz w:val="24"/>
          <w:szCs w:val="24"/>
          <w:u w:val="single"/>
        </w:rPr>
        <w:t>（中型企业、小型企业、微型企业）</w:t>
      </w:r>
      <w:r>
        <w:rPr>
          <w:rFonts w:hint="eastAsia"/>
          <w:sz w:val="24"/>
          <w:szCs w:val="24"/>
        </w:rPr>
        <w:t xml:space="preserve">； </w:t>
      </w:r>
    </w:p>
    <w:p>
      <w:pPr>
        <w:ind w:firstLine="480" w:firstLineChars="200"/>
        <w:rPr>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，从业人员人，营业收入为万元，资产总额为万元，属于</w:t>
      </w:r>
      <w:r>
        <w:rPr>
          <w:rFonts w:hint="eastAsia"/>
          <w:sz w:val="24"/>
          <w:szCs w:val="24"/>
          <w:u w:val="single"/>
        </w:rPr>
        <w:t>（中型企业、小型企业、微型企业）；</w:t>
      </w:r>
    </w:p>
    <w:p>
      <w:pPr>
        <w:rPr>
          <w:sz w:val="24"/>
          <w:szCs w:val="24"/>
        </w:rPr>
      </w:pPr>
      <w:r>
        <w:rPr>
          <w:rFonts w:hint="eastAsia"/>
          <w:sz w:val="24"/>
          <w:szCs w:val="24"/>
        </w:rPr>
        <w:t>……</w:t>
      </w:r>
    </w:p>
    <w:p>
      <w:pPr>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pPr>
        <w:ind w:firstLine="480" w:firstLineChars="200"/>
        <w:rPr>
          <w:sz w:val="24"/>
          <w:szCs w:val="24"/>
        </w:rPr>
      </w:pPr>
      <w:r>
        <w:rPr>
          <w:rFonts w:hint="eastAsia"/>
          <w:sz w:val="24"/>
          <w:szCs w:val="24"/>
        </w:rPr>
        <w:t>本企业对上述声明内容的真实性负责。如有虚假，将依 法承担相应责任。</w:t>
      </w:r>
    </w:p>
    <w:p>
      <w:pPr>
        <w:ind w:firstLine="3840" w:firstLineChars="1600"/>
        <w:rPr>
          <w:sz w:val="24"/>
          <w:szCs w:val="24"/>
        </w:rPr>
      </w:pPr>
      <w:r>
        <w:rPr>
          <w:rFonts w:hint="eastAsia"/>
          <w:sz w:val="24"/>
          <w:szCs w:val="24"/>
        </w:rPr>
        <w:t xml:space="preserve">企业名称（盖章）： </w:t>
      </w:r>
    </w:p>
    <w:p>
      <w:pPr>
        <w:spacing w:line="360" w:lineRule="auto"/>
        <w:ind w:firstLine="5040" w:firstLineChars="2100"/>
        <w:jc w:val="both"/>
        <w:rPr>
          <w:sz w:val="24"/>
          <w:szCs w:val="24"/>
        </w:rPr>
      </w:pPr>
      <w:r>
        <w:rPr>
          <w:rFonts w:hint="eastAsia"/>
          <w:sz w:val="24"/>
          <w:szCs w:val="24"/>
        </w:rPr>
        <w:t>日 期：</w:t>
      </w:r>
    </w:p>
    <w:p>
      <w:pPr>
        <w:spacing w:line="360" w:lineRule="auto"/>
        <w:jc w:val="both"/>
        <w:rPr>
          <w:sz w:val="24"/>
        </w:rPr>
      </w:pPr>
    </w:p>
    <w:p/>
    <w:p>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pPr>
        <w:adjustRightInd w:val="0"/>
        <w:spacing w:line="320" w:lineRule="exact"/>
        <w:ind w:firstLine="6120" w:firstLineChars="2550"/>
        <w:rPr>
          <w:rFonts w:cs="仿宋_GB2312" w:asciiTheme="minorEastAsia" w:hAnsiTheme="minorEastAsia" w:eastAsiaTheme="minorEastAsia"/>
          <w:sz w:val="24"/>
          <w:szCs w:val="24"/>
        </w:rPr>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pStyle w:val="24"/>
        <w:ind w:firstLine="220"/>
      </w:pPr>
    </w:p>
    <w:p>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ind w:firstLine="6120" w:firstLineChars="2550"/>
        <w:rPr>
          <w:rFonts w:cs="仿宋_GB2312" w:asciiTheme="minorEastAsia" w:hAnsiTheme="minorEastAsia" w:eastAsiaTheme="minorEastAsia"/>
          <w:sz w:val="24"/>
          <w:szCs w:val="24"/>
        </w:rPr>
      </w:pPr>
    </w:p>
    <w:p>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pPr>
        <w:adjustRightInd w:val="0"/>
        <w:spacing w:line="360" w:lineRule="auto"/>
        <w:jc w:val="center"/>
        <w:rPr>
          <w:rFonts w:asciiTheme="minorEastAsia" w:hAnsiTheme="minorEastAsia" w:eastAsiaTheme="minorEastAsia"/>
          <w:b/>
          <w:sz w:val="24"/>
          <w:szCs w:val="24"/>
        </w:rPr>
      </w:pPr>
    </w:p>
    <w:p>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pPr>
        <w:adjustRightInd w:val="0"/>
        <w:spacing w:line="360" w:lineRule="auto"/>
        <w:rPr>
          <w:rFonts w:asciiTheme="minorEastAsia" w:hAnsiTheme="minorEastAsia" w:eastAsiaTheme="minorEastAsia"/>
          <w:sz w:val="24"/>
          <w:szCs w:val="24"/>
        </w:rPr>
      </w:pPr>
    </w:p>
    <w:p>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pPr>
        <w:adjustRightInd w:val="0"/>
        <w:spacing w:line="360" w:lineRule="auto"/>
        <w:ind w:right="640" w:firstLine="1560" w:firstLineChars="650"/>
        <w:rPr>
          <w:rFonts w:asciiTheme="minorEastAsia" w:hAnsiTheme="minorEastAsia" w:eastAsiaTheme="minorEastAsia"/>
          <w:sz w:val="24"/>
          <w:szCs w:val="24"/>
        </w:rPr>
      </w:pPr>
    </w:p>
    <w:p>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pPr>
        <w:adjustRightInd w:val="0"/>
        <w:spacing w:line="360" w:lineRule="auto"/>
        <w:jc w:val="center"/>
        <w:rPr>
          <w:rFonts w:asciiTheme="minorEastAsia" w:hAnsiTheme="minorEastAsia" w:eastAsiaTheme="minorEastAsia"/>
          <w:sz w:val="24"/>
          <w:szCs w:val="24"/>
        </w:rPr>
      </w:pPr>
    </w:p>
    <w:p>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pPr>
        <w:pStyle w:val="36"/>
        <w:adjustRightInd w:val="0"/>
        <w:spacing w:line="360" w:lineRule="auto"/>
        <w:ind w:firstLine="480"/>
        <w:rPr>
          <w:rFonts w:asciiTheme="minorEastAsia" w:hAnsiTheme="minorEastAsia" w:eastAsiaTheme="minorEastAsia"/>
          <w:sz w:val="24"/>
          <w:szCs w:val="24"/>
        </w:rPr>
      </w:pPr>
    </w:p>
    <w:p>
      <w:pPr>
        <w:pStyle w:val="36"/>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pPr>
        <w:pStyle w:val="36"/>
        <w:adjustRightInd w:val="0"/>
        <w:spacing w:line="360" w:lineRule="auto"/>
        <w:ind w:firstLine="1440" w:firstLineChars="600"/>
        <w:rPr>
          <w:rFonts w:asciiTheme="minorEastAsia" w:hAnsiTheme="minorEastAsia" w:eastAsiaTheme="minorEastAsia"/>
          <w:sz w:val="24"/>
          <w:szCs w:val="24"/>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Theme="minorEastAsia" w:hAnsiTheme="minorEastAsia" w:eastAsiaTheme="minorEastAsia"/>
          <w:lang w:val="en-US"/>
        </w:rPr>
      </w:pPr>
    </w:p>
    <w:p>
      <w:pPr>
        <w:pStyle w:val="3"/>
        <w:spacing w:before="0" w:line="500" w:lineRule="exact"/>
        <w:rPr>
          <w:rFonts w:ascii="方正小标宋简体" w:hAnsi="黑体" w:eastAsia="方正小标宋简体" w:cs="黑体"/>
          <w:b w:val="0"/>
          <w:sz w:val="44"/>
          <w:szCs w:val="44"/>
          <w:lang w:val="en-US"/>
        </w:rPr>
      </w:pPr>
      <w:r>
        <w:rPr>
          <w:rFonts w:hint="eastAsia" w:asciiTheme="minorEastAsia" w:hAnsiTheme="minorEastAsia" w:eastAsiaTheme="minorEastAsia"/>
          <w:lang w:val="en-US"/>
        </w:rPr>
        <w:t>第六部分  周口市政府采购合同（货物类）标准文本</w:t>
      </w:r>
    </w:p>
    <w:p>
      <w:pPr>
        <w:rPr>
          <w:rFonts w:ascii="黑体" w:hAnsi="黑体" w:eastAsia="黑体" w:cs="黑体"/>
          <w:sz w:val="32"/>
          <w:szCs w:val="32"/>
          <w:lang w:val="en-US"/>
        </w:rPr>
      </w:pPr>
    </w:p>
    <w:p>
      <w:pPr>
        <w:pStyle w:val="39"/>
        <w:spacing w:beforeLines="0" w:afterLines="0"/>
        <w:ind w:left="0"/>
        <w:rPr>
          <w:rFonts w:ascii="黑体" w:hAnsi="黑体" w:eastAsia="黑体" w:cs="黑体"/>
          <w:sz w:val="32"/>
          <w:szCs w:val="32"/>
          <w:lang w:val="en-US"/>
        </w:rPr>
      </w:pPr>
    </w:p>
    <w:p>
      <w:pPr>
        <w:pStyle w:val="39"/>
        <w:spacing w:beforeLines="0" w:afterLines="0"/>
        <w:ind w:left="0"/>
        <w:rPr>
          <w:rFonts w:ascii="黑体" w:hAnsi="黑体" w:eastAsia="黑体" w:cs="黑体"/>
          <w:sz w:val="32"/>
          <w:szCs w:val="32"/>
          <w:lang w:val="en-US"/>
        </w:rPr>
      </w:pPr>
    </w:p>
    <w:p>
      <w:pPr>
        <w:pStyle w:val="39"/>
        <w:spacing w:beforeLines="0" w:afterLines="0"/>
        <w:ind w:left="0"/>
        <w:rPr>
          <w:rFonts w:ascii="黑体" w:hAnsi="黑体" w:eastAsia="黑体" w:cs="黑体"/>
          <w:sz w:val="30"/>
          <w:szCs w:val="30"/>
          <w:lang w:val="en-US"/>
        </w:rPr>
      </w:pPr>
    </w:p>
    <w:p>
      <w:pPr>
        <w:pStyle w:val="39"/>
        <w:spacing w:beforeLines="0" w:afterLines="0"/>
        <w:ind w:left="0"/>
        <w:rPr>
          <w:rFonts w:ascii="黑体" w:hAnsi="黑体" w:eastAsia="黑体" w:cs="黑体"/>
          <w:sz w:val="30"/>
          <w:szCs w:val="30"/>
          <w:lang w:val="en-US"/>
        </w:rPr>
      </w:pPr>
    </w:p>
    <w:p>
      <w:pPr>
        <w:pStyle w:val="39"/>
        <w:spacing w:beforeLines="0" w:afterLines="0"/>
        <w:ind w:left="0"/>
        <w:rPr>
          <w:rFonts w:ascii="黑体" w:hAnsi="黑体" w:eastAsia="黑体" w:cs="黑体"/>
          <w:sz w:val="30"/>
          <w:szCs w:val="30"/>
          <w:lang w:val="en-US"/>
        </w:rPr>
      </w:pPr>
    </w:p>
    <w:p>
      <w:pPr>
        <w:pStyle w:val="39"/>
        <w:spacing w:beforeLines="0" w:afterLines="0"/>
        <w:ind w:left="0"/>
        <w:rPr>
          <w:rFonts w:ascii="黑体" w:hAnsi="黑体" w:eastAsia="黑体" w:cs="黑体"/>
          <w:sz w:val="30"/>
          <w:szCs w:val="30"/>
          <w:lang w:val="en-US"/>
        </w:rPr>
      </w:pPr>
    </w:p>
    <w:p>
      <w:pPr>
        <w:pStyle w:val="39"/>
        <w:spacing w:beforeLines="0" w:afterLines="0"/>
        <w:ind w:left="0"/>
        <w:rPr>
          <w:rFonts w:ascii="黑体" w:hAnsi="黑体" w:eastAsia="黑体" w:cs="黑体"/>
          <w:sz w:val="30"/>
          <w:szCs w:val="30"/>
          <w:lang w:val="en-US"/>
        </w:rPr>
      </w:pPr>
    </w:p>
    <w:p>
      <w:pPr>
        <w:pStyle w:val="39"/>
        <w:spacing w:beforeLines="0" w:afterLines="0"/>
        <w:ind w:left="0"/>
        <w:rPr>
          <w:rFonts w:ascii="黑体" w:hAnsi="黑体" w:eastAsia="黑体" w:cs="黑体"/>
          <w:sz w:val="30"/>
          <w:szCs w:val="30"/>
          <w:lang w:val="en-US"/>
        </w:rPr>
      </w:pPr>
    </w:p>
    <w:p>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9"/>
        <w:spacing w:beforeLines="0" w:afterLines="0"/>
        <w:ind w:left="0"/>
        <w:rPr>
          <w:rFonts w:ascii="黑体" w:hAnsi="黑体" w:eastAsia="黑体" w:cs="黑体"/>
          <w:sz w:val="30"/>
          <w:szCs w:val="30"/>
          <w:lang w:val="en-US"/>
        </w:rPr>
      </w:pPr>
    </w:p>
    <w:p>
      <w:pPr>
        <w:pStyle w:val="39"/>
        <w:spacing w:beforeLines="0" w:afterLines="0"/>
        <w:ind w:left="0"/>
        <w:rPr>
          <w:rFonts w:ascii="黑体" w:hAnsi="黑体" w:eastAsia="黑体" w:cs="黑体"/>
          <w:sz w:val="30"/>
          <w:szCs w:val="30"/>
          <w:lang w:val="en-US"/>
        </w:rPr>
      </w:pPr>
    </w:p>
    <w:p>
      <w:pPr>
        <w:pStyle w:val="39"/>
        <w:spacing w:beforeLines="0" w:afterLines="0"/>
        <w:ind w:left="0"/>
        <w:jc w:val="center"/>
        <w:rPr>
          <w:rFonts w:ascii="方正小标宋简体" w:eastAsia="方正小标宋简体"/>
          <w:sz w:val="32"/>
          <w:szCs w:val="32"/>
        </w:rPr>
      </w:pPr>
    </w:p>
    <w:p>
      <w:pPr>
        <w:pStyle w:val="39"/>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39"/>
        <w:spacing w:beforeLines="0" w:afterLines="0" w:line="460" w:lineRule="exact"/>
        <w:ind w:left="0" w:firstLine="420" w:firstLineChars="200"/>
        <w:jc w:val="both"/>
        <w:rPr>
          <w:sz w:val="21"/>
          <w:szCs w:val="21"/>
        </w:rPr>
      </w:pPr>
    </w:p>
    <w:p>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9"/>
        <w:spacing w:beforeLines="0" w:afterLines="0" w:line="460" w:lineRule="exact"/>
        <w:ind w:left="0" w:firstLine="640" w:firstLineChars="200"/>
        <w:jc w:val="center"/>
        <w:rPr>
          <w:rFonts w:ascii="方正小标宋简体" w:eastAsia="方正小标宋简体"/>
          <w:bCs/>
          <w:sz w:val="32"/>
          <w:szCs w:val="32"/>
        </w:rPr>
      </w:pPr>
    </w:p>
    <w:p>
      <w:pPr>
        <w:pStyle w:val="39"/>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pPr>
        <w:pStyle w:val="39"/>
        <w:numPr>
          <w:ilvl w:val="0"/>
          <w:numId w:val="22"/>
        </w:numPr>
        <w:spacing w:beforeLines="0" w:afterLines="0" w:line="460" w:lineRule="exact"/>
        <w:ind w:left="0" w:firstLine="420" w:firstLineChars="200"/>
        <w:jc w:val="both"/>
        <w:rPr>
          <w:szCs w:val="27"/>
        </w:rPr>
      </w:pPr>
      <w:r>
        <w:rPr>
          <w:rFonts w:hint="eastAsia"/>
          <w:sz w:val="21"/>
          <w:szCs w:val="21"/>
          <w:lang w:val="en-US"/>
        </w:rPr>
        <w:t>供应商不得</w:t>
      </w:r>
      <w:r>
        <w:rPr>
          <w:rFonts w:hint="eastAsia"/>
          <w:sz w:val="21"/>
          <w:szCs w:val="21"/>
        </w:rPr>
        <w:t>擅自变更合同标的物内容；</w:t>
      </w:r>
    </w:p>
    <w:p>
      <w:pPr>
        <w:pStyle w:val="39"/>
        <w:spacing w:beforeLines="0" w:afterLines="0" w:line="46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pPr>
        <w:pStyle w:val="39"/>
        <w:spacing w:beforeLines="0" w:afterLines="0" w:line="46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9"/>
        <w:spacing w:beforeLines="0" w:afterLines="0" w:line="460" w:lineRule="exact"/>
        <w:ind w:left="0" w:firstLine="420" w:firstLineChars="200"/>
        <w:jc w:val="both"/>
        <w:rPr>
          <w:sz w:val="21"/>
          <w:szCs w:val="21"/>
          <w:lang w:val="en-US"/>
        </w:rPr>
      </w:pPr>
      <w:r>
        <w:rPr>
          <w:rFonts w:hint="eastAsia"/>
          <w:sz w:val="21"/>
          <w:szCs w:val="21"/>
          <w:lang w:val="en-US"/>
        </w:rPr>
        <w:t>5、供应商应提供需验收物品的清单、参数、使用手册、人员培训情况等资料；</w:t>
      </w:r>
    </w:p>
    <w:p>
      <w:pPr>
        <w:pStyle w:val="39"/>
        <w:spacing w:beforeLines="0" w:afterLines="0" w:line="46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39"/>
        <w:spacing w:beforeLines="0" w:afterLines="0" w:line="460" w:lineRule="exact"/>
        <w:ind w:left="0" w:firstLine="420" w:firstLineChars="200"/>
        <w:jc w:val="both"/>
        <w:rPr>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3"/>
        <w:spacing w:before="0" w:line="520" w:lineRule="exact"/>
        <w:rPr>
          <w:rFonts w:ascii="方正小标宋简体" w:eastAsia="方正小标宋简体"/>
          <w:b w:val="0"/>
          <w:szCs w:val="36"/>
        </w:rPr>
      </w:pPr>
      <w:bookmarkStart w:id="63" w:name="_Toc220232392"/>
      <w:r>
        <w:rPr>
          <w:rFonts w:hint="eastAsia" w:ascii="方正小标宋简体" w:eastAsia="方正小标宋简体"/>
          <w:b w:val="0"/>
        </w:rPr>
        <w:t>采购合同</w:t>
      </w:r>
      <w:bookmarkEnd w:id="63"/>
      <w:r>
        <w:rPr>
          <w:rFonts w:hint="eastAsia" w:ascii="方正小标宋简体" w:eastAsia="方正小标宋简体"/>
          <w:b w:val="0"/>
        </w:rPr>
        <w:t>内容</w:t>
      </w:r>
    </w:p>
    <w:p>
      <w:pPr>
        <w:spacing w:line="520" w:lineRule="exact"/>
        <w:ind w:firstLine="440" w:firstLineChars="200"/>
        <w:jc w:val="both"/>
        <w:rPr>
          <w:szCs w:val="27"/>
        </w:rPr>
      </w:pPr>
    </w:p>
    <w:p>
      <w:pPr>
        <w:spacing w:line="360" w:lineRule="auto"/>
        <w:ind w:firstLine="440" w:firstLineChars="200"/>
        <w:jc w:val="both"/>
        <w:rPr>
          <w:szCs w:val="27"/>
          <w:u w:val="single"/>
        </w:rPr>
      </w:pPr>
      <w:r>
        <w:rPr>
          <w:rFonts w:hint="eastAsia"/>
          <w:szCs w:val="27"/>
        </w:rPr>
        <w:t>采购人</w:t>
      </w:r>
      <w:r>
        <w:rPr>
          <w:szCs w:val="27"/>
        </w:rPr>
        <w:t>（甲方）：</w:t>
      </w:r>
    </w:p>
    <w:p>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pPr>
        <w:spacing w:line="360" w:lineRule="auto"/>
        <w:ind w:firstLine="440" w:firstLineChars="200"/>
        <w:jc w:val="both"/>
        <w:rPr>
          <w:szCs w:val="27"/>
          <w:u w:val="single"/>
        </w:rPr>
      </w:pPr>
      <w:r>
        <w:rPr>
          <w:rFonts w:hint="eastAsia"/>
          <w:szCs w:val="27"/>
        </w:rPr>
        <w:t>签订地点：</w:t>
      </w:r>
    </w:p>
    <w:p>
      <w:pPr>
        <w:spacing w:line="360" w:lineRule="auto"/>
        <w:ind w:firstLine="440" w:firstLineChars="200"/>
        <w:jc w:val="both"/>
        <w:rPr>
          <w:szCs w:val="27"/>
          <w:u w:val="single"/>
        </w:rPr>
      </w:pPr>
      <w:r>
        <w:rPr>
          <w:rFonts w:hint="eastAsia"/>
          <w:szCs w:val="27"/>
        </w:rPr>
        <w:t>项目名称：</w:t>
      </w:r>
    </w:p>
    <w:p>
      <w:pPr>
        <w:spacing w:line="360" w:lineRule="auto"/>
        <w:ind w:firstLine="440" w:firstLineChars="200"/>
        <w:jc w:val="both"/>
        <w:rPr>
          <w:szCs w:val="27"/>
          <w:u w:val="single"/>
        </w:rPr>
      </w:pPr>
      <w:r>
        <w:rPr>
          <w:rFonts w:hint="eastAsia"/>
          <w:szCs w:val="27"/>
        </w:rPr>
        <w:t>项目编号：</w:t>
      </w:r>
    </w:p>
    <w:p>
      <w:pPr>
        <w:spacing w:line="360" w:lineRule="auto"/>
        <w:ind w:firstLine="440" w:firstLineChars="200"/>
        <w:jc w:val="both"/>
      </w:pPr>
      <w:r>
        <w:rPr>
          <w:rFonts w:hint="eastAsia"/>
          <w:szCs w:val="27"/>
        </w:rPr>
        <w:t>财政委托号：(财政资金项目必须填写)</w:t>
      </w:r>
    </w:p>
    <w:p>
      <w:pPr>
        <w:spacing w:line="360" w:lineRule="auto"/>
        <w:ind w:firstLine="440" w:firstLineChars="200"/>
        <w:jc w:val="both"/>
      </w:pPr>
      <w:r>
        <w:rPr>
          <w:rFonts w:hint="eastAsia"/>
          <w:szCs w:val="27"/>
        </w:rPr>
        <w:t>本项目经批准采用采购方式，经本项目评审委员会认真评审，决定将采购合同授予乙方。为进一步明确双方的责任，确保合同的顺利履行，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pPr>
        <w:spacing w:line="360" w:lineRule="auto"/>
        <w:ind w:firstLine="442" w:firstLineChars="200"/>
        <w:jc w:val="both"/>
        <w:rPr>
          <w:u w:val="single"/>
        </w:rPr>
      </w:pPr>
      <w:r>
        <w:rPr>
          <w:b/>
          <w:bCs/>
          <w:szCs w:val="27"/>
        </w:rPr>
        <w:t>第一条</w:t>
      </w:r>
      <w:r>
        <w:rPr>
          <w:szCs w:val="27"/>
        </w:rPr>
        <w:t> 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pPr>
            <w:r>
              <w:rPr>
                <w:rFonts w:hint="eastAsia"/>
              </w:rPr>
              <w:t>产品名称</w:t>
            </w:r>
          </w:p>
        </w:tc>
        <w:tc>
          <w:tcPr>
            <w:tcW w:w="1623" w:type="dxa"/>
          </w:tcPr>
          <w:p>
            <w:pPr>
              <w:spacing w:line="360" w:lineRule="auto"/>
              <w:ind w:firstLine="440" w:firstLineChars="200"/>
              <w:jc w:val="both"/>
            </w:pPr>
            <w:r>
              <w:rPr>
                <w:rFonts w:hint="eastAsia"/>
              </w:rPr>
              <w:t>规格型号</w:t>
            </w:r>
          </w:p>
        </w:tc>
        <w:tc>
          <w:tcPr>
            <w:tcW w:w="902" w:type="dxa"/>
          </w:tcPr>
          <w:p>
            <w:pPr>
              <w:spacing w:line="360" w:lineRule="auto"/>
              <w:ind w:firstLine="440" w:firstLineChars="200"/>
              <w:jc w:val="both"/>
            </w:pPr>
            <w:r>
              <w:rPr>
                <w:rFonts w:hint="eastAsia"/>
              </w:rPr>
              <w:t>单位</w:t>
            </w:r>
          </w:p>
        </w:tc>
        <w:tc>
          <w:tcPr>
            <w:tcW w:w="902" w:type="dxa"/>
          </w:tcPr>
          <w:p>
            <w:pPr>
              <w:spacing w:line="360" w:lineRule="auto"/>
              <w:ind w:firstLine="440" w:firstLineChars="200"/>
              <w:jc w:val="both"/>
            </w:pPr>
            <w:r>
              <w:rPr>
                <w:rFonts w:hint="eastAsia"/>
              </w:rPr>
              <w:t>数量</w:t>
            </w:r>
          </w:p>
        </w:tc>
        <w:tc>
          <w:tcPr>
            <w:tcW w:w="1071" w:type="dxa"/>
          </w:tcPr>
          <w:p>
            <w:pPr>
              <w:spacing w:line="360" w:lineRule="auto"/>
              <w:ind w:firstLine="440" w:firstLineChars="200"/>
              <w:jc w:val="both"/>
            </w:pPr>
            <w:r>
              <w:rPr>
                <w:rFonts w:hint="eastAsia"/>
              </w:rPr>
              <w:t>单价</w:t>
            </w:r>
          </w:p>
        </w:tc>
        <w:tc>
          <w:tcPr>
            <w:tcW w:w="1250" w:type="dxa"/>
          </w:tcPr>
          <w:p>
            <w:pPr>
              <w:spacing w:line="360" w:lineRule="auto"/>
              <w:ind w:firstLine="440" w:firstLineChars="200"/>
              <w:jc w:val="both"/>
            </w:pPr>
            <w:r>
              <w:rPr>
                <w:rFonts w:hint="eastAsia"/>
              </w:rPr>
              <w:t>小计</w:t>
            </w:r>
          </w:p>
        </w:tc>
        <w:tc>
          <w:tcPr>
            <w:tcW w:w="1106" w:type="dxa"/>
          </w:tcPr>
          <w:p>
            <w:pPr>
              <w:spacing w:line="360" w:lineRule="auto"/>
              <w:ind w:firstLine="440" w:firstLineChars="200"/>
              <w:jc w:val="both"/>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pPr>
          </w:p>
        </w:tc>
        <w:tc>
          <w:tcPr>
            <w:tcW w:w="1623" w:type="dxa"/>
          </w:tcPr>
          <w:p>
            <w:pPr>
              <w:spacing w:line="360" w:lineRule="auto"/>
              <w:ind w:firstLine="440" w:firstLineChars="200"/>
              <w:jc w:val="both"/>
            </w:pPr>
          </w:p>
        </w:tc>
        <w:tc>
          <w:tcPr>
            <w:tcW w:w="902" w:type="dxa"/>
          </w:tcPr>
          <w:p>
            <w:pPr>
              <w:spacing w:line="360" w:lineRule="auto"/>
              <w:ind w:firstLine="440" w:firstLineChars="200"/>
              <w:jc w:val="both"/>
            </w:pPr>
          </w:p>
        </w:tc>
        <w:tc>
          <w:tcPr>
            <w:tcW w:w="902" w:type="dxa"/>
          </w:tcPr>
          <w:p>
            <w:pPr>
              <w:spacing w:line="360" w:lineRule="auto"/>
              <w:ind w:firstLine="440" w:firstLineChars="200"/>
              <w:jc w:val="both"/>
            </w:pPr>
          </w:p>
        </w:tc>
        <w:tc>
          <w:tcPr>
            <w:tcW w:w="1071" w:type="dxa"/>
          </w:tcPr>
          <w:p>
            <w:pPr>
              <w:spacing w:line="360" w:lineRule="auto"/>
              <w:ind w:firstLine="440" w:firstLineChars="200"/>
              <w:jc w:val="both"/>
            </w:pPr>
          </w:p>
        </w:tc>
        <w:tc>
          <w:tcPr>
            <w:tcW w:w="1250" w:type="dxa"/>
          </w:tcPr>
          <w:p>
            <w:pPr>
              <w:spacing w:line="360" w:lineRule="auto"/>
              <w:ind w:firstLine="440" w:firstLineChars="200"/>
              <w:jc w:val="both"/>
            </w:pPr>
          </w:p>
        </w:tc>
        <w:tc>
          <w:tcPr>
            <w:tcW w:w="1106" w:type="dxa"/>
          </w:tcPr>
          <w:p>
            <w:pPr>
              <w:spacing w:line="360" w:lineRule="auto"/>
              <w:ind w:firstLine="440" w:firstLineChars="20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pPr>
          </w:p>
        </w:tc>
        <w:tc>
          <w:tcPr>
            <w:tcW w:w="1623" w:type="dxa"/>
          </w:tcPr>
          <w:p>
            <w:pPr>
              <w:spacing w:line="360" w:lineRule="auto"/>
              <w:ind w:firstLine="440" w:firstLineChars="200"/>
              <w:jc w:val="both"/>
            </w:pPr>
          </w:p>
        </w:tc>
        <w:tc>
          <w:tcPr>
            <w:tcW w:w="902" w:type="dxa"/>
          </w:tcPr>
          <w:p>
            <w:pPr>
              <w:spacing w:line="360" w:lineRule="auto"/>
              <w:ind w:firstLine="440" w:firstLineChars="200"/>
              <w:jc w:val="both"/>
            </w:pPr>
          </w:p>
        </w:tc>
        <w:tc>
          <w:tcPr>
            <w:tcW w:w="902" w:type="dxa"/>
          </w:tcPr>
          <w:p>
            <w:pPr>
              <w:spacing w:line="360" w:lineRule="auto"/>
              <w:ind w:firstLine="440" w:firstLineChars="200"/>
              <w:jc w:val="both"/>
            </w:pPr>
          </w:p>
        </w:tc>
        <w:tc>
          <w:tcPr>
            <w:tcW w:w="1071" w:type="dxa"/>
          </w:tcPr>
          <w:p>
            <w:pPr>
              <w:spacing w:line="360" w:lineRule="auto"/>
              <w:ind w:firstLine="440" w:firstLineChars="200"/>
              <w:jc w:val="both"/>
            </w:pPr>
          </w:p>
        </w:tc>
        <w:tc>
          <w:tcPr>
            <w:tcW w:w="1250" w:type="dxa"/>
          </w:tcPr>
          <w:p>
            <w:pPr>
              <w:spacing w:line="360" w:lineRule="auto"/>
              <w:ind w:firstLine="440" w:firstLineChars="200"/>
              <w:jc w:val="both"/>
            </w:pPr>
          </w:p>
        </w:tc>
        <w:tc>
          <w:tcPr>
            <w:tcW w:w="1106" w:type="dxa"/>
          </w:tcPr>
          <w:p>
            <w:pPr>
              <w:spacing w:line="360" w:lineRule="auto"/>
              <w:ind w:firstLine="440" w:firstLineChars="20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40" w:firstLineChars="200"/>
              <w:jc w:val="both"/>
            </w:pPr>
          </w:p>
        </w:tc>
        <w:tc>
          <w:tcPr>
            <w:tcW w:w="1623" w:type="dxa"/>
          </w:tcPr>
          <w:p>
            <w:pPr>
              <w:spacing w:line="360" w:lineRule="auto"/>
              <w:ind w:firstLine="440" w:firstLineChars="200"/>
              <w:jc w:val="both"/>
            </w:pPr>
          </w:p>
        </w:tc>
        <w:tc>
          <w:tcPr>
            <w:tcW w:w="902" w:type="dxa"/>
          </w:tcPr>
          <w:p>
            <w:pPr>
              <w:spacing w:line="360" w:lineRule="auto"/>
              <w:ind w:firstLine="440" w:firstLineChars="200"/>
              <w:jc w:val="both"/>
            </w:pPr>
          </w:p>
        </w:tc>
        <w:tc>
          <w:tcPr>
            <w:tcW w:w="902" w:type="dxa"/>
          </w:tcPr>
          <w:p>
            <w:pPr>
              <w:spacing w:line="360" w:lineRule="auto"/>
              <w:ind w:firstLine="440" w:firstLineChars="200"/>
              <w:jc w:val="both"/>
            </w:pPr>
          </w:p>
        </w:tc>
        <w:tc>
          <w:tcPr>
            <w:tcW w:w="1071" w:type="dxa"/>
          </w:tcPr>
          <w:p>
            <w:pPr>
              <w:spacing w:line="360" w:lineRule="auto"/>
              <w:ind w:firstLine="440" w:firstLineChars="200"/>
              <w:jc w:val="both"/>
            </w:pPr>
          </w:p>
        </w:tc>
        <w:tc>
          <w:tcPr>
            <w:tcW w:w="1250" w:type="dxa"/>
          </w:tcPr>
          <w:p>
            <w:pPr>
              <w:spacing w:line="360" w:lineRule="auto"/>
              <w:ind w:firstLine="440" w:firstLineChars="200"/>
              <w:jc w:val="both"/>
            </w:pPr>
          </w:p>
        </w:tc>
        <w:tc>
          <w:tcPr>
            <w:tcW w:w="1106" w:type="dxa"/>
          </w:tcPr>
          <w:p>
            <w:pPr>
              <w:spacing w:line="360" w:lineRule="auto"/>
              <w:ind w:firstLine="440" w:firstLineChars="20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40" w:firstLineChars="200"/>
              <w:jc w:val="both"/>
            </w:pPr>
            <w:r>
              <w:rPr>
                <w:rFonts w:hint="eastAsia"/>
              </w:rPr>
              <w:t>合同总价款（大小写）：</w:t>
            </w:r>
          </w:p>
          <w:p>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40" w:firstLineChars="200"/>
        <w:jc w:val="both"/>
        <w:rPr>
          <w:szCs w:val="27"/>
          <w:u w:val="single"/>
        </w:rPr>
      </w:pPr>
      <w:r>
        <w:rPr>
          <w:rFonts w:hint="eastAsia"/>
          <w:szCs w:val="27"/>
        </w:rPr>
        <w:t>进口产品的质量标准为</w:t>
      </w:r>
      <w:r>
        <w:rPr>
          <w:rFonts w:hint="eastAsia"/>
        </w:rPr>
        <w:t>。</w:t>
      </w:r>
    </w:p>
    <w:p>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rPr>
        <w:t>。</w:t>
      </w:r>
    </w:p>
    <w:p>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pPr>
        <w:spacing w:line="360" w:lineRule="auto"/>
        <w:ind w:firstLine="440" w:firstLineChars="200"/>
        <w:jc w:val="both"/>
      </w:pPr>
      <w:r>
        <w:rPr>
          <w:rFonts w:hint="eastAsia"/>
          <w:szCs w:val="27"/>
        </w:rPr>
        <w:t>1.</w:t>
      </w:r>
      <w:r>
        <w:rPr>
          <w:szCs w:val="27"/>
        </w:rPr>
        <w:t>交货方法，按下列第（ ）项执行：</w:t>
      </w:r>
    </w:p>
    <w:p>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pPr>
        <w:spacing w:line="360" w:lineRule="auto"/>
        <w:ind w:firstLine="440" w:firstLineChars="200"/>
        <w:jc w:val="both"/>
        <w:rPr>
          <w:szCs w:val="27"/>
          <w:u w:val="single"/>
        </w:rPr>
      </w:pPr>
      <w:r>
        <w:rPr>
          <w:rFonts w:hint="eastAsia"/>
          <w:szCs w:val="27"/>
        </w:rPr>
        <w:t>合同总价款（大小写）：</w:t>
      </w:r>
    </w:p>
    <w:p>
      <w:pPr>
        <w:numPr>
          <w:ilvl w:val="0"/>
          <w:numId w:val="23"/>
        </w:numPr>
        <w:spacing w:line="360" w:lineRule="auto"/>
        <w:ind w:left="0" w:firstLine="440" w:firstLineChars="200"/>
        <w:jc w:val="both"/>
      </w:pPr>
      <w:r>
        <w:rPr>
          <w:rFonts w:hint="eastAsia"/>
        </w:rPr>
        <w:t xml:space="preserve">付款条件                  </w:t>
      </w:r>
    </w:p>
    <w:p>
      <w:pPr>
        <w:spacing w:line="360" w:lineRule="auto"/>
        <w:ind w:firstLine="440" w:firstLineChars="200"/>
        <w:jc w:val="both"/>
      </w:pPr>
      <w:r>
        <w:rPr>
          <w:rFonts w:hint="eastAsia"/>
        </w:rPr>
        <w:t>本合同以人民币付款。</w:t>
      </w:r>
    </w:p>
    <w:p>
      <w:pPr>
        <w:spacing w:line="360" w:lineRule="auto"/>
        <w:ind w:firstLine="440" w:firstLineChars="200"/>
        <w:jc w:val="both"/>
      </w:pPr>
      <w:r>
        <w:rPr>
          <w:rFonts w:hint="eastAsia"/>
        </w:rPr>
        <w:t>该项目是否实行预付款：</w:t>
      </w:r>
    </w:p>
    <w:p>
      <w:pPr>
        <w:spacing w:line="360" w:lineRule="auto"/>
        <w:ind w:firstLine="440" w:firstLineChars="200"/>
        <w:jc w:val="both"/>
      </w:pPr>
      <w:r>
        <w:rPr>
          <w:rFonts w:hint="eastAsia"/>
        </w:rPr>
        <w:t>实行预付款的条件和比例：</w:t>
      </w:r>
    </w:p>
    <w:p>
      <w:pPr>
        <w:spacing w:line="360" w:lineRule="auto"/>
        <w:ind w:firstLine="440" w:firstLineChars="200"/>
        <w:jc w:val="both"/>
      </w:pPr>
      <w:r>
        <w:rPr>
          <w:rFonts w:hint="eastAsia"/>
        </w:rPr>
        <w:t>合同款项结算方式和支付比例：</w:t>
      </w:r>
    </w:p>
    <w:p>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pPr>
        <w:numPr>
          <w:ilvl w:val="0"/>
          <w:numId w:val="23"/>
        </w:numPr>
        <w:spacing w:line="360" w:lineRule="auto"/>
        <w:ind w:left="0" w:firstLine="440" w:firstLineChars="200"/>
        <w:jc w:val="both"/>
        <w:rPr>
          <w:szCs w:val="27"/>
        </w:rPr>
      </w:pPr>
      <w:r>
        <w:rPr>
          <w:szCs w:val="27"/>
        </w:rPr>
        <w:t>验收方法</w:t>
      </w:r>
    </w:p>
    <w:p>
      <w:pPr>
        <w:spacing w:line="360" w:lineRule="auto"/>
        <w:ind w:firstLine="440" w:firstLineChars="200"/>
        <w:jc w:val="both"/>
        <w:rPr>
          <w:szCs w:val="27"/>
        </w:rPr>
      </w:pPr>
      <w:r>
        <w:rPr>
          <w:rFonts w:hint="eastAsia"/>
          <w:szCs w:val="27"/>
        </w:rPr>
        <w:t>1.乙方安装调试后，在天内通知甲方组织验收，采购代理机构保留受托参与本项目验收的权利。验收不合格的，乙方应负责重新提供达到本合同约定的质量要求的产品。</w:t>
      </w:r>
    </w:p>
    <w:p>
      <w:pPr>
        <w:pStyle w:val="8"/>
        <w:spacing w:line="360" w:lineRule="auto"/>
        <w:ind w:left="440" w:firstLine="480" w:firstLineChars="200"/>
        <w:jc w:val="both"/>
        <w:rPr>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pPr>
        <w:pStyle w:val="8"/>
        <w:spacing w:line="360" w:lineRule="auto"/>
        <w:ind w:left="440" w:firstLine="480" w:firstLineChars="200"/>
        <w:jc w:val="both"/>
        <w:rPr>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pStyle w:val="8"/>
        <w:spacing w:line="360" w:lineRule="auto"/>
        <w:ind w:left="440" w:firstLine="480" w:firstLineChars="200"/>
        <w:jc w:val="both"/>
        <w:rPr>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pPr>
        <w:pStyle w:val="8"/>
        <w:spacing w:line="360" w:lineRule="auto"/>
        <w:ind w:left="440" w:firstLine="480" w:firstLineChars="200"/>
        <w:jc w:val="both"/>
        <w:rPr>
          <w:sz w:val="24"/>
          <w:szCs w:val="27"/>
        </w:rPr>
      </w:pPr>
      <w:r>
        <w:rPr>
          <w:rFonts w:hint="eastAsia"/>
          <w:sz w:val="24"/>
          <w:szCs w:val="27"/>
        </w:rPr>
        <w:t>涉及安全、消防、环保等其他需要由质检或行业主管部门进行验收的项目，必须邀请相关部门或相关专家参与验收。</w:t>
      </w:r>
    </w:p>
    <w:p>
      <w:pPr>
        <w:pStyle w:val="8"/>
        <w:spacing w:line="360" w:lineRule="auto"/>
        <w:ind w:left="440" w:firstLine="480" w:firstLineChars="200"/>
        <w:jc w:val="both"/>
        <w:rPr>
          <w:b/>
          <w:bCs/>
          <w:sz w:val="24"/>
          <w:u w:val="single"/>
        </w:rPr>
      </w:pPr>
      <w:r>
        <w:rPr>
          <w:rFonts w:hint="eastAsia"/>
          <w:sz w:val="24"/>
          <w:szCs w:val="27"/>
        </w:rPr>
        <w:t>检测、验收费用承担方式：</w:t>
      </w:r>
    </w:p>
    <w:p>
      <w:pPr>
        <w:spacing w:line="360" w:lineRule="auto"/>
        <w:ind w:firstLine="442" w:firstLineChars="200"/>
        <w:jc w:val="both"/>
      </w:pPr>
      <w:r>
        <w:rPr>
          <w:b/>
          <w:bCs/>
          <w:szCs w:val="27"/>
        </w:rPr>
        <w:t>第八条 </w:t>
      </w:r>
      <w:r>
        <w:rPr>
          <w:szCs w:val="27"/>
        </w:rPr>
        <w:t xml:space="preserve"> 对产品提出异议的时间和办法</w:t>
      </w:r>
    </w:p>
    <w:p>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pPr>
        <w:spacing w:line="360" w:lineRule="auto"/>
        <w:ind w:firstLine="440" w:firstLineChars="200"/>
        <w:jc w:val="both"/>
      </w:pPr>
      <w:r>
        <w:rPr>
          <w:rFonts w:hint="eastAsia"/>
          <w:szCs w:val="27"/>
        </w:rPr>
        <w:t>2.</w:t>
      </w:r>
      <w:r>
        <w:rPr>
          <w:szCs w:val="27"/>
        </w:rPr>
        <w:t>甲方因使用、保管、保养不善等造成产品质量下降的，不得提出异议。</w:t>
      </w:r>
    </w:p>
    <w:p>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工作日</w:t>
      </w:r>
      <w:r>
        <w:rPr>
          <w:szCs w:val="27"/>
        </w:rPr>
        <w:t>内负责处理，否则，即视为默认甲方提出的异议和处理意见。</w:t>
      </w:r>
    </w:p>
    <w:p>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pPr>
        <w:spacing w:line="360" w:lineRule="auto"/>
        <w:ind w:firstLine="440" w:firstLineChars="200"/>
        <w:jc w:val="both"/>
        <w:rPr>
          <w:szCs w:val="27"/>
        </w:rPr>
      </w:pPr>
      <w:r>
        <w:rPr>
          <w:rFonts w:hint="eastAsia"/>
          <w:szCs w:val="27"/>
        </w:rPr>
        <w:t>1.保修</w:t>
      </w:r>
    </w:p>
    <w:p>
      <w:pPr>
        <w:spacing w:line="360" w:lineRule="auto"/>
        <w:ind w:firstLine="440" w:firstLineChars="200"/>
        <w:jc w:val="both"/>
        <w:rPr>
          <w:szCs w:val="27"/>
        </w:rPr>
      </w:pPr>
      <w:r>
        <w:rPr>
          <w:rFonts w:hint="eastAsia"/>
          <w:szCs w:val="27"/>
        </w:rPr>
        <w:t>乙方对其所提供的货物免费保修年，保修期从开始。乙方应在接到报修通知后天内上门维修，负责更换有瑕疵的货物、部件或提供相应的质量保证期内的服务。由此造成的损失，甲方保留索赔的权利。</w:t>
      </w:r>
    </w:p>
    <w:p>
      <w:pPr>
        <w:spacing w:line="360" w:lineRule="auto"/>
        <w:ind w:firstLine="440" w:firstLineChars="200"/>
        <w:jc w:val="both"/>
        <w:rPr>
          <w:szCs w:val="27"/>
        </w:rPr>
      </w:pPr>
      <w:r>
        <w:rPr>
          <w:rFonts w:hint="eastAsia"/>
          <w:szCs w:val="27"/>
        </w:rPr>
        <w:t>如果乙方在收到报修通知后天内没有弥补缺陷，甲方可采取必要的补救措施，但费用和风险由乙方承担。</w:t>
      </w:r>
    </w:p>
    <w:p>
      <w:pPr>
        <w:spacing w:line="360" w:lineRule="auto"/>
        <w:ind w:firstLine="440" w:firstLineChars="200"/>
        <w:jc w:val="both"/>
        <w:rPr>
          <w:szCs w:val="27"/>
        </w:rPr>
      </w:pPr>
      <w:r>
        <w:rPr>
          <w:rFonts w:hint="eastAsia"/>
          <w:szCs w:val="27"/>
        </w:rPr>
        <w:t>2.维修</w:t>
      </w:r>
    </w:p>
    <w:p>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违约金元。</w:t>
      </w:r>
    </w:p>
    <w:p>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szCs w:val="27"/>
        </w:rPr>
        <w:t>履约（或质量）保证金</w:t>
      </w:r>
    </w:p>
    <w:p>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pPr>
        <w:spacing w:line="360" w:lineRule="auto"/>
        <w:ind w:firstLine="440" w:firstLineChars="200"/>
        <w:jc w:val="both"/>
      </w:pPr>
    </w:p>
    <w:p>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Cs/>
        </w:rPr>
        <w:t>转让与分包</w:t>
      </w:r>
    </w:p>
    <w:p>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Cs/>
        </w:rPr>
        <w:t>合同文件及资料的使用</w:t>
      </w:r>
    </w:p>
    <w:p>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40" w:firstLineChars="200"/>
        <w:jc w:val="both"/>
        <w:rPr>
          <w:szCs w:val="27"/>
        </w:rPr>
      </w:pPr>
      <w:r>
        <w:rPr>
          <w:rFonts w:hint="eastAsia"/>
        </w:rPr>
        <w:t>本合同一式份，甲乙双方各执份，自双方当事人签字盖章之日起生效。</w:t>
      </w:r>
    </w:p>
    <w:p>
      <w:pPr>
        <w:spacing w:line="360" w:lineRule="auto"/>
        <w:ind w:firstLine="440" w:firstLineChars="200"/>
        <w:jc w:val="both"/>
        <w:rPr>
          <w:szCs w:val="27"/>
        </w:rPr>
      </w:pPr>
    </w:p>
    <w:p>
      <w:pPr>
        <w:spacing w:line="360" w:lineRule="auto"/>
        <w:ind w:firstLine="440" w:firstLineChars="200"/>
        <w:jc w:val="both"/>
        <w:rPr>
          <w:szCs w:val="27"/>
        </w:rPr>
      </w:pPr>
    </w:p>
    <w:p>
      <w:pPr>
        <w:spacing w:line="360" w:lineRule="auto"/>
        <w:ind w:firstLine="440" w:firstLineChars="200"/>
        <w:jc w:val="both"/>
        <w:rPr>
          <w:szCs w:val="27"/>
        </w:rPr>
      </w:pPr>
      <w:r>
        <w:rPr>
          <w:rFonts w:hint="eastAsia"/>
          <w:szCs w:val="27"/>
        </w:rPr>
        <w:t>采购人</w:t>
      </w:r>
      <w:r>
        <w:rPr>
          <w:szCs w:val="27"/>
        </w:rPr>
        <w:t>（甲方）：（公章） 供货</w:t>
      </w:r>
      <w:r>
        <w:rPr>
          <w:rFonts w:hint="eastAsia"/>
          <w:szCs w:val="27"/>
        </w:rPr>
        <w:t>人</w:t>
      </w:r>
      <w:r>
        <w:rPr>
          <w:szCs w:val="27"/>
        </w:rPr>
        <w:t>（乙方）：（公章）</w:t>
      </w:r>
    </w:p>
    <w:p>
      <w:pPr>
        <w:spacing w:line="360" w:lineRule="auto"/>
        <w:ind w:firstLine="440" w:firstLineChars="200"/>
        <w:jc w:val="both"/>
      </w:pPr>
      <w:r>
        <w:rPr>
          <w:rFonts w:hint="eastAsia"/>
          <w:szCs w:val="27"/>
        </w:rPr>
        <w:t xml:space="preserve">地址：                               </w:t>
      </w:r>
      <w:r>
        <w:rPr>
          <w:szCs w:val="27"/>
        </w:rPr>
        <w:t>地址：</w:t>
      </w:r>
    </w:p>
    <w:p>
      <w:pPr>
        <w:spacing w:line="360" w:lineRule="auto"/>
        <w:ind w:firstLine="440" w:firstLineChars="200"/>
        <w:jc w:val="both"/>
        <w:rPr>
          <w:szCs w:val="27"/>
        </w:rPr>
      </w:pPr>
      <w:r>
        <w:rPr>
          <w:szCs w:val="27"/>
        </w:rPr>
        <w:t>法定代表人：法定代表人：</w:t>
      </w:r>
    </w:p>
    <w:p>
      <w:pPr>
        <w:spacing w:line="360" w:lineRule="auto"/>
        <w:ind w:firstLine="440" w:firstLineChars="200"/>
        <w:jc w:val="both"/>
        <w:rPr>
          <w:u w:val="single"/>
        </w:rPr>
      </w:pPr>
      <w:r>
        <w:rPr>
          <w:rFonts w:hint="eastAsia"/>
          <w:szCs w:val="27"/>
        </w:rPr>
        <w:t>委托代理人：                         委托代理人：</w:t>
      </w:r>
    </w:p>
    <w:p>
      <w:pPr>
        <w:spacing w:line="360" w:lineRule="auto"/>
        <w:ind w:firstLine="440" w:firstLineChars="200"/>
        <w:jc w:val="both"/>
      </w:pPr>
      <w:r>
        <w:rPr>
          <w:rFonts w:hint="eastAsia"/>
        </w:rPr>
        <w:t>电话：                               电话：</w:t>
      </w:r>
    </w:p>
    <w:p>
      <w:pPr>
        <w:spacing w:line="360" w:lineRule="auto"/>
        <w:ind w:firstLine="440" w:firstLineChars="200"/>
        <w:jc w:val="both"/>
        <w:rPr>
          <w:szCs w:val="27"/>
        </w:rPr>
      </w:pPr>
      <w:r>
        <w:rPr>
          <w:szCs w:val="27"/>
        </w:rPr>
        <w:t>开户银行：开户银行：</w:t>
      </w:r>
    </w:p>
    <w:p>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pPr>
        <w:spacing w:line="640" w:lineRule="exact"/>
        <w:ind w:firstLine="1650" w:firstLineChars="750"/>
        <w:jc w:val="both"/>
        <w:rPr>
          <w:szCs w:val="27"/>
          <w:u w:val="single"/>
        </w:rPr>
      </w:pPr>
    </w:p>
    <w:p>
      <w:pPr>
        <w:spacing w:line="500" w:lineRule="exact"/>
        <w:rPr>
          <w:sz w:val="24"/>
        </w:rPr>
      </w:pPr>
      <w:r>
        <w:rPr>
          <w:szCs w:val="27"/>
          <w:u w:val="single"/>
        </w:rPr>
        <w:t>   </w:t>
      </w:r>
      <w:r>
        <w:rPr>
          <w:szCs w:val="27"/>
        </w:rPr>
        <w:t>年</w:t>
      </w:r>
      <w:r>
        <w:rPr>
          <w:szCs w:val="27"/>
          <w:u w:val="single"/>
        </w:rPr>
        <w:t xml:space="preserve">    </w:t>
      </w:r>
      <w:r>
        <w:rPr>
          <w:szCs w:val="27"/>
        </w:rPr>
        <w:t>月</w:t>
      </w:r>
      <w:r>
        <w:rPr>
          <w:szCs w:val="27"/>
          <w:u w:val="single"/>
        </w:rPr>
        <w:t xml:space="preserve">    </w:t>
      </w:r>
      <w:r>
        <w:rPr>
          <w:szCs w:val="27"/>
        </w:rPr>
        <w:t>日</w:t>
      </w:r>
      <w:r>
        <w:rPr>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pPr>
        <w:spacing w:line="500" w:lineRule="exact"/>
        <w:rPr>
          <w:b/>
          <w:bCs/>
          <w:sz w:val="24"/>
        </w:rPr>
      </w:pPr>
    </w:p>
    <w:p>
      <w:pPr>
        <w:pStyle w:val="24"/>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pPr>
        <w:pStyle w:val="24"/>
        <w:ind w:firstLine="240"/>
        <w:rPr>
          <w:rFonts w:asciiTheme="minorEastAsia" w:hAnsiTheme="minorEastAsia" w:eastAsiaTheme="minorEastAsia"/>
          <w:sz w:val="24"/>
          <w:szCs w:val="24"/>
        </w:rPr>
      </w:pPr>
    </w:p>
    <w:p>
      <w:pPr>
        <w:pStyle w:val="24"/>
        <w:ind w:firstLine="240"/>
        <w:rPr>
          <w:rFonts w:asciiTheme="minorEastAsia" w:hAnsiTheme="minorEastAsia" w:eastAsiaTheme="minorEastAsia"/>
          <w:sz w:val="24"/>
        </w:rPr>
      </w:pPr>
    </w:p>
    <w:p>
      <w:pPr>
        <w:pStyle w:val="24"/>
        <w:ind w:firstLine="240"/>
        <w:rPr>
          <w:rFonts w:asciiTheme="minorEastAsia" w:hAnsiTheme="minorEastAsia" w:eastAsiaTheme="minorEastAsia"/>
          <w:sz w:val="24"/>
        </w:rPr>
      </w:pPr>
    </w:p>
    <w:p>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pStyle w:val="16"/>
        <w:spacing w:before="0" w:beforeAutospacing="0" w:after="0" w:afterAutospacing="0" w:line="330" w:lineRule="atLeast"/>
        <w:rPr>
          <w:b/>
          <w:bCs/>
          <w:color w:val="0000FF"/>
          <w:sz w:val="21"/>
          <w:szCs w:val="21"/>
        </w:rPr>
      </w:pPr>
    </w:p>
    <w:p>
      <w:pPr>
        <w:spacing w:before="1"/>
        <w:ind w:left="218"/>
        <w:rPr>
          <w:rFonts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E31B2B-8B2B-42FA-AB3D-40DDE51D74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embedRegular r:id="rId2" w:fontKey="{3B0C2D88-31A2-485A-8A80-EBEFF097C381}"/>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8EE7D313-42C1-4CBB-B2AC-BF561DBD75A6}"/>
  </w:font>
  <w:font w:name="楷体_GB2312">
    <w:altName w:val="楷体"/>
    <w:panose1 w:val="00000000000000000000"/>
    <w:charset w:val="86"/>
    <w:family w:val="modern"/>
    <w:pitch w:val="default"/>
    <w:sig w:usb0="00000000" w:usb1="00000000" w:usb2="00000010" w:usb3="00000000" w:csb0="00040000" w:csb1="00000000"/>
    <w:embedRegular r:id="rId4" w:fontKey="{87736439-5AAD-4C28-AD98-1C48AED3AB71}"/>
  </w:font>
  <w:font w:name="方正小标宋简体">
    <w:altName w:val="Arial Unicode MS"/>
    <w:panose1 w:val="00000000000000000000"/>
    <w:charset w:val="86"/>
    <w:family w:val="auto"/>
    <w:pitch w:val="default"/>
    <w:sig w:usb0="00000000" w:usb1="00000000" w:usb2="00000000" w:usb3="00000000" w:csb0="00040000" w:csb1="00000000"/>
    <w:embedRegular r:id="rId5" w:fontKey="{70D89A99-C739-4A07-BB74-A6E3D74596EE}"/>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pPr>
                  <w:pStyle w:val="12"/>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0CCCA0"/>
    <w:multiLevelType w:val="singleLevel"/>
    <w:tmpl w:val="880CCCA0"/>
    <w:lvl w:ilvl="0" w:tentative="0">
      <w:start w:val="2"/>
      <w:numFmt w:val="decimal"/>
      <w:suff w:val="nothing"/>
      <w:lvlText w:val="%1、"/>
      <w:lvlJc w:val="left"/>
    </w:lvl>
  </w:abstractNum>
  <w:abstractNum w:abstractNumId="1">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21"/>
  </w:num>
  <w:num w:numId="2">
    <w:abstractNumId w:val="12"/>
  </w:num>
  <w:num w:numId="3">
    <w:abstractNumId w:val="19"/>
  </w:num>
  <w:num w:numId="4">
    <w:abstractNumId w:val="5"/>
  </w:num>
  <w:num w:numId="5">
    <w:abstractNumId w:val="4"/>
  </w:num>
  <w:num w:numId="6">
    <w:abstractNumId w:val="13"/>
  </w:num>
  <w:num w:numId="7">
    <w:abstractNumId w:val="15"/>
  </w:num>
  <w:num w:numId="8">
    <w:abstractNumId w:val="11"/>
  </w:num>
  <w:num w:numId="9">
    <w:abstractNumId w:val="1"/>
  </w:num>
  <w:num w:numId="10">
    <w:abstractNumId w:val="20"/>
  </w:num>
  <w:num w:numId="11">
    <w:abstractNumId w:val="6"/>
  </w:num>
  <w:num w:numId="12">
    <w:abstractNumId w:val="18"/>
  </w:num>
  <w:num w:numId="13">
    <w:abstractNumId w:val="9"/>
  </w:num>
  <w:num w:numId="14">
    <w:abstractNumId w:val="8"/>
  </w:num>
  <w:num w:numId="15">
    <w:abstractNumId w:val="7"/>
  </w:num>
  <w:num w:numId="16">
    <w:abstractNumId w:val="2"/>
  </w:num>
  <w:num w:numId="17">
    <w:abstractNumId w:val="17"/>
  </w:num>
  <w:num w:numId="18">
    <w:abstractNumId w:val="3"/>
  </w:num>
  <w:num w:numId="19">
    <w:abstractNumId w:val="14"/>
  </w:num>
  <w:num w:numId="20">
    <w:abstractNumId w:val="16"/>
  </w:num>
  <w:num w:numId="21">
    <w:abstractNumId w:val="0"/>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843AE4"/>
    <w:rsid w:val="000214D3"/>
    <w:rsid w:val="00023D3A"/>
    <w:rsid w:val="0005317F"/>
    <w:rsid w:val="00057732"/>
    <w:rsid w:val="00073A87"/>
    <w:rsid w:val="0007537E"/>
    <w:rsid w:val="00075905"/>
    <w:rsid w:val="000853CD"/>
    <w:rsid w:val="000856A5"/>
    <w:rsid w:val="0008746A"/>
    <w:rsid w:val="000A1862"/>
    <w:rsid w:val="000A4D8A"/>
    <w:rsid w:val="000B137A"/>
    <w:rsid w:val="000B6B56"/>
    <w:rsid w:val="000C5FF6"/>
    <w:rsid w:val="000D77B0"/>
    <w:rsid w:val="0010067C"/>
    <w:rsid w:val="00114FD3"/>
    <w:rsid w:val="00124520"/>
    <w:rsid w:val="0014230F"/>
    <w:rsid w:val="00144740"/>
    <w:rsid w:val="001508AD"/>
    <w:rsid w:val="00164F7F"/>
    <w:rsid w:val="00174C4B"/>
    <w:rsid w:val="00186AA2"/>
    <w:rsid w:val="00191CEA"/>
    <w:rsid w:val="00194C58"/>
    <w:rsid w:val="00196EA5"/>
    <w:rsid w:val="001A2D55"/>
    <w:rsid w:val="001E436E"/>
    <w:rsid w:val="001F691F"/>
    <w:rsid w:val="002063F4"/>
    <w:rsid w:val="002235E2"/>
    <w:rsid w:val="00240BDE"/>
    <w:rsid w:val="0025219A"/>
    <w:rsid w:val="00254BEA"/>
    <w:rsid w:val="00274BF5"/>
    <w:rsid w:val="00290C88"/>
    <w:rsid w:val="002B3530"/>
    <w:rsid w:val="002B52D9"/>
    <w:rsid w:val="002D12B2"/>
    <w:rsid w:val="002E3067"/>
    <w:rsid w:val="002E7A90"/>
    <w:rsid w:val="002F429B"/>
    <w:rsid w:val="002F5123"/>
    <w:rsid w:val="00301A3B"/>
    <w:rsid w:val="00315154"/>
    <w:rsid w:val="0031774B"/>
    <w:rsid w:val="00343A6A"/>
    <w:rsid w:val="003601C6"/>
    <w:rsid w:val="003A215A"/>
    <w:rsid w:val="003C343D"/>
    <w:rsid w:val="00431491"/>
    <w:rsid w:val="00460438"/>
    <w:rsid w:val="004A586B"/>
    <w:rsid w:val="004B0A3A"/>
    <w:rsid w:val="00505A24"/>
    <w:rsid w:val="00533101"/>
    <w:rsid w:val="00533E6E"/>
    <w:rsid w:val="00536FFE"/>
    <w:rsid w:val="005533D1"/>
    <w:rsid w:val="005827B0"/>
    <w:rsid w:val="00591709"/>
    <w:rsid w:val="005A5434"/>
    <w:rsid w:val="005B33E1"/>
    <w:rsid w:val="005C279D"/>
    <w:rsid w:val="005C373F"/>
    <w:rsid w:val="005D28DA"/>
    <w:rsid w:val="005E0C66"/>
    <w:rsid w:val="005E337B"/>
    <w:rsid w:val="00604592"/>
    <w:rsid w:val="00621DF6"/>
    <w:rsid w:val="00654A68"/>
    <w:rsid w:val="0068329A"/>
    <w:rsid w:val="006949FC"/>
    <w:rsid w:val="006B42B6"/>
    <w:rsid w:val="006C53F2"/>
    <w:rsid w:val="006D4CAF"/>
    <w:rsid w:val="00703F76"/>
    <w:rsid w:val="007535AA"/>
    <w:rsid w:val="007660F8"/>
    <w:rsid w:val="00777EAD"/>
    <w:rsid w:val="007A2FBC"/>
    <w:rsid w:val="007B7866"/>
    <w:rsid w:val="007B7ECF"/>
    <w:rsid w:val="007C7D9E"/>
    <w:rsid w:val="007E1140"/>
    <w:rsid w:val="007E3605"/>
    <w:rsid w:val="00811C27"/>
    <w:rsid w:val="00843AE4"/>
    <w:rsid w:val="008572E6"/>
    <w:rsid w:val="00866179"/>
    <w:rsid w:val="00875A2C"/>
    <w:rsid w:val="008A5FE4"/>
    <w:rsid w:val="008E0203"/>
    <w:rsid w:val="008E69AD"/>
    <w:rsid w:val="008E71B4"/>
    <w:rsid w:val="00904057"/>
    <w:rsid w:val="0090601A"/>
    <w:rsid w:val="0094796C"/>
    <w:rsid w:val="00954BEA"/>
    <w:rsid w:val="00982E1E"/>
    <w:rsid w:val="009913F6"/>
    <w:rsid w:val="009955D6"/>
    <w:rsid w:val="009B58E5"/>
    <w:rsid w:val="009C756A"/>
    <w:rsid w:val="009F6AB6"/>
    <w:rsid w:val="00A1638E"/>
    <w:rsid w:val="00A51993"/>
    <w:rsid w:val="00A557B4"/>
    <w:rsid w:val="00A607A0"/>
    <w:rsid w:val="00A63FEE"/>
    <w:rsid w:val="00A6635C"/>
    <w:rsid w:val="00A720BE"/>
    <w:rsid w:val="00A774D2"/>
    <w:rsid w:val="00A92422"/>
    <w:rsid w:val="00A951D8"/>
    <w:rsid w:val="00A956AE"/>
    <w:rsid w:val="00AB504B"/>
    <w:rsid w:val="00AC074E"/>
    <w:rsid w:val="00AC47A6"/>
    <w:rsid w:val="00AE1DC8"/>
    <w:rsid w:val="00B10DBF"/>
    <w:rsid w:val="00B2427C"/>
    <w:rsid w:val="00B25F3B"/>
    <w:rsid w:val="00B534EB"/>
    <w:rsid w:val="00B62DA0"/>
    <w:rsid w:val="00B830A3"/>
    <w:rsid w:val="00B83EAA"/>
    <w:rsid w:val="00B85A33"/>
    <w:rsid w:val="00B95E54"/>
    <w:rsid w:val="00BA3651"/>
    <w:rsid w:val="00BC362E"/>
    <w:rsid w:val="00C00A62"/>
    <w:rsid w:val="00C11572"/>
    <w:rsid w:val="00C31650"/>
    <w:rsid w:val="00C33A5A"/>
    <w:rsid w:val="00C34099"/>
    <w:rsid w:val="00C50EE5"/>
    <w:rsid w:val="00C577ED"/>
    <w:rsid w:val="00C70137"/>
    <w:rsid w:val="00C77A9D"/>
    <w:rsid w:val="00CA58F6"/>
    <w:rsid w:val="00CB78E6"/>
    <w:rsid w:val="00CD4EC9"/>
    <w:rsid w:val="00CE5E5A"/>
    <w:rsid w:val="00D30C20"/>
    <w:rsid w:val="00D356F5"/>
    <w:rsid w:val="00D53501"/>
    <w:rsid w:val="00D57A66"/>
    <w:rsid w:val="00D63EDD"/>
    <w:rsid w:val="00D74B6D"/>
    <w:rsid w:val="00D84250"/>
    <w:rsid w:val="00D9427D"/>
    <w:rsid w:val="00D978FA"/>
    <w:rsid w:val="00DA7631"/>
    <w:rsid w:val="00DB045D"/>
    <w:rsid w:val="00DB56DF"/>
    <w:rsid w:val="00DC2238"/>
    <w:rsid w:val="00DF279C"/>
    <w:rsid w:val="00E21414"/>
    <w:rsid w:val="00E21BA0"/>
    <w:rsid w:val="00E5192B"/>
    <w:rsid w:val="00E56BC8"/>
    <w:rsid w:val="00E70A98"/>
    <w:rsid w:val="00E77C5F"/>
    <w:rsid w:val="00E9120C"/>
    <w:rsid w:val="00EA18C3"/>
    <w:rsid w:val="00EA6208"/>
    <w:rsid w:val="00EB0F60"/>
    <w:rsid w:val="00EE0293"/>
    <w:rsid w:val="00EE0683"/>
    <w:rsid w:val="00EF59CF"/>
    <w:rsid w:val="00F00849"/>
    <w:rsid w:val="00F01540"/>
    <w:rsid w:val="00F06423"/>
    <w:rsid w:val="00F55CEF"/>
    <w:rsid w:val="00F61B16"/>
    <w:rsid w:val="00F702F6"/>
    <w:rsid w:val="00F75AF7"/>
    <w:rsid w:val="00F77257"/>
    <w:rsid w:val="00F95916"/>
    <w:rsid w:val="00FB5A7E"/>
    <w:rsid w:val="00FC2B95"/>
    <w:rsid w:val="00FD399A"/>
    <w:rsid w:val="00FD5902"/>
    <w:rsid w:val="00FD5DA1"/>
    <w:rsid w:val="00FF3CEF"/>
    <w:rsid w:val="03153493"/>
    <w:rsid w:val="05AB68B0"/>
    <w:rsid w:val="08F359E4"/>
    <w:rsid w:val="0B5C30E6"/>
    <w:rsid w:val="0EC60D89"/>
    <w:rsid w:val="0F0E720B"/>
    <w:rsid w:val="13AD7D70"/>
    <w:rsid w:val="13B04B28"/>
    <w:rsid w:val="168E0C63"/>
    <w:rsid w:val="17C42D0C"/>
    <w:rsid w:val="19884974"/>
    <w:rsid w:val="1BBC5D49"/>
    <w:rsid w:val="1DB373D4"/>
    <w:rsid w:val="1E3D7258"/>
    <w:rsid w:val="1F2B2B05"/>
    <w:rsid w:val="272B7C0B"/>
    <w:rsid w:val="27DB438A"/>
    <w:rsid w:val="2DE12C65"/>
    <w:rsid w:val="2E7318D8"/>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4FE92D8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3E7454B"/>
    <w:rsid w:val="64A755D5"/>
    <w:rsid w:val="64BD3FC9"/>
    <w:rsid w:val="658971FF"/>
    <w:rsid w:val="65DA6C5D"/>
    <w:rsid w:val="66B90625"/>
    <w:rsid w:val="67D7195F"/>
    <w:rsid w:val="685C5F78"/>
    <w:rsid w:val="68FA09FF"/>
    <w:rsid w:val="69244569"/>
    <w:rsid w:val="696C155D"/>
    <w:rsid w:val="6A6F729D"/>
    <w:rsid w:val="6C487FF0"/>
    <w:rsid w:val="6F1A17F1"/>
    <w:rsid w:val="714D3798"/>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autoRedefine/>
    <w:qFormat/>
    <w:uiPriority w:val="0"/>
    <w:pPr>
      <w:spacing w:after="120"/>
      <w:ind w:left="420" w:leftChars="200"/>
    </w:pPr>
    <w:rPr>
      <w:sz w:val="20"/>
    </w:rPr>
  </w:style>
  <w:style w:type="paragraph" w:styleId="9">
    <w:name w:val="Plain Text"/>
    <w:basedOn w:val="1"/>
    <w:qFormat/>
    <w:uiPriority w:val="0"/>
    <w:rPr>
      <w:rFonts w:hAnsi="Courier New" w:eastAsiaTheme="minorEastAsia" w:cstheme="minorBidi"/>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autoRedefine/>
    <w:qFormat/>
    <w:uiPriority w:val="0"/>
    <w:rPr>
      <w:sz w:val="18"/>
      <w:szCs w:val="18"/>
    </w:rPr>
  </w:style>
  <w:style w:type="paragraph" w:styleId="12">
    <w:name w:val="footer"/>
    <w:basedOn w:val="1"/>
    <w:link w:val="31"/>
    <w:autoRedefine/>
    <w:qFormat/>
    <w:uiPriority w:val="0"/>
    <w:pPr>
      <w:tabs>
        <w:tab w:val="center" w:pos="4153"/>
        <w:tab w:val="right" w:pos="8306"/>
      </w:tabs>
      <w:snapToGrid w:val="0"/>
    </w:pPr>
    <w:rPr>
      <w:sz w:val="18"/>
      <w:szCs w:val="18"/>
    </w:rPr>
  </w:style>
  <w:style w:type="paragraph" w:styleId="13">
    <w:name w:val="header"/>
    <w:basedOn w:val="1"/>
    <w:link w:val="30"/>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1"/>
    <w:pPr>
      <w:spacing w:before="186"/>
      <w:ind w:left="218"/>
    </w:pPr>
    <w:rPr>
      <w:sz w:val="28"/>
      <w:szCs w:val="28"/>
    </w:rPr>
  </w:style>
  <w:style w:type="paragraph" w:styleId="15">
    <w:name w:val="footnote text"/>
    <w:basedOn w:val="1"/>
    <w:autoRedefine/>
    <w:qFormat/>
    <w:uiPriority w:val="99"/>
    <w:pPr>
      <w:snapToGrid w:val="0"/>
    </w:pPr>
    <w:rPr>
      <w:sz w:val="18"/>
      <w:szCs w:val="18"/>
    </w:rPr>
  </w:style>
  <w:style w:type="paragraph" w:styleId="16">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autoRedefine/>
    <w:qFormat/>
    <w:uiPriority w:val="0"/>
    <w:pPr>
      <w:autoSpaceDE/>
      <w:autoSpaceDN/>
      <w:spacing w:after="120"/>
      <w:ind w:firstLine="420" w:firstLineChars="100"/>
      <w:jc w:val="both"/>
    </w:pPr>
    <w:rPr>
      <w:kern w:val="2"/>
      <w:sz w:val="21"/>
      <w:szCs w:val="21"/>
    </w:rPr>
  </w:style>
  <w:style w:type="paragraph" w:styleId="18">
    <w:name w:val="Body Text First Indent 2"/>
    <w:basedOn w:val="8"/>
    <w:autoRedefine/>
    <w:unhideWhenUsed/>
    <w:qFormat/>
    <w:uiPriority w:val="0"/>
    <w:pPr>
      <w:widowControl/>
      <w:ind w:firstLine="200" w:firstLineChars="200"/>
    </w:pPr>
    <w:rPr>
      <w:rFonts w:ascii="Calibri" w:hAnsi="Calibri" w:cs="Times New Roman"/>
      <w:sz w:val="28"/>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autoRedefine/>
    <w:qFormat/>
    <w:uiPriority w:val="22"/>
    <w:rPr>
      <w:b/>
      <w:bCs/>
    </w:rPr>
  </w:style>
  <w:style w:type="character" w:styleId="23">
    <w:name w:val="Hyperlink"/>
    <w:basedOn w:val="21"/>
    <w:autoRedefine/>
    <w:qFormat/>
    <w:uiPriority w:val="0"/>
    <w:rPr>
      <w:color w:val="0000FF" w:themeColor="hyperlink"/>
      <w:u w:val="single"/>
    </w:rPr>
  </w:style>
  <w:style w:type="paragraph" w:customStyle="1" w:styleId="24">
    <w:name w:val="BodyText1I"/>
    <w:basedOn w:val="25"/>
    <w:autoRedefine/>
    <w:qFormat/>
    <w:uiPriority w:val="99"/>
    <w:pPr>
      <w:ind w:firstLine="420" w:firstLineChars="100"/>
    </w:pPr>
  </w:style>
  <w:style w:type="paragraph" w:customStyle="1" w:styleId="25">
    <w:name w:val="BodyText"/>
    <w:basedOn w:val="1"/>
    <w:autoRedefine/>
    <w:qFormat/>
    <w:uiPriority w:val="99"/>
    <w:pPr>
      <w:spacing w:after="120"/>
    </w:pPr>
  </w:style>
  <w:style w:type="paragraph" w:customStyle="1" w:styleId="26">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autoRedefine/>
    <w:semiHidden/>
    <w:unhideWhenUsed/>
    <w:qFormat/>
    <w:uiPriority w:val="2"/>
    <w:tblPr>
      <w:tblCellMar>
        <w:top w:w="0" w:type="dxa"/>
        <w:left w:w="0" w:type="dxa"/>
        <w:bottom w:w="0" w:type="dxa"/>
        <w:right w:w="0" w:type="dxa"/>
      </w:tblCellMar>
    </w:tblPr>
  </w:style>
  <w:style w:type="paragraph" w:styleId="28">
    <w:name w:val="List Paragraph"/>
    <w:basedOn w:val="1"/>
    <w:autoRedefine/>
    <w:qFormat/>
    <w:uiPriority w:val="1"/>
    <w:pPr>
      <w:ind w:left="218" w:firstLine="239"/>
    </w:pPr>
  </w:style>
  <w:style w:type="paragraph" w:customStyle="1" w:styleId="29">
    <w:name w:val="Table Paragraph"/>
    <w:basedOn w:val="1"/>
    <w:autoRedefine/>
    <w:qFormat/>
    <w:uiPriority w:val="1"/>
  </w:style>
  <w:style w:type="character" w:customStyle="1" w:styleId="30">
    <w:name w:val="页眉 Char"/>
    <w:basedOn w:val="21"/>
    <w:link w:val="13"/>
    <w:autoRedefine/>
    <w:qFormat/>
    <w:uiPriority w:val="0"/>
    <w:rPr>
      <w:rFonts w:ascii="宋体" w:hAnsi="宋体" w:cs="宋体"/>
      <w:sz w:val="18"/>
      <w:szCs w:val="18"/>
      <w:lang w:val="zh-CN" w:bidi="zh-CN"/>
    </w:rPr>
  </w:style>
  <w:style w:type="character" w:customStyle="1" w:styleId="31">
    <w:name w:val="页脚 Char"/>
    <w:basedOn w:val="21"/>
    <w:link w:val="12"/>
    <w:autoRedefine/>
    <w:qFormat/>
    <w:uiPriority w:val="0"/>
    <w:rPr>
      <w:rFonts w:ascii="宋体" w:hAnsi="宋体" w:cs="宋体"/>
      <w:sz w:val="18"/>
      <w:szCs w:val="18"/>
      <w:lang w:val="zh-CN" w:bidi="zh-CN"/>
    </w:rPr>
  </w:style>
  <w:style w:type="character" w:customStyle="1" w:styleId="32">
    <w:name w:val="批注框文本 Char"/>
    <w:basedOn w:val="21"/>
    <w:link w:val="11"/>
    <w:autoRedefine/>
    <w:qFormat/>
    <w:uiPriority w:val="0"/>
    <w:rPr>
      <w:rFonts w:ascii="宋体" w:hAnsi="宋体" w:cs="宋体"/>
      <w:sz w:val="18"/>
      <w:szCs w:val="18"/>
      <w:lang w:val="zh-CN" w:bidi="zh-CN"/>
    </w:rPr>
  </w:style>
  <w:style w:type="character" w:customStyle="1" w:styleId="33">
    <w:name w:val="正文文本 Char"/>
    <w:basedOn w:val="21"/>
    <w:link w:val="7"/>
    <w:autoRedefine/>
    <w:qFormat/>
    <w:uiPriority w:val="1"/>
    <w:rPr>
      <w:rFonts w:ascii="宋体" w:hAnsi="宋体" w:cs="宋体"/>
      <w:sz w:val="24"/>
      <w:szCs w:val="24"/>
      <w:lang w:val="zh-CN" w:bidi="zh-CN"/>
    </w:rPr>
  </w:style>
  <w:style w:type="paragraph" w:customStyle="1" w:styleId="34">
    <w:name w:val="列出段落1"/>
    <w:basedOn w:val="1"/>
    <w:autoRedefine/>
    <w:qFormat/>
    <w:uiPriority w:val="0"/>
    <w:pPr>
      <w:ind w:left="218" w:firstLine="239"/>
    </w:pPr>
    <w:rPr>
      <w:lang w:bidi="ar-SA"/>
    </w:rPr>
  </w:style>
  <w:style w:type="paragraph" w:customStyle="1" w:styleId="35">
    <w:name w:val="样式 标题 3 + (中文) 黑体 小四 非加粗 段前: 7.8 磅 段后: 0 磅 行距: 固定值 20 磅"/>
    <w:basedOn w:val="4"/>
    <w:autoRedefine/>
    <w:qFormat/>
    <w:uiPriority w:val="0"/>
    <w:pPr>
      <w:spacing w:line="400" w:lineRule="exact"/>
    </w:pPr>
    <w:rPr>
      <w:rFonts w:eastAsia="黑体"/>
      <w:b w:val="0"/>
      <w:bCs w:val="0"/>
      <w:sz w:val="24"/>
      <w:szCs w:val="20"/>
    </w:rPr>
  </w:style>
  <w:style w:type="paragraph" w:customStyle="1" w:styleId="36">
    <w:name w:val="正文文本缩进1"/>
    <w:basedOn w:val="1"/>
    <w:autoRedefine/>
    <w:qFormat/>
    <w:uiPriority w:val="0"/>
    <w:pPr>
      <w:widowControl/>
      <w:spacing w:line="400" w:lineRule="exact"/>
      <w:ind w:firstLine="420" w:firstLineChars="200"/>
    </w:pPr>
    <w:rPr>
      <w:sz w:val="20"/>
      <w:szCs w:val="20"/>
    </w:rPr>
  </w:style>
  <w:style w:type="character" w:customStyle="1" w:styleId="37">
    <w:name w:val="正文首行缩进 Char"/>
    <w:basedOn w:val="33"/>
    <w:autoRedefine/>
    <w:qFormat/>
    <w:uiPriority w:val="0"/>
    <w:rPr>
      <w:rFonts w:ascii="宋体" w:hAnsi="宋体" w:cs="宋体"/>
      <w:sz w:val="22"/>
      <w:szCs w:val="22"/>
      <w:lang w:val="zh-CN" w:bidi="zh-CN"/>
    </w:rPr>
  </w:style>
  <w:style w:type="character" w:customStyle="1" w:styleId="38">
    <w:name w:val="正文首行缩进 Char1"/>
    <w:basedOn w:val="33"/>
    <w:link w:val="17"/>
    <w:autoRedefine/>
    <w:qFormat/>
    <w:uiPriority w:val="0"/>
    <w:rPr>
      <w:rFonts w:ascii="宋体" w:hAnsi="宋体" w:cs="宋体"/>
      <w:kern w:val="2"/>
      <w:sz w:val="21"/>
      <w:szCs w:val="21"/>
      <w:lang w:val="zh-CN" w:bidi="zh-CN"/>
    </w:rPr>
  </w:style>
  <w:style w:type="paragraph" w:customStyle="1" w:styleId="39">
    <w:name w:val="正文1"/>
    <w:basedOn w:val="1"/>
    <w:autoRedefine/>
    <w:qFormat/>
    <w:uiPriority w:val="0"/>
    <w:pPr>
      <w:widowControl/>
      <w:topLinePunct/>
      <w:spacing w:beforeLines="50" w:afterLines="50" w:line="300" w:lineRule="auto"/>
      <w:ind w:left="420"/>
    </w:pPr>
  </w:style>
  <w:style w:type="paragraph" w:customStyle="1" w:styleId="40">
    <w:name w:val="Char Char Char Char Char Char Char1 Char"/>
    <w:basedOn w:val="1"/>
    <w:autoRedefine/>
    <w:qFormat/>
    <w:uiPriority w:val="0"/>
    <w:rPr>
      <w:rFonts w:ascii="Tahoma" w:hAnsi="Tahoma"/>
    </w:rPr>
  </w:style>
  <w:style w:type="paragraph" w:customStyle="1" w:styleId="41">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2">
    <w:name w:val="font111"/>
    <w:basedOn w:val="21"/>
    <w:autoRedefine/>
    <w:qFormat/>
    <w:uiPriority w:val="0"/>
    <w:rPr>
      <w:rFonts w:hint="eastAsia" w:ascii="宋体" w:hAnsi="宋体" w:eastAsia="宋体" w:cs="宋体"/>
      <w:color w:val="000000"/>
      <w:sz w:val="24"/>
      <w:szCs w:val="24"/>
      <w:u w:val="none"/>
      <w:vertAlign w:val="superscript"/>
    </w:rPr>
  </w:style>
  <w:style w:type="character" w:customStyle="1" w:styleId="43">
    <w:name w:val="font01"/>
    <w:basedOn w:val="21"/>
    <w:autoRedefine/>
    <w:qFormat/>
    <w:uiPriority w:val="0"/>
    <w:rPr>
      <w:rFonts w:hint="eastAsia" w:ascii="宋体" w:hAnsi="宋体" w:eastAsia="宋体" w:cs="宋体"/>
      <w:color w:val="000000"/>
      <w:sz w:val="24"/>
      <w:szCs w:val="24"/>
      <w:u w:val="none"/>
    </w:rPr>
  </w:style>
  <w:style w:type="character" w:customStyle="1" w:styleId="44">
    <w:name w:val="font61"/>
    <w:basedOn w:val="21"/>
    <w:qFormat/>
    <w:uiPriority w:val="0"/>
    <w:rPr>
      <w:rFonts w:hint="default" w:ascii="Times New Roman" w:hAnsi="Times New Roman" w:cs="Times New Roman"/>
      <w:color w:val="000000"/>
      <w:sz w:val="24"/>
      <w:szCs w:val="24"/>
      <w:u w:val="none"/>
    </w:rPr>
  </w:style>
  <w:style w:type="character" w:customStyle="1" w:styleId="45">
    <w:name w:val="font91"/>
    <w:basedOn w:val="2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Info spid="_x0000_s512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1</Pages>
  <Words>3295</Words>
  <Characters>18785</Characters>
  <Lines>156</Lines>
  <Paragraphs>44</Paragraphs>
  <TotalTime>0</TotalTime>
  <ScaleCrop>false</ScaleCrop>
  <LinksUpToDate>false</LinksUpToDate>
  <CharactersWithSpaces>22036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2024-04-01T08:04:00Z</dcterms:created>
  <dc:creator>微软用户</dc:creator>
  <cp:lastModifiedBy>曹晨阳</cp:lastModifiedBy>
  <cp:lastPrinted>2020-04-29T04:44:00Z</cp:lastPrinted>
  <dcterms:modified xsi:type="dcterms:W3CDTF">2024-04-23T07:53:58Z</dcterms:modified>
  <dc:title>周口市政府采购中心招标文件</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2052-12.1.0.16417</vt:lpwstr>
  </property>
  <property fmtid="{D5CDD505-2E9C-101B-9397-08002B2CF9AE}" pid="6" name="ICV">
    <vt:lpwstr>41C9954B8BBA46D2B48739396E39A0BA</vt:lpwstr>
  </property>
</Properties>
</file>