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auto"/>
        <w:jc w:val="center"/>
        <w:rPr>
          <w:rFonts w:ascii="Arial Black" w:hAnsi="Arial Black" w:eastAsia="Arial Black" w:cs="Arial Black"/>
          <w:b/>
          <w:color w:val="000000" w:themeColor="text1"/>
          <w:spacing w:val="36"/>
          <w:sz w:val="52"/>
          <w14:textFill>
            <w14:solidFill>
              <w14:schemeClr w14:val="tx1"/>
            </w14:solidFill>
          </w14:textFill>
        </w:rPr>
      </w:pPr>
      <w:r>
        <w:rPr>
          <w:rFonts w:ascii="宋体" w:hAnsi="宋体" w:eastAsia="宋体" w:cs="宋体"/>
          <w:b/>
          <w:color w:val="000000" w:themeColor="text1"/>
          <w:spacing w:val="36"/>
          <w:sz w:val="52"/>
          <w14:textFill>
            <w14:solidFill>
              <w14:schemeClr w14:val="tx1"/>
            </w14:solidFill>
          </w14:textFill>
        </w:rPr>
        <w:t>周口市公共资源交易中心</w:t>
      </w:r>
    </w:p>
    <w:p>
      <w:pPr>
        <w:tabs>
          <w:tab w:val="left" w:pos="315"/>
          <w:tab w:val="left" w:pos="8820"/>
        </w:tabs>
        <w:spacing w:line="500" w:lineRule="auto"/>
        <w:ind w:right="267"/>
        <w:jc w:val="center"/>
        <w:rPr>
          <w:rFonts w:hint="eastAsia" w:ascii="仿宋_GB2312" w:hAnsi="仿宋_GB2312" w:cs="仿宋_GB2312"/>
          <w:b/>
          <w:color w:val="000000" w:themeColor="text1"/>
          <w:sz w:val="48"/>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tabs>
          <w:tab w:val="left" w:pos="315"/>
          <w:tab w:val="left" w:pos="8820"/>
        </w:tabs>
        <w:spacing w:line="500" w:lineRule="auto"/>
        <w:ind w:right="267"/>
        <w:jc w:val="center"/>
        <w:rPr>
          <w:rFonts w:ascii="微软简标宋" w:hAnsi="微软简标宋" w:eastAsia="微软简标宋" w:cs="微软简标宋"/>
          <w:b/>
          <w:color w:val="000000" w:themeColor="text1"/>
          <w:sz w:val="84"/>
          <w:szCs w:val="84"/>
          <w14:textFill>
            <w14:solidFill>
              <w14:schemeClr w14:val="tx1"/>
            </w14:solidFill>
          </w14:textFill>
        </w:rPr>
      </w:pPr>
      <w:r>
        <w:rPr>
          <w:rFonts w:ascii="宋体" w:hAnsi="宋体" w:eastAsia="宋体" w:cs="宋体"/>
          <w:b/>
          <w:color w:val="000000" w:themeColor="text1"/>
          <w:sz w:val="84"/>
          <w:szCs w:val="84"/>
          <w14:textFill>
            <w14:solidFill>
              <w14:schemeClr w14:val="tx1"/>
            </w14:solidFill>
          </w14:textFill>
        </w:rPr>
        <w:t>竞争性磋商文件</w:t>
      </w:r>
    </w:p>
    <w:p>
      <w:pPr>
        <w:tabs>
          <w:tab w:val="left" w:pos="315"/>
          <w:tab w:val="left" w:pos="8820"/>
        </w:tabs>
        <w:spacing w:line="500" w:lineRule="auto"/>
        <w:ind w:right="267"/>
        <w:jc w:val="center"/>
        <w:rPr>
          <w:rFonts w:ascii="仿宋_GB2312" w:hAnsi="仿宋_GB2312" w:eastAsia="仿宋_GB2312" w:cs="仿宋_GB2312"/>
          <w:color w:val="000000" w:themeColor="text1"/>
          <w:sz w:val="44"/>
          <w14:textFill>
            <w14:solidFill>
              <w14:schemeClr w14:val="tx1"/>
            </w14:solidFill>
          </w14:textFill>
        </w:rPr>
      </w:pPr>
    </w:p>
    <w:p>
      <w:pPr>
        <w:tabs>
          <w:tab w:val="left" w:pos="315"/>
          <w:tab w:val="left" w:pos="8820"/>
        </w:tabs>
        <w:ind w:right="267"/>
        <w:rPr>
          <w:rFonts w:ascii="仿宋_GB2312" w:hAnsi="仿宋_GB2312" w:eastAsia="仿宋_GB2312" w:cs="仿宋_GB2312"/>
          <w:color w:val="000000" w:themeColor="text1"/>
          <w:sz w:val="44"/>
          <w14:textFill>
            <w14:solidFill>
              <w14:schemeClr w14:val="tx1"/>
            </w14:solidFill>
          </w14:textFill>
        </w:rPr>
      </w:pPr>
    </w:p>
    <w:p>
      <w:pPr>
        <w:tabs>
          <w:tab w:val="left" w:pos="315"/>
          <w:tab w:val="left" w:pos="8820"/>
        </w:tabs>
        <w:spacing w:line="500" w:lineRule="auto"/>
        <w:ind w:right="267"/>
        <w:rPr>
          <w:rFonts w:ascii="仿宋_GB2312" w:hAnsi="仿宋_GB2312" w:eastAsia="仿宋_GB2312" w:cs="仿宋_GB2312"/>
          <w:b/>
          <w:color w:val="000000" w:themeColor="text1"/>
          <w:sz w:val="36"/>
          <w14:textFill>
            <w14:solidFill>
              <w14:schemeClr w14:val="tx1"/>
            </w14:solidFill>
          </w14:textFill>
        </w:rPr>
      </w:pPr>
    </w:p>
    <w:p>
      <w:pPr>
        <w:tabs>
          <w:tab w:val="left" w:pos="315"/>
          <w:tab w:val="left" w:pos="8820"/>
        </w:tabs>
        <w:spacing w:line="500" w:lineRule="auto"/>
        <w:ind w:right="267"/>
        <w:rPr>
          <w:rFonts w:ascii="仿宋_GB2312" w:hAnsi="仿宋_GB2312" w:eastAsia="仿宋_GB2312" w:cs="仿宋_GB2312"/>
          <w:b/>
          <w:color w:val="000000" w:themeColor="text1"/>
          <w:sz w:val="36"/>
          <w14:textFill>
            <w14:solidFill>
              <w14:schemeClr w14:val="tx1"/>
            </w14:solidFill>
          </w14:textFill>
        </w:rPr>
      </w:pPr>
    </w:p>
    <w:p>
      <w:pPr>
        <w:tabs>
          <w:tab w:val="left" w:pos="315"/>
          <w:tab w:val="left" w:pos="8820"/>
        </w:tabs>
        <w:spacing w:line="500" w:lineRule="auto"/>
        <w:ind w:right="267"/>
        <w:jc w:val="center"/>
        <w:rPr>
          <w:rFonts w:ascii="宋体" w:hAnsi="宋体" w:eastAsia="宋体" w:cs="宋体"/>
          <w:color w:val="000000" w:themeColor="text1"/>
          <w:sz w:val="32"/>
          <w14:textFill>
            <w14:solidFill>
              <w14:schemeClr w14:val="tx1"/>
            </w14:solidFill>
          </w14:textFill>
        </w:rPr>
      </w:pPr>
    </w:p>
    <w:p>
      <w:pPr>
        <w:tabs>
          <w:tab w:val="left" w:pos="315"/>
          <w:tab w:val="left" w:pos="8820"/>
        </w:tabs>
        <w:spacing w:line="500" w:lineRule="auto"/>
        <w:ind w:right="267"/>
        <w:jc w:val="center"/>
        <w:rPr>
          <w:rFonts w:ascii="微软简标宋" w:hAnsi="微软简标宋" w:eastAsia="微软简标宋" w:cs="微软简标宋"/>
          <w:b/>
          <w:color w:val="000000" w:themeColor="text1"/>
          <w:sz w:val="52"/>
          <w14:textFill>
            <w14:solidFill>
              <w14:schemeClr w14:val="tx1"/>
            </w14:solidFill>
          </w14:textFill>
        </w:rPr>
      </w:pPr>
    </w:p>
    <w:p>
      <w:pPr>
        <w:tabs>
          <w:tab w:val="left" w:pos="315"/>
          <w:tab w:val="left" w:pos="8820"/>
        </w:tabs>
        <w:spacing w:line="600" w:lineRule="auto"/>
        <w:ind w:right="267"/>
        <w:jc w:val="left"/>
        <w:rPr>
          <w:rFonts w:ascii="宋体" w:hAnsi="宋体" w:eastAsia="宋体" w:cs="宋体"/>
          <w:b/>
          <w:color w:val="000000" w:themeColor="text1"/>
          <w:sz w:val="32"/>
          <w:szCs w:val="32"/>
          <w14:textFill>
            <w14:solidFill>
              <w14:schemeClr w14:val="tx1"/>
            </w14:solidFill>
          </w14:textFill>
        </w:rPr>
      </w:pPr>
      <w:r>
        <w:rPr>
          <w:rFonts w:ascii="宋体" w:hAnsi="宋体" w:eastAsia="宋体" w:cs="宋体"/>
          <w:b/>
          <w:color w:val="000000" w:themeColor="text1"/>
          <w:sz w:val="32"/>
          <w:szCs w:val="32"/>
          <w14:textFill>
            <w14:solidFill>
              <w14:schemeClr w14:val="tx1"/>
            </w14:solidFill>
          </w14:textFill>
        </w:rPr>
        <w:t xml:space="preserve">项目名称: </w:t>
      </w:r>
      <w:r>
        <w:rPr>
          <w:rFonts w:hint="eastAsia" w:ascii="宋体" w:hAnsi="宋体" w:eastAsia="宋体" w:cs="宋体"/>
          <w:b/>
          <w:color w:val="000000" w:themeColor="text1"/>
          <w:sz w:val="32"/>
          <w:szCs w:val="32"/>
          <w14:textFill>
            <w14:solidFill>
              <w14:schemeClr w14:val="tx1"/>
            </w14:solidFill>
          </w14:textFill>
        </w:rPr>
        <w:t>项城市公安局刑警大队购置电梯加装改造项目</w:t>
      </w:r>
    </w:p>
    <w:p>
      <w:pPr>
        <w:tabs>
          <w:tab w:val="left" w:pos="315"/>
          <w:tab w:val="left" w:pos="8820"/>
        </w:tabs>
        <w:spacing w:line="600" w:lineRule="auto"/>
        <w:ind w:right="267"/>
        <w:jc w:val="left"/>
        <w:rPr>
          <w:rFonts w:ascii="宋体" w:hAnsi="宋体" w:eastAsia="宋体" w:cs="宋体"/>
          <w:b/>
          <w:color w:val="000000" w:themeColor="text1"/>
          <w:sz w:val="32"/>
          <w:szCs w:val="32"/>
          <w14:textFill>
            <w14:solidFill>
              <w14:schemeClr w14:val="tx1"/>
            </w14:solidFill>
          </w14:textFill>
        </w:rPr>
      </w:pPr>
      <w:r>
        <w:rPr>
          <w:rFonts w:ascii="宋体" w:hAnsi="宋体" w:eastAsia="宋体" w:cs="宋体"/>
          <w:b/>
          <w:color w:val="000000" w:themeColor="text1"/>
          <w:sz w:val="32"/>
          <w:szCs w:val="32"/>
          <w14:textFill>
            <w14:solidFill>
              <w14:schemeClr w14:val="tx1"/>
            </w14:solidFill>
          </w14:textFill>
        </w:rPr>
        <w:t>项目编号:</w:t>
      </w:r>
      <w:r>
        <w:rPr>
          <w:rFonts w:hint="eastAsia" w:ascii="宋体" w:hAnsi="宋体" w:eastAsia="宋体" w:cs="宋体"/>
          <w:b/>
          <w:color w:val="000000" w:themeColor="text1"/>
          <w:sz w:val="32"/>
          <w:szCs w:val="32"/>
          <w14:textFill>
            <w14:solidFill>
              <w14:schemeClr w14:val="tx1"/>
            </w14:solidFill>
          </w14:textFill>
        </w:rPr>
        <w:t xml:space="preserve"> 项财磋商采购-2024-25</w:t>
      </w:r>
    </w:p>
    <w:p>
      <w:pPr>
        <w:spacing w:after="120"/>
        <w:jc w:val="center"/>
        <w:rPr>
          <w:rFonts w:ascii="宋体" w:hAnsi="宋体" w:eastAsia="宋体" w:cs="宋体"/>
          <w:b/>
          <w:color w:val="000000" w:themeColor="text1"/>
          <w:sz w:val="32"/>
          <w14:textFill>
            <w14:solidFill>
              <w14:schemeClr w14:val="tx1"/>
            </w14:solidFill>
          </w14:textFill>
        </w:rPr>
      </w:pPr>
      <w:r>
        <w:rPr>
          <w:rFonts w:ascii="宋体" w:hAnsi="宋体" w:eastAsia="宋体" w:cs="宋体"/>
          <w:b/>
          <w:color w:val="000000" w:themeColor="text1"/>
          <w:sz w:val="32"/>
          <w14:textFill>
            <w14:solidFill>
              <w14:schemeClr w14:val="tx1"/>
            </w14:solidFill>
          </w14:textFill>
        </w:rPr>
        <w:t>202</w:t>
      </w:r>
      <w:r>
        <w:rPr>
          <w:rFonts w:hint="eastAsia" w:ascii="宋体" w:hAnsi="宋体" w:eastAsia="宋体" w:cs="宋体"/>
          <w:b/>
          <w:color w:val="000000" w:themeColor="text1"/>
          <w:sz w:val="32"/>
          <w14:textFill>
            <w14:solidFill>
              <w14:schemeClr w14:val="tx1"/>
            </w14:solidFill>
          </w14:textFill>
        </w:rPr>
        <w:t>4</w:t>
      </w:r>
      <w:r>
        <w:rPr>
          <w:rFonts w:ascii="宋体" w:hAnsi="宋体" w:eastAsia="宋体" w:cs="宋体"/>
          <w:b/>
          <w:color w:val="000000" w:themeColor="text1"/>
          <w:sz w:val="32"/>
          <w14:textFill>
            <w14:solidFill>
              <w14:schemeClr w14:val="tx1"/>
            </w14:solidFill>
          </w14:textFill>
        </w:rPr>
        <w:t>年</w:t>
      </w:r>
      <w:r>
        <w:rPr>
          <w:rFonts w:hint="eastAsia" w:ascii="宋体" w:hAnsi="宋体" w:eastAsia="宋体" w:cs="宋体"/>
          <w:b/>
          <w:color w:val="000000" w:themeColor="text1"/>
          <w:sz w:val="32"/>
          <w14:textFill>
            <w14:solidFill>
              <w14:schemeClr w14:val="tx1"/>
            </w14:solidFill>
          </w14:textFill>
        </w:rPr>
        <w:t>04</w:t>
      </w:r>
      <w:r>
        <w:rPr>
          <w:rFonts w:ascii="宋体" w:hAnsi="宋体" w:eastAsia="宋体" w:cs="宋体"/>
          <w:b/>
          <w:color w:val="000000" w:themeColor="text1"/>
          <w:sz w:val="32"/>
          <w14:textFill>
            <w14:solidFill>
              <w14:schemeClr w14:val="tx1"/>
            </w14:solidFill>
          </w14:textFill>
        </w:rPr>
        <w:t>月</w:t>
      </w:r>
      <w:r>
        <w:rPr>
          <w:rFonts w:hint="eastAsia" w:ascii="宋体" w:hAnsi="宋体" w:eastAsia="宋体" w:cs="宋体"/>
          <w:b/>
          <w:color w:val="000000" w:themeColor="text1"/>
          <w:sz w:val="32"/>
          <w14:textFill>
            <w14:solidFill>
              <w14:schemeClr w14:val="tx1"/>
            </w14:solidFill>
          </w14:textFill>
        </w:rPr>
        <w:t xml:space="preserve">  日 </w:t>
      </w: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sdt>
      <w:sdtPr>
        <w:rPr>
          <w:rFonts w:asciiTheme="minorHAnsi" w:hAnsiTheme="minorHAnsi" w:eastAsiaTheme="minorEastAsia" w:cstheme="minorBidi"/>
          <w:color w:val="000000" w:themeColor="text1"/>
          <w:sz w:val="21"/>
          <w:szCs w:val="22"/>
          <w:lang w:val="zh-CN"/>
          <w14:textFill>
            <w14:solidFill>
              <w14:schemeClr w14:val="tx1"/>
            </w14:solidFill>
          </w14:textFill>
        </w:rPr>
        <w:id w:val="-456416372"/>
        <w:docPartObj>
          <w:docPartGallery w:val="Table of Contents"/>
          <w:docPartUnique/>
        </w:docPartObj>
      </w:sdtPr>
      <w:sdtEndPr>
        <w:rPr>
          <w:rFonts w:asciiTheme="minorHAnsi" w:hAnsiTheme="minorHAnsi" w:eastAsiaTheme="minorEastAsia" w:cstheme="minorBidi"/>
          <w:b/>
          <w:bCs/>
          <w:color w:val="000000" w:themeColor="text1"/>
          <w:sz w:val="21"/>
          <w:szCs w:val="22"/>
          <w:lang w:val="zh-CN"/>
          <w14:textFill>
            <w14:solidFill>
              <w14:schemeClr w14:val="tx1"/>
            </w14:solidFill>
          </w14:textFill>
        </w:rPr>
      </w:sdtEndPr>
      <w:sdtContent>
        <w:p>
          <w:pPr>
            <w:pStyle w:val="65"/>
            <w:spacing w:line="480" w:lineRule="auto"/>
            <w:jc w:val="center"/>
            <w:rPr>
              <w:color w:val="000000" w:themeColor="text1"/>
              <w:sz w:val="72"/>
              <w:szCs w:val="72"/>
              <w14:textFill>
                <w14:solidFill>
                  <w14:schemeClr w14:val="tx1"/>
                </w14:solidFill>
              </w14:textFill>
            </w:rPr>
          </w:pPr>
          <w:r>
            <w:rPr>
              <w:color w:val="000000" w:themeColor="text1"/>
              <w:sz w:val="72"/>
              <w:szCs w:val="72"/>
              <w:lang w:val="zh-CN"/>
              <w14:textFill>
                <w14:solidFill>
                  <w14:schemeClr w14:val="tx1"/>
                </w14:solidFill>
              </w14:textFill>
            </w:rPr>
            <w:t>目</w:t>
          </w:r>
          <w:r>
            <w:rPr>
              <w:rFonts w:hint="eastAsia"/>
              <w:color w:val="000000" w:themeColor="text1"/>
              <w:sz w:val="72"/>
              <w:szCs w:val="72"/>
              <w:lang w:val="zh-CN"/>
              <w14:textFill>
                <w14:solidFill>
                  <w14:schemeClr w14:val="tx1"/>
                </w14:solidFill>
              </w14:textFill>
            </w:rPr>
            <w:t xml:space="preserve"> </w:t>
          </w:r>
          <w:r>
            <w:rPr>
              <w:color w:val="000000" w:themeColor="text1"/>
              <w:sz w:val="72"/>
              <w:szCs w:val="72"/>
              <w:lang w:val="zh-CN"/>
              <w14:textFill>
                <w14:solidFill>
                  <w14:schemeClr w14:val="tx1"/>
                </w14:solidFill>
              </w14:textFill>
            </w:rPr>
            <w:t xml:space="preserve">  录</w:t>
          </w:r>
        </w:p>
        <w:p>
          <w:pPr>
            <w:pStyle w:val="11"/>
            <w:tabs>
              <w:tab w:val="right" w:leader="dot" w:pos="8296"/>
            </w:tabs>
            <w:spacing w:line="480" w:lineRule="auto"/>
            <w:rPr>
              <w:color w:val="000000" w:themeColor="text1"/>
              <w:kern w:val="2"/>
              <w14:textFill>
                <w14:solidFill>
                  <w14:schemeClr w14:val="tx1"/>
                </w14:solidFill>
              </w14:textFill>
            </w:rPr>
          </w:pP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TOC \o "1-3" \h \z \u </w:instrText>
          </w:r>
          <w:r>
            <w:rPr>
              <w:color w:val="000000" w:themeColor="text1"/>
              <w:sz w:val="32"/>
              <w:szCs w:val="32"/>
              <w14:textFill>
                <w14:solidFill>
                  <w14:schemeClr w14:val="tx1"/>
                </w14:solidFill>
              </w14:textFill>
            </w:rPr>
            <w:fldChar w:fldCharType="separate"/>
          </w:r>
          <w:r>
            <w:fldChar w:fldCharType="begin"/>
          </w:r>
          <w:r>
            <w:instrText xml:space="preserve"> HYPERLINK \l "_Toc164239542" </w:instrText>
          </w:r>
          <w:r>
            <w:fldChar w:fldCharType="separate"/>
          </w:r>
          <w:r>
            <w:rPr>
              <w:rStyle w:val="19"/>
              <w:rFonts w:hint="eastAsia"/>
              <w:color w:val="000000" w:themeColor="text1"/>
              <w14:textFill>
                <w14:solidFill>
                  <w14:schemeClr w14:val="tx1"/>
                </w14:solidFill>
              </w14:textFill>
            </w:rPr>
            <w:t>第一章</w:t>
          </w:r>
          <w:r>
            <w:rPr>
              <w:rStyle w:val="19"/>
              <w:color w:val="000000" w:themeColor="text1"/>
              <w14:textFill>
                <w14:solidFill>
                  <w14:schemeClr w14:val="tx1"/>
                </w14:solidFill>
              </w14:textFill>
            </w:rPr>
            <w:t xml:space="preserve">    </w:t>
          </w:r>
          <w:r>
            <w:rPr>
              <w:rStyle w:val="19"/>
              <w:rFonts w:hint="eastAsia"/>
              <w:color w:val="000000" w:themeColor="text1"/>
              <w14:textFill>
                <w14:solidFill>
                  <w14:schemeClr w14:val="tx1"/>
                </w14:solidFill>
              </w14:textFill>
            </w:rPr>
            <w:t>竞争性磋商邀请函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_Toc164239542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8296"/>
            </w:tabs>
            <w:spacing w:line="480" w:lineRule="auto"/>
            <w:rPr>
              <w:color w:val="000000" w:themeColor="text1"/>
              <w:kern w:val="2"/>
              <w14:textFill>
                <w14:solidFill>
                  <w14:schemeClr w14:val="tx1"/>
                </w14:solidFill>
              </w14:textFill>
            </w:rPr>
          </w:pPr>
          <w:r>
            <w:fldChar w:fldCharType="begin"/>
          </w:r>
          <w:r>
            <w:instrText xml:space="preserve"> HYPERLINK \l "_Toc164239543" </w:instrText>
          </w:r>
          <w:r>
            <w:fldChar w:fldCharType="separate"/>
          </w:r>
          <w:r>
            <w:rPr>
              <w:rStyle w:val="19"/>
              <w:rFonts w:hint="eastAsia"/>
              <w:color w:val="000000" w:themeColor="text1"/>
              <w14:textFill>
                <w14:solidFill>
                  <w14:schemeClr w14:val="tx1"/>
                </w14:solidFill>
              </w14:textFill>
            </w:rPr>
            <w:t>第二章</w:t>
          </w:r>
          <w:r>
            <w:rPr>
              <w:rStyle w:val="19"/>
              <w:color w:val="000000" w:themeColor="text1"/>
              <w14:textFill>
                <w14:solidFill>
                  <w14:schemeClr w14:val="tx1"/>
                </w14:solidFill>
              </w14:textFill>
            </w:rPr>
            <w:t xml:space="preserve">    </w:t>
          </w:r>
          <w:r>
            <w:rPr>
              <w:rStyle w:val="19"/>
              <w:rFonts w:hint="eastAsia"/>
              <w:color w:val="000000" w:themeColor="text1"/>
              <w14:textFill>
                <w14:solidFill>
                  <w14:schemeClr w14:val="tx1"/>
                </w14:solidFill>
              </w14:textFill>
            </w:rPr>
            <w:t>供应商须知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_Toc164239543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spacing w:line="480" w:lineRule="auto"/>
            <w:rPr>
              <w:color w:val="000000" w:themeColor="text1"/>
              <w:kern w:val="2"/>
              <w14:textFill>
                <w14:solidFill>
                  <w14:schemeClr w14:val="tx1"/>
                </w14:solidFill>
              </w14:textFill>
            </w:rPr>
          </w:pPr>
          <w:r>
            <w:fldChar w:fldCharType="begin"/>
          </w:r>
          <w:r>
            <w:instrText xml:space="preserve"> HYPERLINK \l "_Toc164239544" </w:instrText>
          </w:r>
          <w:r>
            <w:fldChar w:fldCharType="separate"/>
          </w:r>
          <w:r>
            <w:rPr>
              <w:rStyle w:val="19"/>
              <w:rFonts w:hint="eastAsia"/>
              <w:color w:val="000000" w:themeColor="text1"/>
              <w14:textFill>
                <w14:solidFill>
                  <w14:schemeClr w14:val="tx1"/>
                </w14:solidFill>
              </w14:textFill>
            </w:rPr>
            <w:t>一、总则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_Toc164239544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spacing w:line="480" w:lineRule="auto"/>
            <w:rPr>
              <w:color w:val="000000" w:themeColor="text1"/>
              <w:kern w:val="2"/>
              <w14:textFill>
                <w14:solidFill>
                  <w14:schemeClr w14:val="tx1"/>
                </w14:solidFill>
              </w14:textFill>
            </w:rPr>
          </w:pPr>
          <w:r>
            <w:fldChar w:fldCharType="begin"/>
          </w:r>
          <w:r>
            <w:instrText xml:space="preserve"> HYPERLINK \l "_Toc164239545" </w:instrText>
          </w:r>
          <w:r>
            <w:fldChar w:fldCharType="separate"/>
          </w:r>
          <w:r>
            <w:rPr>
              <w:rStyle w:val="19"/>
              <w:rFonts w:hint="eastAsia"/>
              <w:color w:val="000000" w:themeColor="text1"/>
              <w14:textFill>
                <w14:solidFill>
                  <w14:schemeClr w14:val="tx1"/>
                </w14:solidFill>
              </w14:textFill>
            </w:rPr>
            <w:t>二、竞争性磋商文件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_Toc164239545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10</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spacing w:line="480" w:lineRule="auto"/>
            <w:rPr>
              <w:color w:val="000000" w:themeColor="text1"/>
              <w:kern w:val="2"/>
              <w14:textFill>
                <w14:solidFill>
                  <w14:schemeClr w14:val="tx1"/>
                </w14:solidFill>
              </w14:textFill>
            </w:rPr>
          </w:pPr>
          <w:r>
            <w:fldChar w:fldCharType="begin"/>
          </w:r>
          <w:r>
            <w:instrText xml:space="preserve"> HYPERLINK \l "_Toc164239546" </w:instrText>
          </w:r>
          <w:r>
            <w:fldChar w:fldCharType="separate"/>
          </w:r>
          <w:r>
            <w:rPr>
              <w:rStyle w:val="19"/>
              <w:rFonts w:hint="eastAsia"/>
              <w:color w:val="000000" w:themeColor="text1"/>
              <w14:textFill>
                <w14:solidFill>
                  <w14:schemeClr w14:val="tx1"/>
                </w14:solidFill>
              </w14:textFill>
            </w:rPr>
            <w:t>三、响应性文件的编制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_Toc164239546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spacing w:line="480" w:lineRule="auto"/>
            <w:rPr>
              <w:color w:val="000000" w:themeColor="text1"/>
              <w:kern w:val="2"/>
              <w14:textFill>
                <w14:solidFill>
                  <w14:schemeClr w14:val="tx1"/>
                </w14:solidFill>
              </w14:textFill>
            </w:rPr>
          </w:pPr>
          <w:r>
            <w:fldChar w:fldCharType="begin"/>
          </w:r>
          <w:r>
            <w:instrText xml:space="preserve"> HYPERLINK \l "_Toc164239547" </w:instrText>
          </w:r>
          <w:r>
            <w:fldChar w:fldCharType="separate"/>
          </w:r>
          <w:r>
            <w:rPr>
              <w:rStyle w:val="19"/>
              <w:rFonts w:hint="eastAsia"/>
              <w:color w:val="000000" w:themeColor="text1"/>
              <w14:textFill>
                <w14:solidFill>
                  <w14:schemeClr w14:val="tx1"/>
                </w14:solidFill>
              </w14:textFill>
            </w:rPr>
            <w:t>四、响应性文件的递交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_Toc164239547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spacing w:line="480" w:lineRule="auto"/>
            <w:rPr>
              <w:color w:val="000000" w:themeColor="text1"/>
              <w:kern w:val="2"/>
              <w14:textFill>
                <w14:solidFill>
                  <w14:schemeClr w14:val="tx1"/>
                </w14:solidFill>
              </w14:textFill>
            </w:rPr>
          </w:pPr>
          <w:r>
            <w:fldChar w:fldCharType="begin"/>
          </w:r>
          <w:r>
            <w:instrText xml:space="preserve"> HYPERLINK \l "_Toc164239548" </w:instrText>
          </w:r>
          <w:r>
            <w:fldChar w:fldCharType="separate"/>
          </w:r>
          <w:r>
            <w:rPr>
              <w:rStyle w:val="19"/>
              <w:rFonts w:hint="eastAsia"/>
              <w:color w:val="000000" w:themeColor="text1"/>
              <w14:textFill>
                <w14:solidFill>
                  <w14:schemeClr w14:val="tx1"/>
                </w14:solidFill>
              </w14:textFill>
            </w:rPr>
            <w:t>五、竞争性磋商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_Toc164239548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spacing w:line="480" w:lineRule="auto"/>
            <w:rPr>
              <w:color w:val="000000" w:themeColor="text1"/>
              <w:kern w:val="2"/>
              <w14:textFill>
                <w14:solidFill>
                  <w14:schemeClr w14:val="tx1"/>
                </w14:solidFill>
              </w14:textFill>
            </w:rPr>
          </w:pPr>
          <w:r>
            <w:fldChar w:fldCharType="begin"/>
          </w:r>
          <w:r>
            <w:instrText xml:space="preserve"> HYPERLINK \l "_Toc164239549" </w:instrText>
          </w:r>
          <w:r>
            <w:fldChar w:fldCharType="separate"/>
          </w:r>
          <w:r>
            <w:rPr>
              <w:rStyle w:val="19"/>
              <w:rFonts w:hint="eastAsia"/>
              <w:color w:val="000000" w:themeColor="text1"/>
              <w14:textFill>
                <w14:solidFill>
                  <w14:schemeClr w14:val="tx1"/>
                </w14:solidFill>
              </w14:textFill>
            </w:rPr>
            <w:t>六、评定标准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_Toc164239549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spacing w:line="480" w:lineRule="auto"/>
            <w:rPr>
              <w:color w:val="000000" w:themeColor="text1"/>
              <w:kern w:val="2"/>
              <w14:textFill>
                <w14:solidFill>
                  <w14:schemeClr w14:val="tx1"/>
                </w14:solidFill>
              </w14:textFill>
            </w:rPr>
          </w:pPr>
          <w:r>
            <w:fldChar w:fldCharType="begin"/>
          </w:r>
          <w:r>
            <w:instrText xml:space="preserve"> HYPERLINK \l "_Toc164239550" </w:instrText>
          </w:r>
          <w:r>
            <w:fldChar w:fldCharType="separate"/>
          </w:r>
          <w:r>
            <w:rPr>
              <w:rStyle w:val="19"/>
              <w:rFonts w:hint="eastAsia"/>
              <w:color w:val="000000" w:themeColor="text1"/>
              <w14:textFill>
                <w14:solidFill>
                  <w14:schemeClr w14:val="tx1"/>
                </w14:solidFill>
              </w14:textFill>
            </w:rPr>
            <w:t>七、成交通知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_Toc164239550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spacing w:line="480" w:lineRule="auto"/>
            <w:rPr>
              <w:color w:val="000000" w:themeColor="text1"/>
              <w:kern w:val="2"/>
              <w14:textFill>
                <w14:solidFill>
                  <w14:schemeClr w14:val="tx1"/>
                </w14:solidFill>
              </w14:textFill>
            </w:rPr>
          </w:pPr>
          <w:r>
            <w:fldChar w:fldCharType="begin"/>
          </w:r>
          <w:r>
            <w:instrText xml:space="preserve"> HYPERLINK \l "_Toc164239551" </w:instrText>
          </w:r>
          <w:r>
            <w:fldChar w:fldCharType="separate"/>
          </w:r>
          <w:r>
            <w:rPr>
              <w:rStyle w:val="19"/>
              <w:rFonts w:hint="eastAsia"/>
              <w:color w:val="000000" w:themeColor="text1"/>
              <w14:textFill>
                <w14:solidFill>
                  <w14:schemeClr w14:val="tx1"/>
                </w14:solidFill>
              </w14:textFill>
            </w:rPr>
            <w:t>八、合同授予</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_Toc164239551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spacing w:line="480" w:lineRule="auto"/>
            <w:rPr>
              <w:color w:val="000000" w:themeColor="text1"/>
              <w:kern w:val="2"/>
              <w14:textFill>
                <w14:solidFill>
                  <w14:schemeClr w14:val="tx1"/>
                </w14:solidFill>
              </w14:textFill>
            </w:rPr>
          </w:pPr>
          <w:r>
            <w:fldChar w:fldCharType="begin"/>
          </w:r>
          <w:r>
            <w:instrText xml:space="preserve"> HYPERLINK \l "_Toc164239552" </w:instrText>
          </w:r>
          <w:r>
            <w:fldChar w:fldCharType="separate"/>
          </w:r>
          <w:r>
            <w:rPr>
              <w:rStyle w:val="19"/>
              <w:rFonts w:hint="eastAsia"/>
              <w:color w:val="000000" w:themeColor="text1"/>
              <w14:textFill>
                <w14:solidFill>
                  <w14:schemeClr w14:val="tx1"/>
                </w14:solidFill>
              </w14:textFill>
            </w:rPr>
            <w:t>九、质疑处理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_Toc164239552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tabs>
              <w:tab w:val="right" w:leader="dot" w:pos="8296"/>
            </w:tabs>
            <w:spacing w:line="480" w:lineRule="auto"/>
            <w:rPr>
              <w:color w:val="000000" w:themeColor="text1"/>
              <w:kern w:val="2"/>
              <w14:textFill>
                <w14:solidFill>
                  <w14:schemeClr w14:val="tx1"/>
                </w14:solidFill>
              </w14:textFill>
            </w:rPr>
          </w:pPr>
          <w:r>
            <w:fldChar w:fldCharType="begin"/>
          </w:r>
          <w:r>
            <w:instrText xml:space="preserve"> HYPERLINK \l "_Toc164239553" </w:instrText>
          </w:r>
          <w:r>
            <w:fldChar w:fldCharType="separate"/>
          </w:r>
          <w:r>
            <w:rPr>
              <w:rStyle w:val="19"/>
              <w:rFonts w:hint="eastAsia"/>
              <w:color w:val="000000" w:themeColor="text1"/>
              <w14:textFill>
                <w14:solidFill>
                  <w14:schemeClr w14:val="tx1"/>
                </w14:solidFill>
              </w14:textFill>
            </w:rPr>
            <w:t>十、政府采购政策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_Toc164239553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8296"/>
            </w:tabs>
            <w:spacing w:line="480" w:lineRule="auto"/>
            <w:rPr>
              <w:color w:val="000000" w:themeColor="text1"/>
              <w:kern w:val="2"/>
              <w14:textFill>
                <w14:solidFill>
                  <w14:schemeClr w14:val="tx1"/>
                </w14:solidFill>
              </w14:textFill>
            </w:rPr>
          </w:pPr>
          <w:r>
            <w:fldChar w:fldCharType="begin"/>
          </w:r>
          <w:r>
            <w:instrText xml:space="preserve"> HYPERLINK \l "_Toc164239554" </w:instrText>
          </w:r>
          <w:r>
            <w:fldChar w:fldCharType="separate"/>
          </w:r>
          <w:r>
            <w:rPr>
              <w:rStyle w:val="19"/>
              <w:rFonts w:hint="eastAsia"/>
              <w:color w:val="000000" w:themeColor="text1"/>
              <w14:textFill>
                <w14:solidFill>
                  <w14:schemeClr w14:val="tx1"/>
                </w14:solidFill>
              </w14:textFill>
            </w:rPr>
            <w:t>第三章</w:t>
          </w:r>
          <w:r>
            <w:rPr>
              <w:rStyle w:val="19"/>
              <w:color w:val="000000" w:themeColor="text1"/>
              <w14:textFill>
                <w14:solidFill>
                  <w14:schemeClr w14:val="tx1"/>
                </w14:solidFill>
              </w14:textFill>
            </w:rPr>
            <w:t xml:space="preserve"> </w:t>
          </w:r>
          <w:r>
            <w:rPr>
              <w:rStyle w:val="19"/>
              <w:rFonts w:hint="eastAsia"/>
              <w:color w:val="000000" w:themeColor="text1"/>
              <w14:textFill>
                <w14:solidFill>
                  <w14:schemeClr w14:val="tx1"/>
                </w14:solidFill>
              </w14:textFill>
            </w:rPr>
            <w:t>采购项目内容及要求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_Toc164239554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8296"/>
            </w:tabs>
            <w:spacing w:line="480" w:lineRule="auto"/>
            <w:rPr>
              <w:color w:val="000000" w:themeColor="text1"/>
              <w:kern w:val="2"/>
              <w14:textFill>
                <w14:solidFill>
                  <w14:schemeClr w14:val="tx1"/>
                </w14:solidFill>
              </w14:textFill>
            </w:rPr>
          </w:pPr>
          <w:r>
            <w:fldChar w:fldCharType="begin"/>
          </w:r>
          <w:r>
            <w:instrText xml:space="preserve"> HYPERLINK \l "_Toc164239555" </w:instrText>
          </w:r>
          <w:r>
            <w:fldChar w:fldCharType="separate"/>
          </w:r>
          <w:r>
            <w:rPr>
              <w:rStyle w:val="19"/>
              <w:rFonts w:hint="eastAsia"/>
              <w:color w:val="000000" w:themeColor="text1"/>
              <w14:textFill>
                <w14:solidFill>
                  <w14:schemeClr w14:val="tx1"/>
                </w14:solidFill>
              </w14:textFill>
            </w:rPr>
            <w:t>第四章</w:t>
          </w:r>
          <w:r>
            <w:rPr>
              <w:rStyle w:val="19"/>
              <w:color w:val="000000" w:themeColor="text1"/>
              <w14:textFill>
                <w14:solidFill>
                  <w14:schemeClr w14:val="tx1"/>
                </w14:solidFill>
              </w14:textFill>
            </w:rPr>
            <w:t xml:space="preserve">  </w:t>
          </w:r>
          <w:r>
            <w:rPr>
              <w:rStyle w:val="19"/>
              <w:rFonts w:hint="eastAsia"/>
              <w:color w:val="000000" w:themeColor="text1"/>
              <w14:textFill>
                <w14:solidFill>
                  <w14:schemeClr w14:val="tx1"/>
                </w14:solidFill>
              </w14:textFill>
            </w:rPr>
            <w:t>响应性文件内容及格式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_Toc164239555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8296"/>
            </w:tabs>
            <w:spacing w:line="480" w:lineRule="auto"/>
            <w:rPr>
              <w:color w:val="000000" w:themeColor="text1"/>
              <w:kern w:val="2"/>
              <w14:textFill>
                <w14:solidFill>
                  <w14:schemeClr w14:val="tx1"/>
                </w14:solidFill>
              </w14:textFill>
            </w:rPr>
          </w:pPr>
          <w:r>
            <w:fldChar w:fldCharType="begin"/>
          </w:r>
          <w:r>
            <w:instrText xml:space="preserve"> HYPERLINK \l "_Toc164239556" </w:instrText>
          </w:r>
          <w:r>
            <w:fldChar w:fldCharType="separate"/>
          </w:r>
          <w:r>
            <w:rPr>
              <w:rStyle w:val="19"/>
              <w:rFonts w:hint="eastAsia"/>
              <w:color w:val="000000" w:themeColor="text1"/>
              <w14:textFill>
                <w14:solidFill>
                  <w14:schemeClr w14:val="tx1"/>
                </w14:solidFill>
              </w14:textFill>
            </w:rPr>
            <w:t>周口市政府采购合同融资政策告知函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_Toc164239556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1"/>
            <w:tabs>
              <w:tab w:val="right" w:leader="dot" w:pos="8296"/>
            </w:tabs>
            <w:spacing w:line="480" w:lineRule="auto"/>
            <w:rPr>
              <w:color w:val="000000" w:themeColor="text1"/>
              <w:kern w:val="2"/>
              <w14:textFill>
                <w14:solidFill>
                  <w14:schemeClr w14:val="tx1"/>
                </w14:solidFill>
              </w14:textFill>
            </w:rPr>
          </w:pPr>
          <w:r>
            <w:fldChar w:fldCharType="begin"/>
          </w:r>
          <w:r>
            <w:instrText xml:space="preserve"> HYPERLINK \l "_Toc164239557" </w:instrText>
          </w:r>
          <w:r>
            <w:fldChar w:fldCharType="separate"/>
          </w:r>
          <w:r>
            <w:rPr>
              <w:rStyle w:val="19"/>
              <w:rFonts w:hint="eastAsia"/>
              <w:color w:val="000000" w:themeColor="text1"/>
              <w14:textFill>
                <w14:solidFill>
                  <w14:schemeClr w14:val="tx1"/>
                </w14:solidFill>
              </w14:textFill>
            </w:rPr>
            <w:t>第五章</w:t>
          </w:r>
          <w:r>
            <w:rPr>
              <w:rStyle w:val="19"/>
              <w:color w:val="000000" w:themeColor="text1"/>
              <w14:textFill>
                <w14:solidFill>
                  <w14:schemeClr w14:val="tx1"/>
                </w14:solidFill>
              </w14:textFill>
            </w:rPr>
            <w:t xml:space="preserve"> </w:t>
          </w:r>
          <w:r>
            <w:rPr>
              <w:rStyle w:val="19"/>
              <w:rFonts w:hint="eastAsia"/>
              <w:color w:val="000000" w:themeColor="text1"/>
              <w14:textFill>
                <w14:solidFill>
                  <w14:schemeClr w14:val="tx1"/>
                </w14:solidFill>
              </w14:textFill>
            </w:rPr>
            <w:t>周口市政府采购合同（货物类）标准文本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_Toc164239557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spacing w:line="480" w:lineRule="auto"/>
            <w:rPr>
              <w:color w:val="000000" w:themeColor="text1"/>
              <w:sz w:val="32"/>
              <w:szCs w:val="32"/>
              <w14:textFill>
                <w14:solidFill>
                  <w14:schemeClr w14:val="tx1"/>
                </w14:solidFill>
              </w14:textFill>
            </w:rPr>
          </w:pPr>
          <w:r>
            <w:rPr>
              <w:b/>
              <w:bCs/>
              <w:color w:val="000000" w:themeColor="text1"/>
              <w:sz w:val="32"/>
              <w:szCs w:val="32"/>
              <w:lang w:val="zh-CN"/>
              <w14:textFill>
                <w14:solidFill>
                  <w14:schemeClr w14:val="tx1"/>
                </w14:solidFill>
              </w14:textFill>
            </w:rPr>
            <w:fldChar w:fldCharType="end"/>
          </w:r>
        </w:p>
      </w:sdtContent>
    </w:sdt>
    <w:p>
      <w:pPr>
        <w:spacing w:after="120"/>
        <w:jc w:val="center"/>
        <w:rPr>
          <w:rFonts w:ascii="宋体" w:hAnsi="宋体" w:eastAsia="宋体" w:cs="宋体"/>
          <w:b/>
          <w:color w:val="000000" w:themeColor="text1"/>
          <w:sz w:val="32"/>
          <w14:textFill>
            <w14:solidFill>
              <w14:schemeClr w14:val="tx1"/>
            </w14:solidFill>
          </w14:textFill>
        </w:rPr>
      </w:pPr>
    </w:p>
    <w:p>
      <w:pPr>
        <w:spacing w:line="800" w:lineRule="auto"/>
        <w:rPr>
          <w:rFonts w:ascii="宋体" w:hAnsi="宋体" w:eastAsia="宋体" w:cs="宋体"/>
          <w:b/>
          <w:color w:val="000000" w:themeColor="text1"/>
          <w:sz w:val="32"/>
          <w14:textFill>
            <w14:solidFill>
              <w14:schemeClr w14:val="tx1"/>
            </w14:solidFill>
          </w14:textFill>
        </w:rPr>
      </w:pPr>
    </w:p>
    <w:p>
      <w:pPr>
        <w:pStyle w:val="2"/>
        <w:jc w:val="center"/>
        <w:rPr>
          <w:color w:val="000000" w:themeColor="text1"/>
          <w14:textFill>
            <w14:solidFill>
              <w14:schemeClr w14:val="tx1"/>
            </w14:solidFill>
          </w14:textFill>
        </w:rPr>
      </w:pPr>
      <w:bookmarkStart w:id="0" w:name="_Toc164239542"/>
      <w:r>
        <w:rPr>
          <w:color w:val="000000" w:themeColor="text1"/>
          <w14:textFill>
            <w14:solidFill>
              <w14:schemeClr w14:val="tx1"/>
            </w14:solidFill>
          </w14:textFill>
        </w:rPr>
        <w:t>第一章    竞争性磋商邀请函</w:t>
      </w:r>
      <w:bookmarkEnd w:id="0"/>
    </w:p>
    <w:p>
      <w:pPr>
        <w:ind w:firstLine="480"/>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项目概况</w:t>
      </w:r>
    </w:p>
    <w:p>
      <w:pPr>
        <w:spacing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项城市公安局刑警大队购置电梯加装改造项目</w:t>
      </w:r>
      <w:r>
        <w:rPr>
          <w:rFonts w:ascii="宋体" w:hAnsi="宋体" w:eastAsia="宋体" w:cs="宋体"/>
          <w:color w:val="000000" w:themeColor="text1"/>
          <w:sz w:val="24"/>
          <w14:textFill>
            <w14:solidFill>
              <w14:schemeClr w14:val="tx1"/>
            </w14:solidFill>
          </w14:textFill>
        </w:rPr>
        <w:t>的潜在供应商应在周口市公共资源交易中心网获取采购文件，并于202</w:t>
      </w:r>
      <w:r>
        <w:rPr>
          <w:rFonts w:hint="eastAsia" w:ascii="宋体" w:hAnsi="宋体" w:eastAsia="宋体" w:cs="宋体"/>
          <w:color w:val="000000" w:themeColor="text1"/>
          <w:sz w:val="24"/>
          <w14:textFill>
            <w14:solidFill>
              <w14:schemeClr w14:val="tx1"/>
            </w14:solidFill>
          </w14:textFill>
        </w:rPr>
        <w:t>4</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5</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07</w:t>
      </w:r>
      <w:r>
        <w:rPr>
          <w:rFonts w:ascii="宋体" w:hAnsi="宋体" w:eastAsia="宋体" w:cs="宋体"/>
          <w:color w:val="000000" w:themeColor="text1"/>
          <w:sz w:val="24"/>
          <w14:textFill>
            <w14:solidFill>
              <w14:schemeClr w14:val="tx1"/>
            </w14:solidFill>
          </w14:textFill>
        </w:rPr>
        <w:t>日10点00分（北京时间）前提交响应文件。</w:t>
      </w:r>
    </w:p>
    <w:p>
      <w:pPr>
        <w:spacing w:line="360" w:lineRule="auto"/>
        <w:jc w:val="left"/>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一、项目基本情况</w:t>
      </w:r>
    </w:p>
    <w:p>
      <w:pPr>
        <w:spacing w:line="360" w:lineRule="auto"/>
        <w:ind w:firstLine="480"/>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项目编号：</w:t>
      </w:r>
      <w:r>
        <w:rPr>
          <w:rFonts w:hint="eastAsia" w:ascii="宋体" w:hAnsi="宋体" w:eastAsia="宋体" w:cs="宋体"/>
          <w:color w:val="000000" w:themeColor="text1"/>
          <w:sz w:val="24"/>
          <w14:textFill>
            <w14:solidFill>
              <w14:schemeClr w14:val="tx1"/>
            </w14:solidFill>
          </w14:textFill>
        </w:rPr>
        <w:t>项财磋商采购-2024-25</w:t>
      </w:r>
    </w:p>
    <w:p>
      <w:pPr>
        <w:spacing w:line="360" w:lineRule="auto"/>
        <w:ind w:firstLine="480"/>
        <w:rPr>
          <w:rFonts w:ascii="Times New Roman" w:hAnsi="Times New Roman" w:eastAsia="Times New Roman" w:cs="Times New Roman"/>
          <w:color w:val="000000" w:themeColor="text1"/>
          <w:sz w:val="24"/>
          <w:u w:val="single"/>
          <w14:textFill>
            <w14:solidFill>
              <w14:schemeClr w14:val="tx1"/>
            </w14:solidFill>
          </w14:textFill>
        </w:rPr>
      </w:pPr>
      <w:r>
        <w:rPr>
          <w:rFonts w:ascii="宋体" w:hAnsi="宋体" w:eastAsia="宋体" w:cs="宋体"/>
          <w:color w:val="000000" w:themeColor="text1"/>
          <w:sz w:val="24"/>
          <w14:textFill>
            <w14:solidFill>
              <w14:schemeClr w14:val="tx1"/>
            </w14:solidFill>
          </w14:textFill>
        </w:rPr>
        <w:t>项目名称：</w:t>
      </w:r>
      <w:r>
        <w:rPr>
          <w:rFonts w:hint="eastAsia" w:ascii="宋体" w:hAnsi="宋体" w:eastAsia="宋体" w:cs="宋体"/>
          <w:color w:val="000000" w:themeColor="text1"/>
          <w:sz w:val="24"/>
          <w14:textFill>
            <w14:solidFill>
              <w14:schemeClr w14:val="tx1"/>
            </w14:solidFill>
          </w14:textFill>
        </w:rPr>
        <w:t>项城市公安局刑警大队购置电梯加装改造项目</w:t>
      </w:r>
    </w:p>
    <w:p>
      <w:pPr>
        <w:spacing w:line="360" w:lineRule="auto"/>
        <w:ind w:firstLine="480"/>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采购方式：竞争性磋商</w:t>
      </w:r>
    </w:p>
    <w:p>
      <w:pPr>
        <w:spacing w:line="360" w:lineRule="auto"/>
        <w:ind w:firstLine="480"/>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预算金额：</w:t>
      </w:r>
      <w:r>
        <w:rPr>
          <w:rFonts w:hint="eastAsia" w:ascii="宋体" w:hAnsi="宋体" w:eastAsia="宋体" w:cs="宋体"/>
          <w:color w:val="000000" w:themeColor="text1"/>
          <w:sz w:val="24"/>
          <w14:textFill>
            <w14:solidFill>
              <w14:schemeClr w14:val="tx1"/>
            </w14:solidFill>
          </w14:textFill>
        </w:rPr>
        <w:t>1546500</w:t>
      </w:r>
      <w:r>
        <w:rPr>
          <w:rFonts w:ascii="宋体" w:hAnsi="宋体" w:eastAsia="宋体" w:cs="宋体"/>
          <w:color w:val="000000" w:themeColor="text1"/>
          <w:sz w:val="24"/>
          <w14:textFill>
            <w14:solidFill>
              <w14:schemeClr w14:val="tx1"/>
            </w14:solidFill>
          </w14:textFill>
        </w:rPr>
        <w:t>.00</w:t>
      </w:r>
      <w:r>
        <w:rPr>
          <w:rFonts w:hint="eastAsia" w:ascii="宋体" w:hAnsi="宋体" w:eastAsia="宋体" w:cs="宋体"/>
          <w:color w:val="000000" w:themeColor="text1"/>
          <w:sz w:val="24"/>
          <w14:textFill>
            <w14:solidFill>
              <w14:schemeClr w14:val="tx1"/>
            </w14:solidFill>
          </w14:textFill>
        </w:rPr>
        <w:t>元</w:t>
      </w:r>
    </w:p>
    <w:p>
      <w:pPr>
        <w:spacing w:line="360" w:lineRule="auto"/>
        <w:ind w:firstLine="480"/>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最高限价：</w:t>
      </w:r>
      <w:r>
        <w:rPr>
          <w:rFonts w:hint="eastAsia" w:ascii="宋体" w:hAnsi="宋体" w:eastAsia="宋体" w:cs="宋体"/>
          <w:color w:val="000000" w:themeColor="text1"/>
          <w:sz w:val="24"/>
          <w14:textFill>
            <w14:solidFill>
              <w14:schemeClr w14:val="tx1"/>
            </w14:solidFill>
          </w14:textFill>
        </w:rPr>
        <w:t>1546500</w:t>
      </w:r>
      <w:r>
        <w:rPr>
          <w:rFonts w:ascii="宋体" w:hAnsi="宋体" w:eastAsia="宋体" w:cs="宋体"/>
          <w:color w:val="000000" w:themeColor="text1"/>
          <w:sz w:val="24"/>
          <w14:textFill>
            <w14:solidFill>
              <w14:schemeClr w14:val="tx1"/>
            </w14:solidFill>
          </w14:textFill>
        </w:rPr>
        <w:t>.00</w:t>
      </w:r>
      <w:r>
        <w:rPr>
          <w:rFonts w:hint="eastAsia" w:ascii="宋体" w:hAnsi="宋体" w:eastAsia="宋体" w:cs="宋体"/>
          <w:color w:val="000000" w:themeColor="text1"/>
          <w:sz w:val="24"/>
          <w14:textFill>
            <w14:solidFill>
              <w14:schemeClr w14:val="tx1"/>
            </w14:solidFill>
          </w14:textFill>
        </w:rPr>
        <w:t>元</w:t>
      </w:r>
    </w:p>
    <w:p>
      <w:pPr>
        <w:spacing w:line="3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包划分：1个包</w:t>
      </w:r>
    </w:p>
    <w:tbl>
      <w:tblPr>
        <w:tblStyle w:val="14"/>
        <w:tblW w:w="0" w:type="auto"/>
        <w:tblInd w:w="0" w:type="dxa"/>
        <w:tblLayout w:type="autofit"/>
        <w:tblCellMar>
          <w:top w:w="0" w:type="dxa"/>
          <w:left w:w="10" w:type="dxa"/>
          <w:bottom w:w="0" w:type="dxa"/>
          <w:right w:w="10" w:type="dxa"/>
        </w:tblCellMar>
      </w:tblPr>
      <w:tblGrid>
        <w:gridCol w:w="959"/>
        <w:gridCol w:w="5103"/>
        <w:gridCol w:w="2268"/>
      </w:tblGrid>
      <w:tr>
        <w:tblPrEx>
          <w:tblCellMar>
            <w:top w:w="0" w:type="dxa"/>
            <w:left w:w="10" w:type="dxa"/>
            <w:bottom w:w="0" w:type="dxa"/>
            <w:right w:w="10" w:type="dxa"/>
          </w:tblCellMar>
        </w:tblPrEx>
        <w:trPr>
          <w:trHeight w:val="1" w:hRule="atLeast"/>
        </w:trPr>
        <w:tc>
          <w:tcPr>
            <w:tcW w:w="9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shd w:val="clear" w:color="auto" w:fill="FFFFFF"/>
                <w14:textFill>
                  <w14:solidFill>
                    <w14:schemeClr w14:val="tx1"/>
                  </w14:solidFill>
                </w14:textFill>
              </w:rPr>
              <w:t>包号</w:t>
            </w:r>
          </w:p>
        </w:tc>
        <w:tc>
          <w:tcPr>
            <w:tcW w:w="5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shd w:val="clear" w:color="auto" w:fill="FFFFFF"/>
                <w14:textFill>
                  <w14:solidFill>
                    <w14:schemeClr w14:val="tx1"/>
                  </w14:solidFill>
                </w14:textFill>
              </w:rPr>
              <w:t>包名称</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shd w:val="clear" w:color="auto" w:fill="FFFFFF"/>
                <w14:textFill>
                  <w14:solidFill>
                    <w14:schemeClr w14:val="tx1"/>
                  </w14:solidFill>
                </w14:textFill>
              </w:rPr>
              <w:t>包最高限价元</w:t>
            </w:r>
          </w:p>
        </w:tc>
      </w:tr>
      <w:tr>
        <w:tblPrEx>
          <w:tblCellMar>
            <w:top w:w="0" w:type="dxa"/>
            <w:left w:w="10" w:type="dxa"/>
            <w:bottom w:w="0" w:type="dxa"/>
            <w:right w:w="10" w:type="dxa"/>
          </w:tblCellMar>
        </w:tblPrEx>
        <w:tc>
          <w:tcPr>
            <w:tcW w:w="95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shd w:val="clear" w:color="auto" w:fill="FFFFFF"/>
                <w14:textFill>
                  <w14:solidFill>
                    <w14:schemeClr w14:val="tx1"/>
                  </w14:solidFill>
                </w14:textFill>
              </w:rPr>
              <w:t>1</w:t>
            </w:r>
          </w:p>
        </w:tc>
        <w:tc>
          <w:tcPr>
            <w:tcW w:w="510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项城市公安局刑警大队购置电梯加装改造项目</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1546500</w:t>
            </w:r>
            <w:r>
              <w:rPr>
                <w:rFonts w:ascii="宋体" w:hAnsi="宋体" w:eastAsia="宋体" w:cs="宋体"/>
                <w:color w:val="000000" w:themeColor="text1"/>
                <w:sz w:val="24"/>
                <w14:textFill>
                  <w14:solidFill>
                    <w14:schemeClr w14:val="tx1"/>
                  </w14:solidFill>
                </w14:textFill>
              </w:rPr>
              <w:t>.00</w:t>
            </w:r>
          </w:p>
        </w:tc>
      </w:tr>
    </w:tbl>
    <w:p>
      <w:pPr>
        <w:spacing w:line="360" w:lineRule="auto"/>
        <w:ind w:firstLine="480"/>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采购需求：（包括但不限于标的的名称、数量、简要技术需求或服务要求等）</w:t>
      </w:r>
      <w:r>
        <w:rPr>
          <w:rFonts w:hint="eastAsia" w:ascii="宋体" w:hAnsi="宋体" w:eastAsia="宋体" w:cs="宋体"/>
          <w:color w:val="000000" w:themeColor="text1"/>
          <w:sz w:val="24"/>
          <w14:textFill>
            <w14:solidFill>
              <w14:schemeClr w14:val="tx1"/>
            </w14:solidFill>
          </w14:textFill>
        </w:rPr>
        <w:t>购置电梯2部加装改造。（详见采购清单）</w:t>
      </w:r>
    </w:p>
    <w:p>
      <w:pPr>
        <w:spacing w:line="360" w:lineRule="auto"/>
        <w:ind w:firstLine="480"/>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合同履行期限：</w:t>
      </w:r>
      <w:r>
        <w:rPr>
          <w:rFonts w:hint="eastAsia" w:ascii="宋体" w:hAnsi="宋体" w:eastAsia="宋体" w:cs="宋体"/>
          <w:color w:val="000000" w:themeColor="text1"/>
          <w:sz w:val="24"/>
          <w14:textFill>
            <w14:solidFill>
              <w14:schemeClr w14:val="tx1"/>
            </w14:solidFill>
          </w14:textFill>
        </w:rPr>
        <w:t>合同签订后30日历天内供货安装调试完毕</w:t>
      </w:r>
    </w:p>
    <w:p>
      <w:pPr>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是否接受进口产品：否</w:t>
      </w:r>
    </w:p>
    <w:p>
      <w:pPr>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本项目是否接受联合体投标：否</w:t>
      </w:r>
    </w:p>
    <w:p>
      <w:pPr>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本项目是否为只面向中小企业采购：否</w:t>
      </w:r>
    </w:p>
    <w:p>
      <w:pPr>
        <w:spacing w:line="360" w:lineRule="auto"/>
        <w:jc w:val="left"/>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二、申请人的资格要求：</w:t>
      </w:r>
    </w:p>
    <w:p>
      <w:pPr>
        <w:spacing w:line="360" w:lineRule="auto"/>
        <w:ind w:firstLine="480" w:firstLineChars="200"/>
        <w:jc w:val="left"/>
        <w:rPr>
          <w:rFonts w:ascii="Times New Roman" w:hAnsi="Times New Roman" w:eastAsia="Times New Roman" w:cs="Times New Roman"/>
          <w:color w:val="000000" w:themeColor="text1"/>
          <w:sz w:val="24"/>
          <w14:textFill>
            <w14:solidFill>
              <w14:schemeClr w14:val="tx1"/>
            </w14:solidFill>
          </w14:textFill>
        </w:rPr>
      </w:pPr>
      <w:r>
        <w:rPr>
          <w:rFonts w:hint="eastAsia" w:ascii="Times New Roman" w:hAnsi="Times New Roman" w:eastAsia="Times New Roman" w:cs="Times New Roman"/>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满足《中华人民共和国政府采购法》第二十二条规定；</w:t>
      </w:r>
    </w:p>
    <w:p>
      <w:pPr>
        <w:spacing w:line="360" w:lineRule="auto"/>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Times New Roman" w:cs="Times New Roman"/>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）具有独立承担民事责任的能力的法人、其他组织，在中华人民共和国境内注册的企业法人或事业法人，持有有效的企业法人营业执照或事业单位法人证书。</w:t>
      </w:r>
    </w:p>
    <w:p>
      <w:pPr>
        <w:spacing w:line="360" w:lineRule="auto"/>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Times New Roman" w:cs="Times New Roman"/>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）具有良好的商业信誉和健全的财务会计制度（提供2022年度财务审计报告或开户行出具的资信证明)；</w:t>
      </w:r>
    </w:p>
    <w:p>
      <w:pPr>
        <w:spacing w:line="360" w:lineRule="auto"/>
        <w:ind w:firstLine="480" w:firstLineChars="200"/>
        <w:jc w:val="left"/>
        <w:rPr>
          <w:rFonts w:ascii="Times New Roman" w:hAnsi="Times New Roman" w:eastAsia="Times New Roman"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Times New Roman" w:cs="Times New Roman"/>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）具有履行合同所必需的设备和专业技术能力（提供证明材料或承诺书</w:t>
      </w:r>
      <w:r>
        <w:rPr>
          <w:rFonts w:hint="eastAsia" w:ascii="Times New Roman" w:hAnsi="Times New Roman" w:eastAsia="Times New Roman" w:cs="Times New Roman"/>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w:t>
      </w:r>
    </w:p>
    <w:p>
      <w:pPr>
        <w:spacing w:line="360" w:lineRule="auto"/>
        <w:ind w:firstLine="480" w:firstLineChars="200"/>
        <w:jc w:val="left"/>
        <w:rPr>
          <w:rFonts w:ascii="Times New Roman" w:hAnsi="Times New Roman" w:eastAsia="Times New Roman"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Times New Roman" w:cs="Times New Roman"/>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）有依法缴纳税收和社会保障资金的良好记录（提供</w:t>
      </w:r>
      <w:r>
        <w:rPr>
          <w:rFonts w:hint="eastAsia" w:ascii="Times New Roman" w:hAnsi="Times New Roman" w:eastAsia="Times New Roman" w:cs="Times New Roman"/>
          <w:color w:val="000000" w:themeColor="text1"/>
          <w:sz w:val="24"/>
          <w14:textFill>
            <w14:solidFill>
              <w14:schemeClr w14:val="tx1"/>
            </w14:solidFill>
          </w14:textFill>
        </w:rPr>
        <w:t>202</w:t>
      </w:r>
      <w:r>
        <w:rPr>
          <w:rFonts w:hint="eastAsia" w:ascii="Times New Roman" w:hAnsi="Times New Roman" w:cs="Times New Roman"/>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年</w:t>
      </w:r>
      <w:r>
        <w:rPr>
          <w:rFonts w:hint="eastAsia" w:ascii="Times New Roman" w:hAnsi="Times New Roman" w:cs="Times New Roman"/>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月</w:t>
      </w:r>
      <w:r>
        <w:rPr>
          <w:rFonts w:hint="eastAsia" w:ascii="Times New Roman" w:hAnsi="Times New Roman" w:eastAsia="Times New Roman" w:cs="Times New Roman"/>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日以来任意一个月依法缴纳税收和社会保障资金的证明，</w:t>
      </w:r>
      <w:r>
        <w:rPr>
          <w:rFonts w:hint="eastAsia" w:hAnsi="宋体" w:cs="宋体"/>
          <w:color w:val="000000" w:themeColor="text1"/>
          <w:sz w:val="24"/>
          <w:szCs w:val="24"/>
          <w14:textFill>
            <w14:solidFill>
              <w14:schemeClr w14:val="tx1"/>
            </w14:solidFill>
          </w14:textFill>
        </w:rPr>
        <w:t>依法免税或不需要缴纳社会保障资金的供应商应提供相应的证明文件</w:t>
      </w:r>
      <w:r>
        <w:rPr>
          <w:rFonts w:hint="eastAsia" w:ascii="宋体" w:hAnsi="宋体" w:eastAsia="宋体" w:cs="宋体"/>
          <w:color w:val="000000" w:themeColor="text1"/>
          <w:sz w:val="24"/>
          <w14:textFill>
            <w14:solidFill>
              <w14:schemeClr w14:val="tx1"/>
            </w14:solidFill>
          </w14:textFill>
        </w:rPr>
        <w:t>）；</w:t>
      </w:r>
    </w:p>
    <w:p>
      <w:pPr>
        <w:spacing w:line="360" w:lineRule="auto"/>
        <w:ind w:firstLine="480" w:firstLineChars="200"/>
        <w:jc w:val="left"/>
        <w:rPr>
          <w:rFonts w:ascii="Times New Roman" w:hAnsi="Times New Roman" w:eastAsia="Times New Roman"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Times New Roman" w:cs="Times New Roman"/>
          <w:color w:val="000000" w:themeColor="text1"/>
          <w:sz w:val="24"/>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）参加政府采购活动前三年内，在经营活动中没有重大违法记录（提供近三年无重大违法记录声明，格式自拟）；</w:t>
      </w:r>
    </w:p>
    <w:p>
      <w:pPr>
        <w:spacing w:line="360" w:lineRule="auto"/>
        <w:ind w:firstLine="480" w:firstLineChars="200"/>
        <w:jc w:val="left"/>
        <w:rPr>
          <w:rFonts w:ascii="Times New Roman" w:hAnsi="Times New Roman" w:eastAsia="Times New Roman" w:cs="Times New Roman"/>
          <w:color w:val="000000" w:themeColor="text1"/>
          <w:sz w:val="24"/>
          <w14:textFill>
            <w14:solidFill>
              <w14:schemeClr w14:val="tx1"/>
            </w14:solidFill>
          </w14:textFill>
        </w:rPr>
      </w:pPr>
      <w:r>
        <w:rPr>
          <w:rFonts w:hint="eastAsia" w:ascii="Times New Roman" w:hAnsi="Times New Roman" w:eastAsia="Times New Roman" w:cs="Times New Roman"/>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落实政府采购政策需满足的资格要求：促进中小企业和监狱企业发展扶持政策、政府强制采购节能产品强制采购、节能产品及环境标志产品优先采购、促进残疾人就业政府采购政策。</w:t>
      </w:r>
    </w:p>
    <w:p>
      <w:pPr>
        <w:spacing w:line="360" w:lineRule="auto"/>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Times New Roman" w:hAnsi="Times New Roman" w:eastAsia="Times New Roman" w:cs="Times New Roman"/>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本项目的特定资格要求：</w:t>
      </w:r>
    </w:p>
    <w:p>
      <w:pPr>
        <w:spacing w:line="360" w:lineRule="auto"/>
        <w:ind w:firstLine="480" w:firstLineChars="200"/>
        <w:jc w:val="left"/>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Times New Roman" w:cs="Times New Roman"/>
          <w:color w:val="000000" w:themeColor="text1"/>
          <w:sz w:val="24"/>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bCs/>
          <w:color w:val="000000" w:themeColor="text1"/>
          <w:sz w:val="24"/>
          <w14:textFill>
            <w14:solidFill>
              <w14:schemeClr w14:val="tx1"/>
            </w14:solidFill>
          </w14:textFill>
        </w:rPr>
        <w:t>供应商应为电梯生产制造商或代理商，具有独立法人资格，具有有效的营业执照。投标供应商为制造商的须提供国家市场监督管理总局颁发的《中华人民共和国特种设备生产许可证》资质（原件的扫描件）；投标人为代理商或经销商的须具有《中华人民共和国特种设备生产许可证》（原件的扫描件）。</w:t>
      </w:r>
    </w:p>
    <w:p>
      <w:pPr>
        <w:spacing w:line="360" w:lineRule="auto"/>
        <w:ind w:firstLine="480" w:firstLineChars="200"/>
        <w:jc w:val="left"/>
        <w:rPr>
          <w:rFonts w:ascii="Times New Roman" w:hAnsi="Times New Roman" w:eastAsia="Times New Roman" w:cs="Times New Roman"/>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）根据《关于在政府采购活动中查询及使用信用记录有关问题的通知》</w:t>
      </w:r>
      <w:r>
        <w:rPr>
          <w:rFonts w:hint="eastAsia" w:ascii="Times New Roman" w:hAnsi="Times New Roman" w:eastAsia="Times New Roman" w:cs="Times New Roman"/>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财库</w:t>
      </w:r>
      <w:r>
        <w:rPr>
          <w:rFonts w:hint="eastAsia" w:ascii="Times New Roman" w:hAnsi="Times New Roman" w:eastAsia="Times New Roman" w:cs="Times New Roman"/>
          <w:color w:val="000000" w:themeColor="text1"/>
          <w:sz w:val="24"/>
          <w14:textFill>
            <w14:solidFill>
              <w14:schemeClr w14:val="tx1"/>
            </w14:solidFill>
          </w14:textFill>
        </w:rPr>
        <w:t>[2016]125</w:t>
      </w:r>
      <w:r>
        <w:rPr>
          <w:rFonts w:hint="eastAsia" w:ascii="宋体" w:hAnsi="宋体" w:eastAsia="宋体" w:cs="宋体"/>
          <w:color w:val="000000" w:themeColor="text1"/>
          <w:sz w:val="24"/>
          <w14:textFill>
            <w14:solidFill>
              <w14:schemeClr w14:val="tx1"/>
            </w14:solidFill>
          </w14:textFill>
        </w:rPr>
        <w:t>号</w:t>
      </w:r>
      <w:r>
        <w:rPr>
          <w:rFonts w:hint="eastAsia" w:ascii="Times New Roman" w:hAnsi="Times New Roman" w:eastAsia="Times New Roman" w:cs="Times New Roman"/>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和豫财购【</w:t>
      </w:r>
      <w:r>
        <w:rPr>
          <w:rFonts w:hint="eastAsia" w:ascii="Times New Roman" w:hAnsi="Times New Roman" w:eastAsia="Times New Roman" w:cs="Times New Roman"/>
          <w:color w:val="000000" w:themeColor="text1"/>
          <w:sz w:val="24"/>
          <w14:textFill>
            <w14:solidFill>
              <w14:schemeClr w14:val="tx1"/>
            </w14:solidFill>
          </w14:textFill>
        </w:rPr>
        <w:t>2016</w:t>
      </w: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eastAsia="Times New Roman" w:cs="Times New Roman"/>
          <w:color w:val="000000" w:themeColor="text1"/>
          <w:sz w:val="24"/>
          <w14:textFill>
            <w14:solidFill>
              <w14:schemeClr w14:val="tx1"/>
            </w14:solidFill>
          </w14:textFill>
        </w:rPr>
        <w:t>15</w:t>
      </w:r>
      <w:r>
        <w:rPr>
          <w:rFonts w:hint="eastAsia" w:ascii="宋体" w:hAnsi="宋体" w:eastAsia="宋体" w:cs="宋体"/>
          <w:color w:val="000000" w:themeColor="text1"/>
          <w:sz w:val="24"/>
          <w14:textFill>
            <w14:solidFill>
              <w14:schemeClr w14:val="tx1"/>
            </w14:solidFill>
          </w14:textFill>
        </w:rPr>
        <w:t>号的规定，对列入</w:t>
      </w:r>
      <w:r>
        <w:rPr>
          <w:rFonts w:ascii="Times New Roman" w:hAnsi="Times New Roman" w:eastAsia="Times New Roman" w:cs="Times New Roman"/>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信用中国</w:t>
      </w:r>
      <w:r>
        <w:rPr>
          <w:rFonts w:ascii="Times New Roman" w:hAnsi="Times New Roman" w:eastAsia="Times New Roman" w:cs="Times New Roman"/>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网站（</w:t>
      </w:r>
      <w:r>
        <w:rPr>
          <w:rFonts w:hint="eastAsia" w:ascii="Times New Roman" w:hAnsi="Times New Roman" w:eastAsia="Times New Roman" w:cs="Times New Roman"/>
          <w:color w:val="000000" w:themeColor="text1"/>
          <w:sz w:val="24"/>
          <w14:textFill>
            <w14:solidFill>
              <w14:schemeClr w14:val="tx1"/>
            </w14:solidFill>
          </w14:textFill>
        </w:rPr>
        <w:t>www.creditchina.gov.cn</w:t>
      </w:r>
      <w:r>
        <w:rPr>
          <w:rFonts w:hint="eastAsia" w:ascii="宋体" w:hAnsi="宋体" w:eastAsia="宋体" w:cs="宋体"/>
          <w:color w:val="000000" w:themeColor="text1"/>
          <w:sz w:val="24"/>
          <w14:textFill>
            <w14:solidFill>
              <w14:schemeClr w14:val="tx1"/>
            </w14:solidFill>
          </w14:textFill>
        </w:rPr>
        <w:t>）的</w:t>
      </w:r>
      <w:r>
        <w:rPr>
          <w:rFonts w:ascii="Times New Roman" w:hAnsi="Times New Roman" w:eastAsia="Times New Roman" w:cs="Times New Roman"/>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失信被执行人</w:t>
      </w:r>
      <w:r>
        <w:rPr>
          <w:rFonts w:ascii="Times New Roman" w:hAnsi="Times New Roman" w:eastAsia="Times New Roman" w:cs="Times New Roman"/>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w:t>
      </w:r>
      <w:r>
        <w:rPr>
          <w:rFonts w:ascii="Times New Roman" w:hAnsi="Times New Roman" w:eastAsia="Times New Roman" w:cs="Times New Roman"/>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重大税收违法案件当事人名单（重大税收违法失信主体）</w:t>
      </w:r>
      <w:r>
        <w:rPr>
          <w:rFonts w:ascii="Times New Roman" w:hAnsi="Times New Roman" w:eastAsia="Times New Roman" w:cs="Times New Roman"/>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和</w:t>
      </w:r>
      <w:r>
        <w:rPr>
          <w:rFonts w:ascii="Times New Roman" w:hAnsi="Times New Roman" w:eastAsia="Times New Roman" w:cs="Times New Roman"/>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中国政府采购</w:t>
      </w:r>
      <w:r>
        <w:rPr>
          <w:rFonts w:ascii="Times New Roman" w:hAnsi="Times New Roman" w:eastAsia="Times New Roman" w:cs="Times New Roman"/>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网站</w:t>
      </w:r>
      <w:r>
        <w:rPr>
          <w:rFonts w:hint="eastAsia" w:ascii="Times New Roman" w:hAnsi="Times New Roman" w:eastAsia="Times New Roman" w:cs="Times New Roman"/>
          <w:color w:val="000000" w:themeColor="text1"/>
          <w:sz w:val="24"/>
          <w14:textFill>
            <w14:solidFill>
              <w14:schemeClr w14:val="tx1"/>
            </w14:solidFill>
          </w14:textFill>
        </w:rPr>
        <w:t>(www.ccgp.gov.cn)</w:t>
      </w:r>
      <w:r>
        <w:rPr>
          <w:rFonts w:hint="eastAsia" w:ascii="宋体" w:hAnsi="宋体" w:eastAsia="宋体" w:cs="宋体"/>
          <w:color w:val="000000" w:themeColor="text1"/>
          <w:sz w:val="24"/>
          <w14:textFill>
            <w14:solidFill>
              <w14:schemeClr w14:val="tx1"/>
            </w14:solidFill>
          </w14:textFill>
        </w:rPr>
        <w:t>的</w:t>
      </w:r>
      <w:r>
        <w:rPr>
          <w:rFonts w:ascii="Times New Roman" w:hAnsi="Times New Roman" w:eastAsia="Times New Roman" w:cs="Times New Roman"/>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政府采购严重违法失信行为记录名单</w:t>
      </w:r>
      <w:r>
        <w:rPr>
          <w:rFonts w:ascii="Times New Roman" w:hAnsi="Times New Roman" w:eastAsia="Times New Roman" w:cs="Times New Roman"/>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的供应商，将拒绝其参加政府采购活动；在标书中附加盖公章的网页查询扫描件，查询日期为公告发布之日起至投标截止之日止。</w:t>
      </w:r>
    </w:p>
    <w:p>
      <w:pPr>
        <w:spacing w:line="360" w:lineRule="auto"/>
        <w:ind w:firstLine="480" w:firstLineChars="20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Times New Roman" w:hAnsi="Times New Roman" w:cs="Times New Roman"/>
          <w:color w:val="000000" w:themeColor="text1"/>
          <w:sz w:val="24"/>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）单位负责人为同一人或者存在控股、管理关系的不同供应商，不得同时参加本项目的政府采购活动。</w:t>
      </w:r>
    </w:p>
    <w:p>
      <w:pPr>
        <w:spacing w:line="360" w:lineRule="auto"/>
        <w:ind w:firstLine="480" w:firstLineChars="200"/>
        <w:jc w:val="left"/>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三、获取采购文件</w:t>
      </w:r>
    </w:p>
    <w:p>
      <w:pPr>
        <w:spacing w:line="360" w:lineRule="auto"/>
        <w:ind w:firstLine="540"/>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时间：</w:t>
      </w:r>
      <w:r>
        <w:rPr>
          <w:rFonts w:hint="eastAsia" w:ascii="宋体" w:hAnsi="宋体" w:eastAsia="宋体" w:cs="宋体"/>
          <w:color w:val="000000" w:themeColor="text1"/>
          <w:sz w:val="24"/>
          <w14:textFill>
            <w14:solidFill>
              <w14:schemeClr w14:val="tx1"/>
            </w14:solidFill>
          </w14:textFill>
        </w:rPr>
        <w:t>2</w:t>
      </w:r>
      <w:r>
        <w:rPr>
          <w:rFonts w:ascii="宋体" w:hAnsi="宋体" w:eastAsia="宋体" w:cs="宋体"/>
          <w:color w:val="000000" w:themeColor="text1"/>
          <w:sz w:val="24"/>
          <w14:textFill>
            <w14:solidFill>
              <w14:schemeClr w14:val="tx1"/>
            </w14:solidFill>
          </w14:textFill>
        </w:rPr>
        <w:t>02</w:t>
      </w:r>
      <w:r>
        <w:rPr>
          <w:rFonts w:hint="eastAsia" w:ascii="宋体" w:hAnsi="宋体" w:eastAsia="宋体" w:cs="宋体"/>
          <w:color w:val="000000" w:themeColor="text1"/>
          <w:sz w:val="24"/>
          <w14:textFill>
            <w14:solidFill>
              <w14:schemeClr w14:val="tx1"/>
            </w14:solidFill>
          </w14:textFill>
        </w:rPr>
        <w:t>4</w:t>
      </w:r>
      <w:r>
        <w:rPr>
          <w:rFonts w:ascii="宋体" w:hAnsi="宋体" w:eastAsia="宋体" w:cs="宋体"/>
          <w:color w:val="000000" w:themeColor="text1"/>
          <w:sz w:val="24"/>
          <w14:textFill>
            <w14:solidFill>
              <w14:schemeClr w14:val="tx1"/>
            </w14:solidFill>
          </w14:textFill>
        </w:rPr>
        <w:t>年</w:t>
      </w:r>
      <w:r>
        <w:rPr>
          <w:rFonts w:hint="eastAsia" w:ascii="Times New Roman" w:hAnsi="Times New Roman" w:eastAsia="宋体" w:cs="Times New Roman"/>
          <w:color w:val="000000" w:themeColor="text1"/>
          <w:sz w:val="24"/>
          <w:lang w:val="en-US" w:eastAsia="zh-CN"/>
          <w14:textFill>
            <w14:solidFill>
              <w14:schemeClr w14:val="tx1"/>
            </w14:solidFill>
          </w14:textFill>
        </w:rPr>
        <w:t>4</w:t>
      </w:r>
      <w:r>
        <w:rPr>
          <w:rFonts w:ascii="宋体" w:hAnsi="宋体" w:eastAsia="宋体" w:cs="宋体"/>
          <w:color w:val="000000" w:themeColor="text1"/>
          <w:sz w:val="24"/>
          <w14:textFill>
            <w14:solidFill>
              <w14:schemeClr w14:val="tx1"/>
            </w14:solidFill>
          </w14:textFill>
        </w:rPr>
        <w:t>月</w:t>
      </w:r>
      <w:r>
        <w:rPr>
          <w:rFonts w:hint="eastAsia" w:ascii="Times New Roman" w:hAnsi="Times New Roman" w:eastAsia="宋体" w:cs="Times New Roman"/>
          <w:color w:val="000000" w:themeColor="text1"/>
          <w:sz w:val="24"/>
          <w:lang w:val="en-US" w:eastAsia="zh-CN"/>
          <w14:textFill>
            <w14:solidFill>
              <w14:schemeClr w14:val="tx1"/>
            </w14:solidFill>
          </w14:textFill>
        </w:rPr>
        <w:t>23</w:t>
      </w:r>
      <w:r>
        <w:rPr>
          <w:rFonts w:ascii="宋体" w:hAnsi="宋体" w:eastAsia="宋体" w:cs="宋体"/>
          <w:color w:val="000000" w:themeColor="text1"/>
          <w:sz w:val="24"/>
          <w14:textFill>
            <w14:solidFill>
              <w14:schemeClr w14:val="tx1"/>
            </w14:solidFill>
          </w14:textFill>
        </w:rPr>
        <w:t>日至</w:t>
      </w:r>
      <w:r>
        <w:rPr>
          <w:rFonts w:ascii="Times New Roman" w:hAnsi="Times New Roman" w:eastAsia="Times New Roman" w:cs="Times New Roman"/>
          <w:color w:val="000000" w:themeColor="text1"/>
          <w:sz w:val="24"/>
          <w14:textFill>
            <w14:solidFill>
              <w14:schemeClr w14:val="tx1"/>
            </w14:solidFill>
          </w14:textFill>
        </w:rPr>
        <w:t>202</w:t>
      </w:r>
      <w:r>
        <w:rPr>
          <w:rFonts w:hint="eastAsia" w:ascii="Times New Roman" w:hAnsi="Times New Roman" w:cs="Times New Roman"/>
          <w:color w:val="000000" w:themeColor="text1"/>
          <w:sz w:val="24"/>
          <w14:textFill>
            <w14:solidFill>
              <w14:schemeClr w14:val="tx1"/>
            </w14:solidFill>
          </w14:textFill>
        </w:rPr>
        <w:t>4</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4</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30</w:t>
      </w:r>
      <w:r>
        <w:rPr>
          <w:rFonts w:ascii="宋体" w:hAnsi="宋体" w:eastAsia="宋体" w:cs="宋体"/>
          <w:color w:val="000000" w:themeColor="text1"/>
          <w:sz w:val="24"/>
          <w14:textFill>
            <w14:solidFill>
              <w14:schemeClr w14:val="tx1"/>
            </w14:solidFill>
          </w14:textFill>
        </w:rPr>
        <w:t>日</w:t>
      </w:r>
      <w:r>
        <w:rPr>
          <w:rFonts w:hint="eastAsia" w:ascii="宋体" w:hAnsi="宋体" w:eastAsia="宋体" w:cs="宋体"/>
          <w:color w:val="000000" w:themeColor="text1"/>
          <w:sz w:val="24"/>
          <w14:textFill>
            <w14:solidFill>
              <w14:schemeClr w14:val="tx1"/>
            </w14:solidFill>
          </w14:textFill>
        </w:rPr>
        <w:t>每天上午00:00至12:00，下午12:00至23:59</w:t>
      </w:r>
      <w:r>
        <w:rPr>
          <w:rFonts w:ascii="宋体" w:hAnsi="宋体" w:eastAsia="宋体" w:cs="宋体"/>
          <w:color w:val="000000" w:themeColor="text1"/>
          <w:sz w:val="24"/>
          <w14:textFill>
            <w14:solidFill>
              <w14:schemeClr w14:val="tx1"/>
            </w14:solidFill>
          </w14:textFill>
        </w:rPr>
        <w:t>（北京时间，法定节假日除外</w:t>
      </w:r>
      <w:r>
        <w:rPr>
          <w:rFonts w:ascii="Times New Roman" w:hAnsi="Times New Roman" w:eastAsia="Times New Roman" w:cs="Times New Roman"/>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pPr>
        <w:spacing w:line="360" w:lineRule="auto"/>
        <w:ind w:firstLine="48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地点：周口市公共资源交易中心网（http://jyzx.zhoukou.gov.cn）</w:t>
      </w:r>
    </w:p>
    <w:p>
      <w:pPr>
        <w:spacing w:line="360" w:lineRule="auto"/>
        <w:ind w:firstLine="48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方式：供应商请在网站自主注册后下载采购文件（zkzf格式）及资料，需办理CA数字证书后方可提交响应文件，具体办理事宜请</w:t>
      </w:r>
      <w:bookmarkStart w:id="19" w:name="_GoBack"/>
      <w:bookmarkEnd w:id="19"/>
      <w:r>
        <w:rPr>
          <w:rFonts w:ascii="宋体" w:hAnsi="宋体" w:eastAsia="宋体" w:cs="宋体"/>
          <w:color w:val="000000" w:themeColor="text1"/>
          <w:sz w:val="24"/>
          <w14:textFill>
            <w14:solidFill>
              <w14:schemeClr w14:val="tx1"/>
            </w14:solidFill>
          </w14:textFill>
        </w:rPr>
        <w:t>查阅周口市公共资源交易中心网站。</w:t>
      </w:r>
    </w:p>
    <w:p>
      <w:pPr>
        <w:spacing w:line="360" w:lineRule="auto"/>
        <w:ind w:firstLine="540"/>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售价：</w:t>
      </w:r>
      <w:r>
        <w:rPr>
          <w:rFonts w:ascii="Times New Roman" w:hAnsi="Times New Roman" w:eastAsia="Times New Roman" w:cs="Times New Roman"/>
          <w:color w:val="000000" w:themeColor="text1"/>
          <w:sz w:val="24"/>
          <w14:textFill>
            <w14:solidFill>
              <w14:schemeClr w14:val="tx1"/>
            </w14:solidFill>
          </w14:textFill>
        </w:rPr>
        <w:t>0</w:t>
      </w:r>
    </w:p>
    <w:p>
      <w:pPr>
        <w:spacing w:line="360" w:lineRule="auto"/>
        <w:jc w:val="left"/>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四、响应文件提交</w:t>
      </w:r>
    </w:p>
    <w:p>
      <w:pPr>
        <w:spacing w:line="360" w:lineRule="auto"/>
        <w:ind w:firstLine="480"/>
        <w:rPr>
          <w:rFonts w:ascii="Times New Roman" w:hAnsi="Times New Roman" w:eastAsia="Times New Roman" w:cs="Times New Roman"/>
          <w:color w:val="000000" w:themeColor="text1"/>
          <w:sz w:val="24"/>
          <w:u w:val="single"/>
          <w14:textFill>
            <w14:solidFill>
              <w14:schemeClr w14:val="tx1"/>
            </w14:solidFill>
          </w14:textFill>
        </w:rPr>
      </w:pPr>
      <w:r>
        <w:rPr>
          <w:rFonts w:ascii="宋体" w:hAnsi="宋体" w:eastAsia="宋体" w:cs="宋体"/>
          <w:color w:val="000000" w:themeColor="text1"/>
          <w:sz w:val="24"/>
          <w14:textFill>
            <w14:solidFill>
              <w14:schemeClr w14:val="tx1"/>
            </w14:solidFill>
          </w14:textFill>
        </w:rPr>
        <w:t>截止时间：202</w:t>
      </w:r>
      <w:r>
        <w:rPr>
          <w:rFonts w:hint="eastAsia" w:ascii="宋体" w:hAnsi="宋体" w:eastAsia="宋体" w:cs="宋体"/>
          <w:color w:val="000000" w:themeColor="text1"/>
          <w:sz w:val="24"/>
          <w14:textFill>
            <w14:solidFill>
              <w14:schemeClr w14:val="tx1"/>
            </w14:solidFill>
          </w14:textFill>
        </w:rPr>
        <w:t>4</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5</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07</w:t>
      </w:r>
      <w:r>
        <w:rPr>
          <w:rFonts w:ascii="宋体" w:hAnsi="宋体" w:eastAsia="宋体" w:cs="宋体"/>
          <w:color w:val="000000" w:themeColor="text1"/>
          <w:sz w:val="24"/>
          <w14:textFill>
            <w14:solidFill>
              <w14:schemeClr w14:val="tx1"/>
            </w14:solidFill>
          </w14:textFill>
        </w:rPr>
        <w:t>日10点00分（北京时间）</w:t>
      </w:r>
    </w:p>
    <w:p>
      <w:pPr>
        <w:spacing w:line="360" w:lineRule="auto"/>
        <w:ind w:firstLine="480"/>
        <w:rPr>
          <w:rFonts w:ascii="Times New Roman" w:hAnsi="Times New Roman" w:eastAsia="Times New Roman" w:cs="Times New Roman"/>
          <w:color w:val="000000" w:themeColor="text1"/>
          <w:sz w:val="24"/>
          <w:u w:val="single"/>
          <w14:textFill>
            <w14:solidFill>
              <w14:schemeClr w14:val="tx1"/>
            </w14:solidFill>
          </w14:textFill>
        </w:rPr>
      </w:pPr>
      <w:r>
        <w:rPr>
          <w:rFonts w:ascii="宋体" w:hAnsi="宋体" w:eastAsia="宋体" w:cs="宋体"/>
          <w:color w:val="000000" w:themeColor="text1"/>
          <w:sz w:val="24"/>
          <w14:textFill>
            <w14:solidFill>
              <w14:schemeClr w14:val="tx1"/>
            </w14:solidFill>
          </w14:textFill>
        </w:rPr>
        <w:t>地点：加密电子响应文件须在投标截止时间前通过</w:t>
      </w:r>
      <w:r>
        <w:rPr>
          <w:rFonts w:ascii="宋体" w:hAnsi="宋体" w:eastAsia="宋体" w:cs="宋体"/>
          <w:color w:val="000000" w:themeColor="text1"/>
          <w:spacing w:val="-6"/>
          <w:sz w:val="24"/>
          <w14:textFill>
            <w14:solidFill>
              <w14:schemeClr w14:val="tx1"/>
            </w14:solidFill>
          </w14:textFill>
        </w:rPr>
        <w:t>周口市公共资源交易中心网</w:t>
      </w:r>
      <w:r>
        <w:rPr>
          <w:rFonts w:ascii="宋体" w:hAnsi="宋体" w:eastAsia="宋体" w:cs="宋体"/>
          <w:color w:val="000000" w:themeColor="text1"/>
          <w:sz w:val="24"/>
          <w14:textFill>
            <w14:solidFill>
              <w14:schemeClr w14:val="tx1"/>
            </w14:solidFill>
          </w14:textFill>
        </w:rPr>
        <w:t>（网址</w:t>
      </w:r>
      <w:r>
        <w:fldChar w:fldCharType="begin"/>
      </w:r>
      <w:r>
        <w:instrText xml:space="preserve"> HYPERLINK "http://jyzx.zhoukou.gov.cn/" \h </w:instrText>
      </w:r>
      <w:r>
        <w:fldChar w:fldCharType="separate"/>
      </w:r>
      <w:r>
        <w:rPr>
          <w:rFonts w:ascii="Times New Roman" w:hAnsi="Times New Roman" w:eastAsia="Times New Roman" w:cs="Times New Roman"/>
          <w:color w:val="000000" w:themeColor="text1"/>
          <w:sz w:val="24"/>
          <w:u w:val="single"/>
          <w14:textFill>
            <w14:solidFill>
              <w14:schemeClr w14:val="tx1"/>
            </w14:solidFill>
          </w14:textFill>
        </w:rPr>
        <w:t>http://jyzx.zhoukou.gov.cn</w:t>
      </w:r>
      <w:r>
        <w:rPr>
          <w:rFonts w:ascii="Times New Roman" w:hAnsi="Times New Roman" w:eastAsia="Times New Roman" w:cs="Times New Roman"/>
          <w:color w:val="000000" w:themeColor="text1"/>
          <w:sz w:val="24"/>
          <w:u w:val="single"/>
          <w14:textFill>
            <w14:solidFill>
              <w14:schemeClr w14:val="tx1"/>
            </w14:solidFill>
          </w14:textFill>
        </w:rPr>
        <w:fldChar w:fldCharType="end"/>
      </w:r>
      <w:r>
        <w:rPr>
          <w:rFonts w:ascii="宋体" w:hAnsi="宋体" w:eastAsia="宋体" w:cs="宋体"/>
          <w:color w:val="000000" w:themeColor="text1"/>
          <w:sz w:val="24"/>
          <w14:textFill>
            <w14:solidFill>
              <w14:schemeClr w14:val="tx1"/>
            </w14:solidFill>
          </w14:textFill>
        </w:rPr>
        <w:t>）。</w:t>
      </w:r>
    </w:p>
    <w:p>
      <w:pPr>
        <w:spacing w:line="360" w:lineRule="auto"/>
        <w:jc w:val="left"/>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五、开启（竞争性磋商方式必须填写）</w:t>
      </w:r>
    </w:p>
    <w:p>
      <w:pPr>
        <w:spacing w:line="360" w:lineRule="auto"/>
        <w:ind w:firstLine="480"/>
        <w:rPr>
          <w:rFonts w:ascii="Times New Roman" w:hAnsi="Times New Roman" w:eastAsia="Times New Roman" w:cs="Times New Roman"/>
          <w:color w:val="000000" w:themeColor="text1"/>
          <w:sz w:val="24"/>
          <w:u w:val="single"/>
          <w14:textFill>
            <w14:solidFill>
              <w14:schemeClr w14:val="tx1"/>
            </w14:solidFill>
          </w14:textFill>
        </w:rPr>
      </w:pPr>
      <w:r>
        <w:rPr>
          <w:rFonts w:ascii="宋体" w:hAnsi="宋体" w:eastAsia="宋体" w:cs="宋体"/>
          <w:color w:val="000000" w:themeColor="text1"/>
          <w:sz w:val="24"/>
          <w14:textFill>
            <w14:solidFill>
              <w14:schemeClr w14:val="tx1"/>
            </w14:solidFill>
          </w14:textFill>
        </w:rPr>
        <w:t>时间：202</w:t>
      </w:r>
      <w:r>
        <w:rPr>
          <w:rFonts w:hint="eastAsia" w:ascii="宋体" w:hAnsi="宋体" w:eastAsia="宋体" w:cs="宋体"/>
          <w:color w:val="000000" w:themeColor="text1"/>
          <w:sz w:val="24"/>
          <w14:textFill>
            <w14:solidFill>
              <w14:schemeClr w14:val="tx1"/>
            </w14:solidFill>
          </w14:textFill>
        </w:rPr>
        <w:t>4</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5</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07</w:t>
      </w:r>
      <w:r>
        <w:rPr>
          <w:rFonts w:ascii="宋体" w:hAnsi="宋体" w:eastAsia="宋体" w:cs="宋体"/>
          <w:color w:val="000000" w:themeColor="text1"/>
          <w:sz w:val="24"/>
          <w14:textFill>
            <w14:solidFill>
              <w14:schemeClr w14:val="tx1"/>
            </w14:solidFill>
          </w14:textFill>
        </w:rPr>
        <w:t>日10点00分（北京时间）</w:t>
      </w:r>
    </w:p>
    <w:p>
      <w:pPr>
        <w:spacing w:line="360" w:lineRule="auto"/>
        <w:ind w:firstLine="480"/>
        <w:jc w:val="left"/>
        <w:rPr>
          <w:rFonts w:ascii="Times New Roman" w:hAnsi="Times New Roman" w:eastAsia="Times New Roman" w:cs="Times New Roman"/>
          <w:color w:val="000000" w:themeColor="text1"/>
          <w:sz w:val="24"/>
          <w:u w:val="single"/>
          <w14:textFill>
            <w14:solidFill>
              <w14:schemeClr w14:val="tx1"/>
            </w14:solidFill>
          </w14:textFill>
        </w:rPr>
      </w:pPr>
      <w:r>
        <w:rPr>
          <w:rFonts w:ascii="宋体" w:hAnsi="宋体" w:eastAsia="宋体" w:cs="宋体"/>
          <w:color w:val="000000" w:themeColor="text1"/>
          <w:sz w:val="24"/>
          <w14:textFill>
            <w14:solidFill>
              <w14:schemeClr w14:val="tx1"/>
            </w14:solidFill>
          </w14:textFill>
        </w:rPr>
        <w:t>地点：周口市公共资源交易中心开标室</w:t>
      </w:r>
    </w:p>
    <w:p>
      <w:pPr>
        <w:spacing w:line="360" w:lineRule="auto"/>
        <w:jc w:val="left"/>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六、公告期限</w:t>
      </w:r>
    </w:p>
    <w:p>
      <w:pPr>
        <w:spacing w:line="360" w:lineRule="auto"/>
        <w:ind w:firstLine="480"/>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自本公告发布之日起</w:t>
      </w:r>
      <w:r>
        <w:rPr>
          <w:rFonts w:ascii="Times New Roman" w:hAnsi="Times New Roman" w:eastAsia="Times New Roman" w:cs="Times New Roman"/>
          <w:color w:val="000000" w:themeColor="text1"/>
          <w:sz w:val="24"/>
          <w14:textFill>
            <w14:solidFill>
              <w14:schemeClr w14:val="tx1"/>
            </w14:solidFill>
          </w14:textFill>
        </w:rPr>
        <w:t>3</w:t>
      </w:r>
      <w:r>
        <w:rPr>
          <w:rFonts w:ascii="宋体" w:hAnsi="宋体" w:eastAsia="宋体" w:cs="宋体"/>
          <w:color w:val="000000" w:themeColor="text1"/>
          <w:sz w:val="24"/>
          <w14:textFill>
            <w14:solidFill>
              <w14:schemeClr w14:val="tx1"/>
            </w14:solidFill>
          </w14:textFill>
        </w:rPr>
        <w:t>个工作日。</w:t>
      </w:r>
    </w:p>
    <w:p>
      <w:pPr>
        <w:spacing w:line="360" w:lineRule="auto"/>
        <w:jc w:val="left"/>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七、其他补充事宜</w:t>
      </w:r>
    </w:p>
    <w:p>
      <w:pPr>
        <w:spacing w:line="360" w:lineRule="auto"/>
        <w:jc w:val="left"/>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八、凡对本次采购提出询问，请按以下方式联系。</w:t>
      </w:r>
    </w:p>
    <w:p>
      <w:pPr>
        <w:spacing w:line="360" w:lineRule="auto"/>
        <w:ind w:firstLine="48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1.采购人信息</w:t>
      </w:r>
    </w:p>
    <w:p>
      <w:pPr>
        <w:spacing w:line="360" w:lineRule="auto"/>
        <w:ind w:firstLine="48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名称：项城市公安局</w:t>
      </w:r>
    </w:p>
    <w:p>
      <w:pPr>
        <w:spacing w:line="360" w:lineRule="auto"/>
        <w:ind w:firstLine="48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地址：项城市湖滨路南段</w:t>
      </w:r>
    </w:p>
    <w:p>
      <w:pPr>
        <w:spacing w:line="360" w:lineRule="auto"/>
        <w:ind w:firstLine="48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联系人：刘勇旭        联系方式：18539781818</w:t>
      </w:r>
      <w:r>
        <w:rPr>
          <w:rFonts w:ascii="宋体" w:hAnsi="宋体" w:eastAsia="宋体" w:cs="宋体"/>
          <w:color w:val="000000" w:themeColor="text1"/>
          <w:sz w:val="24"/>
          <w14:textFill>
            <w14:solidFill>
              <w14:schemeClr w14:val="tx1"/>
            </w14:solidFill>
          </w14:textFill>
        </w:rPr>
        <w:t xml:space="preserve"> </w:t>
      </w:r>
    </w:p>
    <w:p>
      <w:pPr>
        <w:spacing w:line="360" w:lineRule="auto"/>
        <w:ind w:firstLine="48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2.采购代理机构信息</w:t>
      </w:r>
    </w:p>
    <w:p>
      <w:pPr>
        <w:spacing w:line="360" w:lineRule="auto"/>
        <w:ind w:firstLine="48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名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称：周口市公共资源交易中心政府采购中心　</w:t>
      </w:r>
    </w:p>
    <w:p>
      <w:pPr>
        <w:spacing w:line="360" w:lineRule="auto"/>
        <w:ind w:firstLine="48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地　址：周口市光明路与政通路交叉口向北100米路东</w:t>
      </w:r>
    </w:p>
    <w:p>
      <w:pPr>
        <w:spacing w:line="360" w:lineRule="auto"/>
        <w:ind w:firstLine="48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项目联系人：</w:t>
      </w:r>
      <w:r>
        <w:rPr>
          <w:rFonts w:hint="eastAsia" w:ascii="宋体" w:hAnsi="宋体" w:eastAsia="宋体" w:cs="宋体"/>
          <w:color w:val="000000" w:themeColor="text1"/>
          <w:sz w:val="24"/>
          <w:lang w:val="en-US" w:eastAsia="zh-CN"/>
          <w14:textFill>
            <w14:solidFill>
              <w14:schemeClr w14:val="tx1"/>
            </w14:solidFill>
          </w14:textFill>
        </w:rPr>
        <w:t>张光</w:t>
      </w:r>
      <w:r>
        <w:rPr>
          <w:rFonts w:ascii="宋体" w:hAnsi="宋体" w:eastAsia="宋体" w:cs="宋体"/>
          <w:color w:val="000000" w:themeColor="text1"/>
          <w:sz w:val="24"/>
          <w14:textFill>
            <w14:solidFill>
              <w14:schemeClr w14:val="tx1"/>
            </w14:solidFill>
          </w14:textFill>
        </w:rPr>
        <w:t xml:space="preserve">     联系方式：</w:t>
      </w:r>
      <w:r>
        <w:rPr>
          <w:rFonts w:hint="eastAsia" w:ascii="宋体" w:hAnsi="宋体" w:cs="宋体"/>
          <w:color w:val="000000" w:themeColor="text1"/>
          <w:sz w:val="24"/>
          <w14:textFill>
            <w14:solidFill>
              <w14:schemeClr w14:val="tx1"/>
            </w14:solidFill>
          </w14:textFill>
        </w:rPr>
        <w:t>0394-8106517</w:t>
      </w:r>
    </w:p>
    <w:p>
      <w:pPr>
        <w:spacing w:line="360" w:lineRule="auto"/>
        <w:ind w:firstLine="48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3.监督单位：项城市财政局</w:t>
      </w:r>
    </w:p>
    <w:p>
      <w:pPr>
        <w:spacing w:line="360" w:lineRule="auto"/>
        <w:ind w:firstLine="480"/>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联系方式：0394-4315676</w:t>
      </w:r>
    </w:p>
    <w:p>
      <w:pPr>
        <w:spacing w:line="360" w:lineRule="auto"/>
        <w:ind w:firstLine="480"/>
        <w:jc w:val="left"/>
        <w:rPr>
          <w:rFonts w:ascii="宋体" w:hAnsi="宋体" w:eastAsia="宋体" w:cs="宋体"/>
          <w:color w:val="000000" w:themeColor="text1"/>
          <w:sz w:val="24"/>
          <w14:textFill>
            <w14:solidFill>
              <w14:schemeClr w14:val="tx1"/>
            </w14:solidFill>
          </w14:textFill>
        </w:rPr>
      </w:pPr>
    </w:p>
    <w:p>
      <w:pPr>
        <w:spacing w:line="360" w:lineRule="auto"/>
        <w:ind w:firstLine="480"/>
        <w:jc w:val="left"/>
        <w:rPr>
          <w:rFonts w:ascii="Times New Roman" w:hAnsi="Times New Roman" w:eastAsia="Times New Roman" w:cs="Times New Roman"/>
          <w:color w:val="000000" w:themeColor="text1"/>
          <w:sz w:val="22"/>
          <w14:textFill>
            <w14:solidFill>
              <w14:schemeClr w14:val="tx1"/>
            </w14:solidFill>
          </w14:textFill>
        </w:rPr>
      </w:pPr>
    </w:p>
    <w:p>
      <w:pPr>
        <w:spacing w:after="120" w:line="360" w:lineRule="auto"/>
        <w:ind w:firstLine="204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周口市公共资源交易中心政府采购中心</w:t>
      </w:r>
    </w:p>
    <w:p>
      <w:pPr>
        <w:tabs>
          <w:tab w:val="left" w:pos="0"/>
          <w:tab w:val="left" w:pos="993"/>
          <w:tab w:val="left" w:pos="1134"/>
        </w:tabs>
        <w:ind w:firstLine="36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ascii="宋体" w:hAnsi="宋体" w:eastAsia="宋体" w:cs="宋体"/>
          <w:color w:val="000000" w:themeColor="text1"/>
          <w:sz w:val="24"/>
          <w14:textFill>
            <w14:solidFill>
              <w14:schemeClr w14:val="tx1"/>
            </w14:solidFill>
          </w14:textFill>
        </w:rPr>
        <w:t>02</w:t>
      </w:r>
      <w:r>
        <w:rPr>
          <w:rFonts w:hint="eastAsia" w:ascii="宋体" w:hAnsi="宋体" w:eastAsia="宋体" w:cs="宋体"/>
          <w:color w:val="000000" w:themeColor="text1"/>
          <w:sz w:val="24"/>
          <w14:textFill>
            <w14:solidFill>
              <w14:schemeClr w14:val="tx1"/>
            </w14:solidFill>
          </w14:textFill>
        </w:rPr>
        <w:t>4</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4</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23</w:t>
      </w:r>
      <w:r>
        <w:rPr>
          <w:rFonts w:ascii="宋体" w:hAnsi="宋体" w:eastAsia="宋体" w:cs="宋体"/>
          <w:color w:val="000000" w:themeColor="text1"/>
          <w:sz w:val="24"/>
          <w14:textFill>
            <w14:solidFill>
              <w14:schemeClr w14:val="tx1"/>
            </w14:solidFill>
          </w14:textFill>
        </w:rPr>
        <w:t>日</w:t>
      </w:r>
    </w:p>
    <w:p>
      <w:pPr>
        <w:pStyle w:val="20"/>
        <w:ind w:firstLine="240"/>
        <w:rPr>
          <w:rFonts w:ascii="宋体" w:hAnsi="宋体" w:eastAsia="宋体" w:cs="宋体"/>
          <w:color w:val="000000" w:themeColor="text1"/>
          <w:sz w:val="24"/>
          <w14:textFill>
            <w14:solidFill>
              <w14:schemeClr w14:val="tx1"/>
            </w14:solidFill>
          </w14:textFill>
        </w:rPr>
      </w:pPr>
    </w:p>
    <w:p>
      <w:pPr>
        <w:pStyle w:val="2"/>
        <w:jc w:val="center"/>
        <w:rPr>
          <w:color w:val="000000" w:themeColor="text1"/>
          <w14:textFill>
            <w14:solidFill>
              <w14:schemeClr w14:val="tx1"/>
            </w14:solidFill>
          </w14:textFill>
        </w:rPr>
      </w:pPr>
      <w:bookmarkStart w:id="1" w:name="_Toc164239543"/>
      <w:r>
        <w:rPr>
          <w:color w:val="000000" w:themeColor="text1"/>
          <w14:textFill>
            <w14:solidFill>
              <w14:schemeClr w14:val="tx1"/>
            </w14:solidFill>
          </w14:textFill>
        </w:rPr>
        <w:t>第二章    供应商须知</w:t>
      </w:r>
      <w:bookmarkEnd w:id="1"/>
    </w:p>
    <w:p>
      <w:pPr>
        <w:pStyle w:val="20"/>
        <w:ind w:firstLine="210"/>
        <w:rPr>
          <w:color w:val="000000" w:themeColor="text1"/>
          <w14:textFill>
            <w14:solidFill>
              <w14:schemeClr w14:val="tx1"/>
            </w14:solidFill>
          </w14:textFill>
        </w:rPr>
      </w:pPr>
    </w:p>
    <w:tbl>
      <w:tblPr>
        <w:tblStyle w:val="14"/>
        <w:tblW w:w="8567" w:type="dxa"/>
        <w:tblInd w:w="108" w:type="dxa"/>
        <w:tblLayout w:type="autofit"/>
        <w:tblCellMar>
          <w:top w:w="0" w:type="dxa"/>
          <w:left w:w="10" w:type="dxa"/>
          <w:bottom w:w="0" w:type="dxa"/>
          <w:right w:w="10" w:type="dxa"/>
        </w:tblCellMar>
      </w:tblPr>
      <w:tblGrid>
        <w:gridCol w:w="871"/>
        <w:gridCol w:w="1701"/>
        <w:gridCol w:w="5995"/>
      </w:tblGrid>
      <w:tr>
        <w:tblPrEx>
          <w:tblCellMar>
            <w:top w:w="0" w:type="dxa"/>
            <w:left w:w="10" w:type="dxa"/>
            <w:bottom w:w="0" w:type="dxa"/>
            <w:right w:w="10" w:type="dxa"/>
          </w:tblCellMar>
        </w:tblPrEx>
        <w:trPr>
          <w:trHeight w:val="336" w:hRule="atLeast"/>
        </w:trPr>
        <w:tc>
          <w:tcPr>
            <w:tcW w:w="856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供应商须知前附表</w:t>
            </w:r>
          </w:p>
        </w:tc>
      </w:tr>
      <w:tr>
        <w:tblPrEx>
          <w:tblCellMar>
            <w:top w:w="0" w:type="dxa"/>
            <w:left w:w="10" w:type="dxa"/>
            <w:bottom w:w="0" w:type="dxa"/>
            <w:right w:w="10" w:type="dxa"/>
          </w:tblCellMar>
        </w:tblPrEx>
        <w:trPr>
          <w:trHeight w:val="345"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序号</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条款</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内  容</w:t>
            </w:r>
          </w:p>
        </w:tc>
      </w:tr>
      <w:tr>
        <w:tblPrEx>
          <w:tblCellMar>
            <w:top w:w="0" w:type="dxa"/>
            <w:left w:w="10" w:type="dxa"/>
            <w:bottom w:w="0" w:type="dxa"/>
            <w:right w:w="10" w:type="dxa"/>
          </w:tblCellMar>
        </w:tblPrEx>
        <w:trPr>
          <w:trHeight w:val="2375"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项目概况</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1）项目名称：</w:t>
            </w:r>
            <w:r>
              <w:rPr>
                <w:rFonts w:hint="eastAsia" w:ascii="宋体" w:hAnsi="宋体" w:eastAsia="宋体" w:cs="宋体"/>
                <w:color w:val="000000" w:themeColor="text1"/>
                <w:sz w:val="24"/>
                <w14:textFill>
                  <w14:solidFill>
                    <w14:schemeClr w14:val="tx1"/>
                  </w14:solidFill>
                </w14:textFill>
              </w:rPr>
              <w:t>项城市公安局刑警大队购置电梯加装改造项目</w:t>
            </w:r>
          </w:p>
          <w:p>
            <w:pP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2）采购内容：</w:t>
            </w:r>
            <w:r>
              <w:rPr>
                <w:rFonts w:hint="eastAsia" w:ascii="宋体" w:hAnsi="宋体" w:eastAsia="宋体" w:cs="宋体"/>
                <w:color w:val="000000" w:themeColor="text1"/>
                <w:sz w:val="24"/>
                <w14:textFill>
                  <w14:solidFill>
                    <w14:schemeClr w14:val="tx1"/>
                  </w14:solidFill>
                </w14:textFill>
              </w:rPr>
              <w:t>购置电梯2部加装改造。（详见采购清单）</w:t>
            </w:r>
          </w:p>
          <w:p>
            <w:pP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3）采购人：</w:t>
            </w:r>
            <w:r>
              <w:rPr>
                <w:rFonts w:hint="eastAsia" w:ascii="宋体" w:hAnsi="宋体" w:eastAsia="宋体" w:cs="宋体"/>
                <w:color w:val="000000" w:themeColor="text1"/>
                <w:sz w:val="24"/>
                <w14:textFill>
                  <w14:solidFill>
                    <w14:schemeClr w14:val="tx1"/>
                  </w14:solidFill>
                </w14:textFill>
              </w:rPr>
              <w:t xml:space="preserve">项城市公安局 </w:t>
            </w:r>
          </w:p>
          <w:p>
            <w:pP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4）采购代理机构：周口市公共资源交易中心政府采购中心</w:t>
            </w:r>
          </w:p>
        </w:tc>
      </w:tr>
      <w:tr>
        <w:tblPrEx>
          <w:tblCellMar>
            <w:top w:w="0" w:type="dxa"/>
            <w:left w:w="10" w:type="dxa"/>
            <w:bottom w:w="0" w:type="dxa"/>
            <w:right w:w="10" w:type="dxa"/>
          </w:tblCellMar>
        </w:tblPrEx>
        <w:trPr>
          <w:trHeight w:val="682"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4" w:hanging="4"/>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对供应商的资格要求</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4" w:hanging="4"/>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见竞争性磋商邀请函</w:t>
            </w:r>
          </w:p>
        </w:tc>
      </w:tr>
      <w:tr>
        <w:tblPrEx>
          <w:tblCellMar>
            <w:top w:w="0" w:type="dxa"/>
            <w:left w:w="10" w:type="dxa"/>
            <w:bottom w:w="0" w:type="dxa"/>
            <w:right w:w="10" w:type="dxa"/>
          </w:tblCellMar>
        </w:tblPrEx>
        <w:trPr>
          <w:trHeight w:val="682"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3"/>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报价费用</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无论报价和磋商的过程和结果如何，供应商自行承担所有与参加报价及磋商有关活动的全部费用。</w:t>
            </w:r>
          </w:p>
        </w:tc>
      </w:tr>
      <w:tr>
        <w:tblPrEx>
          <w:tblCellMar>
            <w:top w:w="0" w:type="dxa"/>
            <w:left w:w="10" w:type="dxa"/>
            <w:bottom w:w="0" w:type="dxa"/>
            <w:right w:w="10" w:type="dxa"/>
          </w:tblCellMar>
        </w:tblPrEx>
        <w:trPr>
          <w:trHeight w:val="336"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4"/>
              </w:numPr>
              <w:tabs>
                <w:tab w:val="left" w:pos="420"/>
              </w:tabs>
              <w:ind w:left="420" w:hanging="42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响应文件语言</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中文</w:t>
            </w:r>
          </w:p>
        </w:tc>
      </w:tr>
      <w:tr>
        <w:tblPrEx>
          <w:tblCellMar>
            <w:top w:w="0" w:type="dxa"/>
            <w:left w:w="10" w:type="dxa"/>
            <w:bottom w:w="0" w:type="dxa"/>
            <w:right w:w="10" w:type="dxa"/>
          </w:tblCellMar>
        </w:tblPrEx>
        <w:trPr>
          <w:trHeight w:val="345"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5"/>
              </w:numPr>
              <w:tabs>
                <w:tab w:val="left" w:pos="420"/>
              </w:tabs>
              <w:ind w:left="420" w:hanging="420"/>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报价货币</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人民币</w:t>
            </w:r>
          </w:p>
        </w:tc>
      </w:tr>
      <w:tr>
        <w:tblPrEx>
          <w:tblCellMar>
            <w:top w:w="0" w:type="dxa"/>
            <w:left w:w="10" w:type="dxa"/>
            <w:bottom w:w="0" w:type="dxa"/>
            <w:right w:w="10" w:type="dxa"/>
          </w:tblCellMar>
        </w:tblPrEx>
        <w:trPr>
          <w:trHeight w:val="1018"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6"/>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报价范围及说明</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报价包括本项目所招标的货物、保险、税费、包装、加工及加工损耗、运输、现场落地、安装、验收等（采购项目技术规格、参数及要求）</w:t>
            </w:r>
          </w:p>
        </w:tc>
      </w:tr>
      <w:tr>
        <w:tblPrEx>
          <w:tblCellMar>
            <w:top w:w="0" w:type="dxa"/>
            <w:left w:w="10" w:type="dxa"/>
            <w:bottom w:w="0" w:type="dxa"/>
            <w:right w:w="10" w:type="dxa"/>
          </w:tblCellMar>
        </w:tblPrEx>
        <w:trPr>
          <w:trHeight w:val="682"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7"/>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响应文件有效期</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响应文件递交截止期后</w:t>
            </w:r>
            <w:r>
              <w:rPr>
                <w:rFonts w:hint="eastAsia" w:ascii="宋体" w:hAnsi="宋体" w:eastAsia="宋体" w:cs="宋体"/>
                <w:color w:val="000000" w:themeColor="text1"/>
                <w:sz w:val="24"/>
                <w14:textFill>
                  <w14:solidFill>
                    <w14:schemeClr w14:val="tx1"/>
                  </w14:solidFill>
                </w14:textFill>
              </w:rPr>
              <w:t>6</w:t>
            </w:r>
            <w:r>
              <w:rPr>
                <w:rFonts w:ascii="宋体" w:hAnsi="宋体" w:eastAsia="宋体" w:cs="宋体"/>
                <w:color w:val="000000" w:themeColor="text1"/>
                <w:sz w:val="24"/>
                <w14:textFill>
                  <w14:solidFill>
                    <w14:schemeClr w14:val="tx1"/>
                  </w14:solidFill>
                </w14:textFill>
              </w:rPr>
              <w:t>0日内有效</w:t>
            </w:r>
          </w:p>
        </w:tc>
      </w:tr>
      <w:tr>
        <w:tblPrEx>
          <w:tblCellMar>
            <w:top w:w="0" w:type="dxa"/>
            <w:left w:w="10" w:type="dxa"/>
            <w:bottom w:w="0" w:type="dxa"/>
            <w:right w:w="10" w:type="dxa"/>
          </w:tblCellMar>
        </w:tblPrEx>
        <w:trPr>
          <w:trHeight w:val="1356"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8"/>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响应文件的组成</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CellMar>
            <w:top w:w="0" w:type="dxa"/>
            <w:left w:w="10" w:type="dxa"/>
            <w:bottom w:w="0" w:type="dxa"/>
            <w:right w:w="10" w:type="dxa"/>
          </w:tblCellMar>
        </w:tblPrEx>
        <w:trPr>
          <w:trHeight w:val="682"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9"/>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响应文件封面要求</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无</w:t>
            </w:r>
          </w:p>
        </w:tc>
      </w:tr>
      <w:tr>
        <w:tblPrEx>
          <w:tblCellMar>
            <w:top w:w="0" w:type="dxa"/>
            <w:left w:w="10" w:type="dxa"/>
            <w:bottom w:w="0" w:type="dxa"/>
            <w:right w:w="10" w:type="dxa"/>
          </w:tblCellMar>
        </w:tblPrEx>
        <w:trPr>
          <w:trHeight w:val="682"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0"/>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响应文件份数要求</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加密的电子投标文件须在投标截止时间前成功上传</w:t>
            </w:r>
          </w:p>
        </w:tc>
      </w:tr>
      <w:tr>
        <w:tblPrEx>
          <w:tblCellMar>
            <w:top w:w="0" w:type="dxa"/>
            <w:left w:w="10" w:type="dxa"/>
            <w:bottom w:w="0" w:type="dxa"/>
            <w:right w:w="10" w:type="dxa"/>
          </w:tblCellMar>
        </w:tblPrEx>
        <w:trPr>
          <w:trHeight w:val="682"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1"/>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响应文件装订和密封要求</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无</w:t>
            </w:r>
          </w:p>
        </w:tc>
      </w:tr>
      <w:tr>
        <w:tblPrEx>
          <w:tblCellMar>
            <w:top w:w="0" w:type="dxa"/>
            <w:left w:w="10" w:type="dxa"/>
            <w:bottom w:w="0" w:type="dxa"/>
            <w:right w:w="10" w:type="dxa"/>
          </w:tblCellMar>
        </w:tblPrEx>
        <w:trPr>
          <w:trHeight w:val="1655"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2"/>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竞争性磋商文件的澄清</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对竞争性磋商文件进行的澄清，以网上公告的方式通知供应商。澄清或修改的内容可能影响响应文件编制的，采购人、采购代理机构应当在提交响应文件截止时间至少5日前。</w:t>
            </w:r>
          </w:p>
          <w:p>
            <w:pPr>
              <w:rPr>
                <w:rFonts w:ascii="宋体" w:hAnsi="宋体" w:eastAsia="宋体" w:cs="宋体"/>
                <w:color w:val="000000" w:themeColor="text1"/>
                <w14:textFill>
                  <w14:solidFill>
                    <w14:schemeClr w14:val="tx1"/>
                  </w14:solidFill>
                </w14:textFill>
              </w:rPr>
            </w:pPr>
          </w:p>
        </w:tc>
      </w:tr>
      <w:tr>
        <w:tblPrEx>
          <w:tblCellMar>
            <w:top w:w="0" w:type="dxa"/>
            <w:left w:w="10" w:type="dxa"/>
            <w:bottom w:w="0" w:type="dxa"/>
            <w:right w:w="10" w:type="dxa"/>
          </w:tblCellMar>
        </w:tblPrEx>
        <w:trPr>
          <w:trHeight w:val="682"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3"/>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响应文件递交截止时间</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202</w:t>
            </w:r>
            <w:r>
              <w:rPr>
                <w:rFonts w:hint="eastAsia" w:ascii="宋体" w:hAnsi="宋体" w:eastAsia="宋体" w:cs="宋体"/>
                <w:color w:val="000000" w:themeColor="text1"/>
                <w:sz w:val="24"/>
                <w14:textFill>
                  <w14:solidFill>
                    <w14:schemeClr w14:val="tx1"/>
                  </w14:solidFill>
                </w14:textFill>
              </w:rPr>
              <w:t>4</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5</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07</w:t>
            </w:r>
            <w:r>
              <w:rPr>
                <w:rFonts w:ascii="宋体" w:hAnsi="宋体" w:eastAsia="宋体" w:cs="宋体"/>
                <w:color w:val="000000" w:themeColor="text1"/>
                <w:sz w:val="24"/>
                <w14:textFill>
                  <w14:solidFill>
                    <w14:schemeClr w14:val="tx1"/>
                  </w14:solidFill>
                </w14:textFill>
              </w:rPr>
              <w:t xml:space="preserve">日10点00分   （见磋商公告） </w:t>
            </w:r>
          </w:p>
        </w:tc>
      </w:tr>
      <w:tr>
        <w:tblPrEx>
          <w:tblCellMar>
            <w:top w:w="0" w:type="dxa"/>
            <w:left w:w="10" w:type="dxa"/>
            <w:bottom w:w="0" w:type="dxa"/>
            <w:right w:w="10" w:type="dxa"/>
          </w:tblCellMar>
        </w:tblPrEx>
        <w:trPr>
          <w:trHeight w:val="1018"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4"/>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响应文件递交地点</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周口市公共资源交易中心网</w:t>
            </w:r>
          </w:p>
          <w:p>
            <w:pPr>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网址：周口市公共资源电子交易服务平台会员系统（网址</w:t>
            </w:r>
            <w:r>
              <w:rPr>
                <w:rFonts w:hint="eastAsia" w:asciiTheme="minorEastAsia" w:hAnsiTheme="minorEastAsia"/>
                <w:color w:val="000000" w:themeColor="text1"/>
                <w14:textFill>
                  <w14:solidFill>
                    <w14:schemeClr w14:val="tx1"/>
                  </w14:solidFill>
                </w14:textFill>
              </w:rPr>
              <w:t>http://jyzx.zhoukou.gov.cn）</w:t>
            </w:r>
          </w:p>
          <w:p>
            <w:pPr>
              <w:spacing w:line="560" w:lineRule="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（本项目实行网上远程开标无须到现场提交响应文件）</w:t>
            </w:r>
          </w:p>
        </w:tc>
      </w:tr>
      <w:tr>
        <w:tblPrEx>
          <w:tblCellMar>
            <w:top w:w="0" w:type="dxa"/>
            <w:left w:w="10" w:type="dxa"/>
            <w:bottom w:w="0" w:type="dxa"/>
            <w:right w:w="10" w:type="dxa"/>
          </w:tblCellMar>
        </w:tblPrEx>
        <w:trPr>
          <w:trHeight w:val="156"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5"/>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磋商时间</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202</w:t>
            </w:r>
            <w:r>
              <w:rPr>
                <w:rFonts w:hint="eastAsia" w:ascii="宋体" w:hAnsi="宋体" w:eastAsia="宋体" w:cs="宋体"/>
                <w:color w:val="000000" w:themeColor="text1"/>
                <w:sz w:val="24"/>
                <w14:textFill>
                  <w14:solidFill>
                    <w14:schemeClr w14:val="tx1"/>
                  </w14:solidFill>
                </w14:textFill>
              </w:rPr>
              <w:t>4</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5</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07</w:t>
            </w:r>
            <w:r>
              <w:rPr>
                <w:rFonts w:ascii="宋体" w:hAnsi="宋体" w:eastAsia="宋体" w:cs="宋体"/>
                <w:color w:val="000000" w:themeColor="text1"/>
                <w:sz w:val="24"/>
                <w14:textFill>
                  <w14:solidFill>
                    <w14:schemeClr w14:val="tx1"/>
                  </w14:solidFill>
                </w14:textFill>
              </w:rPr>
              <w:t>日10点00分   见磋商公告</w:t>
            </w:r>
          </w:p>
        </w:tc>
      </w:tr>
      <w:tr>
        <w:tblPrEx>
          <w:tblCellMar>
            <w:top w:w="0" w:type="dxa"/>
            <w:left w:w="10" w:type="dxa"/>
            <w:bottom w:w="0" w:type="dxa"/>
            <w:right w:w="10" w:type="dxa"/>
          </w:tblCellMar>
        </w:tblPrEx>
        <w:trPr>
          <w:trHeight w:val="156"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6"/>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16</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磋商程序和内容</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详见磋商文件第二章</w:t>
            </w:r>
          </w:p>
        </w:tc>
      </w:tr>
      <w:tr>
        <w:tblPrEx>
          <w:tblCellMar>
            <w:top w:w="0" w:type="dxa"/>
            <w:left w:w="10" w:type="dxa"/>
            <w:bottom w:w="0" w:type="dxa"/>
            <w:right w:w="10" w:type="dxa"/>
          </w:tblCellMar>
        </w:tblPrEx>
        <w:trPr>
          <w:trHeight w:val="156"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7"/>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17</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授予合同</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采购人根据磋商小组的推荐意见，由采购人确定成交供应商。采购代理机构向成交供应商发出成交通知书。</w:t>
            </w:r>
          </w:p>
        </w:tc>
      </w:tr>
      <w:tr>
        <w:tblPrEx>
          <w:tblCellMar>
            <w:top w:w="0" w:type="dxa"/>
            <w:left w:w="10" w:type="dxa"/>
            <w:bottom w:w="0" w:type="dxa"/>
            <w:right w:w="10" w:type="dxa"/>
          </w:tblCellMar>
        </w:tblPrEx>
        <w:trPr>
          <w:trHeight w:val="156"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8"/>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签订合同</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ind w:left="-2"/>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本磋商文件、响应文件及磋商、评审过程中有关澄清、承诺文件的内容，将作为签订合同的主要内容。</w:t>
            </w:r>
          </w:p>
        </w:tc>
      </w:tr>
      <w:tr>
        <w:tblPrEx>
          <w:tblCellMar>
            <w:top w:w="0" w:type="dxa"/>
            <w:left w:w="10" w:type="dxa"/>
            <w:bottom w:w="0" w:type="dxa"/>
            <w:right w:w="10" w:type="dxa"/>
          </w:tblCellMar>
        </w:tblPrEx>
        <w:trPr>
          <w:trHeight w:val="156"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19"/>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19</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投标保证金</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rPr>
                <w:rFonts w:ascii="Times New Roman" w:hAnsi="Times New Roman" w:eastAsia="宋体" w:cs="Times New Roman"/>
                <w:color w:val="000000" w:themeColor="text1"/>
                <w:kern w:val="2"/>
                <w:szCs w:val="20"/>
                <w14:textFill>
                  <w14:solidFill>
                    <w14:schemeClr w14:val="tx1"/>
                  </w14:solidFill>
                </w14:textFill>
              </w:rPr>
            </w:pPr>
            <w:r>
              <w:rPr>
                <w:rFonts w:hint="eastAsia" w:ascii="宋体" w:hAnsi="宋体" w:eastAsia="宋体" w:cs="Times New Roman"/>
                <w:color w:val="000000" w:themeColor="text1"/>
                <w:kern w:val="2"/>
                <w:sz w:val="24"/>
                <w:szCs w:val="24"/>
                <w14:textFill>
                  <w14:solidFill>
                    <w14:schemeClr w14:val="tx1"/>
                  </w14:solidFill>
                </w14:textFill>
              </w:rPr>
              <w:t>不需要缴纳投标保证金（</w:t>
            </w:r>
            <w:r>
              <w:rPr>
                <w:rFonts w:hint="eastAsia" w:ascii="Times New Roman" w:hAnsi="Times New Roman" w:eastAsia="宋体" w:cs="Times New Roman"/>
                <w:color w:val="000000" w:themeColor="text1"/>
                <w:kern w:val="2"/>
                <w:szCs w:val="20"/>
                <w14:textFill>
                  <w14:solidFill>
                    <w14:schemeClr w14:val="tx1"/>
                  </w14:solidFill>
                </w14:textFill>
              </w:rPr>
              <w:t>按照相关文件要求货物、服务类政府采购活动不收取投标保证金、履约、质量保证金、合同中预留资金作为质量保证金等无法律依据的保证金。政府采购工程推广以承诺书替代保证金</w:t>
            </w:r>
            <w:r>
              <w:rPr>
                <w:rFonts w:hint="eastAsia" w:ascii="宋体" w:hAnsi="宋体" w:eastAsia="宋体" w:cs="Times New Roman"/>
                <w:color w:val="000000" w:themeColor="text1"/>
                <w:kern w:val="2"/>
                <w:sz w:val="24"/>
                <w:szCs w:val="24"/>
                <w14:textFill>
                  <w14:solidFill>
                    <w14:schemeClr w14:val="tx1"/>
                  </w14:solidFill>
                </w14:textFill>
              </w:rPr>
              <w:t>）</w:t>
            </w:r>
            <w:r>
              <w:rPr>
                <w:rFonts w:hint="eastAsia" w:ascii="Times New Roman" w:hAnsi="Times New Roman" w:eastAsia="宋体" w:cs="Times New Roman"/>
                <w:color w:val="000000" w:themeColor="text1"/>
                <w:kern w:val="2"/>
                <w:szCs w:val="20"/>
                <w14:textFill>
                  <w14:solidFill>
                    <w14:schemeClr w14:val="tx1"/>
                  </w14:solidFill>
                </w14:textFill>
              </w:rPr>
              <w:t>。</w:t>
            </w:r>
          </w:p>
          <w:p>
            <w:pPr>
              <w:tabs>
                <w:tab w:val="left" w:pos="8640"/>
              </w:tabs>
              <w:ind w:left="-2"/>
              <w:rPr>
                <w:rFonts w:ascii="宋体" w:hAnsi="宋体" w:eastAsia="宋体" w:cs="宋体"/>
                <w:color w:val="000000" w:themeColor="text1"/>
                <w14:textFill>
                  <w14:solidFill>
                    <w14:schemeClr w14:val="tx1"/>
                  </w14:solidFill>
                </w14:textFill>
              </w:rPr>
            </w:pPr>
          </w:p>
        </w:tc>
      </w:tr>
      <w:tr>
        <w:tblPrEx>
          <w:tblCellMar>
            <w:top w:w="0" w:type="dxa"/>
            <w:left w:w="10" w:type="dxa"/>
            <w:bottom w:w="0" w:type="dxa"/>
            <w:right w:w="10" w:type="dxa"/>
          </w:tblCellMar>
        </w:tblPrEx>
        <w:trPr>
          <w:trHeight w:val="156"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0"/>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20</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供货周期</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合同签订后30日历天内（完成供货、安装、调试并交付使用）</w:t>
            </w:r>
          </w:p>
        </w:tc>
      </w:tr>
      <w:tr>
        <w:tblPrEx>
          <w:tblCellMar>
            <w:top w:w="0" w:type="dxa"/>
            <w:left w:w="10" w:type="dxa"/>
            <w:bottom w:w="0" w:type="dxa"/>
            <w:right w:w="10" w:type="dxa"/>
          </w:tblCellMar>
        </w:tblPrEx>
        <w:trPr>
          <w:trHeight w:val="156"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1"/>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付款方式</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32"/>
                <w14:textFill>
                  <w14:solidFill>
                    <w14:schemeClr w14:val="tx1"/>
                  </w14:solidFill>
                </w14:textFill>
              </w:rPr>
              <w:t>详细付款方式：产品供货、安装、调试并交付使用，30日内支付首付款97%，一年后无质量问题支付余款3%。</w:t>
            </w:r>
          </w:p>
          <w:p>
            <w:pPr>
              <w:rPr>
                <w:rFonts w:ascii="Times New Roman" w:hAnsi="Times New Roman" w:eastAsia="宋体" w:cs="Times New Roman"/>
                <w:color w:val="000000" w:themeColor="text1"/>
                <w:kern w:val="2"/>
                <w:szCs w:val="20"/>
                <w14:textFill>
                  <w14:solidFill>
                    <w14:schemeClr w14:val="tx1"/>
                  </w14:solidFill>
                </w14:textFill>
              </w:rPr>
            </w:pPr>
            <w:r>
              <w:rPr>
                <w:rFonts w:hint="eastAsia" w:ascii="Times New Roman" w:hAnsi="Times New Roman" w:eastAsia="宋体" w:cs="Times New Roman"/>
                <w:color w:val="000000" w:themeColor="text1"/>
                <w:kern w:val="2"/>
                <w:szCs w:val="20"/>
                <w14:textFill>
                  <w14:solidFill>
                    <w14:schemeClr w14:val="tx1"/>
                  </w14:solidFill>
                </w14:textFill>
              </w:rPr>
              <w:t>提醒：请采购人按照相关文件要求对本次采购活动填写</w:t>
            </w:r>
            <w:r>
              <w:rPr>
                <w:rFonts w:hint="eastAsia" w:ascii="宋体" w:hAnsi="宋体" w:eastAsia="宋体" w:cs="宋体"/>
                <w:color w:val="000000" w:themeColor="text1"/>
                <w:kern w:val="2"/>
                <w:szCs w:val="20"/>
                <w14:textFill>
                  <w14:solidFill>
                    <w14:schemeClr w14:val="tx1"/>
                  </w14:solidFill>
                </w14:textFill>
              </w:rPr>
              <w:t>详细</w:t>
            </w:r>
            <w:r>
              <w:rPr>
                <w:rFonts w:hint="eastAsia" w:ascii="Times New Roman" w:hAnsi="Times New Roman" w:eastAsia="宋体" w:cs="Times New Roman"/>
                <w:color w:val="000000" w:themeColor="text1"/>
                <w:kern w:val="2"/>
                <w:szCs w:val="20"/>
                <w14:textFill>
                  <w14:solidFill>
                    <w14:schemeClr w14:val="tx1"/>
                  </w14:solidFill>
                </w14:textFill>
              </w:rPr>
              <w:t>支付方式。</w:t>
            </w:r>
          </w:p>
          <w:p>
            <w:pPr>
              <w:rPr>
                <w:rFonts w:ascii="Times New Roman" w:hAnsi="Times New Roman" w:eastAsia="宋体" w:cs="Times New Roman"/>
                <w:color w:val="000000" w:themeColor="text1"/>
                <w:kern w:val="2"/>
                <w:szCs w:val="20"/>
                <w14:textFill>
                  <w14:solidFill>
                    <w14:schemeClr w14:val="tx1"/>
                  </w14:solidFill>
                </w14:textFill>
              </w:rPr>
            </w:pPr>
            <w:r>
              <w:rPr>
                <w:rFonts w:ascii="Times New Roman" w:hAnsi="Times New Roman" w:eastAsia="宋体" w:cs="Times New Roman"/>
                <w:color w:val="000000" w:themeColor="text1"/>
                <w:kern w:val="2"/>
                <w:szCs w:val="20"/>
                <w14:textFill>
                  <w14:solidFill>
                    <w14:schemeClr w14:val="tx1"/>
                  </w14:solidFill>
                </w14:textFill>
              </w:rPr>
              <w:t>(本次政府采购活动鼓励采购人在政府采购合同中约定预付款，原则上预付款比例不低于合同金额的40%，对于中小企业的预付款比例不低于合同金额的60%。采购人可根据项目特点、供应商信用情况等，要求供应商应提供预付款保函或其他非现金担保。政府采购项目预付款应在合同备案通过、具备约定支付条件后3个工作日内完成支付。政府采购工程以及与工程建设有关的货物、服务，采用招标方式采购的，预付款从其有关规定执行。</w:t>
            </w:r>
          </w:p>
          <w:p>
            <w:pPr>
              <w:pStyle w:val="20"/>
              <w:ind w:firstLine="210"/>
              <w:rPr>
                <w:color w:val="000000" w:themeColor="text1"/>
                <w14:textFill>
                  <w14:solidFill>
                    <w14:schemeClr w14:val="tx1"/>
                  </w14:solidFill>
                </w14:textFill>
              </w:rPr>
            </w:pPr>
            <w:r>
              <w:rPr>
                <w:rFonts w:hint="eastAsia" w:ascii="Times New Roman" w:hAnsi="Times New Roman" w:eastAsia="宋体" w:cs="Times New Roman"/>
                <w:color w:val="000000" w:themeColor="text1"/>
                <w:kern w:val="2"/>
                <w:szCs w:val="20"/>
                <w14:textFill>
                  <w14:solidFill>
                    <w14:schemeClr w14:val="tx1"/>
                  </w14:solidFill>
                </w14:textFill>
              </w:rPr>
              <w:t>对于未实行预付款的政府采购项目鼓励采购人在合同中明确首付款支付比例。原则上首付款支付比例不低于合同金额的</w:t>
            </w:r>
            <w:r>
              <w:rPr>
                <w:rFonts w:ascii="Times New Roman" w:hAnsi="Times New Roman" w:eastAsia="宋体" w:cs="Times New Roman"/>
                <w:color w:val="000000" w:themeColor="text1"/>
                <w:kern w:val="2"/>
                <w:szCs w:val="20"/>
                <w14:textFill>
                  <w14:solidFill>
                    <w14:schemeClr w14:val="tx1"/>
                  </w14:solidFill>
                </w14:textFill>
              </w:rPr>
              <w:t>50%;对于中小企业的首付款支付比例不低于合同金额的70%。政府采购工程以及与工程建设有关的货物、服务，采用招标方式采购的，首付款从其有关规定执行)。</w:t>
            </w:r>
          </w:p>
        </w:tc>
      </w:tr>
      <w:tr>
        <w:tblPrEx>
          <w:tblCellMar>
            <w:top w:w="0" w:type="dxa"/>
            <w:left w:w="10" w:type="dxa"/>
            <w:bottom w:w="0" w:type="dxa"/>
            <w:right w:w="10" w:type="dxa"/>
          </w:tblCellMar>
        </w:tblPrEx>
        <w:trPr>
          <w:trHeight w:val="442"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2"/>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22</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勘察现场</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不组织</w:t>
            </w:r>
          </w:p>
        </w:tc>
      </w:tr>
      <w:tr>
        <w:tblPrEx>
          <w:tblCellMar>
            <w:top w:w="0" w:type="dxa"/>
            <w:left w:w="10" w:type="dxa"/>
            <w:bottom w:w="0" w:type="dxa"/>
            <w:right w:w="10" w:type="dxa"/>
          </w:tblCellMar>
        </w:tblPrEx>
        <w:trPr>
          <w:trHeight w:val="442"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2"/>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23</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质保期</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验收合格之日起1年</w:t>
            </w:r>
          </w:p>
        </w:tc>
      </w:tr>
      <w:tr>
        <w:tblPrEx>
          <w:tblCellMar>
            <w:top w:w="0" w:type="dxa"/>
            <w:left w:w="10" w:type="dxa"/>
            <w:bottom w:w="0" w:type="dxa"/>
            <w:right w:w="10" w:type="dxa"/>
          </w:tblCellMar>
        </w:tblPrEx>
        <w:trPr>
          <w:trHeight w:val="442"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2"/>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firstLine="14"/>
              <w:jc w:val="center"/>
              <w:rPr>
                <w:rFonts w:ascii="宋体" w:hAnsi="宋体" w:eastAsia="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中小企业所属行业</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工业</w:t>
            </w:r>
          </w:p>
        </w:tc>
      </w:tr>
      <w:tr>
        <w:tblPrEx>
          <w:tblCellMar>
            <w:top w:w="0" w:type="dxa"/>
            <w:left w:w="10" w:type="dxa"/>
            <w:bottom w:w="0" w:type="dxa"/>
            <w:right w:w="10" w:type="dxa"/>
          </w:tblCellMar>
        </w:tblPrEx>
        <w:trPr>
          <w:trHeight w:val="513" w:hRule="atLeast"/>
        </w:trPr>
        <w:tc>
          <w:tcPr>
            <w:tcW w:w="8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23"/>
              </w:numPr>
              <w:tabs>
                <w:tab w:val="left" w:pos="420"/>
              </w:tabs>
              <w:ind w:left="420" w:hanging="420"/>
              <w:jc w:val="center"/>
              <w:rPr>
                <w:rFonts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156" w:beforeLines="50"/>
              <w:ind w:firstLine="14" w:firstLineChars="6"/>
              <w:jc w:val="center"/>
              <w:rPr>
                <w:rFonts w:ascii="宋体" w:hAnsi="宋体" w:eastAsia="宋体" w:cs="宋体"/>
                <w:color w:val="000000" w:themeColor="text1"/>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报价</w:t>
            </w:r>
          </w:p>
        </w:tc>
        <w:tc>
          <w:tcPr>
            <w:tcW w:w="599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8640"/>
              </w:tabs>
              <w:jc w:val="left"/>
              <w:rPr>
                <w:rFonts w:ascii="宋体" w:hAnsi="宋体" w:eastAsia="宋体" w:cs="宋体"/>
                <w:color w:val="000000" w:themeColor="text1"/>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一次报价</w:t>
            </w:r>
            <w:r>
              <w:rPr>
                <w:rFonts w:ascii="宋体" w:hAnsi="宋体" w:cs="宋体"/>
                <w:b/>
                <w:bCs/>
                <w:color w:val="000000" w:themeColor="text1"/>
                <w:sz w:val="24"/>
                <w14:textFill>
                  <w14:solidFill>
                    <w14:schemeClr w14:val="tx1"/>
                  </w14:solidFill>
                </w14:textFill>
              </w:rPr>
              <w:t xml:space="preserve"> </w:t>
            </w:r>
          </w:p>
        </w:tc>
      </w:tr>
    </w:tbl>
    <w:p>
      <w:pPr>
        <w:tabs>
          <w:tab w:val="left" w:pos="0"/>
          <w:tab w:val="left" w:pos="993"/>
          <w:tab w:val="left" w:pos="1134"/>
        </w:tabs>
        <w:rPr>
          <w:rFonts w:ascii="宋体" w:hAnsi="宋体" w:eastAsia="宋体" w:cs="宋体"/>
          <w:b/>
          <w:color w:val="000000" w:themeColor="text1"/>
          <w:sz w:val="24"/>
          <w14:textFill>
            <w14:solidFill>
              <w14:schemeClr w14:val="tx1"/>
            </w14:solidFill>
          </w14:textFill>
        </w:rPr>
      </w:pPr>
    </w:p>
    <w:p>
      <w:pPr>
        <w:pStyle w:val="3"/>
        <w:jc w:val="center"/>
        <w:rPr>
          <w:color w:val="000000" w:themeColor="text1"/>
          <w14:textFill>
            <w14:solidFill>
              <w14:schemeClr w14:val="tx1"/>
            </w14:solidFill>
          </w14:textFill>
        </w:rPr>
      </w:pPr>
      <w:bookmarkStart w:id="2" w:name="_Toc164239544"/>
      <w:r>
        <w:rPr>
          <w:color w:val="000000" w:themeColor="text1"/>
          <w14:textFill>
            <w14:solidFill>
              <w14:schemeClr w14:val="tx1"/>
            </w14:solidFill>
          </w14:textFill>
        </w:rPr>
        <w:t>一、总则</w:t>
      </w:r>
      <w:bookmarkEnd w:id="2"/>
    </w:p>
    <w:p>
      <w:pPr>
        <w:spacing w:line="560" w:lineRule="auto"/>
        <w:ind w:firstLine="482"/>
        <w:rPr>
          <w:rFonts w:ascii="宋体" w:hAnsi="宋体" w:eastAsia="宋体" w:cs="宋体"/>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1．适用范围</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1.1本竞争性磋商文件仅适用于本次竞争性磋商邀请函中所述项目。</w:t>
      </w:r>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2．定义</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2.1“采购代理机构”：周口市公共资源交易中心政府采购中心。</w:t>
      </w:r>
    </w:p>
    <w:p>
      <w:pPr>
        <w:tabs>
          <w:tab w:val="left" w:pos="0"/>
        </w:tabs>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2.2“采购人”：</w:t>
      </w:r>
      <w:r>
        <w:rPr>
          <w:rFonts w:hint="eastAsia"/>
          <w:color w:val="000000" w:themeColor="text1"/>
          <w14:textFill>
            <w14:solidFill>
              <w14:schemeClr w14:val="tx1"/>
            </w14:solidFill>
          </w14:textFill>
        </w:rPr>
        <w:t>项城市</w:t>
      </w:r>
      <w:r>
        <w:rPr>
          <w:rFonts w:hint="eastAsia" w:ascii="宋体" w:hAnsi="宋体" w:eastAsia="宋体" w:cs="宋体"/>
          <w:color w:val="000000" w:themeColor="text1"/>
          <w:sz w:val="24"/>
          <w14:textFill>
            <w14:solidFill>
              <w14:schemeClr w14:val="tx1"/>
            </w14:solidFill>
          </w14:textFill>
        </w:rPr>
        <w:t>公安局</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2.3“供应商”系指按竞争性磋商文件规定取得竞争性磋商文件并参加竞争性磋商活动的法人、其他组织或者自然人。</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2.4“供应商代表”：系指代表供应商参加本次竞争性磋商活动的供应商的法定代表人或其委托代理人。</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2.5“货物“：系指各种形态和种类的物品，包括原材料、燃料、设备、产品等，包括与之相关的备品备件、工具、手册及安装、调试、技术协助、校准、培训、验收、售后服务等。</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2.7“重大违法记录”系指供应商因违法经营受到刑事处罚或者责令停产停业、吊销许可证或者执照、较大数额罚款等行政处罚。</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2.8“不具备良好的商业信誉”是指：</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（1）有重大违法记录的（满三年的除外）；</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（2）被各级财政部门列入政府采购严重违法失信行为信息记录的（期限已满的除外）；</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（3）被各级政府采购监督管理部门禁止在一定期限内参加政府采购活动等处罚的（期限已满的除外）；</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（4）被各级法院列入失信名单的（已依法解除的除外）；</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（5）法律法规规定的其他情形。</w:t>
      </w:r>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3.采购预算</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3.1本次采购预算：见公告。</w:t>
      </w:r>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4.合格的供应商</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4.1.1符合供应商资格条件（详见第一部分供应商资格条件）</w:t>
      </w:r>
    </w:p>
    <w:p>
      <w:pPr>
        <w:spacing w:line="360" w:lineRule="auto"/>
        <w:ind w:firstLine="480"/>
        <w:rPr>
          <w:rFonts w:ascii="宋体" w:hAnsi="宋体" w:eastAsia="宋体" w:cs="宋体"/>
          <w:color w:val="000000" w:themeColor="text1"/>
          <w:sz w:val="24"/>
          <w:shd w:val="clear" w:color="auto" w:fill="FFFFFF"/>
          <w14:textFill>
            <w14:solidFill>
              <w14:schemeClr w14:val="tx1"/>
            </w14:solidFill>
          </w14:textFill>
        </w:rPr>
      </w:pPr>
      <w:r>
        <w:rPr>
          <w:rFonts w:ascii="宋体" w:hAnsi="宋体" w:eastAsia="宋体" w:cs="宋体"/>
          <w:color w:val="000000" w:themeColor="text1"/>
          <w:sz w:val="24"/>
          <w:shd w:val="clear" w:color="auto" w:fill="FFFFFF"/>
          <w14:textFill>
            <w14:solidFill>
              <w14:schemeClr w14:val="tx1"/>
            </w14:solidFill>
          </w14:textFill>
        </w:rPr>
        <w:t>4.1.2</w:t>
      </w:r>
      <w:r>
        <w:rPr>
          <w:rFonts w:ascii="宋体" w:hAnsi="宋体" w:eastAsia="宋体" w:cs="宋体"/>
          <w:color w:val="000000" w:themeColor="text1"/>
          <w:sz w:val="24"/>
          <w14:textFill>
            <w14:solidFill>
              <w14:schemeClr w14:val="tx1"/>
            </w14:solidFill>
          </w14:textFill>
        </w:rPr>
        <w:t>参加政府采购活动前三年内，在经营活动中没有重大违法记录的声明函</w:t>
      </w:r>
      <w:r>
        <w:rPr>
          <w:rFonts w:ascii="宋体" w:hAnsi="宋体" w:eastAsia="宋体" w:cs="宋体"/>
          <w:color w:val="000000" w:themeColor="text1"/>
          <w:sz w:val="24"/>
          <w:shd w:val="clear" w:color="auto" w:fill="FFFFFF"/>
          <w14:textFill>
            <w14:solidFill>
              <w14:schemeClr w14:val="tx1"/>
            </w14:solidFill>
          </w14:textFill>
        </w:rPr>
        <w:t>；</w:t>
      </w:r>
    </w:p>
    <w:p>
      <w:pPr>
        <w:spacing w:line="3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4.1.3 政府采购供应商诚信承诺书；</w:t>
      </w:r>
    </w:p>
    <w:p>
      <w:pPr>
        <w:spacing w:after="120" w:line="360" w:lineRule="auto"/>
        <w:ind w:firstLine="48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4.1.4 供应商自觉抵制政府采购领域商业贿赂行为承诺书；</w:t>
      </w:r>
    </w:p>
    <w:p>
      <w:pPr>
        <w:spacing w:line="3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4.2 供应商需提供售后服务体系与承诺。</w:t>
      </w:r>
    </w:p>
    <w:p>
      <w:pPr>
        <w:spacing w:line="3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供应商需具备良好的商业信誉。</w:t>
      </w:r>
    </w:p>
    <w:p>
      <w:pPr>
        <w:spacing w:after="120" w:line="360" w:lineRule="auto"/>
        <w:ind w:firstLine="480"/>
        <w:jc w:val="left"/>
        <w:rPr>
          <w:rFonts w:ascii="宋体" w:hAnsi="宋体" w:eastAsia="宋体" w:cs="宋体"/>
          <w:color w:val="000000" w:themeColor="text1"/>
          <w:spacing w:val="15"/>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4</w:t>
      </w:r>
      <w:r>
        <w:rPr>
          <w:rFonts w:ascii="宋体" w:hAnsi="宋体" w:eastAsia="宋体" w:cs="宋体"/>
          <w:color w:val="000000" w:themeColor="text1"/>
          <w:sz w:val="24"/>
          <w14:textFill>
            <w14:solidFill>
              <w14:schemeClr w14:val="tx1"/>
            </w14:solidFill>
          </w14:textFill>
        </w:rPr>
        <w:t>符合本竞争性磋商文件规定的供应商资格要求及项目要求的其它条件，并按照要求提供相关证明材料。所提供的相关材料须保证其真实有效性。</w:t>
      </w:r>
    </w:p>
    <w:p>
      <w:pPr>
        <w:spacing w:line="3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4.4供应商应遵守国家法律、法规有关竞争性磋商的规定。</w:t>
      </w:r>
    </w:p>
    <w:p>
      <w:pPr>
        <w:spacing w:line="3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4.5 凡通过磋商小组符合性审查的供应商均为合格供应商。未通过符合性审查的供应商将视为不响应本项目的竞争性磋商文件被否决。</w:t>
      </w:r>
    </w:p>
    <w:p>
      <w:pPr>
        <w:spacing w:line="360" w:lineRule="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4.6 </w:t>
      </w:r>
      <w:r>
        <w:rPr>
          <w:rFonts w:hint="eastAsia" w:ascii="宋体" w:hAnsi="宋体" w:eastAsia="宋体" w:cs="宋体"/>
          <w:color w:val="000000" w:themeColor="text1"/>
          <w:sz w:val="24"/>
          <w14:textFill>
            <w14:solidFill>
              <w14:schemeClr w14:val="tx1"/>
            </w14:solidFill>
          </w14:textFill>
        </w:rPr>
        <w:t>不组织勘察现场</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供应商需承诺未因勘察现场造成的损失，与采购人和采购代理机构无关，供应商自己承担相应的责任。</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注：单位负责人为同一人或者存在直接控股、管理关系的不同供应商，不得参加同一合同项下的政府采购活动</w:t>
      </w:r>
      <w:r>
        <w:rPr>
          <w:rFonts w:hint="eastAsia" w:ascii="宋体" w:hAnsi="宋体" w:eastAsia="宋体" w:cs="宋体"/>
          <w:color w:val="000000" w:themeColor="text1"/>
          <w:sz w:val="24"/>
          <w14:textFill>
            <w14:solidFill>
              <w14:schemeClr w14:val="tx1"/>
            </w14:solidFill>
          </w14:textFill>
        </w:rPr>
        <w:t>（提供国家企业信用信息系统查询截图，包括公司基础信息和股东信息）</w:t>
      </w:r>
      <w:r>
        <w:rPr>
          <w:rFonts w:ascii="宋体" w:hAnsi="宋体" w:eastAsia="宋体" w:cs="宋体"/>
          <w:color w:val="000000" w:themeColor="text1"/>
          <w:sz w:val="24"/>
          <w14:textFill>
            <w14:solidFill>
              <w14:schemeClr w14:val="tx1"/>
            </w14:solidFill>
          </w14:textFill>
        </w:rPr>
        <w:t>。</w:t>
      </w:r>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 xml:space="preserve">5.竞争性磋商文件的约束力 </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5.l供应商一旦参加竞争性磋商，即被认为接受了本竞争性磋商文件中的所有条款和规定，供应商需要对此内容做出保证。</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5.2供应商如认为本竞争性磋商文件含有倾向性或排斥潜在供应商的条款而使自己的权益受到损害的，请以书面形式向采购人提出，否则，将视为对本竞争性磋商文件要求无任何异议。</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5.3本磋商文件由采购人负责解释。</w:t>
      </w:r>
    </w:p>
    <w:p>
      <w:pPr>
        <w:pStyle w:val="3"/>
        <w:jc w:val="center"/>
        <w:rPr>
          <w:color w:val="000000" w:themeColor="text1"/>
          <w14:textFill>
            <w14:solidFill>
              <w14:schemeClr w14:val="tx1"/>
            </w14:solidFill>
          </w14:textFill>
        </w:rPr>
      </w:pPr>
      <w:bookmarkStart w:id="3" w:name="_Toc164239545"/>
      <w:r>
        <w:rPr>
          <w:color w:val="000000" w:themeColor="text1"/>
          <w14:textFill>
            <w14:solidFill>
              <w14:schemeClr w14:val="tx1"/>
            </w14:solidFill>
          </w14:textFill>
        </w:rPr>
        <w:t>二、竞争性磋商文件</w:t>
      </w:r>
      <w:bookmarkEnd w:id="3"/>
    </w:p>
    <w:p>
      <w:pPr>
        <w:tabs>
          <w:tab w:val="left" w:pos="632"/>
          <w:tab w:val="left" w:pos="790"/>
        </w:tabs>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6．竞争性磋商文件的组成</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6.1竞争性磋商文件是用以阐明的采购需求、采购程序和合同格式等的规范性文件。竞争性磋商文件主要由以下部分组成：</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（1）竞争性磋商邀请函；</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（2）供应商须知；</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（3）采购需求；</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（4）响应性文件内容及格式；</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（5）合同主要条款。</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供应商需出具说明书自行承担后果。</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6.3供应商被视为充分熟悉本采购项目所在地的与履行合同有关的各种情况，包括自然环境、气候条件、劳动力及公用设施等，本竞争性磋商文件不再对上述情况进行描述。</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6.4供应商必须详细阅竞争性磋商文件的所有条款、文件及表格格式等。供应商若未按竞争性磋商文件的要求和规范编制、提交响应性文件，将有可能导致响应性文件被拒绝接受或被视为无效。</w:t>
      </w:r>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7.竞争性磋商文件的澄清与修改</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日前，在政府采购相关网站以变更公告的方式通知所有获取竞争性磋商文件的供应商，不足5日的，采购人顺延提交（接收）响应文件截止时间。</w:t>
      </w:r>
    </w:p>
    <w:p>
      <w:pPr>
        <w:pStyle w:val="3"/>
        <w:jc w:val="center"/>
        <w:rPr>
          <w:color w:val="000000" w:themeColor="text1"/>
          <w14:textFill>
            <w14:solidFill>
              <w14:schemeClr w14:val="tx1"/>
            </w14:solidFill>
          </w14:textFill>
        </w:rPr>
      </w:pPr>
      <w:bookmarkStart w:id="4" w:name="_Toc164239546"/>
      <w:r>
        <w:rPr>
          <w:color w:val="000000" w:themeColor="text1"/>
          <w14:textFill>
            <w14:solidFill>
              <w14:schemeClr w14:val="tx1"/>
            </w14:solidFill>
          </w14:textFill>
        </w:rPr>
        <w:t>三、响应性文件的编制</w:t>
      </w:r>
      <w:bookmarkEnd w:id="4"/>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8.要求</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8.2任何对竞争性磋商文件的忽略或误解不能作为响应性文件没有完全响应竞争性磋商文件的有效理由。</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8.3供应商没有按照竞争性磋商文件要求提供全部资料，或者供应商没有对竞争性磋商文件在各方面都作出实质性响应是供应商的风险，并可能导致其响应性文件被拒绝。</w:t>
      </w:r>
    </w:p>
    <w:p>
      <w:pPr>
        <w:spacing w:line="5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8.4响应文件是对竞争性磋商文件的实质性响应及承诺文件。供应商应仔细阅读竞争性磋商文件的所有内容，如果有异议在规定的时间内提出，没有异议需做出“无异议”承诺书，承诺书作为响应文件的组织部分，否则为无效响应文件。</w:t>
      </w:r>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 xml:space="preserve">9.响应性文件的语言及度量衡 </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9.1响应性文件以及供应商与采购代理机构之间的所有书面往来都应用简体中文书写。 </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9.2供应商使用其他语言的，以中文翻译为准。 </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9.3关于计量单位，竞争性磋商文件已有明确规定的，使用竞争性磋商文件规定的计量单位；竞争性磋商文件没有规定的，应采用中华人民共和国法定计量单位。</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9.4本竞争性磋商文件所表述的时间均为北京时间。</w:t>
      </w:r>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10.响应性文件的组成</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10.1响应性文件由</w:t>
      </w:r>
      <w:r>
        <w:rPr>
          <w:rFonts w:ascii="宋体" w:hAnsi="宋体" w:eastAsia="宋体" w:cs="宋体"/>
          <w:color w:val="000000" w:themeColor="text1"/>
          <w:sz w:val="24"/>
          <w:u w:val="single"/>
          <w14:textFill>
            <w14:solidFill>
              <w14:schemeClr w14:val="tx1"/>
            </w14:solidFill>
          </w14:textFill>
        </w:rPr>
        <w:t>资格性证明材料</w:t>
      </w:r>
      <w:r>
        <w:rPr>
          <w:rFonts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u w:val="single"/>
          <w14:textFill>
            <w14:solidFill>
              <w14:schemeClr w14:val="tx1"/>
            </w14:solidFill>
          </w14:textFill>
        </w:rPr>
        <w:t>符合性证明材料</w:t>
      </w:r>
      <w:r>
        <w:rPr>
          <w:rFonts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u w:val="single"/>
          <w14:textFill>
            <w14:solidFill>
              <w14:schemeClr w14:val="tx1"/>
            </w14:solidFill>
          </w14:textFill>
        </w:rPr>
        <w:t>其他材料</w:t>
      </w:r>
      <w:r>
        <w:rPr>
          <w:rFonts w:ascii="宋体" w:hAnsi="宋体" w:eastAsia="宋体" w:cs="宋体"/>
          <w:color w:val="000000" w:themeColor="text1"/>
          <w:sz w:val="24"/>
          <w14:textFill>
            <w14:solidFill>
              <w14:schemeClr w14:val="tx1"/>
            </w14:solidFill>
          </w14:textFill>
        </w:rPr>
        <w:t>三部分组成。具体内容和格式见竞争性磋商文件第四章。</w:t>
      </w:r>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11.响应性文件格式</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12.竞争性磋商报价</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12.1供应商须承诺报价包括所投货物、保险、税费、包装、加工及加工损耗、运输、现场落地、安装及安装损耗、调试、检测、验收和交付后约定期限内免费维保等工作所发生的一切应有费用。</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12.2经过磋商后进行的报价为供应商的最终报价。</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12.3采购人不接受有选择的报价。</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12.4最终报价不得超过采购预算。</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12.5报价均须以人民币为计算单位。</w:t>
      </w:r>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 xml:space="preserve">13．响应性文件有效期 </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13.l</w:t>
      </w:r>
      <w:r>
        <w:rPr>
          <w:rFonts w:hint="eastAsia" w:ascii="宋体" w:hAnsi="宋体" w:eastAsia="宋体" w:cs="宋体"/>
          <w:color w:val="000000" w:themeColor="text1"/>
          <w:sz w:val="24"/>
          <w14:textFill>
            <w14:solidFill>
              <w14:schemeClr w14:val="tx1"/>
            </w14:solidFill>
          </w14:textFill>
        </w:rPr>
        <w:t>投标有效期期限见投标人须知前附表</w:t>
      </w:r>
      <w:r>
        <w:rPr>
          <w:rFonts w:ascii="宋体" w:hAnsi="宋体" w:eastAsia="宋体" w:cs="宋体"/>
          <w:color w:val="000000" w:themeColor="text1"/>
          <w:sz w:val="24"/>
          <w14:textFill>
            <w14:solidFill>
              <w14:schemeClr w14:val="tx1"/>
            </w14:solidFill>
          </w14:textFill>
        </w:rPr>
        <w:t>，并承诺有效期短于此规定的响应性文件将被视为无效。</w:t>
      </w:r>
      <w:r>
        <w:rPr>
          <w:rFonts w:hint="eastAsia" w:ascii="宋体" w:hAnsi="宋体" w:cs="宋体"/>
          <w:color w:val="000000" w:themeColor="text1"/>
          <w:sz w:val="24"/>
          <w14:textFill>
            <w14:solidFill>
              <w14:schemeClr w14:val="tx1"/>
            </w14:solidFill>
          </w14:textFill>
        </w:rPr>
        <w:t>为保证采购人有足够的时间完成评标和与中标人签订合同，规定投标有效期。</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14.响应性文件的签署、盖章</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14.1响应性文件中凡是要求签署和加盖公章处均须由供应商的法定代表人或其委托代理人签字并加盖供应商公章。本竞争性磋商文件所表述（指定）的公章是指法人（供应商）行政公章，不包括专用章。</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14.2响应性文件应无涂改和行间插字，除非这些改动是为改正供应商造成的必须修改的错误进行的。有改动时，修改处应由供应商代表签署证明和加盖公章，但非供应商出具的材料，供应商改动无效。</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14.3供应商提交的资料应证明其满足竞争性磋商文件要求，该文件可以是文字资料、图纸和数据等详细描述的资料。</w:t>
      </w:r>
    </w:p>
    <w:p>
      <w:pPr>
        <w:spacing w:line="360" w:lineRule="auto"/>
        <w:ind w:firstLine="550"/>
        <w:rPr>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电子投标文件制作，见周口市公共资源交易中心网站下载中心版块《投标单位-电子投标文件视频制作手册》的相关规定。</w:t>
      </w:r>
    </w:p>
    <w:p>
      <w:pPr>
        <w:pStyle w:val="20"/>
        <w:ind w:firstLine="210"/>
        <w:rPr>
          <w:color w:val="000000" w:themeColor="text1"/>
          <w14:textFill>
            <w14:solidFill>
              <w14:schemeClr w14:val="tx1"/>
            </w14:solidFill>
          </w14:textFill>
        </w:rPr>
      </w:pPr>
    </w:p>
    <w:p>
      <w:pPr>
        <w:pStyle w:val="3"/>
        <w:jc w:val="center"/>
        <w:rPr>
          <w:color w:val="000000" w:themeColor="text1"/>
          <w14:textFill>
            <w14:solidFill>
              <w14:schemeClr w14:val="tx1"/>
            </w14:solidFill>
          </w14:textFill>
        </w:rPr>
      </w:pPr>
      <w:bookmarkStart w:id="5" w:name="_Toc164239547"/>
      <w:r>
        <w:rPr>
          <w:rFonts w:hint="eastAsia"/>
          <w:color w:val="000000" w:themeColor="text1"/>
          <w14:textFill>
            <w14:solidFill>
              <w14:schemeClr w14:val="tx1"/>
            </w14:solidFill>
          </w14:textFill>
        </w:rPr>
        <w:t>四、</w:t>
      </w:r>
      <w:r>
        <w:rPr>
          <w:color w:val="000000" w:themeColor="text1"/>
          <w14:textFill>
            <w14:solidFill>
              <w14:schemeClr w14:val="tx1"/>
            </w14:solidFill>
          </w14:textFill>
        </w:rPr>
        <w:t>响应性文件的递交</w:t>
      </w:r>
      <w:bookmarkEnd w:id="5"/>
    </w:p>
    <w:p>
      <w:pPr>
        <w:spacing w:line="5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pPr>
        <w:spacing w:line="5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注：加密的电子投标文件的递交，见周口市公共资源交易中心网站下载中心版块《投标单位-电子投标文件视频制作手册》的相关规定。如未在招标文件规定的投标时间截止前上传网上响应文件，投标无效。</w:t>
      </w:r>
    </w:p>
    <w:p>
      <w:pPr>
        <w:spacing w:line="5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供应商须使用单位CA证书进行电子响应文件远程解密，详见周口市公共资源电子交易中心网站（网址：http://jyzx.zhoukou.gov.cn）办事指南《不见面开标远程在线解密会员端操作手册操作指南》。</w:t>
      </w:r>
    </w:p>
    <w:p>
      <w:pPr>
        <w:spacing w:line="560" w:lineRule="auto"/>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16.响应性文件的递交</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16.1供应商应在竞争性磋商邀请函中规定的截止日期和时间前，将响应性文件在会员系统成功上传，递交（接收）地点为竞争性磋商邀请函中规定的地址。</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16.2若采购人推迟了响应性文件接收截止时间，采购人和供应商受响应性文件接收截止时间制约的所有权利和义务均应以新的截止时间为准。 </w:t>
      </w:r>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17.响应性文件的修改和撤回</w:t>
      </w:r>
    </w:p>
    <w:p>
      <w:pPr>
        <w:spacing w:line="560" w:lineRule="auto"/>
        <w:ind w:left="279" w:firstLine="240"/>
        <w:rPr>
          <w:rFonts w:ascii="宋体" w:hAnsi="宋体" w:eastAsia="宋体" w:cs="宋体"/>
          <w:b/>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17.1供应商在提交响应性文件截止时间前，可以对已上传的响应文件进行撤回补充、修改或撤回，补充、修改，之后进行再次上传，再次上传内容作为响应性文件的组成部分。</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17.2响应性文件的补充、修改文件应按照本竞争性磋商文件有关规定进行密封、签署，修改后的加密的电子投标文件须在投标截止时间前成功上传。 </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17.3供应商在响应性文件接收截止时间后不得修改、撤回响应性文件。供应商在响应性文件接收截止时间后修改响应性文件的，将被拒绝接受。</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17.4供应商有下列情形之一的，采购人将拒绝接受其响应性文件：</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17.4.1在竞争性磋商文件规定的响应性文件接收截止时间之后递交响应性文件的；</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17.4.2响应性文件未按竞争性磋商文件规定密封、签署、盖章的；</w:t>
      </w:r>
    </w:p>
    <w:p>
      <w:pPr>
        <w:spacing w:line="560" w:lineRule="auto"/>
        <w:ind w:firstLine="480"/>
        <w:rPr>
          <w:rFonts w:ascii="宋体" w:hAnsi="宋体" w:eastAsia="宋体" w:cs="宋体"/>
          <w:b/>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17.4.3一个供应商不止递交一套响应性文件的。</w:t>
      </w:r>
    </w:p>
    <w:p>
      <w:pPr>
        <w:pStyle w:val="3"/>
        <w:jc w:val="center"/>
        <w:rPr>
          <w:color w:val="000000" w:themeColor="text1"/>
          <w14:textFill>
            <w14:solidFill>
              <w14:schemeClr w14:val="tx1"/>
            </w14:solidFill>
          </w14:textFill>
        </w:rPr>
      </w:pPr>
      <w:bookmarkStart w:id="6" w:name="_Toc164239548"/>
      <w:r>
        <w:rPr>
          <w:color w:val="000000" w:themeColor="text1"/>
          <w14:textFill>
            <w14:solidFill>
              <w14:schemeClr w14:val="tx1"/>
            </w14:solidFill>
          </w14:textFill>
        </w:rPr>
        <w:t>五、竞争性磋商</w:t>
      </w:r>
      <w:bookmarkEnd w:id="6"/>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18.组建竞争性磋商小组</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18.1采购人根据采购项目的特点依法组建竞争性磋商小组。</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18.2竞争性磋商小组确认竞争性磋商文件，并负责具体评审事务，根据有关法律法规和竞争性磋商文件规定的评审程序，按照评审方法及评审标准独立履行竞争性磋商小组职责。</w:t>
      </w:r>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19.资格性和符合性审查</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auto"/>
        <w:ind w:firstLine="480"/>
        <w:rPr>
          <w:rFonts w:ascii="宋体" w:hAnsi="宋体" w:eastAsia="宋体" w:cs="宋体"/>
          <w:b/>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19.1.1资格性审查的内容包括：竞争性磋商文件规定的供应商资格条件；</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19.2.1符合性审查的内容包括：</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（1）响应性文件的有效性(签署情况等)；</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（2）响应性文件的完整性；</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（3）对竞争性磋商文件的响应程度（是否存在重大负偏离等）。 </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u w:val="single"/>
          <w14:textFill>
            <w14:solidFill>
              <w14:schemeClr w14:val="tx1"/>
            </w14:solidFill>
          </w14:textFill>
        </w:rPr>
        <w:t>以上资格性审查和符合性审查的内容只要有一条不满足，则响应性文件无效，将不进入竞争性磋商程序。</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注意事项：资格性、符合性证明材料见竞争性磋商文件第四章规定。</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19.3实质性响应的响应性文件是指与竞争性磋商文件的全部条款、条件和规格相符，没有重大偏离；重大负偏离的认定须经竞争性磋商小组三分之二以上同意。</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19.5如果响应性文件实质上没有响应竞争性磋商文件的要求，将作为无效处理，供应商不得再对响应性文件进行任何修正从而使其响应性文件成为实质上响应的文件；</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19.6竞争性磋商小组审定响应性文件的响应性只根据响应性文件本身的内容而不寻求外部证据。</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19.7凡有下列情况之一的，其响应性文件也被视为未实质性响应竞争性磋商文件，按照无效处理（不再参加竞争性磋商）：</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19.7.1未按竞争性磋商文件规定要求签署、盖章的；</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19.7.2资格证明文件不全的，或不符合竞争性磋商文件中规定的资格要求的；</w:t>
      </w:r>
    </w:p>
    <w:p>
      <w:pPr>
        <w:spacing w:line="360" w:lineRule="auto"/>
        <w:ind w:firstLine="480" w:firstLineChars="200"/>
        <w:rPr>
          <w:rFonts w:ascii="Times New Roman" w:hAnsi="Times New Roman" w:eastAsia="宋体" w:cs="Times New Roman"/>
          <w:color w:val="000000" w:themeColor="text1"/>
          <w:kern w:val="2"/>
          <w:szCs w:val="20"/>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19.7.3</w:t>
      </w:r>
      <w:r>
        <w:rPr>
          <w:rFonts w:hint="eastAsia" w:ascii="宋体" w:hAnsi="宋体" w:eastAsia="宋体" w:cs="宋体"/>
          <w:color w:val="000000" w:themeColor="text1"/>
          <w:kern w:val="2"/>
          <w:sz w:val="24"/>
          <w:szCs w:val="20"/>
          <w14:textFill>
            <w14:solidFill>
              <w14:schemeClr w14:val="tx1"/>
            </w14:solidFill>
          </w14:textFill>
        </w:rPr>
        <w:t>未提供经会计师事务所或审计机构审计的财务会计报表，包括资产负债表、现金流量表、利润表和财务报表附注或新成立公司提供资信证明；</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19.7.</w:t>
      </w:r>
      <w:r>
        <w:rPr>
          <w:rFonts w:hint="eastAsia" w:ascii="宋体" w:hAnsi="宋体" w:eastAsia="宋体" w:cs="宋体"/>
          <w:color w:val="000000" w:themeColor="text1"/>
          <w:sz w:val="24"/>
          <w14:textFill>
            <w14:solidFill>
              <w14:schemeClr w14:val="tx1"/>
            </w14:solidFill>
          </w14:textFill>
        </w:rPr>
        <w:t>4</w:t>
      </w:r>
      <w:r>
        <w:rPr>
          <w:rFonts w:ascii="宋体" w:hAnsi="宋体" w:eastAsia="宋体" w:cs="宋体"/>
          <w:color w:val="000000" w:themeColor="text1"/>
          <w:sz w:val="24"/>
          <w14:textFill>
            <w14:solidFill>
              <w14:schemeClr w14:val="tx1"/>
            </w14:solidFill>
          </w14:textFill>
        </w:rPr>
        <w:t>供应商代表未能出具有效身份证明，或与身份不符的；</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19.7.</w:t>
      </w:r>
      <w:r>
        <w:rPr>
          <w:rFonts w:hint="eastAsia" w:ascii="宋体" w:hAnsi="宋体" w:eastAsia="宋体" w:cs="宋体"/>
          <w:color w:val="000000" w:themeColor="text1"/>
          <w:sz w:val="24"/>
          <w14:textFill>
            <w14:solidFill>
              <w14:schemeClr w14:val="tx1"/>
            </w14:solidFill>
          </w14:textFill>
        </w:rPr>
        <w:t>5</w:t>
      </w:r>
      <w:r>
        <w:rPr>
          <w:rFonts w:ascii="宋体" w:hAnsi="宋体" w:eastAsia="宋体" w:cs="宋体"/>
          <w:color w:val="000000" w:themeColor="text1"/>
          <w:sz w:val="24"/>
          <w14:textFill>
            <w14:solidFill>
              <w14:schemeClr w14:val="tx1"/>
            </w14:solidFill>
          </w14:textFill>
        </w:rPr>
        <w:t>不符合竞争性磋商文件规定的实质性要求的；</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19.7.</w:t>
      </w:r>
      <w:r>
        <w:rPr>
          <w:rFonts w:hint="eastAsia" w:ascii="宋体" w:hAnsi="宋体" w:eastAsia="宋体" w:cs="宋体"/>
          <w:color w:val="000000" w:themeColor="text1"/>
          <w:sz w:val="24"/>
          <w14:textFill>
            <w14:solidFill>
              <w14:schemeClr w14:val="tx1"/>
            </w14:solidFill>
          </w14:textFill>
        </w:rPr>
        <w:t>6</w:t>
      </w:r>
      <w:r>
        <w:rPr>
          <w:rFonts w:ascii="宋体" w:hAnsi="宋体" w:eastAsia="宋体" w:cs="宋体"/>
          <w:color w:val="000000" w:themeColor="text1"/>
          <w:sz w:val="24"/>
          <w14:textFill>
            <w14:solidFill>
              <w14:schemeClr w14:val="tx1"/>
            </w14:solidFill>
          </w14:textFill>
        </w:rPr>
        <w:t>响应性文件内容不齐全或内容虚假的；</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19.7.</w:t>
      </w:r>
      <w:r>
        <w:rPr>
          <w:rFonts w:hint="eastAsia" w:ascii="宋体" w:hAnsi="宋体" w:eastAsia="宋体" w:cs="宋体"/>
          <w:color w:val="000000" w:themeColor="text1"/>
          <w:sz w:val="24"/>
          <w14:textFill>
            <w14:solidFill>
              <w14:schemeClr w14:val="tx1"/>
            </w14:solidFill>
          </w14:textFill>
        </w:rPr>
        <w:t>7</w:t>
      </w:r>
      <w:r>
        <w:rPr>
          <w:rFonts w:ascii="宋体" w:hAnsi="宋体" w:eastAsia="宋体" w:cs="宋体"/>
          <w:color w:val="000000" w:themeColor="text1"/>
          <w:sz w:val="24"/>
          <w14:textFill>
            <w14:solidFill>
              <w14:schemeClr w14:val="tx1"/>
            </w14:solidFill>
          </w14:textFill>
        </w:rPr>
        <w:t>响应性文件的实质性内容未使用中文表述；</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19.7.</w:t>
      </w:r>
      <w:r>
        <w:rPr>
          <w:rFonts w:hint="eastAsia" w:ascii="宋体" w:hAnsi="宋体" w:eastAsia="宋体" w:cs="宋体"/>
          <w:color w:val="000000" w:themeColor="text1"/>
          <w:sz w:val="24"/>
          <w14:textFill>
            <w14:solidFill>
              <w14:schemeClr w14:val="tx1"/>
            </w14:solidFill>
          </w14:textFill>
        </w:rPr>
        <w:t>8</w:t>
      </w:r>
      <w:r>
        <w:rPr>
          <w:rFonts w:ascii="宋体" w:hAnsi="宋体" w:eastAsia="宋体" w:cs="宋体"/>
          <w:color w:val="000000" w:themeColor="text1"/>
          <w:sz w:val="24"/>
          <w14:textFill>
            <w14:solidFill>
              <w14:schemeClr w14:val="tx1"/>
            </w14:solidFill>
          </w14:textFill>
        </w:rPr>
        <w:t>响应性文件的内容修改处未按规定签名或盖章的；</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19.7.</w:t>
      </w:r>
      <w:r>
        <w:rPr>
          <w:rFonts w:hint="eastAsia" w:ascii="宋体" w:hAnsi="宋体" w:eastAsia="宋体" w:cs="宋体"/>
          <w:color w:val="000000" w:themeColor="text1"/>
          <w:sz w:val="24"/>
          <w14:textFill>
            <w14:solidFill>
              <w14:schemeClr w14:val="tx1"/>
            </w14:solidFill>
          </w14:textFill>
        </w:rPr>
        <w:t>9</w:t>
      </w:r>
      <w:r>
        <w:rPr>
          <w:rFonts w:ascii="宋体" w:hAnsi="宋体" w:eastAsia="宋体" w:cs="宋体"/>
          <w:color w:val="000000" w:themeColor="text1"/>
          <w:sz w:val="24"/>
          <w14:textFill>
            <w14:solidFill>
              <w14:schemeClr w14:val="tx1"/>
            </w14:solidFill>
          </w14:textFill>
        </w:rPr>
        <w:t>违反法律、行政法规、竞争性磋商文件规定的其他情形的。</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19.7.10</w:t>
      </w:r>
      <w:r>
        <w:rPr>
          <w:rFonts w:hint="eastAsia" w:ascii="宋体" w:hAnsi="宋体" w:eastAsia="宋体" w:cs="宋体"/>
          <w:color w:val="000000" w:themeColor="text1"/>
          <w:sz w:val="24"/>
          <w14:textFill>
            <w14:solidFill>
              <w14:schemeClr w14:val="tx1"/>
            </w14:solidFill>
          </w14:textFill>
        </w:rPr>
        <w:t>不同供应商的电子投标（响应）文件上传计算机的网卡 MAC 地址、CPU 序列号和硬盘序列号等硬件信息相同的;</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19.7.11</w:t>
      </w:r>
      <w:r>
        <w:rPr>
          <w:rFonts w:hint="eastAsia" w:ascii="宋体" w:hAnsi="宋体" w:eastAsia="宋体" w:cs="宋体"/>
          <w:color w:val="000000" w:themeColor="text1"/>
          <w:sz w:val="24"/>
          <w14:textFill>
            <w14:solidFill>
              <w14:schemeClr w14:val="tx1"/>
            </w14:solidFill>
          </w14:textFill>
        </w:rPr>
        <w:t>不同供应商的投标（响应）文件由同一电子设备编制，打印、复印、加密或者上传的；</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19.7.12</w:t>
      </w:r>
      <w:r>
        <w:rPr>
          <w:rFonts w:hint="eastAsia" w:ascii="宋体" w:hAnsi="宋体" w:eastAsia="宋体" w:cs="宋体"/>
          <w:color w:val="000000" w:themeColor="text1"/>
          <w:sz w:val="24"/>
          <w14:textFill>
            <w14:solidFill>
              <w14:schemeClr w14:val="tx1"/>
            </w14:solidFill>
          </w14:textFill>
        </w:rPr>
        <w:t>不同供应商的投标（响应）文件由同一人送达或者分发，或者不同供应商联系人为同一人或不同联系人的联系电话一致的；</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19.7.13</w:t>
      </w:r>
      <w:r>
        <w:rPr>
          <w:rFonts w:hint="eastAsia" w:ascii="宋体" w:hAnsi="宋体" w:eastAsia="宋体" w:cs="宋体"/>
          <w:color w:val="000000" w:themeColor="text1"/>
          <w:sz w:val="24"/>
          <w14:textFill>
            <w14:solidFill>
              <w14:schemeClr w14:val="tx1"/>
            </w14:solidFill>
          </w14:textFill>
        </w:rPr>
        <w:t>不同供应商的投标（响应）文件的内容存在两处以上细节错误一致；</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19.7.14</w:t>
      </w:r>
      <w:r>
        <w:rPr>
          <w:rFonts w:hint="eastAsia" w:ascii="宋体" w:hAnsi="宋体" w:eastAsia="宋体" w:cs="宋体"/>
          <w:color w:val="000000" w:themeColor="text1"/>
          <w:sz w:val="24"/>
          <w14:textFill>
            <w14:solidFill>
              <w14:schemeClr w14:val="tx1"/>
            </w14:solidFill>
          </w14:textFill>
        </w:rPr>
        <w:t>不同供应商的法定代表人、委托代理人、项目经理、项目负责人等由同一个单位缴纳社会保险或者领取报酬的；</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19.7.15</w:t>
      </w:r>
      <w:r>
        <w:rPr>
          <w:rFonts w:hint="eastAsia" w:ascii="宋体" w:hAnsi="宋体" w:eastAsia="宋体" w:cs="宋体"/>
          <w:color w:val="000000" w:themeColor="text1"/>
          <w:sz w:val="24"/>
          <w14:textFill>
            <w14:solidFill>
              <w14:schemeClr w14:val="tx1"/>
            </w14:solidFill>
          </w14:textFill>
        </w:rPr>
        <w:t>不同供应商投标（响应）文件中法定代表人或者负责人签字出自</w:t>
      </w:r>
      <w:r>
        <w:rPr>
          <w:rFonts w:hint="eastAsia" w:ascii="宋体" w:hAnsi="宋体" w:cs="宋体"/>
          <w:color w:val="000000" w:themeColor="text1"/>
          <w:sz w:val="24"/>
          <w14:textFill>
            <w14:solidFill>
              <w14:schemeClr w14:val="tx1"/>
            </w14:solidFill>
          </w14:textFill>
        </w:rPr>
        <w:t>同一人之手。</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19.7.16未提供近半年内任意一个月依法缴纳税收和社会保障资金的良好记录（依法免税或不需要缴纳社会保障资金的供应商应提供相应证明文件）</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19.8在评审过程中，竞争性磋商小组发现供应商有下列情形之一的，视为供应商相互串通，按照无效处理并依据法律、法规追究其相关责任。具体表现形式如下：</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19.8.1不同供应商的响应性文件互相混装的；</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19.8.2不同供应商授权同一人作为供应商委托代理人的；</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19.8.3不同供应商的响应性文件载明的项目管理成员为同一人的；</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19.8.4有证据证明供应商与采购人、采购代理机构或者其他供应商串通的其他情形；</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19.8.5竞争性磋商小组认定的其他串通情形。</w:t>
      </w:r>
    </w:p>
    <w:p>
      <w:pPr>
        <w:rPr>
          <w:rFonts w:ascii="宋体" w:hAnsi="宋体" w:eastAsia="宋体" w:cs="宋体"/>
          <w:color w:val="000000" w:themeColor="text1"/>
          <w:sz w:val="24"/>
          <w14:textFill>
            <w14:solidFill>
              <w14:schemeClr w14:val="tx1"/>
            </w14:solidFill>
          </w14:textFill>
        </w:rPr>
      </w:pPr>
    </w:p>
    <w:tbl>
      <w:tblPr>
        <w:tblStyle w:val="14"/>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trPr>
          <w:cantSpli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项目符合性审查表</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tabs>
                <w:tab w:val="left" w:pos="4153"/>
                <w:tab w:val="left" w:pos="8306"/>
              </w:tabs>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是否</w:t>
            </w:r>
          </w:p>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投标文件格式及</w:t>
            </w:r>
          </w:p>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提交资料要求</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见投标文件</w:t>
            </w: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sz w:val="22"/>
                <w14:textFill>
                  <w14:solidFill>
                    <w14:schemeClr w14:val="tx1"/>
                  </w14:solidFill>
                </w14:textFill>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sz w:val="22"/>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sz w:val="22"/>
                <w14:textFill>
                  <w14:solidFill>
                    <w14:schemeClr w14:val="tx1"/>
                  </w14:solidFill>
                </w14:textFill>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sz w:val="22"/>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rPr>
                <w:rFonts w:ascii="宋体" w:hAnsi="宋体" w:eastAsia="宋体" w:cs="宋体"/>
                <w:color w:val="000000" w:themeColor="text1"/>
                <w:sz w:val="22"/>
                <w14:textFill>
                  <w14:solidFill>
                    <w14:schemeClr w14:val="tx1"/>
                  </w14:solidFill>
                </w14:textFill>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50"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10"/>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是否通过审查</w:t>
            </w:r>
          </w:p>
        </w:tc>
      </w:tr>
    </w:tbl>
    <w:p>
      <w:pPr>
        <w:rPr>
          <w:rFonts w:ascii="宋体" w:hAnsi="宋体" w:eastAsia="宋体" w:cs="宋体"/>
          <w:color w:val="000000" w:themeColor="text1"/>
          <w:sz w:val="24"/>
          <w14:textFill>
            <w14:solidFill>
              <w14:schemeClr w14:val="tx1"/>
            </w14:solidFill>
          </w14:textFill>
        </w:rPr>
      </w:pPr>
    </w:p>
    <w:p>
      <w:pPr>
        <w:rPr>
          <w:rFonts w:ascii="宋体" w:hAnsi="宋体" w:eastAsia="宋体" w:cs="宋体"/>
          <w:color w:val="000000" w:themeColor="text1"/>
          <w:sz w:val="24"/>
          <w14:textFill>
            <w14:solidFill>
              <w14:schemeClr w14:val="tx1"/>
            </w14:solidFill>
          </w14:textFill>
        </w:rPr>
      </w:pPr>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20.响应性文件的澄清</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20.3供应商拒不进行澄清、说明、补正的，或者不能在竞争性磋商小组规定时间内作出书面澄清、说明、补正的，其响应性文件将被作为无效处理。</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20.4供应商的书面澄清材料作为响应性文件的补充。 </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20.5竞争性磋商小组不得接受供应商主动提出的澄清和解释。 </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20.6并非每个供应商都将被询问、澄清。</w:t>
      </w:r>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21.竞争性磋商</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21.1资格性审查和符合性审查合格的供应商，将进入本次竞争性磋商程序。</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21.2竞争性磋商将按照供应商的签到顺序进行。</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21.3磋商内容包括：</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21.3.1按照竞争性磋商文件中商务部分的内容，对照供应商提交的响应文件逐一进行比较各项指标和要求。</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21.3.2按照竞争性磋商文件中技术部分的内容，对照供应商提交的响应文件逐一进行比较各项指标和要求。</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21.3.3按照竞争性磋商文件中合同条款部分的内容，对照供应商提交的响应文件逐一进行比较各项指标和要求。</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21.3.4在磋商中，磋商的任何一方不得透露与磋商有关的其他供应商的技术资料及其他信息。</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21.4.1对竞争性磋商文件作出实质性变动是竞争性磋商文件的有效组成部分，竞争性磋商小组应当及时以书面形式同时通知所有参加竞争性磋商的供应商。</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21.5报价</w:t>
      </w:r>
    </w:p>
    <w:p>
      <w:pPr>
        <w:spacing w:line="560" w:lineRule="exact"/>
        <w:ind w:firstLine="480" w:firstLineChars="200"/>
        <w:rPr>
          <w:rFonts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zh-CN"/>
          <w14:textFill>
            <w14:solidFill>
              <w14:schemeClr w14:val="tx1"/>
            </w14:solidFill>
          </w14:textFill>
        </w:rPr>
        <w:t>一次报价依据</w:t>
      </w:r>
      <w:r>
        <w:rPr>
          <w:rFonts w:hint="eastAsia" w:ascii="宋体" w:hAnsi="宋体" w:eastAsia="宋体" w:cs="宋体"/>
          <w:color w:val="000000" w:themeColor="text1"/>
          <w:sz w:val="24"/>
          <w14:textFill>
            <w14:solidFill>
              <w14:schemeClr w14:val="tx1"/>
            </w14:solidFill>
          </w14:textFill>
        </w:rPr>
        <w:t>是</w:t>
      </w:r>
      <w:r>
        <w:rPr>
          <w:rFonts w:hint="eastAsia" w:ascii="宋体" w:hAnsi="宋体" w:eastAsia="宋体" w:cs="宋体"/>
          <w:color w:val="000000" w:themeColor="text1"/>
          <w:sz w:val="24"/>
          <w:lang w:val="zh-CN"/>
          <w14:textFill>
            <w14:solidFill>
              <w14:schemeClr w14:val="tx1"/>
            </w14:solidFill>
          </w14:textFill>
        </w:rPr>
        <w:t>供应商的投标函和开标记录。</w:t>
      </w:r>
    </w:p>
    <w:p>
      <w:pPr>
        <w:pStyle w:val="3"/>
        <w:jc w:val="center"/>
        <w:rPr>
          <w:color w:val="000000" w:themeColor="text1"/>
          <w14:textFill>
            <w14:solidFill>
              <w14:schemeClr w14:val="tx1"/>
            </w14:solidFill>
          </w14:textFill>
        </w:rPr>
      </w:pPr>
      <w:bookmarkStart w:id="7" w:name="_Toc164239549"/>
      <w:r>
        <w:rPr>
          <w:color w:val="000000" w:themeColor="text1"/>
          <w14:textFill>
            <w14:solidFill>
              <w14:schemeClr w14:val="tx1"/>
            </w14:solidFill>
          </w14:textFill>
        </w:rPr>
        <w:t>六、评定标准</w:t>
      </w:r>
      <w:bookmarkEnd w:id="7"/>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22.竞争性磋商过程及保密原则</w:t>
      </w:r>
    </w:p>
    <w:p>
      <w:pPr>
        <w:spacing w:line="4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采购代理机构在评标结束后2个工作日内将评标报告送采购人。采购人自收到评标报告之日起５个工作日内，在评标报告确定的中标候选人名单中确定中标人。</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22.2对通过初步审查的响应文件，采用百分制综合评分法进行评价。</w:t>
      </w:r>
    </w:p>
    <w:p>
      <w:pPr>
        <w:spacing w:line="360" w:lineRule="auto"/>
        <w:ind w:right="-92"/>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评标方法：</w:t>
      </w:r>
    </w:p>
    <w:tbl>
      <w:tblPr>
        <w:tblStyle w:val="14"/>
        <w:tblpPr w:leftFromText="180" w:rightFromText="180" w:vertAnchor="text" w:horzAnchor="page" w:tblpX="1415" w:tblpY="623"/>
        <w:tblOverlap w:val="never"/>
        <w:tblW w:w="9798" w:type="dxa"/>
        <w:tblInd w:w="0" w:type="dxa"/>
        <w:tblLayout w:type="autofit"/>
        <w:tblCellMar>
          <w:top w:w="0" w:type="dxa"/>
          <w:left w:w="108" w:type="dxa"/>
          <w:bottom w:w="0" w:type="dxa"/>
          <w:right w:w="108" w:type="dxa"/>
        </w:tblCellMar>
      </w:tblPr>
      <w:tblGrid>
        <w:gridCol w:w="1254"/>
        <w:gridCol w:w="1437"/>
        <w:gridCol w:w="1528"/>
        <w:gridCol w:w="3077"/>
        <w:gridCol w:w="2502"/>
      </w:tblGrid>
      <w:tr>
        <w:tblPrEx>
          <w:tblCellMar>
            <w:top w:w="0" w:type="dxa"/>
            <w:left w:w="108" w:type="dxa"/>
            <w:bottom w:w="0" w:type="dxa"/>
            <w:right w:w="108" w:type="dxa"/>
          </w:tblCellMar>
        </w:tblPrEx>
        <w:trPr>
          <w:trHeight w:val="673" w:hRule="atLeast"/>
        </w:trPr>
        <w:tc>
          <w:tcPr>
            <w:tcW w:w="1254" w:type="dxa"/>
            <w:tcBorders>
              <w:top w:val="single" w:color="000000" w:sz="4" w:space="0"/>
              <w:left w:val="single" w:color="000000" w:sz="4" w:space="0"/>
              <w:bottom w:val="single" w:color="000000" w:sz="4" w:space="0"/>
              <w:right w:val="single" w:color="000000" w:sz="4" w:space="0"/>
              <w:tl2br w:val="nil"/>
            </w:tcBorders>
            <w:shd w:val="clear" w:color="000000" w:fill="FFFFFF"/>
            <w:vAlign w:val="center"/>
          </w:tcPr>
          <w:p>
            <w:pPr>
              <w:widowControl/>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评分指标</w:t>
            </w:r>
          </w:p>
        </w:tc>
        <w:tc>
          <w:tcPr>
            <w:tcW w:w="1437"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分值</w:t>
            </w:r>
          </w:p>
        </w:tc>
        <w:tc>
          <w:tcPr>
            <w:tcW w:w="4605" w:type="dxa"/>
            <w:gridSpan w:val="2"/>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指标说明及评分标准</w:t>
            </w:r>
          </w:p>
        </w:tc>
        <w:tc>
          <w:tcPr>
            <w:tcW w:w="2502"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评分依据</w:t>
            </w:r>
          </w:p>
        </w:tc>
      </w:tr>
      <w:tr>
        <w:tblPrEx>
          <w:tblCellMar>
            <w:top w:w="0" w:type="dxa"/>
            <w:left w:w="108" w:type="dxa"/>
            <w:bottom w:w="0" w:type="dxa"/>
            <w:right w:w="108" w:type="dxa"/>
          </w:tblCellMar>
        </w:tblPrEx>
        <w:trPr>
          <w:trHeight w:val="6398" w:hRule="atLeast"/>
        </w:trPr>
        <w:tc>
          <w:tcPr>
            <w:tcW w:w="1254" w:type="dxa"/>
            <w:tcBorders>
              <w:top w:val="single" w:color="000000" w:sz="4" w:space="0"/>
              <w:left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报价得分（30分）</w:t>
            </w:r>
          </w:p>
        </w:tc>
        <w:tc>
          <w:tcPr>
            <w:tcW w:w="1437" w:type="dxa"/>
            <w:tcBorders>
              <w:top w:val="single" w:color="000000" w:sz="4" w:space="0"/>
              <w:left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（30分）</w:t>
            </w:r>
          </w:p>
        </w:tc>
        <w:tc>
          <w:tcPr>
            <w:tcW w:w="7107"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pPr>
              <w:spacing w:line="32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满足磋商文件要求且最后报价最低的供应商的价格为磋商基准价，其价格分为满分。其他供应商的价格分统一按照下列公式计算：</w:t>
            </w:r>
          </w:p>
          <w:p>
            <w:pPr>
              <w:spacing w:line="32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磋商报价得分=（磋商基准价/最后磋商报价）×</w:t>
            </w:r>
            <w:r>
              <w:rPr>
                <w:rFonts w:ascii="宋体" w:hAnsi="宋体" w:eastAsia="宋体" w:cs="宋体"/>
                <w:color w:val="000000" w:themeColor="text1"/>
                <w:sz w:val="24"/>
                <w:szCs w:val="24"/>
                <w14:textFill>
                  <w14:solidFill>
                    <w14:schemeClr w14:val="tx1"/>
                  </w14:solidFill>
                </w14:textFill>
              </w:rPr>
              <w:t>30%×100</w:t>
            </w:r>
          </w:p>
          <w:p>
            <w:pPr>
              <w:spacing w:line="32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备注：价格分计算保留小数点后二位。</w:t>
            </w:r>
          </w:p>
          <w:p>
            <w:pPr>
              <w:spacing w:line="320" w:lineRule="auto"/>
              <w:rPr>
                <w:rFonts w:ascii="宋体" w:hAnsi="宋体" w:eastAsia="宋体" w:cs="宋体"/>
                <w:b/>
                <w:color w:val="000000" w:themeColor="text1"/>
                <w:sz w:val="24"/>
                <w:szCs w:val="24"/>
                <w14:textFill>
                  <w14:solidFill>
                    <w14:schemeClr w14:val="tx1"/>
                  </w14:solidFill>
                </w14:textFill>
              </w:rPr>
            </w:pPr>
            <w:r>
              <w:rPr>
                <w:rFonts w:ascii="宋体" w:hAnsi="宋体" w:eastAsia="宋体" w:cs="宋体"/>
                <w:b/>
                <w:color w:val="000000" w:themeColor="text1"/>
                <w:sz w:val="24"/>
                <w:szCs w:val="24"/>
                <w14:textFill>
                  <w14:solidFill>
                    <w14:schemeClr w14:val="tx1"/>
                  </w14:solidFill>
                </w14:textFill>
              </w:rPr>
              <w:t>注：</w:t>
            </w:r>
          </w:p>
          <w:p>
            <w:pPr>
              <w:spacing w:line="32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1.若投标人投标价格均超过控制价，做废标处理。</w:t>
            </w:r>
          </w:p>
          <w:p>
            <w:pPr>
              <w:spacing w:line="320" w:lineRule="auto"/>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2.对小型、微型、监狱企业、残疾人福利性单位投标报价给予</w:t>
            </w:r>
            <w:r>
              <w:rPr>
                <w:rFonts w:hint="eastAsia" w:ascii="宋体" w:hAnsi="宋体" w:eastAsia="宋体" w:cs="宋体"/>
                <w:color w:val="000000" w:themeColor="text1"/>
                <w:sz w:val="24"/>
                <w:szCs w:val="24"/>
                <w14:textFill>
                  <w14:solidFill>
                    <w14:schemeClr w14:val="tx1"/>
                  </w14:solidFill>
                </w14:textFill>
              </w:rPr>
              <w:t>20</w:t>
            </w:r>
            <w:r>
              <w:rPr>
                <w:rFonts w:ascii="宋体" w:hAnsi="宋体" w:eastAsia="宋体" w:cs="宋体"/>
                <w:color w:val="000000" w:themeColor="text1"/>
                <w:sz w:val="24"/>
                <w:szCs w:val="24"/>
                <w14:textFill>
                  <w14:solidFill>
                    <w14:schemeClr w14:val="tx1"/>
                  </w14:solidFill>
                </w14:textFill>
              </w:rPr>
              <w:t>%的扣除，用扣除后的价格参与评审。参加本项目的中小企业应当提供《中小企业声明函》（格式详见《政府采购促进中小企业发展管理办法》）。</w:t>
            </w:r>
          </w:p>
          <w:p>
            <w:pPr>
              <w:spacing w:after="120"/>
              <w:ind w:right="-21"/>
              <w:rPr>
                <w:rFonts w:ascii="宋体" w:hAnsi="宋体" w:eastAsia="宋体" w:cs="宋体"/>
                <w:bCs/>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tblPrEx>
          <w:tblCellMar>
            <w:top w:w="0" w:type="dxa"/>
            <w:left w:w="108" w:type="dxa"/>
            <w:bottom w:w="0" w:type="dxa"/>
            <w:right w:w="108" w:type="dxa"/>
          </w:tblCellMar>
        </w:tblPrEx>
        <w:trPr>
          <w:trHeight w:val="1170" w:hRule="atLeast"/>
        </w:trPr>
        <w:tc>
          <w:tcPr>
            <w:tcW w:w="1254"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技术部分（50分）</w:t>
            </w:r>
          </w:p>
        </w:tc>
        <w:tc>
          <w:tcPr>
            <w:tcW w:w="1437"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技术指标（20分）</w:t>
            </w:r>
          </w:p>
        </w:tc>
        <w:tc>
          <w:tcPr>
            <w:tcW w:w="7107" w:type="dxa"/>
            <w:gridSpan w:val="3"/>
            <w:tcBorders>
              <w:top w:val="single" w:color="000000" w:sz="4" w:space="0"/>
              <w:left w:val="single" w:color="000000" w:sz="4" w:space="0"/>
              <w:bottom w:val="single" w:color="auto" w:sz="4" w:space="0"/>
              <w:right w:val="single" w:color="000000" w:sz="4" w:space="0"/>
            </w:tcBorders>
            <w:shd w:val="clear" w:color="auto" w:fill="FFFFFF"/>
            <w:vAlign w:val="center"/>
          </w:tcPr>
          <w:p>
            <w:pPr>
              <w:spacing w:after="120"/>
              <w:ind w:right="-21"/>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供应商所投产品的技术指标或功能全部满足或优于招标文件技术参数要求的得20分，每有一项负偏离即在基本分20分的基础上扣除2分，扣完为止；（提供整机型式试验证书及报告、投标产品的技术偏离表）。</w:t>
            </w:r>
          </w:p>
        </w:tc>
      </w:tr>
      <w:tr>
        <w:tblPrEx>
          <w:tblCellMar>
            <w:top w:w="0" w:type="dxa"/>
            <w:left w:w="108" w:type="dxa"/>
            <w:bottom w:w="0" w:type="dxa"/>
            <w:right w:w="108" w:type="dxa"/>
          </w:tblCellMar>
        </w:tblPrEx>
        <w:trPr>
          <w:trHeight w:val="1039" w:hRule="atLeast"/>
        </w:trPr>
        <w:tc>
          <w:tcPr>
            <w:tcW w:w="1254" w:type="dxa"/>
            <w:vMerge w:val="continue"/>
            <w:tcBorders>
              <w:left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437" w:type="dxa"/>
            <w:tcBorders>
              <w:top w:val="single" w:color="auto" w:sz="4" w:space="0"/>
              <w:left w:val="single" w:color="000000" w:sz="4" w:space="0"/>
              <w:bottom w:val="single" w:color="000000" w:sz="4" w:space="0"/>
              <w:right w:val="single" w:color="auto"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质量功能（4分）</w:t>
            </w:r>
          </w:p>
        </w:tc>
        <w:tc>
          <w:tcPr>
            <w:tcW w:w="710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after="120"/>
              <w:ind w:right="-21"/>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电梯整体性能和稳定性：提供所投产品整体性能指标描述、稳定性描述、保障故障率措施等得4分，不提供不得分。</w:t>
            </w:r>
          </w:p>
        </w:tc>
      </w:tr>
      <w:tr>
        <w:tblPrEx>
          <w:tblCellMar>
            <w:top w:w="0" w:type="dxa"/>
            <w:left w:w="108" w:type="dxa"/>
            <w:bottom w:w="0" w:type="dxa"/>
            <w:right w:w="108" w:type="dxa"/>
          </w:tblCellMar>
        </w:tblPrEx>
        <w:trPr>
          <w:trHeight w:val="1039" w:hRule="atLeast"/>
        </w:trPr>
        <w:tc>
          <w:tcPr>
            <w:tcW w:w="1254" w:type="dxa"/>
            <w:vMerge w:val="continue"/>
            <w:tcBorders>
              <w:left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437" w:type="dxa"/>
            <w:tcBorders>
              <w:top w:val="single" w:color="auto" w:sz="4" w:space="0"/>
              <w:left w:val="single" w:color="000000" w:sz="4" w:space="0"/>
              <w:bottom w:val="single" w:color="000000" w:sz="4" w:space="0"/>
              <w:right w:val="single" w:color="auto"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主要部件质保时间（6分）</w:t>
            </w:r>
          </w:p>
        </w:tc>
        <w:tc>
          <w:tcPr>
            <w:tcW w:w="710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spacing w:after="120"/>
              <w:ind w:right="-21"/>
              <w:rPr>
                <w:rFonts w:ascii="宋体" w:hAnsi="宋体" w:eastAsia="宋体" w:cs="宋体"/>
                <w:bCs/>
                <w:color w:val="000000" w:themeColor="text1"/>
                <w:sz w:val="24"/>
                <w:szCs w:val="24"/>
                <w14:textFill>
                  <w14:solidFill>
                    <w14:schemeClr w14:val="tx1"/>
                  </w14:solidFill>
                </w14:textFill>
              </w:rPr>
            </w:pPr>
            <w:r>
              <w:rPr>
                <w:rFonts w:ascii="宋体" w:hAnsi="宋体" w:eastAsia="宋体" w:cs="宋体"/>
                <w:color w:val="000000" w:themeColor="text1"/>
                <w:sz w:val="24"/>
                <w:szCs w:val="24"/>
                <w:shd w:val="clear" w:color="auto" w:fill="FFFFFF"/>
                <w14:textFill>
                  <w14:solidFill>
                    <w14:schemeClr w14:val="tx1"/>
                  </w14:solidFill>
                </w14:textFill>
              </w:rPr>
              <w:t>响应招标文件质保期且承诺乘客电梯曳引机</w:t>
            </w: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ascii="宋体" w:hAnsi="宋体" w:eastAsia="宋体" w:cs="宋体"/>
                <w:color w:val="000000" w:themeColor="text1"/>
                <w:sz w:val="24"/>
                <w:szCs w:val="24"/>
                <w:shd w:val="clear" w:color="auto" w:fill="FFFFFF"/>
                <w14:textFill>
                  <w14:solidFill>
                    <w14:schemeClr w14:val="tx1"/>
                  </w14:solidFill>
                </w14:textFill>
              </w:rPr>
              <w:t>控制系统</w:t>
            </w: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ascii="宋体" w:hAnsi="宋体" w:eastAsia="宋体" w:cs="宋体"/>
                <w:color w:val="000000" w:themeColor="text1"/>
                <w:sz w:val="24"/>
                <w:szCs w:val="24"/>
                <w:shd w:val="clear" w:color="auto" w:fill="FFFFFF"/>
                <w14:textFill>
                  <w14:solidFill>
                    <w14:schemeClr w14:val="tx1"/>
                  </w14:solidFill>
                </w14:textFill>
              </w:rPr>
              <w:t>门机</w:t>
            </w: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ascii="宋体" w:hAnsi="宋体" w:eastAsia="宋体" w:cs="宋体"/>
                <w:color w:val="000000" w:themeColor="text1"/>
                <w:sz w:val="24"/>
                <w:szCs w:val="24"/>
                <w:shd w:val="clear" w:color="auto" w:fill="FFFFFF"/>
                <w14:textFill>
                  <w14:solidFill>
                    <w14:schemeClr w14:val="tx1"/>
                  </w14:solidFill>
                </w14:textFill>
              </w:rPr>
              <w:t>限速器</w:t>
            </w:r>
            <w:r>
              <w:rPr>
                <w:rFonts w:hint="eastAsia" w:ascii="宋体" w:hAnsi="宋体" w:eastAsia="宋体" w:cs="宋体"/>
                <w:color w:val="000000" w:themeColor="text1"/>
                <w:sz w:val="24"/>
                <w:szCs w:val="24"/>
                <w:shd w:val="clear" w:color="auto" w:fill="FFFFFF"/>
                <w14:textFill>
                  <w14:solidFill>
                    <w14:schemeClr w14:val="tx1"/>
                  </w14:solidFill>
                </w14:textFill>
              </w:rPr>
              <w:t>、</w:t>
            </w:r>
            <w:r>
              <w:rPr>
                <w:rFonts w:ascii="宋体" w:hAnsi="宋体" w:eastAsia="宋体" w:cs="宋体"/>
                <w:color w:val="000000" w:themeColor="text1"/>
                <w:sz w:val="24"/>
                <w:szCs w:val="24"/>
                <w:shd w:val="clear" w:color="auto" w:fill="FFFFFF"/>
                <w14:textFill>
                  <w14:solidFill>
                    <w14:schemeClr w14:val="tx1"/>
                  </w14:solidFill>
                </w14:textFill>
              </w:rPr>
              <w:t>安全钳</w:t>
            </w:r>
            <w:r>
              <w:rPr>
                <w:rFonts w:hint="eastAsia" w:ascii="宋体" w:hAnsi="宋体" w:eastAsia="宋体" w:cs="宋体"/>
                <w:color w:val="000000" w:themeColor="text1"/>
                <w:sz w:val="24"/>
                <w:szCs w:val="24"/>
                <w:shd w:val="clear" w:color="auto" w:fill="FFFFFF"/>
                <w14:textFill>
                  <w14:solidFill>
                    <w14:schemeClr w14:val="tx1"/>
                  </w14:solidFill>
                </w14:textFill>
              </w:rPr>
              <w:t>、缓冲器六大件质保五年得6分。（以提供的产品样本为准）</w:t>
            </w:r>
          </w:p>
        </w:tc>
      </w:tr>
      <w:tr>
        <w:tblPrEx>
          <w:tblCellMar>
            <w:top w:w="0" w:type="dxa"/>
            <w:left w:w="108" w:type="dxa"/>
            <w:bottom w:w="0" w:type="dxa"/>
            <w:right w:w="108" w:type="dxa"/>
          </w:tblCellMar>
        </w:tblPrEx>
        <w:trPr>
          <w:trHeight w:val="603" w:hRule="atLeast"/>
        </w:trPr>
        <w:tc>
          <w:tcPr>
            <w:tcW w:w="1254" w:type="dxa"/>
            <w:vMerge w:val="continue"/>
            <w:tcBorders>
              <w:left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p>
            <w:pPr>
              <w:widowControl/>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电梯安装施工组织设计（20分）</w:t>
            </w:r>
          </w:p>
        </w:tc>
        <w:tc>
          <w:tcPr>
            <w:tcW w:w="1528" w:type="dxa"/>
            <w:vMerge w:val="restart"/>
            <w:tcBorders>
              <w:top w:val="single" w:color="000000" w:sz="4" w:space="0"/>
              <w:left w:val="single" w:color="000000" w:sz="4" w:space="0"/>
              <w:right w:val="single" w:color="auto" w:sz="4" w:space="0"/>
            </w:tcBorders>
            <w:shd w:val="clear" w:color="auto" w:fill="FFFFFF"/>
            <w:vAlign w:val="center"/>
          </w:tcPr>
          <w:p>
            <w:pPr>
              <w:spacing w:line="360" w:lineRule="auto"/>
              <w:jc w:val="left"/>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一、施工组织设计方案（14分）</w:t>
            </w:r>
          </w:p>
        </w:tc>
        <w:tc>
          <w:tcPr>
            <w:tcW w:w="5579" w:type="dxa"/>
            <w:gridSpan w:val="2"/>
            <w:tcBorders>
              <w:top w:val="single" w:color="000000" w:sz="4" w:space="0"/>
              <w:left w:val="single" w:color="auto" w:sz="4" w:space="0"/>
              <w:right w:val="single" w:color="000000" w:sz="4" w:space="0"/>
            </w:tcBorders>
            <w:shd w:val="clear" w:color="auto" w:fill="FFFFFF"/>
            <w:vAlign w:val="center"/>
          </w:tcPr>
          <w:p>
            <w:pPr>
              <w:spacing w:after="120"/>
              <w:ind w:right="-21"/>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提供施工组织设计方案和调试方案3分</w:t>
            </w:r>
          </w:p>
        </w:tc>
      </w:tr>
      <w:tr>
        <w:tblPrEx>
          <w:tblCellMar>
            <w:top w:w="0" w:type="dxa"/>
            <w:left w:w="108" w:type="dxa"/>
            <w:bottom w:w="0" w:type="dxa"/>
            <w:right w:w="108" w:type="dxa"/>
          </w:tblCellMar>
        </w:tblPrEx>
        <w:trPr>
          <w:trHeight w:val="530" w:hRule="atLeast"/>
        </w:trPr>
        <w:tc>
          <w:tcPr>
            <w:tcW w:w="1254" w:type="dxa"/>
            <w:vMerge w:val="continue"/>
            <w:tcBorders>
              <w:left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528" w:type="dxa"/>
            <w:vMerge w:val="continue"/>
            <w:tcBorders>
              <w:left w:val="single" w:color="000000" w:sz="4" w:space="0"/>
              <w:right w:val="single" w:color="auto" w:sz="4" w:space="0"/>
            </w:tcBorders>
            <w:shd w:val="clear" w:color="auto" w:fill="FFFFFF"/>
            <w:vAlign w:val="center"/>
          </w:tcPr>
          <w:p>
            <w:pPr>
              <w:widowControl/>
              <w:spacing w:line="360" w:lineRule="auto"/>
              <w:jc w:val="left"/>
              <w:rPr>
                <w:rFonts w:ascii="宋体" w:hAnsi="宋体" w:eastAsia="宋体" w:cs="宋体"/>
                <w:color w:val="000000" w:themeColor="text1"/>
                <w:sz w:val="24"/>
                <w:szCs w:val="24"/>
                <w14:textFill>
                  <w14:solidFill>
                    <w14:schemeClr w14:val="tx1"/>
                  </w14:solidFill>
                </w14:textFill>
              </w:rPr>
            </w:pPr>
          </w:p>
        </w:tc>
        <w:tc>
          <w:tcPr>
            <w:tcW w:w="557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2、提供确保安装施工质量、工期的技术保证措施3分</w:t>
            </w:r>
          </w:p>
        </w:tc>
      </w:tr>
      <w:tr>
        <w:tblPrEx>
          <w:tblCellMar>
            <w:top w:w="0" w:type="dxa"/>
            <w:left w:w="108" w:type="dxa"/>
            <w:bottom w:w="0" w:type="dxa"/>
            <w:right w:w="108" w:type="dxa"/>
          </w:tblCellMar>
        </w:tblPrEx>
        <w:trPr>
          <w:trHeight w:val="530" w:hRule="atLeast"/>
        </w:trPr>
        <w:tc>
          <w:tcPr>
            <w:tcW w:w="1254" w:type="dxa"/>
            <w:vMerge w:val="continue"/>
            <w:tcBorders>
              <w:left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528" w:type="dxa"/>
            <w:vMerge w:val="continue"/>
            <w:tcBorders>
              <w:left w:val="single" w:color="000000" w:sz="4" w:space="0"/>
              <w:right w:val="single" w:color="auto" w:sz="4" w:space="0"/>
            </w:tcBorders>
            <w:shd w:val="clear" w:color="auto" w:fill="FFFFFF"/>
            <w:vAlign w:val="center"/>
          </w:tcPr>
          <w:p>
            <w:pPr>
              <w:widowControl/>
              <w:spacing w:line="360" w:lineRule="auto"/>
              <w:jc w:val="left"/>
              <w:rPr>
                <w:rFonts w:ascii="宋体" w:hAnsi="宋体" w:eastAsia="宋体" w:cs="宋体"/>
                <w:color w:val="000000" w:themeColor="text1"/>
                <w:sz w:val="24"/>
                <w:szCs w:val="24"/>
                <w14:textFill>
                  <w14:solidFill>
                    <w14:schemeClr w14:val="tx1"/>
                  </w14:solidFill>
                </w14:textFill>
              </w:rPr>
            </w:pPr>
          </w:p>
        </w:tc>
        <w:tc>
          <w:tcPr>
            <w:tcW w:w="557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3、提供确保安全、文明施工的技术组织措施3分</w:t>
            </w:r>
          </w:p>
        </w:tc>
      </w:tr>
      <w:tr>
        <w:tblPrEx>
          <w:tblCellMar>
            <w:top w:w="0" w:type="dxa"/>
            <w:left w:w="108" w:type="dxa"/>
            <w:bottom w:w="0" w:type="dxa"/>
            <w:right w:w="108" w:type="dxa"/>
          </w:tblCellMar>
        </w:tblPrEx>
        <w:trPr>
          <w:trHeight w:val="530" w:hRule="atLeast"/>
        </w:trPr>
        <w:tc>
          <w:tcPr>
            <w:tcW w:w="1254" w:type="dxa"/>
            <w:vMerge w:val="continue"/>
            <w:tcBorders>
              <w:left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528" w:type="dxa"/>
            <w:vMerge w:val="continue"/>
            <w:tcBorders>
              <w:left w:val="single" w:color="000000" w:sz="4" w:space="0"/>
              <w:right w:val="single" w:color="auto" w:sz="4" w:space="0"/>
            </w:tcBorders>
            <w:shd w:val="clear" w:color="auto" w:fill="FFFFFF"/>
            <w:vAlign w:val="center"/>
          </w:tcPr>
          <w:p>
            <w:pPr>
              <w:widowControl/>
              <w:spacing w:line="360" w:lineRule="auto"/>
              <w:jc w:val="left"/>
              <w:rPr>
                <w:rFonts w:ascii="宋体" w:hAnsi="宋体" w:eastAsia="宋体" w:cs="宋体"/>
                <w:color w:val="000000" w:themeColor="text1"/>
                <w:sz w:val="24"/>
                <w:szCs w:val="24"/>
                <w14:textFill>
                  <w14:solidFill>
                    <w14:schemeClr w14:val="tx1"/>
                  </w14:solidFill>
                </w14:textFill>
              </w:rPr>
            </w:pPr>
          </w:p>
        </w:tc>
        <w:tc>
          <w:tcPr>
            <w:tcW w:w="557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4、提供安装、调试、检测的设备情况3分</w:t>
            </w:r>
          </w:p>
        </w:tc>
      </w:tr>
      <w:tr>
        <w:tblPrEx>
          <w:tblCellMar>
            <w:top w:w="0" w:type="dxa"/>
            <w:left w:w="108" w:type="dxa"/>
            <w:bottom w:w="0" w:type="dxa"/>
            <w:right w:w="108" w:type="dxa"/>
          </w:tblCellMar>
        </w:tblPrEx>
        <w:trPr>
          <w:trHeight w:val="560" w:hRule="atLeast"/>
        </w:trPr>
        <w:tc>
          <w:tcPr>
            <w:tcW w:w="1254" w:type="dxa"/>
            <w:vMerge w:val="continue"/>
            <w:tcBorders>
              <w:left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528" w:type="dxa"/>
            <w:vMerge w:val="continue"/>
            <w:tcBorders>
              <w:left w:val="single" w:color="000000" w:sz="4" w:space="0"/>
              <w:bottom w:val="single" w:color="000000" w:sz="4" w:space="0"/>
              <w:right w:val="single" w:color="auto" w:sz="4" w:space="0"/>
            </w:tcBorders>
            <w:shd w:val="clear" w:color="auto" w:fill="FFFFFF"/>
            <w:vAlign w:val="center"/>
          </w:tcPr>
          <w:p>
            <w:pPr>
              <w:widowControl/>
              <w:spacing w:line="360" w:lineRule="auto"/>
              <w:jc w:val="left"/>
              <w:rPr>
                <w:rFonts w:ascii="宋体" w:hAnsi="宋体" w:eastAsia="宋体" w:cs="宋体"/>
                <w:color w:val="000000" w:themeColor="text1"/>
                <w:sz w:val="24"/>
                <w:szCs w:val="24"/>
                <w14:textFill>
                  <w14:solidFill>
                    <w14:schemeClr w14:val="tx1"/>
                  </w14:solidFill>
                </w14:textFill>
              </w:rPr>
            </w:pPr>
          </w:p>
        </w:tc>
        <w:tc>
          <w:tcPr>
            <w:tcW w:w="557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5、提供施工进度计划2分</w:t>
            </w:r>
          </w:p>
        </w:tc>
      </w:tr>
      <w:tr>
        <w:tblPrEx>
          <w:tblCellMar>
            <w:top w:w="0" w:type="dxa"/>
            <w:left w:w="108" w:type="dxa"/>
            <w:bottom w:w="0" w:type="dxa"/>
            <w:right w:w="108" w:type="dxa"/>
          </w:tblCellMar>
        </w:tblPrEx>
        <w:trPr>
          <w:trHeight w:val="628" w:hRule="atLeast"/>
        </w:trPr>
        <w:tc>
          <w:tcPr>
            <w:tcW w:w="1254" w:type="dxa"/>
            <w:vMerge w:val="continue"/>
            <w:tcBorders>
              <w:left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528" w:type="dxa"/>
            <w:vMerge w:val="restart"/>
            <w:tcBorders>
              <w:top w:val="single" w:color="000000" w:sz="4" w:space="0"/>
              <w:left w:val="single" w:color="000000" w:sz="4" w:space="0"/>
              <w:right w:val="single" w:color="auto" w:sz="4" w:space="0"/>
            </w:tcBorders>
            <w:shd w:val="clear" w:color="auto" w:fill="FFFFFF"/>
            <w:vAlign w:val="center"/>
          </w:tcPr>
          <w:p>
            <w:pPr>
              <w:widowControl/>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二、人员培训及服务承诺（6分）</w:t>
            </w:r>
          </w:p>
        </w:tc>
        <w:tc>
          <w:tcPr>
            <w:tcW w:w="5579" w:type="dxa"/>
            <w:gridSpan w:val="2"/>
            <w:tcBorders>
              <w:top w:val="single" w:color="000000" w:sz="4" w:space="0"/>
              <w:left w:val="single" w:color="auto" w:sz="4" w:space="0"/>
              <w:right w:val="single" w:color="000000" w:sz="4" w:space="0"/>
            </w:tcBorders>
            <w:shd w:val="clear" w:color="auto" w:fill="FFFFFF"/>
            <w:vAlign w:val="center"/>
          </w:tcPr>
          <w:p>
            <w:pPr>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1、提供人员培训计划3分；</w:t>
            </w:r>
          </w:p>
        </w:tc>
      </w:tr>
      <w:tr>
        <w:tblPrEx>
          <w:tblCellMar>
            <w:top w:w="0" w:type="dxa"/>
            <w:left w:w="108" w:type="dxa"/>
            <w:bottom w:w="0" w:type="dxa"/>
            <w:right w:w="108" w:type="dxa"/>
          </w:tblCellMar>
        </w:tblPrEx>
        <w:trPr>
          <w:trHeight w:val="530" w:hRule="atLeast"/>
        </w:trPr>
        <w:tc>
          <w:tcPr>
            <w:tcW w:w="1254"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528" w:type="dxa"/>
            <w:vMerge w:val="continue"/>
            <w:tcBorders>
              <w:left w:val="single" w:color="000000" w:sz="4" w:space="0"/>
              <w:bottom w:val="single" w:color="000000" w:sz="4" w:space="0"/>
              <w:right w:val="single" w:color="auto" w:sz="4" w:space="0"/>
            </w:tcBorders>
            <w:shd w:val="clear" w:color="auto" w:fill="FFFFFF"/>
            <w:vAlign w:val="center"/>
          </w:tcPr>
          <w:p>
            <w:pPr>
              <w:widowControl/>
              <w:spacing w:line="360" w:lineRule="auto"/>
              <w:jc w:val="left"/>
              <w:rPr>
                <w:rFonts w:ascii="宋体" w:hAnsi="宋体" w:eastAsia="宋体" w:cs="宋体"/>
                <w:color w:val="000000" w:themeColor="text1"/>
                <w:sz w:val="24"/>
                <w:szCs w:val="24"/>
                <w14:textFill>
                  <w14:solidFill>
                    <w14:schemeClr w14:val="tx1"/>
                  </w14:solidFill>
                </w14:textFill>
              </w:rPr>
            </w:pPr>
          </w:p>
        </w:tc>
        <w:tc>
          <w:tcPr>
            <w:tcW w:w="5579"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2、提供安装服务承诺3分；</w:t>
            </w:r>
          </w:p>
        </w:tc>
      </w:tr>
      <w:tr>
        <w:tblPrEx>
          <w:tblCellMar>
            <w:top w:w="0" w:type="dxa"/>
            <w:left w:w="108" w:type="dxa"/>
            <w:bottom w:w="0" w:type="dxa"/>
            <w:right w:w="108" w:type="dxa"/>
          </w:tblCellMar>
        </w:tblPrEx>
        <w:trPr>
          <w:trHeight w:val="1548" w:hRule="atLeast"/>
        </w:trPr>
        <w:tc>
          <w:tcPr>
            <w:tcW w:w="125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综合部分（20分）</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制造商实力（10分）</w:t>
            </w:r>
          </w:p>
        </w:tc>
        <w:tc>
          <w:tcPr>
            <w:tcW w:w="71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投标品牌厂家提供ISO 质量管理体系认证证书、ISO 环境管理体系认证证书、 ISO职业健康安全管理体系认证证书的，每一项得1分，提供完整得3分，不提供不得分。</w:t>
            </w:r>
          </w:p>
        </w:tc>
      </w:tr>
      <w:tr>
        <w:tblPrEx>
          <w:tblCellMar>
            <w:top w:w="0" w:type="dxa"/>
            <w:left w:w="108" w:type="dxa"/>
            <w:bottom w:w="0" w:type="dxa"/>
            <w:right w:w="108" w:type="dxa"/>
          </w:tblCellMar>
        </w:tblPrEx>
        <w:trPr>
          <w:trHeight w:val="1039" w:hRule="atLeast"/>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71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投标品牌制造商具有《中国合格评定国家委员会实验室证书》（CNAS）的得2分，否则得0分。</w:t>
            </w:r>
          </w:p>
        </w:tc>
      </w:tr>
      <w:tr>
        <w:tblPrEx>
          <w:tblCellMar>
            <w:top w:w="0" w:type="dxa"/>
            <w:left w:w="108" w:type="dxa"/>
            <w:bottom w:w="0" w:type="dxa"/>
            <w:right w:w="108" w:type="dxa"/>
          </w:tblCellMar>
        </w:tblPrEx>
        <w:trPr>
          <w:trHeight w:val="1039" w:hRule="atLeast"/>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71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电梯制造商2020年1月1日以来具有同品牌业绩的，每提供一份得1分，最得3分（须提供合同协议书的扫描件）。</w:t>
            </w:r>
          </w:p>
        </w:tc>
      </w:tr>
      <w:tr>
        <w:tblPrEx>
          <w:tblCellMar>
            <w:top w:w="0" w:type="dxa"/>
            <w:left w:w="108" w:type="dxa"/>
            <w:bottom w:w="0" w:type="dxa"/>
            <w:right w:w="108" w:type="dxa"/>
          </w:tblCellMar>
        </w:tblPrEx>
        <w:trPr>
          <w:trHeight w:val="559" w:hRule="atLeast"/>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71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提供电梯制造商厂家授权委托书和售后服务承诺函的得2分，不提供不得分。</w:t>
            </w:r>
          </w:p>
        </w:tc>
      </w:tr>
      <w:tr>
        <w:tblPrEx>
          <w:tblCellMar>
            <w:top w:w="0" w:type="dxa"/>
            <w:left w:w="108" w:type="dxa"/>
            <w:bottom w:w="0" w:type="dxa"/>
            <w:right w:w="108" w:type="dxa"/>
          </w:tblCellMar>
        </w:tblPrEx>
        <w:trPr>
          <w:trHeight w:val="530" w:hRule="atLeast"/>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售后服务承诺(10分）</w:t>
            </w:r>
          </w:p>
        </w:tc>
        <w:tc>
          <w:tcPr>
            <w:tcW w:w="71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1、提供质保期内、外服务方案的得4分。</w:t>
            </w:r>
          </w:p>
        </w:tc>
      </w:tr>
      <w:tr>
        <w:tblPrEx>
          <w:tblCellMar>
            <w:top w:w="0" w:type="dxa"/>
            <w:left w:w="108" w:type="dxa"/>
            <w:bottom w:w="0" w:type="dxa"/>
            <w:right w:w="108" w:type="dxa"/>
          </w:tblCellMar>
        </w:tblPrEx>
        <w:trPr>
          <w:trHeight w:val="2589" w:hRule="atLeast"/>
        </w:trPr>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ascii="宋体" w:hAnsi="宋体" w:eastAsia="宋体" w:cs="宋体"/>
                <w:color w:val="000000" w:themeColor="text1"/>
                <w:sz w:val="24"/>
                <w:szCs w:val="24"/>
                <w14:textFill>
                  <w14:solidFill>
                    <w14:schemeClr w14:val="tx1"/>
                  </w14:solidFill>
                </w14:textFill>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auto"/>
              <w:jc w:val="left"/>
              <w:rPr>
                <w:rFonts w:ascii="宋体" w:hAnsi="宋体" w:eastAsia="宋体" w:cs="宋体"/>
                <w:color w:val="000000" w:themeColor="text1"/>
                <w:sz w:val="24"/>
                <w:szCs w:val="24"/>
                <w14:textFill>
                  <w14:solidFill>
                    <w14:schemeClr w14:val="tx1"/>
                  </w14:solidFill>
                </w14:textFill>
              </w:rPr>
            </w:pPr>
          </w:p>
        </w:tc>
        <w:tc>
          <w:tcPr>
            <w:tcW w:w="710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numPr>
                <w:ilvl w:val="0"/>
                <w:numId w:val="24"/>
              </w:num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产品厂家需在河南省内设立售后维修服务机构，且具有特种设备（电梯）安装改造维修许可证，A级资质或特种设备生产许可证“曳引式客梯”（V）≤6m/s的得6分，B级资质或特种设备生产许可证“曳引式客梯”（V）≤2.5m/s的得3分。</w:t>
            </w:r>
          </w:p>
          <w:p>
            <w:pPr>
              <w:widowControl/>
              <w:spacing w:line="360" w:lineRule="auto"/>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（提供相关售后服务机构的营业执照、资质证书为得分依据）。</w:t>
            </w:r>
          </w:p>
        </w:tc>
      </w:tr>
    </w:tbl>
    <w:p>
      <w:pPr>
        <w:spacing w:line="560" w:lineRule="auto"/>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 xml:space="preserve">  最终得分为磋商小组所有成员计分的算术平均值，计算保留小数点两位，小数点后第三位四舍五入。</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22.3磋商小组根据综合评分情况，按照评审得分由高到低顺序推荐成交候选供应商，并编写评审报告。综合得分相同的供应商，报价较低者优先；报价也相同的，由采购人自行确定。</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auto"/>
        <w:ind w:firstLine="480"/>
        <w:rPr>
          <w:rFonts w:ascii="宋体" w:hAnsi="宋体" w:eastAsia="宋体" w:cs="宋体"/>
          <w:b/>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22.5若供应商的报价高于项目预算，磋商小组有权根据采购人意见及其实际情况，拒绝该报价。</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22.7在竞争性磋商期间，供应商不得向竞争性磋商小组成员询问其它供应商竞争性磋商情况，不得进行旨在影响成交结果的活动。</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22.8在竞争性磋商期间，采购人将有专门人员与供应商进行联络。</w:t>
      </w:r>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23.竞争性磋商终止</w:t>
      </w:r>
    </w:p>
    <w:p>
      <w:pPr>
        <w:spacing w:line="560" w:lineRule="auto"/>
        <w:ind w:firstLine="480"/>
        <w:rPr>
          <w:rFonts w:ascii="宋体" w:hAnsi="宋体" w:eastAsia="宋体" w:cs="宋体"/>
          <w:b/>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23.1出现下列情形之一时，采购人有权宣布竞争性磋商终止，并将理由通知所有供应商：</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（1）因情况变化，不再符合竞争性磋商适用情形的；</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（2）出现影响采购公正的违法、违规行为的；</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（3）在采购过程中符合磋商文件要求的供应商不足3家的；</w:t>
      </w:r>
    </w:p>
    <w:p>
      <w:pPr>
        <w:spacing w:line="560" w:lineRule="auto"/>
        <w:ind w:firstLine="480"/>
        <w:rPr>
          <w:rFonts w:ascii="宋体" w:hAnsi="宋体" w:eastAsia="宋体" w:cs="宋体"/>
          <w:b/>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（4）在采购活动中因重大变故，采购任务取消的；</w:t>
      </w:r>
    </w:p>
    <w:p>
      <w:pPr>
        <w:pStyle w:val="3"/>
        <w:jc w:val="center"/>
        <w:rPr>
          <w:color w:val="000000" w:themeColor="text1"/>
          <w14:textFill>
            <w14:solidFill>
              <w14:schemeClr w14:val="tx1"/>
            </w14:solidFill>
          </w14:textFill>
        </w:rPr>
      </w:pPr>
      <w:bookmarkStart w:id="8" w:name="_Toc164239550"/>
      <w:r>
        <w:rPr>
          <w:color w:val="000000" w:themeColor="text1"/>
          <w14:textFill>
            <w14:solidFill>
              <w14:schemeClr w14:val="tx1"/>
            </w14:solidFill>
          </w14:textFill>
        </w:rPr>
        <w:t>七、成交通知</w:t>
      </w:r>
      <w:bookmarkEnd w:id="8"/>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24.成交通知</w:t>
      </w:r>
    </w:p>
    <w:p>
      <w:pPr>
        <w:tabs>
          <w:tab w:val="left" w:pos="1800"/>
        </w:tabs>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24.1在发出成交公告后请采购人、中标人登录周口市公共资源交易中心网（http://jyzx.zhoukou.gov.cn）自行下载成交通知书，成交通知书将作为签订合同的依据。</w:t>
      </w:r>
    </w:p>
    <w:p>
      <w:pPr>
        <w:tabs>
          <w:tab w:val="left" w:pos="1800"/>
        </w:tabs>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24.2成交通知书对采购人和成交供应商具有同等法律效力。成交通知书发出后，采购人改变成交结果，或者成交供应商放弃成交，应当承担相应的法律责任。</w:t>
      </w:r>
    </w:p>
    <w:p>
      <w:pPr>
        <w:pStyle w:val="3"/>
        <w:jc w:val="center"/>
        <w:rPr>
          <w:color w:val="000000" w:themeColor="text1"/>
          <w14:textFill>
            <w14:solidFill>
              <w14:schemeClr w14:val="tx1"/>
            </w14:solidFill>
          </w14:textFill>
        </w:rPr>
      </w:pPr>
      <w:bookmarkStart w:id="9" w:name="_Toc164239551"/>
      <w:r>
        <w:rPr>
          <w:color w:val="000000" w:themeColor="text1"/>
          <w14:textFill>
            <w14:solidFill>
              <w14:schemeClr w14:val="tx1"/>
            </w14:solidFill>
          </w14:textFill>
        </w:rPr>
        <w:t>八、合同授予</w:t>
      </w:r>
      <w:bookmarkEnd w:id="9"/>
    </w:p>
    <w:p>
      <w:pPr>
        <w:tabs>
          <w:tab w:val="left" w:pos="1620"/>
        </w:tabs>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25.签订合同及合同的执行</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25.1采购人、成交供应商按照竞争性磋商文件确定的合同文本签订政府采购合同。供应商须承诺中标后不因任何理由和借口拒绝与采购人签订合同。</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25.2采购人不得向成交供应商提出超过竞争性磋商文件以外的任何要求作为签订合同的条件，不得与成交供应商订立背离竞争性磋商文件确定的合同文本协议。</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pStyle w:val="3"/>
        <w:jc w:val="center"/>
        <w:rPr>
          <w:color w:val="000000" w:themeColor="text1"/>
          <w14:textFill>
            <w14:solidFill>
              <w14:schemeClr w14:val="tx1"/>
            </w14:solidFill>
          </w14:textFill>
        </w:rPr>
      </w:pPr>
      <w:bookmarkStart w:id="10" w:name="_Toc164239552"/>
      <w:r>
        <w:rPr>
          <w:color w:val="000000" w:themeColor="text1"/>
          <w14:textFill>
            <w14:solidFill>
              <w14:schemeClr w14:val="tx1"/>
            </w14:solidFill>
          </w14:textFill>
        </w:rPr>
        <w:t>九、质疑处理</w:t>
      </w:r>
      <w:bookmarkEnd w:id="10"/>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26.质疑程序及处理</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26.2采购人在收到供应商的书面质疑后七个工作日内做出答复，并以书面形式通知质疑供应商和其他供应商，但答复内容不得涉及商业秘密。</w:t>
      </w:r>
    </w:p>
    <w:p>
      <w:pPr>
        <w:spacing w:line="500" w:lineRule="exact"/>
        <w:ind w:firstLine="482"/>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26.3质疑供应商行使质疑权时，必须遵守“实事求是”和“谨慎性”原则，承担使用虚假材料或恶意方式质疑的法律责任，采购人将遵循“谁过错谁负担”的原则，由过错方提交相关的调查论证费用。</w:t>
      </w:r>
    </w:p>
    <w:p>
      <w:pPr>
        <w:spacing w:line="500" w:lineRule="exact"/>
        <w:ind w:firstLine="482"/>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26.4质疑必须由供应商的法定代表人或委托代理人（响应性文件中所确定的，如递交质疑者不是响应性文件中确定的委托代理人，须由供应商另行出具授权）以书面送达的方式现场提交</w:t>
      </w:r>
      <w:r>
        <w:rPr>
          <w:rFonts w:hint="eastAsia" w:ascii="宋体" w:hAnsi="宋体" w:eastAsia="宋体" w:cs="宋体"/>
          <w:color w:val="000000" w:themeColor="text1"/>
          <w:sz w:val="24"/>
          <w14:textFill>
            <w14:solidFill>
              <w14:schemeClr w14:val="tx1"/>
            </w14:solidFill>
          </w14:textFill>
        </w:rPr>
        <w:t>（邮寄、传真件不予受理）</w:t>
      </w:r>
      <w:r>
        <w:rPr>
          <w:rFonts w:ascii="宋体" w:hAnsi="宋体" w:eastAsia="宋体" w:cs="宋体"/>
          <w:color w:val="000000" w:themeColor="text1"/>
          <w:sz w:val="24"/>
          <w14:textFill>
            <w14:solidFill>
              <w14:schemeClr w14:val="tx1"/>
            </w14:solidFill>
          </w14:textFill>
        </w:rPr>
        <w:t>，未按上述要求提交的质疑函采购人有权不予受理。</w:t>
      </w:r>
    </w:p>
    <w:p>
      <w:pPr>
        <w:spacing w:line="5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26.5供应商认为本次采购违反法律、法规和规章规定的，必须在法定期限内提出质疑，质疑函接收地址详见供应商须知前附表，不在法定期限内提出的质疑函将被拒收，不符合要求的质疑函必须在法定质疑期内补充完整，否则视作质疑不成立处理。供应商必须在法定质疑期内一次性针对采购文件、采购过程和中标（成交结果）提出质疑，并由法定代表人或其授权委托人（授权委托人必须有社保的正式员工为授权委托人）携带企业营业执照复印件（加盖公章）及本人身份证（原件），一并提交（邮寄、传真件不予受理）。以质疑函接受确认日期作为受理时间，逾期提交或未按照要求提交的质疑函将不予受理。</w:t>
      </w:r>
    </w:p>
    <w:p>
      <w:pPr>
        <w:spacing w:line="5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26.6对质疑答复不满意的，供应商可以在法定期限内向监督部门投诉。投诉人在全国范围12个月内三次以上投诉查无实据的，由财政部门列入不良行为记录名单。投诉人有下列行为之一的，属于虚假、恶意投诉，由财政部门列入不良行为记录名单，禁止其1至3年内参加政府采购活动：（一）捏造事实；（二）提供虚假材料；（三）以非法手段取得证明材料。证据来源的合法性存在明显疑问，投诉人无法证明其取得方式合法的，视为以非法手段取得证明材料。</w:t>
      </w:r>
    </w:p>
    <w:p>
      <w:pPr>
        <w:pStyle w:val="3"/>
        <w:jc w:val="center"/>
        <w:rPr>
          <w:rFonts w:ascii="Calibri" w:hAnsi="Calibri" w:eastAsia="宋体" w:cs="Times New Roman"/>
          <w:color w:val="000000" w:themeColor="text1"/>
          <w:kern w:val="2"/>
          <w14:textFill>
            <w14:solidFill>
              <w14:schemeClr w14:val="tx1"/>
            </w14:solidFill>
          </w14:textFill>
        </w:rPr>
      </w:pPr>
      <w:bookmarkStart w:id="11" w:name="_Toc164239553"/>
      <w:bookmarkStart w:id="12" w:name="_Toc96933741"/>
      <w:bookmarkStart w:id="13" w:name="_Toc3446623"/>
      <w:r>
        <w:rPr>
          <w:color w:val="000000" w:themeColor="text1"/>
          <w14:textFill>
            <w14:solidFill>
              <w14:schemeClr w14:val="tx1"/>
            </w14:solidFill>
          </w14:textFill>
        </w:rPr>
        <w:t>十、政府采购政策</w:t>
      </w:r>
      <w:bookmarkEnd w:id="11"/>
      <w:bookmarkEnd w:id="12"/>
      <w:bookmarkEnd w:id="13"/>
    </w:p>
    <w:p>
      <w:pPr>
        <w:adjustRightInd w:val="0"/>
        <w:spacing w:line="360" w:lineRule="auto"/>
        <w:jc w:val="left"/>
        <w:rPr>
          <w:rFonts w:ascii="Calibri" w:hAnsi="Calibri" w:eastAsia="宋体" w:cs="Times New Roman"/>
          <w:b/>
          <w:color w:val="000000" w:themeColor="text1"/>
          <w:kern w:val="2"/>
          <w14:textFill>
            <w14:solidFill>
              <w14:schemeClr w14:val="tx1"/>
            </w14:solidFill>
          </w14:textFill>
        </w:rPr>
      </w:pPr>
      <w:r>
        <w:rPr>
          <w:rFonts w:hint="eastAsia" w:ascii="Calibri" w:hAnsi="Calibri" w:eastAsia="宋体" w:cs="Times New Roman"/>
          <w:b/>
          <w:color w:val="000000" w:themeColor="text1"/>
          <w:kern w:val="2"/>
          <w14:textFill>
            <w14:solidFill>
              <w14:schemeClr w14:val="tx1"/>
            </w14:solidFill>
          </w14:textFill>
        </w:rPr>
        <w:t>27政策法规</w:t>
      </w:r>
    </w:p>
    <w:p>
      <w:pPr>
        <w:spacing w:line="480" w:lineRule="auto"/>
        <w:rPr>
          <w:rFonts w:ascii="宋体" w:hAnsi="宋体" w:eastAsia="宋体" w:cs="Times New Roman"/>
          <w:color w:val="000000" w:themeColor="text1"/>
          <w:kern w:val="2"/>
          <w:sz w:val="24"/>
          <w:szCs w:val="24"/>
          <w14:textFill>
            <w14:solidFill>
              <w14:schemeClr w14:val="tx1"/>
            </w14:solidFill>
          </w14:textFill>
        </w:rPr>
      </w:pPr>
      <w:r>
        <w:rPr>
          <w:rFonts w:hint="eastAsia" w:ascii="宋体" w:hAnsi="宋体" w:eastAsia="宋体" w:cs="Times New Roman"/>
          <w:color w:val="000000" w:themeColor="text1"/>
          <w:kern w:val="2"/>
          <w:sz w:val="24"/>
          <w:szCs w:val="24"/>
          <w14:textFill>
            <w14:solidFill>
              <w14:schemeClr w14:val="tx1"/>
            </w14:solidFill>
          </w14:textFill>
        </w:rPr>
        <w:t>27.1按照《财政部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等文件要求，对政府采购节能、环境标志品目清单内的产品，实施优先采购和强制采购。供应商所投产品若属于《环境标志产品政府采购品目清单》内优先采购产品，则其响应文件中提供具有国家确定的认证机构出具的、处于有效期之内的环境标志产品认证证书，否则将视为其放弃优先采购的权利。优先采购是指在出现相同报价的供应商时，优选选择提供了环境标志产品认证证书的供应商。供应商所投产品若属于《节能产品政府采购品目清单》内强制采购产品，则其响应文件中应提供具有国家确定的认证机构出具的、处于有效期之内的节能产品认证证书，否则将承担其投标被视为非实质性响应投标的风险。</w:t>
      </w:r>
    </w:p>
    <w:p>
      <w:pPr>
        <w:spacing w:line="480" w:lineRule="auto"/>
        <w:rPr>
          <w:rFonts w:ascii="宋体" w:hAnsi="宋体" w:eastAsia="宋体" w:cs="Times New Roman"/>
          <w:color w:val="000000" w:themeColor="text1"/>
          <w:kern w:val="2"/>
          <w:sz w:val="24"/>
          <w:szCs w:val="24"/>
          <w14:textFill>
            <w14:solidFill>
              <w14:schemeClr w14:val="tx1"/>
            </w14:solidFill>
          </w14:textFill>
        </w:rPr>
      </w:pPr>
      <w:r>
        <w:rPr>
          <w:rFonts w:hint="eastAsia" w:ascii="宋体" w:hAnsi="宋体" w:eastAsia="宋体" w:cs="Times New Roman"/>
          <w:color w:val="000000" w:themeColor="text1"/>
          <w:kern w:val="2"/>
          <w:sz w:val="24"/>
          <w:szCs w:val="24"/>
          <w14:textFill>
            <w14:solidFill>
              <w14:schemeClr w14:val="tx1"/>
            </w14:solidFill>
          </w14:textFill>
        </w:rPr>
        <w:t>27.2采购需求中如含有无线局域网产品和含有无线局域网功能的计算机、通信设备、打印机、复印机、投影仪等产品的，应当优先采购符合国家无线局域网安全标准并通过国家产品认证的产品，优先采购是指在出现相同报价的供应商时，优选选择提供了符合国家无线局域网安全标准并通过国家产品认证产品的供应商。</w:t>
      </w:r>
    </w:p>
    <w:p>
      <w:pPr>
        <w:spacing w:line="480" w:lineRule="auto"/>
        <w:rPr>
          <w:rFonts w:ascii="宋体" w:hAnsi="宋体" w:eastAsia="宋体" w:cs="Times New Roman"/>
          <w:color w:val="000000" w:themeColor="text1"/>
          <w:kern w:val="2"/>
          <w:sz w:val="24"/>
          <w:szCs w:val="24"/>
          <w14:textFill>
            <w14:solidFill>
              <w14:schemeClr w14:val="tx1"/>
            </w14:solidFill>
          </w14:textFill>
        </w:rPr>
      </w:pPr>
      <w:r>
        <w:rPr>
          <w:rFonts w:hint="eastAsia" w:ascii="宋体" w:hAnsi="宋体" w:eastAsia="宋体" w:cs="Times New Roman"/>
          <w:color w:val="000000" w:themeColor="text1"/>
          <w:kern w:val="2"/>
          <w:sz w:val="24"/>
          <w:szCs w:val="24"/>
          <w14:textFill>
            <w14:solidFill>
              <w14:schemeClr w14:val="tx1"/>
            </w14:solidFill>
          </w14:textFill>
        </w:rPr>
        <w:t>27.3关于计算机办公设备，必须执行国家版权局、信息产业部、财政部等部门规定，供应商所投货物必须是国家信息部、版权局、商务部等部门认可的预装正版操作系统软件的计算机产品。</w:t>
      </w:r>
    </w:p>
    <w:p>
      <w:pPr>
        <w:spacing w:line="480" w:lineRule="auto"/>
        <w:rPr>
          <w:rFonts w:ascii="宋体" w:hAnsi="宋体" w:eastAsia="宋体" w:cs="Times New Roman"/>
          <w:color w:val="000000" w:themeColor="text1"/>
          <w:kern w:val="2"/>
          <w:sz w:val="24"/>
          <w:szCs w:val="24"/>
          <w14:textFill>
            <w14:solidFill>
              <w14:schemeClr w14:val="tx1"/>
            </w14:solidFill>
          </w14:textFill>
        </w:rPr>
      </w:pPr>
      <w:r>
        <w:rPr>
          <w:rFonts w:hint="eastAsia" w:ascii="宋体" w:hAnsi="宋体" w:eastAsia="宋体" w:cs="Times New Roman"/>
          <w:color w:val="000000" w:themeColor="text1"/>
          <w:kern w:val="2"/>
          <w:sz w:val="24"/>
          <w:szCs w:val="24"/>
          <w14:textFill>
            <w14:solidFill>
              <w14:schemeClr w14:val="tx1"/>
            </w14:solidFill>
          </w14:textFill>
        </w:rPr>
        <w:t>27.4采购货物为国家强制性认证产品的，必须符合强制性标准并提供国家及相关部门的认证材料和证书。</w:t>
      </w:r>
    </w:p>
    <w:p>
      <w:pPr>
        <w:spacing w:line="480" w:lineRule="auto"/>
        <w:rPr>
          <w:rFonts w:ascii="宋体" w:hAnsi="宋体" w:eastAsia="宋体" w:cs="Times New Roman"/>
          <w:color w:val="000000" w:themeColor="text1"/>
          <w:kern w:val="2"/>
          <w:sz w:val="24"/>
          <w:szCs w:val="24"/>
          <w14:textFill>
            <w14:solidFill>
              <w14:schemeClr w14:val="tx1"/>
            </w14:solidFill>
          </w14:textFill>
        </w:rPr>
      </w:pPr>
      <w:r>
        <w:rPr>
          <w:rFonts w:hint="eastAsia" w:ascii="宋体" w:hAnsi="宋体" w:eastAsia="宋体" w:cs="Times New Roman"/>
          <w:color w:val="000000" w:themeColor="text1"/>
          <w:kern w:val="2"/>
          <w:sz w:val="24"/>
          <w:szCs w:val="24"/>
          <w14:textFill>
            <w14:solidFill>
              <w14:schemeClr w14:val="tx1"/>
            </w14:solidFill>
          </w14:textFill>
        </w:rPr>
        <w:t>27.5优先采购本国产品。采购进口产品应符合《中华人民共和国政府采购法》并依法办理论证、公示、审批手续。</w:t>
      </w:r>
    </w:p>
    <w:p>
      <w:pPr>
        <w:spacing w:line="480" w:lineRule="auto"/>
        <w:rPr>
          <w:rFonts w:ascii="宋体" w:hAnsi="宋体" w:eastAsia="宋体" w:cs="Times New Roman"/>
          <w:color w:val="000000" w:themeColor="text1"/>
          <w:kern w:val="2"/>
          <w:sz w:val="24"/>
          <w:szCs w:val="24"/>
          <w14:textFill>
            <w14:solidFill>
              <w14:schemeClr w14:val="tx1"/>
            </w14:solidFill>
          </w14:textFill>
        </w:rPr>
      </w:pPr>
      <w:r>
        <w:rPr>
          <w:rFonts w:hint="eastAsia" w:ascii="宋体" w:hAnsi="宋体" w:eastAsia="宋体" w:cs="Times New Roman"/>
          <w:color w:val="000000" w:themeColor="text1"/>
          <w:kern w:val="2"/>
          <w:sz w:val="24"/>
          <w:szCs w:val="24"/>
          <w14:textFill>
            <w14:solidFill>
              <w14:schemeClr w14:val="tx1"/>
            </w14:solidFill>
          </w14:textFill>
        </w:rPr>
        <w:t>27.6鼓励创新，首购和订购的产品具有首创和自主研发性质，属于自主创新产品的，必须执行《自主创新产品政府收购和订购管理办法》。</w:t>
      </w:r>
    </w:p>
    <w:p>
      <w:pPr>
        <w:spacing w:line="500" w:lineRule="exact"/>
        <w:rPr>
          <w:rFonts w:ascii="宋体" w:hAnsi="宋体" w:eastAsia="宋体" w:cs="Times New Roman"/>
          <w:color w:val="000000" w:themeColor="text1"/>
          <w:kern w:val="2"/>
          <w:sz w:val="24"/>
          <w:szCs w:val="24"/>
          <w14:textFill>
            <w14:solidFill>
              <w14:schemeClr w14:val="tx1"/>
            </w14:solidFill>
          </w14:textFill>
        </w:rPr>
      </w:pPr>
      <w:r>
        <w:rPr>
          <w:rFonts w:hint="eastAsia" w:ascii="宋体" w:hAnsi="宋体" w:eastAsia="宋体" w:cs="Times New Roman"/>
          <w:color w:val="000000" w:themeColor="text1"/>
          <w:kern w:val="2"/>
          <w:sz w:val="24"/>
          <w:szCs w:val="24"/>
          <w14:textFill>
            <w14:solidFill>
              <w14:schemeClr w14:val="tx1"/>
            </w14:solidFill>
          </w14:textFill>
        </w:rPr>
        <w:t>27.7按照《政府采购促进中小企业发展管理办法》（财库﹝2020﹞46 号）、《关于印发中小企业划型标准规定的通知》工信部联企业〔2011〕300 号及《关于进一步加大政府采购支持中小企业力度的通知》（财库〔2022〕19号）、财政部、司法部关于政府采购支持监狱企业发展有关问题的通知（财库[2014]68 号）的要求，财政部民政部中国残疾人联合会《关于促进残疾人就业政府采购政策的通知》（财库）[2017]141 号规定，《政府采购需求管理办法》财库{2021}22号，对小型、微型企业及监狱企业产品的价格给予</w:t>
      </w:r>
      <w:r>
        <w:rPr>
          <w:rFonts w:ascii="宋体" w:hAnsi="宋体" w:eastAsia="宋体" w:cs="Times New Roman"/>
          <w:color w:val="000000" w:themeColor="text1"/>
          <w:kern w:val="2"/>
          <w:sz w:val="24"/>
          <w:szCs w:val="24"/>
          <w14:textFill>
            <w14:solidFill>
              <w14:schemeClr w14:val="tx1"/>
            </w14:solidFill>
          </w14:textFill>
        </w:rPr>
        <w:t>20%</w:t>
      </w:r>
      <w:r>
        <w:rPr>
          <w:rFonts w:hint="eastAsia" w:ascii="宋体" w:hAnsi="宋体" w:eastAsia="宋体" w:cs="Times New Roman"/>
          <w:color w:val="000000" w:themeColor="text1"/>
          <w:kern w:val="2"/>
          <w:sz w:val="24"/>
          <w:szCs w:val="24"/>
          <w14:textFill>
            <w14:solidFill>
              <w14:schemeClr w14:val="tx1"/>
            </w14:solidFill>
          </w14:textFill>
        </w:rPr>
        <w:t>的扣除，用扣除后的价格参与评审，扣除比例为：小型企业扣除 20%，微型企业扣除 20%，监狱企业20%，残疾人福利性单位20%。中小企业需提供《中小企业声明函》等有效证明材料，否则不予认可。残疾人福利性单位在参加采购活动时，应当提供本通知规定的《残疾人福利性单位声明函》，并对声明的真实性负责。根据上述要求计算得出的价格仅限于评标时使用，对成交价格没有任何影响。供应商若不符合上述规定的或不能提供有效的证明资料，评标委员会将按照评标方法及标准中规定的方式计算。同一供应商，中小微企业产品、监狱企业产品、残疾人福利性单位价格扣除优惠只享受一次，不得重复享受。</w:t>
      </w:r>
    </w:p>
    <w:p>
      <w:pPr>
        <w:spacing w:line="480" w:lineRule="auto"/>
        <w:rPr>
          <w:rFonts w:ascii="宋体" w:hAnsi="宋体" w:eastAsia="宋体" w:cs="Times New Roman"/>
          <w:color w:val="000000" w:themeColor="text1"/>
          <w:kern w:val="2"/>
          <w:sz w:val="24"/>
          <w:szCs w:val="24"/>
          <w14:textFill>
            <w14:solidFill>
              <w14:schemeClr w14:val="tx1"/>
            </w14:solidFill>
          </w14:textFill>
        </w:rPr>
      </w:pPr>
      <w:r>
        <w:rPr>
          <w:rFonts w:hint="eastAsia" w:ascii="宋体" w:hAnsi="宋体" w:eastAsia="宋体" w:cs="Times New Roman"/>
          <w:color w:val="000000" w:themeColor="text1"/>
          <w:kern w:val="2"/>
          <w:sz w:val="24"/>
          <w:szCs w:val="24"/>
          <w14:textFill>
            <w14:solidFill>
              <w14:schemeClr w14:val="tx1"/>
            </w14:solidFill>
          </w14:textFill>
        </w:rPr>
        <w:t>27.8开源节流，执行低价优先的采购政策规定。</w:t>
      </w:r>
    </w:p>
    <w:p>
      <w:pPr>
        <w:pStyle w:val="2"/>
        <w:jc w:val="center"/>
        <w:rPr>
          <w:color w:val="000000" w:themeColor="text1"/>
          <w14:textFill>
            <w14:solidFill>
              <w14:schemeClr w14:val="tx1"/>
            </w14:solidFill>
          </w14:textFill>
        </w:rPr>
      </w:pPr>
      <w:bookmarkStart w:id="14" w:name="_Toc164239554"/>
      <w:r>
        <w:rPr>
          <w:color w:val="000000" w:themeColor="text1"/>
          <w14:textFill>
            <w14:solidFill>
              <w14:schemeClr w14:val="tx1"/>
            </w14:solidFill>
          </w14:textFill>
        </w:rPr>
        <w:t>第三章 采购项目内容及要求</w:t>
      </w:r>
      <w:bookmarkEnd w:id="14"/>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采购电梯2部及安装、钢结构井道、钢结构混凝土基础</w: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详细技术参数如下：</w:t>
      </w:r>
    </w:p>
    <w:tbl>
      <w:tblPr>
        <w:tblStyle w:val="14"/>
        <w:tblW w:w="8420" w:type="dxa"/>
        <w:tblInd w:w="-232" w:type="dxa"/>
        <w:tblLayout w:type="fixed"/>
        <w:tblCellMar>
          <w:top w:w="0" w:type="dxa"/>
          <w:left w:w="108" w:type="dxa"/>
          <w:bottom w:w="0" w:type="dxa"/>
          <w:right w:w="108" w:type="dxa"/>
        </w:tblCellMar>
      </w:tblPr>
      <w:tblGrid>
        <w:gridCol w:w="1021"/>
        <w:gridCol w:w="1025"/>
        <w:gridCol w:w="435"/>
        <w:gridCol w:w="386"/>
        <w:gridCol w:w="590"/>
        <w:gridCol w:w="148"/>
        <w:gridCol w:w="1693"/>
        <w:gridCol w:w="3122"/>
      </w:tblGrid>
      <w:tr>
        <w:tblPrEx>
          <w:tblCellMar>
            <w:top w:w="0" w:type="dxa"/>
            <w:left w:w="108" w:type="dxa"/>
            <w:bottom w:w="0" w:type="dxa"/>
            <w:right w:w="108" w:type="dxa"/>
          </w:tblCellMar>
        </w:tblPrEx>
        <w:trPr>
          <w:trHeight w:val="561"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序号</w:t>
            </w:r>
          </w:p>
        </w:tc>
        <w:tc>
          <w:tcPr>
            <w:tcW w:w="427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要求参数</w:t>
            </w:r>
          </w:p>
        </w:tc>
        <w:tc>
          <w:tcPr>
            <w:tcW w:w="31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规格</w:t>
            </w:r>
          </w:p>
        </w:tc>
      </w:tr>
      <w:tr>
        <w:tblPrEx>
          <w:tblCellMar>
            <w:top w:w="0" w:type="dxa"/>
            <w:left w:w="108" w:type="dxa"/>
            <w:bottom w:w="0" w:type="dxa"/>
            <w:right w:w="108" w:type="dxa"/>
          </w:tblCellMar>
        </w:tblPrEx>
        <w:trPr>
          <w:trHeight w:val="523"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427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梯形 </w:t>
            </w:r>
            <w:r>
              <w:rPr>
                <w:rFonts w:hint="eastAsia" w:ascii="宋体" w:hAnsi="宋体" w:eastAsia="宋体" w:cs="宋体"/>
                <w:b/>
                <w:bCs/>
                <w:color w:val="000000" w:themeColor="text1"/>
                <w:szCs w:val="21"/>
                <w14:textFill>
                  <w14:solidFill>
                    <w14:schemeClr w14:val="tx1"/>
                  </w14:solidFill>
                </w14:textFill>
              </w:rPr>
              <w:t>*</w:t>
            </w:r>
          </w:p>
        </w:tc>
        <w:tc>
          <w:tcPr>
            <w:tcW w:w="31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无机房乘客电梯</w:t>
            </w:r>
          </w:p>
        </w:tc>
      </w:tr>
      <w:tr>
        <w:tblPrEx>
          <w:tblCellMar>
            <w:top w:w="0" w:type="dxa"/>
            <w:left w:w="108" w:type="dxa"/>
            <w:bottom w:w="0" w:type="dxa"/>
            <w:right w:w="108" w:type="dxa"/>
          </w:tblCellMar>
        </w:tblPrEx>
        <w:trPr>
          <w:trHeight w:val="523" w:hRule="atLeast"/>
        </w:trPr>
        <w:tc>
          <w:tcPr>
            <w:tcW w:w="102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4277"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控制方式 </w:t>
            </w:r>
            <w:r>
              <w:rPr>
                <w:rFonts w:hint="eastAsia" w:ascii="宋体" w:hAnsi="宋体" w:eastAsia="宋体" w:cs="宋体"/>
                <w:b/>
                <w:bCs/>
                <w:color w:val="000000" w:themeColor="text1"/>
                <w:szCs w:val="21"/>
                <w14:textFill>
                  <w14:solidFill>
                    <w14:schemeClr w14:val="tx1"/>
                  </w14:solidFill>
                </w14:textFill>
              </w:rPr>
              <w:t>*</w:t>
            </w:r>
          </w:p>
        </w:tc>
        <w:tc>
          <w:tcPr>
            <w:tcW w:w="312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单梯</w:t>
            </w:r>
          </w:p>
        </w:tc>
      </w:tr>
      <w:tr>
        <w:tblPrEx>
          <w:tblCellMar>
            <w:top w:w="0" w:type="dxa"/>
            <w:left w:w="108" w:type="dxa"/>
            <w:bottom w:w="0" w:type="dxa"/>
            <w:right w:w="108" w:type="dxa"/>
          </w:tblCellMar>
        </w:tblPrEx>
        <w:trPr>
          <w:trHeight w:val="523" w:hRule="atLeast"/>
        </w:trPr>
        <w:tc>
          <w:tcPr>
            <w:tcW w:w="1021"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4277"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梯号代码(选择并联或群控功能时) </w:t>
            </w:r>
            <w:r>
              <w:rPr>
                <w:rFonts w:hint="eastAsia" w:ascii="宋体" w:hAnsi="宋体" w:eastAsia="宋体" w:cs="宋体"/>
                <w:b/>
                <w:bCs/>
                <w:color w:val="000000" w:themeColor="text1"/>
                <w:szCs w:val="21"/>
                <w14:textFill>
                  <w14:solidFill>
                    <w14:schemeClr w14:val="tx1"/>
                  </w14:solidFill>
                </w14:textFill>
              </w:rPr>
              <w:t>*</w:t>
            </w:r>
          </w:p>
        </w:tc>
        <w:tc>
          <w:tcPr>
            <w:tcW w:w="312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r>
      <w:tr>
        <w:tblPrEx>
          <w:tblCellMar>
            <w:top w:w="0" w:type="dxa"/>
            <w:left w:w="108" w:type="dxa"/>
            <w:bottom w:w="0" w:type="dxa"/>
            <w:right w:w="108" w:type="dxa"/>
          </w:tblCellMar>
        </w:tblPrEx>
        <w:trPr>
          <w:trHeight w:val="523" w:hRule="atLeast"/>
        </w:trPr>
        <w:tc>
          <w:tcPr>
            <w:tcW w:w="1021"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4277"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载重(kg) </w:t>
            </w:r>
            <w:r>
              <w:rPr>
                <w:rFonts w:hint="eastAsia" w:ascii="宋体" w:hAnsi="宋体" w:eastAsia="宋体" w:cs="宋体"/>
                <w:b/>
                <w:bCs/>
                <w:color w:val="000000" w:themeColor="text1"/>
                <w:szCs w:val="21"/>
                <w14:textFill>
                  <w14:solidFill>
                    <w14:schemeClr w14:val="tx1"/>
                  </w14:solidFill>
                </w14:textFill>
              </w:rPr>
              <w:t>*</w:t>
            </w:r>
          </w:p>
        </w:tc>
        <w:tc>
          <w:tcPr>
            <w:tcW w:w="312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1000</w:t>
            </w:r>
          </w:p>
        </w:tc>
      </w:tr>
      <w:tr>
        <w:tblPrEx>
          <w:tblCellMar>
            <w:top w:w="0" w:type="dxa"/>
            <w:left w:w="108" w:type="dxa"/>
            <w:bottom w:w="0" w:type="dxa"/>
            <w:right w:w="108" w:type="dxa"/>
          </w:tblCellMar>
        </w:tblPrEx>
        <w:trPr>
          <w:trHeight w:val="523" w:hRule="atLeast"/>
        </w:trPr>
        <w:tc>
          <w:tcPr>
            <w:tcW w:w="1021"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4277"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速度(m/s) </w:t>
            </w:r>
            <w:r>
              <w:rPr>
                <w:rFonts w:hint="eastAsia" w:ascii="宋体" w:hAnsi="宋体" w:eastAsia="宋体" w:cs="宋体"/>
                <w:b/>
                <w:bCs/>
                <w:color w:val="000000" w:themeColor="text1"/>
                <w:szCs w:val="21"/>
                <w14:textFill>
                  <w14:solidFill>
                    <w14:schemeClr w14:val="tx1"/>
                  </w14:solidFill>
                </w14:textFill>
              </w:rPr>
              <w:t>*</w:t>
            </w:r>
          </w:p>
        </w:tc>
        <w:tc>
          <w:tcPr>
            <w:tcW w:w="312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w:t>
            </w:r>
          </w:p>
        </w:tc>
      </w:tr>
      <w:tr>
        <w:tblPrEx>
          <w:tblCellMar>
            <w:top w:w="0" w:type="dxa"/>
            <w:left w:w="108" w:type="dxa"/>
            <w:bottom w:w="0" w:type="dxa"/>
            <w:right w:w="108" w:type="dxa"/>
          </w:tblCellMar>
        </w:tblPrEx>
        <w:trPr>
          <w:trHeight w:val="523" w:hRule="atLeast"/>
        </w:trPr>
        <w:tc>
          <w:tcPr>
            <w:tcW w:w="1021"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4277"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控制系统 *</w:t>
            </w:r>
          </w:p>
        </w:tc>
        <w:tc>
          <w:tcPr>
            <w:tcW w:w="312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微机控制（变频）</w:t>
            </w:r>
          </w:p>
        </w:tc>
      </w:tr>
      <w:tr>
        <w:tblPrEx>
          <w:tblCellMar>
            <w:top w:w="0" w:type="dxa"/>
            <w:left w:w="108" w:type="dxa"/>
            <w:bottom w:w="0" w:type="dxa"/>
            <w:right w:w="108" w:type="dxa"/>
          </w:tblCellMar>
        </w:tblPrEx>
        <w:trPr>
          <w:trHeight w:val="523" w:hRule="atLeast"/>
        </w:trPr>
        <w:tc>
          <w:tcPr>
            <w:tcW w:w="1021" w:type="dxa"/>
            <w:tcBorders>
              <w:top w:val="nil"/>
              <w:left w:val="single" w:color="auto" w:sz="8" w:space="0"/>
              <w:bottom w:val="nil"/>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4277"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是否贯通*</w:t>
            </w:r>
          </w:p>
        </w:tc>
        <w:tc>
          <w:tcPr>
            <w:tcW w:w="312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否</w:t>
            </w:r>
          </w:p>
        </w:tc>
      </w:tr>
      <w:tr>
        <w:tblPrEx>
          <w:tblCellMar>
            <w:top w:w="0" w:type="dxa"/>
            <w:left w:w="108" w:type="dxa"/>
            <w:bottom w:w="0" w:type="dxa"/>
            <w:right w:w="108" w:type="dxa"/>
          </w:tblCellMar>
        </w:tblPrEx>
        <w:trPr>
          <w:trHeight w:val="523" w:hRule="atLeast"/>
        </w:trPr>
        <w:tc>
          <w:tcPr>
            <w:tcW w:w="1021" w:type="dxa"/>
            <w:vMerge w:val="restart"/>
            <w:tcBorders>
              <w:top w:val="single" w:color="auto" w:sz="4" w:space="0"/>
              <w:left w:val="single" w:color="auto" w:sz="8"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2436" w:type="dxa"/>
            <w:gridSpan w:val="4"/>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层、站、门 </w:t>
            </w:r>
            <w:r>
              <w:rPr>
                <w:rFonts w:hint="eastAsia" w:ascii="宋体" w:hAnsi="宋体" w:eastAsia="宋体" w:cs="宋体"/>
                <w:b/>
                <w:bCs/>
                <w:color w:val="000000" w:themeColor="text1"/>
                <w:szCs w:val="21"/>
                <w14:textFill>
                  <w14:solidFill>
                    <w14:schemeClr w14:val="tx1"/>
                  </w14:solidFill>
                </w14:textFill>
              </w:rPr>
              <w:t>*</w:t>
            </w:r>
          </w:p>
        </w:tc>
        <w:tc>
          <w:tcPr>
            <w:tcW w:w="18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楼层数</w:t>
            </w:r>
          </w:p>
        </w:tc>
        <w:tc>
          <w:tcPr>
            <w:tcW w:w="312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r>
      <w:tr>
        <w:tblPrEx>
          <w:tblCellMar>
            <w:top w:w="0" w:type="dxa"/>
            <w:left w:w="108" w:type="dxa"/>
            <w:bottom w:w="0" w:type="dxa"/>
            <w:right w:w="108" w:type="dxa"/>
          </w:tblCellMar>
        </w:tblPrEx>
        <w:trPr>
          <w:trHeight w:val="523" w:hRule="atLeast"/>
        </w:trPr>
        <w:tc>
          <w:tcPr>
            <w:tcW w:w="1021" w:type="dxa"/>
            <w:vMerge w:val="continue"/>
            <w:tcBorders>
              <w:top w:val="single" w:color="auto" w:sz="4" w:space="0"/>
              <w:left w:val="single" w:color="auto" w:sz="8" w:space="0"/>
              <w:bottom w:val="single" w:color="000000" w:sz="4" w:space="0"/>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2436"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18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停站数</w:t>
            </w:r>
          </w:p>
        </w:tc>
        <w:tc>
          <w:tcPr>
            <w:tcW w:w="312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r>
      <w:tr>
        <w:tblPrEx>
          <w:tblCellMar>
            <w:top w:w="0" w:type="dxa"/>
            <w:left w:w="108" w:type="dxa"/>
            <w:bottom w:w="0" w:type="dxa"/>
            <w:right w:w="108" w:type="dxa"/>
          </w:tblCellMar>
        </w:tblPrEx>
        <w:trPr>
          <w:trHeight w:val="523" w:hRule="atLeast"/>
        </w:trPr>
        <w:tc>
          <w:tcPr>
            <w:tcW w:w="1021" w:type="dxa"/>
            <w:vMerge w:val="continue"/>
            <w:tcBorders>
              <w:top w:val="single" w:color="auto" w:sz="4" w:space="0"/>
              <w:left w:val="single" w:color="auto" w:sz="8" w:space="0"/>
              <w:bottom w:val="single" w:color="000000" w:sz="4" w:space="0"/>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2436" w:type="dxa"/>
            <w:gridSpan w:val="4"/>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184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开门数</w:t>
            </w:r>
          </w:p>
        </w:tc>
        <w:tc>
          <w:tcPr>
            <w:tcW w:w="312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r>
      <w:tr>
        <w:tblPrEx>
          <w:tblCellMar>
            <w:top w:w="0" w:type="dxa"/>
            <w:left w:w="108" w:type="dxa"/>
            <w:bottom w:w="0" w:type="dxa"/>
            <w:right w:w="108" w:type="dxa"/>
          </w:tblCellMar>
        </w:tblPrEx>
        <w:trPr>
          <w:trHeight w:val="523" w:hRule="atLeast"/>
        </w:trPr>
        <w:tc>
          <w:tcPr>
            <w:tcW w:w="1021"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4277"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楼层标记 </w:t>
            </w:r>
            <w:r>
              <w:rPr>
                <w:rFonts w:hint="eastAsia" w:ascii="宋体" w:hAnsi="宋体" w:eastAsia="宋体" w:cs="宋体"/>
                <w:b/>
                <w:bCs/>
                <w:color w:val="000000" w:themeColor="text1"/>
                <w:szCs w:val="21"/>
                <w14:textFill>
                  <w14:solidFill>
                    <w14:schemeClr w14:val="tx1"/>
                  </w14:solidFill>
                </w14:textFill>
              </w:rPr>
              <w:t>*</w:t>
            </w:r>
          </w:p>
        </w:tc>
        <w:tc>
          <w:tcPr>
            <w:tcW w:w="3122"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w:t>
            </w:r>
          </w:p>
        </w:tc>
      </w:tr>
      <w:tr>
        <w:tblPrEx>
          <w:tblCellMar>
            <w:top w:w="0" w:type="dxa"/>
            <w:left w:w="108" w:type="dxa"/>
            <w:bottom w:w="0" w:type="dxa"/>
            <w:right w:w="108" w:type="dxa"/>
          </w:tblCellMar>
        </w:tblPrEx>
        <w:trPr>
          <w:trHeight w:val="523" w:hRule="atLeast"/>
        </w:trPr>
        <w:tc>
          <w:tcPr>
            <w:tcW w:w="1021"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4277" w:type="dxa"/>
            <w:gridSpan w:val="6"/>
            <w:tcBorders>
              <w:top w:val="single" w:color="auto" w:sz="4" w:space="0"/>
              <w:left w:val="nil"/>
              <w:bottom w:val="single" w:color="auto" w:sz="8"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基站 </w:t>
            </w:r>
            <w:r>
              <w:rPr>
                <w:rFonts w:hint="eastAsia" w:ascii="宋体" w:hAnsi="宋体" w:eastAsia="宋体" w:cs="宋体"/>
                <w:b/>
                <w:bCs/>
                <w:color w:val="000000" w:themeColor="text1"/>
                <w:szCs w:val="21"/>
                <w14:textFill>
                  <w14:solidFill>
                    <w14:schemeClr w14:val="tx1"/>
                  </w14:solidFill>
                </w14:textFill>
              </w:rPr>
              <w:t>*</w:t>
            </w:r>
          </w:p>
        </w:tc>
        <w:tc>
          <w:tcPr>
            <w:tcW w:w="3122" w:type="dxa"/>
            <w:tcBorders>
              <w:top w:val="single" w:color="auto" w:sz="4" w:space="0"/>
              <w:left w:val="nil"/>
              <w:bottom w:val="single" w:color="auto" w:sz="8"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tblPrEx>
          <w:tblCellMar>
            <w:top w:w="0" w:type="dxa"/>
            <w:left w:w="108" w:type="dxa"/>
            <w:bottom w:w="0" w:type="dxa"/>
            <w:right w:w="108" w:type="dxa"/>
          </w:tblCellMar>
        </w:tblPrEx>
        <w:trPr>
          <w:trHeight w:val="560" w:hRule="atLeast"/>
        </w:trPr>
        <w:tc>
          <w:tcPr>
            <w:tcW w:w="102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4277" w:type="dxa"/>
            <w:gridSpan w:val="6"/>
            <w:tcBorders>
              <w:top w:val="single" w:color="auto" w:sz="8"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轿厢宽深 CW*CD(mm) </w:t>
            </w:r>
            <w:r>
              <w:rPr>
                <w:rFonts w:hint="eastAsia" w:ascii="宋体" w:hAnsi="宋体" w:eastAsia="宋体" w:cs="宋体"/>
                <w:b/>
                <w:bCs/>
                <w:color w:val="000000" w:themeColor="text1"/>
                <w:szCs w:val="21"/>
                <w14:textFill>
                  <w14:solidFill>
                    <w14:schemeClr w14:val="tx1"/>
                  </w14:solidFill>
                </w14:textFill>
              </w:rPr>
              <w:t>*</w:t>
            </w:r>
          </w:p>
        </w:tc>
        <w:tc>
          <w:tcPr>
            <w:tcW w:w="3122" w:type="dxa"/>
            <w:tcBorders>
              <w:top w:val="single" w:color="auto" w:sz="8"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1600*1500</w:t>
            </w:r>
          </w:p>
        </w:tc>
      </w:tr>
      <w:tr>
        <w:tblPrEx>
          <w:tblCellMar>
            <w:top w:w="0" w:type="dxa"/>
            <w:left w:w="108" w:type="dxa"/>
            <w:bottom w:w="0" w:type="dxa"/>
            <w:right w:w="108" w:type="dxa"/>
          </w:tblCellMar>
        </w:tblPrEx>
        <w:trPr>
          <w:trHeight w:val="523" w:hRule="atLeast"/>
        </w:trPr>
        <w:tc>
          <w:tcPr>
            <w:tcW w:w="1021"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p>
        </w:tc>
        <w:tc>
          <w:tcPr>
            <w:tcW w:w="4277"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轿厢高度(含装饰顶，非净高） CH(mm) </w:t>
            </w:r>
            <w:r>
              <w:rPr>
                <w:rFonts w:hint="eastAsia" w:ascii="宋体" w:hAnsi="宋体" w:eastAsia="宋体" w:cs="宋体"/>
                <w:b/>
                <w:bCs/>
                <w:color w:val="000000" w:themeColor="text1"/>
                <w:szCs w:val="21"/>
                <w14:textFill>
                  <w14:solidFill>
                    <w14:schemeClr w14:val="tx1"/>
                  </w14:solidFill>
                </w14:textFill>
              </w:rPr>
              <w:t>*</w:t>
            </w:r>
          </w:p>
        </w:tc>
        <w:tc>
          <w:tcPr>
            <w:tcW w:w="3122" w:type="dxa"/>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2500</w:t>
            </w:r>
          </w:p>
        </w:tc>
      </w:tr>
      <w:tr>
        <w:tblPrEx>
          <w:tblCellMar>
            <w:top w:w="0" w:type="dxa"/>
            <w:left w:w="108" w:type="dxa"/>
            <w:bottom w:w="0" w:type="dxa"/>
            <w:right w:w="108" w:type="dxa"/>
          </w:tblCellMar>
        </w:tblPrEx>
        <w:trPr>
          <w:trHeight w:val="560" w:hRule="atLeast"/>
        </w:trPr>
        <w:tc>
          <w:tcPr>
            <w:tcW w:w="102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w:t>
            </w:r>
          </w:p>
        </w:tc>
        <w:tc>
          <w:tcPr>
            <w:tcW w:w="4277"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开门方式  </w:t>
            </w:r>
            <w:r>
              <w:rPr>
                <w:rFonts w:hint="eastAsia" w:ascii="宋体" w:hAnsi="宋体" w:eastAsia="宋体" w:cs="宋体"/>
                <w:b/>
                <w:bCs/>
                <w:color w:val="000000" w:themeColor="text1"/>
                <w:szCs w:val="21"/>
                <w14:textFill>
                  <w14:solidFill>
                    <w14:schemeClr w14:val="tx1"/>
                  </w14:solidFill>
                </w14:textFill>
              </w:rPr>
              <w:t>*</w:t>
            </w:r>
          </w:p>
        </w:tc>
        <w:tc>
          <w:tcPr>
            <w:tcW w:w="3122" w:type="dxa"/>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中分自动</w:t>
            </w:r>
          </w:p>
        </w:tc>
      </w:tr>
      <w:tr>
        <w:tblPrEx>
          <w:tblCellMar>
            <w:top w:w="0" w:type="dxa"/>
            <w:left w:w="108" w:type="dxa"/>
            <w:bottom w:w="0" w:type="dxa"/>
            <w:right w:w="108" w:type="dxa"/>
          </w:tblCellMar>
        </w:tblPrEx>
        <w:trPr>
          <w:trHeight w:val="523" w:hRule="atLeast"/>
        </w:trPr>
        <w:tc>
          <w:tcPr>
            <w:tcW w:w="1021"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w:t>
            </w:r>
          </w:p>
        </w:tc>
        <w:tc>
          <w:tcPr>
            <w:tcW w:w="4277"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开门宽度(mm)  </w:t>
            </w:r>
            <w:r>
              <w:rPr>
                <w:rFonts w:hint="eastAsia" w:ascii="宋体" w:hAnsi="宋体" w:eastAsia="宋体" w:cs="宋体"/>
                <w:b/>
                <w:bCs/>
                <w:color w:val="000000" w:themeColor="text1"/>
                <w:szCs w:val="21"/>
                <w14:textFill>
                  <w14:solidFill>
                    <w14:schemeClr w14:val="tx1"/>
                  </w14:solidFill>
                </w14:textFill>
              </w:rPr>
              <w:t>*</w:t>
            </w:r>
          </w:p>
        </w:tc>
        <w:tc>
          <w:tcPr>
            <w:tcW w:w="3122" w:type="dxa"/>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900</w:t>
            </w:r>
          </w:p>
        </w:tc>
      </w:tr>
      <w:tr>
        <w:tblPrEx>
          <w:tblCellMar>
            <w:top w:w="0" w:type="dxa"/>
            <w:left w:w="108" w:type="dxa"/>
            <w:bottom w:w="0" w:type="dxa"/>
            <w:right w:w="108" w:type="dxa"/>
          </w:tblCellMar>
        </w:tblPrEx>
        <w:trPr>
          <w:trHeight w:val="560" w:hRule="atLeast"/>
        </w:trPr>
        <w:tc>
          <w:tcPr>
            <w:tcW w:w="102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w:t>
            </w:r>
          </w:p>
        </w:tc>
        <w:tc>
          <w:tcPr>
            <w:tcW w:w="4277"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开门高度(mm)  </w:t>
            </w:r>
            <w:r>
              <w:rPr>
                <w:rFonts w:hint="eastAsia" w:ascii="宋体" w:hAnsi="宋体" w:eastAsia="宋体" w:cs="宋体"/>
                <w:b/>
                <w:bCs/>
                <w:color w:val="000000" w:themeColor="text1"/>
                <w:szCs w:val="21"/>
                <w14:textFill>
                  <w14:solidFill>
                    <w14:schemeClr w14:val="tx1"/>
                  </w14:solidFill>
                </w14:textFill>
              </w:rPr>
              <w:t>*</w:t>
            </w:r>
          </w:p>
        </w:tc>
        <w:tc>
          <w:tcPr>
            <w:tcW w:w="3122" w:type="dxa"/>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2100</w:t>
            </w:r>
          </w:p>
        </w:tc>
      </w:tr>
      <w:tr>
        <w:tblPrEx>
          <w:tblCellMar>
            <w:top w:w="0" w:type="dxa"/>
            <w:left w:w="108" w:type="dxa"/>
            <w:bottom w:w="0" w:type="dxa"/>
            <w:right w:w="108" w:type="dxa"/>
          </w:tblCellMar>
        </w:tblPrEx>
        <w:trPr>
          <w:trHeight w:val="523" w:hRule="atLeast"/>
        </w:trPr>
        <w:tc>
          <w:tcPr>
            <w:tcW w:w="1021" w:type="dxa"/>
            <w:tcBorders>
              <w:top w:val="nil"/>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w:t>
            </w:r>
          </w:p>
        </w:tc>
        <w:tc>
          <w:tcPr>
            <w:tcW w:w="4277" w:type="dxa"/>
            <w:gridSpan w:val="6"/>
            <w:tcBorders>
              <w:top w:val="single" w:color="auto" w:sz="4" w:space="0"/>
              <w:left w:val="nil"/>
              <w:bottom w:val="nil"/>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门保护方式 △</w:t>
            </w:r>
          </w:p>
        </w:tc>
        <w:tc>
          <w:tcPr>
            <w:tcW w:w="3122" w:type="dxa"/>
            <w:tcBorders>
              <w:top w:val="single" w:color="auto" w:sz="4" w:space="0"/>
              <w:left w:val="nil"/>
              <w:bottom w:val="nil"/>
              <w:right w:val="single" w:color="000000"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154束</w:t>
            </w:r>
          </w:p>
        </w:tc>
      </w:tr>
      <w:tr>
        <w:tblPrEx>
          <w:tblCellMar>
            <w:top w:w="0" w:type="dxa"/>
            <w:left w:w="108" w:type="dxa"/>
            <w:bottom w:w="0" w:type="dxa"/>
            <w:right w:w="108" w:type="dxa"/>
          </w:tblCellMar>
        </w:tblPrEx>
        <w:trPr>
          <w:trHeight w:val="560" w:hRule="atLeast"/>
        </w:trPr>
        <w:tc>
          <w:tcPr>
            <w:tcW w:w="1021"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w:t>
            </w:r>
          </w:p>
        </w:tc>
        <w:tc>
          <w:tcPr>
            <w:tcW w:w="2436" w:type="dxa"/>
            <w:gridSpan w:val="4"/>
            <w:vMerge w:val="restart"/>
            <w:tcBorders>
              <w:top w:val="single" w:color="auto" w:sz="8"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井道尺寸(mm) </w:t>
            </w:r>
            <w:r>
              <w:rPr>
                <w:rFonts w:hint="eastAsia" w:ascii="宋体" w:hAnsi="宋体" w:eastAsia="宋体" w:cs="宋体"/>
                <w:b/>
                <w:bCs/>
                <w:color w:val="000000" w:themeColor="text1"/>
                <w:szCs w:val="21"/>
                <w14:textFill>
                  <w14:solidFill>
                    <w14:schemeClr w14:val="tx1"/>
                  </w14:solidFill>
                </w14:textFill>
              </w:rPr>
              <w:t>*</w:t>
            </w:r>
          </w:p>
        </w:tc>
        <w:tc>
          <w:tcPr>
            <w:tcW w:w="1841" w:type="dxa"/>
            <w:gridSpan w:val="2"/>
            <w:tcBorders>
              <w:top w:val="single" w:color="auto" w:sz="8"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井道宽</w:t>
            </w:r>
          </w:p>
        </w:tc>
        <w:tc>
          <w:tcPr>
            <w:tcW w:w="3122" w:type="dxa"/>
            <w:tcBorders>
              <w:top w:val="single" w:color="auto" w:sz="8"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2250</w:t>
            </w:r>
          </w:p>
        </w:tc>
      </w:tr>
      <w:tr>
        <w:tblPrEx>
          <w:tblCellMar>
            <w:top w:w="0" w:type="dxa"/>
            <w:left w:w="108" w:type="dxa"/>
            <w:bottom w:w="0" w:type="dxa"/>
            <w:right w:w="108" w:type="dxa"/>
          </w:tblCellMar>
        </w:tblPrEx>
        <w:trPr>
          <w:trHeight w:val="560" w:hRule="atLeast"/>
        </w:trPr>
        <w:tc>
          <w:tcPr>
            <w:tcW w:w="1021"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2436" w:type="dxa"/>
            <w:gridSpan w:val="4"/>
            <w:vMerge w:val="continue"/>
            <w:tcBorders>
              <w:top w:val="single" w:color="auto" w:sz="8" w:space="0"/>
              <w:left w:val="single" w:color="auto" w:sz="4" w:space="0"/>
              <w:bottom w:val="single" w:color="auto" w:sz="4" w:space="0"/>
              <w:right w:val="single" w:color="000000"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18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井道深 </w:t>
            </w:r>
          </w:p>
        </w:tc>
        <w:tc>
          <w:tcPr>
            <w:tcW w:w="3122" w:type="dxa"/>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1900</w:t>
            </w:r>
          </w:p>
        </w:tc>
      </w:tr>
      <w:tr>
        <w:tblPrEx>
          <w:tblCellMar>
            <w:top w:w="0" w:type="dxa"/>
            <w:left w:w="108" w:type="dxa"/>
            <w:bottom w:w="0" w:type="dxa"/>
            <w:right w:w="108" w:type="dxa"/>
          </w:tblCellMar>
        </w:tblPrEx>
        <w:trPr>
          <w:trHeight w:val="523"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w:t>
            </w:r>
          </w:p>
        </w:tc>
        <w:tc>
          <w:tcPr>
            <w:tcW w:w="24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提升高度 R </w:t>
            </w:r>
            <w:r>
              <w:rPr>
                <w:rFonts w:hint="eastAsia" w:ascii="宋体" w:hAnsi="宋体" w:eastAsia="宋体" w:cs="宋体"/>
                <w:b/>
                <w:bCs/>
                <w:color w:val="000000" w:themeColor="text1"/>
                <w:szCs w:val="21"/>
                <w14:textFill>
                  <w14:solidFill>
                    <w14:schemeClr w14:val="tx1"/>
                  </w14:solidFill>
                </w14:textFill>
              </w:rPr>
              <w:t>*</w:t>
            </w:r>
          </w:p>
        </w:tc>
        <w:tc>
          <w:tcPr>
            <w:tcW w:w="18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数值(m)</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w:t>
            </w:r>
          </w:p>
        </w:tc>
      </w:tr>
      <w:tr>
        <w:tblPrEx>
          <w:tblCellMar>
            <w:top w:w="0" w:type="dxa"/>
            <w:left w:w="108" w:type="dxa"/>
            <w:bottom w:w="0" w:type="dxa"/>
            <w:right w:w="108" w:type="dxa"/>
          </w:tblCellMar>
        </w:tblPrEx>
        <w:trPr>
          <w:trHeight w:val="523"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w:t>
            </w:r>
          </w:p>
        </w:tc>
        <w:tc>
          <w:tcPr>
            <w:tcW w:w="24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顶层高度 K </w:t>
            </w:r>
            <w:r>
              <w:rPr>
                <w:rFonts w:hint="eastAsia" w:ascii="宋体" w:hAnsi="宋体" w:eastAsia="宋体" w:cs="宋体"/>
                <w:b/>
                <w:bCs/>
                <w:color w:val="000000" w:themeColor="text1"/>
                <w:szCs w:val="21"/>
                <w14:textFill>
                  <w14:solidFill>
                    <w14:schemeClr w14:val="tx1"/>
                  </w14:solidFill>
                </w14:textFill>
              </w:rPr>
              <w:t>*</w:t>
            </w:r>
          </w:p>
        </w:tc>
        <w:tc>
          <w:tcPr>
            <w:tcW w:w="18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数值(mm)</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4500</w:t>
            </w:r>
          </w:p>
        </w:tc>
      </w:tr>
      <w:tr>
        <w:tblPrEx>
          <w:tblCellMar>
            <w:top w:w="0" w:type="dxa"/>
            <w:left w:w="108" w:type="dxa"/>
            <w:bottom w:w="0" w:type="dxa"/>
            <w:right w:w="108" w:type="dxa"/>
          </w:tblCellMar>
        </w:tblPrEx>
        <w:trPr>
          <w:trHeight w:val="523"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w:t>
            </w:r>
          </w:p>
        </w:tc>
        <w:tc>
          <w:tcPr>
            <w:tcW w:w="24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底坑深度 S </w:t>
            </w:r>
            <w:r>
              <w:rPr>
                <w:rFonts w:hint="eastAsia" w:ascii="宋体" w:hAnsi="宋体" w:eastAsia="宋体" w:cs="宋体"/>
                <w:b/>
                <w:bCs/>
                <w:color w:val="000000" w:themeColor="text1"/>
                <w:szCs w:val="21"/>
                <w14:textFill>
                  <w14:solidFill>
                    <w14:schemeClr w14:val="tx1"/>
                  </w14:solidFill>
                </w14:textFill>
              </w:rPr>
              <w:t>*</w:t>
            </w:r>
          </w:p>
        </w:tc>
        <w:tc>
          <w:tcPr>
            <w:tcW w:w="18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数值(mm)</w:t>
            </w:r>
          </w:p>
        </w:tc>
        <w:tc>
          <w:tcPr>
            <w:tcW w:w="3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1300</w:t>
            </w:r>
          </w:p>
        </w:tc>
      </w:tr>
      <w:tr>
        <w:tblPrEx>
          <w:tblCellMar>
            <w:top w:w="0" w:type="dxa"/>
            <w:left w:w="108" w:type="dxa"/>
            <w:bottom w:w="0" w:type="dxa"/>
            <w:right w:w="108" w:type="dxa"/>
          </w:tblCellMar>
        </w:tblPrEx>
        <w:trPr>
          <w:trHeight w:val="485" w:hRule="atLeast"/>
        </w:trPr>
        <w:tc>
          <w:tcPr>
            <w:tcW w:w="102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p>
        </w:tc>
        <w:tc>
          <w:tcPr>
            <w:tcW w:w="4277"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厅门</w:t>
            </w:r>
          </w:p>
        </w:tc>
        <w:tc>
          <w:tcPr>
            <w:tcW w:w="3122" w:type="dxa"/>
            <w:tcBorders>
              <w:top w:val="single" w:color="auto" w:sz="8"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发纹不锈钢</w:t>
            </w:r>
          </w:p>
        </w:tc>
      </w:tr>
      <w:tr>
        <w:tblPrEx>
          <w:tblCellMar>
            <w:top w:w="0" w:type="dxa"/>
            <w:left w:w="108" w:type="dxa"/>
            <w:bottom w:w="0" w:type="dxa"/>
            <w:right w:w="108" w:type="dxa"/>
          </w:tblCellMar>
        </w:tblPrEx>
        <w:trPr>
          <w:trHeight w:val="560" w:hRule="atLeast"/>
        </w:trPr>
        <w:tc>
          <w:tcPr>
            <w:tcW w:w="1021"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c>
          <w:tcPr>
            <w:tcW w:w="4277" w:type="dxa"/>
            <w:gridSpan w:val="6"/>
            <w:tcBorders>
              <w:top w:val="single" w:color="auto" w:sz="8"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小门套 </w:t>
            </w:r>
            <w:r>
              <w:rPr>
                <w:rFonts w:hint="eastAsia" w:ascii="宋体" w:hAnsi="宋体" w:eastAsia="宋体" w:cs="宋体"/>
                <w:b/>
                <w:bCs/>
                <w:color w:val="000000" w:themeColor="text1"/>
                <w:szCs w:val="21"/>
                <w14:textFill>
                  <w14:solidFill>
                    <w14:schemeClr w14:val="tx1"/>
                  </w14:solidFill>
                </w14:textFill>
              </w:rPr>
              <w:t>*</w:t>
            </w:r>
          </w:p>
        </w:tc>
        <w:tc>
          <w:tcPr>
            <w:tcW w:w="3122" w:type="dxa"/>
            <w:tcBorders>
              <w:top w:val="single" w:color="auto" w:sz="8"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发纹不锈钢</w:t>
            </w:r>
          </w:p>
        </w:tc>
      </w:tr>
      <w:tr>
        <w:tblPrEx>
          <w:tblCellMar>
            <w:top w:w="0" w:type="dxa"/>
            <w:left w:w="108" w:type="dxa"/>
            <w:bottom w:w="0" w:type="dxa"/>
            <w:right w:w="108" w:type="dxa"/>
          </w:tblCellMar>
        </w:tblPrEx>
        <w:trPr>
          <w:trHeight w:val="509" w:hRule="atLeast"/>
        </w:trPr>
        <w:tc>
          <w:tcPr>
            <w:tcW w:w="10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w:t>
            </w:r>
          </w:p>
        </w:tc>
        <w:tc>
          <w:tcPr>
            <w:tcW w:w="10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轿厢</w:t>
            </w:r>
            <w:r>
              <w:rPr>
                <w:rFonts w:hint="eastAsia" w:ascii="宋体" w:hAnsi="宋体" w:eastAsia="宋体" w:cs="宋体"/>
                <w:b/>
                <w:bCs/>
                <w:color w:val="000000" w:themeColor="text1"/>
                <w:szCs w:val="21"/>
                <w14:textFill>
                  <w14:solidFill>
                    <w14:schemeClr w14:val="tx1"/>
                  </w14:solidFill>
                </w14:textFill>
              </w:rPr>
              <w:t>*</w:t>
            </w:r>
          </w:p>
        </w:tc>
        <w:tc>
          <w:tcPr>
            <w:tcW w:w="155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轿门</w:t>
            </w:r>
          </w:p>
        </w:tc>
        <w:tc>
          <w:tcPr>
            <w:tcW w:w="1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材质</w:t>
            </w:r>
          </w:p>
        </w:tc>
        <w:tc>
          <w:tcPr>
            <w:tcW w:w="31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发纹不锈钢</w:t>
            </w:r>
          </w:p>
        </w:tc>
      </w:tr>
      <w:tr>
        <w:tblPrEx>
          <w:tblCellMar>
            <w:top w:w="0" w:type="dxa"/>
            <w:left w:w="108" w:type="dxa"/>
            <w:bottom w:w="0" w:type="dxa"/>
            <w:right w:w="108" w:type="dxa"/>
          </w:tblCellMar>
        </w:tblPrEx>
        <w:trPr>
          <w:trHeight w:val="728"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325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轿厢装潢类型</w:t>
            </w:r>
          </w:p>
        </w:tc>
        <w:tc>
          <w:tcPr>
            <w:tcW w:w="31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发纹不锈钢（后壁中间镜面不锈钢）</w:t>
            </w:r>
          </w:p>
        </w:tc>
      </w:tr>
      <w:tr>
        <w:tblPrEx>
          <w:tblCellMar>
            <w:top w:w="0" w:type="dxa"/>
            <w:left w:w="108" w:type="dxa"/>
            <w:bottom w:w="0" w:type="dxa"/>
            <w:right w:w="108" w:type="dxa"/>
          </w:tblCellMar>
        </w:tblPrEx>
        <w:trPr>
          <w:trHeight w:val="461"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325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轿厢材质/镀色</w:t>
            </w:r>
          </w:p>
        </w:tc>
        <w:tc>
          <w:tcPr>
            <w:tcW w:w="31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银色发纹不锈钢</w:t>
            </w:r>
          </w:p>
        </w:tc>
      </w:tr>
      <w:tr>
        <w:tblPrEx>
          <w:tblCellMar>
            <w:top w:w="0" w:type="dxa"/>
            <w:left w:w="108" w:type="dxa"/>
            <w:bottom w:w="0" w:type="dxa"/>
            <w:right w:w="108" w:type="dxa"/>
          </w:tblCellMar>
        </w:tblPrEx>
        <w:trPr>
          <w:trHeight w:val="461"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82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轿顶</w:t>
            </w:r>
          </w:p>
        </w:tc>
        <w:tc>
          <w:tcPr>
            <w:tcW w:w="24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轿顶装潢</w:t>
            </w:r>
          </w:p>
        </w:tc>
        <w:tc>
          <w:tcPr>
            <w:tcW w:w="31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不锈钢+亚克力+LED灯</w:t>
            </w:r>
          </w:p>
        </w:tc>
      </w:tr>
      <w:tr>
        <w:tblPrEx>
          <w:tblCellMar>
            <w:top w:w="0" w:type="dxa"/>
            <w:left w:w="108" w:type="dxa"/>
            <w:bottom w:w="0" w:type="dxa"/>
            <w:right w:w="108" w:type="dxa"/>
          </w:tblCellMar>
        </w:tblPrEx>
        <w:trPr>
          <w:trHeight w:val="728" w:hRule="atLeast"/>
        </w:trPr>
        <w:tc>
          <w:tcPr>
            <w:tcW w:w="10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82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24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不锈钢颜色</w:t>
            </w:r>
          </w:p>
        </w:tc>
        <w:tc>
          <w:tcPr>
            <w:tcW w:w="31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发纹不锈钢</w:t>
            </w:r>
          </w:p>
        </w:tc>
      </w:tr>
      <w:tr>
        <w:tblPrEx>
          <w:tblCellMar>
            <w:top w:w="0" w:type="dxa"/>
            <w:left w:w="108" w:type="dxa"/>
            <w:bottom w:w="0" w:type="dxa"/>
            <w:right w:w="108" w:type="dxa"/>
          </w:tblCellMar>
        </w:tblPrEx>
        <w:trPr>
          <w:trHeight w:val="461" w:hRule="atLeast"/>
        </w:trPr>
        <w:tc>
          <w:tcPr>
            <w:tcW w:w="102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1025"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821" w:type="dxa"/>
            <w:gridSpan w:val="2"/>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地板</w:t>
            </w:r>
          </w:p>
        </w:tc>
        <w:tc>
          <w:tcPr>
            <w:tcW w:w="243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轿厢地板型号</w:t>
            </w:r>
          </w:p>
        </w:tc>
        <w:tc>
          <w:tcPr>
            <w:tcW w:w="3122" w:type="dxa"/>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仿大理石PVC</w:t>
            </w:r>
          </w:p>
        </w:tc>
      </w:tr>
      <w:tr>
        <w:tblPrEx>
          <w:tblCellMar>
            <w:top w:w="0" w:type="dxa"/>
            <w:left w:w="108" w:type="dxa"/>
            <w:bottom w:w="0" w:type="dxa"/>
            <w:right w:w="108" w:type="dxa"/>
          </w:tblCellMar>
        </w:tblPrEx>
        <w:trPr>
          <w:trHeight w:val="751" w:hRule="atLeast"/>
        </w:trPr>
        <w:tc>
          <w:tcPr>
            <w:tcW w:w="1021" w:type="dxa"/>
            <w:vMerge w:val="continue"/>
            <w:tcBorders>
              <w:top w:val="single" w:color="auto" w:sz="8" w:space="0"/>
              <w:left w:val="single" w:color="auto" w:sz="4" w:space="0"/>
              <w:bottom w:val="nil"/>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1025" w:type="dxa"/>
            <w:vMerge w:val="continue"/>
            <w:tcBorders>
              <w:top w:val="single" w:color="auto" w:sz="8" w:space="0"/>
              <w:left w:val="single" w:color="auto" w:sz="4" w:space="0"/>
              <w:bottom w:val="nil"/>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82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2431"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地板装修厚度(mm)</w:t>
            </w:r>
          </w:p>
        </w:tc>
        <w:tc>
          <w:tcPr>
            <w:tcW w:w="3122" w:type="dxa"/>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r>
      <w:tr>
        <w:tblPrEx>
          <w:tblCellMar>
            <w:top w:w="0" w:type="dxa"/>
            <w:left w:w="108" w:type="dxa"/>
            <w:bottom w:w="0" w:type="dxa"/>
            <w:right w:w="108" w:type="dxa"/>
          </w:tblCellMar>
        </w:tblPrEx>
        <w:trPr>
          <w:trHeight w:val="485" w:hRule="atLeast"/>
        </w:trPr>
        <w:tc>
          <w:tcPr>
            <w:tcW w:w="1021" w:type="dxa"/>
            <w:vMerge w:val="continue"/>
            <w:tcBorders>
              <w:top w:val="single" w:color="auto" w:sz="8" w:space="0"/>
              <w:left w:val="single" w:color="auto" w:sz="4" w:space="0"/>
              <w:bottom w:val="nil"/>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1025" w:type="dxa"/>
            <w:vMerge w:val="continue"/>
            <w:tcBorders>
              <w:top w:val="single" w:color="auto" w:sz="8" w:space="0"/>
              <w:left w:val="single" w:color="auto" w:sz="4" w:space="0"/>
              <w:bottom w:val="nil"/>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3252"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轿厢预留轿厢装潢重量(kg)</w:t>
            </w:r>
          </w:p>
        </w:tc>
        <w:tc>
          <w:tcPr>
            <w:tcW w:w="3122" w:type="dxa"/>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200KG</w:t>
            </w:r>
          </w:p>
        </w:tc>
      </w:tr>
      <w:tr>
        <w:tblPrEx>
          <w:tblCellMar>
            <w:top w:w="0" w:type="dxa"/>
            <w:left w:w="108" w:type="dxa"/>
            <w:bottom w:w="0" w:type="dxa"/>
            <w:right w:w="108" w:type="dxa"/>
          </w:tblCellMar>
        </w:tblPrEx>
        <w:trPr>
          <w:trHeight w:val="795" w:hRule="atLeast"/>
        </w:trPr>
        <w:tc>
          <w:tcPr>
            <w:tcW w:w="1021" w:type="dxa"/>
            <w:tcBorders>
              <w:top w:val="single" w:color="auto" w:sz="8" w:space="0"/>
              <w:left w:val="single" w:color="auto" w:sz="8"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w:t>
            </w:r>
          </w:p>
        </w:tc>
        <w:tc>
          <w:tcPr>
            <w:tcW w:w="2584" w:type="dxa"/>
            <w:gridSpan w:val="5"/>
            <w:tcBorders>
              <w:top w:val="single" w:color="auto" w:sz="8"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电梯对讲系统(不含值班室到机房的配线)</w:t>
            </w:r>
          </w:p>
        </w:tc>
        <w:tc>
          <w:tcPr>
            <w:tcW w:w="1693" w:type="dxa"/>
            <w:tcBorders>
              <w:top w:val="single" w:color="auto" w:sz="8" w:space="0"/>
              <w:left w:val="nil"/>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规格(多台需注明台数)</w:t>
            </w:r>
          </w:p>
        </w:tc>
        <w:tc>
          <w:tcPr>
            <w:tcW w:w="3122" w:type="dxa"/>
            <w:tcBorders>
              <w:top w:val="single" w:color="auto" w:sz="8"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有线集中对讲</w:t>
            </w:r>
          </w:p>
        </w:tc>
      </w:tr>
      <w:tr>
        <w:tblPrEx>
          <w:tblCellMar>
            <w:top w:w="0" w:type="dxa"/>
            <w:left w:w="108" w:type="dxa"/>
            <w:bottom w:w="0" w:type="dxa"/>
            <w:right w:w="108" w:type="dxa"/>
          </w:tblCellMar>
        </w:tblPrEx>
        <w:trPr>
          <w:trHeight w:val="448" w:hRule="atLeast"/>
        </w:trPr>
        <w:tc>
          <w:tcPr>
            <w:tcW w:w="1021"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w:t>
            </w:r>
          </w:p>
        </w:tc>
        <w:tc>
          <w:tcPr>
            <w:tcW w:w="1460"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轿厢操</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 xml:space="preserve">纵盘 </w:t>
            </w:r>
            <w:r>
              <w:rPr>
                <w:rFonts w:hint="eastAsia" w:ascii="宋体" w:hAnsi="宋体" w:eastAsia="宋体" w:cs="宋体"/>
                <w:b/>
                <w:bCs/>
                <w:color w:val="000000" w:themeColor="text1"/>
                <w:szCs w:val="21"/>
                <w14:textFill>
                  <w14:solidFill>
                    <w14:schemeClr w14:val="tx1"/>
                  </w14:solidFill>
                </w14:textFill>
              </w:rPr>
              <w:t>*</w:t>
            </w:r>
          </w:p>
        </w:tc>
        <w:tc>
          <w:tcPr>
            <w:tcW w:w="2817"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型号</w:t>
            </w:r>
          </w:p>
        </w:tc>
        <w:tc>
          <w:tcPr>
            <w:tcW w:w="3122" w:type="dxa"/>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不锈钢一体式操纵箱</w:t>
            </w:r>
          </w:p>
        </w:tc>
      </w:tr>
      <w:tr>
        <w:tblPrEx>
          <w:tblCellMar>
            <w:top w:w="0" w:type="dxa"/>
            <w:left w:w="108" w:type="dxa"/>
            <w:bottom w:w="0" w:type="dxa"/>
            <w:right w:w="108" w:type="dxa"/>
          </w:tblCellMar>
        </w:tblPrEx>
        <w:trPr>
          <w:trHeight w:val="728" w:hRule="atLeast"/>
        </w:trPr>
        <w:tc>
          <w:tcPr>
            <w:tcW w:w="1021" w:type="dxa"/>
            <w:vMerge w:val="continue"/>
            <w:tcBorders>
              <w:top w:val="nil"/>
              <w:left w:val="single" w:color="auto" w:sz="8" w:space="0"/>
              <w:bottom w:val="single" w:color="auto" w:sz="4" w:space="0"/>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14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szCs w:val="21"/>
                <w14:textFill>
                  <w14:solidFill>
                    <w14:schemeClr w14:val="tx1"/>
                  </w14:solidFill>
                </w14:textFill>
              </w:rPr>
            </w:pPr>
          </w:p>
        </w:tc>
        <w:tc>
          <w:tcPr>
            <w:tcW w:w="2817" w:type="dxa"/>
            <w:gridSpan w:val="4"/>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主纵盘位置(站在轿厢面向轿门)</w:t>
            </w:r>
          </w:p>
        </w:tc>
        <w:tc>
          <w:tcPr>
            <w:tcW w:w="3122" w:type="dxa"/>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右前壁(面向轿厢前轿门)</w:t>
            </w:r>
          </w:p>
        </w:tc>
      </w:tr>
      <w:tr>
        <w:tblPrEx>
          <w:tblCellMar>
            <w:top w:w="0" w:type="dxa"/>
            <w:left w:w="108" w:type="dxa"/>
            <w:bottom w:w="0" w:type="dxa"/>
            <w:right w:w="108" w:type="dxa"/>
          </w:tblCellMar>
        </w:tblPrEx>
        <w:trPr>
          <w:trHeight w:val="786" w:hRule="atLeast"/>
        </w:trPr>
        <w:tc>
          <w:tcPr>
            <w:tcW w:w="1021" w:type="dxa"/>
            <w:tcBorders>
              <w:top w:val="nil"/>
              <w:left w:val="single" w:color="auto" w:sz="8" w:space="0"/>
              <w:bottom w:val="nil"/>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w:t>
            </w:r>
          </w:p>
        </w:tc>
        <w:tc>
          <w:tcPr>
            <w:tcW w:w="1460" w:type="dxa"/>
            <w:gridSpan w:val="2"/>
            <w:tcBorders>
              <w:top w:val="nil"/>
              <w:left w:val="nil"/>
              <w:bottom w:val="nil"/>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层站呼</w:t>
            </w:r>
            <w:r>
              <w:rPr>
                <w:rFonts w:hint="eastAsia" w:ascii="宋体" w:hAnsi="宋体" w:eastAsia="宋体" w:cs="宋体"/>
                <w:color w:val="000000" w:themeColor="text1"/>
                <w:szCs w:val="21"/>
                <w14:textFill>
                  <w14:solidFill>
                    <w14:schemeClr w14:val="tx1"/>
                  </w14:solidFill>
                </w14:textFill>
              </w:rPr>
              <w:br w:type="textWrapping"/>
            </w:r>
            <w:r>
              <w:rPr>
                <w:rFonts w:hint="eastAsia" w:ascii="宋体" w:hAnsi="宋体" w:eastAsia="宋体" w:cs="宋体"/>
                <w:color w:val="000000" w:themeColor="text1"/>
                <w:szCs w:val="21"/>
                <w14:textFill>
                  <w14:solidFill>
                    <w14:schemeClr w14:val="tx1"/>
                  </w14:solidFill>
                </w14:textFill>
              </w:rPr>
              <w:t xml:space="preserve">梯盒 </w:t>
            </w:r>
            <w:r>
              <w:rPr>
                <w:rFonts w:hint="eastAsia" w:ascii="宋体" w:hAnsi="宋体" w:eastAsia="宋体" w:cs="宋体"/>
                <w:b/>
                <w:bCs/>
                <w:color w:val="000000" w:themeColor="text1"/>
                <w:szCs w:val="21"/>
                <w14:textFill>
                  <w14:solidFill>
                    <w14:schemeClr w14:val="tx1"/>
                  </w14:solidFill>
                </w14:textFill>
              </w:rPr>
              <w:t>*</w:t>
            </w:r>
          </w:p>
        </w:tc>
        <w:tc>
          <w:tcPr>
            <w:tcW w:w="2817"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型号</w:t>
            </w:r>
          </w:p>
        </w:tc>
        <w:tc>
          <w:tcPr>
            <w:tcW w:w="3122" w:type="dxa"/>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不锈钢面板</w:t>
            </w:r>
          </w:p>
        </w:tc>
      </w:tr>
      <w:tr>
        <w:tblPrEx>
          <w:tblCellMar>
            <w:top w:w="0" w:type="dxa"/>
            <w:left w:w="108" w:type="dxa"/>
            <w:bottom w:w="0" w:type="dxa"/>
            <w:right w:w="108" w:type="dxa"/>
          </w:tblCellMar>
        </w:tblPrEx>
        <w:trPr>
          <w:trHeight w:val="448" w:hRule="atLeast"/>
        </w:trPr>
        <w:tc>
          <w:tcPr>
            <w:tcW w:w="1021"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27</w:t>
            </w:r>
          </w:p>
        </w:tc>
        <w:tc>
          <w:tcPr>
            <w:tcW w:w="4277"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外呼类型</w:t>
            </w:r>
          </w:p>
        </w:tc>
        <w:tc>
          <w:tcPr>
            <w:tcW w:w="3122" w:type="dxa"/>
            <w:tcBorders>
              <w:top w:val="single" w:color="auto" w:sz="4" w:space="0"/>
              <w:left w:val="nil"/>
              <w:bottom w:val="single" w:color="auto" w:sz="4" w:space="0"/>
              <w:right w:val="single" w:color="000000"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单梯无底盒</w:t>
            </w:r>
          </w:p>
        </w:tc>
      </w:tr>
      <w:tr>
        <w:tblPrEx>
          <w:tblCellMar>
            <w:top w:w="0" w:type="dxa"/>
            <w:left w:w="108" w:type="dxa"/>
            <w:bottom w:w="0" w:type="dxa"/>
            <w:right w:w="108" w:type="dxa"/>
          </w:tblCellMar>
        </w:tblPrEx>
        <w:trPr>
          <w:trHeight w:val="448"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28</w:t>
            </w:r>
          </w:p>
        </w:tc>
        <w:tc>
          <w:tcPr>
            <w:tcW w:w="427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按钮型号</w:t>
            </w:r>
          </w:p>
        </w:tc>
        <w:tc>
          <w:tcPr>
            <w:tcW w:w="31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圆形或方形带盲文</w:t>
            </w:r>
          </w:p>
        </w:tc>
      </w:tr>
      <w:tr>
        <w:tblPrEx>
          <w:tblCellMar>
            <w:top w:w="0" w:type="dxa"/>
            <w:left w:w="108" w:type="dxa"/>
            <w:bottom w:w="0" w:type="dxa"/>
            <w:right w:w="108" w:type="dxa"/>
          </w:tblCellMar>
        </w:tblPrEx>
        <w:trPr>
          <w:trHeight w:val="812" w:hRule="atLeast"/>
        </w:trPr>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w:t>
            </w:r>
          </w:p>
        </w:tc>
        <w:tc>
          <w:tcPr>
            <w:tcW w:w="14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电源要求：</w:t>
            </w:r>
          </w:p>
        </w:tc>
        <w:tc>
          <w:tcPr>
            <w:tcW w:w="593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动力电源：三相电压：380V ±7％ ；</w:t>
            </w:r>
          </w:p>
          <w:p>
            <w:pPr>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照明电压：220V ±7％；频率：50Hz</w:t>
            </w:r>
          </w:p>
        </w:tc>
      </w:tr>
    </w:tbl>
    <w:p>
      <w:pPr>
        <w:spacing w:line="480" w:lineRule="auto"/>
        <w:ind w:left="350"/>
        <w:rPr>
          <w:rFonts w:ascii="宋体" w:hAnsi="宋体" w:eastAsia="宋体" w:cs="宋体"/>
          <w:color w:val="000000" w:themeColor="text1"/>
          <w:sz w:val="24"/>
          <w14:textFill>
            <w14:solidFill>
              <w14:schemeClr w14:val="tx1"/>
            </w14:solidFill>
          </w14:textFill>
        </w:rPr>
      </w:pPr>
    </w:p>
    <w:p>
      <w:pPr>
        <w:spacing w:line="480" w:lineRule="auto"/>
        <w:ind w:left="350"/>
        <w:rPr>
          <w:rFonts w:ascii="宋体" w:hAnsi="宋体" w:eastAsia="宋体" w:cs="宋体"/>
          <w:color w:val="000000" w:themeColor="text1"/>
          <w:sz w:val="24"/>
          <w14:textFill>
            <w14:solidFill>
              <w14:schemeClr w14:val="tx1"/>
            </w14:solidFill>
          </w14:textFill>
        </w:rPr>
      </w:pPr>
    </w:p>
    <w:p>
      <w:pPr>
        <w:spacing w:line="480" w:lineRule="auto"/>
        <w:ind w:left="350"/>
        <w:rPr>
          <w:rFonts w:ascii="宋体" w:hAnsi="宋体" w:eastAsia="宋体" w:cs="宋体"/>
          <w:color w:val="000000" w:themeColor="text1"/>
          <w:sz w:val="24"/>
          <w14:textFill>
            <w14:solidFill>
              <w14:schemeClr w14:val="tx1"/>
            </w14:solidFill>
          </w14:textFill>
        </w:rPr>
      </w:pPr>
    </w:p>
    <w:p>
      <w:pPr>
        <w:spacing w:line="360" w:lineRule="auto"/>
        <w:ind w:right="-23" w:rightChars="-11"/>
        <w:jc w:val="center"/>
        <w:outlineLvl w:val="0"/>
        <w:rPr>
          <w:rFonts w:ascii="宋体" w:hAnsi="宋体" w:eastAsia="宋体" w:cs="Arial"/>
          <w:b/>
          <w:bCs/>
          <w:color w:val="000000" w:themeColor="text1"/>
          <w:kern w:val="2"/>
          <w:sz w:val="28"/>
          <w:szCs w:val="28"/>
          <w14:textFill>
            <w14:solidFill>
              <w14:schemeClr w14:val="tx1"/>
            </w14:solidFill>
          </w14:textFill>
        </w:rPr>
      </w:pPr>
      <w:r>
        <w:rPr>
          <w:rFonts w:hint="eastAsia" w:ascii="宋体" w:hAnsi="宋体" w:eastAsia="宋体" w:cs="Arial"/>
          <w:bCs/>
          <w:color w:val="000000" w:themeColor="text1"/>
          <w:kern w:val="2"/>
          <w:sz w:val="44"/>
          <w:szCs w:val="44"/>
          <w14:textFill>
            <w14:solidFill>
              <w14:schemeClr w14:val="tx1"/>
            </w14:solidFill>
          </w14:textFill>
        </w:rPr>
        <w:t>技术标准</w:t>
      </w:r>
    </w:p>
    <w:p>
      <w:pPr>
        <w:spacing w:line="360" w:lineRule="auto"/>
        <w:ind w:firstLine="480" w:firstLineChars="200"/>
        <w:textAlignment w:val="baseline"/>
        <w:rPr>
          <w:rFonts w:ascii="宋体" w:hAnsi="宋体" w:eastAsia="宋体" w:cs="Times New Roman"/>
          <w:color w:val="000000" w:themeColor="text1"/>
          <w:kern w:val="2"/>
          <w:sz w:val="24"/>
          <w:szCs w:val="20"/>
          <w14:textFill>
            <w14:solidFill>
              <w14:schemeClr w14:val="tx1"/>
            </w14:solidFill>
          </w14:textFill>
        </w:rPr>
      </w:pPr>
      <w:r>
        <w:rPr>
          <w:rFonts w:hint="eastAsia" w:ascii="宋体" w:hAnsi="宋体" w:eastAsia="宋体" w:cs="Times New Roman"/>
          <w:color w:val="000000" w:themeColor="text1"/>
          <w:kern w:val="2"/>
          <w:sz w:val="24"/>
          <w:szCs w:val="20"/>
          <w14:textFill>
            <w14:solidFill>
              <w14:schemeClr w14:val="tx1"/>
            </w14:solidFill>
          </w14:textFill>
        </w:rPr>
        <w:t>依据设计施工图纸和技术文件要求，本工程项目的材料、设备、施工必须达到以下现行中华人民共和国及省、市、行业的一切有关法规、规范的（相关标准修订时，以新标准执行）要求，如下述标准及规范要求有出入则以较严格者为准的。</w:t>
      </w:r>
    </w:p>
    <w:p>
      <w:pPr>
        <w:numPr>
          <w:ilvl w:val="0"/>
          <w:numId w:val="25"/>
        </w:numPr>
        <w:spacing w:line="360" w:lineRule="auto"/>
        <w:ind w:left="1050" w:hanging="525"/>
        <w:rPr>
          <w:rFonts w:ascii="宋体" w:hAnsi="宋体" w:eastAsia="宋体" w:cs="Times New Roman"/>
          <w:color w:val="000000" w:themeColor="text1"/>
          <w:kern w:val="2"/>
          <w:sz w:val="24"/>
          <w:szCs w:val="20"/>
          <w14:textFill>
            <w14:solidFill>
              <w14:schemeClr w14:val="tx1"/>
            </w14:solidFill>
          </w14:textFill>
        </w:rPr>
      </w:pPr>
      <w:r>
        <w:rPr>
          <w:rFonts w:hint="eastAsia" w:ascii="宋体" w:hAnsi="宋体" w:eastAsia="宋体" w:cs="Times New Roman"/>
          <w:color w:val="000000" w:themeColor="text1"/>
          <w:kern w:val="2"/>
          <w:sz w:val="24"/>
          <w:szCs w:val="20"/>
          <w14:textFill>
            <w14:solidFill>
              <w14:schemeClr w14:val="tx1"/>
            </w14:solidFill>
          </w14:textFill>
        </w:rPr>
        <w:t>符合下列标准：</w:t>
      </w:r>
    </w:p>
    <w:p>
      <w:pPr>
        <w:numPr>
          <w:ilvl w:val="0"/>
          <w:numId w:val="25"/>
        </w:numPr>
        <w:spacing w:line="360" w:lineRule="auto"/>
        <w:ind w:left="1050" w:hanging="525"/>
        <w:rPr>
          <w:rFonts w:ascii="宋体" w:hAnsi="宋体" w:eastAsia="宋体" w:cs="Times New Roman"/>
          <w:color w:val="000000" w:themeColor="text1"/>
          <w:kern w:val="2"/>
          <w:sz w:val="24"/>
          <w:szCs w:val="20"/>
          <w14:textFill>
            <w14:solidFill>
              <w14:schemeClr w14:val="tx1"/>
            </w14:solidFill>
          </w14:textFill>
        </w:rPr>
      </w:pPr>
      <w:r>
        <w:rPr>
          <w:rFonts w:hint="eastAsia" w:ascii="宋体" w:hAnsi="宋体" w:eastAsia="宋体" w:cs="Times New Roman"/>
          <w:color w:val="000000" w:themeColor="text1"/>
          <w:kern w:val="2"/>
          <w:sz w:val="24"/>
          <w:szCs w:val="20"/>
          <w14:textFill>
            <w14:solidFill>
              <w14:schemeClr w14:val="tx1"/>
            </w14:solidFill>
          </w14:textFill>
        </w:rPr>
        <w:t>电梯工程施工质量验收规范（GB50310）</w:t>
      </w:r>
    </w:p>
    <w:p>
      <w:pPr>
        <w:numPr>
          <w:ilvl w:val="0"/>
          <w:numId w:val="25"/>
        </w:numPr>
        <w:spacing w:line="360" w:lineRule="auto"/>
        <w:ind w:left="1050" w:hanging="525"/>
        <w:rPr>
          <w:rFonts w:ascii="宋体" w:hAnsi="宋体" w:eastAsia="宋体" w:cs="Times New Roman"/>
          <w:color w:val="000000" w:themeColor="text1"/>
          <w:kern w:val="2"/>
          <w:sz w:val="24"/>
          <w:szCs w:val="20"/>
          <w14:textFill>
            <w14:solidFill>
              <w14:schemeClr w14:val="tx1"/>
            </w14:solidFill>
          </w14:textFill>
        </w:rPr>
      </w:pPr>
      <w:r>
        <w:rPr>
          <w:rFonts w:hint="eastAsia" w:ascii="宋体" w:hAnsi="宋体" w:eastAsia="宋体" w:cs="Times New Roman"/>
          <w:color w:val="000000" w:themeColor="text1"/>
          <w:kern w:val="2"/>
          <w:sz w:val="24"/>
          <w:szCs w:val="20"/>
          <w14:textFill>
            <w14:solidFill>
              <w14:schemeClr w14:val="tx1"/>
            </w14:solidFill>
          </w14:textFill>
        </w:rPr>
        <w:t>电梯制造和安装安全规范（GB7588）</w:t>
      </w:r>
    </w:p>
    <w:p>
      <w:pPr>
        <w:numPr>
          <w:ilvl w:val="0"/>
          <w:numId w:val="25"/>
        </w:numPr>
        <w:spacing w:line="360" w:lineRule="auto"/>
        <w:ind w:left="1050" w:hanging="525"/>
        <w:rPr>
          <w:rFonts w:ascii="宋体" w:hAnsi="宋体" w:eastAsia="宋体" w:cs="Times New Roman"/>
          <w:color w:val="000000" w:themeColor="text1"/>
          <w:kern w:val="2"/>
          <w:sz w:val="24"/>
          <w:szCs w:val="20"/>
          <w14:textFill>
            <w14:solidFill>
              <w14:schemeClr w14:val="tx1"/>
            </w14:solidFill>
          </w14:textFill>
        </w:rPr>
      </w:pPr>
      <w:r>
        <w:rPr>
          <w:rFonts w:hint="eastAsia" w:ascii="宋体" w:hAnsi="宋体" w:eastAsia="宋体" w:cs="Times New Roman"/>
          <w:color w:val="000000" w:themeColor="text1"/>
          <w:kern w:val="2"/>
          <w:sz w:val="24"/>
          <w:szCs w:val="20"/>
          <w14:textFill>
            <w14:solidFill>
              <w14:schemeClr w14:val="tx1"/>
            </w14:solidFill>
          </w14:textFill>
        </w:rPr>
        <w:t>电梯安装验收规范（GB10060）</w:t>
      </w:r>
    </w:p>
    <w:p>
      <w:pPr>
        <w:numPr>
          <w:ilvl w:val="0"/>
          <w:numId w:val="25"/>
        </w:numPr>
        <w:spacing w:line="360" w:lineRule="auto"/>
        <w:ind w:left="1050" w:hanging="525"/>
        <w:rPr>
          <w:rFonts w:ascii="宋体" w:hAnsi="宋体" w:eastAsia="宋体" w:cs="Times New Roman"/>
          <w:color w:val="000000" w:themeColor="text1"/>
          <w:kern w:val="2"/>
          <w:sz w:val="24"/>
          <w:szCs w:val="20"/>
          <w14:textFill>
            <w14:solidFill>
              <w14:schemeClr w14:val="tx1"/>
            </w14:solidFill>
          </w14:textFill>
        </w:rPr>
      </w:pPr>
      <w:r>
        <w:rPr>
          <w:rFonts w:hint="eastAsia" w:ascii="宋体" w:hAnsi="宋体" w:eastAsia="宋体" w:cs="Times New Roman"/>
          <w:color w:val="000000" w:themeColor="text1"/>
          <w:kern w:val="2"/>
          <w:sz w:val="24"/>
          <w:szCs w:val="20"/>
          <w14:textFill>
            <w14:solidFill>
              <w14:schemeClr w14:val="tx1"/>
            </w14:solidFill>
          </w14:textFill>
        </w:rPr>
        <w:t>电梯技术条件（GB10058）</w:t>
      </w:r>
    </w:p>
    <w:p>
      <w:pPr>
        <w:numPr>
          <w:ilvl w:val="0"/>
          <w:numId w:val="25"/>
        </w:numPr>
        <w:spacing w:line="360" w:lineRule="auto"/>
        <w:ind w:left="1050" w:hanging="525"/>
        <w:rPr>
          <w:rFonts w:ascii="宋体" w:hAnsi="宋体" w:eastAsia="宋体" w:cs="Times New Roman"/>
          <w:color w:val="000000" w:themeColor="text1"/>
          <w:kern w:val="2"/>
          <w:sz w:val="24"/>
          <w:szCs w:val="20"/>
          <w14:textFill>
            <w14:solidFill>
              <w14:schemeClr w14:val="tx1"/>
            </w14:solidFill>
          </w14:textFill>
        </w:rPr>
      </w:pPr>
      <w:r>
        <w:rPr>
          <w:rFonts w:hint="eastAsia" w:ascii="宋体" w:hAnsi="宋体" w:eastAsia="宋体" w:cs="Times New Roman"/>
          <w:color w:val="000000" w:themeColor="text1"/>
          <w:kern w:val="2"/>
          <w:sz w:val="24"/>
          <w:szCs w:val="20"/>
          <w14:textFill>
            <w14:solidFill>
              <w14:schemeClr w14:val="tx1"/>
            </w14:solidFill>
          </w14:textFill>
        </w:rPr>
        <w:t>电梯试验方法（GB10059）</w:t>
      </w:r>
    </w:p>
    <w:p>
      <w:pPr>
        <w:numPr>
          <w:ilvl w:val="0"/>
          <w:numId w:val="25"/>
        </w:numPr>
        <w:spacing w:line="360" w:lineRule="auto"/>
        <w:ind w:left="1050" w:hanging="525"/>
        <w:rPr>
          <w:rFonts w:ascii="Times New Roman" w:hAnsi="Times New Roman" w:eastAsia="宋体" w:cs="Times New Roman"/>
          <w:color w:val="000000" w:themeColor="text1"/>
          <w:kern w:val="2"/>
          <w:szCs w:val="20"/>
          <w14:textFill>
            <w14:solidFill>
              <w14:schemeClr w14:val="tx1"/>
            </w14:solidFill>
          </w14:textFill>
        </w:rPr>
      </w:pPr>
      <w:r>
        <w:rPr>
          <w:rFonts w:hint="eastAsia" w:ascii="宋体" w:hAnsi="宋体" w:eastAsia="宋体" w:cs="Times New Roman"/>
          <w:color w:val="000000" w:themeColor="text1"/>
          <w:kern w:val="2"/>
          <w:sz w:val="24"/>
          <w:szCs w:val="20"/>
          <w14:textFill>
            <w14:solidFill>
              <w14:schemeClr w14:val="tx1"/>
            </w14:solidFill>
          </w14:textFill>
        </w:rPr>
        <w:t>中华人民共和国国家建设部“电梯手册”（JJ49）</w:t>
      </w:r>
    </w:p>
    <w:p>
      <w:pPr>
        <w:numPr>
          <w:ilvl w:val="0"/>
          <w:numId w:val="25"/>
        </w:numPr>
        <w:spacing w:line="360" w:lineRule="auto"/>
        <w:ind w:left="1050" w:hanging="525"/>
        <w:rPr>
          <w:rFonts w:ascii="宋体" w:hAnsi="宋体" w:eastAsia="宋体" w:cs="Times New Roman"/>
          <w:color w:val="000000" w:themeColor="text1"/>
          <w:kern w:val="2"/>
          <w:sz w:val="24"/>
          <w:szCs w:val="20"/>
          <w14:textFill>
            <w14:solidFill>
              <w14:schemeClr w14:val="tx1"/>
            </w14:solidFill>
          </w14:textFill>
        </w:rPr>
      </w:pPr>
      <w:r>
        <w:rPr>
          <w:rFonts w:hint="eastAsia" w:ascii="宋体" w:hAnsi="宋体" w:eastAsia="宋体" w:cs="Times New Roman"/>
          <w:color w:val="000000" w:themeColor="text1"/>
          <w:kern w:val="2"/>
          <w:sz w:val="24"/>
          <w:szCs w:val="20"/>
          <w14:textFill>
            <w14:solidFill>
              <w14:schemeClr w14:val="tx1"/>
            </w14:solidFill>
          </w14:textFill>
        </w:rPr>
        <w:t>电梯主参数及轿厢、井道、机房的型式与尺寸（GB/T7025）</w:t>
      </w:r>
    </w:p>
    <w:p>
      <w:pPr>
        <w:numPr>
          <w:ilvl w:val="0"/>
          <w:numId w:val="25"/>
        </w:numPr>
        <w:spacing w:line="360" w:lineRule="auto"/>
        <w:ind w:left="1050" w:hanging="525"/>
        <w:rPr>
          <w:rFonts w:ascii="宋体" w:hAnsi="宋体" w:eastAsia="宋体" w:cs="Times New Roman"/>
          <w:color w:val="000000" w:themeColor="text1"/>
          <w:kern w:val="2"/>
          <w:sz w:val="24"/>
          <w:szCs w:val="20"/>
          <w14:textFill>
            <w14:solidFill>
              <w14:schemeClr w14:val="tx1"/>
            </w14:solidFill>
          </w14:textFill>
        </w:rPr>
      </w:pPr>
      <w:r>
        <w:rPr>
          <w:rFonts w:hint="eastAsia" w:ascii="宋体" w:hAnsi="宋体" w:eastAsia="宋体" w:cs="Times New Roman"/>
          <w:color w:val="000000" w:themeColor="text1"/>
          <w:kern w:val="2"/>
          <w:sz w:val="24"/>
          <w:szCs w:val="20"/>
          <w14:textFill>
            <w14:solidFill>
              <w14:schemeClr w14:val="tx1"/>
            </w14:solidFill>
          </w14:textFill>
        </w:rPr>
        <w:t>电梯电缆（JB/T8734.6）</w:t>
      </w:r>
    </w:p>
    <w:p>
      <w:pPr>
        <w:numPr>
          <w:ilvl w:val="0"/>
          <w:numId w:val="25"/>
        </w:numPr>
        <w:spacing w:line="360" w:lineRule="auto"/>
        <w:ind w:left="1050" w:hanging="525"/>
        <w:rPr>
          <w:rFonts w:ascii="宋体" w:hAnsi="宋体" w:eastAsia="宋体" w:cs="Times New Roman"/>
          <w:color w:val="000000" w:themeColor="text1"/>
          <w:kern w:val="2"/>
          <w:sz w:val="24"/>
          <w:szCs w:val="20"/>
          <w14:textFill>
            <w14:solidFill>
              <w14:schemeClr w14:val="tx1"/>
            </w14:solidFill>
          </w14:textFill>
        </w:rPr>
      </w:pPr>
      <w:r>
        <w:rPr>
          <w:rFonts w:hint="eastAsia" w:ascii="宋体" w:hAnsi="宋体" w:eastAsia="宋体" w:cs="Times New Roman"/>
          <w:color w:val="000000" w:themeColor="text1"/>
          <w:kern w:val="2"/>
          <w:sz w:val="24"/>
          <w:szCs w:val="20"/>
          <w14:textFill>
            <w14:solidFill>
              <w14:schemeClr w14:val="tx1"/>
            </w14:solidFill>
          </w14:textFill>
        </w:rPr>
        <w:t>电梯曳引机（GB/T24478）</w:t>
      </w:r>
    </w:p>
    <w:p>
      <w:pPr>
        <w:numPr>
          <w:ilvl w:val="0"/>
          <w:numId w:val="25"/>
        </w:numPr>
        <w:spacing w:line="360" w:lineRule="auto"/>
        <w:ind w:left="1050" w:hanging="525"/>
        <w:rPr>
          <w:rFonts w:ascii="宋体" w:hAnsi="宋体" w:eastAsia="宋体" w:cs="Times New Roman"/>
          <w:color w:val="000000" w:themeColor="text1"/>
          <w:kern w:val="2"/>
          <w:sz w:val="24"/>
          <w:szCs w:val="20"/>
          <w14:textFill>
            <w14:solidFill>
              <w14:schemeClr w14:val="tx1"/>
            </w14:solidFill>
          </w14:textFill>
        </w:rPr>
      </w:pPr>
      <w:r>
        <w:rPr>
          <w:rFonts w:hint="eastAsia" w:ascii="宋体" w:hAnsi="宋体" w:eastAsia="宋体" w:cs="Times New Roman"/>
          <w:color w:val="000000" w:themeColor="text1"/>
          <w:kern w:val="2"/>
          <w:sz w:val="24"/>
          <w:szCs w:val="20"/>
          <w14:textFill>
            <w14:solidFill>
              <w14:schemeClr w14:val="tx1"/>
            </w14:solidFill>
          </w14:textFill>
        </w:rPr>
        <w:t>自动扶梯梯级和自动人行道踏板（GB/T 33505）</w:t>
      </w:r>
    </w:p>
    <w:p>
      <w:pPr>
        <w:numPr>
          <w:ilvl w:val="0"/>
          <w:numId w:val="25"/>
        </w:numPr>
        <w:spacing w:line="360" w:lineRule="auto"/>
        <w:ind w:left="1050" w:hanging="525"/>
        <w:rPr>
          <w:rFonts w:ascii="宋体" w:hAnsi="宋体" w:eastAsia="宋体" w:cs="Times New Roman"/>
          <w:color w:val="000000" w:themeColor="text1"/>
          <w:kern w:val="2"/>
          <w:sz w:val="24"/>
          <w:szCs w:val="20"/>
          <w14:textFill>
            <w14:solidFill>
              <w14:schemeClr w14:val="tx1"/>
            </w14:solidFill>
          </w14:textFill>
        </w:rPr>
      </w:pPr>
      <w:r>
        <w:rPr>
          <w:rFonts w:hint="eastAsia" w:ascii="宋体" w:hAnsi="宋体" w:eastAsia="宋体" w:cs="Times New Roman"/>
          <w:color w:val="000000" w:themeColor="text1"/>
          <w:kern w:val="2"/>
          <w:sz w:val="24"/>
          <w:szCs w:val="20"/>
          <w14:textFill>
            <w14:solidFill>
              <w14:schemeClr w14:val="tx1"/>
            </w14:solidFill>
          </w14:textFill>
        </w:rPr>
        <w:t>电梯维修规范（GB/T18775）</w:t>
      </w:r>
    </w:p>
    <w:p>
      <w:pPr>
        <w:numPr>
          <w:ilvl w:val="0"/>
          <w:numId w:val="25"/>
        </w:numPr>
        <w:spacing w:line="360" w:lineRule="auto"/>
        <w:ind w:left="1050" w:hanging="525"/>
        <w:rPr>
          <w:rFonts w:ascii="宋体" w:hAnsi="宋体" w:eastAsia="宋体" w:cs="Times New Roman"/>
          <w:color w:val="000000" w:themeColor="text1"/>
          <w:kern w:val="2"/>
          <w:sz w:val="24"/>
          <w:szCs w:val="20"/>
          <w14:textFill>
            <w14:solidFill>
              <w14:schemeClr w14:val="tx1"/>
            </w14:solidFill>
          </w14:textFill>
        </w:rPr>
      </w:pPr>
      <w:r>
        <w:rPr>
          <w:rFonts w:hint="eastAsia" w:ascii="宋体" w:hAnsi="宋体" w:eastAsia="宋体" w:cs="Times New Roman"/>
          <w:color w:val="000000" w:themeColor="text1"/>
          <w:kern w:val="2"/>
          <w:sz w:val="24"/>
          <w:szCs w:val="20"/>
          <w14:textFill>
            <w14:solidFill>
              <w14:schemeClr w14:val="tx1"/>
            </w14:solidFill>
          </w14:textFill>
        </w:rPr>
        <w:t>中华人民共和国国家标准：高层民用建筑设计消防规范（GB50045）</w:t>
      </w:r>
    </w:p>
    <w:p>
      <w:pPr>
        <w:numPr>
          <w:ilvl w:val="0"/>
          <w:numId w:val="25"/>
        </w:numPr>
        <w:spacing w:line="360" w:lineRule="auto"/>
        <w:ind w:left="1050" w:hanging="525"/>
        <w:rPr>
          <w:rFonts w:ascii="宋体" w:hAnsi="宋体" w:eastAsia="宋体" w:cs="Times New Roman"/>
          <w:color w:val="000000" w:themeColor="text1"/>
          <w:kern w:val="2"/>
          <w:sz w:val="24"/>
          <w:szCs w:val="20"/>
          <w14:textFill>
            <w14:solidFill>
              <w14:schemeClr w14:val="tx1"/>
            </w14:solidFill>
          </w14:textFill>
        </w:rPr>
      </w:pPr>
      <w:r>
        <w:rPr>
          <w:rFonts w:hint="eastAsia" w:ascii="宋体" w:hAnsi="宋体" w:eastAsia="宋体" w:cs="Times New Roman"/>
          <w:color w:val="000000" w:themeColor="text1"/>
          <w:kern w:val="2"/>
          <w:sz w:val="24"/>
          <w:szCs w:val="20"/>
          <w14:textFill>
            <w14:solidFill>
              <w14:schemeClr w14:val="tx1"/>
            </w14:solidFill>
          </w14:textFill>
        </w:rPr>
        <w:t>及相关现行规范标准规定。</w:t>
      </w:r>
    </w:p>
    <w:p>
      <w:pPr>
        <w:spacing w:line="360" w:lineRule="auto"/>
        <w:rPr>
          <w:rFonts w:ascii="仿宋_GB2312" w:hAnsi="Times New Roman" w:eastAsia="仿宋_GB2312" w:cs="Times New Roman"/>
          <w:color w:val="000000" w:themeColor="text1"/>
          <w:kern w:val="2"/>
          <w:sz w:val="28"/>
          <w:szCs w:val="28"/>
          <w14:textFill>
            <w14:solidFill>
              <w14:schemeClr w14:val="tx1"/>
            </w14:solidFill>
          </w14:textFill>
        </w:rPr>
      </w:pPr>
      <w:r>
        <w:rPr>
          <w:rFonts w:hint="eastAsia" w:ascii="宋体" w:hAnsi="宋体" w:eastAsia="宋体" w:cs="Times New Roman"/>
          <w:color w:val="000000" w:themeColor="text1"/>
          <w:kern w:val="2"/>
          <w:sz w:val="24"/>
          <w:szCs w:val="20"/>
          <w14:textFill>
            <w14:solidFill>
              <w14:schemeClr w14:val="tx1"/>
            </w14:solidFill>
          </w14:textFill>
        </w:rPr>
        <w:t>以上规范以最新发布的为准。</w:t>
      </w:r>
    </w:p>
    <w:p>
      <w:pPr>
        <w:spacing w:line="420" w:lineRule="auto"/>
        <w:ind w:firstLine="480"/>
        <w:jc w:val="center"/>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供货及售后服务要求</w:t>
      </w:r>
    </w:p>
    <w:p>
      <w:pPr>
        <w:spacing w:line="420" w:lineRule="auto"/>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1.货物包装要求：中标供应商负责按国家相关标准进行货物包装，设备的包装均应有良好的防湿、防锈、防潮、防雨、防腐及防碰撞的措施，凡由于包装不良造成的损失和由此产生的费用均由中标供应商承担。</w:t>
      </w:r>
    </w:p>
    <w:p>
      <w:pPr>
        <w:spacing w:line="420" w:lineRule="auto"/>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安装调试要求：中标供应商负责将货物运送至交验地点，负责货物安装现场的搬运，并负责产品的安装、调试，并具备正常使用条件。中标供应商负责项目安装调试验收合格前货物的保险，并负责其服务人员服务现场的人身意外保险。</w:t>
      </w:r>
    </w:p>
    <w:p>
      <w:pPr>
        <w:spacing w:line="420" w:lineRule="auto"/>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售后服务要求：质保期（免费维保期）自验收后（特种设备许可证取得之日起）计1年。在质保期内，产品发生故障系产品质量问题的，中标供应商必须无偿更换；超过质保期，产品发生故障的，中标供应商应尽快组织维修，并以市场最低价格提供配件。</w:t>
      </w:r>
    </w:p>
    <w:p>
      <w:pPr>
        <w:spacing w:line="420" w:lineRule="auto"/>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4.响应时间要求：当产品发生故障，中标供应商接到通知后应10分钟做出响应，本地市供应商应在1小时内、外地市供应商应在4小时内赶到现场，负责故障原因的诊断，并尽快排除故障。</w:t>
      </w:r>
    </w:p>
    <w:p>
      <w:pPr>
        <w:spacing w:line="420" w:lineRule="auto"/>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四、其他要求</w:t>
      </w:r>
    </w:p>
    <w:p>
      <w:pPr>
        <w:spacing w:line="420" w:lineRule="auto"/>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1.技术要求中列示的参数为基本要求，技术要求如果有列示的设备或配件的品牌、型号为推荐品牌、型号，仅供供应商参考，不作为限定依据。</w:t>
      </w:r>
    </w:p>
    <w:p>
      <w:pPr>
        <w:spacing w:line="420" w:lineRule="auto"/>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2.法律、法规、规章及相关政策对产品、服务质量及售后等有更严格规定的，从其规定。</w:t>
      </w:r>
    </w:p>
    <w:p>
      <w:pPr>
        <w:spacing w:line="420" w:lineRule="auto"/>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3.供应商应本着服务客户、为客户着想的宗旨，来完善产品及技术要求未尽事宜，不得以招标文件未列明事项为由，来降低投标产品的质量。</w:t>
      </w:r>
    </w:p>
    <w:p>
      <w:pPr>
        <w:spacing w:line="420" w:lineRule="auto"/>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4.供应商根据招标文件的规定和采购项目的实际情况，拟在中标后将中标项目的非主体、非关键性工作分包的，应当在投标文件中载明分包承担主体，分包承担主体应当具备相应资质条件且不得再次分包。</w:t>
      </w:r>
    </w:p>
    <w:p>
      <w:pPr>
        <w:spacing w:line="420" w:lineRule="auto"/>
        <w:ind w:firstLine="48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5.招标文件未载明的相关事项必须遵守相关法律法规及规定。</w:t>
      </w:r>
    </w:p>
    <w:p>
      <w:pPr>
        <w:spacing w:line="420" w:lineRule="auto"/>
        <w:ind w:firstLine="480"/>
        <w:rPr>
          <w:rFonts w:ascii="宋体" w:hAnsi="宋体" w:eastAsia="宋体" w:cs="宋体"/>
          <w:color w:val="000000" w:themeColor="text1"/>
          <w:sz w:val="24"/>
          <w14:textFill>
            <w14:solidFill>
              <w14:schemeClr w14:val="tx1"/>
            </w14:solidFill>
          </w14:textFill>
        </w:rPr>
      </w:pPr>
    </w:p>
    <w:p>
      <w:pPr>
        <w:spacing w:line="420" w:lineRule="auto"/>
        <w:ind w:firstLine="480"/>
        <w:rPr>
          <w:rFonts w:ascii="宋体" w:hAnsi="宋体" w:eastAsia="宋体" w:cs="宋体"/>
          <w:color w:val="000000" w:themeColor="text1"/>
          <w:sz w:val="24"/>
          <w14:textFill>
            <w14:solidFill>
              <w14:schemeClr w14:val="tx1"/>
            </w14:solidFill>
          </w14:textFill>
        </w:rPr>
      </w:pPr>
    </w:p>
    <w:p>
      <w:pPr>
        <w:spacing w:line="420" w:lineRule="auto"/>
        <w:ind w:firstLine="480"/>
        <w:rPr>
          <w:rFonts w:ascii="宋体" w:hAnsi="宋体" w:eastAsia="宋体" w:cs="宋体"/>
          <w:color w:val="000000" w:themeColor="text1"/>
          <w:sz w:val="24"/>
          <w14:textFill>
            <w14:solidFill>
              <w14:schemeClr w14:val="tx1"/>
            </w14:solidFill>
          </w14:textFill>
        </w:rPr>
      </w:pPr>
    </w:p>
    <w:p>
      <w:pPr>
        <w:spacing w:line="420" w:lineRule="auto"/>
        <w:ind w:firstLine="480"/>
        <w:rPr>
          <w:rFonts w:ascii="宋体" w:hAnsi="宋体" w:eastAsia="宋体" w:cs="宋体"/>
          <w:color w:val="000000" w:themeColor="text1"/>
          <w:sz w:val="24"/>
          <w14:textFill>
            <w14:solidFill>
              <w14:schemeClr w14:val="tx1"/>
            </w14:solidFill>
          </w14:textFill>
        </w:rPr>
      </w:pPr>
    </w:p>
    <w:p>
      <w:pPr>
        <w:spacing w:line="420" w:lineRule="auto"/>
        <w:ind w:firstLine="480"/>
        <w:rPr>
          <w:rFonts w:ascii="宋体" w:hAnsi="宋体" w:eastAsia="宋体" w:cs="宋体"/>
          <w:color w:val="000000" w:themeColor="text1"/>
          <w:sz w:val="24"/>
          <w14:textFill>
            <w14:solidFill>
              <w14:schemeClr w14:val="tx1"/>
            </w14:solidFill>
          </w14:textFill>
        </w:rPr>
      </w:pPr>
    </w:p>
    <w:p>
      <w:pPr>
        <w:pStyle w:val="2"/>
        <w:jc w:val="center"/>
        <w:rPr>
          <w:color w:val="000000" w:themeColor="text1"/>
          <w14:textFill>
            <w14:solidFill>
              <w14:schemeClr w14:val="tx1"/>
            </w14:solidFill>
          </w14:textFill>
        </w:rPr>
      </w:pPr>
      <w:bookmarkStart w:id="15" w:name="_Toc164239555"/>
      <w:r>
        <w:rPr>
          <w:color w:val="000000" w:themeColor="text1"/>
          <w14:textFill>
            <w14:solidFill>
              <w14:schemeClr w14:val="tx1"/>
            </w14:solidFill>
          </w14:textFill>
        </w:rPr>
        <w:t>第四章  响应性文件内容及格式</w:t>
      </w:r>
      <w:bookmarkEnd w:id="15"/>
    </w:p>
    <w:p>
      <w:pPr>
        <w:spacing w:line="520" w:lineRule="auto"/>
        <w:ind w:firstLine="480"/>
        <w:jc w:val="center"/>
        <w:rPr>
          <w:rFonts w:ascii="宋体" w:hAnsi="宋体" w:eastAsia="宋体" w:cs="宋体"/>
          <w:color w:val="000000" w:themeColor="text1"/>
          <w:sz w:val="24"/>
          <w14:textFill>
            <w14:solidFill>
              <w14:schemeClr w14:val="tx1"/>
            </w14:solidFill>
          </w14:textFill>
        </w:rPr>
      </w:pP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注：请供应商按照以下文件的要求格式、内容，顺序制作响应性文件，并编制目录及页码，否则可能将影响对响应性文件的评价。 </w:t>
      </w:r>
    </w:p>
    <w:p>
      <w:pPr>
        <w:spacing w:line="5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w:t>
      </w:r>
    </w:p>
    <w:p>
      <w:pPr>
        <w:spacing w:line="560" w:lineRule="auto"/>
        <w:ind w:firstLine="482"/>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重要提示：</w:t>
      </w:r>
    </w:p>
    <w:p>
      <w:pPr>
        <w:spacing w:line="5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ascii="宋体" w:hAnsi="宋体" w:eastAsia="宋体" w:cs="宋体"/>
          <w:color w:val="000000" w:themeColor="text1"/>
          <w:sz w:val="24"/>
          <w14:textFill>
            <w14:solidFill>
              <w14:schemeClr w14:val="tx1"/>
            </w14:solidFill>
          </w14:textFill>
        </w:rPr>
        <w:t>．供应商在编制响应性文件时，对于给定格式的文件内容，必须按照给定的标准格式进行填报；对于没有给定标准格式的文件内容，可以由供应商自行设计。</w:t>
      </w:r>
    </w:p>
    <w:p>
      <w:pPr>
        <w:spacing w:line="560" w:lineRule="auto"/>
        <w:ind w:firstLine="48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ascii="宋体" w:hAnsi="宋体" w:eastAsia="宋体" w:cs="宋体"/>
          <w:color w:val="000000" w:themeColor="text1"/>
          <w:sz w:val="24"/>
          <w14:textFill>
            <w14:solidFill>
              <w14:schemeClr w14:val="tx1"/>
            </w14:solidFill>
          </w14:textFill>
        </w:rPr>
        <w:t>.法定代表人本人参加竞争性磋商的，不需提供授权委托书。</w:t>
      </w:r>
    </w:p>
    <w:p>
      <w:pPr>
        <w:jc w:val="left"/>
        <w:rPr>
          <w:rFonts w:ascii="宋体" w:hAnsi="宋体" w:eastAsia="宋体" w:cs="宋体"/>
          <w:color w:val="000000" w:themeColor="text1"/>
          <w:sz w:val="24"/>
          <w14:textFill>
            <w14:solidFill>
              <w14:schemeClr w14:val="tx1"/>
            </w14:solidFill>
          </w14:textFill>
        </w:rPr>
      </w:pPr>
    </w:p>
    <w:p>
      <w:pPr>
        <w:jc w:val="left"/>
        <w:rPr>
          <w:rFonts w:ascii="宋体" w:hAnsi="宋体" w:eastAsia="宋体" w:cs="宋体"/>
          <w:color w:val="000000" w:themeColor="text1"/>
          <w:sz w:val="24"/>
          <w14:textFill>
            <w14:solidFill>
              <w14:schemeClr w14:val="tx1"/>
            </w14:solidFill>
          </w14:textFill>
        </w:rPr>
      </w:pPr>
    </w:p>
    <w:p>
      <w:pPr>
        <w:jc w:val="left"/>
        <w:rPr>
          <w:rFonts w:ascii="宋体" w:hAnsi="宋体" w:eastAsia="宋体" w:cs="宋体"/>
          <w:color w:val="000000" w:themeColor="text1"/>
          <w:sz w:val="24"/>
          <w14:textFill>
            <w14:solidFill>
              <w14:schemeClr w14:val="tx1"/>
            </w14:solidFill>
          </w14:textFill>
        </w:rPr>
      </w:pPr>
    </w:p>
    <w:p>
      <w:pPr>
        <w:jc w:val="left"/>
        <w:rPr>
          <w:rFonts w:ascii="宋体" w:hAnsi="宋体" w:eastAsia="宋体" w:cs="宋体"/>
          <w:color w:val="000000" w:themeColor="text1"/>
          <w:sz w:val="24"/>
          <w14:textFill>
            <w14:solidFill>
              <w14:schemeClr w14:val="tx1"/>
            </w14:solidFill>
          </w14:textFill>
        </w:rPr>
      </w:pPr>
    </w:p>
    <w:p>
      <w:pPr>
        <w:jc w:val="left"/>
        <w:rPr>
          <w:rFonts w:ascii="宋体" w:hAnsi="宋体" w:eastAsia="宋体" w:cs="宋体"/>
          <w:color w:val="000000" w:themeColor="text1"/>
          <w:sz w:val="24"/>
          <w14:textFill>
            <w14:solidFill>
              <w14:schemeClr w14:val="tx1"/>
            </w14:solidFill>
          </w14:textFill>
        </w:rPr>
      </w:pPr>
    </w:p>
    <w:p>
      <w:pPr>
        <w:jc w:val="left"/>
        <w:rPr>
          <w:rFonts w:ascii="宋体" w:hAnsi="宋体" w:eastAsia="宋体" w:cs="宋体"/>
          <w:color w:val="000000" w:themeColor="text1"/>
          <w:sz w:val="24"/>
          <w14:textFill>
            <w14:solidFill>
              <w14:schemeClr w14:val="tx1"/>
            </w14:solidFill>
          </w14:textFill>
        </w:rPr>
      </w:pPr>
    </w:p>
    <w:p>
      <w:pPr>
        <w:jc w:val="left"/>
        <w:rPr>
          <w:rFonts w:ascii="宋体" w:hAnsi="宋体" w:eastAsia="宋体" w:cs="宋体"/>
          <w:color w:val="000000" w:themeColor="text1"/>
          <w:sz w:val="24"/>
          <w14:textFill>
            <w14:solidFill>
              <w14:schemeClr w14:val="tx1"/>
            </w14:solidFill>
          </w14:textFill>
        </w:rPr>
      </w:pPr>
    </w:p>
    <w:p>
      <w:pPr>
        <w:jc w:val="left"/>
        <w:rPr>
          <w:rFonts w:ascii="宋体" w:hAnsi="宋体" w:eastAsia="宋体" w:cs="宋体"/>
          <w:color w:val="000000" w:themeColor="text1"/>
          <w:sz w:val="24"/>
          <w14:textFill>
            <w14:solidFill>
              <w14:schemeClr w14:val="tx1"/>
            </w14:solidFill>
          </w14:textFill>
        </w:rPr>
      </w:pPr>
    </w:p>
    <w:p>
      <w:pPr>
        <w:jc w:val="left"/>
        <w:rPr>
          <w:rFonts w:ascii="宋体" w:hAnsi="宋体" w:eastAsia="宋体" w:cs="宋体"/>
          <w:color w:val="000000" w:themeColor="text1"/>
          <w:sz w:val="24"/>
          <w14:textFill>
            <w14:solidFill>
              <w14:schemeClr w14:val="tx1"/>
            </w14:solidFill>
          </w14:textFill>
        </w:rPr>
      </w:pPr>
    </w:p>
    <w:p>
      <w:pPr>
        <w:jc w:val="left"/>
        <w:rPr>
          <w:rFonts w:ascii="宋体" w:hAnsi="宋体" w:eastAsia="宋体" w:cs="宋体"/>
          <w:color w:val="000000" w:themeColor="text1"/>
          <w:sz w:val="24"/>
          <w14:textFill>
            <w14:solidFill>
              <w14:schemeClr w14:val="tx1"/>
            </w14:solidFill>
          </w14:textFill>
        </w:rPr>
      </w:pPr>
    </w:p>
    <w:p>
      <w:pPr>
        <w:jc w:val="left"/>
        <w:rPr>
          <w:rFonts w:ascii="宋体" w:hAnsi="宋体" w:eastAsia="宋体" w:cs="宋体"/>
          <w:color w:val="000000" w:themeColor="text1"/>
          <w:sz w:val="24"/>
          <w14:textFill>
            <w14:solidFill>
              <w14:schemeClr w14:val="tx1"/>
            </w14:solidFill>
          </w14:textFill>
        </w:rPr>
      </w:pPr>
    </w:p>
    <w:p>
      <w:pPr>
        <w:jc w:val="left"/>
        <w:rPr>
          <w:rFonts w:ascii="宋体" w:hAnsi="宋体" w:eastAsia="宋体" w:cs="宋体"/>
          <w:color w:val="000000" w:themeColor="text1"/>
          <w:sz w:val="24"/>
          <w14:textFill>
            <w14:solidFill>
              <w14:schemeClr w14:val="tx1"/>
            </w14:solidFill>
          </w14:textFill>
        </w:rPr>
      </w:pPr>
    </w:p>
    <w:p>
      <w:pPr>
        <w:jc w:val="left"/>
        <w:rPr>
          <w:rFonts w:ascii="宋体" w:hAnsi="宋体" w:eastAsia="宋体" w:cs="宋体"/>
          <w:color w:val="000000" w:themeColor="text1"/>
          <w:sz w:val="24"/>
          <w14:textFill>
            <w14:solidFill>
              <w14:schemeClr w14:val="tx1"/>
            </w14:solidFill>
          </w14:textFill>
        </w:rPr>
      </w:pPr>
    </w:p>
    <w:p>
      <w:pPr>
        <w:jc w:val="left"/>
        <w:rPr>
          <w:rFonts w:ascii="宋体" w:hAnsi="宋体" w:eastAsia="宋体" w:cs="宋体"/>
          <w:color w:val="000000" w:themeColor="text1"/>
          <w:sz w:val="24"/>
          <w14:textFill>
            <w14:solidFill>
              <w14:schemeClr w14:val="tx1"/>
            </w14:solidFill>
          </w14:textFill>
        </w:rPr>
      </w:pPr>
    </w:p>
    <w:p>
      <w:pPr>
        <w:tabs>
          <w:tab w:val="left" w:pos="0"/>
          <w:tab w:val="left" w:pos="993"/>
          <w:tab w:val="left" w:pos="1134"/>
        </w:tabs>
        <w:ind w:firstLine="480"/>
        <w:rPr>
          <w:rFonts w:ascii="宋体" w:hAnsi="宋体" w:eastAsia="宋体" w:cs="宋体"/>
          <w:color w:val="000000" w:themeColor="text1"/>
          <w:sz w:val="24"/>
          <w14:textFill>
            <w14:solidFill>
              <w14:schemeClr w14:val="tx1"/>
            </w14:solidFill>
          </w14:textFill>
        </w:rPr>
      </w:pPr>
    </w:p>
    <w:p>
      <w:pPr>
        <w:tabs>
          <w:tab w:val="left" w:pos="0"/>
          <w:tab w:val="left" w:pos="993"/>
          <w:tab w:val="left" w:pos="1134"/>
        </w:tabs>
        <w:ind w:firstLine="480"/>
        <w:rPr>
          <w:rFonts w:ascii="宋体" w:hAnsi="宋体" w:eastAsia="宋体" w:cs="宋体"/>
          <w:color w:val="000000" w:themeColor="text1"/>
          <w:sz w:val="24"/>
          <w14:textFill>
            <w14:solidFill>
              <w14:schemeClr w14:val="tx1"/>
            </w14:solidFill>
          </w14:textFill>
        </w:rPr>
      </w:pPr>
    </w:p>
    <w:p>
      <w:pPr>
        <w:tabs>
          <w:tab w:val="left" w:pos="0"/>
          <w:tab w:val="left" w:pos="993"/>
          <w:tab w:val="left" w:pos="1134"/>
        </w:tabs>
        <w:ind w:firstLine="480"/>
        <w:rPr>
          <w:rFonts w:ascii="宋体" w:hAnsi="宋体" w:eastAsia="宋体" w:cs="宋体"/>
          <w:color w:val="000000" w:themeColor="text1"/>
          <w:sz w:val="24"/>
          <w14:textFill>
            <w14:solidFill>
              <w14:schemeClr w14:val="tx1"/>
            </w14:solidFill>
          </w14:textFill>
        </w:rPr>
      </w:pPr>
    </w:p>
    <w:p>
      <w:pPr>
        <w:tabs>
          <w:tab w:val="left" w:pos="0"/>
          <w:tab w:val="left" w:pos="993"/>
          <w:tab w:val="left" w:pos="1134"/>
        </w:tabs>
        <w:ind w:firstLine="480"/>
        <w:rPr>
          <w:rFonts w:ascii="宋体" w:hAnsi="宋体" w:eastAsia="宋体" w:cs="宋体"/>
          <w:color w:val="000000" w:themeColor="text1"/>
          <w:sz w:val="24"/>
          <w14:textFill>
            <w14:solidFill>
              <w14:schemeClr w14:val="tx1"/>
            </w14:solidFill>
          </w14:textFill>
        </w:rPr>
      </w:pPr>
    </w:p>
    <w:p>
      <w:pPr>
        <w:jc w:val="left"/>
        <w:rPr>
          <w:rFonts w:ascii="宋体" w:hAnsi="宋体" w:eastAsia="宋体" w:cs="宋体"/>
          <w:color w:val="000000" w:themeColor="text1"/>
          <w:sz w:val="24"/>
          <w14:textFill>
            <w14:solidFill>
              <w14:schemeClr w14:val="tx1"/>
            </w14:solidFill>
          </w14:textFill>
        </w:rPr>
      </w:pPr>
    </w:p>
    <w:p>
      <w:pPr>
        <w:jc w:val="left"/>
        <w:rPr>
          <w:rFonts w:ascii="宋体" w:hAnsi="宋体" w:eastAsia="宋体" w:cs="宋体"/>
          <w:color w:val="000000" w:themeColor="text1"/>
          <w:sz w:val="24"/>
          <w14:textFill>
            <w14:solidFill>
              <w14:schemeClr w14:val="tx1"/>
            </w14:solidFill>
          </w14:textFill>
        </w:rPr>
      </w:pPr>
    </w:p>
    <w:p>
      <w:pPr>
        <w:pStyle w:val="20"/>
        <w:ind w:firstLine="21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（格式仅供参考）</w:t>
      </w:r>
    </w:p>
    <w:p>
      <w:pPr>
        <w:pStyle w:val="7"/>
        <w:spacing w:before="312" w:beforeLines="100" w:after="312" w:afterLines="100" w:line="600" w:lineRule="exact"/>
        <w:jc w:val="center"/>
        <w:rPr>
          <w:b/>
          <w:color w:val="000000" w:themeColor="text1"/>
          <w:sz w:val="44"/>
          <w:szCs w:val="44"/>
          <w:u w:val="single"/>
          <w14:textFill>
            <w14:solidFill>
              <w14:schemeClr w14:val="tx1"/>
            </w14:solidFill>
          </w14:textFill>
        </w:rPr>
      </w:pPr>
    </w:p>
    <w:p>
      <w:pPr>
        <w:pStyle w:val="7"/>
        <w:spacing w:before="312" w:beforeLines="100" w:after="312" w:afterLines="100" w:line="600" w:lineRule="exact"/>
        <w:jc w:val="center"/>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t>****</w:t>
      </w:r>
      <w:r>
        <w:rPr>
          <w:rFonts w:hint="eastAsia"/>
          <w:b/>
          <w:color w:val="000000" w:themeColor="text1"/>
          <w:sz w:val="44"/>
          <w:szCs w:val="44"/>
          <w14:textFill>
            <w14:solidFill>
              <w14:schemeClr w14:val="tx1"/>
            </w14:solidFill>
          </w14:textFill>
        </w:rPr>
        <w:t>项目竞争性磋商</w:t>
      </w:r>
    </w:p>
    <w:p>
      <w:pPr>
        <w:pStyle w:val="7"/>
        <w:spacing w:before="312" w:beforeLines="100" w:after="312" w:afterLines="100" w:line="600" w:lineRule="exact"/>
        <w:jc w:val="center"/>
        <w:rPr>
          <w:b/>
          <w:bCs/>
          <w:color w:val="000000" w:themeColor="text1"/>
          <w:sz w:val="32"/>
          <w:u w:val="single"/>
          <w14:textFill>
            <w14:solidFill>
              <w14:schemeClr w14:val="tx1"/>
            </w14:solidFill>
          </w14:textFill>
        </w:rPr>
      </w:pPr>
    </w:p>
    <w:p>
      <w:pPr>
        <w:pStyle w:val="7"/>
        <w:spacing w:before="312" w:beforeLines="100" w:after="312" w:afterLines="100" w:line="600" w:lineRule="exact"/>
        <w:jc w:val="center"/>
        <w:rPr>
          <w:b/>
          <w:bCs/>
          <w:color w:val="000000" w:themeColor="text1"/>
          <w:sz w:val="32"/>
          <w:u w:val="single"/>
          <w14:textFill>
            <w14:solidFill>
              <w14:schemeClr w14:val="tx1"/>
            </w14:solidFill>
          </w14:textFill>
        </w:rPr>
      </w:pPr>
    </w:p>
    <w:p>
      <w:pPr>
        <w:pStyle w:val="7"/>
        <w:spacing w:before="312" w:beforeLines="100" w:after="312" w:afterLines="100" w:line="600" w:lineRule="exact"/>
        <w:jc w:val="center"/>
        <w:rPr>
          <w:b/>
          <w:bCs/>
          <w:color w:val="000000" w:themeColor="text1"/>
          <w:sz w:val="32"/>
          <w:u w:val="single"/>
          <w14:textFill>
            <w14:solidFill>
              <w14:schemeClr w14:val="tx1"/>
            </w14:solidFill>
          </w14:textFill>
        </w:rPr>
      </w:pPr>
    </w:p>
    <w:p>
      <w:pPr>
        <w:pStyle w:val="7"/>
        <w:spacing w:before="312" w:beforeLines="100" w:after="312" w:afterLines="100"/>
        <w:jc w:val="center"/>
        <w:rPr>
          <w:b/>
          <w:bCs/>
          <w:color w:val="000000" w:themeColor="text1"/>
          <w:sz w:val="84"/>
          <w:szCs w:val="84"/>
          <w14:textFill>
            <w14:solidFill>
              <w14:schemeClr w14:val="tx1"/>
            </w14:solidFill>
          </w14:textFill>
        </w:rPr>
      </w:pPr>
      <w:r>
        <w:rPr>
          <w:rFonts w:hint="eastAsia"/>
          <w:b/>
          <w:bCs/>
          <w:color w:val="000000" w:themeColor="text1"/>
          <w:sz w:val="84"/>
          <w:szCs w:val="84"/>
          <w14:textFill>
            <w14:solidFill>
              <w14:schemeClr w14:val="tx1"/>
            </w14:solidFill>
          </w14:textFill>
        </w:rPr>
        <w:t>响应文件</w:t>
      </w:r>
    </w:p>
    <w:p>
      <w:pPr>
        <w:pStyle w:val="7"/>
        <w:spacing w:before="312" w:beforeLines="100" w:after="312" w:afterLines="100" w:line="600" w:lineRule="exact"/>
        <w:jc w:val="center"/>
        <w:rPr>
          <w:bCs/>
          <w:color w:val="000000" w:themeColor="text1"/>
          <w:sz w:val="32"/>
          <w:u w:val="single"/>
          <w14:textFill>
            <w14:solidFill>
              <w14:schemeClr w14:val="tx1"/>
            </w14:solidFill>
          </w14:textFill>
        </w:rPr>
      </w:pPr>
      <w:r>
        <w:rPr>
          <w:rFonts w:hint="eastAsia"/>
          <w:bCs/>
          <w:color w:val="000000" w:themeColor="text1"/>
          <w:sz w:val="32"/>
          <w14:textFill>
            <w14:solidFill>
              <w14:schemeClr w14:val="tx1"/>
            </w14:solidFill>
          </w14:textFill>
        </w:rPr>
        <w:t>项目编号</w:t>
      </w:r>
      <w:r>
        <w:rPr>
          <w:bCs/>
          <w:color w:val="000000" w:themeColor="text1"/>
          <w:sz w:val="32"/>
          <w14:textFill>
            <w14:solidFill>
              <w14:schemeClr w14:val="tx1"/>
            </w14:solidFill>
          </w14:textFill>
        </w:rPr>
        <w:t>：</w:t>
      </w:r>
      <w:r>
        <w:rPr>
          <w:b/>
          <w:color w:val="000000" w:themeColor="text1"/>
          <w:sz w:val="44"/>
          <w:szCs w:val="44"/>
          <w14:textFill>
            <w14:solidFill>
              <w14:schemeClr w14:val="tx1"/>
            </w14:solidFill>
          </w14:textFill>
        </w:rPr>
        <w:t>****</w:t>
      </w:r>
    </w:p>
    <w:p>
      <w:pPr>
        <w:pStyle w:val="7"/>
        <w:spacing w:before="312" w:beforeLines="100" w:after="312" w:afterLines="100" w:line="600" w:lineRule="exact"/>
        <w:jc w:val="center"/>
        <w:rPr>
          <w:bCs/>
          <w:color w:val="000000" w:themeColor="text1"/>
          <w:sz w:val="32"/>
          <w14:textFill>
            <w14:solidFill>
              <w14:schemeClr w14:val="tx1"/>
            </w14:solidFill>
          </w14:textFill>
        </w:rPr>
      </w:pPr>
      <w:r>
        <w:rPr>
          <w:rFonts w:hint="eastAsia"/>
          <w:bCs/>
          <w:color w:val="000000" w:themeColor="text1"/>
          <w:sz w:val="32"/>
          <w14:textFill>
            <w14:solidFill>
              <w14:schemeClr w14:val="tx1"/>
            </w14:solidFill>
          </w14:textFill>
        </w:rPr>
        <w:t>（封面）</w:t>
      </w:r>
    </w:p>
    <w:p>
      <w:pPr>
        <w:pStyle w:val="7"/>
        <w:spacing w:before="312" w:beforeLines="100" w:after="312" w:afterLines="100" w:line="600" w:lineRule="exact"/>
        <w:jc w:val="center"/>
        <w:rPr>
          <w:b/>
          <w:bCs/>
          <w:color w:val="000000" w:themeColor="text1"/>
          <w:sz w:val="32"/>
          <w:u w:val="single"/>
          <w14:textFill>
            <w14:solidFill>
              <w14:schemeClr w14:val="tx1"/>
            </w14:solidFill>
          </w14:textFill>
        </w:rPr>
      </w:pPr>
    </w:p>
    <w:p>
      <w:pPr>
        <w:pStyle w:val="7"/>
        <w:spacing w:before="312" w:beforeLines="100" w:after="312" w:afterLines="100" w:line="600" w:lineRule="exact"/>
        <w:jc w:val="center"/>
        <w:rPr>
          <w:b/>
          <w:bCs/>
          <w:color w:val="000000" w:themeColor="text1"/>
          <w:sz w:val="32"/>
          <w:u w:val="single"/>
          <w14:textFill>
            <w14:solidFill>
              <w14:schemeClr w14:val="tx1"/>
            </w14:solidFill>
          </w14:textFill>
        </w:rPr>
      </w:pPr>
    </w:p>
    <w:p>
      <w:pPr>
        <w:pStyle w:val="7"/>
        <w:spacing w:before="312" w:beforeLines="100" w:after="312" w:afterLines="100" w:line="600" w:lineRule="exact"/>
        <w:jc w:val="center"/>
        <w:rPr>
          <w:b/>
          <w:bCs/>
          <w:color w:val="000000" w:themeColor="text1"/>
          <w:sz w:val="32"/>
          <w:u w:val="single"/>
          <w14:textFill>
            <w14:solidFill>
              <w14:schemeClr w14:val="tx1"/>
            </w14:solidFill>
          </w14:textFill>
        </w:rPr>
      </w:pPr>
    </w:p>
    <w:p>
      <w:pPr>
        <w:pStyle w:val="7"/>
        <w:spacing w:before="312" w:beforeLines="100" w:after="312" w:afterLines="100" w:line="600" w:lineRule="exact"/>
        <w:jc w:val="center"/>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 xml:space="preserve"> 供  应  商：</w:t>
      </w:r>
      <w:r>
        <w:rPr>
          <w:rFonts w:hint="eastAsia"/>
          <w:color w:val="000000" w:themeColor="text1"/>
          <w:sz w:val="32"/>
          <w:szCs w:val="32"/>
          <w:u w:val="single"/>
          <w14:textFill>
            <w14:solidFill>
              <w14:schemeClr w14:val="tx1"/>
            </w14:solidFill>
          </w14:textFill>
        </w:rPr>
        <w:t xml:space="preserve"> </w:t>
      </w:r>
      <w:r>
        <w:rPr>
          <w:color w:val="000000" w:themeColor="text1"/>
          <w:sz w:val="32"/>
          <w:szCs w:val="32"/>
          <w:u w:val="single"/>
          <w14:textFill>
            <w14:solidFill>
              <w14:schemeClr w14:val="tx1"/>
            </w14:solidFill>
          </w14:textFill>
        </w:rPr>
        <w:t xml:space="preserve">                   </w:t>
      </w:r>
      <w:r>
        <w:rPr>
          <w:rFonts w:hint="eastAsia"/>
          <w:color w:val="000000" w:themeColor="text1"/>
          <w:sz w:val="32"/>
          <w:szCs w:val="32"/>
          <w14:textFill>
            <w14:solidFill>
              <w14:schemeClr w14:val="tx1"/>
            </w14:solidFill>
          </w14:textFill>
        </w:rPr>
        <w:t>（电子签章）</w:t>
      </w:r>
    </w:p>
    <w:p>
      <w:pPr>
        <w:pStyle w:val="7"/>
        <w:spacing w:before="312" w:beforeLines="100" w:after="312" w:afterLines="100" w:line="600" w:lineRule="exact"/>
        <w:ind w:firstLine="633" w:firstLineChars="198"/>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法定代表人或其委托代理人：</w:t>
      </w:r>
      <w:r>
        <w:rPr>
          <w:rFonts w:hint="eastAsia"/>
          <w:color w:val="000000" w:themeColor="text1"/>
          <w:sz w:val="32"/>
          <w:szCs w:val="32"/>
          <w:u w:val="single"/>
          <w14:textFill>
            <w14:solidFill>
              <w14:schemeClr w14:val="tx1"/>
            </w14:solidFill>
          </w14:textFill>
        </w:rPr>
        <w:t xml:space="preserve"> </w:t>
      </w:r>
      <w:r>
        <w:rPr>
          <w:color w:val="000000" w:themeColor="text1"/>
          <w:sz w:val="32"/>
          <w:szCs w:val="32"/>
          <w:u w:val="single"/>
          <w14:textFill>
            <w14:solidFill>
              <w14:schemeClr w14:val="tx1"/>
            </w14:solidFill>
          </w14:textFill>
        </w:rPr>
        <w:t xml:space="preserve">         </w:t>
      </w:r>
      <w:r>
        <w:rPr>
          <w:rFonts w:hint="eastAsia"/>
          <w:color w:val="000000" w:themeColor="text1"/>
          <w:sz w:val="32"/>
          <w:szCs w:val="32"/>
          <w14:textFill>
            <w14:solidFill>
              <w14:schemeClr w14:val="tx1"/>
            </w14:solidFill>
          </w14:textFill>
        </w:rPr>
        <w:t>（签字）</w:t>
      </w:r>
    </w:p>
    <w:p>
      <w:pPr>
        <w:pStyle w:val="6"/>
        <w:spacing w:line="500" w:lineRule="exact"/>
        <w:ind w:left="0" w:leftChars="0" w:firstLine="2262" w:firstLineChars="707"/>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 xml:space="preserve">日期： </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 xml:space="preserve">年 </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 xml:space="preserve">月 </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日</w:t>
      </w:r>
    </w:p>
    <w:p>
      <w:pPr>
        <w:pStyle w:val="20"/>
        <w:ind w:firstLine="210"/>
        <w:rPr>
          <w:color w:val="000000" w:themeColor="text1"/>
          <w14:textFill>
            <w14:solidFill>
              <w14:schemeClr w14:val="tx1"/>
            </w14:solidFill>
          </w14:textFill>
        </w:rPr>
      </w:pPr>
    </w:p>
    <w:p>
      <w:pPr>
        <w:spacing w:line="360" w:lineRule="auto"/>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格式2-1</w:t>
      </w:r>
    </w:p>
    <w:p>
      <w:pPr>
        <w:spacing w:line="360" w:lineRule="auto"/>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法定代表人身份证明书</w:t>
      </w:r>
    </w:p>
    <w:p>
      <w:pPr>
        <w:spacing w:line="360" w:lineRule="auto"/>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（法定代表人参加竞争性磋商的，出具此证明书）</w:t>
      </w:r>
    </w:p>
    <w:p>
      <w:pPr>
        <w:spacing w:line="360" w:lineRule="auto"/>
        <w:ind w:firstLine="480"/>
        <w:rPr>
          <w:rFonts w:ascii="宋体" w:hAnsi="宋体" w:eastAsia="宋体" w:cs="宋体"/>
          <w:color w:val="000000" w:themeColor="text1"/>
          <w:sz w:val="24"/>
          <w14:textFill>
            <w14:solidFill>
              <w14:schemeClr w14:val="tx1"/>
            </w14:solidFill>
          </w14:textFill>
        </w:rPr>
      </w:pPr>
    </w:p>
    <w:p>
      <w:pPr>
        <w:spacing w:line="3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同志，系我单位法定代表人，任</w:t>
      </w:r>
    </w:p>
    <w:p>
      <w:pPr>
        <w:spacing w:line="360" w:lineRule="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职务。</w:t>
      </w:r>
    </w:p>
    <w:p>
      <w:pPr>
        <w:spacing w:line="3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特此证明。</w:t>
      </w:r>
    </w:p>
    <w:p>
      <w:pPr>
        <w:spacing w:line="3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附：联系地址：               </w:t>
      </w:r>
    </w:p>
    <w:p>
      <w:pPr>
        <w:spacing w:line="360" w:lineRule="auto"/>
        <w:ind w:firstLine="960"/>
        <w:rPr>
          <w:rFonts w:ascii="宋体" w:hAnsi="宋体" w:eastAsia="宋体" w:cs="宋体"/>
          <w:b/>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联系电话：</w:t>
      </w:r>
    </w:p>
    <w:tbl>
      <w:tblPr>
        <w:tblStyle w:val="14"/>
        <w:tblW w:w="0" w:type="auto"/>
        <w:tblInd w:w="0" w:type="dxa"/>
        <w:tblLayout w:type="autofit"/>
        <w:tblCellMar>
          <w:top w:w="0" w:type="dxa"/>
          <w:left w:w="10" w:type="dxa"/>
          <w:bottom w:w="0" w:type="dxa"/>
          <w:right w:w="10" w:type="dxa"/>
        </w:tblCellMar>
      </w:tblPr>
      <w:tblGrid>
        <w:gridCol w:w="5328"/>
      </w:tblGrid>
      <w:tr>
        <w:tblPrEx>
          <w:tblCellMar>
            <w:top w:w="0" w:type="dxa"/>
            <w:left w:w="10" w:type="dxa"/>
            <w:bottom w:w="0" w:type="dxa"/>
            <w:right w:w="10" w:type="dxa"/>
          </w:tblCellMar>
        </w:tblPrEx>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rPr>
                <w:rFonts w:ascii="宋体" w:hAnsi="宋体" w:eastAsia="宋体" w:cs="宋体"/>
                <w:b/>
                <w:color w:val="000000" w:themeColor="text1"/>
                <w:sz w:val="24"/>
                <w14:textFill>
                  <w14:solidFill>
                    <w14:schemeClr w14:val="tx1"/>
                  </w14:solidFill>
                </w14:textFill>
              </w:rPr>
            </w:pPr>
          </w:p>
          <w:p>
            <w:pPr>
              <w:spacing w:line="480" w:lineRule="auto"/>
              <w:rPr>
                <w:rFonts w:ascii="宋体" w:hAnsi="宋体" w:eastAsia="宋体" w:cs="宋体"/>
                <w:b/>
                <w:color w:val="000000" w:themeColor="text1"/>
                <w:sz w:val="24"/>
                <w14:textFill>
                  <w14:solidFill>
                    <w14:schemeClr w14:val="tx1"/>
                  </w14:solidFill>
                </w14:textFill>
              </w:rPr>
            </w:pPr>
          </w:p>
          <w:p>
            <w:pPr>
              <w:spacing w:line="480" w:lineRule="auto"/>
              <w:jc w:val="center"/>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（※附：法定代表人身份证复印件※）</w:t>
            </w:r>
          </w:p>
          <w:p>
            <w:pPr>
              <w:spacing w:line="480" w:lineRule="auto"/>
              <w:rPr>
                <w:rFonts w:ascii="宋体" w:hAnsi="宋体" w:eastAsia="宋体" w:cs="宋体"/>
                <w:color w:val="000000" w:themeColor="text1"/>
                <w:sz w:val="24"/>
                <w14:textFill>
                  <w14:solidFill>
                    <w14:schemeClr w14:val="tx1"/>
                  </w14:solidFill>
                </w14:textFill>
              </w:rPr>
            </w:pPr>
          </w:p>
          <w:p>
            <w:pPr>
              <w:spacing w:line="480" w:lineRule="auto"/>
              <w:rPr>
                <w:rFonts w:ascii="宋体" w:hAnsi="宋体" w:eastAsia="宋体" w:cs="宋体"/>
                <w:color w:val="000000" w:themeColor="text1"/>
                <w14:textFill>
                  <w14:solidFill>
                    <w14:schemeClr w14:val="tx1"/>
                  </w14:solidFill>
                </w14:textFill>
              </w:rPr>
            </w:pPr>
          </w:p>
        </w:tc>
      </w:tr>
    </w:tbl>
    <w:p>
      <w:pPr>
        <w:spacing w:line="360" w:lineRule="auto"/>
        <w:rPr>
          <w:rFonts w:ascii="宋体" w:hAnsi="宋体" w:eastAsia="宋体" w:cs="宋体"/>
          <w:color w:val="000000" w:themeColor="text1"/>
          <w:sz w:val="24"/>
          <w14:textFill>
            <w14:solidFill>
              <w14:schemeClr w14:val="tx1"/>
            </w14:solidFill>
          </w14:textFill>
        </w:rPr>
      </w:pPr>
    </w:p>
    <w:p>
      <w:pPr>
        <w:spacing w:line="360" w:lineRule="auto"/>
        <w:jc w:val="center"/>
        <w:rPr>
          <w:rFonts w:ascii="宋体" w:hAnsi="宋体" w:eastAsia="宋体" w:cs="宋体"/>
          <w:color w:val="000000" w:themeColor="text1"/>
          <w:sz w:val="24"/>
          <w14:textFill>
            <w14:solidFill>
              <w14:schemeClr w14:val="tx1"/>
            </w14:solidFill>
          </w14:textFill>
        </w:rPr>
      </w:pPr>
    </w:p>
    <w:p>
      <w:pPr>
        <w:spacing w:line="360" w:lineRule="auto"/>
        <w:ind w:firstLine="384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投标人电子签章： </w:t>
      </w:r>
    </w:p>
    <w:p>
      <w:pPr>
        <w:spacing w:line="360" w:lineRule="auto"/>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年   月  日</w:t>
      </w:r>
    </w:p>
    <w:p>
      <w:pPr>
        <w:spacing w:line="360" w:lineRule="auto"/>
        <w:jc w:val="center"/>
        <w:rPr>
          <w:rFonts w:ascii="宋体" w:hAnsi="宋体" w:eastAsia="宋体" w:cs="宋体"/>
          <w:color w:val="000000" w:themeColor="text1"/>
          <w:sz w:val="24"/>
          <w14:textFill>
            <w14:solidFill>
              <w14:schemeClr w14:val="tx1"/>
            </w14:solidFill>
          </w14:textFill>
        </w:rPr>
      </w:pPr>
    </w:p>
    <w:p>
      <w:pPr>
        <w:spacing w:line="360" w:lineRule="auto"/>
        <w:jc w:val="center"/>
        <w:rPr>
          <w:rFonts w:ascii="宋体" w:hAnsi="宋体" w:eastAsia="宋体" w:cs="宋体"/>
          <w:color w:val="000000" w:themeColor="text1"/>
          <w:sz w:val="24"/>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spacing w:line="360" w:lineRule="auto"/>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格式2-2</w:t>
      </w:r>
    </w:p>
    <w:p>
      <w:pPr>
        <w:spacing w:line="360" w:lineRule="auto"/>
        <w:ind w:firstLine="480"/>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授权委托书</w:t>
      </w:r>
    </w:p>
    <w:p>
      <w:pPr>
        <w:spacing w:line="360" w:lineRule="auto"/>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（委托代理人参加竞争性磋商的，出具此证明书）</w:t>
      </w:r>
    </w:p>
    <w:p>
      <w:pPr>
        <w:spacing w:line="360" w:lineRule="auto"/>
        <w:ind w:firstLine="480"/>
        <w:rPr>
          <w:rFonts w:ascii="宋体" w:hAnsi="宋体" w:eastAsia="宋体" w:cs="宋体"/>
          <w:color w:val="000000" w:themeColor="text1"/>
          <w:sz w:val="24"/>
          <w14:textFill>
            <w14:solidFill>
              <w14:schemeClr w14:val="tx1"/>
            </w14:solidFill>
          </w14:textFill>
        </w:rPr>
      </w:pPr>
    </w:p>
    <w:p>
      <w:pPr>
        <w:spacing w:line="3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委托人授权（被委托人的姓名、职务）为委托人的委托代理人，就项目编号为的项目及合同的执行，以本单位名义处理一切与之有关的事务。</w:t>
      </w:r>
    </w:p>
    <w:p>
      <w:pPr>
        <w:spacing w:line="3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本授权书于年月日签字生效，特此声明。</w:t>
      </w: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委托人：</w:t>
      </w:r>
    </w:p>
    <w:p>
      <w:pPr>
        <w:spacing w:line="3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投标人电子公章：           </w:t>
      </w:r>
    </w:p>
    <w:p>
      <w:pPr>
        <w:spacing w:line="3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被委托人：</w:t>
      </w:r>
    </w:p>
    <w:p>
      <w:pPr>
        <w:spacing w:line="360" w:lineRule="auto"/>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法定代表人：</w:t>
      </w:r>
    </w:p>
    <w:tbl>
      <w:tblPr>
        <w:tblStyle w:val="14"/>
        <w:tblW w:w="0" w:type="auto"/>
        <w:tblInd w:w="0" w:type="dxa"/>
        <w:tblLayout w:type="autofit"/>
        <w:tblCellMar>
          <w:top w:w="0" w:type="dxa"/>
          <w:left w:w="10" w:type="dxa"/>
          <w:bottom w:w="0" w:type="dxa"/>
          <w:right w:w="10" w:type="dxa"/>
        </w:tblCellMar>
      </w:tblPr>
      <w:tblGrid>
        <w:gridCol w:w="5508"/>
      </w:tblGrid>
      <w:tr>
        <w:tblPrEx>
          <w:tblCellMar>
            <w:top w:w="0" w:type="dxa"/>
            <w:left w:w="10" w:type="dxa"/>
            <w:bottom w:w="0" w:type="dxa"/>
            <w:right w:w="10" w:type="dxa"/>
          </w:tblCellMar>
        </w:tblPrEx>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480" w:lineRule="auto"/>
              <w:rPr>
                <w:rFonts w:ascii="宋体" w:hAnsi="宋体" w:eastAsia="宋体" w:cs="宋体"/>
                <w:b/>
                <w:color w:val="000000" w:themeColor="text1"/>
                <w:sz w:val="24"/>
                <w14:textFill>
                  <w14:solidFill>
                    <w14:schemeClr w14:val="tx1"/>
                  </w14:solidFill>
                </w14:textFill>
              </w:rPr>
            </w:pPr>
          </w:p>
          <w:p>
            <w:pPr>
              <w:spacing w:line="480" w:lineRule="auto"/>
              <w:rPr>
                <w:rFonts w:ascii="宋体" w:hAnsi="宋体" w:eastAsia="宋体" w:cs="宋体"/>
                <w:b/>
                <w:color w:val="000000" w:themeColor="text1"/>
                <w:sz w:val="24"/>
                <w14:textFill>
                  <w14:solidFill>
                    <w14:schemeClr w14:val="tx1"/>
                  </w14:solidFill>
                </w14:textFill>
              </w:rPr>
            </w:pPr>
          </w:p>
          <w:p>
            <w:pPr>
              <w:spacing w:line="480"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（※附：被委托人身份证复印件※）</w:t>
            </w:r>
          </w:p>
        </w:tc>
      </w:tr>
    </w:tbl>
    <w:p>
      <w:pPr>
        <w:spacing w:line="360" w:lineRule="auto"/>
        <w:ind w:firstLine="480"/>
        <w:rPr>
          <w:rFonts w:ascii="宋体" w:hAnsi="宋体" w:eastAsia="宋体" w:cs="宋体"/>
          <w:color w:val="000000" w:themeColor="text1"/>
          <w:sz w:val="24"/>
          <w14:textFill>
            <w14:solidFill>
              <w14:schemeClr w14:val="tx1"/>
            </w14:solidFill>
          </w14:textFill>
        </w:rPr>
      </w:pPr>
    </w:p>
    <w:p>
      <w:pPr>
        <w:spacing w:line="360" w:lineRule="auto"/>
        <w:jc w:val="center"/>
        <w:rPr>
          <w:rFonts w:ascii="宋体" w:hAnsi="宋体" w:eastAsia="宋体" w:cs="宋体"/>
          <w:color w:val="000000" w:themeColor="text1"/>
          <w:sz w:val="24"/>
          <w14:textFill>
            <w14:solidFill>
              <w14:schemeClr w14:val="tx1"/>
            </w14:solidFill>
          </w14:textFill>
        </w:rPr>
      </w:pPr>
    </w:p>
    <w:p>
      <w:pPr>
        <w:spacing w:line="360" w:lineRule="auto"/>
        <w:jc w:val="center"/>
        <w:rPr>
          <w:rFonts w:ascii="宋体" w:hAnsi="宋体" w:eastAsia="宋体" w:cs="宋体"/>
          <w:color w:val="000000" w:themeColor="text1"/>
          <w:sz w:val="24"/>
          <w14:textFill>
            <w14:solidFill>
              <w14:schemeClr w14:val="tx1"/>
            </w14:solidFill>
          </w14:textFill>
        </w:rPr>
      </w:pPr>
    </w:p>
    <w:p>
      <w:pPr>
        <w:spacing w:line="360" w:lineRule="auto"/>
        <w:jc w:val="center"/>
        <w:rPr>
          <w:rFonts w:ascii="宋体" w:hAnsi="宋体" w:eastAsia="宋体" w:cs="宋体"/>
          <w:color w:val="000000" w:themeColor="text1"/>
          <w:sz w:val="24"/>
          <w14:textFill>
            <w14:solidFill>
              <w14:schemeClr w14:val="tx1"/>
            </w14:solidFill>
          </w14:textFill>
        </w:rPr>
      </w:pPr>
    </w:p>
    <w:p>
      <w:pPr>
        <w:spacing w:line="360" w:lineRule="auto"/>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投标人电子公章：                                       </w:t>
      </w:r>
    </w:p>
    <w:p>
      <w:pPr>
        <w:spacing w:line="360" w:lineRule="auto"/>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年   月   日</w:t>
      </w:r>
    </w:p>
    <w:p>
      <w:pPr>
        <w:spacing w:line="360" w:lineRule="auto"/>
        <w:jc w:val="center"/>
        <w:rPr>
          <w:rFonts w:ascii="宋体" w:hAnsi="宋体" w:eastAsia="宋体" w:cs="宋体"/>
          <w:color w:val="000000" w:themeColor="text1"/>
          <w:sz w:val="24"/>
          <w14:textFill>
            <w14:solidFill>
              <w14:schemeClr w14:val="tx1"/>
            </w14:solidFill>
          </w14:textFill>
        </w:rPr>
      </w:pPr>
    </w:p>
    <w:p>
      <w:pPr>
        <w:ind w:firstLine="240"/>
        <w:jc w:val="left"/>
        <w:rPr>
          <w:rFonts w:ascii="宋体" w:hAnsi="宋体" w:eastAsia="宋体" w:cs="宋体"/>
          <w:color w:val="000000" w:themeColor="text1"/>
          <w:sz w:val="24"/>
          <w14:textFill>
            <w14:solidFill>
              <w14:schemeClr w14:val="tx1"/>
            </w14:solidFill>
          </w14:textFill>
        </w:rPr>
      </w:pPr>
    </w:p>
    <w:p>
      <w:pPr>
        <w:ind w:firstLine="240"/>
        <w:jc w:val="left"/>
        <w:rPr>
          <w:rFonts w:ascii="宋体" w:hAnsi="宋体" w:eastAsia="宋体" w:cs="宋体"/>
          <w:color w:val="000000" w:themeColor="text1"/>
          <w:sz w:val="24"/>
          <w14:textFill>
            <w14:solidFill>
              <w14:schemeClr w14:val="tx1"/>
            </w14:solidFill>
          </w14:textFill>
        </w:rPr>
      </w:pPr>
    </w:p>
    <w:p>
      <w:pPr>
        <w:ind w:firstLine="240"/>
        <w:jc w:val="left"/>
        <w:rPr>
          <w:rFonts w:ascii="宋体" w:hAnsi="宋体" w:eastAsia="宋体" w:cs="宋体"/>
          <w:color w:val="000000" w:themeColor="text1"/>
          <w:sz w:val="24"/>
          <w14:textFill>
            <w14:solidFill>
              <w14:schemeClr w14:val="tx1"/>
            </w14:solidFill>
          </w14:textFill>
        </w:rPr>
      </w:pPr>
    </w:p>
    <w:p>
      <w:pPr>
        <w:ind w:firstLine="240"/>
        <w:jc w:val="left"/>
        <w:rPr>
          <w:rFonts w:ascii="宋体" w:hAnsi="宋体" w:eastAsia="宋体" w:cs="宋体"/>
          <w:color w:val="000000" w:themeColor="text1"/>
          <w:sz w:val="24"/>
          <w14:textFill>
            <w14:solidFill>
              <w14:schemeClr w14:val="tx1"/>
            </w14:solidFill>
          </w14:textFill>
        </w:rPr>
      </w:pPr>
    </w:p>
    <w:p>
      <w:pPr>
        <w:pStyle w:val="20"/>
        <w:ind w:firstLine="210"/>
        <w:rPr>
          <w:color w:val="000000" w:themeColor="text1"/>
          <w14:textFill>
            <w14:solidFill>
              <w14:schemeClr w14:val="tx1"/>
            </w14:solidFill>
          </w14:textFill>
        </w:rPr>
      </w:pPr>
    </w:p>
    <w:p>
      <w:pPr>
        <w:ind w:firstLine="240"/>
        <w:jc w:val="left"/>
        <w:rPr>
          <w:rFonts w:ascii="宋体" w:hAnsi="宋体" w:eastAsia="宋体" w:cs="宋体"/>
          <w:color w:val="000000" w:themeColor="text1"/>
          <w:sz w:val="24"/>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spacing w:line="360" w:lineRule="auto"/>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格式2-3</w:t>
      </w:r>
    </w:p>
    <w:p>
      <w:pPr>
        <w:ind w:firstLine="24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供应商资格其他资料</w:t>
      </w:r>
    </w:p>
    <w:p>
      <w:pPr>
        <w:ind w:firstLine="240"/>
        <w:jc w:val="left"/>
        <w:rPr>
          <w:rFonts w:ascii="宋体" w:hAnsi="宋体" w:eastAsia="宋体" w:cs="宋体"/>
          <w:color w:val="000000" w:themeColor="text1"/>
          <w:sz w:val="24"/>
          <w14:textFill>
            <w14:solidFill>
              <w14:schemeClr w14:val="tx1"/>
            </w14:solidFill>
          </w14:textFill>
        </w:rPr>
      </w:pPr>
    </w:p>
    <w:p>
      <w:pPr>
        <w:ind w:firstLine="240"/>
        <w:jc w:val="left"/>
        <w:rPr>
          <w:rFonts w:ascii="宋体" w:hAnsi="宋体" w:eastAsia="宋体" w:cs="宋体"/>
          <w:color w:val="000000" w:themeColor="text1"/>
          <w:sz w:val="24"/>
          <w14:textFill>
            <w14:solidFill>
              <w14:schemeClr w14:val="tx1"/>
            </w14:solidFill>
          </w14:textFill>
        </w:rPr>
      </w:pPr>
    </w:p>
    <w:p>
      <w:pPr>
        <w:ind w:firstLine="240"/>
        <w:jc w:val="left"/>
        <w:rPr>
          <w:rFonts w:ascii="宋体" w:hAnsi="宋体" w:eastAsia="宋体" w:cs="宋体"/>
          <w:color w:val="000000" w:themeColor="text1"/>
          <w:sz w:val="24"/>
          <w14:textFill>
            <w14:solidFill>
              <w14:schemeClr w14:val="tx1"/>
            </w14:solidFill>
          </w14:textFill>
        </w:rPr>
      </w:pPr>
    </w:p>
    <w:p>
      <w:pPr>
        <w:ind w:firstLine="240"/>
        <w:jc w:val="left"/>
        <w:rPr>
          <w:rFonts w:ascii="宋体" w:hAnsi="宋体" w:eastAsia="宋体" w:cs="宋体"/>
          <w:color w:val="000000" w:themeColor="text1"/>
          <w:sz w:val="24"/>
          <w14:textFill>
            <w14:solidFill>
              <w14:schemeClr w14:val="tx1"/>
            </w14:solidFill>
          </w14:textFill>
        </w:rPr>
      </w:pPr>
    </w:p>
    <w:p>
      <w:pPr>
        <w:spacing w:line="360" w:lineRule="auto"/>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格式3</w:t>
      </w:r>
    </w:p>
    <w:p>
      <w:pPr>
        <w:spacing w:line="560" w:lineRule="auto"/>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投标函</w:t>
      </w:r>
    </w:p>
    <w:p>
      <w:pPr>
        <w:spacing w:line="360" w:lineRule="auto"/>
        <w:jc w:val="left"/>
        <w:rPr>
          <w:rFonts w:ascii="宋体" w:hAnsi="宋体" w:eastAsia="宋体" w:cs="宋体"/>
          <w:color w:val="000000" w:themeColor="text1"/>
          <w:sz w:val="24"/>
          <w:shd w:val="clear" w:color="auto" w:fill="FFFFFF"/>
          <w14:textFill>
            <w14:solidFill>
              <w14:schemeClr w14:val="tx1"/>
            </w14:solidFill>
          </w14:textFill>
        </w:rPr>
      </w:pPr>
      <w:r>
        <w:rPr>
          <w:rFonts w:ascii="宋体" w:hAnsi="宋体" w:eastAsia="宋体" w:cs="宋体"/>
          <w:color w:val="000000" w:themeColor="text1"/>
          <w:sz w:val="24"/>
          <w:shd w:val="clear" w:color="auto" w:fill="FFFFFF"/>
          <w14:textFill>
            <w14:solidFill>
              <w14:schemeClr w14:val="tx1"/>
            </w14:solidFill>
          </w14:textFill>
        </w:rPr>
        <w:t>致：周口市公共资源交易中心</w:t>
      </w:r>
      <w:r>
        <w:rPr>
          <w:rFonts w:hint="eastAsia" w:ascii="宋体" w:hAnsi="宋体" w:eastAsia="宋体" w:cs="宋体"/>
          <w:color w:val="000000" w:themeColor="text1"/>
          <w:sz w:val="24"/>
          <w:shd w:val="clear" w:color="auto" w:fill="FFFFFF"/>
          <w14:textFill>
            <w14:solidFill>
              <w14:schemeClr w14:val="tx1"/>
            </w14:solidFill>
          </w14:textFill>
        </w:rPr>
        <w:t>（</w:t>
      </w:r>
      <w:r>
        <w:rPr>
          <w:rFonts w:ascii="宋体" w:hAnsi="宋体" w:eastAsia="宋体" w:cs="宋体"/>
          <w:color w:val="000000" w:themeColor="text1"/>
          <w:sz w:val="24"/>
          <w:shd w:val="clear" w:color="auto" w:fill="FFFFFF"/>
          <w14:textFill>
            <w14:solidFill>
              <w14:schemeClr w14:val="tx1"/>
            </w14:solidFill>
          </w14:textFill>
        </w:rPr>
        <w:t>政府采购中心</w:t>
      </w:r>
      <w:r>
        <w:rPr>
          <w:rFonts w:hint="eastAsia" w:ascii="宋体" w:hAnsi="宋体" w:eastAsia="宋体" w:cs="宋体"/>
          <w:color w:val="000000" w:themeColor="text1"/>
          <w:sz w:val="24"/>
          <w:shd w:val="clear" w:color="auto" w:fill="FFFFFF"/>
          <w14:textFill>
            <w14:solidFill>
              <w14:schemeClr w14:val="tx1"/>
            </w14:solidFill>
          </w14:textFill>
        </w:rPr>
        <w:t>)</w:t>
      </w:r>
    </w:p>
    <w:p>
      <w:pPr>
        <w:rPr>
          <w:rFonts w:ascii="宋体" w:hAnsi="宋体" w:eastAsia="宋体" w:cs="宋体"/>
          <w:color w:val="000000" w:themeColor="text1"/>
          <w:sz w:val="24"/>
          <w14:textFill>
            <w14:solidFill>
              <w14:schemeClr w14:val="tx1"/>
            </w14:solidFill>
          </w14:textFill>
        </w:rPr>
      </w:pPr>
    </w:p>
    <w:p>
      <w:pPr>
        <w:ind w:firstLine="6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根据贵方              项目的竞争性磋商邀请（项目编号：          ），委托代理人      (全名、职务)代表              供应商名称、地址)提交投标文件，报价为</w:t>
      </w:r>
      <w:r>
        <w:rPr>
          <w:rFonts w:ascii="宋体" w:hAnsi="宋体" w:eastAsia="宋体" w:cs="宋体"/>
          <w:color w:val="000000" w:themeColor="text1"/>
          <w:sz w:val="24"/>
          <w:u w:val="single"/>
          <w14:textFill>
            <w14:solidFill>
              <w14:schemeClr w14:val="tx1"/>
            </w14:solidFill>
          </w14:textFill>
        </w:rPr>
        <w:t>：    元，</w:t>
      </w:r>
      <w:r>
        <w:rPr>
          <w:rFonts w:ascii="宋体" w:hAnsi="宋体" w:eastAsia="宋体" w:cs="宋体"/>
          <w:color w:val="000000" w:themeColor="text1"/>
          <w:sz w:val="24"/>
          <w14:textFill>
            <w14:solidFill>
              <w14:schemeClr w14:val="tx1"/>
            </w14:solidFill>
          </w14:textFill>
        </w:rPr>
        <w:t>并对之负法律责任。</w:t>
      </w:r>
    </w:p>
    <w:p>
      <w:pPr>
        <w:ind w:firstLine="568"/>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据此函，宣布同意如下：</w:t>
      </w:r>
    </w:p>
    <w:p>
      <w:pPr>
        <w:numPr>
          <w:ilvl w:val="0"/>
          <w:numId w:val="26"/>
        </w:numPr>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我们完全理解贵方不一定要接受最低</w:t>
      </w:r>
    </w:p>
    <w:p>
      <w:pPr>
        <w:numPr>
          <w:ilvl w:val="0"/>
          <w:numId w:val="26"/>
        </w:numPr>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，并同意本文件规定的响应性文件有效期。</w:t>
      </w:r>
    </w:p>
    <w:p>
      <w:pPr>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(2)我们已详细审核全部竞争性磋商文件，我们知道必须放弃提出含糊不清或误解的问题的权利。</w:t>
      </w:r>
    </w:p>
    <w:p>
      <w:pPr>
        <w:numPr>
          <w:ilvl w:val="0"/>
          <w:numId w:val="27"/>
        </w:numPr>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同意向贵方提供贵方可能另外要求的与其竞争性磋商有关的任何证据和资料。</w:t>
      </w:r>
    </w:p>
    <w:p>
      <w:pPr>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(4)一旦我们成交，我们将严格履行合同责任和义务。</w:t>
      </w:r>
    </w:p>
    <w:p>
      <w:pPr>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(5)我们完全理解不向未成交人解释未成交理由的义务。</w:t>
      </w:r>
    </w:p>
    <w:p>
      <w:pPr>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(6)与本次竞争性磋商有关的正式通讯地址为：</w:t>
      </w:r>
    </w:p>
    <w:p>
      <w:pPr>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地 址：                  邮 编：</w:t>
      </w:r>
    </w:p>
    <w:p>
      <w:pPr>
        <w:ind w:firstLine="4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电 话：                  传 真：</w:t>
      </w:r>
    </w:p>
    <w:p>
      <w:pPr>
        <w:ind w:firstLine="48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我们保证：</w:t>
      </w:r>
    </w:p>
    <w:p>
      <w:pPr>
        <w:ind w:firstLine="48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(1)不提供虚假材料谋取成交；</w:t>
      </w:r>
    </w:p>
    <w:p>
      <w:pPr>
        <w:ind w:firstLine="48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(2)不以不正当手段抵毁、排挤其他供应商；</w:t>
      </w:r>
    </w:p>
    <w:p>
      <w:pPr>
        <w:ind w:firstLine="48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(3)不与采购人和其它供应商恶意串通；</w:t>
      </w:r>
    </w:p>
    <w:p>
      <w:pPr>
        <w:ind w:firstLine="48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(4)不向采购人和采购代理机构提供不正当利益；</w:t>
      </w:r>
    </w:p>
    <w:p>
      <w:pPr>
        <w:ind w:firstLine="48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(5)不拒绝有关部门监督检查或提供虚假情况。</w:t>
      </w:r>
    </w:p>
    <w:p>
      <w:pPr>
        <w:spacing w:line="560" w:lineRule="auto"/>
        <w:ind w:firstLine="72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联系人：              联系电话：</w:t>
      </w:r>
    </w:p>
    <w:p>
      <w:pPr>
        <w:spacing w:line="360" w:lineRule="auto"/>
        <w:jc w:val="left"/>
        <w:rPr>
          <w:rFonts w:ascii="宋体" w:hAnsi="宋体" w:eastAsia="宋体" w:cs="宋体"/>
          <w:color w:val="000000" w:themeColor="text1"/>
          <w:sz w:val="24"/>
          <w14:textFill>
            <w14:solidFill>
              <w14:schemeClr w14:val="tx1"/>
            </w14:solidFill>
          </w14:textFill>
        </w:rPr>
      </w:pPr>
    </w:p>
    <w:p>
      <w:pPr>
        <w:spacing w:line="360" w:lineRule="auto"/>
        <w:jc w:val="left"/>
        <w:rPr>
          <w:rFonts w:ascii="宋体" w:hAnsi="宋体" w:eastAsia="宋体" w:cs="宋体"/>
          <w:color w:val="000000" w:themeColor="text1"/>
          <w:sz w:val="24"/>
          <w14:textFill>
            <w14:solidFill>
              <w14:schemeClr w14:val="tx1"/>
            </w14:solidFill>
          </w14:textFill>
        </w:rPr>
      </w:pPr>
    </w:p>
    <w:p>
      <w:pPr>
        <w:spacing w:line="360" w:lineRule="auto"/>
        <w:jc w:val="left"/>
        <w:rPr>
          <w:rFonts w:ascii="宋体" w:hAnsi="宋体" w:eastAsia="宋体" w:cs="宋体"/>
          <w:color w:val="000000" w:themeColor="text1"/>
          <w:sz w:val="24"/>
          <w14:textFill>
            <w14:solidFill>
              <w14:schemeClr w14:val="tx1"/>
            </w14:solidFill>
          </w14:textFill>
        </w:rPr>
      </w:pPr>
    </w:p>
    <w:p>
      <w:pPr>
        <w:spacing w:line="360" w:lineRule="auto"/>
        <w:ind w:firstLine="3360"/>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投标人电子公章：</w:t>
      </w:r>
    </w:p>
    <w:p>
      <w:pPr>
        <w:spacing w:line="360" w:lineRule="auto"/>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年   月   日</w:t>
      </w:r>
    </w:p>
    <w:p>
      <w:pPr>
        <w:spacing w:line="360" w:lineRule="auto"/>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w:t>
      </w:r>
    </w:p>
    <w:p>
      <w:pPr>
        <w:spacing w:line="360" w:lineRule="auto"/>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格式4</w:t>
      </w:r>
    </w:p>
    <w:p>
      <w:pPr>
        <w:keepNext/>
        <w:keepLines/>
        <w:spacing w:before="260" w:after="260" w:line="416" w:lineRule="auto"/>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一．报价一览表</w:t>
      </w:r>
    </w:p>
    <w:tbl>
      <w:tblPr>
        <w:tblStyle w:val="14"/>
        <w:tblW w:w="0" w:type="auto"/>
        <w:jc w:val="center"/>
        <w:tblLayout w:type="autofit"/>
        <w:tblCellMar>
          <w:top w:w="0" w:type="dxa"/>
          <w:left w:w="10" w:type="dxa"/>
          <w:bottom w:w="0" w:type="dxa"/>
          <w:right w:w="10" w:type="dxa"/>
        </w:tblCellMar>
      </w:tblPr>
      <w:tblGrid>
        <w:gridCol w:w="2368"/>
        <w:gridCol w:w="6154"/>
      </w:tblGrid>
      <w:tr>
        <w:tblPrEx>
          <w:tblCellMar>
            <w:top w:w="0" w:type="dxa"/>
            <w:left w:w="10" w:type="dxa"/>
            <w:bottom w:w="0" w:type="dxa"/>
            <w:right w:w="10" w:type="dxa"/>
          </w:tblCellMar>
        </w:tblPrEx>
        <w:trPr>
          <w:cantSpli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最终投标报价（包：）</w:t>
            </w:r>
          </w:p>
          <w:p>
            <w:pPr>
              <w:spacing w:line="360"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ind w:right="-670"/>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投标总价：       大写：           </w:t>
            </w:r>
          </w:p>
        </w:tc>
      </w:tr>
      <w:tr>
        <w:tblPrEx>
          <w:tblCellMar>
            <w:top w:w="0" w:type="dxa"/>
            <w:left w:w="10" w:type="dxa"/>
            <w:bottom w:w="0" w:type="dxa"/>
            <w:right w:w="10" w:type="dxa"/>
          </w:tblCellMar>
        </w:tblPrEx>
        <w:trPr>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left"/>
              <w:rPr>
                <w:rFonts w:ascii="宋体" w:hAnsi="宋体" w:eastAsia="宋体" w:cs="宋体"/>
                <w:color w:val="000000" w:themeColor="text1"/>
                <w:sz w:val="22"/>
                <w14:textFill>
                  <w14:solidFill>
                    <w14:schemeClr w14:val="tx1"/>
                  </w14:solidFill>
                </w14:textFill>
              </w:rPr>
            </w:pPr>
          </w:p>
        </w:tc>
      </w:tr>
    </w:tbl>
    <w:p>
      <w:pPr>
        <w:spacing w:before="100" w:after="100" w:line="360" w:lineRule="auto"/>
        <w:ind w:firstLine="492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投标人电子公章： </w:t>
      </w:r>
    </w:p>
    <w:p>
      <w:pPr>
        <w:spacing w:line="360" w:lineRule="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备注：</w:t>
      </w:r>
    </w:p>
    <w:p>
      <w:pPr>
        <w:spacing w:line="360" w:lineRule="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1、此表用于开标会唱标之用。</w:t>
      </w:r>
    </w:p>
    <w:p>
      <w:pPr>
        <w:spacing w:line="360" w:lineRule="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2、表中最终投标报价即为优惠后报价，并作为评审及定标依据。任何有选择或有条件的最终投标报价，或者表中某一包填写多个报价，均为无效报价。</w:t>
      </w:r>
    </w:p>
    <w:p>
      <w:pPr>
        <w:spacing w:line="360" w:lineRule="auto"/>
        <w:jc w:val="left"/>
        <w:rPr>
          <w:rFonts w:ascii="宋体" w:hAnsi="宋体" w:eastAsia="宋体" w:cs="宋体"/>
          <w:color w:val="000000" w:themeColor="text1"/>
          <w:sz w:val="24"/>
          <w14:textFill>
            <w14:solidFill>
              <w14:schemeClr w14:val="tx1"/>
            </w14:solidFill>
          </w14:textFill>
        </w:rPr>
      </w:pPr>
    </w:p>
    <w:p>
      <w:pPr>
        <w:spacing w:line="360" w:lineRule="auto"/>
        <w:jc w:val="left"/>
        <w:rPr>
          <w:rFonts w:ascii="宋体" w:hAnsi="宋体" w:eastAsia="宋体" w:cs="宋体"/>
          <w:color w:val="000000" w:themeColor="text1"/>
          <w:sz w:val="24"/>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spacing w:line="360" w:lineRule="auto"/>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格式5</w:t>
      </w:r>
    </w:p>
    <w:p>
      <w:pPr>
        <w:keepNext/>
        <w:keepLines/>
        <w:spacing w:before="260" w:after="260" w:line="416" w:lineRule="auto"/>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．投标分项报价表</w:t>
      </w:r>
    </w:p>
    <w:p>
      <w:pPr>
        <w:jc w:val="center"/>
        <w:rPr>
          <w:rFonts w:ascii="Times New Roman" w:hAnsi="Times New Roman" w:eastAsia="Times New Roman" w:cs="Times New Roman"/>
          <w:color w:val="000000" w:themeColor="text1"/>
          <w:sz w:val="24"/>
          <w14:textFill>
            <w14:solidFill>
              <w14:schemeClr w14:val="tx1"/>
            </w14:solidFill>
          </w14:textFill>
        </w:rPr>
      </w:pPr>
    </w:p>
    <w:p>
      <w:pPr>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谈判供应商名称：</w:t>
      </w:r>
    </w:p>
    <w:p>
      <w:pPr>
        <w:jc w:val="center"/>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单位：元</w:t>
      </w:r>
    </w:p>
    <w:tbl>
      <w:tblPr>
        <w:tblStyle w:val="14"/>
        <w:tblW w:w="0" w:type="auto"/>
        <w:tblInd w:w="0" w:type="dxa"/>
        <w:tblLayout w:type="autofit"/>
        <w:tblCellMar>
          <w:top w:w="0" w:type="dxa"/>
          <w:left w:w="10" w:type="dxa"/>
          <w:bottom w:w="0" w:type="dxa"/>
          <w:right w:w="10" w:type="dxa"/>
        </w:tblCellMar>
      </w:tblPr>
      <w:tblGrid>
        <w:gridCol w:w="806"/>
        <w:gridCol w:w="4612"/>
        <w:gridCol w:w="1034"/>
        <w:gridCol w:w="1034"/>
        <w:gridCol w:w="1036"/>
      </w:tblGrid>
      <w:tr>
        <w:tblPrEx>
          <w:tblCellMar>
            <w:top w:w="0" w:type="dxa"/>
            <w:left w:w="10" w:type="dxa"/>
            <w:bottom w:w="0" w:type="dxa"/>
            <w:right w:w="10" w:type="dxa"/>
          </w:tblCellMar>
        </w:tblPrEx>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小计</w:t>
            </w: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000000" w:themeColor="text1"/>
                <w:sz w:val="22"/>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000000" w:themeColor="text1"/>
                <w:sz w:val="22"/>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000000" w:themeColor="text1"/>
                <w:sz w:val="22"/>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000000" w:themeColor="text1"/>
                <w:sz w:val="22"/>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宋体" w:hAnsi="宋体" w:eastAsia="宋体" w:cs="宋体"/>
                <w:color w:val="000000" w:themeColor="text1"/>
                <w:sz w:val="22"/>
                <w14:textFill>
                  <w14:solidFill>
                    <w14:schemeClr w14:val="tx1"/>
                  </w14:solidFill>
                </w14:textFill>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000000" w:themeColor="text1"/>
                <w:sz w:val="22"/>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000000" w:themeColor="text1"/>
                <w:sz w:val="22"/>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000000" w:themeColor="text1"/>
                <w:sz w:val="22"/>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tcPr>
          <w:p>
            <w:pPr>
              <w:jc w:val="center"/>
              <w:rPr>
                <w:rFonts w:ascii="宋体" w:hAnsi="宋体" w:eastAsia="宋体" w:cs="宋体"/>
                <w:color w:val="000000" w:themeColor="text1"/>
                <w:sz w:val="22"/>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pPr>
              <w:jc w:val="center"/>
              <w:rPr>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总价（人民币大写）：￥</w:t>
            </w:r>
            <w:r>
              <w:rPr>
                <w:rFonts w:ascii="Times New Roman" w:hAnsi="Times New Roman" w:eastAsia="Times New Roman" w:cs="Times New Roman"/>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元</w:t>
            </w:r>
          </w:p>
        </w:tc>
      </w:tr>
    </w:tbl>
    <w:p>
      <w:pPr>
        <w:jc w:val="center"/>
        <w:rPr>
          <w:rFonts w:ascii="Times New Roman" w:hAnsi="Times New Roman" w:eastAsia="Times New Roman" w:cs="Times New Roman"/>
          <w:color w:val="000000" w:themeColor="text1"/>
          <w:sz w:val="24"/>
          <w14:textFill>
            <w14:solidFill>
              <w14:schemeClr w14:val="tx1"/>
            </w14:solidFill>
          </w14:textFill>
        </w:rPr>
      </w:pPr>
    </w:p>
    <w:p>
      <w:pPr>
        <w:jc w:val="center"/>
        <w:rPr>
          <w:rFonts w:ascii="Times New Roman" w:hAnsi="Times New Roman" w:eastAsia="Times New Roman" w:cs="Times New Roman"/>
          <w:color w:val="000000" w:themeColor="text1"/>
          <w:sz w:val="24"/>
          <w14:textFill>
            <w14:solidFill>
              <w14:schemeClr w14:val="tx1"/>
            </w14:solidFill>
          </w14:textFill>
        </w:rPr>
      </w:pPr>
    </w:p>
    <w:p>
      <w:pPr>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谈判供应商代表签字：</w:t>
      </w:r>
    </w:p>
    <w:p>
      <w:pPr>
        <w:jc w:val="center"/>
        <w:rPr>
          <w:rFonts w:ascii="宋体" w:hAnsi="宋体" w:eastAsia="宋体" w:cs="宋体"/>
          <w:color w:val="000000" w:themeColor="text1"/>
          <w:sz w:val="24"/>
          <w14:textFill>
            <w14:solidFill>
              <w14:schemeClr w14:val="tx1"/>
            </w14:solidFill>
          </w14:textFill>
        </w:rPr>
      </w:pPr>
    </w:p>
    <w:p>
      <w:pPr>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谈判供应商公章</w:t>
      </w:r>
    </w:p>
    <w:p>
      <w:pPr>
        <w:jc w:val="center"/>
        <w:rPr>
          <w:rFonts w:ascii="Times New Roman" w:hAnsi="Times New Roman" w:eastAsia="Times New Roman" w:cs="Times New Roman"/>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日期：</w:t>
      </w:r>
    </w:p>
    <w:p>
      <w:pPr>
        <w:spacing w:line="360" w:lineRule="auto"/>
        <w:jc w:val="center"/>
        <w:rPr>
          <w:rFonts w:ascii="宋体" w:hAnsi="宋体" w:eastAsia="宋体" w:cs="宋体"/>
          <w:b/>
          <w:color w:val="000000" w:themeColor="text1"/>
          <w:sz w:val="24"/>
          <w14:textFill>
            <w14:solidFill>
              <w14:schemeClr w14:val="tx1"/>
            </w14:solidFill>
          </w14:textFill>
        </w:rPr>
      </w:pPr>
    </w:p>
    <w:p>
      <w:pPr>
        <w:spacing w:line="360" w:lineRule="auto"/>
        <w:jc w:val="center"/>
        <w:rPr>
          <w:rFonts w:ascii="宋体" w:hAnsi="宋体" w:eastAsia="宋体" w:cs="宋体"/>
          <w:b/>
          <w:color w:val="000000" w:themeColor="text1"/>
          <w:sz w:val="24"/>
          <w14:textFill>
            <w14:solidFill>
              <w14:schemeClr w14:val="tx1"/>
            </w14:solidFill>
          </w14:textFill>
        </w:rPr>
      </w:pPr>
    </w:p>
    <w:p>
      <w:pPr>
        <w:ind w:firstLine="210"/>
        <w:jc w:val="left"/>
        <w:rPr>
          <w:rFonts w:ascii="Times New Roman" w:hAnsi="Times New Roman" w:eastAsia="Times New Roman" w:cs="Times New Roman"/>
          <w:color w:val="000000" w:themeColor="text1"/>
          <w:sz w:val="22"/>
          <w14:textFill>
            <w14:solidFill>
              <w14:schemeClr w14:val="tx1"/>
            </w14:solidFill>
          </w14:textFill>
        </w:rPr>
      </w:pPr>
    </w:p>
    <w:p>
      <w:pPr>
        <w:ind w:firstLine="210"/>
        <w:jc w:val="left"/>
        <w:rPr>
          <w:rFonts w:ascii="Times New Roman" w:hAnsi="Times New Roman" w:eastAsia="Times New Roman" w:cs="Times New Roman"/>
          <w:color w:val="000000" w:themeColor="text1"/>
          <w:sz w:val="22"/>
          <w14:textFill>
            <w14:solidFill>
              <w14:schemeClr w14:val="tx1"/>
            </w14:solidFill>
          </w14:textFill>
        </w:rPr>
      </w:pPr>
    </w:p>
    <w:p>
      <w:pPr>
        <w:ind w:firstLine="210"/>
        <w:jc w:val="left"/>
        <w:rPr>
          <w:rFonts w:ascii="Times New Roman" w:hAnsi="Times New Roman" w:eastAsia="Times New Roman" w:cs="Times New Roman"/>
          <w:color w:val="000000" w:themeColor="text1"/>
          <w:sz w:val="22"/>
          <w14:textFill>
            <w14:solidFill>
              <w14:schemeClr w14:val="tx1"/>
            </w14:solidFill>
          </w14:textFill>
        </w:rPr>
      </w:pPr>
    </w:p>
    <w:p>
      <w:pPr>
        <w:ind w:firstLine="210"/>
        <w:jc w:val="left"/>
        <w:rPr>
          <w:rFonts w:ascii="Times New Roman" w:hAnsi="Times New Roman" w:eastAsia="Times New Roman" w:cs="Times New Roman"/>
          <w:color w:val="000000" w:themeColor="text1"/>
          <w:sz w:val="22"/>
          <w14:textFill>
            <w14:solidFill>
              <w14:schemeClr w14:val="tx1"/>
            </w14:solidFill>
          </w14:textFill>
        </w:rPr>
      </w:pPr>
    </w:p>
    <w:p>
      <w:pPr>
        <w:ind w:firstLine="210"/>
        <w:jc w:val="left"/>
        <w:rPr>
          <w:rFonts w:ascii="Times New Roman" w:hAnsi="Times New Roman" w:eastAsia="Times New Roman" w:cs="Times New Roman"/>
          <w:color w:val="000000" w:themeColor="text1"/>
          <w:sz w:val="22"/>
          <w14:textFill>
            <w14:solidFill>
              <w14:schemeClr w14:val="tx1"/>
            </w14:solidFill>
          </w14:textFill>
        </w:rPr>
      </w:pPr>
    </w:p>
    <w:p>
      <w:pPr>
        <w:ind w:firstLine="210"/>
        <w:jc w:val="left"/>
        <w:rPr>
          <w:rFonts w:ascii="Times New Roman" w:hAnsi="Times New Roman" w:eastAsia="Times New Roman" w:cs="Times New Roman"/>
          <w:color w:val="000000" w:themeColor="text1"/>
          <w:sz w:val="22"/>
          <w14:textFill>
            <w14:solidFill>
              <w14:schemeClr w14:val="tx1"/>
            </w14:solidFill>
          </w14:textFill>
        </w:rPr>
      </w:pPr>
    </w:p>
    <w:p>
      <w:pPr>
        <w:ind w:firstLine="210"/>
        <w:jc w:val="left"/>
        <w:rPr>
          <w:rFonts w:ascii="Times New Roman" w:hAnsi="Times New Roman" w:eastAsia="Times New Roman" w:cs="Times New Roman"/>
          <w:color w:val="000000" w:themeColor="text1"/>
          <w:sz w:val="22"/>
          <w14:textFill>
            <w14:solidFill>
              <w14:schemeClr w14:val="tx1"/>
            </w14:solidFill>
          </w14:textFill>
        </w:rPr>
      </w:pPr>
    </w:p>
    <w:p>
      <w:pPr>
        <w:ind w:firstLine="210"/>
        <w:jc w:val="left"/>
        <w:rPr>
          <w:rFonts w:ascii="Times New Roman" w:hAnsi="Times New Roman" w:eastAsia="Times New Roman" w:cs="Times New Roman"/>
          <w:color w:val="000000" w:themeColor="text1"/>
          <w:sz w:val="22"/>
          <w14:textFill>
            <w14:solidFill>
              <w14:schemeClr w14:val="tx1"/>
            </w14:solidFill>
          </w14:textFill>
        </w:rPr>
      </w:pPr>
    </w:p>
    <w:p>
      <w:pPr>
        <w:ind w:firstLine="210"/>
        <w:jc w:val="left"/>
        <w:rPr>
          <w:rFonts w:ascii="Times New Roman" w:hAnsi="Times New Roman" w:eastAsia="Times New Roman" w:cs="Times New Roman"/>
          <w:color w:val="000000" w:themeColor="text1"/>
          <w:sz w:val="22"/>
          <w14:textFill>
            <w14:solidFill>
              <w14:schemeClr w14:val="tx1"/>
            </w14:solidFill>
          </w14:textFill>
        </w:rPr>
      </w:pPr>
    </w:p>
    <w:p>
      <w:pPr>
        <w:ind w:firstLine="210"/>
        <w:jc w:val="left"/>
        <w:rPr>
          <w:rFonts w:ascii="Times New Roman" w:hAnsi="Times New Roman" w:eastAsia="Times New Roman" w:cs="Times New Roman"/>
          <w:color w:val="000000" w:themeColor="text1"/>
          <w:sz w:val="22"/>
          <w14:textFill>
            <w14:solidFill>
              <w14:schemeClr w14:val="tx1"/>
            </w14:solidFill>
          </w14:textFill>
        </w:rPr>
      </w:pPr>
    </w:p>
    <w:p>
      <w:pPr>
        <w:ind w:firstLine="210"/>
        <w:jc w:val="left"/>
        <w:rPr>
          <w:rFonts w:ascii="Times New Roman" w:hAnsi="Times New Roman" w:cs="Times New Roman"/>
          <w:color w:val="000000" w:themeColor="text1"/>
          <w:sz w:val="22"/>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spacing w:line="360" w:lineRule="auto"/>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格式6                     </w:t>
      </w:r>
      <w:r>
        <w:rPr>
          <w:rFonts w:ascii="宋体" w:hAnsi="宋体" w:eastAsia="宋体" w:cs="宋体"/>
          <w:b/>
          <w:color w:val="000000" w:themeColor="text1"/>
          <w:sz w:val="24"/>
          <w14:textFill>
            <w14:solidFill>
              <w14:schemeClr w14:val="tx1"/>
            </w14:solidFill>
          </w14:textFill>
        </w:rPr>
        <w:t>技术参数响应表</w:t>
      </w:r>
    </w:p>
    <w:p>
      <w:pPr>
        <w:rPr>
          <w:rFonts w:ascii="宋体" w:hAnsi="宋体" w:eastAsia="宋体" w:cs="宋体"/>
          <w:color w:val="000000" w:themeColor="text1"/>
          <w:sz w:val="24"/>
          <w14:textFill>
            <w14:solidFill>
              <w14:schemeClr w14:val="tx1"/>
            </w14:solidFill>
          </w14:textFill>
        </w:rPr>
      </w:pPr>
    </w:p>
    <w:p>
      <w:pPr>
        <w:rPr>
          <w:rFonts w:ascii="宋体" w:hAnsi="宋体" w:eastAsia="宋体" w:cs="宋体"/>
          <w:color w:val="000000" w:themeColor="text1"/>
          <w:sz w:val="24"/>
          <w14:textFill>
            <w14:solidFill>
              <w14:schemeClr w14:val="tx1"/>
            </w14:solidFill>
          </w14:textFill>
        </w:rPr>
      </w:pPr>
    </w:p>
    <w:tbl>
      <w:tblPr>
        <w:tblStyle w:val="14"/>
        <w:tblW w:w="0" w:type="auto"/>
        <w:tblInd w:w="0" w:type="dxa"/>
        <w:tblLayout w:type="autofit"/>
        <w:tblCellMar>
          <w:top w:w="0" w:type="dxa"/>
          <w:left w:w="10" w:type="dxa"/>
          <w:bottom w:w="0" w:type="dxa"/>
          <w:right w:w="10" w:type="dxa"/>
        </w:tblCellMar>
      </w:tblPr>
      <w:tblGrid>
        <w:gridCol w:w="702"/>
        <w:gridCol w:w="701"/>
        <w:gridCol w:w="3240"/>
        <w:gridCol w:w="2616"/>
        <w:gridCol w:w="1263"/>
      </w:tblGrid>
      <w:tr>
        <w:tblPrEx>
          <w:tblCellMar>
            <w:top w:w="0" w:type="dxa"/>
            <w:left w:w="10" w:type="dxa"/>
            <w:bottom w:w="0" w:type="dxa"/>
            <w:right w:w="10" w:type="dxa"/>
          </w:tblCellMar>
        </w:tblPrEx>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按投标人所投内容填写</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偏离说明</w:t>
            </w: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left"/>
              <w:rPr>
                <w:rFonts w:ascii="宋体" w:hAnsi="宋体" w:eastAsia="宋体" w:cs="宋体"/>
                <w:color w:val="000000" w:themeColor="text1"/>
                <w:sz w:val="22"/>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color w:val="000000" w:themeColor="text1"/>
                <w:sz w:val="22"/>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color w:val="000000" w:themeColor="text1"/>
                <w:sz w:val="22"/>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z w:val="24"/>
                <w14:textFill>
                  <w14:solidFill>
                    <w14:schemeClr w14:val="tx1"/>
                  </w14:solidFill>
                </w14:textFill>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14:textFill>
                  <w14:solidFill>
                    <w14:schemeClr w14:val="tx1"/>
                  </w14:solidFill>
                </w14:textFill>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ind w:left="240" w:hanging="240"/>
              <w:jc w:val="left"/>
              <w:rPr>
                <w:rFonts w:ascii="宋体" w:hAnsi="宋体" w:eastAsia="宋体" w:cs="宋体"/>
                <w:color w:val="000000" w:themeColor="text1"/>
                <w:sz w:val="22"/>
                <w14:textFill>
                  <w14:solidFill>
                    <w14:schemeClr w14:val="tx1"/>
                  </w14:solidFill>
                </w14:textFill>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jc w:val="center"/>
              <w:rPr>
                <w:rFonts w:ascii="宋体" w:hAnsi="宋体" w:eastAsia="宋体" w:cs="宋体"/>
                <w:color w:val="000000" w:themeColor="text1"/>
                <w:sz w:val="22"/>
                <w14:textFill>
                  <w14:solidFill>
                    <w14:schemeClr w14:val="tx1"/>
                  </w14:solidFill>
                </w14:textFill>
              </w:rPr>
            </w:pPr>
          </w:p>
        </w:tc>
      </w:tr>
    </w:tbl>
    <w:p>
      <w:pPr>
        <w:rPr>
          <w:rFonts w:ascii="宋体" w:hAnsi="宋体" w:eastAsia="宋体" w:cs="宋体"/>
          <w:color w:val="000000" w:themeColor="text1"/>
          <w:sz w:val="24"/>
          <w14:textFill>
            <w14:solidFill>
              <w14:schemeClr w14:val="tx1"/>
            </w14:solidFill>
          </w14:textFill>
        </w:rPr>
      </w:pPr>
    </w:p>
    <w:p>
      <w:pP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(可根据需求自行更改)</w:t>
      </w:r>
    </w:p>
    <w:p>
      <w:pPr>
        <w:rPr>
          <w:rFonts w:ascii="宋体" w:hAnsi="宋体" w:eastAsia="宋体" w:cs="宋体"/>
          <w:color w:val="000000" w:themeColor="text1"/>
          <w:sz w:val="24"/>
          <w14:textFill>
            <w14:solidFill>
              <w14:schemeClr w14:val="tx1"/>
            </w14:solidFill>
          </w14:textFill>
        </w:rPr>
      </w:pPr>
    </w:p>
    <w:p>
      <w:pPr>
        <w:spacing w:line="360" w:lineRule="auto"/>
        <w:ind w:left="5250" w:firstLine="24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投标人电子公章：</w:t>
      </w:r>
    </w:p>
    <w:p>
      <w:pPr>
        <w:spacing w:line="360" w:lineRule="auto"/>
        <w:jc w:val="righ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年  月  日</w:t>
      </w:r>
    </w:p>
    <w:p>
      <w:pPr>
        <w:spacing w:line="360" w:lineRule="auto"/>
        <w:rPr>
          <w:rFonts w:ascii="宋体" w:hAnsi="宋体" w:eastAsia="宋体" w:cs="宋体"/>
          <w:b/>
          <w:color w:val="000000" w:themeColor="text1"/>
          <w:sz w:val="24"/>
          <w14:textFill>
            <w14:solidFill>
              <w14:schemeClr w14:val="tx1"/>
            </w14:solidFill>
          </w14:textFill>
        </w:rPr>
      </w:pPr>
    </w:p>
    <w:p>
      <w:pPr>
        <w:spacing w:line="360" w:lineRule="auto"/>
        <w:rPr>
          <w:rFonts w:ascii="宋体" w:hAnsi="宋体" w:eastAsia="宋体" w:cs="宋体"/>
          <w:b/>
          <w:color w:val="000000" w:themeColor="text1"/>
          <w:sz w:val="24"/>
          <w14:textFill>
            <w14:solidFill>
              <w14:schemeClr w14:val="tx1"/>
            </w14:solidFill>
          </w14:textFill>
        </w:rPr>
      </w:pPr>
    </w:p>
    <w:p>
      <w:pPr>
        <w:spacing w:line="360" w:lineRule="auto"/>
        <w:rPr>
          <w:rFonts w:ascii="宋体" w:hAnsi="宋体" w:eastAsia="宋体" w:cs="宋体"/>
          <w:b/>
          <w:color w:val="000000" w:themeColor="text1"/>
          <w:sz w:val="24"/>
          <w14:textFill>
            <w14:solidFill>
              <w14:schemeClr w14:val="tx1"/>
            </w14:solidFill>
          </w14:textFill>
        </w:rPr>
      </w:pPr>
    </w:p>
    <w:p>
      <w:pPr>
        <w:spacing w:line="360" w:lineRule="auto"/>
        <w:rPr>
          <w:rFonts w:ascii="宋体" w:hAnsi="宋体" w:eastAsia="宋体" w:cs="宋体"/>
          <w:b/>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w:t>
      </w: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pStyle w:val="20"/>
        <w:ind w:firstLine="210"/>
        <w:rPr>
          <w:color w:val="000000" w:themeColor="text1"/>
          <w14:textFill>
            <w14:solidFill>
              <w14:schemeClr w14:val="tx1"/>
            </w14:solidFill>
          </w14:textFill>
        </w:rPr>
      </w:pPr>
    </w:p>
    <w:p>
      <w:pPr>
        <w:spacing w:line="360" w:lineRule="auto"/>
        <w:jc w:val="left"/>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格式7</w:t>
      </w:r>
    </w:p>
    <w:p>
      <w:pPr>
        <w:tabs>
          <w:tab w:val="left" w:pos="0"/>
          <w:tab w:val="left" w:pos="993"/>
          <w:tab w:val="left" w:pos="1134"/>
        </w:tabs>
        <w:ind w:firstLine="480"/>
        <w:rPr>
          <w:rFonts w:ascii="宋体" w:hAnsi="宋体" w:eastAsia="宋体" w:cs="宋体"/>
          <w:color w:val="000000" w:themeColor="text1"/>
          <w:sz w:val="24"/>
          <w14:textFill>
            <w14:solidFill>
              <w14:schemeClr w14:val="tx1"/>
            </w14:solidFill>
          </w14:textFill>
        </w:rPr>
      </w:pPr>
    </w:p>
    <w:p>
      <w:pPr>
        <w:spacing w:line="380" w:lineRule="auto"/>
        <w:jc w:val="center"/>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售后服务承诺</w:t>
      </w:r>
    </w:p>
    <w:p>
      <w:pPr>
        <w:spacing w:line="380" w:lineRule="auto"/>
        <w:jc w:val="center"/>
        <w:rPr>
          <w:rFonts w:ascii="宋体" w:hAnsi="宋体" w:eastAsia="宋体" w:cs="宋体"/>
          <w:color w:val="000000" w:themeColor="text1"/>
          <w:sz w:val="24"/>
          <w14:textFill>
            <w14:solidFill>
              <w14:schemeClr w14:val="tx1"/>
            </w14:solidFill>
          </w14:textFill>
        </w:rPr>
      </w:pPr>
    </w:p>
    <w:p>
      <w:pPr>
        <w:spacing w:line="380" w:lineRule="auto"/>
        <w:ind w:firstLine="360"/>
        <w:rPr>
          <w:rFonts w:ascii="宋体" w:hAnsi="宋体" w:eastAsia="宋体" w:cs="宋体"/>
          <w:color w:val="000000" w:themeColor="text1"/>
          <w:sz w:val="24"/>
          <w14:textFill>
            <w14:solidFill>
              <w14:schemeClr w14:val="tx1"/>
            </w14:solidFill>
          </w14:textFill>
        </w:rPr>
      </w:pPr>
    </w:p>
    <w:p>
      <w:pPr>
        <w:rPr>
          <w:rFonts w:ascii="宋体" w:hAnsi="宋体" w:eastAsia="宋体" w:cs="宋体"/>
          <w:color w:val="000000" w:themeColor="text1"/>
          <w:sz w:val="24"/>
          <w14:textFill>
            <w14:solidFill>
              <w14:schemeClr w14:val="tx1"/>
            </w14:solidFill>
          </w14:textFill>
        </w:rPr>
      </w:pPr>
    </w:p>
    <w:p>
      <w:pPr>
        <w:rPr>
          <w:rFonts w:ascii="宋体" w:hAnsi="宋体" w:eastAsia="宋体" w:cs="宋体"/>
          <w:color w:val="000000" w:themeColor="text1"/>
          <w:sz w:val="24"/>
          <w14:textFill>
            <w14:solidFill>
              <w14:schemeClr w14:val="tx1"/>
            </w14:solidFill>
          </w14:textFill>
        </w:rPr>
      </w:pPr>
    </w:p>
    <w:p>
      <w:pPr>
        <w:rPr>
          <w:rFonts w:ascii="宋体" w:hAnsi="宋体" w:eastAsia="宋体" w:cs="宋体"/>
          <w:color w:val="000000" w:themeColor="text1"/>
          <w:sz w:val="24"/>
          <w14:textFill>
            <w14:solidFill>
              <w14:schemeClr w14:val="tx1"/>
            </w14:solidFill>
          </w14:textFill>
        </w:rPr>
      </w:pPr>
    </w:p>
    <w:p>
      <w:pPr>
        <w:rPr>
          <w:rFonts w:ascii="宋体" w:hAnsi="宋体" w:eastAsia="宋体" w:cs="宋体"/>
          <w:color w:val="000000" w:themeColor="text1"/>
          <w:sz w:val="24"/>
          <w14:textFill>
            <w14:solidFill>
              <w14:schemeClr w14:val="tx1"/>
            </w14:solidFill>
          </w14:textFill>
        </w:rPr>
      </w:pPr>
    </w:p>
    <w:p>
      <w:pPr>
        <w:rPr>
          <w:rFonts w:ascii="宋体" w:hAnsi="宋体" w:eastAsia="宋体" w:cs="宋体"/>
          <w:color w:val="000000" w:themeColor="text1"/>
          <w:sz w:val="24"/>
          <w14:textFill>
            <w14:solidFill>
              <w14:schemeClr w14:val="tx1"/>
            </w14:solidFill>
          </w14:textFill>
        </w:rPr>
      </w:pPr>
    </w:p>
    <w:p>
      <w:pPr>
        <w:rPr>
          <w:rFonts w:ascii="宋体" w:hAnsi="宋体" w:eastAsia="宋体" w:cs="宋体"/>
          <w:color w:val="000000" w:themeColor="text1"/>
          <w:sz w:val="24"/>
          <w14:textFill>
            <w14:solidFill>
              <w14:schemeClr w14:val="tx1"/>
            </w14:solidFill>
          </w14:textFill>
        </w:rPr>
      </w:pPr>
    </w:p>
    <w:p>
      <w:pPr>
        <w:spacing w:line="380" w:lineRule="auto"/>
        <w:rPr>
          <w:rFonts w:ascii="宋体" w:hAnsi="宋体" w:eastAsia="宋体" w:cs="宋体"/>
          <w:color w:val="000000" w:themeColor="text1"/>
          <w:sz w:val="24"/>
          <w14:textFill>
            <w14:solidFill>
              <w14:schemeClr w14:val="tx1"/>
            </w14:solidFill>
          </w14:textFill>
        </w:rPr>
      </w:pPr>
    </w:p>
    <w:p>
      <w:pPr>
        <w:spacing w:line="380" w:lineRule="auto"/>
        <w:ind w:firstLine="4008"/>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投标人电子公章：</w:t>
      </w:r>
    </w:p>
    <w:p>
      <w:pPr>
        <w:spacing w:line="380" w:lineRule="auto"/>
        <w:ind w:right="640" w:firstLine="1560"/>
        <w:rPr>
          <w:rFonts w:ascii="宋体" w:hAnsi="宋体" w:eastAsia="宋体" w:cs="宋体"/>
          <w:color w:val="000000" w:themeColor="text1"/>
          <w:sz w:val="24"/>
          <w14:textFill>
            <w14:solidFill>
              <w14:schemeClr w14:val="tx1"/>
            </w14:solidFill>
          </w14:textFill>
        </w:rPr>
      </w:pPr>
    </w:p>
    <w:p>
      <w:pPr>
        <w:spacing w:line="380" w:lineRule="auto"/>
        <w:ind w:right="640" w:firstLine="4680"/>
        <w:rPr>
          <w:rFonts w:ascii="宋体" w:hAnsi="宋体" w:eastAsia="宋体" w:cs="宋体"/>
          <w:color w:val="000000" w:themeColor="text1"/>
          <w:sz w:val="24"/>
          <w14:textFill>
            <w14:solidFill>
              <w14:schemeClr w14:val="tx1"/>
            </w14:solidFill>
          </w14:textFill>
        </w:rPr>
      </w:pPr>
    </w:p>
    <w:p>
      <w:pPr>
        <w:spacing w:line="380" w:lineRule="auto"/>
        <w:jc w:val="center"/>
        <w:rPr>
          <w:rFonts w:ascii="宋体" w:hAnsi="宋体" w:eastAsia="宋体" w:cs="宋体"/>
          <w:color w:val="000000" w:themeColor="text1"/>
          <w:sz w:val="24"/>
          <w14:textFill>
            <w14:solidFill>
              <w14:schemeClr w14:val="tx1"/>
            </w14:solidFill>
          </w14:textFill>
        </w:rPr>
      </w:pPr>
    </w:p>
    <w:p>
      <w:pPr>
        <w:spacing w:line="380" w:lineRule="auto"/>
        <w:ind w:firstLine="36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年   月    日</w:t>
      </w:r>
    </w:p>
    <w:p>
      <w:pPr>
        <w:spacing w:line="380" w:lineRule="auto"/>
        <w:ind w:firstLine="3600"/>
        <w:rPr>
          <w:rFonts w:ascii="宋体" w:hAnsi="宋体" w:eastAsia="宋体" w:cs="宋体"/>
          <w:b/>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 xml:space="preserve"> </w:t>
      </w:r>
    </w:p>
    <w:p>
      <w:pPr>
        <w:spacing w:line="360" w:lineRule="auto"/>
        <w:jc w:val="center"/>
        <w:rPr>
          <w:rFonts w:ascii="宋体" w:hAnsi="宋体" w:eastAsia="宋体" w:cs="宋体"/>
          <w:b/>
          <w:color w:val="000000" w:themeColor="text1"/>
          <w:sz w:val="24"/>
          <w14:textFill>
            <w14:solidFill>
              <w14:schemeClr w14:val="tx1"/>
            </w14:solidFill>
          </w14:textFill>
        </w:rPr>
      </w:pPr>
    </w:p>
    <w:p>
      <w:pPr>
        <w:pStyle w:val="22"/>
        <w:rPr>
          <w:rFonts w:ascii="宋体" w:hAnsi="宋体" w:cs="宋体"/>
          <w:b/>
          <w:color w:val="000000" w:themeColor="text1"/>
          <w:sz w:val="24"/>
          <w14:textFill>
            <w14:solidFill>
              <w14:schemeClr w14:val="tx1"/>
            </w14:solidFill>
          </w14:textFill>
        </w:rPr>
      </w:pPr>
    </w:p>
    <w:p>
      <w:pPr>
        <w:pStyle w:val="5"/>
        <w:rPr>
          <w:rFonts w:ascii="宋体" w:hAnsi="宋体" w:eastAsia="宋体" w:cs="宋体"/>
          <w:b/>
          <w:color w:val="000000" w:themeColor="text1"/>
          <w:sz w:val="24"/>
          <w14:textFill>
            <w14:solidFill>
              <w14:schemeClr w14:val="tx1"/>
            </w14:solidFill>
          </w14:textFill>
        </w:rPr>
      </w:pPr>
    </w:p>
    <w:p>
      <w:pPr>
        <w:rPr>
          <w:rFonts w:ascii="宋体" w:hAnsi="宋体" w:eastAsia="宋体" w:cs="宋体"/>
          <w:b/>
          <w:color w:val="000000" w:themeColor="text1"/>
          <w:sz w:val="24"/>
          <w14:textFill>
            <w14:solidFill>
              <w14:schemeClr w14:val="tx1"/>
            </w14:solidFill>
          </w14:textFill>
        </w:rPr>
      </w:pPr>
    </w:p>
    <w:p>
      <w:pPr>
        <w:pStyle w:val="22"/>
        <w:rPr>
          <w:rFonts w:ascii="宋体" w:hAnsi="宋体" w:cs="宋体"/>
          <w:b/>
          <w:color w:val="000000" w:themeColor="text1"/>
          <w:sz w:val="24"/>
          <w14:textFill>
            <w14:solidFill>
              <w14:schemeClr w14:val="tx1"/>
            </w14:solidFill>
          </w14:textFill>
        </w:rPr>
      </w:pPr>
    </w:p>
    <w:p>
      <w:pPr>
        <w:pStyle w:val="5"/>
        <w:rPr>
          <w:rFonts w:ascii="宋体" w:hAnsi="宋体" w:eastAsia="宋体" w:cs="宋体"/>
          <w:b/>
          <w:color w:val="000000" w:themeColor="text1"/>
          <w:sz w:val="24"/>
          <w14:textFill>
            <w14:solidFill>
              <w14:schemeClr w14:val="tx1"/>
            </w14:solidFill>
          </w14:textFill>
        </w:rPr>
      </w:pPr>
    </w:p>
    <w:p>
      <w:pPr>
        <w:rPr>
          <w:rFonts w:ascii="宋体" w:hAnsi="宋体" w:eastAsia="宋体" w:cs="宋体"/>
          <w:b/>
          <w:color w:val="000000" w:themeColor="text1"/>
          <w:sz w:val="24"/>
          <w14:textFill>
            <w14:solidFill>
              <w14:schemeClr w14:val="tx1"/>
            </w14:solidFill>
          </w14:textFill>
        </w:rPr>
      </w:pPr>
    </w:p>
    <w:p>
      <w:pPr>
        <w:pStyle w:val="22"/>
        <w:rPr>
          <w:rFonts w:ascii="宋体" w:hAnsi="宋体" w:cs="宋体"/>
          <w:b/>
          <w:color w:val="000000" w:themeColor="text1"/>
          <w:sz w:val="24"/>
          <w14:textFill>
            <w14:solidFill>
              <w14:schemeClr w14:val="tx1"/>
            </w14:solidFill>
          </w14:textFill>
        </w:rPr>
      </w:pPr>
    </w:p>
    <w:p>
      <w:pPr>
        <w:pStyle w:val="5"/>
        <w:rPr>
          <w:rFonts w:ascii="宋体" w:hAnsi="宋体" w:eastAsia="宋体" w:cs="宋体"/>
          <w:b/>
          <w:color w:val="000000" w:themeColor="text1"/>
          <w:sz w:val="24"/>
          <w14:textFill>
            <w14:solidFill>
              <w14:schemeClr w14:val="tx1"/>
            </w14:solidFill>
          </w14:textFill>
        </w:rPr>
      </w:pPr>
    </w:p>
    <w:p>
      <w:pPr>
        <w:rPr>
          <w:rFonts w:ascii="宋体" w:hAnsi="宋体" w:eastAsia="宋体" w:cs="宋体"/>
          <w:b/>
          <w:color w:val="000000" w:themeColor="text1"/>
          <w:sz w:val="24"/>
          <w14:textFill>
            <w14:solidFill>
              <w14:schemeClr w14:val="tx1"/>
            </w14:solidFill>
          </w14:textFill>
        </w:rPr>
      </w:pPr>
    </w:p>
    <w:p>
      <w:pPr>
        <w:pStyle w:val="22"/>
        <w:rPr>
          <w:rFonts w:ascii="宋体" w:hAnsi="宋体" w:cs="宋体"/>
          <w:b/>
          <w:color w:val="000000" w:themeColor="text1"/>
          <w:sz w:val="24"/>
          <w14:textFill>
            <w14:solidFill>
              <w14:schemeClr w14:val="tx1"/>
            </w14:solidFill>
          </w14:textFill>
        </w:rPr>
      </w:pPr>
    </w:p>
    <w:p>
      <w:pPr>
        <w:pStyle w:val="5"/>
        <w:rPr>
          <w:rFonts w:ascii="宋体" w:hAnsi="宋体" w:eastAsia="宋体" w:cs="宋体"/>
          <w:b/>
          <w:color w:val="000000" w:themeColor="text1"/>
          <w:sz w:val="24"/>
          <w14:textFill>
            <w14:solidFill>
              <w14:schemeClr w14:val="tx1"/>
            </w14:solidFill>
          </w14:textFill>
        </w:rPr>
      </w:pPr>
    </w:p>
    <w:p>
      <w:pPr>
        <w:rPr>
          <w:rFonts w:ascii="宋体" w:hAnsi="宋体" w:eastAsia="宋体" w:cs="宋体"/>
          <w:b/>
          <w:color w:val="000000" w:themeColor="text1"/>
          <w:sz w:val="24"/>
          <w14:textFill>
            <w14:solidFill>
              <w14:schemeClr w14:val="tx1"/>
            </w14:solidFill>
          </w14:textFill>
        </w:rPr>
      </w:pPr>
    </w:p>
    <w:p>
      <w:pPr>
        <w:pStyle w:val="22"/>
        <w:rPr>
          <w:rFonts w:ascii="宋体" w:hAnsi="宋体" w:cs="宋体"/>
          <w:b/>
          <w:color w:val="000000" w:themeColor="text1"/>
          <w:sz w:val="24"/>
          <w14:textFill>
            <w14:solidFill>
              <w14:schemeClr w14:val="tx1"/>
            </w14:solidFill>
          </w14:textFill>
        </w:rPr>
      </w:pPr>
    </w:p>
    <w:p>
      <w:pPr>
        <w:pStyle w:val="5"/>
        <w:rPr>
          <w:rFonts w:ascii="宋体" w:hAnsi="宋体" w:eastAsia="宋体" w:cs="宋体"/>
          <w:b/>
          <w:color w:val="000000" w:themeColor="text1"/>
          <w:sz w:val="24"/>
          <w14:textFill>
            <w14:solidFill>
              <w14:schemeClr w14:val="tx1"/>
            </w14:solidFill>
          </w14:textFill>
        </w:rPr>
      </w:pPr>
    </w:p>
    <w:p>
      <w:pPr>
        <w:rPr>
          <w:rFonts w:ascii="宋体" w:hAnsi="宋体" w:eastAsia="宋体" w:cs="宋体"/>
          <w:b/>
          <w:color w:val="000000" w:themeColor="text1"/>
          <w:sz w:val="24"/>
          <w14:textFill>
            <w14:solidFill>
              <w14:schemeClr w14:val="tx1"/>
            </w14:solidFill>
          </w14:textFill>
        </w:rPr>
      </w:pPr>
    </w:p>
    <w:p>
      <w:pPr>
        <w:pStyle w:val="22"/>
        <w:rPr>
          <w:rFonts w:ascii="宋体" w:hAnsi="宋体" w:cs="宋体"/>
          <w:b/>
          <w:color w:val="000000" w:themeColor="text1"/>
          <w:sz w:val="24"/>
          <w14:textFill>
            <w14:solidFill>
              <w14:schemeClr w14:val="tx1"/>
            </w14:solidFill>
          </w14:textFill>
        </w:rPr>
      </w:pPr>
    </w:p>
    <w:p>
      <w:pPr>
        <w:pStyle w:val="5"/>
        <w:rPr>
          <w:rFonts w:ascii="宋体" w:hAnsi="宋体" w:eastAsia="宋体" w:cs="宋体"/>
          <w:b/>
          <w:color w:val="000000" w:themeColor="text1"/>
          <w:sz w:val="24"/>
          <w14:textFill>
            <w14:solidFill>
              <w14:schemeClr w14:val="tx1"/>
            </w14:solidFill>
          </w14:textFill>
        </w:rPr>
      </w:pPr>
    </w:p>
    <w:p>
      <w:pPr>
        <w:rPr>
          <w:color w:val="000000" w:themeColor="text1"/>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格式8</w:t>
      </w:r>
    </w:p>
    <w:p>
      <w:pPr>
        <w:spacing w:line="360" w:lineRule="auto"/>
        <w:ind w:firstLine="168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合格供应商的声明函和承诺书</w:t>
      </w:r>
    </w:p>
    <w:p>
      <w:pPr>
        <w:spacing w:line="360" w:lineRule="auto"/>
        <w:jc w:val="center"/>
        <w:rPr>
          <w:rFonts w:ascii="宋体" w:hAnsi="宋体" w:eastAsia="宋体" w:cs="宋体"/>
          <w:b/>
          <w:color w:val="000000" w:themeColor="text1"/>
          <w:sz w:val="24"/>
          <w14:textFill>
            <w14:solidFill>
              <w14:schemeClr w14:val="tx1"/>
            </w14:solidFill>
          </w14:textFill>
        </w:rPr>
      </w:pPr>
    </w:p>
    <w:p>
      <w:pPr>
        <w:spacing w:line="360" w:lineRule="auto"/>
        <w:jc w:val="center"/>
        <w:rPr>
          <w:rFonts w:ascii="宋体" w:hAnsi="宋体" w:eastAsia="宋体" w:cs="宋体"/>
          <w:b/>
          <w:color w:val="000000" w:themeColor="text1"/>
          <w:sz w:val="24"/>
          <w14:textFill>
            <w14:solidFill>
              <w14:schemeClr w14:val="tx1"/>
            </w14:solidFill>
          </w14:textFill>
        </w:rPr>
      </w:pPr>
    </w:p>
    <w:p>
      <w:pPr>
        <w:spacing w:line="360" w:lineRule="auto"/>
        <w:jc w:val="center"/>
        <w:rPr>
          <w:rFonts w:ascii="宋体" w:hAnsi="宋体" w:eastAsia="宋体" w:cs="宋体"/>
          <w:b/>
          <w:color w:val="000000" w:themeColor="text1"/>
          <w:sz w:val="24"/>
          <w14:textFill>
            <w14:solidFill>
              <w14:schemeClr w14:val="tx1"/>
            </w14:solidFill>
          </w14:textFill>
        </w:rPr>
      </w:pPr>
    </w:p>
    <w:p>
      <w:pPr>
        <w:spacing w:line="360" w:lineRule="auto"/>
        <w:jc w:val="center"/>
        <w:rPr>
          <w:rFonts w:ascii="宋体" w:hAnsi="宋体" w:eastAsia="宋体" w:cs="宋体"/>
          <w:b/>
          <w:color w:val="000000" w:themeColor="text1"/>
          <w:sz w:val="24"/>
          <w14:textFill>
            <w14:solidFill>
              <w14:schemeClr w14:val="tx1"/>
            </w14:solidFill>
          </w14:textFill>
        </w:rPr>
      </w:pPr>
    </w:p>
    <w:p>
      <w:pPr>
        <w:spacing w:line="360" w:lineRule="auto"/>
        <w:jc w:val="center"/>
        <w:rPr>
          <w:rFonts w:ascii="宋体" w:hAnsi="宋体" w:eastAsia="宋体" w:cs="宋体"/>
          <w:b/>
          <w:color w:val="000000" w:themeColor="text1"/>
          <w:sz w:val="24"/>
          <w14:textFill>
            <w14:solidFill>
              <w14:schemeClr w14:val="tx1"/>
            </w14:solidFill>
          </w14:textFill>
        </w:rPr>
      </w:pPr>
    </w:p>
    <w:p>
      <w:pPr>
        <w:spacing w:line="360" w:lineRule="auto"/>
        <w:jc w:val="center"/>
        <w:rPr>
          <w:rFonts w:ascii="宋体" w:hAnsi="宋体" w:eastAsia="宋体" w:cs="宋体"/>
          <w:b/>
          <w:color w:val="000000" w:themeColor="text1"/>
          <w:sz w:val="24"/>
          <w14:textFill>
            <w14:solidFill>
              <w14:schemeClr w14:val="tx1"/>
            </w14:solidFill>
          </w14:textFill>
        </w:rPr>
      </w:pPr>
    </w:p>
    <w:p>
      <w:pPr>
        <w:spacing w:line="360" w:lineRule="auto"/>
        <w:jc w:val="center"/>
        <w:rPr>
          <w:rFonts w:ascii="宋体" w:hAnsi="宋体" w:eastAsia="宋体" w:cs="宋体"/>
          <w:b/>
          <w:color w:val="000000" w:themeColor="text1"/>
          <w:sz w:val="24"/>
          <w14:textFill>
            <w14:solidFill>
              <w14:schemeClr w14:val="tx1"/>
            </w14:solidFill>
          </w14:textFill>
        </w:rPr>
      </w:pPr>
    </w:p>
    <w:p>
      <w:pPr>
        <w:pStyle w:val="22"/>
        <w:rPr>
          <w:color w:val="000000" w:themeColor="text1"/>
          <w14:textFill>
            <w14:solidFill>
              <w14:schemeClr w14:val="tx1"/>
            </w14:solidFill>
          </w14:textFill>
        </w:rPr>
      </w:pPr>
    </w:p>
    <w:p>
      <w:pPr>
        <w:spacing w:line="360" w:lineRule="auto"/>
        <w:jc w:val="center"/>
        <w:rPr>
          <w:rFonts w:ascii="宋体" w:hAnsi="宋体" w:eastAsia="宋体" w:cs="宋体"/>
          <w:b/>
          <w:color w:val="000000" w:themeColor="text1"/>
          <w:sz w:val="24"/>
          <w14:textFill>
            <w14:solidFill>
              <w14:schemeClr w14:val="tx1"/>
            </w14:solidFill>
          </w14:textFill>
        </w:rPr>
      </w:pPr>
    </w:p>
    <w:p>
      <w:pPr>
        <w:spacing w:line="360" w:lineRule="auto"/>
        <w:jc w:val="center"/>
        <w:rPr>
          <w:rFonts w:ascii="宋体" w:hAnsi="宋体" w:eastAsia="宋体" w:cs="宋体"/>
          <w:b/>
          <w:color w:val="000000" w:themeColor="text1"/>
          <w:sz w:val="24"/>
          <w14:textFill>
            <w14:solidFill>
              <w14:schemeClr w14:val="tx1"/>
            </w14:solidFill>
          </w14:textFill>
        </w:rPr>
      </w:pPr>
    </w:p>
    <w:p>
      <w:pPr>
        <w:spacing w:line="360" w:lineRule="auto"/>
        <w:jc w:val="center"/>
        <w:rPr>
          <w:rFonts w:ascii="宋体" w:hAnsi="宋体" w:eastAsia="宋体" w:cs="宋体"/>
          <w:b/>
          <w:color w:val="000000" w:themeColor="text1"/>
          <w:sz w:val="24"/>
          <w14:textFill>
            <w14:solidFill>
              <w14:schemeClr w14:val="tx1"/>
            </w14:solidFill>
          </w14:textFill>
        </w:rPr>
      </w:pPr>
    </w:p>
    <w:p>
      <w:pPr>
        <w:spacing w:line="360" w:lineRule="auto"/>
        <w:jc w:val="center"/>
        <w:rPr>
          <w:rFonts w:ascii="宋体" w:hAnsi="宋体" w:eastAsia="宋体" w:cs="宋体"/>
          <w:b/>
          <w:color w:val="000000" w:themeColor="text1"/>
          <w:sz w:val="24"/>
          <w14:textFill>
            <w14:solidFill>
              <w14:schemeClr w14:val="tx1"/>
            </w14:solidFill>
          </w14:textFill>
        </w:rPr>
      </w:pPr>
    </w:p>
    <w:p>
      <w:pPr>
        <w:spacing w:line="360" w:lineRule="auto"/>
        <w:jc w:val="center"/>
        <w:rPr>
          <w:rFonts w:ascii="宋体" w:hAnsi="宋体" w:eastAsia="宋体" w:cs="宋体"/>
          <w:b/>
          <w:color w:val="000000" w:themeColor="text1"/>
          <w:sz w:val="24"/>
          <w14:textFill>
            <w14:solidFill>
              <w14:schemeClr w14:val="tx1"/>
            </w14:solidFill>
          </w14:textFill>
        </w:rPr>
      </w:pPr>
    </w:p>
    <w:p>
      <w:pPr>
        <w:spacing w:line="360" w:lineRule="auto"/>
        <w:jc w:val="center"/>
        <w:rPr>
          <w:rFonts w:ascii="宋体" w:hAnsi="宋体" w:eastAsia="宋体" w:cs="宋体"/>
          <w:b/>
          <w:color w:val="000000" w:themeColor="text1"/>
          <w:sz w:val="24"/>
          <w14:textFill>
            <w14:solidFill>
              <w14:schemeClr w14:val="tx1"/>
            </w14:solidFill>
          </w14:textFill>
        </w:rPr>
      </w:pPr>
    </w:p>
    <w:p>
      <w:pPr>
        <w:spacing w:line="360" w:lineRule="auto"/>
        <w:jc w:val="center"/>
        <w:rPr>
          <w:rFonts w:ascii="宋体" w:hAnsi="宋体" w:eastAsia="宋体" w:cs="宋体"/>
          <w:b/>
          <w:color w:val="000000" w:themeColor="text1"/>
          <w:sz w:val="24"/>
          <w14:textFill>
            <w14:solidFill>
              <w14:schemeClr w14:val="tx1"/>
            </w14:solidFill>
          </w14:textFill>
        </w:rPr>
      </w:pPr>
    </w:p>
    <w:p>
      <w:pPr>
        <w:spacing w:line="380" w:lineRule="auto"/>
        <w:ind w:firstLine="336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投标人电子公章：</w:t>
      </w:r>
    </w:p>
    <w:p>
      <w:pPr>
        <w:spacing w:line="380" w:lineRule="auto"/>
        <w:ind w:right="640" w:firstLine="1560"/>
        <w:rPr>
          <w:rFonts w:ascii="宋体" w:hAnsi="宋体" w:eastAsia="宋体" w:cs="宋体"/>
          <w:color w:val="000000" w:themeColor="text1"/>
          <w:sz w:val="24"/>
          <w14:textFill>
            <w14:solidFill>
              <w14:schemeClr w14:val="tx1"/>
            </w14:solidFill>
          </w14:textFill>
        </w:rPr>
      </w:pPr>
    </w:p>
    <w:p>
      <w:pPr>
        <w:spacing w:line="360" w:lineRule="auto"/>
        <w:jc w:val="center"/>
        <w:rPr>
          <w:rFonts w:ascii="宋体" w:hAnsi="宋体" w:eastAsia="宋体" w:cs="宋体"/>
          <w:b/>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      年   月    日</w:t>
      </w:r>
    </w:p>
    <w:p>
      <w:pPr>
        <w:spacing w:line="360" w:lineRule="auto"/>
        <w:jc w:val="center"/>
        <w:rPr>
          <w:rFonts w:ascii="宋体" w:hAnsi="宋体" w:eastAsia="宋体" w:cs="宋体"/>
          <w:b/>
          <w:color w:val="000000" w:themeColor="text1"/>
          <w:sz w:val="24"/>
          <w14:textFill>
            <w14:solidFill>
              <w14:schemeClr w14:val="tx1"/>
            </w14:solidFill>
          </w14:textFill>
        </w:rPr>
      </w:pPr>
    </w:p>
    <w:p>
      <w:pPr>
        <w:pStyle w:val="22"/>
        <w:rPr>
          <w:rFonts w:ascii="宋体" w:hAnsi="宋体" w:cs="宋体"/>
          <w:b/>
          <w:color w:val="000000" w:themeColor="text1"/>
          <w:sz w:val="24"/>
          <w14:textFill>
            <w14:solidFill>
              <w14:schemeClr w14:val="tx1"/>
            </w14:solidFill>
          </w14:textFill>
        </w:rPr>
      </w:pPr>
    </w:p>
    <w:p>
      <w:pPr>
        <w:pStyle w:val="5"/>
        <w:rPr>
          <w:rFonts w:ascii="宋体" w:hAnsi="宋体" w:eastAsia="宋体" w:cs="宋体"/>
          <w:b/>
          <w:color w:val="000000" w:themeColor="text1"/>
          <w:sz w:val="24"/>
          <w14:textFill>
            <w14:solidFill>
              <w14:schemeClr w14:val="tx1"/>
            </w14:solidFill>
          </w14:textFill>
        </w:rPr>
      </w:pPr>
    </w:p>
    <w:p>
      <w:pPr>
        <w:rPr>
          <w:rFonts w:ascii="宋体" w:hAnsi="宋体" w:eastAsia="宋体" w:cs="宋体"/>
          <w:b/>
          <w:color w:val="000000" w:themeColor="text1"/>
          <w:sz w:val="24"/>
          <w14:textFill>
            <w14:solidFill>
              <w14:schemeClr w14:val="tx1"/>
            </w14:solidFill>
          </w14:textFill>
        </w:rPr>
      </w:pPr>
    </w:p>
    <w:p>
      <w:pPr>
        <w:pStyle w:val="22"/>
        <w:rPr>
          <w:rFonts w:ascii="宋体" w:hAnsi="宋体" w:cs="宋体"/>
          <w:b/>
          <w:color w:val="000000" w:themeColor="text1"/>
          <w:sz w:val="24"/>
          <w14:textFill>
            <w14:solidFill>
              <w14:schemeClr w14:val="tx1"/>
            </w14:solidFill>
          </w14:textFill>
        </w:rPr>
      </w:pPr>
    </w:p>
    <w:p>
      <w:pPr>
        <w:pStyle w:val="5"/>
        <w:rPr>
          <w:rFonts w:ascii="宋体" w:hAnsi="宋体" w:eastAsia="宋体" w:cs="宋体"/>
          <w:b/>
          <w:color w:val="000000" w:themeColor="text1"/>
          <w:sz w:val="24"/>
          <w14:textFill>
            <w14:solidFill>
              <w14:schemeClr w14:val="tx1"/>
            </w14:solidFill>
          </w14:textFill>
        </w:rPr>
      </w:pPr>
    </w:p>
    <w:p>
      <w:pPr>
        <w:rPr>
          <w:rFonts w:ascii="宋体" w:hAnsi="宋体" w:eastAsia="宋体" w:cs="宋体"/>
          <w:b/>
          <w:color w:val="000000" w:themeColor="text1"/>
          <w:sz w:val="24"/>
          <w14:textFill>
            <w14:solidFill>
              <w14:schemeClr w14:val="tx1"/>
            </w14:solidFill>
          </w14:textFill>
        </w:rPr>
      </w:pPr>
    </w:p>
    <w:p>
      <w:pPr>
        <w:pStyle w:val="22"/>
        <w:rPr>
          <w:rFonts w:ascii="宋体" w:hAnsi="宋体" w:cs="宋体"/>
          <w:b/>
          <w:color w:val="000000" w:themeColor="text1"/>
          <w:sz w:val="24"/>
          <w14:textFill>
            <w14:solidFill>
              <w14:schemeClr w14:val="tx1"/>
            </w14:solidFill>
          </w14:textFill>
        </w:rPr>
      </w:pPr>
    </w:p>
    <w:p>
      <w:pPr>
        <w:pStyle w:val="5"/>
        <w:rPr>
          <w:rFonts w:ascii="宋体" w:hAnsi="宋体" w:eastAsia="宋体" w:cs="宋体"/>
          <w:b/>
          <w:color w:val="000000" w:themeColor="text1"/>
          <w:sz w:val="24"/>
          <w14:textFill>
            <w14:solidFill>
              <w14:schemeClr w14:val="tx1"/>
            </w14:solidFill>
          </w14:textFill>
        </w:rPr>
      </w:pPr>
    </w:p>
    <w:p>
      <w:pPr>
        <w:rPr>
          <w:rFonts w:ascii="宋体" w:hAnsi="宋体" w:eastAsia="宋体" w:cs="宋体"/>
          <w:b/>
          <w:color w:val="000000" w:themeColor="text1"/>
          <w:sz w:val="24"/>
          <w14:textFill>
            <w14:solidFill>
              <w14:schemeClr w14:val="tx1"/>
            </w14:solidFill>
          </w14:textFill>
        </w:rPr>
      </w:pPr>
    </w:p>
    <w:p>
      <w:pPr>
        <w:pStyle w:val="22"/>
        <w:rPr>
          <w:rFonts w:ascii="宋体" w:hAnsi="宋体" w:cs="宋体"/>
          <w:b/>
          <w:color w:val="000000" w:themeColor="text1"/>
          <w:sz w:val="24"/>
          <w14:textFill>
            <w14:solidFill>
              <w14:schemeClr w14:val="tx1"/>
            </w14:solidFill>
          </w14:textFill>
        </w:rPr>
      </w:pPr>
    </w:p>
    <w:p>
      <w:pPr>
        <w:pStyle w:val="5"/>
        <w:rPr>
          <w:rFonts w:ascii="宋体" w:hAnsi="宋体" w:eastAsia="宋体" w:cs="宋体"/>
          <w:b/>
          <w:color w:val="000000" w:themeColor="text1"/>
          <w:sz w:val="24"/>
          <w14:textFill>
            <w14:solidFill>
              <w14:schemeClr w14:val="tx1"/>
            </w14:solidFill>
          </w14:textFill>
        </w:rPr>
      </w:pPr>
    </w:p>
    <w:p>
      <w:pPr>
        <w:rPr>
          <w:color w:val="000000" w:themeColor="text1"/>
          <w14:textFill>
            <w14:solidFill>
              <w14:schemeClr w14:val="tx1"/>
            </w14:solidFill>
          </w14:textFill>
        </w:rPr>
      </w:pPr>
    </w:p>
    <w:p>
      <w:pPr>
        <w:spacing w:line="360" w:lineRule="auto"/>
        <w:jc w:val="center"/>
        <w:rPr>
          <w:rFonts w:ascii="宋体" w:hAnsi="宋体" w:eastAsia="宋体" w:cs="宋体"/>
          <w:b/>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格式9</w:t>
      </w:r>
    </w:p>
    <w:p>
      <w:pPr>
        <w:jc w:val="center"/>
        <w:rPr>
          <w:rFonts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中小企业声明函（货物）</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szCs w:val="24"/>
          <w:u w:val="single"/>
          <w14:textFill>
            <w14:solidFill>
              <w14:schemeClr w14:val="tx1"/>
            </w14:solidFill>
          </w14:textFill>
        </w:rPr>
        <w:t>（单位名称）</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u w:val="single"/>
          <w14:textFill>
            <w14:solidFill>
              <w14:schemeClr w14:val="tx1"/>
            </w14:solidFill>
          </w14:textFill>
        </w:rPr>
        <w:t>（项目名称）</w:t>
      </w:r>
      <w:r>
        <w:rPr>
          <w:rFonts w:hint="eastAsia" w:ascii="宋体" w:hAnsi="宋体" w:eastAsia="宋体" w:cs="宋体"/>
          <w:color w:val="000000" w:themeColor="text1"/>
          <w:sz w:val="24"/>
          <w:szCs w:val="24"/>
          <w14:textFill>
            <w14:solidFill>
              <w14:schemeClr w14:val="tx1"/>
            </w14:solidFill>
          </w14:textFill>
        </w:rPr>
        <w:t>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（标的名称）</w:t>
      </w:r>
      <w:r>
        <w:rPr>
          <w:rFonts w:hint="eastAsia" w:ascii="宋体" w:hAnsi="宋体" w:eastAsia="宋体" w:cs="宋体"/>
          <w:color w:val="000000" w:themeColor="text1"/>
          <w:sz w:val="24"/>
          <w:szCs w:val="24"/>
          <w14:textFill>
            <w14:solidFill>
              <w14:schemeClr w14:val="tx1"/>
            </w14:solidFill>
          </w14:textFill>
        </w:rPr>
        <w:t>，属于</w:t>
      </w:r>
      <w:r>
        <w:rPr>
          <w:rFonts w:hint="eastAsia" w:ascii="宋体" w:hAnsi="宋体" w:eastAsia="宋体" w:cs="宋体"/>
          <w:color w:val="000000" w:themeColor="text1"/>
          <w:sz w:val="24"/>
          <w:szCs w:val="24"/>
          <w:u w:val="single"/>
          <w14:textFill>
            <w14:solidFill>
              <w14:schemeClr w14:val="tx1"/>
            </w14:solidFill>
          </w14:textFill>
        </w:rPr>
        <w:t xml:space="preserve">  工业    </w:t>
      </w:r>
      <w:r>
        <w:rPr>
          <w:rFonts w:hint="eastAsia" w:ascii="宋体" w:hAnsi="宋体" w:eastAsia="宋体" w:cs="宋体"/>
          <w:color w:val="000000" w:themeColor="text1"/>
          <w:sz w:val="24"/>
          <w:szCs w:val="24"/>
          <w14:textFill>
            <w14:solidFill>
              <w14:schemeClr w14:val="tx1"/>
            </w14:solidFill>
          </w14:textFill>
        </w:rPr>
        <w:t>行业；制造商为</w:t>
      </w:r>
      <w:r>
        <w:rPr>
          <w:rFonts w:hint="eastAsia" w:ascii="宋体" w:hAnsi="宋体" w:eastAsia="宋体" w:cs="宋体"/>
          <w:color w:val="000000" w:themeColor="text1"/>
          <w:sz w:val="24"/>
          <w:szCs w:val="24"/>
          <w:u w:val="single"/>
          <w14:textFill>
            <w14:solidFill>
              <w14:schemeClr w14:val="tx1"/>
            </w14:solidFill>
          </w14:textFill>
        </w:rPr>
        <w:t>（企业名称）</w:t>
      </w:r>
      <w:r>
        <w:rPr>
          <w:rFonts w:hint="eastAsia" w:ascii="宋体" w:hAnsi="宋体" w:eastAsia="宋体" w:cs="宋体"/>
          <w:color w:val="000000" w:themeColor="text1"/>
          <w:sz w:val="24"/>
          <w:szCs w:val="24"/>
          <w14:textFill>
            <w14:solidFill>
              <w14:schemeClr w14:val="tx1"/>
            </w14:solidFill>
          </w14:textFill>
        </w:rPr>
        <w:t>，从业人员</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人，营业收入为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万元，资产总额为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万元，属于</w:t>
      </w:r>
      <w:r>
        <w:rPr>
          <w:rFonts w:hint="eastAsia" w:ascii="宋体" w:hAnsi="宋体" w:eastAsia="宋体" w:cs="宋体"/>
          <w:color w:val="000000" w:themeColor="text1"/>
          <w:sz w:val="24"/>
          <w:szCs w:val="24"/>
          <w:u w:val="single"/>
          <w14:textFill>
            <w14:solidFill>
              <w14:schemeClr w14:val="tx1"/>
            </w14:solidFill>
          </w14:textFill>
        </w:rPr>
        <w:t>（中型企业、小型企业、微型企业）</w:t>
      </w:r>
      <w:r>
        <w:rPr>
          <w:rFonts w:hint="eastAsia" w:ascii="宋体" w:hAnsi="宋体" w:eastAsia="宋体" w:cs="宋体"/>
          <w:color w:val="000000" w:themeColor="text1"/>
          <w:sz w:val="24"/>
          <w:szCs w:val="24"/>
          <w14:textFill>
            <w14:solidFill>
              <w14:schemeClr w14:val="tx1"/>
            </w14:solidFill>
          </w14:textFill>
        </w:rPr>
        <w:t xml:space="preserve">； </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u w:val="single"/>
          <w14:textFill>
            <w14:solidFill>
              <w14:schemeClr w14:val="tx1"/>
            </w14:solidFill>
          </w14:textFill>
        </w:rPr>
        <w:t>（标的名称）</w:t>
      </w:r>
      <w:r>
        <w:rPr>
          <w:rFonts w:hint="eastAsia" w:ascii="宋体" w:hAnsi="宋体" w:eastAsia="宋体" w:cs="宋体"/>
          <w:color w:val="000000" w:themeColor="text1"/>
          <w:sz w:val="24"/>
          <w:szCs w:val="24"/>
          <w14:textFill>
            <w14:solidFill>
              <w14:schemeClr w14:val="tx1"/>
            </w14:solidFill>
          </w14:textFill>
        </w:rPr>
        <w:t>，属于</w:t>
      </w:r>
      <w:r>
        <w:rPr>
          <w:rFonts w:hint="eastAsia" w:ascii="宋体" w:hAnsi="宋体" w:eastAsia="宋体" w:cs="宋体"/>
          <w:color w:val="000000" w:themeColor="text1"/>
          <w:sz w:val="24"/>
          <w:szCs w:val="24"/>
          <w:u w:val="single"/>
          <w14:textFill>
            <w14:solidFill>
              <w14:schemeClr w14:val="tx1"/>
            </w14:solidFill>
          </w14:textFill>
        </w:rPr>
        <w:t>（采购文件中明确的所属行业）</w:t>
      </w:r>
      <w:r>
        <w:rPr>
          <w:rFonts w:hint="eastAsia" w:ascii="宋体" w:hAnsi="宋体" w:eastAsia="宋体" w:cs="宋体"/>
          <w:color w:val="000000" w:themeColor="text1"/>
          <w:sz w:val="24"/>
          <w:szCs w:val="24"/>
          <w14:textFill>
            <w14:solidFill>
              <w14:schemeClr w14:val="tx1"/>
            </w14:solidFill>
          </w14:textFill>
        </w:rPr>
        <w:t>行业；制造商为</w:t>
      </w:r>
      <w:r>
        <w:rPr>
          <w:rFonts w:hint="eastAsia" w:ascii="宋体" w:hAnsi="宋体" w:eastAsia="宋体" w:cs="宋体"/>
          <w:color w:val="000000" w:themeColor="text1"/>
          <w:sz w:val="24"/>
          <w:szCs w:val="24"/>
          <w:u w:val="single"/>
          <w14:textFill>
            <w14:solidFill>
              <w14:schemeClr w14:val="tx1"/>
            </w14:solidFill>
          </w14:textFill>
        </w:rPr>
        <w:t>（企业名称）</w:t>
      </w:r>
      <w:r>
        <w:rPr>
          <w:rFonts w:hint="eastAsia" w:ascii="宋体" w:hAnsi="宋体" w:eastAsia="宋体" w:cs="宋体"/>
          <w:color w:val="000000" w:themeColor="text1"/>
          <w:sz w:val="24"/>
          <w:szCs w:val="24"/>
          <w14:textFill>
            <w14:solidFill>
              <w14:schemeClr w14:val="tx1"/>
            </w14:solidFill>
          </w14:textFill>
        </w:rPr>
        <w:t>，从业人员</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人，营业收入为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万元，资产总额为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万元，属于</w:t>
      </w:r>
      <w:r>
        <w:rPr>
          <w:rFonts w:hint="eastAsia" w:ascii="宋体" w:hAnsi="宋体" w:eastAsia="宋体" w:cs="宋体"/>
          <w:color w:val="000000" w:themeColor="text1"/>
          <w:sz w:val="24"/>
          <w:szCs w:val="24"/>
          <w:u w:val="single"/>
          <w14:textFill>
            <w14:solidFill>
              <w14:schemeClr w14:val="tx1"/>
            </w14:solidFill>
          </w14:textFill>
        </w:rPr>
        <w:t>（中型企业、小型企业、微型企业）；</w:t>
      </w:r>
      <w:r>
        <w:rPr>
          <w:rFonts w:hint="eastAsia" w:ascii="宋体" w:hAnsi="宋体" w:eastAsia="宋体" w:cs="宋体"/>
          <w:color w:val="000000" w:themeColor="text1"/>
          <w:sz w:val="24"/>
          <w:szCs w:val="24"/>
          <w14:textFill>
            <w14:solidFill>
              <w14:schemeClr w14:val="tx1"/>
            </w14:solidFill>
          </w14:textFill>
        </w:rPr>
        <w:t xml:space="preserve"> </w:t>
      </w:r>
    </w:p>
    <w:p>
      <w:pPr>
        <w:spacing w:line="360" w:lineRule="auto"/>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以上企业，不属于大企业的分支机构，不存在控股股东 为大企业的情形，也不存在与大企业的负责人为同一人的情形。</w:t>
      </w:r>
    </w:p>
    <w:p>
      <w:pPr>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本企业对上述声明内容的真实性负责。如有虚假，将依 法承担相应责任。</w:t>
      </w:r>
    </w:p>
    <w:p>
      <w:pPr>
        <w:spacing w:line="360" w:lineRule="auto"/>
        <w:ind w:firstLine="3840" w:firstLineChars="16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企业名称（盖章）： </w:t>
      </w:r>
    </w:p>
    <w:p>
      <w:pPr>
        <w:spacing w:line="360" w:lineRule="auto"/>
        <w:ind w:firstLine="5040" w:firstLineChars="21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p>
      <w:pPr>
        <w:spacing w:line="360" w:lineRule="auto"/>
        <w:rPr>
          <w:rFonts w:ascii="宋体" w:hAnsi="宋体" w:eastAsia="宋体" w:cs="宋体"/>
          <w:color w:val="000000" w:themeColor="text1"/>
          <w:sz w:val="24"/>
          <w14:textFill>
            <w14:solidFill>
              <w14:schemeClr w14:val="tx1"/>
            </w14:solidFill>
          </w14:textFill>
        </w:rPr>
      </w:pPr>
    </w:p>
    <w:p>
      <w:pPr>
        <w:rPr>
          <w:color w:val="000000" w:themeColor="text1"/>
          <w14:textFill>
            <w14:solidFill>
              <w14:schemeClr w14:val="tx1"/>
            </w14:solidFill>
          </w14:textFill>
        </w:rPr>
      </w:pPr>
    </w:p>
    <w:p>
      <w:pPr>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注：1.从业人员、营业收入、资产总额填报上一年度数据，无上一年度数据的新成立企业可不填报。</w:t>
      </w:r>
    </w:p>
    <w:p>
      <w:pPr>
        <w:spacing w:line="36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2.本项目如是只面向中小企业采购的应当必须提供。</w:t>
      </w:r>
    </w:p>
    <w:p>
      <w:pPr>
        <w:spacing w:line="360" w:lineRule="auto"/>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color w:val="000000" w:themeColor="text1"/>
          <w:sz w:val="24"/>
          <w14:textFill>
            <w14:solidFill>
              <w14:schemeClr w14:val="tx1"/>
            </w14:solidFill>
          </w14:textFill>
        </w:rPr>
      </w:pPr>
    </w:p>
    <w:p>
      <w:pPr>
        <w:pStyle w:val="22"/>
        <w:rPr>
          <w:rFonts w:ascii="宋体" w:hAnsi="宋体" w:cs="宋体"/>
          <w:color w:val="000000" w:themeColor="text1"/>
          <w:sz w:val="24"/>
          <w14:textFill>
            <w14:solidFill>
              <w14:schemeClr w14:val="tx1"/>
            </w14:solidFill>
          </w14:textFill>
        </w:rPr>
      </w:pPr>
    </w:p>
    <w:p>
      <w:pPr>
        <w:pStyle w:val="5"/>
        <w:rPr>
          <w:rFonts w:ascii="宋体" w:hAnsi="宋体" w:eastAsia="宋体" w:cs="宋体"/>
          <w:color w:val="000000" w:themeColor="text1"/>
          <w:sz w:val="24"/>
          <w14:textFill>
            <w14:solidFill>
              <w14:schemeClr w14:val="tx1"/>
            </w14:solidFill>
          </w14:textFill>
        </w:rPr>
      </w:pPr>
    </w:p>
    <w:p>
      <w:pPr>
        <w:rPr>
          <w:rFonts w:ascii="宋体" w:hAnsi="宋体" w:eastAsia="宋体" w:cs="宋体"/>
          <w:color w:val="000000" w:themeColor="text1"/>
          <w:sz w:val="24"/>
          <w14:textFill>
            <w14:solidFill>
              <w14:schemeClr w14:val="tx1"/>
            </w14:solidFill>
          </w14:textFill>
        </w:rPr>
      </w:pPr>
    </w:p>
    <w:p>
      <w:pPr>
        <w:pStyle w:val="22"/>
        <w:rPr>
          <w:rFonts w:ascii="宋体" w:hAnsi="宋体" w:cs="宋体"/>
          <w:color w:val="000000" w:themeColor="text1"/>
          <w:sz w:val="24"/>
          <w14:textFill>
            <w14:solidFill>
              <w14:schemeClr w14:val="tx1"/>
            </w14:solidFill>
          </w14:textFill>
        </w:rPr>
      </w:pPr>
    </w:p>
    <w:p>
      <w:pPr>
        <w:pStyle w:val="5"/>
        <w:rPr>
          <w:rFonts w:ascii="宋体" w:hAnsi="宋体" w:eastAsia="宋体" w:cs="宋体"/>
          <w:color w:val="000000" w:themeColor="text1"/>
          <w:sz w:val="24"/>
          <w14:textFill>
            <w14:solidFill>
              <w14:schemeClr w14:val="tx1"/>
            </w14:solidFill>
          </w14:textFill>
        </w:rPr>
      </w:pPr>
    </w:p>
    <w:p>
      <w:pPr>
        <w:rPr>
          <w:rFonts w:ascii="宋体" w:hAnsi="宋体" w:eastAsia="宋体" w:cs="宋体"/>
          <w:color w:val="000000" w:themeColor="text1"/>
          <w:sz w:val="24"/>
          <w14:textFill>
            <w14:solidFill>
              <w14:schemeClr w14:val="tx1"/>
            </w14:solidFill>
          </w14:textFill>
        </w:rPr>
      </w:pPr>
    </w:p>
    <w:p>
      <w:pPr>
        <w:pStyle w:val="20"/>
        <w:ind w:firstLine="240"/>
        <w:rPr>
          <w:rFonts w:ascii="宋体" w:hAnsi="宋体" w:eastAsia="宋体" w:cs="宋体"/>
          <w:color w:val="000000" w:themeColor="text1"/>
          <w:sz w:val="24"/>
          <w14:textFill>
            <w14:solidFill>
              <w14:schemeClr w14:val="tx1"/>
            </w14:solidFill>
          </w14:textFill>
        </w:rPr>
      </w:pPr>
    </w:p>
    <w:p>
      <w:pPr>
        <w:pStyle w:val="20"/>
        <w:ind w:firstLine="240"/>
        <w:rPr>
          <w:rFonts w:ascii="宋体" w:hAnsi="宋体" w:eastAsia="宋体" w:cs="宋体"/>
          <w:color w:val="000000" w:themeColor="text1"/>
          <w:sz w:val="24"/>
          <w14:textFill>
            <w14:solidFill>
              <w14:schemeClr w14:val="tx1"/>
            </w14:solidFill>
          </w14:textFill>
        </w:rPr>
      </w:pPr>
    </w:p>
    <w:p>
      <w:pPr>
        <w:pStyle w:val="20"/>
        <w:ind w:firstLine="240"/>
        <w:rPr>
          <w:rFonts w:ascii="宋体" w:hAnsi="宋体" w:eastAsia="宋体" w:cs="宋体"/>
          <w:color w:val="000000" w:themeColor="text1"/>
          <w:sz w:val="24"/>
          <w14:textFill>
            <w14:solidFill>
              <w14:schemeClr w14:val="tx1"/>
            </w14:solidFill>
          </w14:textFill>
        </w:rPr>
      </w:pPr>
    </w:p>
    <w:p>
      <w:pPr>
        <w:rPr>
          <w:color w:val="000000" w:themeColor="text1"/>
          <w14:textFill>
            <w14:solidFill>
              <w14:schemeClr w14:val="tx1"/>
            </w14:solidFill>
          </w14:textFill>
        </w:rPr>
      </w:pP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格式</w:t>
      </w:r>
      <w:r>
        <w:rPr>
          <w:rFonts w:hint="eastAsia" w:ascii="宋体" w:hAnsi="宋体" w:eastAsia="宋体" w:cs="宋体"/>
          <w:color w:val="000000" w:themeColor="text1"/>
          <w:sz w:val="24"/>
          <w14:textFill>
            <w14:solidFill>
              <w14:schemeClr w14:val="tx1"/>
            </w14:solidFill>
          </w14:textFill>
        </w:rPr>
        <w:t>10</w:t>
      </w:r>
      <w:r>
        <w:rPr>
          <w:rFonts w:ascii="宋体" w:hAnsi="宋体" w:eastAsia="宋体" w:cs="宋体"/>
          <w:color w:val="000000" w:themeColor="text1"/>
          <w:sz w:val="24"/>
          <w14:textFill>
            <w14:solidFill>
              <w14:schemeClr w14:val="tx1"/>
            </w14:solidFill>
          </w14:textFill>
        </w:rPr>
        <w:t xml:space="preserve">  其他资料</w:t>
      </w:r>
    </w:p>
    <w:p>
      <w:pPr>
        <w:ind w:firstLine="240"/>
        <w:jc w:val="left"/>
        <w:rPr>
          <w:rFonts w:ascii="宋体" w:hAnsi="宋体" w:eastAsia="宋体" w:cs="宋体"/>
          <w:color w:val="000000" w:themeColor="text1"/>
          <w:sz w:val="24"/>
          <w14:textFill>
            <w14:solidFill>
              <w14:schemeClr w14:val="tx1"/>
            </w14:solidFill>
          </w14:textFill>
        </w:rPr>
      </w:pPr>
    </w:p>
    <w:p>
      <w:pPr>
        <w:ind w:firstLine="321"/>
        <w:jc w:val="center"/>
        <w:rPr>
          <w:rFonts w:ascii="宋体" w:hAnsi="宋体" w:eastAsia="宋体" w:cs="宋体"/>
          <w:b/>
          <w:color w:val="000000" w:themeColor="text1"/>
          <w:sz w:val="32"/>
          <w14:textFill>
            <w14:solidFill>
              <w14:schemeClr w14:val="tx1"/>
            </w14:solidFill>
          </w14:textFill>
        </w:rPr>
      </w:pPr>
    </w:p>
    <w:p>
      <w:pPr>
        <w:ind w:firstLine="321"/>
        <w:jc w:val="center"/>
        <w:rPr>
          <w:rFonts w:ascii="宋体" w:hAnsi="宋体" w:eastAsia="宋体" w:cs="宋体"/>
          <w:b/>
          <w:color w:val="000000" w:themeColor="text1"/>
          <w:sz w:val="32"/>
          <w14:textFill>
            <w14:solidFill>
              <w14:schemeClr w14:val="tx1"/>
            </w14:solidFill>
          </w14:textFill>
        </w:rPr>
      </w:pPr>
    </w:p>
    <w:p>
      <w:pPr>
        <w:ind w:firstLine="321"/>
        <w:jc w:val="center"/>
        <w:rPr>
          <w:rFonts w:ascii="宋体" w:hAnsi="宋体" w:eastAsia="宋体" w:cs="宋体"/>
          <w:b/>
          <w:color w:val="000000" w:themeColor="text1"/>
          <w:sz w:val="32"/>
          <w14:textFill>
            <w14:solidFill>
              <w14:schemeClr w14:val="tx1"/>
            </w14:solidFill>
          </w14:textFill>
        </w:rPr>
      </w:pPr>
    </w:p>
    <w:p>
      <w:pPr>
        <w:ind w:firstLine="321"/>
        <w:jc w:val="center"/>
        <w:rPr>
          <w:rFonts w:ascii="宋体" w:hAnsi="宋体" w:eastAsia="宋体" w:cs="宋体"/>
          <w:b/>
          <w:color w:val="000000" w:themeColor="text1"/>
          <w:sz w:val="32"/>
          <w14:textFill>
            <w14:solidFill>
              <w14:schemeClr w14:val="tx1"/>
            </w14:solidFill>
          </w14:textFill>
        </w:rPr>
      </w:pPr>
    </w:p>
    <w:p>
      <w:pPr>
        <w:ind w:firstLine="321"/>
        <w:jc w:val="center"/>
        <w:rPr>
          <w:rFonts w:ascii="宋体" w:hAnsi="宋体" w:eastAsia="宋体" w:cs="宋体"/>
          <w:b/>
          <w:color w:val="000000" w:themeColor="text1"/>
          <w:sz w:val="32"/>
          <w14:textFill>
            <w14:solidFill>
              <w14:schemeClr w14:val="tx1"/>
            </w14:solidFill>
          </w14:textFill>
        </w:rPr>
      </w:pPr>
    </w:p>
    <w:p>
      <w:pPr>
        <w:ind w:firstLine="321"/>
        <w:jc w:val="center"/>
        <w:rPr>
          <w:rFonts w:ascii="宋体" w:hAnsi="宋体" w:eastAsia="宋体" w:cs="宋体"/>
          <w:b/>
          <w:color w:val="000000" w:themeColor="text1"/>
          <w:sz w:val="32"/>
          <w14:textFill>
            <w14:solidFill>
              <w14:schemeClr w14:val="tx1"/>
            </w14:solidFill>
          </w14:textFill>
        </w:rPr>
      </w:pPr>
    </w:p>
    <w:p>
      <w:pPr>
        <w:ind w:firstLine="321"/>
        <w:jc w:val="center"/>
        <w:rPr>
          <w:rFonts w:ascii="宋体" w:hAnsi="宋体" w:eastAsia="宋体" w:cs="宋体"/>
          <w:b/>
          <w:color w:val="000000" w:themeColor="text1"/>
          <w:sz w:val="32"/>
          <w14:textFill>
            <w14:solidFill>
              <w14:schemeClr w14:val="tx1"/>
            </w14:solidFill>
          </w14:textFill>
        </w:rPr>
      </w:pPr>
    </w:p>
    <w:p>
      <w:pPr>
        <w:ind w:firstLine="321"/>
        <w:jc w:val="center"/>
        <w:rPr>
          <w:rFonts w:ascii="宋体" w:hAnsi="宋体" w:eastAsia="宋体" w:cs="宋体"/>
          <w:b/>
          <w:color w:val="000000" w:themeColor="text1"/>
          <w:sz w:val="32"/>
          <w14:textFill>
            <w14:solidFill>
              <w14:schemeClr w14:val="tx1"/>
            </w14:solidFill>
          </w14:textFill>
        </w:rPr>
      </w:pPr>
    </w:p>
    <w:p>
      <w:pPr>
        <w:ind w:firstLine="321"/>
        <w:jc w:val="center"/>
        <w:rPr>
          <w:rFonts w:ascii="宋体" w:hAnsi="宋体" w:eastAsia="宋体" w:cs="宋体"/>
          <w:b/>
          <w:color w:val="000000" w:themeColor="text1"/>
          <w:sz w:val="32"/>
          <w14:textFill>
            <w14:solidFill>
              <w14:schemeClr w14:val="tx1"/>
            </w14:solidFill>
          </w14:textFill>
        </w:rPr>
      </w:pPr>
    </w:p>
    <w:p>
      <w:pPr>
        <w:ind w:firstLine="321"/>
        <w:jc w:val="center"/>
        <w:rPr>
          <w:rFonts w:ascii="宋体" w:hAnsi="宋体" w:eastAsia="宋体" w:cs="宋体"/>
          <w:b/>
          <w:color w:val="000000" w:themeColor="text1"/>
          <w:sz w:val="32"/>
          <w14:textFill>
            <w14:solidFill>
              <w14:schemeClr w14:val="tx1"/>
            </w14:solidFill>
          </w14:textFill>
        </w:rPr>
      </w:pPr>
    </w:p>
    <w:p>
      <w:pPr>
        <w:ind w:firstLine="321"/>
        <w:jc w:val="center"/>
        <w:rPr>
          <w:rFonts w:ascii="宋体" w:hAnsi="宋体" w:eastAsia="宋体" w:cs="宋体"/>
          <w:b/>
          <w:color w:val="000000" w:themeColor="text1"/>
          <w:sz w:val="32"/>
          <w14:textFill>
            <w14:solidFill>
              <w14:schemeClr w14:val="tx1"/>
            </w14:solidFill>
          </w14:textFill>
        </w:rPr>
      </w:pPr>
    </w:p>
    <w:p>
      <w:pPr>
        <w:jc w:val="left"/>
        <w:rPr>
          <w:rFonts w:ascii="宋体" w:hAnsi="宋体" w:eastAsia="宋体" w:cs="宋体"/>
          <w:color w:val="000000" w:themeColor="text1"/>
          <w:sz w:val="24"/>
          <w14:textFill>
            <w14:solidFill>
              <w14:schemeClr w14:val="tx1"/>
            </w14:solidFill>
          </w14:textFill>
        </w:rPr>
      </w:pPr>
    </w:p>
    <w:p>
      <w:pPr>
        <w:pStyle w:val="22"/>
        <w:rPr>
          <w:rFonts w:ascii="宋体" w:hAnsi="宋体" w:cs="宋体"/>
          <w:color w:val="000000" w:themeColor="text1"/>
          <w:sz w:val="24"/>
          <w14:textFill>
            <w14:solidFill>
              <w14:schemeClr w14:val="tx1"/>
            </w14:solidFill>
          </w14:textFill>
        </w:rPr>
      </w:pPr>
    </w:p>
    <w:p>
      <w:pPr>
        <w:pStyle w:val="5"/>
        <w:rPr>
          <w:rFonts w:ascii="宋体" w:hAnsi="宋体" w:eastAsia="宋体" w:cs="宋体"/>
          <w:color w:val="000000" w:themeColor="text1"/>
          <w:sz w:val="24"/>
          <w14:textFill>
            <w14:solidFill>
              <w14:schemeClr w14:val="tx1"/>
            </w14:solidFill>
          </w14:textFill>
        </w:rPr>
      </w:pPr>
    </w:p>
    <w:p>
      <w:pPr>
        <w:rPr>
          <w:rFonts w:ascii="宋体" w:hAnsi="宋体" w:eastAsia="宋体" w:cs="宋体"/>
          <w:color w:val="000000" w:themeColor="text1"/>
          <w:sz w:val="24"/>
          <w14:textFill>
            <w14:solidFill>
              <w14:schemeClr w14:val="tx1"/>
            </w14:solidFill>
          </w14:textFill>
        </w:rPr>
      </w:pPr>
    </w:p>
    <w:p>
      <w:pPr>
        <w:pStyle w:val="22"/>
        <w:rPr>
          <w:rFonts w:ascii="宋体" w:hAnsi="宋体" w:cs="宋体"/>
          <w:color w:val="000000" w:themeColor="text1"/>
          <w:sz w:val="24"/>
          <w14:textFill>
            <w14:solidFill>
              <w14:schemeClr w14:val="tx1"/>
            </w14:solidFill>
          </w14:textFill>
        </w:rPr>
      </w:pPr>
    </w:p>
    <w:p>
      <w:pPr>
        <w:pStyle w:val="5"/>
        <w:rPr>
          <w:rFonts w:ascii="宋体" w:hAnsi="宋体" w:eastAsia="宋体" w:cs="宋体"/>
          <w:color w:val="000000" w:themeColor="text1"/>
          <w:sz w:val="24"/>
          <w14:textFill>
            <w14:solidFill>
              <w14:schemeClr w14:val="tx1"/>
            </w14:solidFill>
          </w14:textFill>
        </w:rPr>
      </w:pPr>
    </w:p>
    <w:p>
      <w:pPr>
        <w:rPr>
          <w:rFonts w:ascii="宋体" w:hAnsi="宋体" w:eastAsia="宋体" w:cs="宋体"/>
          <w:color w:val="000000" w:themeColor="text1"/>
          <w:sz w:val="24"/>
          <w14:textFill>
            <w14:solidFill>
              <w14:schemeClr w14:val="tx1"/>
            </w14:solidFill>
          </w14:textFill>
        </w:rPr>
      </w:pPr>
    </w:p>
    <w:p>
      <w:pPr>
        <w:pStyle w:val="22"/>
        <w:rPr>
          <w:rFonts w:ascii="宋体" w:hAnsi="宋体" w:cs="宋体"/>
          <w:color w:val="000000" w:themeColor="text1"/>
          <w:sz w:val="24"/>
          <w14:textFill>
            <w14:solidFill>
              <w14:schemeClr w14:val="tx1"/>
            </w14:solidFill>
          </w14:textFill>
        </w:rPr>
      </w:pPr>
    </w:p>
    <w:p>
      <w:pPr>
        <w:pStyle w:val="5"/>
        <w:rPr>
          <w:rFonts w:ascii="宋体" w:hAnsi="宋体" w:eastAsia="宋体" w:cs="宋体"/>
          <w:color w:val="000000" w:themeColor="text1"/>
          <w:sz w:val="24"/>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宋体" w:hAnsi="宋体" w:eastAsia="宋体" w:cs="宋体"/>
          <w:color w:val="000000" w:themeColor="text1"/>
          <w:sz w:val="24"/>
          <w14:textFill>
            <w14:solidFill>
              <w14:schemeClr w14:val="tx1"/>
            </w14:solidFill>
          </w14:textFill>
        </w:rPr>
      </w:pPr>
    </w:p>
    <w:p>
      <w:pP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p>
      <w:pPr>
        <w:pStyle w:val="20"/>
        <w:ind w:firstLine="240"/>
        <w:rPr>
          <w:rFonts w:ascii="宋体" w:hAnsi="宋体" w:eastAsia="宋体" w:cs="宋体"/>
          <w:color w:val="000000" w:themeColor="text1"/>
          <w:sz w:val="24"/>
          <w14:textFill>
            <w14:solidFill>
              <w14:schemeClr w14:val="tx1"/>
            </w14:solidFill>
          </w14:textFill>
        </w:rPr>
      </w:pPr>
    </w:p>
    <w:p>
      <w:pPr>
        <w:spacing w:line="360" w:lineRule="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格式11</w:t>
      </w:r>
    </w:p>
    <w:p>
      <w:pPr>
        <w:spacing w:line="380" w:lineRule="auto"/>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政府采购供应商诚信承诺书</w:t>
      </w:r>
    </w:p>
    <w:p>
      <w:pPr>
        <w:spacing w:line="400" w:lineRule="exact"/>
        <w:ind w:firstLine="72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（一）提供虚假材料谋取中标;</w:t>
      </w:r>
    </w:p>
    <w:p>
      <w:p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（二）采取不正当手段诋毁、排挤其他供应商;</w:t>
      </w:r>
    </w:p>
    <w:p>
      <w:p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（三）与招标采购单位、其他投标人恶意串通;</w:t>
      </w:r>
    </w:p>
    <w:p>
      <w:p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（四）向招标采购单位或提供其他不正当利益;</w:t>
      </w:r>
    </w:p>
    <w:p>
      <w:p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（五）在招标过程中与招标采购单位进行协商谈判、不按照招标文件和投标文件订立合同，或者与采购人另立背离合同实质性内容协议;</w:t>
      </w:r>
    </w:p>
    <w:p>
      <w:p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（六）开标后擅自撤销投标，影响招标继续进行的或领取招标文件纳投标保证金后不投标导致废标;</w:t>
      </w:r>
    </w:p>
    <w:p>
      <w:p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（七）中标后无正当理由，在规定时间内不与采购单位签订合同;</w:t>
      </w:r>
    </w:p>
    <w:p>
      <w:p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（八）将中标项目转让给他人或非法分包他人;</w:t>
      </w:r>
    </w:p>
    <w:p>
      <w:p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（九）无正当理由，拒绝履行合同义务;</w:t>
      </w:r>
    </w:p>
    <w:p>
      <w:p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（十）无正当理由放弃中标（成交）项目;</w:t>
      </w:r>
    </w:p>
    <w:p>
      <w:p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（十ー）撞自或与与采购人串通或接受采购人要求，在履约合同中通过减少货物数量，更换品牌、降低配置、技术要求、质量和服务标准等，却仍按原合同进行虚假验收或终止政府采购合同;</w:t>
      </w:r>
    </w:p>
    <w:p>
      <w:p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（十二）与采购人串通，对尚未履约完毕的采购项目出具虚假验收报告；</w:t>
      </w:r>
    </w:p>
    <w:p>
      <w:p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（十三）无不可抗力因素，拒绝提供售后服务、售后服务态度恶劣、故意提高维修配件价格（高于市场平均价）；</w:t>
      </w:r>
    </w:p>
    <w:p>
      <w:p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（十四）开标后对招标文件的相关内容再进行质疑；</w:t>
      </w:r>
    </w:p>
    <w:p>
      <w:p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（十五）恶意投诉的行为：投诉经查无实据的、捏造事实或者提供虚假设诉材料；</w:t>
      </w:r>
    </w:p>
    <w:p>
      <w:p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（十六）拒绝有关部门监督检查或者提供虚假情况；</w:t>
      </w:r>
    </w:p>
    <w:p>
      <w:pPr>
        <w:spacing w:line="4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（十七）政府采购监管部门认定的其他政府采购活动中的不诚信行为。</w:t>
      </w:r>
    </w:p>
    <w:p>
      <w:pPr>
        <w:spacing w:line="400" w:lineRule="exact"/>
        <w:ind w:firstLine="3360"/>
        <w:rPr>
          <w:rFonts w:ascii="宋体" w:hAnsi="宋体" w:eastAsia="宋体" w:cs="宋体"/>
          <w:color w:val="000000" w:themeColor="text1"/>
          <w:szCs w:val="21"/>
          <w14:textFill>
            <w14:solidFill>
              <w14:schemeClr w14:val="tx1"/>
            </w14:solidFill>
          </w14:textFill>
        </w:rPr>
      </w:pPr>
    </w:p>
    <w:p>
      <w:pPr>
        <w:spacing w:line="400" w:lineRule="exact"/>
        <w:ind w:firstLine="336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供应商名称：（盖章）</w:t>
      </w:r>
    </w:p>
    <w:p>
      <w:pPr>
        <w:spacing w:line="400" w:lineRule="exact"/>
        <w:ind w:firstLine="336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法人代表或授权委托人：（签字）</w:t>
      </w:r>
    </w:p>
    <w:p>
      <w:pPr>
        <w:spacing w:line="400" w:lineRule="exact"/>
        <w:ind w:firstLine="3360"/>
        <w:rPr>
          <w:rFonts w:ascii="宋体" w:hAnsi="宋体" w:eastAsia="宋体" w:cs="宋体"/>
          <w:color w:val="000000" w:themeColor="text1"/>
          <w:szCs w:val="21"/>
          <w14:textFill>
            <w14:solidFill>
              <w14:schemeClr w14:val="tx1"/>
            </w14:solidFill>
          </w14:textFill>
        </w:rPr>
      </w:pPr>
    </w:p>
    <w:p>
      <w:pPr>
        <w:spacing w:line="400" w:lineRule="exact"/>
        <w:ind w:firstLine="3360"/>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日期：  年  月    日</w:t>
      </w:r>
    </w:p>
    <w:p>
      <w:pPr>
        <w:spacing w:line="360" w:lineRule="auto"/>
        <w:jc w:val="center"/>
        <w:rPr>
          <w:rFonts w:ascii="宋体" w:hAnsi="宋体" w:eastAsia="宋体" w:cs="宋体"/>
          <w:b/>
          <w:color w:val="000000" w:themeColor="text1"/>
          <w:szCs w:val="21"/>
          <w14:textFill>
            <w14:solidFill>
              <w14:schemeClr w14:val="tx1"/>
            </w14:solidFill>
          </w14:textFill>
        </w:rPr>
      </w:pPr>
    </w:p>
    <w:p>
      <w:pPr>
        <w:pStyle w:val="2"/>
        <w:rPr>
          <w:color w:val="000000" w:themeColor="text1"/>
          <w14:textFill>
            <w14:solidFill>
              <w14:schemeClr w14:val="tx1"/>
            </w14:solidFill>
          </w14:textFill>
        </w:rPr>
      </w:pPr>
      <w:bookmarkStart w:id="16" w:name="_Toc164239556"/>
      <w:r>
        <w:rPr>
          <w:rFonts w:hint="eastAsia"/>
          <w:color w:val="000000" w:themeColor="text1"/>
          <w14:textFill>
            <w14:solidFill>
              <w14:schemeClr w14:val="tx1"/>
            </w14:solidFill>
          </w14:textFill>
        </w:rPr>
        <w:t>周口市政府采购合同融资政策告知函</w:t>
      </w:r>
      <w:bookmarkEnd w:id="16"/>
    </w:p>
    <w:p>
      <w:pPr>
        <w:ind w:firstLine="240"/>
        <w:jc w:val="left"/>
        <w:rPr>
          <w:rFonts w:ascii="宋体" w:hAnsi="宋体" w:eastAsia="宋体" w:cs="宋体"/>
          <w:color w:val="000000" w:themeColor="text1"/>
          <w:szCs w:val="21"/>
          <w14:textFill>
            <w14:solidFill>
              <w14:schemeClr w14:val="tx1"/>
            </w14:solidFill>
          </w14:textFill>
        </w:rPr>
      </w:pPr>
    </w:p>
    <w:p>
      <w:pPr>
        <w:ind w:firstLine="240"/>
        <w:jc w:val="left"/>
        <w:rPr>
          <w:rFonts w:ascii="宋体" w:hAnsi="宋体" w:eastAsia="宋体" w:cs="宋体"/>
          <w:color w:val="000000" w:themeColor="text1"/>
          <w:szCs w:val="21"/>
          <w14:textFill>
            <w14:solidFill>
              <w14:schemeClr w14:val="tx1"/>
            </w14:solidFill>
          </w14:textFill>
        </w:rPr>
      </w:pPr>
    </w:p>
    <w:p>
      <w:pPr>
        <w:ind w:firstLine="240"/>
        <w:jc w:val="left"/>
        <w:rPr>
          <w:rFonts w:ascii="宋体" w:hAnsi="宋体" w:eastAsia="宋体" w:cs="宋体"/>
          <w:color w:val="000000" w:themeColor="text1"/>
          <w:szCs w:val="21"/>
          <w14:textFill>
            <w14:solidFill>
              <w14:schemeClr w14:val="tx1"/>
            </w14:solidFill>
          </w14:textFill>
        </w:rPr>
      </w:pPr>
    </w:p>
    <w:p>
      <w:pPr>
        <w:ind w:firstLine="24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各供应商：</w:t>
      </w:r>
    </w:p>
    <w:p>
      <w:pPr>
        <w:ind w:firstLine="24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欢迎贵公司参与周口市政府采购活动！</w:t>
      </w:r>
    </w:p>
    <w:p>
      <w:pPr>
        <w:ind w:firstLine="24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ind w:firstLine="24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贷款渠道和提供贷款的金融机构，可在河南省政府采购网“河南省政府采购合同融资平台”查询联系。</w:t>
      </w:r>
    </w:p>
    <w:p>
      <w:pPr>
        <w:ind w:firstLine="420"/>
        <w:jc w:val="left"/>
        <w:rPr>
          <w:rFonts w:ascii="宋体" w:hAnsi="宋体" w:eastAsia="宋体" w:cs="宋体"/>
          <w:b/>
          <w:color w:val="000000" w:themeColor="text1"/>
          <w:szCs w:val="21"/>
          <w14:textFill>
            <w14:solidFill>
              <w14:schemeClr w14:val="tx1"/>
            </w14:solidFill>
          </w14:textFill>
        </w:rPr>
      </w:pPr>
    </w:p>
    <w:p>
      <w:pPr>
        <w:pStyle w:val="22"/>
        <w:rPr>
          <w:rFonts w:ascii="宋体" w:hAnsi="宋体" w:cs="宋体"/>
          <w:b/>
          <w:color w:val="000000" w:themeColor="text1"/>
          <w:szCs w:val="21"/>
          <w14:textFill>
            <w14:solidFill>
              <w14:schemeClr w14:val="tx1"/>
            </w14:solidFill>
          </w14:textFill>
        </w:rPr>
      </w:pPr>
    </w:p>
    <w:p>
      <w:pPr>
        <w:pStyle w:val="5"/>
        <w:rPr>
          <w:rFonts w:ascii="宋体" w:hAnsi="宋体" w:eastAsia="宋体" w:cs="宋体"/>
          <w:b/>
          <w:color w:val="000000" w:themeColor="text1"/>
          <w:sz w:val="28"/>
          <w14:textFill>
            <w14:solidFill>
              <w14:schemeClr w14:val="tx1"/>
            </w14:solidFill>
          </w14:textFill>
        </w:rPr>
      </w:pPr>
    </w:p>
    <w:p>
      <w:pPr>
        <w:rPr>
          <w:rFonts w:ascii="宋体" w:hAnsi="宋体" w:eastAsia="宋体" w:cs="宋体"/>
          <w:b/>
          <w:color w:val="000000" w:themeColor="text1"/>
          <w:sz w:val="28"/>
          <w14:textFill>
            <w14:solidFill>
              <w14:schemeClr w14:val="tx1"/>
            </w14:solidFill>
          </w14:textFill>
        </w:rPr>
      </w:pPr>
    </w:p>
    <w:p>
      <w:pPr>
        <w:pStyle w:val="22"/>
        <w:rPr>
          <w:rFonts w:ascii="宋体" w:hAnsi="宋体" w:cs="宋体"/>
          <w:b/>
          <w:color w:val="000000" w:themeColor="text1"/>
          <w:sz w:val="28"/>
          <w14:textFill>
            <w14:solidFill>
              <w14:schemeClr w14:val="tx1"/>
            </w14:solidFill>
          </w14:textFill>
        </w:rPr>
      </w:pPr>
    </w:p>
    <w:p>
      <w:pPr>
        <w:pStyle w:val="5"/>
        <w:rPr>
          <w:rFonts w:ascii="宋体" w:hAnsi="宋体" w:eastAsia="宋体" w:cs="宋体"/>
          <w:b/>
          <w:color w:val="000000" w:themeColor="text1"/>
          <w:sz w:val="28"/>
          <w14:textFill>
            <w14:solidFill>
              <w14:schemeClr w14:val="tx1"/>
            </w14:solidFill>
          </w14:textFill>
        </w:rPr>
      </w:pPr>
    </w:p>
    <w:p>
      <w:pPr>
        <w:rPr>
          <w:rFonts w:ascii="宋体" w:hAnsi="宋体" w:eastAsia="宋体" w:cs="宋体"/>
          <w:b/>
          <w:color w:val="000000" w:themeColor="text1"/>
          <w:sz w:val="28"/>
          <w14:textFill>
            <w14:solidFill>
              <w14:schemeClr w14:val="tx1"/>
            </w14:solidFill>
          </w14:textFill>
        </w:rPr>
      </w:pPr>
    </w:p>
    <w:p>
      <w:pPr>
        <w:pStyle w:val="22"/>
        <w:rPr>
          <w:rFonts w:ascii="宋体" w:hAnsi="宋体" w:cs="宋体"/>
          <w:b/>
          <w:color w:val="000000" w:themeColor="text1"/>
          <w:sz w:val="28"/>
          <w14:textFill>
            <w14:solidFill>
              <w14:schemeClr w14:val="tx1"/>
            </w14:solidFill>
          </w14:textFill>
        </w:rPr>
      </w:pPr>
    </w:p>
    <w:p>
      <w:pPr>
        <w:pStyle w:val="5"/>
        <w:rPr>
          <w:rFonts w:ascii="宋体" w:hAnsi="宋体" w:eastAsia="宋体" w:cs="宋体"/>
          <w:b/>
          <w:color w:val="000000" w:themeColor="text1"/>
          <w:sz w:val="28"/>
          <w14:textFill>
            <w14:solidFill>
              <w14:schemeClr w14:val="tx1"/>
            </w14:solidFill>
          </w14:textFill>
        </w:rPr>
      </w:pPr>
    </w:p>
    <w:p>
      <w:pPr>
        <w:rPr>
          <w:rFonts w:ascii="宋体" w:hAnsi="宋体" w:eastAsia="宋体" w:cs="宋体"/>
          <w:b/>
          <w:color w:val="000000" w:themeColor="text1"/>
          <w:sz w:val="28"/>
          <w14:textFill>
            <w14:solidFill>
              <w14:schemeClr w14:val="tx1"/>
            </w14:solidFill>
          </w14:textFill>
        </w:rPr>
      </w:pPr>
    </w:p>
    <w:p>
      <w:pPr>
        <w:pStyle w:val="22"/>
        <w:rPr>
          <w:rFonts w:ascii="宋体" w:hAnsi="宋体" w:cs="宋体"/>
          <w:b/>
          <w:color w:val="000000" w:themeColor="text1"/>
          <w:sz w:val="28"/>
          <w14:textFill>
            <w14:solidFill>
              <w14:schemeClr w14:val="tx1"/>
            </w14:solidFill>
          </w14:textFill>
        </w:rPr>
      </w:pPr>
    </w:p>
    <w:p>
      <w:pPr>
        <w:pStyle w:val="5"/>
        <w:rPr>
          <w:rFonts w:ascii="宋体" w:hAnsi="宋体" w:eastAsia="宋体" w:cs="宋体"/>
          <w:b/>
          <w:color w:val="000000" w:themeColor="text1"/>
          <w:sz w:val="28"/>
          <w14:textFill>
            <w14:solidFill>
              <w14:schemeClr w14:val="tx1"/>
            </w14:solidFill>
          </w14:textFill>
        </w:rPr>
      </w:pPr>
    </w:p>
    <w:p>
      <w:pPr>
        <w:rPr>
          <w:rFonts w:ascii="宋体" w:hAnsi="宋体" w:eastAsia="宋体" w:cs="宋体"/>
          <w:b/>
          <w:color w:val="000000" w:themeColor="text1"/>
          <w:sz w:val="28"/>
          <w14:textFill>
            <w14:solidFill>
              <w14:schemeClr w14:val="tx1"/>
            </w14:solidFill>
          </w14:textFill>
        </w:rPr>
      </w:pPr>
    </w:p>
    <w:p>
      <w:pPr>
        <w:pStyle w:val="22"/>
        <w:rPr>
          <w:rFonts w:ascii="宋体" w:hAnsi="宋体" w:cs="宋体"/>
          <w:b/>
          <w:color w:val="000000" w:themeColor="text1"/>
          <w:sz w:val="28"/>
          <w14:textFill>
            <w14:solidFill>
              <w14:schemeClr w14:val="tx1"/>
            </w14:solidFill>
          </w14:textFill>
        </w:rPr>
      </w:pPr>
    </w:p>
    <w:p>
      <w:pPr>
        <w:pStyle w:val="5"/>
        <w:rPr>
          <w:rFonts w:ascii="宋体" w:hAnsi="宋体" w:eastAsia="宋体" w:cs="宋体"/>
          <w:b/>
          <w:color w:val="000000" w:themeColor="text1"/>
          <w:sz w:val="28"/>
          <w14:textFill>
            <w14:solidFill>
              <w14:schemeClr w14:val="tx1"/>
            </w14:solidFill>
          </w14:textFill>
        </w:rPr>
      </w:pPr>
    </w:p>
    <w:p>
      <w:pPr>
        <w:rPr>
          <w:rFonts w:ascii="宋体" w:hAnsi="宋体" w:eastAsia="宋体" w:cs="宋体"/>
          <w:b/>
          <w:color w:val="000000" w:themeColor="text1"/>
          <w:sz w:val="28"/>
          <w14:textFill>
            <w14:solidFill>
              <w14:schemeClr w14:val="tx1"/>
            </w14:solidFill>
          </w14:textFill>
        </w:rPr>
      </w:pPr>
    </w:p>
    <w:p>
      <w:pPr>
        <w:pStyle w:val="22"/>
        <w:rPr>
          <w:color w:val="000000" w:themeColor="text1"/>
          <w14:textFill>
            <w14:solidFill>
              <w14:schemeClr w14:val="tx1"/>
            </w14:solidFill>
          </w14:textFill>
        </w:rPr>
      </w:pPr>
    </w:p>
    <w:p>
      <w:pPr>
        <w:pStyle w:val="2"/>
        <w:jc w:val="center"/>
        <w:rPr>
          <w:rFonts w:ascii="方正小标宋简体" w:hAnsi="方正小标宋简体" w:eastAsia="方正小标宋简体" w:cs="方正小标宋简体"/>
          <w:color w:val="000000" w:themeColor="text1"/>
          <w14:textFill>
            <w14:solidFill>
              <w14:schemeClr w14:val="tx1"/>
            </w14:solidFill>
          </w14:textFill>
        </w:rPr>
      </w:pPr>
      <w:bookmarkStart w:id="17" w:name="_Toc164239557"/>
      <w:r>
        <w:rPr>
          <w:rFonts w:hint="eastAsia"/>
          <w:color w:val="000000" w:themeColor="text1"/>
          <w14:textFill>
            <w14:solidFill>
              <w14:schemeClr w14:val="tx1"/>
            </w14:solidFill>
          </w14:textFill>
        </w:rPr>
        <w:t xml:space="preserve">第五章 </w:t>
      </w:r>
      <w:r>
        <w:rPr>
          <w:color w:val="000000" w:themeColor="text1"/>
          <w14:textFill>
            <w14:solidFill>
              <w14:schemeClr w14:val="tx1"/>
            </w14:solidFill>
          </w14:textFill>
        </w:rPr>
        <w:t>周口市政府采购合同（货物类）标准文本</w:t>
      </w:r>
      <w:bookmarkEnd w:id="17"/>
    </w:p>
    <w:p>
      <w:pPr>
        <w:rPr>
          <w:rFonts w:ascii="黑体" w:hAnsi="黑体" w:eastAsia="黑体" w:cs="黑体"/>
          <w:color w:val="000000" w:themeColor="text1"/>
          <w:sz w:val="32"/>
          <w14:textFill>
            <w14:solidFill>
              <w14:schemeClr w14:val="tx1"/>
            </w14:solidFill>
          </w14:textFill>
        </w:rPr>
      </w:pPr>
    </w:p>
    <w:p>
      <w:pPr>
        <w:spacing w:line="300" w:lineRule="auto"/>
        <w:rPr>
          <w:rFonts w:ascii="黑体" w:hAnsi="黑体" w:eastAsia="黑体" w:cs="黑体"/>
          <w:color w:val="000000" w:themeColor="text1"/>
          <w:sz w:val="30"/>
          <w14:textFill>
            <w14:solidFill>
              <w14:schemeClr w14:val="tx1"/>
            </w14:solidFill>
          </w14:textFill>
        </w:rPr>
      </w:pPr>
    </w:p>
    <w:p>
      <w:pPr>
        <w:spacing w:line="300" w:lineRule="auto"/>
        <w:rPr>
          <w:rFonts w:ascii="黑体" w:hAnsi="黑体" w:eastAsia="黑体" w:cs="黑体"/>
          <w:color w:val="000000" w:themeColor="text1"/>
          <w:sz w:val="30"/>
          <w14:textFill>
            <w14:solidFill>
              <w14:schemeClr w14:val="tx1"/>
            </w14:solidFill>
          </w14:textFill>
        </w:rPr>
      </w:pPr>
    </w:p>
    <w:p>
      <w:pPr>
        <w:spacing w:line="300" w:lineRule="auto"/>
        <w:rPr>
          <w:rFonts w:ascii="黑体" w:hAnsi="黑体" w:eastAsia="黑体" w:cs="黑体"/>
          <w:color w:val="000000" w:themeColor="text1"/>
          <w:sz w:val="30"/>
          <w14:textFill>
            <w14:solidFill>
              <w14:schemeClr w14:val="tx1"/>
            </w14:solidFill>
          </w14:textFill>
        </w:rPr>
      </w:pPr>
    </w:p>
    <w:p>
      <w:pPr>
        <w:spacing w:line="300" w:lineRule="auto"/>
        <w:rPr>
          <w:rFonts w:ascii="黑体" w:hAnsi="黑体" w:eastAsia="黑体" w:cs="黑体"/>
          <w:color w:val="000000" w:themeColor="text1"/>
          <w:sz w:val="30"/>
          <w14:textFill>
            <w14:solidFill>
              <w14:schemeClr w14:val="tx1"/>
            </w14:solidFill>
          </w14:textFill>
        </w:rPr>
      </w:pPr>
    </w:p>
    <w:p>
      <w:pPr>
        <w:spacing w:line="300" w:lineRule="auto"/>
        <w:rPr>
          <w:rFonts w:ascii="黑体" w:hAnsi="黑体" w:eastAsia="黑体" w:cs="黑体"/>
          <w:color w:val="000000" w:themeColor="text1"/>
          <w:sz w:val="30"/>
          <w14:textFill>
            <w14:solidFill>
              <w14:schemeClr w14:val="tx1"/>
            </w14:solidFill>
          </w14:textFill>
        </w:rPr>
      </w:pPr>
    </w:p>
    <w:p>
      <w:pPr>
        <w:spacing w:line="300" w:lineRule="auto"/>
        <w:rPr>
          <w:rFonts w:ascii="黑体" w:hAnsi="黑体" w:eastAsia="黑体" w:cs="黑体"/>
          <w:color w:val="000000" w:themeColor="text1"/>
          <w:sz w:val="30"/>
          <w14:textFill>
            <w14:solidFill>
              <w14:schemeClr w14:val="tx1"/>
            </w14:solidFill>
          </w14:textFill>
        </w:rPr>
      </w:pPr>
    </w:p>
    <w:p>
      <w:pPr>
        <w:spacing w:line="300" w:lineRule="auto"/>
        <w:rPr>
          <w:rFonts w:ascii="黑体" w:hAnsi="黑体" w:eastAsia="黑体" w:cs="黑体"/>
          <w:color w:val="000000" w:themeColor="text1"/>
          <w:sz w:val="30"/>
          <w14:textFill>
            <w14:solidFill>
              <w14:schemeClr w14:val="tx1"/>
            </w14:solidFill>
          </w14:textFill>
        </w:rPr>
      </w:pPr>
      <w:r>
        <w:rPr>
          <w:rFonts w:ascii="黑体" w:hAnsi="黑体" w:eastAsia="黑体" w:cs="黑体"/>
          <w:color w:val="000000" w:themeColor="text1"/>
          <w:sz w:val="30"/>
          <w14:textFill>
            <w14:solidFill>
              <w14:schemeClr w14:val="tx1"/>
            </w14:solidFill>
          </w14:textFill>
        </w:rPr>
        <w:t>政府采购项目名称：</w:t>
      </w:r>
    </w:p>
    <w:p>
      <w:pPr>
        <w:spacing w:line="300" w:lineRule="auto"/>
        <w:rPr>
          <w:rFonts w:ascii="黑体" w:hAnsi="黑体" w:eastAsia="黑体" w:cs="黑体"/>
          <w:color w:val="000000" w:themeColor="text1"/>
          <w:sz w:val="30"/>
          <w14:textFill>
            <w14:solidFill>
              <w14:schemeClr w14:val="tx1"/>
            </w14:solidFill>
          </w14:textFill>
        </w:rPr>
      </w:pPr>
      <w:r>
        <w:rPr>
          <w:rFonts w:ascii="黑体" w:hAnsi="黑体" w:eastAsia="黑体" w:cs="黑体"/>
          <w:color w:val="000000" w:themeColor="text1"/>
          <w:sz w:val="30"/>
          <w14:textFill>
            <w14:solidFill>
              <w14:schemeClr w14:val="tx1"/>
            </w14:solidFill>
          </w14:textFill>
        </w:rPr>
        <w:t>政府采购项目编号：</w:t>
      </w:r>
    </w:p>
    <w:p>
      <w:pPr>
        <w:spacing w:line="300" w:lineRule="auto"/>
        <w:rPr>
          <w:rFonts w:ascii="黑体" w:hAnsi="黑体" w:eastAsia="黑体" w:cs="黑体"/>
          <w:color w:val="000000" w:themeColor="text1"/>
          <w:sz w:val="30"/>
          <w14:textFill>
            <w14:solidFill>
              <w14:schemeClr w14:val="tx1"/>
            </w14:solidFill>
          </w14:textFill>
        </w:rPr>
      </w:pPr>
      <w:r>
        <w:rPr>
          <w:rFonts w:ascii="黑体" w:hAnsi="黑体" w:eastAsia="黑体" w:cs="黑体"/>
          <w:color w:val="000000" w:themeColor="text1"/>
          <w:sz w:val="30"/>
          <w14:textFill>
            <w14:solidFill>
              <w14:schemeClr w14:val="tx1"/>
            </w14:solidFill>
          </w14:textFill>
        </w:rPr>
        <w:t>采      购    人：</w:t>
      </w:r>
    </w:p>
    <w:p>
      <w:pPr>
        <w:spacing w:line="300" w:lineRule="auto"/>
        <w:rPr>
          <w:rFonts w:ascii="黑体" w:hAnsi="黑体" w:eastAsia="黑体" w:cs="黑体"/>
          <w:color w:val="000000" w:themeColor="text1"/>
          <w:sz w:val="30"/>
          <w14:textFill>
            <w14:solidFill>
              <w14:schemeClr w14:val="tx1"/>
            </w14:solidFill>
          </w14:textFill>
        </w:rPr>
      </w:pPr>
      <w:r>
        <w:rPr>
          <w:rFonts w:ascii="黑体" w:hAnsi="黑体" w:eastAsia="黑体" w:cs="黑体"/>
          <w:color w:val="000000" w:themeColor="text1"/>
          <w:sz w:val="30"/>
          <w14:textFill>
            <w14:solidFill>
              <w14:schemeClr w14:val="tx1"/>
            </w14:solidFill>
          </w14:textFill>
        </w:rPr>
        <w:t>供      应    商：</w:t>
      </w:r>
    </w:p>
    <w:p>
      <w:pPr>
        <w:spacing w:line="300" w:lineRule="auto"/>
        <w:rPr>
          <w:rFonts w:ascii="黑体" w:hAnsi="黑体" w:eastAsia="黑体" w:cs="黑体"/>
          <w:color w:val="000000" w:themeColor="text1"/>
          <w:sz w:val="30"/>
          <w14:textFill>
            <w14:solidFill>
              <w14:schemeClr w14:val="tx1"/>
            </w14:solidFill>
          </w14:textFill>
        </w:rPr>
      </w:pPr>
      <w:r>
        <w:rPr>
          <w:rFonts w:ascii="黑体" w:hAnsi="黑体" w:eastAsia="黑体" w:cs="黑体"/>
          <w:color w:val="000000" w:themeColor="text1"/>
          <w:sz w:val="30"/>
          <w14:textFill>
            <w14:solidFill>
              <w14:schemeClr w14:val="tx1"/>
            </w14:solidFill>
          </w14:textFill>
        </w:rPr>
        <w:t>合  同  签 订 地：</w:t>
      </w:r>
    </w:p>
    <w:p>
      <w:pPr>
        <w:spacing w:line="300" w:lineRule="auto"/>
        <w:rPr>
          <w:rFonts w:ascii="黑体" w:hAnsi="黑体" w:eastAsia="黑体" w:cs="黑体"/>
          <w:color w:val="000000" w:themeColor="text1"/>
          <w:sz w:val="30"/>
          <w14:textFill>
            <w14:solidFill>
              <w14:schemeClr w14:val="tx1"/>
            </w14:solidFill>
          </w14:textFill>
        </w:rPr>
      </w:pPr>
      <w:r>
        <w:rPr>
          <w:rFonts w:ascii="黑体" w:hAnsi="黑体" w:eastAsia="黑体" w:cs="黑体"/>
          <w:color w:val="000000" w:themeColor="text1"/>
          <w:sz w:val="30"/>
          <w14:textFill>
            <w14:solidFill>
              <w14:schemeClr w14:val="tx1"/>
            </w14:solidFill>
          </w14:textFill>
        </w:rPr>
        <w:t>合 同 签订 时 间：</w:t>
      </w:r>
    </w:p>
    <w:p>
      <w:pPr>
        <w:spacing w:line="300" w:lineRule="auto"/>
        <w:rPr>
          <w:rFonts w:ascii="黑体" w:hAnsi="黑体" w:eastAsia="黑体" w:cs="黑体"/>
          <w:color w:val="000000" w:themeColor="text1"/>
          <w:sz w:val="30"/>
          <w14:textFill>
            <w14:solidFill>
              <w14:schemeClr w14:val="tx1"/>
            </w14:solidFill>
          </w14:textFill>
        </w:rPr>
      </w:pPr>
    </w:p>
    <w:p>
      <w:pPr>
        <w:spacing w:line="300" w:lineRule="auto"/>
        <w:rPr>
          <w:rFonts w:ascii="黑体" w:hAnsi="黑体" w:eastAsia="黑体" w:cs="黑体"/>
          <w:color w:val="000000" w:themeColor="text1"/>
          <w:sz w:val="30"/>
          <w14:textFill>
            <w14:solidFill>
              <w14:schemeClr w14:val="tx1"/>
            </w14:solidFill>
          </w14:textFill>
        </w:rPr>
      </w:pPr>
    </w:p>
    <w:p>
      <w:pPr>
        <w:spacing w:line="300" w:lineRule="auto"/>
        <w:rPr>
          <w:rFonts w:ascii="黑体" w:hAnsi="黑体" w:eastAsia="黑体" w:cs="黑体"/>
          <w:color w:val="000000" w:themeColor="text1"/>
          <w:sz w:val="30"/>
          <w14:textFill>
            <w14:solidFill>
              <w14:schemeClr w14:val="tx1"/>
            </w14:solidFill>
          </w14:textFill>
        </w:rPr>
      </w:pPr>
    </w:p>
    <w:p>
      <w:pPr>
        <w:pStyle w:val="20"/>
        <w:ind w:firstLine="210"/>
        <w:rPr>
          <w:color w:val="000000" w:themeColor="text1"/>
          <w14:textFill>
            <w14:solidFill>
              <w14:schemeClr w14:val="tx1"/>
            </w14:solidFill>
          </w14:textFill>
        </w:rPr>
      </w:pPr>
    </w:p>
    <w:p>
      <w:pPr>
        <w:pStyle w:val="67"/>
        <w:spacing w:beforeLines="0" w:afterLines="0" w:line="440" w:lineRule="exact"/>
        <w:ind w:left="0"/>
        <w:jc w:val="center"/>
        <w:rPr>
          <w:rFonts w:ascii="方正小标宋简体" w:eastAsia="方正小标宋简体"/>
          <w:b/>
          <w:bCs/>
          <w:color w:val="000000" w:themeColor="text1"/>
          <w:sz w:val="32"/>
          <w:szCs w:val="32"/>
          <w14:textFill>
            <w14:solidFill>
              <w14:schemeClr w14:val="tx1"/>
            </w14:solidFill>
          </w14:textFill>
        </w:rPr>
      </w:pPr>
      <w:bookmarkStart w:id="18" w:name="_Toc1399"/>
      <w:r>
        <w:rPr>
          <w:rFonts w:hint="eastAsia" w:ascii="方正小标宋简体" w:eastAsia="方正小标宋简体"/>
          <w:b/>
          <w:bCs/>
          <w:color w:val="000000" w:themeColor="text1"/>
          <w:sz w:val="32"/>
          <w:szCs w:val="32"/>
          <w14:textFill>
            <w14:solidFill>
              <w14:schemeClr w14:val="tx1"/>
            </w14:solidFill>
          </w14:textFill>
        </w:rPr>
        <w:t>合同签订指引</w:t>
      </w:r>
      <w:bookmarkEnd w:id="18"/>
    </w:p>
    <w:p>
      <w:pPr>
        <w:pStyle w:val="67"/>
        <w:spacing w:beforeLines="0" w:afterLines="0" w:line="40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一、采购人在签订合同时应提供的资料：</w:t>
      </w:r>
    </w:p>
    <w:p>
      <w:pPr>
        <w:pStyle w:val="67"/>
        <w:spacing w:beforeLines="0" w:afterLines="0" w:line="40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1、该政府采购项目的招标采购文件（以网上发布内容为准）；</w:t>
      </w:r>
    </w:p>
    <w:p>
      <w:pPr>
        <w:pStyle w:val="67"/>
        <w:spacing w:beforeLines="0" w:afterLines="0" w:line="40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2、该政府采购项目招标文件的澄清和修改内容（公告内容）；</w:t>
      </w:r>
    </w:p>
    <w:p>
      <w:pPr>
        <w:pStyle w:val="67"/>
        <w:spacing w:beforeLines="0" w:afterLines="0" w:line="40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3、该政府采购项目评审报告；</w:t>
      </w:r>
    </w:p>
    <w:p>
      <w:pPr>
        <w:pStyle w:val="67"/>
        <w:spacing w:beforeLines="0" w:afterLines="0" w:line="40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4、采购单位法人授权委托书（法人到场并签字的除外）；</w:t>
      </w:r>
    </w:p>
    <w:p>
      <w:pPr>
        <w:pStyle w:val="67"/>
        <w:spacing w:beforeLines="0" w:afterLines="0" w:line="40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5、采购单位被授权人身份证件（法人到场并签字的除外）；</w:t>
      </w:r>
    </w:p>
    <w:p>
      <w:pPr>
        <w:pStyle w:val="67"/>
        <w:spacing w:beforeLines="0" w:afterLines="0" w:line="40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6、采购人和中标供应商（或服务商，下同）约定的其它内容（不得超出招标采购文件实质性内容）。</w:t>
      </w:r>
    </w:p>
    <w:p>
      <w:pPr>
        <w:pStyle w:val="67"/>
        <w:spacing w:beforeLines="0" w:afterLines="0" w:line="40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二、供应商在签订合同时应提供的资料：</w:t>
      </w:r>
    </w:p>
    <w:p>
      <w:pPr>
        <w:pStyle w:val="67"/>
        <w:spacing w:beforeLines="0" w:afterLines="0" w:line="40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1、该政府采购项目的投标文件（纸质或DPF格式的电子投标文件）；</w:t>
      </w:r>
    </w:p>
    <w:p>
      <w:pPr>
        <w:pStyle w:val="67"/>
        <w:spacing w:beforeLines="0" w:afterLines="0" w:line="40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2、针对该项目评审时评审委员会提出的质询答复（纸质并签章）；</w:t>
      </w:r>
    </w:p>
    <w:p>
      <w:pPr>
        <w:pStyle w:val="67"/>
        <w:spacing w:beforeLines="0" w:afterLines="0" w:line="40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3、该政府采购项目中标通知书；</w:t>
      </w:r>
    </w:p>
    <w:p>
      <w:pPr>
        <w:pStyle w:val="67"/>
        <w:spacing w:beforeLines="0" w:afterLines="0" w:line="40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4、供应商法人授权委托书（法人到场并签字的除外）；</w:t>
      </w:r>
    </w:p>
    <w:p>
      <w:pPr>
        <w:pStyle w:val="67"/>
        <w:spacing w:beforeLines="0" w:afterLines="0" w:line="40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5、供应商被授权人身份证件（法人到场并签字的除外）；</w:t>
      </w:r>
    </w:p>
    <w:p>
      <w:pPr>
        <w:pStyle w:val="67"/>
        <w:spacing w:beforeLines="0" w:afterLines="0" w:line="40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6、供应商和采购人约定的其它内容（不得超出招标采购文件实质性内容）。</w:t>
      </w:r>
    </w:p>
    <w:p>
      <w:pPr>
        <w:pStyle w:val="67"/>
        <w:spacing w:before="156" w:after="156" w:line="40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7、供应商响应本项目的交货期、应将保证按时完成“交货期承诺书”附在投标文件中，否则视为不响应招标文件；</w:t>
      </w:r>
    </w:p>
    <w:p>
      <w:pPr>
        <w:pStyle w:val="67"/>
        <w:spacing w:beforeLines="0" w:afterLines="0" w:line="40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8、供应商应将“廉洁自律承诺书”附在投标文件中，否则视为不响应招标文件；</w:t>
      </w:r>
    </w:p>
    <w:p>
      <w:pPr>
        <w:pStyle w:val="67"/>
        <w:spacing w:beforeLines="0" w:afterLines="0" w:line="400" w:lineRule="exact"/>
        <w:ind w:left="0" w:firstLine="420" w:firstLineChars="200"/>
        <w:rPr>
          <w:color w:val="000000" w:themeColor="text1"/>
          <w:sz w:val="30"/>
          <w:szCs w:val="30"/>
          <w14:textFill>
            <w14:solidFill>
              <w14:schemeClr w14:val="tx1"/>
            </w14:solidFill>
          </w14:textFill>
        </w:rPr>
      </w:pPr>
      <w:r>
        <w:rPr>
          <w:rFonts w:hint="eastAsia"/>
          <w:color w:val="000000" w:themeColor="text1"/>
          <w:szCs w:val="21"/>
          <w14:textFill>
            <w14:solidFill>
              <w14:schemeClr w14:val="tx1"/>
            </w14:solidFill>
          </w14:textFill>
        </w:rPr>
        <w:t>三、本合同签订后二个工作日内有采购人在“周口市政府采购网”上进行合同公示。</w:t>
      </w:r>
    </w:p>
    <w:p>
      <w:pPr>
        <w:pStyle w:val="67"/>
        <w:spacing w:beforeLines="0" w:afterLines="0" w:line="440" w:lineRule="exact"/>
        <w:ind w:left="0"/>
        <w:jc w:val="center"/>
        <w:rPr>
          <w:rFonts w:ascii="方正小标宋简体" w:eastAsia="方正小标宋简体"/>
          <w:color w:val="000000" w:themeColor="text1"/>
          <w:sz w:val="32"/>
          <w:szCs w:val="32"/>
          <w14:textFill>
            <w14:solidFill>
              <w14:schemeClr w14:val="tx1"/>
            </w14:solidFill>
          </w14:textFill>
        </w:rPr>
      </w:pPr>
      <w:r>
        <w:rPr>
          <w:rFonts w:hint="eastAsia" w:ascii="方正小标宋简体" w:eastAsia="方正小标宋简体"/>
          <w:b/>
          <w:bCs/>
          <w:color w:val="000000" w:themeColor="text1"/>
          <w:sz w:val="32"/>
          <w:szCs w:val="32"/>
          <w14:textFill>
            <w14:solidFill>
              <w14:schemeClr w14:val="tx1"/>
            </w14:solidFill>
          </w14:textFill>
        </w:rPr>
        <w:t>供应商履约验收指引</w:t>
      </w:r>
    </w:p>
    <w:p>
      <w:pPr>
        <w:pStyle w:val="67"/>
        <w:spacing w:beforeLines="0" w:afterLines="0" w:line="440" w:lineRule="exact"/>
        <w:ind w:left="0" w:firstLine="420" w:firstLineChars="200"/>
        <w:rPr>
          <w:color w:val="000000" w:themeColor="text1"/>
          <w:szCs w:val="27"/>
          <w14:textFill>
            <w14:solidFill>
              <w14:schemeClr w14:val="tx1"/>
            </w14:solidFill>
          </w14:textFill>
        </w:rPr>
      </w:pPr>
      <w:r>
        <w:rPr>
          <w:rFonts w:hint="eastAsia" w:ascii="宋体"/>
          <w:color w:val="000000" w:themeColor="text1"/>
          <w:szCs w:val="21"/>
          <w14:textFill>
            <w14:solidFill>
              <w14:schemeClr w14:val="tx1"/>
            </w14:solidFill>
          </w14:textFill>
        </w:rPr>
        <w:t>1、供应商不得擅自变更合同标的服务内容；</w:t>
      </w:r>
    </w:p>
    <w:p>
      <w:pPr>
        <w:pStyle w:val="67"/>
        <w:spacing w:beforeLines="0" w:afterLines="0" w:line="440" w:lineRule="exact"/>
        <w:ind w:left="0"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2、不得以次充优，随意降低服务标准和水平；</w:t>
      </w:r>
    </w:p>
    <w:p>
      <w:pPr>
        <w:pStyle w:val="67"/>
        <w:spacing w:beforeLines="0" w:afterLines="0" w:line="440" w:lineRule="exact"/>
        <w:ind w:left="0"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3、对因客观上采购人采购需求发生变化造成的，应提供采、供双方的纸质备忘录材料；</w:t>
      </w:r>
    </w:p>
    <w:p>
      <w:pPr>
        <w:pStyle w:val="67"/>
        <w:spacing w:beforeLines="0" w:afterLines="0" w:line="440" w:lineRule="exact"/>
        <w:ind w:left="0"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4、在满足验收条件5个工作日内通知采购人组织验收；</w:t>
      </w:r>
    </w:p>
    <w:p>
      <w:pPr>
        <w:pStyle w:val="67"/>
        <w:spacing w:beforeLines="0" w:afterLines="0" w:line="440" w:lineRule="exact"/>
        <w:ind w:left="0" w:firstLine="420" w:firstLineChars="200"/>
        <w:rPr>
          <w:rFonts w:asci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r>
        <w:rPr>
          <w:rFonts w:hint="eastAsia" w:ascii="宋体"/>
          <w:color w:val="000000" w:themeColor="text1"/>
          <w:szCs w:val="21"/>
          <w14:textFill>
            <w14:solidFill>
              <w14:schemeClr w14:val="tx1"/>
            </w14:solidFill>
          </w14:textFill>
        </w:rPr>
        <w:t>供应商应提供需验收服务的清单、标准、达到的水平等量化资料；</w:t>
      </w:r>
    </w:p>
    <w:p>
      <w:pPr>
        <w:pStyle w:val="67"/>
        <w:spacing w:beforeLines="0" w:afterLines="0" w:line="440" w:lineRule="exact"/>
        <w:ind w:left="0" w:firstLine="420" w:firstLineChars="200"/>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6、采、供双方约定的验收机构及相关人员组成情况。</w:t>
      </w:r>
    </w:p>
    <w:p>
      <w:pPr>
        <w:pStyle w:val="67"/>
        <w:spacing w:beforeLines="0" w:afterLines="0" w:line="440" w:lineRule="exact"/>
        <w:ind w:left="0" w:firstLine="420" w:firstLineChars="200"/>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7、督促采购人在项目验收结束并达到相关要求后一个工作日内，在</w:t>
      </w:r>
      <w:r>
        <w:rPr>
          <w:rFonts w:hint="eastAsia"/>
          <w:color w:val="000000" w:themeColor="text1"/>
          <w:szCs w:val="21"/>
          <w14:textFill>
            <w14:solidFill>
              <w14:schemeClr w14:val="tx1"/>
            </w14:solidFill>
          </w14:textFill>
        </w:rPr>
        <w:t>“周口市政府采购网”上进行“履约验收”公示。</w:t>
      </w:r>
    </w:p>
    <w:p>
      <w:pPr>
        <w:pStyle w:val="67"/>
        <w:spacing w:beforeLines="0" w:afterLines="0" w:line="440" w:lineRule="exact"/>
        <w:ind w:left="0" w:firstLine="420" w:firstLineChars="200"/>
        <w:rPr>
          <w:color w:val="000000" w:themeColor="text1"/>
          <w:szCs w:val="21"/>
          <w14:textFill>
            <w14:solidFill>
              <w14:schemeClr w14:val="tx1"/>
            </w14:solidFill>
          </w14:textFill>
        </w:rPr>
      </w:pPr>
    </w:p>
    <w:p>
      <w:pPr>
        <w:pStyle w:val="67"/>
        <w:spacing w:beforeLines="0" w:afterLines="0" w:line="440" w:lineRule="exact"/>
        <w:ind w:left="0" w:firstLine="420" w:firstLineChars="200"/>
        <w:rPr>
          <w:color w:val="000000" w:themeColor="text1"/>
          <w:szCs w:val="21"/>
          <w14:textFill>
            <w14:solidFill>
              <w14:schemeClr w14:val="tx1"/>
            </w14:solidFill>
          </w14:textFill>
        </w:rPr>
      </w:pPr>
    </w:p>
    <w:p>
      <w:pPr>
        <w:pStyle w:val="67"/>
        <w:spacing w:beforeLines="0" w:afterLines="0" w:line="440" w:lineRule="exact"/>
        <w:ind w:left="0" w:firstLine="420" w:firstLineChars="200"/>
        <w:rPr>
          <w:color w:val="000000" w:themeColor="text1"/>
          <w:szCs w:val="21"/>
          <w14:textFill>
            <w14:solidFill>
              <w14:schemeClr w14:val="tx1"/>
            </w14:solidFill>
          </w14:textFill>
        </w:rPr>
      </w:pPr>
    </w:p>
    <w:p>
      <w:pPr>
        <w:pStyle w:val="67"/>
        <w:spacing w:beforeLines="0" w:afterLines="0" w:line="440" w:lineRule="exact"/>
        <w:ind w:left="0"/>
        <w:jc w:val="center"/>
        <w:rPr>
          <w:rFonts w:ascii="方正小标宋简体" w:eastAsia="方正小标宋简体"/>
          <w:b/>
          <w:bCs/>
          <w:color w:val="000000" w:themeColor="text1"/>
          <w:sz w:val="32"/>
          <w:szCs w:val="32"/>
          <w14:textFill>
            <w14:solidFill>
              <w14:schemeClr w14:val="tx1"/>
            </w14:solidFill>
          </w14:textFill>
        </w:rPr>
      </w:pPr>
      <w:r>
        <w:rPr>
          <w:rFonts w:ascii="方正小标宋简体" w:eastAsia="方正小标宋简体"/>
          <w:b/>
          <w:bCs/>
          <w:color w:val="000000" w:themeColor="text1"/>
          <w:sz w:val="32"/>
          <w:szCs w:val="32"/>
          <w14:textFill>
            <w14:solidFill>
              <w14:schemeClr w14:val="tx1"/>
            </w14:solidFill>
          </w14:textFill>
        </w:rPr>
        <w:t>采购合同内容</w:t>
      </w:r>
    </w:p>
    <w:p>
      <w:pPr>
        <w:spacing w:line="520" w:lineRule="auto"/>
        <w:ind w:firstLine="420"/>
        <w:rPr>
          <w:rFonts w:ascii="Times New Roman" w:hAnsi="Times New Roman" w:eastAsia="Times New Roman" w:cs="Times New Roman"/>
          <w:color w:val="000000" w:themeColor="text1"/>
          <w14:textFill>
            <w14:solidFill>
              <w14:schemeClr w14:val="tx1"/>
            </w14:solidFill>
          </w14:textFill>
        </w:rPr>
      </w:pPr>
    </w:p>
    <w:p>
      <w:pPr>
        <w:spacing w:line="360" w:lineRule="auto"/>
        <w:ind w:firstLine="420"/>
        <w:rPr>
          <w:rFonts w:ascii="Times New Roman" w:hAnsi="Times New Roman" w:eastAsia="Times New Roman" w:cs="Times New Roman"/>
          <w:color w:val="000000" w:themeColor="text1"/>
          <w:u w:val="single"/>
          <w14:textFill>
            <w14:solidFill>
              <w14:schemeClr w14:val="tx1"/>
            </w14:solidFill>
          </w14:textFill>
        </w:rPr>
      </w:pPr>
      <w:r>
        <w:rPr>
          <w:rFonts w:ascii="宋体" w:hAnsi="宋体" w:eastAsia="宋体" w:cs="宋体"/>
          <w:color w:val="000000" w:themeColor="text1"/>
          <w14:textFill>
            <w14:solidFill>
              <w14:schemeClr w14:val="tx1"/>
            </w14:solidFill>
          </w14:textFill>
        </w:rPr>
        <w:t>采购人（甲方）：</w:t>
      </w:r>
      <w:r>
        <w:rPr>
          <w:rFonts w:ascii="Times New Roman" w:hAnsi="Times New Roman" w:eastAsia="Times New Roman" w:cs="Times New Roman"/>
          <w:color w:val="000000" w:themeColor="text1"/>
          <w14:textFill>
            <w14:solidFill>
              <w14:schemeClr w14:val="tx1"/>
            </w14:solidFill>
          </w14:textFill>
        </w:rPr>
        <w:t xml:space="preserve"> </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供应商（乙方）：</w:t>
      </w:r>
    </w:p>
    <w:p>
      <w:pPr>
        <w:spacing w:line="360" w:lineRule="auto"/>
        <w:ind w:firstLine="420"/>
        <w:rPr>
          <w:rFonts w:ascii="Times New Roman" w:hAnsi="Times New Roman" w:eastAsia="Times New Roman" w:cs="Times New Roman"/>
          <w:color w:val="000000" w:themeColor="text1"/>
          <w:u w:val="single"/>
          <w14:textFill>
            <w14:solidFill>
              <w14:schemeClr w14:val="tx1"/>
            </w14:solidFill>
          </w14:textFill>
        </w:rPr>
      </w:pPr>
      <w:r>
        <w:rPr>
          <w:rFonts w:ascii="宋体" w:hAnsi="宋体" w:eastAsia="宋体" w:cs="宋体"/>
          <w:color w:val="000000" w:themeColor="text1"/>
          <w14:textFill>
            <w14:solidFill>
              <w14:schemeClr w14:val="tx1"/>
            </w14:solidFill>
          </w14:textFill>
        </w:rPr>
        <w:t>签订地点：</w:t>
      </w:r>
    </w:p>
    <w:p>
      <w:pPr>
        <w:spacing w:line="360" w:lineRule="auto"/>
        <w:ind w:firstLine="420"/>
        <w:rPr>
          <w:rFonts w:ascii="Times New Roman" w:hAnsi="Times New Roman" w:eastAsia="Times New Roman" w:cs="Times New Roman"/>
          <w:color w:val="000000" w:themeColor="text1"/>
          <w:u w:val="single"/>
          <w14:textFill>
            <w14:solidFill>
              <w14:schemeClr w14:val="tx1"/>
            </w14:solidFill>
          </w14:textFill>
        </w:rPr>
      </w:pPr>
      <w:r>
        <w:rPr>
          <w:rFonts w:ascii="宋体" w:hAnsi="宋体" w:eastAsia="宋体" w:cs="宋体"/>
          <w:color w:val="000000" w:themeColor="text1"/>
          <w14:textFill>
            <w14:solidFill>
              <w14:schemeClr w14:val="tx1"/>
            </w14:solidFill>
          </w14:textFill>
        </w:rPr>
        <w:t>项目名称：</w:t>
      </w:r>
    </w:p>
    <w:p>
      <w:pPr>
        <w:spacing w:line="360" w:lineRule="auto"/>
        <w:ind w:firstLine="420"/>
        <w:rPr>
          <w:rFonts w:ascii="Times New Roman" w:hAnsi="Times New Roman" w:eastAsia="Times New Roman" w:cs="Times New Roman"/>
          <w:color w:val="000000" w:themeColor="text1"/>
          <w:u w:val="single"/>
          <w14:textFill>
            <w14:solidFill>
              <w14:schemeClr w14:val="tx1"/>
            </w14:solidFill>
          </w14:textFill>
        </w:rPr>
      </w:pPr>
      <w:r>
        <w:rPr>
          <w:rFonts w:ascii="宋体" w:hAnsi="宋体" w:eastAsia="宋体" w:cs="宋体"/>
          <w:color w:val="000000" w:themeColor="text1"/>
          <w14:textFill>
            <w14:solidFill>
              <w14:schemeClr w14:val="tx1"/>
            </w14:solidFill>
          </w14:textFill>
        </w:rPr>
        <w:t>项目编号：</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财政委托号：</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w:t>
      </w:r>
      <w:r>
        <w:rPr>
          <w:rFonts w:ascii="宋体" w:hAnsi="宋体" w:eastAsia="宋体" w:cs="宋体"/>
          <w:color w:val="000000" w:themeColor="text1"/>
          <w14:textFill>
            <w14:solidFill>
              <w14:schemeClr w14:val="tx1"/>
            </w14:solidFill>
          </w14:textFill>
        </w:rPr>
        <w:t>财政资金项目必须填写</w:t>
      </w:r>
      <w:r>
        <w:rPr>
          <w:rFonts w:ascii="Times New Roman" w:hAnsi="Times New Roman" w:eastAsia="Times New Roman" w:cs="Times New Roman"/>
          <w:color w:val="000000" w:themeColor="text1"/>
          <w14:textFill>
            <w14:solidFill>
              <w14:schemeClr w14:val="tx1"/>
            </w14:solidFill>
          </w14:textFill>
        </w:rPr>
        <w:t>)</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本项目经批准采用</w:t>
      </w:r>
      <w:r>
        <w:rPr>
          <w:rFonts w:ascii="Times New Roman" w:hAnsi="Times New Roman" w:eastAsia="Times New Roman" w:cs="Times New Roman"/>
          <w:color w:val="000000" w:themeColor="text1"/>
          <w:u w:val="single"/>
          <w14:textFill>
            <w14:solidFill>
              <w14:schemeClr w14:val="tx1"/>
            </w14:solidFill>
          </w14:textFill>
        </w:rPr>
        <w:t xml:space="preserve">    竞争性磋商  </w:t>
      </w:r>
      <w:r>
        <w:rPr>
          <w:rFonts w:ascii="宋体" w:hAnsi="宋体" w:eastAsia="宋体" w:cs="宋体"/>
          <w:color w:val="000000" w:themeColor="text1"/>
          <w14:textFill>
            <w14:solidFill>
              <w14:schemeClr w14:val="tx1"/>
            </w14:solidFill>
          </w14:textFill>
        </w:rPr>
        <w:t>采购方式，经本项目评审委员会认真评审，决定将采购合同授予乙方。为进一步明确双方的责任，确保合同的顺利履行，根据《中华人民共和国</w:t>
      </w:r>
      <w:r>
        <w:rPr>
          <w:rFonts w:hint="eastAsia" w:ascii="宋体" w:hAnsi="宋体" w:eastAsia="宋体" w:cs="宋体"/>
          <w:color w:val="000000" w:themeColor="text1"/>
          <w14:textFill>
            <w14:solidFill>
              <w14:schemeClr w14:val="tx1"/>
            </w14:solidFill>
          </w14:textFill>
        </w:rPr>
        <w:t>政府采购法</w:t>
      </w:r>
      <w:r>
        <w:rPr>
          <w:rFonts w:ascii="宋体" w:hAnsi="宋体" w:eastAsia="宋体" w:cs="宋体"/>
          <w:color w:val="000000" w:themeColor="text1"/>
          <w14:textFill>
            <w14:solidFill>
              <w14:schemeClr w14:val="tx1"/>
            </w14:solidFill>
          </w14:textFill>
        </w:rPr>
        <w:t>》、《中华人民共和国</w:t>
      </w:r>
      <w:r>
        <w:rPr>
          <w:rFonts w:hint="eastAsia" w:ascii="宋体" w:hAnsi="宋体" w:eastAsia="宋体" w:cs="宋体"/>
          <w:color w:val="000000" w:themeColor="text1"/>
          <w14:textFill>
            <w14:solidFill>
              <w14:schemeClr w14:val="tx1"/>
            </w14:solidFill>
          </w14:textFill>
        </w:rPr>
        <w:t>民法典</w:t>
      </w:r>
      <w:r>
        <w:rPr>
          <w:rFonts w:ascii="宋体" w:hAnsi="宋体" w:eastAsia="宋体" w:cs="宋体"/>
          <w:color w:val="000000" w:themeColor="text1"/>
          <w14:textFill>
            <w14:solidFill>
              <w14:schemeClr w14:val="tx1"/>
            </w14:solidFill>
          </w14:textFill>
        </w:rPr>
        <w:t>》之规定，经甲乙双方充分协商，特订立本合同，以便共同遵守。</w:t>
      </w:r>
    </w:p>
    <w:p>
      <w:pPr>
        <w:spacing w:line="360" w:lineRule="auto"/>
        <w:ind w:firstLine="422"/>
        <w:rPr>
          <w:rFonts w:ascii="Times New Roman" w:hAnsi="Times New Roman" w:eastAsia="Times New Roman" w:cs="Times New Roman"/>
          <w:color w:val="000000" w:themeColor="text1"/>
          <w:u w:val="single"/>
          <w14:textFill>
            <w14:solidFill>
              <w14:schemeClr w14:val="tx1"/>
            </w14:solidFill>
          </w14:textFill>
        </w:rPr>
      </w:pPr>
      <w:r>
        <w:rPr>
          <w:rFonts w:ascii="宋体" w:hAnsi="宋体" w:eastAsia="宋体" w:cs="宋体"/>
          <w:b/>
          <w:color w:val="000000" w:themeColor="text1"/>
          <w14:textFill>
            <w14:solidFill>
              <w14:schemeClr w14:val="tx1"/>
            </w14:solidFill>
          </w14:textFill>
        </w:rPr>
        <w:t>第一条</w:t>
      </w:r>
      <w:r>
        <w:rPr>
          <w:rFonts w:ascii="宋体" w:hAnsi="宋体" w:eastAsia="宋体" w:cs="宋体"/>
          <w:color w:val="000000" w:themeColor="text1"/>
          <w14:textFill>
            <w14:solidFill>
              <w14:schemeClr w14:val="tx1"/>
            </w14:solidFill>
          </w14:textFill>
        </w:rPr>
        <w:t> </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产品的名称、品种、规格、数量和价格：（若产品过多则见附表，如有附表则必须加盖印章）</w:t>
      </w:r>
    </w:p>
    <w:tbl>
      <w:tblPr>
        <w:tblStyle w:val="14"/>
        <w:tblW w:w="0" w:type="auto"/>
        <w:tblInd w:w="108" w:type="dxa"/>
        <w:tblLayout w:type="autofit"/>
        <w:tblCellMar>
          <w:top w:w="0" w:type="dxa"/>
          <w:left w:w="10" w:type="dxa"/>
          <w:bottom w:w="0" w:type="dxa"/>
          <w:right w:w="10" w:type="dxa"/>
        </w:tblCellMar>
      </w:tblPr>
      <w:tblGrid>
        <w:gridCol w:w="1867"/>
        <w:gridCol w:w="1544"/>
        <w:gridCol w:w="854"/>
        <w:gridCol w:w="854"/>
        <w:gridCol w:w="1006"/>
        <w:gridCol w:w="1209"/>
        <w:gridCol w:w="1080"/>
      </w:tblGrid>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备注</w:t>
            </w: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宋体" w:hAnsi="宋体" w:eastAsia="宋体" w:cs="宋体"/>
                <w:color w:val="000000" w:themeColor="text1"/>
                <w:sz w:val="22"/>
                <w14:textFill>
                  <w14:solidFill>
                    <w14:schemeClr w14:val="tx1"/>
                  </w14:solidFill>
                </w14:textFill>
              </w:rPr>
            </w:pPr>
          </w:p>
        </w:tc>
      </w:tr>
      <w:tr>
        <w:tblPrEx>
          <w:tblCellMar>
            <w:top w:w="0" w:type="dxa"/>
            <w:left w:w="10" w:type="dxa"/>
            <w:bottom w:w="0" w:type="dxa"/>
            <w:right w:w="10" w:type="dxa"/>
          </w:tblCellMar>
        </w:tblPrEx>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合同总价款（大小写）：</w:t>
            </w:r>
          </w:p>
          <w:p>
            <w:pPr>
              <w:spacing w:line="360" w:lineRule="auto"/>
              <w:ind w:firstLine="420"/>
              <w:rPr>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备注：上述产品报价含产品生产、运输</w:t>
            </w:r>
            <w:r>
              <w:rPr>
                <w:rFonts w:ascii="Times New Roman" w:hAnsi="Times New Roman" w:eastAsia="Times New Roman" w:cs="Times New Roman"/>
                <w:color w:val="000000" w:themeColor="text1"/>
                <w14:textFill>
                  <w14:solidFill>
                    <w14:schemeClr w14:val="tx1"/>
                  </w14:solidFill>
                </w14:textFill>
              </w:rPr>
              <w:t>&lt;</w:t>
            </w:r>
            <w:r>
              <w:rPr>
                <w:rFonts w:ascii="宋体" w:hAnsi="宋体" w:eastAsia="宋体" w:cs="宋体"/>
                <w:color w:val="000000" w:themeColor="text1"/>
                <w14:textFill>
                  <w14:solidFill>
                    <w14:schemeClr w14:val="tx1"/>
                  </w14:solidFill>
                </w14:textFill>
              </w:rPr>
              <w:t>送达至甲方指定地点并下货</w:t>
            </w:r>
            <w:r>
              <w:rPr>
                <w:rFonts w:ascii="Times New Roman" w:hAnsi="Times New Roman" w:eastAsia="Times New Roman" w:cs="Times New Roman"/>
                <w:color w:val="000000" w:themeColor="text1"/>
                <w14:textFill>
                  <w14:solidFill>
                    <w14:schemeClr w14:val="tx1"/>
                  </w14:solidFill>
                </w14:textFill>
              </w:rPr>
              <w:t>&gt;</w:t>
            </w:r>
            <w:r>
              <w:rPr>
                <w:rFonts w:ascii="宋体" w:hAnsi="宋体" w:eastAsia="宋体" w:cs="宋体"/>
                <w:color w:val="000000" w:themeColor="text1"/>
                <w14:textFill>
                  <w14:solidFill>
                    <w14:schemeClr w14:val="tx1"/>
                  </w14:solidFill>
                </w14:textFill>
              </w:rPr>
              <w:t>、安装、调试、检验及售后服务、税金、劳保基金、人员培训等费用。</w:t>
            </w:r>
          </w:p>
        </w:tc>
      </w:tr>
    </w:tbl>
    <w:p>
      <w:pPr>
        <w:spacing w:line="360" w:lineRule="auto"/>
        <w:ind w:firstLine="422"/>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第二条</w:t>
      </w:r>
      <w:r>
        <w:rPr>
          <w:rFonts w:ascii="Times New Roman" w:hAnsi="Times New Roman" w:eastAsia="Times New Roman" w:cs="Times New Roman"/>
          <w:b/>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产品的技术标准（包括质量要求），按下列第（</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①）项执行：</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①按国家标准执行；②按部颁标准执行；③若无以上标准，则应不低于同行业质量标准；④有特殊要求的，按甲乙双方在合同中商定的技术条件、样品或补充的技术要求执行；</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乙方提供和交付的货物技术标准应与招标采购文件规定的技术标准相一致。若技术标准中无相应规定，所投货物应符合相应的国际标准或原产地国家有关部门最新颁布的相应的正式标准。</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进口产品的质量标准为</w:t>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u w:val="single"/>
          <w14:textFill>
            <w14:solidFill>
              <w14:schemeClr w14:val="tx1"/>
            </w14:solidFill>
          </w14:textFill>
        </w:rPr>
        <w:t xml:space="preserve">             合格                    </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spacing w:after="120" w:line="360" w:lineRule="auto"/>
        <w:ind w:firstLine="482"/>
        <w:rPr>
          <w:rFonts w:ascii="宋体" w:hAnsi="宋体" w:eastAsia="宋体" w:cs="宋体"/>
          <w:color w:val="000000" w:themeColor="text1"/>
          <w:sz w:val="24"/>
          <w14:textFill>
            <w14:solidFill>
              <w14:schemeClr w14:val="tx1"/>
            </w14:solidFill>
          </w14:textFill>
        </w:rPr>
      </w:pPr>
      <w:r>
        <w:rPr>
          <w:rFonts w:ascii="宋体" w:hAnsi="宋体" w:eastAsia="宋体" w:cs="宋体"/>
          <w:b/>
          <w:color w:val="000000" w:themeColor="text1"/>
          <w:sz w:val="24"/>
          <w14:textFill>
            <w14:solidFill>
              <w14:schemeClr w14:val="tx1"/>
            </w14:solidFill>
          </w14:textFill>
        </w:rPr>
        <w:t>第三条</w:t>
      </w:r>
      <w:r>
        <w:rPr>
          <w:rFonts w:ascii="宋体" w:hAnsi="宋体" w:eastAsia="宋体" w:cs="宋体"/>
          <w:color w:val="000000" w:themeColor="text1"/>
          <w:sz w:val="24"/>
          <w14:textFill>
            <w14:solidFill>
              <w14:schemeClr w14:val="tx1"/>
            </w14:solidFill>
          </w14:textFill>
        </w:rPr>
        <w:t>产品的包装标准和包装物的供应与回收</w:t>
      </w:r>
      <w:r>
        <w:rPr>
          <w:rFonts w:ascii="宋体" w:hAnsi="宋体" w:eastAsia="宋体" w:cs="宋体"/>
          <w:color w:val="000000" w:themeColor="text1"/>
          <w:sz w:val="24"/>
          <w:u w:val="single"/>
          <w14:textFill>
            <w14:solidFill>
              <w14:schemeClr w14:val="tx1"/>
            </w14:solidFill>
          </w14:textFill>
        </w:rPr>
        <w:t xml:space="preserve">  国家标准回收       </w:t>
      </w:r>
      <w:r>
        <w:rPr>
          <w:rFonts w:ascii="宋体" w:hAnsi="宋体" w:eastAsia="宋体" w:cs="宋体"/>
          <w:color w:val="000000" w:themeColor="text1"/>
          <w:sz w:val="24"/>
          <w14:textFill>
            <w14:solidFill>
              <w14:schemeClr w14:val="tx1"/>
            </w14:solidFill>
          </w14:textFill>
        </w:rPr>
        <w:t>。</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（国家或行业主管部门有技术规定的，按技术规定执行；国家与行业主管部门无技术规定的，由甲乙双方商定。）</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【注：合同中约定的包装标准应与乙方在投标文件中承诺的一致，且投标文件应作为合同附件与合同具有同等法律效力。】</w:t>
      </w:r>
    </w:p>
    <w:p>
      <w:pPr>
        <w:spacing w:line="360" w:lineRule="auto"/>
        <w:ind w:firstLine="422"/>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第四条</w:t>
      </w:r>
      <w:r>
        <w:rPr>
          <w:rFonts w:ascii="Times New Roman" w:hAnsi="Times New Roman" w:eastAsia="Times New Roman" w:cs="Times New Roman"/>
          <w:b/>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产品的交货方法、到货地点和交货期限</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rFonts w:ascii="宋体" w:hAnsi="宋体" w:eastAsia="宋体" w:cs="宋体"/>
          <w:color w:val="000000" w:themeColor="text1"/>
          <w14:textFill>
            <w14:solidFill>
              <w14:schemeClr w14:val="tx1"/>
            </w14:solidFill>
          </w14:textFill>
        </w:rPr>
        <w:t>交货方法，按下列第（①</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）项执行：</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①乙方送货上门；②乙方代运；③甲方自提自运。</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w:t>
      </w:r>
      <w:r>
        <w:rPr>
          <w:rFonts w:ascii="宋体" w:hAnsi="宋体" w:eastAsia="宋体" w:cs="宋体"/>
          <w:color w:val="000000" w:themeColor="text1"/>
          <w14:textFill>
            <w14:solidFill>
              <w14:schemeClr w14:val="tx1"/>
            </w14:solidFill>
          </w14:textFill>
        </w:rPr>
        <w:t>到货地点：</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hint="eastAsia" w:ascii="宋体" w:hAnsi="宋体" w:eastAsia="宋体" w:cs="宋体"/>
          <w:color w:val="000000" w:themeColor="text1"/>
          <w:u w:val="single"/>
          <w14:textFill>
            <w14:solidFill>
              <w14:schemeClr w14:val="tx1"/>
            </w14:solidFill>
          </w14:textFill>
        </w:rPr>
        <w:t>甲方指定的任何地点，安装并调试</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甲方指定的任何地点，安装并调试</w:t>
      </w:r>
      <w:r>
        <w:rPr>
          <w:rFonts w:ascii="Times New Roman" w:hAnsi="Times New Roman" w:eastAsia="Times New Roman" w:cs="Times New Roman"/>
          <w:color w:val="000000" w:themeColor="text1"/>
          <w14:textFill>
            <w14:solidFill>
              <w14:schemeClr w14:val="tx1"/>
            </w14:solidFill>
          </w14:textFill>
        </w:rPr>
        <w:t>.)</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3.</w:t>
      </w:r>
      <w:r>
        <w:rPr>
          <w:rFonts w:ascii="宋体" w:hAnsi="宋体" w:eastAsia="宋体" w:cs="宋体"/>
          <w:color w:val="000000" w:themeColor="text1"/>
          <w14:textFill>
            <w14:solidFill>
              <w14:schemeClr w14:val="tx1"/>
            </w14:solidFill>
          </w14:textFill>
        </w:rPr>
        <w:t>产品的交货期限</w:t>
      </w:r>
      <w:r>
        <w:rPr>
          <w:rFonts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u w:val="single"/>
          <w14:textFill>
            <w14:solidFill>
              <w14:schemeClr w14:val="tx1"/>
            </w14:solidFill>
          </w14:textFill>
        </w:rPr>
        <w:t>合同签订后 30 日历天内（完成供货、安装、调试并交付使用）</w:t>
      </w:r>
      <w:r>
        <w:rPr>
          <w:rFonts w:ascii="宋体" w:hAnsi="宋体" w:eastAsia="宋体" w:cs="宋体"/>
          <w:color w:val="000000" w:themeColor="text1"/>
          <w:u w:val="single"/>
          <w14:textFill>
            <w14:solidFill>
              <w14:schemeClr w14:val="tx1"/>
            </w14:solidFill>
          </w14:textFill>
        </w:rPr>
        <w:t>  </w:t>
      </w:r>
      <w:r>
        <w:rPr>
          <w:rFonts w:ascii="宋体" w:hAnsi="宋体" w:eastAsia="宋体" w:cs="宋体"/>
          <w:color w:val="000000" w:themeColor="text1"/>
          <w14:textFill>
            <w14:solidFill>
              <w14:schemeClr w14:val="tx1"/>
            </w14:solidFill>
          </w14:textFill>
        </w:rPr>
        <w:t>。</w:t>
      </w:r>
    </w:p>
    <w:p>
      <w:pPr>
        <w:spacing w:line="360" w:lineRule="auto"/>
        <w:ind w:firstLine="422"/>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第五条</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合同总价款</w:t>
      </w:r>
    </w:p>
    <w:p>
      <w:pPr>
        <w:spacing w:line="360" w:lineRule="auto"/>
        <w:ind w:firstLine="420"/>
        <w:rPr>
          <w:rFonts w:ascii="Times New Roman" w:hAnsi="Times New Roman" w:eastAsia="Times New Roman" w:cs="Times New Roman"/>
          <w:color w:val="000000" w:themeColor="text1"/>
          <w:u w:val="single"/>
          <w14:textFill>
            <w14:solidFill>
              <w14:schemeClr w14:val="tx1"/>
            </w14:solidFill>
          </w14:textFill>
        </w:rPr>
      </w:pPr>
      <w:r>
        <w:rPr>
          <w:rFonts w:ascii="宋体" w:hAnsi="宋体" w:eastAsia="宋体" w:cs="宋体"/>
          <w:color w:val="000000" w:themeColor="text1"/>
          <w14:textFill>
            <w14:solidFill>
              <w14:schemeClr w14:val="tx1"/>
            </w14:solidFill>
          </w14:textFill>
        </w:rPr>
        <w:t>合同总价款（大小写）：</w:t>
      </w:r>
      <w:r>
        <w:rPr>
          <w:rFonts w:ascii="Times New Roman" w:hAnsi="Times New Roman" w:eastAsia="Times New Roman" w:cs="Times New Roman"/>
          <w:color w:val="000000" w:themeColor="text1"/>
          <w:u w:val="single"/>
          <w14:textFill>
            <w14:solidFill>
              <w14:schemeClr w14:val="tx1"/>
            </w14:solidFill>
          </w14:textFill>
        </w:rPr>
        <w:t xml:space="preserve">                        </w:t>
      </w:r>
    </w:p>
    <w:p>
      <w:pPr>
        <w:numPr>
          <w:ilvl w:val="0"/>
          <w:numId w:val="28"/>
        </w:numPr>
        <w:tabs>
          <w:tab w:val="left" w:pos="1125"/>
        </w:tabs>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付款条件</w:t>
      </w:r>
      <w:r>
        <w:rPr>
          <w:rFonts w:ascii="Times New Roman" w:hAnsi="Times New Roman" w:eastAsia="Times New Roman" w:cs="Times New Roman"/>
          <w:color w:val="000000" w:themeColor="text1"/>
          <w14:textFill>
            <w14:solidFill>
              <w14:schemeClr w14:val="tx1"/>
            </w14:solidFill>
          </w14:textFill>
        </w:rPr>
        <w:t xml:space="preserve">                  </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本合同以人民币付款。</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该项目是否实行预付款：</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实行预付款的条件和比例：</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合同款项结算方式和支付比例：</w:t>
      </w:r>
      <w:r>
        <w:rPr>
          <w:rFonts w:ascii="Times New Roman" w:hAnsi="Times New Roman" w:eastAsia="Times New Roman" w:cs="Times New Roman"/>
          <w:color w:val="000000" w:themeColor="text1"/>
          <w14:textFill>
            <w14:solidFill>
              <w14:schemeClr w14:val="tx1"/>
            </w14:solidFill>
          </w14:textFill>
        </w:rPr>
        <w:t xml:space="preserve">   </w:t>
      </w:r>
    </w:p>
    <w:p>
      <w:pPr>
        <w:spacing w:line="360" w:lineRule="auto"/>
        <w:ind w:firstLine="420"/>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t>
      </w:r>
      <w:r>
        <w:rPr>
          <w:rFonts w:ascii="宋体" w:hAnsi="宋体" w:eastAsia="宋体" w:cs="宋体"/>
          <w:color w:val="000000" w:themeColor="text1"/>
          <w14:textFill>
            <w14:solidFill>
              <w14:schemeClr w14:val="tx1"/>
            </w14:solidFill>
          </w14:textFill>
        </w:rPr>
        <w:t>具体付款方式</w:t>
      </w:r>
      <w:r>
        <w:rPr>
          <w:rFonts w:ascii="宋体" w:hAnsi="宋体" w:eastAsia="宋体" w:cs="宋体"/>
          <w:color w:val="000000" w:themeColor="text1"/>
          <w:u w:val="single"/>
          <w14:textFill>
            <w14:solidFill>
              <w14:schemeClr w14:val="tx1"/>
            </w14:solidFill>
          </w14:textFill>
        </w:rPr>
        <w:t>按投标人须知前附表以及采、购双方的具体约定</w:t>
      </w:r>
    </w:p>
    <w:p>
      <w:pPr>
        <w:numPr>
          <w:ilvl w:val="0"/>
          <w:numId w:val="29"/>
        </w:numPr>
        <w:tabs>
          <w:tab w:val="left" w:pos="1125"/>
        </w:tabs>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验收方法</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rFonts w:ascii="宋体" w:hAnsi="宋体" w:eastAsia="宋体" w:cs="宋体"/>
          <w:color w:val="000000" w:themeColor="text1"/>
          <w14:textFill>
            <w14:solidFill>
              <w14:schemeClr w14:val="tx1"/>
            </w14:solidFill>
          </w14:textFill>
        </w:rPr>
        <w:t>乙方安装调试后，在</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u w:val="single"/>
          <w14:textFill>
            <w14:solidFill>
              <w14:schemeClr w14:val="tx1"/>
            </w14:solidFill>
          </w14:textFill>
        </w:rPr>
        <w:t>2</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天内通知甲方组织验收，采购代理机构保留受托参与本项目验收的权利。验收不合格的，乙方应负责重新提供达到本合同约定的质量要求的产品。</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w:t>
      </w:r>
      <w:r>
        <w:rPr>
          <w:rFonts w:ascii="宋体" w:hAnsi="宋体" w:eastAsia="宋体" w:cs="宋体"/>
          <w:color w:val="000000" w:themeColor="text1"/>
          <w14:textFill>
            <w14:solidFill>
              <w14:schemeClr w14:val="tx1"/>
            </w14:solidFill>
          </w14:textFill>
        </w:rPr>
        <w:t>甲、乙双方应严格履行合同有关条款，如果验收过程中发现乙方在没有征得采购人同意的情况下擅自变更合同标的物，将拒绝通过验收，由此引起的一切后果及损失由乙方承担。</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3.</w:t>
      </w:r>
      <w:r>
        <w:rPr>
          <w:rFonts w:ascii="宋体" w:hAnsi="宋体" w:eastAsia="宋体" w:cs="宋体"/>
          <w:color w:val="000000" w:themeColor="text1"/>
          <w14:textFill>
            <w14:solidFill>
              <w14:schemeClr w14:val="tx1"/>
            </w14:solidFill>
          </w14:textFill>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4</w:t>
      </w:r>
      <w:r>
        <w:rPr>
          <w:rFonts w:ascii="宋体" w:hAnsi="宋体" w:eastAsia="宋体" w:cs="宋体"/>
          <w:color w:val="000000" w:themeColor="text1"/>
          <w14:textFill>
            <w14:solidFill>
              <w14:schemeClr w14:val="tx1"/>
            </w14:solidFill>
          </w14:textFill>
        </w:rPr>
        <w:t>、甲方视情况可以邀请参加本项目的其他投标人或者第三方机构参与验收，参与验收的投标人或者第三方机构的意见作为验收书的参考资料一并存档。</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涉及安全、消防、环保等其他需要由质检或行业主管部门进行验收的项目，必须邀请相关部门或相关专家参与验收。</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检测、验收费用承担方式：</w:t>
      </w:r>
    </w:p>
    <w:p>
      <w:pPr>
        <w:spacing w:line="360" w:lineRule="auto"/>
        <w:ind w:firstLine="422"/>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第八条 </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对产品提出异议的时间和办法</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rFonts w:ascii="宋体" w:hAnsi="宋体" w:eastAsia="宋体" w:cs="宋体"/>
          <w:color w:val="000000" w:themeColor="text1"/>
          <w14:textFill>
            <w14:solidFill>
              <w14:schemeClr w14:val="tx1"/>
            </w14:solidFill>
          </w14:textFill>
        </w:rPr>
        <w:t>甲方在验收中，如果发现产品不符合合同约定的，应一面妥为保管，一面在</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u w:val="single"/>
          <w14:textFill>
            <w14:solidFill>
              <w14:schemeClr w14:val="tx1"/>
            </w14:solidFill>
          </w14:textFill>
        </w:rPr>
        <w:t>1</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工作日内向乙方书面提出异议，并抄送采购代理机构，具体说明产品不符合规定的内容并附相关验收材料，同时提出不符合规定产品的处理意见。</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w:t>
      </w:r>
      <w:r>
        <w:rPr>
          <w:rFonts w:ascii="宋体" w:hAnsi="宋体" w:eastAsia="宋体" w:cs="宋体"/>
          <w:color w:val="000000" w:themeColor="text1"/>
          <w14:textFill>
            <w14:solidFill>
              <w14:schemeClr w14:val="tx1"/>
            </w14:solidFill>
          </w14:textFill>
        </w:rPr>
        <w:t>甲方因使用、保管、保养不善等造成产品质量下降的，不得提出异议。</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3.</w:t>
      </w:r>
      <w:r>
        <w:rPr>
          <w:rFonts w:ascii="宋体" w:hAnsi="宋体" w:eastAsia="宋体" w:cs="宋体"/>
          <w:color w:val="000000" w:themeColor="text1"/>
          <w14:textFill>
            <w14:solidFill>
              <w14:schemeClr w14:val="tx1"/>
            </w14:solidFill>
          </w14:textFill>
        </w:rPr>
        <w:t>乙方在接到甲方异议后，应在</w:t>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u w:val="single"/>
          <w14:textFill>
            <w14:solidFill>
              <w14:schemeClr w14:val="tx1"/>
            </w14:solidFill>
          </w14:textFill>
        </w:rPr>
        <w:t>1</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工作日内负责处理，否则，即视为默认甲方提出的异议和处理意见。</w:t>
      </w:r>
    </w:p>
    <w:p>
      <w:pPr>
        <w:spacing w:line="360" w:lineRule="auto"/>
        <w:ind w:firstLine="422"/>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第九条</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乙方应提供完善周到的技术支持和售后服务，否则甲方视情节轻重从乙方的质量保证金中扣除部分或全部补偿甲方。</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rFonts w:ascii="宋体" w:hAnsi="宋体" w:eastAsia="宋体" w:cs="宋体"/>
          <w:color w:val="000000" w:themeColor="text1"/>
          <w14:textFill>
            <w14:solidFill>
              <w14:schemeClr w14:val="tx1"/>
            </w14:solidFill>
          </w14:textFill>
        </w:rPr>
        <w:t>保修</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乙方对其所提供的货物免费保修</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u w:val="single"/>
          <w14:textFill>
            <w14:solidFill>
              <w14:schemeClr w14:val="tx1"/>
            </w14:solidFill>
          </w14:textFill>
        </w:rPr>
        <w:t>1</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年，保修期从</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hint="eastAsia" w:ascii="宋体" w:hAnsi="宋体" w:eastAsia="宋体" w:cs="宋体"/>
          <w:color w:val="000000" w:themeColor="text1"/>
          <w:u w:val="single"/>
          <w14:textFill>
            <w14:solidFill>
              <w14:schemeClr w14:val="tx1"/>
            </w14:solidFill>
          </w14:textFill>
        </w:rPr>
        <w:t>签订合同之日起</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开始。乙方应在接到报修通知后</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u w:val="single"/>
          <w14:textFill>
            <w14:solidFill>
              <w14:schemeClr w14:val="tx1"/>
            </w14:solidFill>
          </w14:textFill>
        </w:rPr>
        <w:t>1</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天内上门维修，负责更换有瑕疵的货物、部件或提供相应的质量保证期内的服务。由此造成的损失，甲方保留索赔的权利。</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如果乙方在收到报修通知后</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u w:val="single"/>
          <w14:textFill>
            <w14:solidFill>
              <w14:schemeClr w14:val="tx1"/>
            </w14:solidFill>
          </w14:textFill>
        </w:rPr>
        <w:t>1</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天内没有弥补缺陷，甲方可采取必要的补救措施，但费用和风险由乙方承担。</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w:t>
      </w:r>
      <w:r>
        <w:rPr>
          <w:rFonts w:ascii="宋体" w:hAnsi="宋体" w:eastAsia="宋体" w:cs="宋体"/>
          <w:color w:val="000000" w:themeColor="text1"/>
          <w14:textFill>
            <w14:solidFill>
              <w14:schemeClr w14:val="tx1"/>
            </w14:solidFill>
          </w14:textFill>
        </w:rPr>
        <w:t>维修</w:t>
      </w:r>
    </w:p>
    <w:p>
      <w:pPr>
        <w:spacing w:after="120"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保修期届满后，乙方应对其提供的货物负有维修义务，但所涉及的费用由甲方承担。</w:t>
      </w:r>
    </w:p>
    <w:p>
      <w:pPr>
        <w:spacing w:line="360" w:lineRule="auto"/>
        <w:ind w:firstLine="422"/>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第十条</w:t>
      </w:r>
      <w:r>
        <w:rPr>
          <w:rFonts w:ascii="宋体" w:hAnsi="宋体" w:eastAsia="宋体" w:cs="宋体"/>
          <w:color w:val="000000" w:themeColor="text1"/>
          <w14:textFill>
            <w14:solidFill>
              <w14:schemeClr w14:val="tx1"/>
            </w14:solidFill>
          </w14:textFill>
        </w:rPr>
        <w:t> </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乙方的违约责任</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rFonts w:ascii="宋体" w:hAnsi="宋体" w:eastAsia="宋体" w:cs="宋体"/>
          <w:color w:val="000000" w:themeColor="text1"/>
          <w14:textFill>
            <w14:solidFill>
              <w14:schemeClr w14:val="tx1"/>
            </w14:solidFill>
          </w14:textFill>
        </w:rPr>
        <w:t>乙方不能交货的，应向甲方偿付不能交货部分货款的</w:t>
      </w:r>
      <w:r>
        <w:rPr>
          <w:rFonts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u w:val="single"/>
          <w14:textFill>
            <w14:solidFill>
              <w14:schemeClr w14:val="tx1"/>
            </w14:solidFill>
          </w14:textFill>
        </w:rPr>
        <w:t>5</w:t>
      </w:r>
      <w:r>
        <w:rPr>
          <w:rFonts w:ascii="宋体" w:hAnsi="宋体" w:eastAsia="宋体" w:cs="宋体"/>
          <w:color w:val="000000" w:themeColor="text1"/>
          <w:u w:val="single"/>
          <w14:textFill>
            <w14:solidFill>
              <w14:schemeClr w14:val="tx1"/>
            </w14:solidFill>
          </w14:textFill>
        </w:rPr>
        <w:t> </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（通用产品的幅度为</w:t>
      </w:r>
      <w:r>
        <w:rPr>
          <w:rFonts w:ascii="Times New Roman" w:hAnsi="Times New Roman" w:eastAsia="Times New Roman" w:cs="Times New Roman"/>
          <w:color w:val="000000" w:themeColor="text1"/>
          <w14:textFill>
            <w14:solidFill>
              <w14:schemeClr w14:val="tx1"/>
            </w14:solidFill>
          </w14:textFill>
        </w:rPr>
        <w:t>1%</w:t>
      </w:r>
      <w:r>
        <w:rPr>
          <w:rFonts w:ascii="宋体" w:hAnsi="宋体" w:eastAsia="宋体" w:cs="宋体"/>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5%</w:t>
      </w:r>
      <w:r>
        <w:rPr>
          <w:rFonts w:ascii="宋体" w:hAnsi="宋体" w:eastAsia="宋体" w:cs="宋体"/>
          <w:color w:val="000000" w:themeColor="text1"/>
          <w14:textFill>
            <w14:solidFill>
              <w14:schemeClr w14:val="tx1"/>
            </w14:solidFill>
          </w14:textFill>
        </w:rPr>
        <w:t>，专用产品的幅度为</w:t>
      </w:r>
      <w:r>
        <w:rPr>
          <w:rFonts w:ascii="Times New Roman" w:hAnsi="Times New Roman" w:eastAsia="Times New Roman" w:cs="Times New Roman"/>
          <w:color w:val="000000" w:themeColor="text1"/>
          <w14:textFill>
            <w14:solidFill>
              <w14:schemeClr w14:val="tx1"/>
            </w14:solidFill>
          </w14:textFill>
        </w:rPr>
        <w:t>10%</w:t>
      </w:r>
      <w:r>
        <w:rPr>
          <w:rFonts w:ascii="宋体" w:hAnsi="宋体" w:eastAsia="宋体" w:cs="宋体"/>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30%</w:t>
      </w:r>
      <w:r>
        <w:rPr>
          <w:rFonts w:ascii="宋体" w:hAnsi="宋体" w:eastAsia="宋体" w:cs="宋体"/>
          <w:color w:val="000000" w:themeColor="text1"/>
          <w14:textFill>
            <w14:solidFill>
              <w14:schemeClr w14:val="tx1"/>
            </w14:solidFill>
          </w14:textFill>
        </w:rPr>
        <w:t>）的违约金。</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w:t>
      </w:r>
      <w:r>
        <w:rPr>
          <w:rFonts w:ascii="宋体" w:hAnsi="宋体" w:eastAsia="宋体" w:cs="宋体"/>
          <w:color w:val="000000" w:themeColor="text1"/>
          <w14:textFill>
            <w14:solidFill>
              <w14:schemeClr w14:val="tx1"/>
            </w14:solidFill>
          </w14:textFill>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color w:val="000000" w:themeColor="text1"/>
          <w14:textFill>
            <w14:solidFill>
              <w14:schemeClr w14:val="tx1"/>
            </w14:solidFill>
          </w14:textFill>
        </w:rPr>
        <w:t>,</w:t>
      </w:r>
      <w:r>
        <w:rPr>
          <w:rFonts w:ascii="宋体" w:hAnsi="宋体" w:eastAsia="宋体" w:cs="宋体"/>
          <w:color w:val="000000" w:themeColor="text1"/>
          <w14:textFill>
            <w14:solidFill>
              <w14:schemeClr w14:val="tx1"/>
            </w14:solidFill>
          </w14:textFill>
        </w:rPr>
        <w:t>同时，乙方应按规定，对更换件相应延长质量保证期，并赔偿甲方相应的损失。乙方不能修理或者不能调换的，按不能交货处理。</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3.</w:t>
      </w:r>
      <w:r>
        <w:rPr>
          <w:rFonts w:ascii="宋体" w:hAnsi="宋体" w:eastAsia="宋体" w:cs="宋体"/>
          <w:color w:val="000000" w:themeColor="text1"/>
          <w14:textFill>
            <w14:solidFill>
              <w14:schemeClr w14:val="tx1"/>
            </w14:solidFill>
          </w14:textFill>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4.</w:t>
      </w:r>
      <w:r>
        <w:rPr>
          <w:rFonts w:ascii="宋体" w:hAnsi="宋体" w:eastAsia="宋体" w:cs="宋体"/>
          <w:color w:val="000000" w:themeColor="text1"/>
          <w14:textFill>
            <w14:solidFill>
              <w14:schemeClr w14:val="tx1"/>
            </w14:solidFill>
          </w14:textFill>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color w:val="000000" w:themeColor="text1"/>
          <w14:textFill>
            <w14:solidFill>
              <w14:schemeClr w14:val="tx1"/>
            </w14:solidFill>
          </w14:textFill>
        </w:rPr>
        <w:t>0.5%</w:t>
      </w:r>
      <w:r>
        <w:rPr>
          <w:rFonts w:ascii="宋体" w:hAnsi="宋体" w:eastAsia="宋体" w:cs="宋体"/>
          <w:color w:val="000000" w:themeColor="text1"/>
          <w14:textFill>
            <w14:solidFill>
              <w14:schemeClr w14:val="tx1"/>
            </w14:solidFill>
          </w14:textFill>
        </w:rPr>
        <w:t>计收。但违约金的最高限额为迟交货物或提供服务合同价的</w:t>
      </w:r>
      <w:r>
        <w:rPr>
          <w:rFonts w:ascii="Times New Roman" w:hAnsi="Times New Roman" w:eastAsia="Times New Roman" w:cs="Times New Roman"/>
          <w:color w:val="000000" w:themeColor="text1"/>
          <w14:textFill>
            <w14:solidFill>
              <w14:schemeClr w14:val="tx1"/>
            </w14:solidFill>
          </w14:textFill>
        </w:rPr>
        <w:t>5%</w:t>
      </w:r>
      <w:r>
        <w:rPr>
          <w:rFonts w:ascii="宋体" w:hAnsi="宋体" w:eastAsia="宋体" w:cs="宋体"/>
          <w:color w:val="000000" w:themeColor="text1"/>
          <w14:textFill>
            <w14:solidFill>
              <w14:schemeClr w14:val="tx1"/>
            </w14:solidFill>
          </w14:textFill>
        </w:rPr>
        <w:t>。一周按</w:t>
      </w:r>
      <w:r>
        <w:rPr>
          <w:rFonts w:ascii="Times New Roman" w:hAnsi="Times New Roman" w:eastAsia="Times New Roman" w:cs="Times New Roman"/>
          <w:color w:val="000000" w:themeColor="text1"/>
          <w14:textFill>
            <w14:solidFill>
              <w14:schemeClr w14:val="tx1"/>
            </w14:solidFill>
          </w14:textFill>
        </w:rPr>
        <w:t>7</w:t>
      </w:r>
      <w:r>
        <w:rPr>
          <w:rFonts w:ascii="宋体" w:hAnsi="宋体" w:eastAsia="宋体" w:cs="宋体"/>
          <w:color w:val="000000" w:themeColor="text1"/>
          <w14:textFill>
            <w14:solidFill>
              <w14:schemeClr w14:val="tx1"/>
            </w14:solidFill>
          </w14:textFill>
        </w:rPr>
        <w:t>天计算，不足</w:t>
      </w:r>
      <w:r>
        <w:rPr>
          <w:rFonts w:ascii="Times New Roman" w:hAnsi="Times New Roman" w:eastAsia="Times New Roman" w:cs="Times New Roman"/>
          <w:color w:val="000000" w:themeColor="text1"/>
          <w14:textFill>
            <w14:solidFill>
              <w14:schemeClr w14:val="tx1"/>
            </w14:solidFill>
          </w14:textFill>
        </w:rPr>
        <w:t>7</w:t>
      </w:r>
      <w:r>
        <w:rPr>
          <w:rFonts w:ascii="宋体" w:hAnsi="宋体" w:eastAsia="宋体" w:cs="宋体"/>
          <w:color w:val="000000" w:themeColor="text1"/>
          <w14:textFill>
            <w14:solidFill>
              <w14:schemeClr w14:val="tx1"/>
            </w14:solidFill>
          </w14:textFill>
        </w:rPr>
        <w:t>天按一周计算。如果达到最高限额，甲方应考虑终止合同，由此给甲方造成的损失由乙方承担。</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5.</w:t>
      </w:r>
      <w:r>
        <w:rPr>
          <w:rFonts w:ascii="宋体" w:hAnsi="宋体" w:eastAsia="宋体" w:cs="宋体"/>
          <w:color w:val="000000" w:themeColor="text1"/>
          <w14:textFill>
            <w14:solidFill>
              <w14:schemeClr w14:val="tx1"/>
            </w14:solidFill>
          </w14:textFill>
        </w:rPr>
        <w:t>乙方提前交货的产品、多交的产品和不符合合同规定的产品，甲方在代保管期内实际支付的保管、保养等费用以及非因甲方保管不善而发生的损失，应当由乙方承担。</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6.</w:t>
      </w:r>
      <w:r>
        <w:rPr>
          <w:rFonts w:ascii="宋体" w:hAnsi="宋体" w:eastAsia="宋体" w:cs="宋体"/>
          <w:color w:val="000000" w:themeColor="text1"/>
          <w14:textFill>
            <w14:solidFill>
              <w14:schemeClr w14:val="tx1"/>
            </w14:solidFill>
          </w14:textFill>
        </w:rPr>
        <w:t>乙方应对其所提供的货物承担所有权担保责任，并应保证甲方在中华人民共和国内使用该货物时不侵犯第三人的知识产权。否则乙方应承担由此引起的一切法律责任及费用。</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7.</w:t>
      </w:r>
      <w:r>
        <w:rPr>
          <w:rFonts w:ascii="宋体" w:hAnsi="宋体" w:eastAsia="宋体" w:cs="宋体"/>
          <w:color w:val="000000" w:themeColor="text1"/>
          <w14:textFill>
            <w14:solidFill>
              <w14:schemeClr w14:val="tx1"/>
            </w14:solidFill>
          </w14:textFill>
        </w:rPr>
        <w:t>任何一方未经对方同意而单方面终止合同的，应向对方赔偿相当于本合同总价款</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hint="eastAsia" w:ascii="Times New Roman" w:hAnsi="Times New Roman" w:cs="Times New Roman"/>
          <w:color w:val="000000" w:themeColor="text1"/>
          <w:u w:val="single"/>
          <w14:textFill>
            <w14:solidFill>
              <w14:schemeClr w14:val="tx1"/>
            </w14:solidFill>
          </w14:textFill>
        </w:rPr>
        <w:t>5</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违约金。</w:t>
      </w:r>
    </w:p>
    <w:p>
      <w:pPr>
        <w:spacing w:line="360" w:lineRule="auto"/>
        <w:ind w:firstLine="422"/>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第十一条</w:t>
      </w:r>
      <w:r>
        <w:rPr>
          <w:rFonts w:ascii="宋体" w:hAnsi="宋体" w:eastAsia="宋体" w:cs="宋体"/>
          <w:color w:val="000000" w:themeColor="text1"/>
          <w14:textFill>
            <w14:solidFill>
              <w14:schemeClr w14:val="tx1"/>
            </w14:solidFill>
          </w14:textFill>
        </w:rPr>
        <w:t> </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甲方的违约责任</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rFonts w:ascii="宋体" w:hAnsi="宋体" w:eastAsia="宋体" w:cs="宋体"/>
          <w:color w:val="000000" w:themeColor="text1"/>
          <w14:textFill>
            <w14:solidFill>
              <w14:schemeClr w14:val="tx1"/>
            </w14:solidFill>
          </w14:textFill>
        </w:rPr>
        <w:t>甲方中途退货，应向乙方偿付退货部分货款</w:t>
      </w:r>
      <w:r>
        <w:rPr>
          <w:rFonts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u w:val="single"/>
          <w14:textFill>
            <w14:solidFill>
              <w14:schemeClr w14:val="tx1"/>
            </w14:solidFill>
          </w14:textFill>
        </w:rPr>
        <w:t>2</w:t>
      </w:r>
      <w:r>
        <w:rPr>
          <w:rFonts w:ascii="宋体" w:hAnsi="宋体" w:eastAsia="宋体" w:cs="宋体"/>
          <w:color w:val="000000" w:themeColor="text1"/>
          <w:u w:val="single"/>
          <w14:textFill>
            <w14:solidFill>
              <w14:schemeClr w14:val="tx1"/>
            </w14:solidFill>
          </w14:textFill>
        </w:rPr>
        <w:t> </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Times New Roman" w:hAnsi="Times New Roman" w:eastAsia="Times New Roman" w:cs="Times New Roman"/>
          <w:color w:val="000000" w:themeColor="text1"/>
          <w14:textFill>
            <w14:solidFill>
              <w14:schemeClr w14:val="tx1"/>
            </w14:solidFill>
          </w14:textFill>
        </w:rPr>
        <w:t>%</w:t>
      </w:r>
      <w:r>
        <w:rPr>
          <w:rFonts w:ascii="宋体" w:hAnsi="宋体" w:eastAsia="宋体" w:cs="宋体"/>
          <w:color w:val="000000" w:themeColor="text1"/>
          <w14:textFill>
            <w14:solidFill>
              <w14:schemeClr w14:val="tx1"/>
            </w14:solidFill>
          </w14:textFill>
        </w:rPr>
        <w:t>（通用产品的幅度为</w:t>
      </w:r>
      <w:r>
        <w:rPr>
          <w:rFonts w:ascii="Times New Roman" w:hAnsi="Times New Roman" w:eastAsia="Times New Roman" w:cs="Times New Roman"/>
          <w:color w:val="000000" w:themeColor="text1"/>
          <w14:textFill>
            <w14:solidFill>
              <w14:schemeClr w14:val="tx1"/>
            </w14:solidFill>
          </w14:textFill>
        </w:rPr>
        <w:t>1%~5%</w:t>
      </w:r>
      <w:r>
        <w:rPr>
          <w:rFonts w:ascii="宋体" w:hAnsi="宋体" w:eastAsia="宋体" w:cs="宋体"/>
          <w:color w:val="000000" w:themeColor="text1"/>
          <w14:textFill>
            <w14:solidFill>
              <w14:schemeClr w14:val="tx1"/>
            </w14:solidFill>
          </w14:textFill>
        </w:rPr>
        <w:t>专用产品的幅度为</w:t>
      </w:r>
      <w:r>
        <w:rPr>
          <w:rFonts w:ascii="Times New Roman" w:hAnsi="Times New Roman" w:eastAsia="Times New Roman" w:cs="Times New Roman"/>
          <w:color w:val="000000" w:themeColor="text1"/>
          <w14:textFill>
            <w14:solidFill>
              <w14:schemeClr w14:val="tx1"/>
            </w14:solidFill>
          </w14:textFill>
        </w:rPr>
        <w:t>15%-30%</w:t>
      </w:r>
      <w:r>
        <w:rPr>
          <w:rFonts w:ascii="宋体" w:hAnsi="宋体" w:eastAsia="宋体" w:cs="宋体"/>
          <w:color w:val="000000" w:themeColor="text1"/>
          <w14:textFill>
            <w14:solidFill>
              <w14:schemeClr w14:val="tx1"/>
            </w14:solidFill>
          </w14:textFill>
        </w:rPr>
        <w:t>）的违约金。</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w:t>
      </w:r>
      <w:r>
        <w:rPr>
          <w:rFonts w:ascii="宋体" w:hAnsi="宋体" w:eastAsia="宋体" w:cs="宋体"/>
          <w:color w:val="000000" w:themeColor="text1"/>
          <w14:textFill>
            <w14:solidFill>
              <w14:schemeClr w14:val="tx1"/>
            </w14:solidFill>
          </w14:textFill>
        </w:rPr>
        <w:t>甲方违反合同规定拒绝接货的，应当承担由此造成的损失。</w:t>
      </w:r>
    </w:p>
    <w:p>
      <w:pPr>
        <w:spacing w:line="360" w:lineRule="auto"/>
        <w:ind w:firstLine="420"/>
        <w:rPr>
          <w:rFonts w:ascii="Times New Roman" w:hAnsi="Times New Roman" w:eastAsia="Times New Roman" w:cs="Times New Roman"/>
          <w:color w:val="000000" w:themeColor="text1"/>
          <w:u w:val="single"/>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3. </w:t>
      </w:r>
      <w:r>
        <w:rPr>
          <w:rFonts w:ascii="宋体" w:hAnsi="宋体" w:eastAsia="宋体" w:cs="宋体"/>
          <w:color w:val="000000" w:themeColor="text1"/>
          <w14:textFill>
            <w14:solidFill>
              <w14:schemeClr w14:val="tx1"/>
            </w14:solidFill>
          </w14:textFill>
        </w:rPr>
        <w:t>甲方未按照合同约定支付货款，应向乙方违约金</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元。</w:t>
      </w:r>
    </w:p>
    <w:p>
      <w:pPr>
        <w:spacing w:line="360" w:lineRule="auto"/>
        <w:ind w:firstLine="422"/>
        <w:rPr>
          <w:rFonts w:ascii="Times New Roman" w:hAnsi="Times New Roman" w:eastAsia="Times New Roman" w:cs="Times New Roman"/>
          <w:b/>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第十二条 </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不可抗力</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rFonts w:ascii="宋体" w:hAnsi="宋体" w:eastAsia="宋体" w:cs="宋体"/>
          <w:color w:val="000000" w:themeColor="text1"/>
          <w14:textFill>
            <w14:solidFill>
              <w14:schemeClr w14:val="tx1"/>
            </w14:solidFill>
          </w14:textFill>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w:t>
      </w:r>
      <w:r>
        <w:rPr>
          <w:rFonts w:ascii="宋体" w:hAnsi="宋体" w:eastAsia="宋体" w:cs="宋体"/>
          <w:color w:val="000000" w:themeColor="text1"/>
          <w14:textFill>
            <w14:solidFill>
              <w14:schemeClr w14:val="tx1"/>
            </w14:solidFill>
          </w14:textFill>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spacing w:line="360" w:lineRule="auto"/>
        <w:ind w:firstLine="422"/>
        <w:rPr>
          <w:rFonts w:ascii="Times New Roman" w:hAnsi="Times New Roman" w:eastAsia="Times New Roman" w:cs="Times New Roman"/>
          <w:b/>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第十三条</w:t>
      </w:r>
      <w:r>
        <w:rPr>
          <w:rFonts w:ascii="Times New Roman" w:hAnsi="Times New Roman" w:eastAsia="Times New Roman" w:cs="Times New Roman"/>
          <w:b/>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履约（或质量）保证金</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rFonts w:ascii="宋体" w:hAnsi="宋体" w:eastAsia="宋体" w:cs="宋体"/>
          <w:color w:val="000000" w:themeColor="text1"/>
          <w14:textFill>
            <w14:solidFill>
              <w14:schemeClr w14:val="tx1"/>
            </w14:solidFill>
          </w14:textFill>
        </w:rPr>
        <w:t>本项目不收取履约保证金。确需收取履约保证金的，甲方不得要求乙方以现款的形式提供。乙方提供的履约保证金按规定格式以银行保函形式提供，与此有关的费用由卖方承担。</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w:t>
      </w:r>
      <w:r>
        <w:rPr>
          <w:rFonts w:ascii="宋体" w:hAnsi="宋体" w:eastAsia="宋体" w:cs="宋体"/>
          <w:color w:val="000000" w:themeColor="text1"/>
          <w14:textFill>
            <w14:solidFill>
              <w14:schemeClr w14:val="tx1"/>
            </w14:solidFill>
          </w14:textFill>
        </w:rPr>
        <w:t>若确需质量保证金的，质量保证金不得超过合同总价款的</w:t>
      </w:r>
      <w:r>
        <w:rPr>
          <w:rFonts w:ascii="Times New Roman" w:hAnsi="Times New Roman" w:eastAsia="Times New Roman" w:cs="Times New Roman"/>
          <w:color w:val="000000" w:themeColor="text1"/>
          <w14:textFill>
            <w14:solidFill>
              <w14:schemeClr w14:val="tx1"/>
            </w14:solidFill>
          </w14:textFill>
        </w:rPr>
        <w:t>5%</w:t>
      </w:r>
      <w:r>
        <w:rPr>
          <w:rFonts w:ascii="宋体" w:hAnsi="宋体" w:eastAsia="宋体" w:cs="宋体"/>
          <w:color w:val="000000" w:themeColor="text1"/>
          <w14:textFill>
            <w14:solidFill>
              <w14:schemeClr w14:val="tx1"/>
            </w14:solidFill>
          </w14:textFill>
        </w:rPr>
        <w:t>。</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3.</w:t>
      </w:r>
      <w:r>
        <w:rPr>
          <w:rFonts w:ascii="宋体" w:hAnsi="宋体" w:eastAsia="宋体" w:cs="宋体"/>
          <w:color w:val="000000" w:themeColor="text1"/>
          <w14:textFill>
            <w14:solidFill>
              <w14:schemeClr w14:val="tx1"/>
            </w14:solidFill>
          </w14:textFill>
        </w:rPr>
        <w:t>如乙方未能履行其合同规定的任何义务，甲方有权从履约保证金中取得补偿。</w:t>
      </w:r>
    </w:p>
    <w:p>
      <w:pPr>
        <w:spacing w:line="360" w:lineRule="auto"/>
        <w:ind w:firstLine="422"/>
        <w:rPr>
          <w:rFonts w:ascii="Times New Roman" w:hAnsi="Times New Roman" w:eastAsia="Times New Roman" w:cs="Times New Roman"/>
          <w:b/>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第十四条</w:t>
      </w:r>
      <w:r>
        <w:rPr>
          <w:rFonts w:ascii="Times New Roman" w:hAnsi="Times New Roman" w:eastAsia="Times New Roman" w:cs="Times New Roman"/>
          <w:b/>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转让与分包</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rFonts w:ascii="宋体" w:hAnsi="宋体" w:eastAsia="宋体" w:cs="宋体"/>
          <w:color w:val="000000" w:themeColor="text1"/>
          <w14:textFill>
            <w14:solidFill>
              <w14:schemeClr w14:val="tx1"/>
            </w14:solidFill>
          </w14:textFill>
        </w:rPr>
        <w:t>除甲方事先书面同意外，乙方不得部分转让或全部转让其应履行的合同义务。</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w:t>
      </w:r>
      <w:r>
        <w:rPr>
          <w:rFonts w:ascii="宋体" w:hAnsi="宋体" w:eastAsia="宋体" w:cs="宋体"/>
          <w:color w:val="000000" w:themeColor="text1"/>
          <w14:textFill>
            <w14:solidFill>
              <w14:schemeClr w14:val="tx1"/>
            </w14:solidFill>
          </w14:textFill>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2"/>
        <w:rPr>
          <w:rFonts w:ascii="Times New Roman" w:hAnsi="Times New Roman" w:eastAsia="Times New Roman" w:cs="Times New Roman"/>
          <w:b/>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第十五条</w:t>
      </w:r>
      <w:r>
        <w:rPr>
          <w:rFonts w:ascii="Times New Roman" w:hAnsi="Times New Roman" w:eastAsia="Times New Roman" w:cs="Times New Roman"/>
          <w:b/>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合同文件及资料的使用</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rFonts w:ascii="宋体" w:hAnsi="宋体" w:eastAsia="宋体" w:cs="宋体"/>
          <w:color w:val="000000" w:themeColor="text1"/>
          <w14:textFill>
            <w14:solidFill>
              <w14:schemeClr w14:val="tx1"/>
            </w14:solidFill>
          </w14:textFill>
        </w:rPr>
        <w:t>乙方在未经甲方同意的情况下，不得将合同、合同中的规定、有关计划、图纸、样本或甲方为上述内容向乙方提供的资料透露给任何人。</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w:t>
      </w:r>
      <w:r>
        <w:rPr>
          <w:rFonts w:ascii="宋体" w:hAnsi="宋体" w:eastAsia="宋体" w:cs="宋体"/>
          <w:color w:val="000000" w:themeColor="text1"/>
          <w14:textFill>
            <w14:solidFill>
              <w14:schemeClr w14:val="tx1"/>
            </w14:solidFill>
          </w14:textFill>
        </w:rPr>
        <w:t>除非执行合同需要，在事先未得到甲方同意的情况下，乙方不得使用前款所列的任何文件和资料。</w:t>
      </w:r>
    </w:p>
    <w:p>
      <w:pPr>
        <w:spacing w:line="360" w:lineRule="auto"/>
        <w:ind w:firstLine="422"/>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第十六条 </w:t>
      </w:r>
      <w:r>
        <w:rPr>
          <w:rFonts w:ascii="宋体" w:hAnsi="宋体" w:eastAsia="宋体" w:cs="宋体"/>
          <w:color w:val="000000" w:themeColor="text1"/>
          <w14:textFill>
            <w14:solidFill>
              <w14:schemeClr w14:val="tx1"/>
            </w14:solidFill>
          </w14:textFill>
        </w:rPr>
        <w:t>合同纠纷调处</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1.</w:t>
      </w:r>
      <w:r>
        <w:rPr>
          <w:rFonts w:ascii="宋体" w:hAnsi="宋体" w:eastAsia="宋体" w:cs="宋体"/>
          <w:color w:val="000000" w:themeColor="text1"/>
          <w14:textFill>
            <w14:solidFill>
              <w14:schemeClr w14:val="tx1"/>
            </w14:solidFill>
          </w14:textFill>
        </w:rPr>
        <w:t>按本合同规定应该偿付的违约金、赔偿金、保管保养费和各种经济损失，应当在明确责任后</w:t>
      </w:r>
      <w:r>
        <w:rPr>
          <w:rFonts w:ascii="Times New Roman" w:hAnsi="Times New Roman" w:eastAsia="Times New Roman" w:cs="Times New Roman"/>
          <w:color w:val="000000" w:themeColor="text1"/>
          <w14:textFill>
            <w14:solidFill>
              <w14:schemeClr w14:val="tx1"/>
            </w14:solidFill>
          </w14:textFill>
        </w:rPr>
        <w:t>10</w:t>
      </w:r>
      <w:r>
        <w:rPr>
          <w:rFonts w:ascii="宋体" w:hAnsi="宋体" w:eastAsia="宋体" w:cs="宋体"/>
          <w:color w:val="000000" w:themeColor="text1"/>
          <w14:textFill>
            <w14:solidFill>
              <w14:schemeClr w14:val="tx1"/>
            </w14:solidFill>
          </w14:textFill>
        </w:rPr>
        <w:t>天内，按银行规定的结算办法付清，否则按逾期付款处理。但任何一方不得自行扣发货物或扣付货款来充抵。</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2.</w:t>
      </w:r>
      <w:r>
        <w:rPr>
          <w:rFonts w:ascii="宋体" w:hAnsi="宋体" w:eastAsia="宋体" w:cs="宋体"/>
          <w:color w:val="000000" w:themeColor="text1"/>
          <w14:textFill>
            <w14:solidFill>
              <w14:schemeClr w14:val="tx1"/>
            </w14:solidFill>
          </w14:textFill>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②）项方式处理：①根据《中华人民共和国仲裁法》的规定向</w:t>
      </w:r>
      <w:r>
        <w:rPr>
          <w:rFonts w:ascii="宋体" w:hAnsi="宋体" w:eastAsia="宋体" w:cs="宋体"/>
          <w:b/>
          <w:color w:val="000000" w:themeColor="text1"/>
          <w:u w:val="single"/>
          <w14:textFill>
            <w14:solidFill>
              <w14:schemeClr w14:val="tx1"/>
            </w14:solidFill>
          </w14:textFill>
        </w:rPr>
        <w:t>周口仲裁委员会</w:t>
      </w:r>
      <w:r>
        <w:rPr>
          <w:rFonts w:ascii="宋体" w:hAnsi="宋体" w:eastAsia="宋体" w:cs="宋体"/>
          <w:color w:val="000000" w:themeColor="text1"/>
          <w14:textFill>
            <w14:solidFill>
              <w14:schemeClr w14:val="tx1"/>
            </w14:solidFill>
          </w14:textFill>
        </w:rPr>
        <w:t>申请仲裁。②向合同签订地有级别管辖权的人民法院起诉。</w:t>
      </w:r>
    </w:p>
    <w:p>
      <w:pPr>
        <w:spacing w:line="30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3</w:t>
      </w:r>
      <w:r>
        <w:rPr>
          <w:rFonts w:ascii="宋体" w:hAnsi="宋体" w:eastAsia="宋体" w:cs="宋体"/>
          <w:color w:val="000000" w:themeColor="text1"/>
          <w14:textFill>
            <w14:solidFill>
              <w14:schemeClr w14:val="tx1"/>
            </w14:solidFill>
          </w14:textFill>
        </w:rPr>
        <w:t>、甲、乙双方均有权利向本项目具有监管职能的政府采购监督管理部门举报反映对方在合同履约中的违法违纪行为。</w:t>
      </w:r>
    </w:p>
    <w:p>
      <w:pPr>
        <w:spacing w:line="360" w:lineRule="auto"/>
        <w:ind w:firstLine="422"/>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b/>
          <w:color w:val="000000" w:themeColor="text1"/>
          <w14:textFill>
            <w14:solidFill>
              <w14:schemeClr w14:val="tx1"/>
            </w14:solidFill>
          </w14:textFill>
        </w:rPr>
        <w:t>第十七条</w:t>
      </w:r>
      <w:r>
        <w:rPr>
          <w:rFonts w:ascii="Times New Roman" w:hAnsi="Times New Roman" w:eastAsia="Times New Roman" w:cs="Times New Roman"/>
          <w:b/>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下列关于周口市公共资源交易中心政府采购代理机构名称</w:t>
      </w:r>
      <w:r>
        <w:rPr>
          <w:rFonts w:ascii="宋体" w:hAnsi="宋体" w:eastAsia="宋体" w:cs="宋体"/>
          <w:color w:val="000000" w:themeColor="text1"/>
          <w:u w:val="single"/>
          <w14:textFill>
            <w14:solidFill>
              <w14:schemeClr w14:val="tx1"/>
            </w14:solidFill>
          </w14:textFill>
        </w:rPr>
        <w:t>某项目（项目编号：某编号）</w:t>
      </w:r>
      <w:r>
        <w:rPr>
          <w:rFonts w:ascii="宋体" w:hAnsi="宋体" w:eastAsia="宋体" w:cs="宋体"/>
          <w:color w:val="000000" w:themeColor="text1"/>
          <w14:textFill>
            <w14:solidFill>
              <w14:schemeClr w14:val="tx1"/>
            </w14:solidFill>
          </w14:textFill>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本合同一式</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份，甲乙双方各执</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份，自双方当事人签字盖章之日起生效。</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采购人（甲方）：</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（公章）</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供货人（乙方）：</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（公章）</w:t>
      </w:r>
      <w:r>
        <w:rPr>
          <w:rFonts w:ascii="Times New Roman" w:hAnsi="Times New Roman" w:eastAsia="Times New Roman" w:cs="Times New Roman"/>
          <w:color w:val="000000" w:themeColor="text1"/>
          <w14:textFill>
            <w14:solidFill>
              <w14:schemeClr w14:val="tx1"/>
            </w14:solidFill>
          </w14:textFill>
        </w:rPr>
        <w:t xml:space="preserve">  </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地址：</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地址：</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法定代表人：</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法定代表人：</w:t>
      </w:r>
    </w:p>
    <w:p>
      <w:pPr>
        <w:spacing w:line="360" w:lineRule="auto"/>
        <w:ind w:firstLine="420"/>
        <w:rPr>
          <w:rFonts w:ascii="Times New Roman" w:hAnsi="Times New Roman" w:eastAsia="Times New Roman" w:cs="Times New Roman"/>
          <w:color w:val="000000" w:themeColor="text1"/>
          <w:u w:val="single"/>
          <w14:textFill>
            <w14:solidFill>
              <w14:schemeClr w14:val="tx1"/>
            </w14:solidFill>
          </w14:textFill>
        </w:rPr>
      </w:pPr>
      <w:r>
        <w:rPr>
          <w:rFonts w:ascii="宋体" w:hAnsi="宋体" w:eastAsia="宋体" w:cs="宋体"/>
          <w:color w:val="000000" w:themeColor="text1"/>
          <w14:textFill>
            <w14:solidFill>
              <w14:schemeClr w14:val="tx1"/>
            </w14:solidFill>
          </w14:textFill>
        </w:rPr>
        <w:t>委托代理人：</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委托代理人：</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电话：</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电话：</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开户银行：</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开户银行：</w:t>
      </w:r>
    </w:p>
    <w:p>
      <w:pPr>
        <w:spacing w:line="360" w:lineRule="auto"/>
        <w:ind w:firstLine="420"/>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账号：</w:t>
      </w:r>
      <w:r>
        <w:rPr>
          <w:rFonts w:ascii="Times New Roman" w:hAnsi="Times New Roman" w:eastAsia="Times New Roman" w:cs="Times New Roman"/>
          <w:color w:val="000000" w:themeColor="text1"/>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账号：</w:t>
      </w:r>
    </w:p>
    <w:p>
      <w:pPr>
        <w:spacing w:line="640" w:lineRule="auto"/>
        <w:ind w:firstLine="1575"/>
        <w:rPr>
          <w:rFonts w:ascii="Times New Roman" w:hAnsi="Times New Roman" w:eastAsia="Times New Roman" w:cs="Times New Roman"/>
          <w:color w:val="000000" w:themeColor="text1"/>
          <w:u w:val="single"/>
          <w14:textFill>
            <w14:solidFill>
              <w14:schemeClr w14:val="tx1"/>
            </w14:solidFill>
          </w14:textFill>
        </w:rPr>
      </w:pPr>
    </w:p>
    <w:p>
      <w:pPr>
        <w:spacing w:line="500" w:lineRule="auto"/>
        <w:rPr>
          <w:rFonts w:ascii="Times New Roman" w:hAnsi="Times New Roman" w:eastAsia="Times New Roman" w:cs="Times New Roman"/>
          <w:color w:val="000000" w:themeColor="text1"/>
          <w14:textFill>
            <w14:solidFill>
              <w14:schemeClr w14:val="tx1"/>
            </w14:solidFill>
          </w14:textFill>
        </w:rPr>
      </w:pPr>
      <w:r>
        <w:rPr>
          <w:rFonts w:ascii="宋体" w:hAnsi="宋体" w:eastAsia="宋体" w:cs="宋体"/>
          <w:color w:val="000000" w:themeColor="text1"/>
          <w:u w:val="single"/>
          <w14:textFill>
            <w14:solidFill>
              <w14:schemeClr w14:val="tx1"/>
            </w14:solidFill>
          </w14:textFill>
        </w:rPr>
        <w:t>   </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年</w:t>
      </w:r>
      <w:r>
        <w:rPr>
          <w:rFonts w:ascii="宋体" w:hAnsi="宋体" w:eastAsia="宋体" w:cs="宋体"/>
          <w:color w:val="000000" w:themeColor="text1"/>
          <w:u w:val="single"/>
          <w14:textFill>
            <w14:solidFill>
              <w14:schemeClr w14:val="tx1"/>
            </w14:solidFill>
          </w14:textFill>
        </w:rPr>
        <w:t>   </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月</w:t>
      </w:r>
      <w:r>
        <w:rPr>
          <w:rFonts w:ascii="宋体" w:hAnsi="宋体" w:eastAsia="宋体" w:cs="宋体"/>
          <w:color w:val="000000" w:themeColor="text1"/>
          <w:u w:val="single"/>
          <w14:textFill>
            <w14:solidFill>
              <w14:schemeClr w14:val="tx1"/>
            </w14:solidFill>
          </w14:textFill>
        </w:rPr>
        <w:t>   </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日</w:t>
      </w:r>
      <w:r>
        <w:rPr>
          <w:rFonts w:ascii="Times New Roman" w:hAnsi="Times New Roman" w:eastAsia="Times New Roman" w:cs="Times New Roman"/>
          <w:color w:val="000000" w:themeColor="text1"/>
          <w14:textFill>
            <w14:solidFill>
              <w14:schemeClr w14:val="tx1"/>
            </w14:solidFill>
          </w14:textFill>
        </w:rPr>
        <w:t xml:space="preserve">                        </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年</w:t>
      </w:r>
      <w:r>
        <w:rPr>
          <w:rFonts w:ascii="宋体" w:hAnsi="宋体" w:eastAsia="宋体" w:cs="宋体"/>
          <w:color w:val="000000" w:themeColor="text1"/>
          <w:u w:val="single"/>
          <w14:textFill>
            <w14:solidFill>
              <w14:schemeClr w14:val="tx1"/>
            </w14:solidFill>
          </w14:textFill>
        </w:rPr>
        <w:t>   </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月</w:t>
      </w:r>
      <w:r>
        <w:rPr>
          <w:rFonts w:ascii="宋体" w:hAnsi="宋体" w:eastAsia="宋体" w:cs="宋体"/>
          <w:color w:val="000000" w:themeColor="text1"/>
          <w:u w:val="single"/>
          <w14:textFill>
            <w14:solidFill>
              <w14:schemeClr w14:val="tx1"/>
            </w14:solidFill>
          </w14:textFill>
        </w:rPr>
        <w:t> </w:t>
      </w:r>
      <w:r>
        <w:rPr>
          <w:rFonts w:ascii="Times New Roman" w:hAnsi="Times New Roman" w:eastAsia="Times New Roman" w:cs="Times New Roman"/>
          <w:color w:val="000000" w:themeColor="text1"/>
          <w:u w:val="single"/>
          <w14:textFill>
            <w14:solidFill>
              <w14:schemeClr w14:val="tx1"/>
            </w14:solidFill>
          </w14:textFill>
        </w:rPr>
        <w:t xml:space="preserve"> </w:t>
      </w:r>
      <w:r>
        <w:rPr>
          <w:rFonts w:ascii="宋体" w:hAnsi="宋体" w:eastAsia="宋体" w:cs="宋体"/>
          <w:color w:val="000000" w:themeColor="text1"/>
          <w14:textFill>
            <w14:solidFill>
              <w14:schemeClr w14:val="tx1"/>
            </w14:solidFill>
          </w14:textFill>
        </w:rPr>
        <w:t>日</w:t>
      </w:r>
    </w:p>
    <w:p>
      <w:pPr>
        <w:ind w:firstLine="321"/>
        <w:jc w:val="center"/>
        <w:rPr>
          <w:rFonts w:ascii="Times New Roman" w:hAnsi="Times New Roman" w:eastAsia="Times New Roman" w:cs="Times New Roman"/>
          <w:b/>
          <w:color w:val="000000" w:themeColor="text1"/>
          <w:sz w:val="32"/>
          <w14:textFill>
            <w14:solidFill>
              <w14:schemeClr w14:val="tx1"/>
            </w14:solidFill>
          </w14:textFill>
        </w:rPr>
      </w:pPr>
    </w:p>
    <w:p>
      <w:pPr>
        <w:ind w:firstLine="420"/>
        <w:jc w:val="left"/>
        <w:rPr>
          <w:rFonts w:ascii="Times New Roman" w:hAnsi="Times New Roman" w:eastAsia="Times New Roman" w:cs="Times New Roman"/>
          <w:color w:val="000000" w:themeColor="text1"/>
          <w:sz w:val="22"/>
          <w14:textFill>
            <w14:solidFill>
              <w14:schemeClr w14:val="tx1"/>
            </w14:solidFill>
          </w14:textFill>
        </w:rPr>
      </w:pPr>
    </w:p>
    <w:sectPr>
      <w:foot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7A22DC-9A17-4BCD-8B28-AAAA351415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7EBCB84-1AA4-4DE7-A691-06EBA53FDCB7}"/>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embedRegular r:id="rId3" w:fontKey="{A38BD3A0-E02C-4B88-BB4C-4E2240B58875}"/>
  </w:font>
  <w:font w:name="仿宋_GB2312">
    <w:altName w:val="仿宋"/>
    <w:panose1 w:val="00000000000000000000"/>
    <w:charset w:val="00"/>
    <w:family w:val="auto"/>
    <w:pitch w:val="default"/>
    <w:sig w:usb0="00000000" w:usb1="00000000" w:usb2="00000000" w:usb3="00000000" w:csb0="00000000" w:csb1="00000000"/>
    <w:embedRegular r:id="rId4" w:fontKey="{5C09D098-77A8-4B28-BFF4-D1C6EEFCC619}"/>
  </w:font>
  <w:font w:name="微软简标宋">
    <w:altName w:val="宋体"/>
    <w:panose1 w:val="00000000000000000000"/>
    <w:charset w:val="00"/>
    <w:family w:val="auto"/>
    <w:pitch w:val="default"/>
    <w:sig w:usb0="00000000" w:usb1="00000000" w:usb2="00000000" w:usb3="00000000" w:csb0="00000000" w:csb1="00000000"/>
    <w:embedRegular r:id="rId5" w:fontKey="{DC6ABE1D-8EC2-40F1-91C3-7177C9837E68}"/>
  </w:font>
  <w:font w:name="Arial">
    <w:panose1 w:val="020B0604020202020204"/>
    <w:charset w:val="00"/>
    <w:family w:val="swiss"/>
    <w:pitch w:val="default"/>
    <w:sig w:usb0="E0002EFF" w:usb1="C000785B" w:usb2="00000009" w:usb3="00000000" w:csb0="400001FF" w:csb1="FFFF0000"/>
    <w:embedRegular r:id="rId6" w:fontKey="{6889B133-0748-4065-9A69-B2FCAB51B717}"/>
  </w:font>
  <w:font w:name="方正小标宋简体">
    <w:altName w:val="方正舒体"/>
    <w:panose1 w:val="00000000000000000000"/>
    <w:charset w:val="86"/>
    <w:family w:val="auto"/>
    <w:pitch w:val="default"/>
    <w:sig w:usb0="00000000" w:usb1="00000000" w:usb2="00000000" w:usb3="00000000" w:csb0="00040000" w:csb1="00000000"/>
    <w:embedRegular r:id="rId7" w:fontKey="{B2D41864-4C74-4D79-A0A8-97EC8992DE88}"/>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4437228"/>
    </w:sdtPr>
    <w:sdtContent>
      <w:p>
        <w:pPr>
          <w:pStyle w:val="9"/>
          <w:jc w:val="center"/>
        </w:pPr>
        <w:r>
          <w:fldChar w:fldCharType="begin"/>
        </w:r>
        <w:r>
          <w:instrText xml:space="preserve">PAGE   \* MERGEFORMAT</w:instrText>
        </w:r>
        <w:r>
          <w:fldChar w:fldCharType="separate"/>
        </w:r>
        <w:r>
          <w:rPr>
            <w:lang w:val="zh-CN"/>
          </w:rPr>
          <w:t>25</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bullet"/>
      <w:lvlText w:val="•"/>
      <w:lvlJc w:val="left"/>
    </w:lvl>
  </w:abstractNum>
  <w:abstractNum w:abstractNumId="1">
    <w:nsid w:val="9288B902"/>
    <w:multiLevelType w:val="singleLevel"/>
    <w:tmpl w:val="9288B902"/>
    <w:lvl w:ilvl="0" w:tentative="0">
      <w:start w:val="1"/>
      <w:numFmt w:val="bullet"/>
      <w:lvlText w:val="•"/>
      <w:lvlJc w:val="left"/>
    </w:lvl>
  </w:abstractNum>
  <w:abstractNum w:abstractNumId="2">
    <w:nsid w:val="9C8AC8EF"/>
    <w:multiLevelType w:val="singleLevel"/>
    <w:tmpl w:val="9C8AC8EF"/>
    <w:lvl w:ilvl="0" w:tentative="0">
      <w:start w:val="1"/>
      <w:numFmt w:val="bullet"/>
      <w:lvlText w:val="•"/>
      <w:lvlJc w:val="left"/>
    </w:lvl>
  </w:abstractNum>
  <w:abstractNum w:abstractNumId="3">
    <w:nsid w:val="B5E306ED"/>
    <w:multiLevelType w:val="singleLevel"/>
    <w:tmpl w:val="B5E306ED"/>
    <w:lvl w:ilvl="0" w:tentative="0">
      <w:start w:val="1"/>
      <w:numFmt w:val="bullet"/>
      <w:lvlText w:val="•"/>
      <w:lvlJc w:val="left"/>
    </w:lvl>
  </w:abstractNum>
  <w:abstractNum w:abstractNumId="4">
    <w:nsid w:val="BF205925"/>
    <w:multiLevelType w:val="singleLevel"/>
    <w:tmpl w:val="BF205925"/>
    <w:lvl w:ilvl="0" w:tentative="0">
      <w:start w:val="1"/>
      <w:numFmt w:val="bullet"/>
      <w:lvlText w:val="•"/>
      <w:lvlJc w:val="left"/>
    </w:lvl>
  </w:abstractNum>
  <w:abstractNum w:abstractNumId="5">
    <w:nsid w:val="C8879AEF"/>
    <w:multiLevelType w:val="singleLevel"/>
    <w:tmpl w:val="C8879AEF"/>
    <w:lvl w:ilvl="0" w:tentative="0">
      <w:start w:val="1"/>
      <w:numFmt w:val="bullet"/>
      <w:lvlText w:val="•"/>
      <w:lvlJc w:val="left"/>
    </w:lvl>
  </w:abstractNum>
  <w:abstractNum w:abstractNumId="6">
    <w:nsid w:val="CF092B84"/>
    <w:multiLevelType w:val="singleLevel"/>
    <w:tmpl w:val="CF092B84"/>
    <w:lvl w:ilvl="0" w:tentative="0">
      <w:start w:val="1"/>
      <w:numFmt w:val="bullet"/>
      <w:lvlText w:val="•"/>
      <w:lvlJc w:val="left"/>
    </w:lvl>
  </w:abstractNum>
  <w:abstractNum w:abstractNumId="7">
    <w:nsid w:val="D7F9FE59"/>
    <w:multiLevelType w:val="singleLevel"/>
    <w:tmpl w:val="D7F9FE59"/>
    <w:lvl w:ilvl="0" w:tentative="0">
      <w:start w:val="1"/>
      <w:numFmt w:val="bullet"/>
      <w:lvlText w:val="•"/>
      <w:lvlJc w:val="left"/>
    </w:lvl>
  </w:abstractNum>
  <w:abstractNum w:abstractNumId="8">
    <w:nsid w:val="DCBA6B53"/>
    <w:multiLevelType w:val="singleLevel"/>
    <w:tmpl w:val="DCBA6B53"/>
    <w:lvl w:ilvl="0" w:tentative="0">
      <w:start w:val="1"/>
      <w:numFmt w:val="bullet"/>
      <w:lvlText w:val="•"/>
      <w:lvlJc w:val="left"/>
    </w:lvl>
  </w:abstractNum>
  <w:abstractNum w:abstractNumId="9">
    <w:nsid w:val="F4B5D9F5"/>
    <w:multiLevelType w:val="singleLevel"/>
    <w:tmpl w:val="F4B5D9F5"/>
    <w:lvl w:ilvl="0" w:tentative="0">
      <w:start w:val="1"/>
      <w:numFmt w:val="bullet"/>
      <w:lvlText w:val="•"/>
      <w:lvlJc w:val="left"/>
    </w:lvl>
  </w:abstractNum>
  <w:abstractNum w:abstractNumId="10">
    <w:nsid w:val="00000018"/>
    <w:multiLevelType w:val="multilevel"/>
    <w:tmpl w:val="00000018"/>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53208E"/>
    <w:multiLevelType w:val="singleLevel"/>
    <w:tmpl w:val="0053208E"/>
    <w:lvl w:ilvl="0" w:tentative="0">
      <w:start w:val="1"/>
      <w:numFmt w:val="bullet"/>
      <w:lvlText w:val="•"/>
      <w:lvlJc w:val="left"/>
    </w:lvl>
  </w:abstractNum>
  <w:abstractNum w:abstractNumId="12">
    <w:nsid w:val="0248C179"/>
    <w:multiLevelType w:val="singleLevel"/>
    <w:tmpl w:val="0248C179"/>
    <w:lvl w:ilvl="0" w:tentative="0">
      <w:start w:val="1"/>
      <w:numFmt w:val="bullet"/>
      <w:lvlText w:val="•"/>
      <w:lvlJc w:val="left"/>
    </w:lvl>
  </w:abstractNum>
  <w:abstractNum w:abstractNumId="13">
    <w:nsid w:val="03D62ECE"/>
    <w:multiLevelType w:val="singleLevel"/>
    <w:tmpl w:val="03D62ECE"/>
    <w:lvl w:ilvl="0" w:tentative="0">
      <w:start w:val="1"/>
      <w:numFmt w:val="bullet"/>
      <w:lvlText w:val="•"/>
      <w:lvlJc w:val="left"/>
    </w:lvl>
  </w:abstractNum>
  <w:abstractNum w:abstractNumId="14">
    <w:nsid w:val="0E640482"/>
    <w:multiLevelType w:val="singleLevel"/>
    <w:tmpl w:val="0E640482"/>
    <w:lvl w:ilvl="0" w:tentative="0">
      <w:start w:val="1"/>
      <w:numFmt w:val="bullet"/>
      <w:lvlText w:val="•"/>
      <w:lvlJc w:val="left"/>
    </w:lvl>
  </w:abstractNum>
  <w:abstractNum w:abstractNumId="15">
    <w:nsid w:val="2470EC97"/>
    <w:multiLevelType w:val="singleLevel"/>
    <w:tmpl w:val="2470EC97"/>
    <w:lvl w:ilvl="0" w:tentative="0">
      <w:start w:val="1"/>
      <w:numFmt w:val="bullet"/>
      <w:lvlText w:val="•"/>
      <w:lvlJc w:val="left"/>
    </w:lvl>
  </w:abstractNum>
  <w:abstractNum w:abstractNumId="16">
    <w:nsid w:val="25B654F3"/>
    <w:multiLevelType w:val="singleLevel"/>
    <w:tmpl w:val="25B654F3"/>
    <w:lvl w:ilvl="0" w:tentative="0">
      <w:start w:val="1"/>
      <w:numFmt w:val="bullet"/>
      <w:lvlText w:val="•"/>
      <w:lvlJc w:val="left"/>
    </w:lvl>
  </w:abstractNum>
  <w:abstractNum w:abstractNumId="17">
    <w:nsid w:val="2A8F537B"/>
    <w:multiLevelType w:val="singleLevel"/>
    <w:tmpl w:val="2A8F537B"/>
    <w:lvl w:ilvl="0" w:tentative="0">
      <w:start w:val="1"/>
      <w:numFmt w:val="bullet"/>
      <w:lvlText w:val="•"/>
      <w:lvlJc w:val="left"/>
    </w:lvl>
  </w:abstractNum>
  <w:abstractNum w:abstractNumId="18">
    <w:nsid w:val="3402490B"/>
    <w:multiLevelType w:val="singleLevel"/>
    <w:tmpl w:val="3402490B"/>
    <w:lvl w:ilvl="0" w:tentative="0">
      <w:start w:val="1"/>
      <w:numFmt w:val="decimal"/>
      <w:lvlText w:val="(%1)"/>
      <w:lvlJc w:val="left"/>
      <w:pPr>
        <w:tabs>
          <w:tab w:val="left" w:pos="312"/>
        </w:tabs>
      </w:pPr>
    </w:lvl>
  </w:abstractNum>
  <w:abstractNum w:abstractNumId="19">
    <w:nsid w:val="39A0D9AC"/>
    <w:multiLevelType w:val="singleLevel"/>
    <w:tmpl w:val="39A0D9AC"/>
    <w:lvl w:ilvl="0" w:tentative="0">
      <w:start w:val="1"/>
      <w:numFmt w:val="bullet"/>
      <w:lvlText w:val="•"/>
      <w:lvlJc w:val="left"/>
    </w:lvl>
  </w:abstractNum>
  <w:abstractNum w:abstractNumId="20">
    <w:nsid w:val="46A08BB8"/>
    <w:multiLevelType w:val="singleLevel"/>
    <w:tmpl w:val="46A08BB8"/>
    <w:lvl w:ilvl="0" w:tentative="0">
      <w:start w:val="1"/>
      <w:numFmt w:val="bullet"/>
      <w:lvlText w:val="•"/>
      <w:lvlJc w:val="left"/>
    </w:lvl>
  </w:abstractNum>
  <w:abstractNum w:abstractNumId="21">
    <w:nsid w:val="4C1BAE26"/>
    <w:multiLevelType w:val="singleLevel"/>
    <w:tmpl w:val="4C1BAE26"/>
    <w:lvl w:ilvl="0" w:tentative="0">
      <w:start w:val="1"/>
      <w:numFmt w:val="bullet"/>
      <w:lvlText w:val="•"/>
      <w:lvlJc w:val="left"/>
    </w:lvl>
  </w:abstractNum>
  <w:abstractNum w:abstractNumId="22">
    <w:nsid w:val="4D4DC07F"/>
    <w:multiLevelType w:val="singleLevel"/>
    <w:tmpl w:val="4D4DC07F"/>
    <w:lvl w:ilvl="0" w:tentative="0">
      <w:start w:val="1"/>
      <w:numFmt w:val="bullet"/>
      <w:lvlText w:val="•"/>
      <w:lvlJc w:val="left"/>
    </w:lvl>
  </w:abstractNum>
  <w:abstractNum w:abstractNumId="23">
    <w:nsid w:val="59ADCABA"/>
    <w:multiLevelType w:val="singleLevel"/>
    <w:tmpl w:val="59ADCABA"/>
    <w:lvl w:ilvl="0" w:tentative="0">
      <w:start w:val="1"/>
      <w:numFmt w:val="bullet"/>
      <w:lvlText w:val="•"/>
      <w:lvlJc w:val="left"/>
    </w:lvl>
  </w:abstractNum>
  <w:abstractNum w:abstractNumId="24">
    <w:nsid w:val="5A241D34"/>
    <w:multiLevelType w:val="singleLevel"/>
    <w:tmpl w:val="5A241D34"/>
    <w:lvl w:ilvl="0" w:tentative="0">
      <w:start w:val="1"/>
      <w:numFmt w:val="bullet"/>
      <w:lvlText w:val="•"/>
      <w:lvlJc w:val="left"/>
    </w:lvl>
  </w:abstractNum>
  <w:abstractNum w:abstractNumId="25">
    <w:nsid w:val="5AF9C553"/>
    <w:multiLevelType w:val="singleLevel"/>
    <w:tmpl w:val="5AF9C553"/>
    <w:lvl w:ilvl="0" w:tentative="0">
      <w:start w:val="2"/>
      <w:numFmt w:val="decimal"/>
      <w:suff w:val="nothing"/>
      <w:lvlText w:val="%1、"/>
      <w:lvlJc w:val="left"/>
    </w:lvl>
  </w:abstractNum>
  <w:abstractNum w:abstractNumId="26">
    <w:nsid w:val="60382F6E"/>
    <w:multiLevelType w:val="singleLevel"/>
    <w:tmpl w:val="60382F6E"/>
    <w:lvl w:ilvl="0" w:tentative="0">
      <w:start w:val="1"/>
      <w:numFmt w:val="bullet"/>
      <w:lvlText w:val="•"/>
      <w:lvlJc w:val="left"/>
    </w:lvl>
  </w:abstractNum>
  <w:abstractNum w:abstractNumId="27">
    <w:nsid w:val="72183CF9"/>
    <w:multiLevelType w:val="singleLevel"/>
    <w:tmpl w:val="72183CF9"/>
    <w:lvl w:ilvl="0" w:tentative="0">
      <w:start w:val="1"/>
      <w:numFmt w:val="bullet"/>
      <w:lvlText w:val="•"/>
      <w:lvlJc w:val="left"/>
    </w:lvl>
  </w:abstractNum>
  <w:abstractNum w:abstractNumId="28">
    <w:nsid w:val="77ECEA79"/>
    <w:multiLevelType w:val="singleLevel"/>
    <w:tmpl w:val="77ECEA79"/>
    <w:lvl w:ilvl="0" w:tentative="0">
      <w:start w:val="1"/>
      <w:numFmt w:val="decimal"/>
      <w:lvlText w:val="%1."/>
      <w:lvlJc w:val="left"/>
    </w:lvl>
  </w:abstractNum>
  <w:num w:numId="1">
    <w:abstractNumId w:val="11"/>
  </w:num>
  <w:num w:numId="2">
    <w:abstractNumId w:val="6"/>
  </w:num>
  <w:num w:numId="3">
    <w:abstractNumId w:val="23"/>
  </w:num>
  <w:num w:numId="4">
    <w:abstractNumId w:val="4"/>
  </w:num>
  <w:num w:numId="5">
    <w:abstractNumId w:val="3"/>
  </w:num>
  <w:num w:numId="6">
    <w:abstractNumId w:val="13"/>
  </w:num>
  <w:num w:numId="7">
    <w:abstractNumId w:val="16"/>
  </w:num>
  <w:num w:numId="8">
    <w:abstractNumId w:val="27"/>
  </w:num>
  <w:num w:numId="9">
    <w:abstractNumId w:val="12"/>
  </w:num>
  <w:num w:numId="10">
    <w:abstractNumId w:val="0"/>
  </w:num>
  <w:num w:numId="11">
    <w:abstractNumId w:val="17"/>
  </w:num>
  <w:num w:numId="12">
    <w:abstractNumId w:val="24"/>
  </w:num>
  <w:num w:numId="13">
    <w:abstractNumId w:val="5"/>
  </w:num>
  <w:num w:numId="14">
    <w:abstractNumId w:val="22"/>
  </w:num>
  <w:num w:numId="15">
    <w:abstractNumId w:val="9"/>
  </w:num>
  <w:num w:numId="16">
    <w:abstractNumId w:val="15"/>
  </w:num>
  <w:num w:numId="17">
    <w:abstractNumId w:val="8"/>
  </w:num>
  <w:num w:numId="18">
    <w:abstractNumId w:val="7"/>
  </w:num>
  <w:num w:numId="19">
    <w:abstractNumId w:val="2"/>
  </w:num>
  <w:num w:numId="20">
    <w:abstractNumId w:val="21"/>
  </w:num>
  <w:num w:numId="21">
    <w:abstractNumId w:val="26"/>
  </w:num>
  <w:num w:numId="22">
    <w:abstractNumId w:val="14"/>
  </w:num>
  <w:num w:numId="23">
    <w:abstractNumId w:val="20"/>
  </w:num>
  <w:num w:numId="24">
    <w:abstractNumId w:val="25"/>
  </w:num>
  <w:num w:numId="25">
    <w:abstractNumId w:val="10"/>
  </w:num>
  <w:num w:numId="26">
    <w:abstractNumId w:val="18"/>
  </w:num>
  <w:num w:numId="27">
    <w:abstractNumId w:val="28"/>
  </w:num>
  <w:num w:numId="28">
    <w:abstractNumId w:val="1"/>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OTQ5NGFmNGFjMTAwMjZiODlhMzA0ZTU0NWNjMTYifQ=="/>
  </w:docVars>
  <w:rsids>
    <w:rsidRoot w:val="00366F3C"/>
    <w:rsid w:val="00005922"/>
    <w:rsid w:val="000138B1"/>
    <w:rsid w:val="000243A4"/>
    <w:rsid w:val="00045768"/>
    <w:rsid w:val="00051681"/>
    <w:rsid w:val="0006497B"/>
    <w:rsid w:val="00073DCF"/>
    <w:rsid w:val="000C1A27"/>
    <w:rsid w:val="000D3D5F"/>
    <w:rsid w:val="000E0B45"/>
    <w:rsid w:val="000E377D"/>
    <w:rsid w:val="0010751E"/>
    <w:rsid w:val="00130996"/>
    <w:rsid w:val="00134240"/>
    <w:rsid w:val="001650A6"/>
    <w:rsid w:val="00174971"/>
    <w:rsid w:val="0018031F"/>
    <w:rsid w:val="001A5236"/>
    <w:rsid w:val="001C4FA7"/>
    <w:rsid w:val="001D6778"/>
    <w:rsid w:val="002121E9"/>
    <w:rsid w:val="0023116A"/>
    <w:rsid w:val="00246537"/>
    <w:rsid w:val="00246F85"/>
    <w:rsid w:val="002F436F"/>
    <w:rsid w:val="00317007"/>
    <w:rsid w:val="00317FBC"/>
    <w:rsid w:val="00366F3C"/>
    <w:rsid w:val="0039312D"/>
    <w:rsid w:val="003B59F0"/>
    <w:rsid w:val="003C0D39"/>
    <w:rsid w:val="003D3F05"/>
    <w:rsid w:val="003E3F90"/>
    <w:rsid w:val="003F211B"/>
    <w:rsid w:val="003F2348"/>
    <w:rsid w:val="00417E6B"/>
    <w:rsid w:val="00433AFB"/>
    <w:rsid w:val="004346DC"/>
    <w:rsid w:val="0045085D"/>
    <w:rsid w:val="0046111A"/>
    <w:rsid w:val="004613ED"/>
    <w:rsid w:val="004709D8"/>
    <w:rsid w:val="00480C76"/>
    <w:rsid w:val="004A6927"/>
    <w:rsid w:val="004B5FE5"/>
    <w:rsid w:val="004B73F4"/>
    <w:rsid w:val="004F016A"/>
    <w:rsid w:val="00500001"/>
    <w:rsid w:val="00503F16"/>
    <w:rsid w:val="00531D53"/>
    <w:rsid w:val="00540489"/>
    <w:rsid w:val="005505F3"/>
    <w:rsid w:val="00577E8B"/>
    <w:rsid w:val="005C511F"/>
    <w:rsid w:val="005E2A7D"/>
    <w:rsid w:val="005E5CB8"/>
    <w:rsid w:val="0060239C"/>
    <w:rsid w:val="00634C31"/>
    <w:rsid w:val="00667421"/>
    <w:rsid w:val="0068088B"/>
    <w:rsid w:val="00682EA3"/>
    <w:rsid w:val="006B76C1"/>
    <w:rsid w:val="006D0F70"/>
    <w:rsid w:val="006D1270"/>
    <w:rsid w:val="006D3C00"/>
    <w:rsid w:val="006D67F4"/>
    <w:rsid w:val="006F1A94"/>
    <w:rsid w:val="007170F1"/>
    <w:rsid w:val="00734417"/>
    <w:rsid w:val="00773D6C"/>
    <w:rsid w:val="007B562C"/>
    <w:rsid w:val="007C4F36"/>
    <w:rsid w:val="007E478F"/>
    <w:rsid w:val="007E631C"/>
    <w:rsid w:val="00801A4F"/>
    <w:rsid w:val="0083551A"/>
    <w:rsid w:val="008813CF"/>
    <w:rsid w:val="00881E1B"/>
    <w:rsid w:val="00894133"/>
    <w:rsid w:val="008964B2"/>
    <w:rsid w:val="00896BE9"/>
    <w:rsid w:val="008B75E8"/>
    <w:rsid w:val="008C3007"/>
    <w:rsid w:val="008C7930"/>
    <w:rsid w:val="00925457"/>
    <w:rsid w:val="00925E5E"/>
    <w:rsid w:val="0094535D"/>
    <w:rsid w:val="00954D26"/>
    <w:rsid w:val="00972D66"/>
    <w:rsid w:val="009A4058"/>
    <w:rsid w:val="009A5BB4"/>
    <w:rsid w:val="009F66CE"/>
    <w:rsid w:val="00A022B4"/>
    <w:rsid w:val="00A17804"/>
    <w:rsid w:val="00A373D9"/>
    <w:rsid w:val="00A55069"/>
    <w:rsid w:val="00A56429"/>
    <w:rsid w:val="00A62854"/>
    <w:rsid w:val="00A6297F"/>
    <w:rsid w:val="00A63D4F"/>
    <w:rsid w:val="00A675AE"/>
    <w:rsid w:val="00A975CD"/>
    <w:rsid w:val="00AC1FDB"/>
    <w:rsid w:val="00AD5DDF"/>
    <w:rsid w:val="00AD6121"/>
    <w:rsid w:val="00AE21BA"/>
    <w:rsid w:val="00AF2810"/>
    <w:rsid w:val="00B06EEC"/>
    <w:rsid w:val="00B15F68"/>
    <w:rsid w:val="00B238DA"/>
    <w:rsid w:val="00B2784D"/>
    <w:rsid w:val="00B35B44"/>
    <w:rsid w:val="00B47EA0"/>
    <w:rsid w:val="00B643E6"/>
    <w:rsid w:val="00BE4A2D"/>
    <w:rsid w:val="00BE63E9"/>
    <w:rsid w:val="00BF587A"/>
    <w:rsid w:val="00C014FE"/>
    <w:rsid w:val="00C01E81"/>
    <w:rsid w:val="00C0380E"/>
    <w:rsid w:val="00C10B9E"/>
    <w:rsid w:val="00C15810"/>
    <w:rsid w:val="00C23FB9"/>
    <w:rsid w:val="00C31FE4"/>
    <w:rsid w:val="00C33D11"/>
    <w:rsid w:val="00C42A57"/>
    <w:rsid w:val="00C47651"/>
    <w:rsid w:val="00C700AC"/>
    <w:rsid w:val="00C859EE"/>
    <w:rsid w:val="00C90A4C"/>
    <w:rsid w:val="00C94D30"/>
    <w:rsid w:val="00C97A38"/>
    <w:rsid w:val="00CA5DD4"/>
    <w:rsid w:val="00CA6640"/>
    <w:rsid w:val="00CA704D"/>
    <w:rsid w:val="00CE017A"/>
    <w:rsid w:val="00CF2C64"/>
    <w:rsid w:val="00D20546"/>
    <w:rsid w:val="00D24B5E"/>
    <w:rsid w:val="00D26B19"/>
    <w:rsid w:val="00D566A1"/>
    <w:rsid w:val="00D71C3E"/>
    <w:rsid w:val="00D75377"/>
    <w:rsid w:val="00D8345A"/>
    <w:rsid w:val="00D9747D"/>
    <w:rsid w:val="00DB70B4"/>
    <w:rsid w:val="00DC2D63"/>
    <w:rsid w:val="00DE0944"/>
    <w:rsid w:val="00DE121A"/>
    <w:rsid w:val="00DE7713"/>
    <w:rsid w:val="00DF152A"/>
    <w:rsid w:val="00DF4171"/>
    <w:rsid w:val="00E04AF2"/>
    <w:rsid w:val="00E20630"/>
    <w:rsid w:val="00E27351"/>
    <w:rsid w:val="00E33BA2"/>
    <w:rsid w:val="00E37BFB"/>
    <w:rsid w:val="00E6654C"/>
    <w:rsid w:val="00E70BF4"/>
    <w:rsid w:val="00E855B3"/>
    <w:rsid w:val="00EF12E7"/>
    <w:rsid w:val="00F03CB3"/>
    <w:rsid w:val="00F131FE"/>
    <w:rsid w:val="00F211E2"/>
    <w:rsid w:val="00FA5301"/>
    <w:rsid w:val="00FC024A"/>
    <w:rsid w:val="00FC1AAA"/>
    <w:rsid w:val="00FC4BF1"/>
    <w:rsid w:val="04640B52"/>
    <w:rsid w:val="05A5591B"/>
    <w:rsid w:val="0AC769A1"/>
    <w:rsid w:val="0C4A0F50"/>
    <w:rsid w:val="108A45B4"/>
    <w:rsid w:val="1484072D"/>
    <w:rsid w:val="190A277E"/>
    <w:rsid w:val="1F35597B"/>
    <w:rsid w:val="234E7C63"/>
    <w:rsid w:val="24E94D75"/>
    <w:rsid w:val="2C6047C5"/>
    <w:rsid w:val="2CBB5CE4"/>
    <w:rsid w:val="3436271A"/>
    <w:rsid w:val="3A654B5F"/>
    <w:rsid w:val="3B0A71ED"/>
    <w:rsid w:val="44C30432"/>
    <w:rsid w:val="556E0D50"/>
    <w:rsid w:val="5D0128BF"/>
    <w:rsid w:val="624B5761"/>
    <w:rsid w:val="63D70E99"/>
    <w:rsid w:val="747C5A5B"/>
    <w:rsid w:val="74992CD1"/>
    <w:rsid w:val="7C185920"/>
    <w:rsid w:val="7F427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8"/>
    <w:semiHidden/>
    <w:unhideWhenUsed/>
    <w:qFormat/>
    <w:uiPriority w:val="0"/>
    <w:pPr>
      <w:keepNext/>
      <w:keepLines/>
      <w:spacing w:before="260" w:after="260" w:line="416" w:lineRule="auto"/>
      <w:outlineLvl w:val="2"/>
    </w:pPr>
    <w:rPr>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rPr>
      <w:rFonts w:ascii="Cambria" w:hAnsi="Cambria" w:eastAsia="黑体"/>
      <w:sz w:val="20"/>
    </w:rPr>
  </w:style>
  <w:style w:type="paragraph" w:styleId="6">
    <w:name w:val="List 2"/>
    <w:basedOn w:val="1"/>
    <w:qFormat/>
    <w:uiPriority w:val="0"/>
    <w:pPr>
      <w:ind w:left="400" w:leftChars="200" w:hanging="200" w:hangingChars="200"/>
    </w:pPr>
    <w:rPr>
      <w:rFonts w:ascii="Times New Roman" w:hAnsi="Times New Roman" w:eastAsia="宋体" w:cs="Times New Roman"/>
      <w:kern w:val="2"/>
      <w:szCs w:val="24"/>
    </w:rPr>
  </w:style>
  <w:style w:type="paragraph" w:styleId="7">
    <w:name w:val="Plain Text"/>
    <w:basedOn w:val="1"/>
    <w:link w:val="64"/>
    <w:autoRedefine/>
    <w:qFormat/>
    <w:uiPriority w:val="0"/>
    <w:pPr>
      <w:autoSpaceDE w:val="0"/>
      <w:autoSpaceDN w:val="0"/>
      <w:jc w:val="left"/>
    </w:pPr>
    <w:rPr>
      <w:rFonts w:ascii="宋体" w:hAnsi="Courier New"/>
      <w:sz w:val="22"/>
      <w:lang w:val="zh-CN" w:bidi="zh-CN"/>
    </w:rPr>
  </w:style>
  <w:style w:type="paragraph" w:styleId="8">
    <w:name w:val="Balloon Text"/>
    <w:basedOn w:val="1"/>
    <w:link w:val="66"/>
    <w:qFormat/>
    <w:uiPriority w:val="0"/>
    <w:rPr>
      <w:sz w:val="18"/>
      <w:szCs w:val="18"/>
    </w:rPr>
  </w:style>
  <w:style w:type="paragraph" w:styleId="9">
    <w:name w:val="footer"/>
    <w:basedOn w:val="1"/>
    <w:link w:val="58"/>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autoRedefine/>
    <w:qFormat/>
    <w:uiPriority w:val="99"/>
    <w:pPr>
      <w:widowControl/>
      <w:spacing w:before="100" w:beforeAutospacing="1" w:after="100" w:afterAutospacing="1"/>
      <w:jc w:val="left"/>
    </w:pPr>
    <w:rPr>
      <w:rFonts w:ascii="宋体" w:hAnsi="宋体"/>
      <w:sz w:val="24"/>
      <w:szCs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22"/>
    <w:rPr>
      <w:b/>
      <w:bCs/>
    </w:rPr>
  </w:style>
  <w:style w:type="character" w:styleId="18">
    <w:name w:val="FollowedHyperlink"/>
    <w:basedOn w:val="16"/>
    <w:unhideWhenUsed/>
    <w:qFormat/>
    <w:uiPriority w:val="99"/>
    <w:rPr>
      <w:color w:val="800080"/>
      <w:u w:val="single"/>
    </w:rPr>
  </w:style>
  <w:style w:type="character" w:styleId="19">
    <w:name w:val="Hyperlink"/>
    <w:basedOn w:val="16"/>
    <w:unhideWhenUsed/>
    <w:qFormat/>
    <w:uiPriority w:val="99"/>
    <w:rPr>
      <w:color w:val="0000FF"/>
      <w:u w:val="single"/>
    </w:rPr>
  </w:style>
  <w:style w:type="paragraph" w:customStyle="1" w:styleId="20">
    <w:name w:val="BodyText1I"/>
    <w:basedOn w:val="21"/>
    <w:qFormat/>
    <w:uiPriority w:val="99"/>
    <w:pPr>
      <w:ind w:firstLine="420" w:firstLineChars="100"/>
    </w:pPr>
  </w:style>
  <w:style w:type="paragraph" w:customStyle="1" w:styleId="21">
    <w:name w:val="BodyText"/>
    <w:basedOn w:val="1"/>
    <w:qFormat/>
    <w:uiPriority w:val="99"/>
    <w:pPr>
      <w:spacing w:after="120"/>
    </w:pPr>
  </w:style>
  <w:style w:type="paragraph" w:customStyle="1" w:styleId="22">
    <w:name w:val="无间隔1"/>
    <w:next w:val="5"/>
    <w:qFormat/>
    <w:uiPriority w:val="0"/>
    <w:pPr>
      <w:widowControl w:val="0"/>
      <w:jc w:val="both"/>
    </w:pPr>
    <w:rPr>
      <w:rFonts w:ascii="Calibri" w:hAnsi="Calibri" w:eastAsia="宋体" w:cs="Times New Roman"/>
      <w:kern w:val="2"/>
      <w:sz w:val="21"/>
      <w:szCs w:val="22"/>
      <w:lang w:val="en-US" w:eastAsia="zh-CN" w:bidi="ar-SA"/>
    </w:rPr>
  </w:style>
  <w:style w:type="paragraph" w:styleId="23">
    <w:name w:val="List Paragraph"/>
    <w:basedOn w:val="1"/>
    <w:qFormat/>
    <w:uiPriority w:val="34"/>
    <w:pPr>
      <w:ind w:firstLine="420" w:firstLineChars="200"/>
    </w:pPr>
  </w:style>
  <w:style w:type="paragraph" w:styleId="24">
    <w:name w:val="No Spacing"/>
    <w:qFormat/>
    <w:uiPriority w:val="1"/>
    <w:pPr>
      <w:widowControl w:val="0"/>
      <w:jc w:val="both"/>
    </w:pPr>
    <w:rPr>
      <w:rFonts w:eastAsia="仿宋" w:asciiTheme="minorHAnsi" w:hAnsiTheme="minorHAnsi" w:cstheme="minorBidi"/>
      <w:kern w:val="2"/>
      <w:sz w:val="21"/>
      <w:szCs w:val="22"/>
      <w:lang w:val="en-US" w:eastAsia="zh-CN" w:bidi="ar-SA"/>
    </w:rPr>
  </w:style>
  <w:style w:type="paragraph" w:customStyle="1" w:styleId="25">
    <w:name w:val="msonormal"/>
    <w:basedOn w:val="1"/>
    <w:qFormat/>
    <w:uiPriority w:val="0"/>
    <w:pPr>
      <w:widowControl/>
      <w:spacing w:before="100" w:beforeAutospacing="1" w:after="100" w:afterAutospacing="1"/>
      <w:jc w:val="left"/>
    </w:pPr>
    <w:rPr>
      <w:rFonts w:ascii="宋体" w:hAnsi="宋体" w:eastAsia="宋体" w:cs="宋体"/>
      <w:sz w:val="24"/>
      <w:szCs w:val="24"/>
    </w:rPr>
  </w:style>
  <w:style w:type="paragraph" w:customStyle="1" w:styleId="26">
    <w:name w:val="font5"/>
    <w:basedOn w:val="1"/>
    <w:uiPriority w:val="0"/>
    <w:pPr>
      <w:widowControl/>
      <w:spacing w:before="100" w:beforeAutospacing="1" w:after="100" w:afterAutospacing="1"/>
      <w:jc w:val="left"/>
    </w:pPr>
    <w:rPr>
      <w:rFonts w:ascii="宋体" w:hAnsi="宋体" w:eastAsia="宋体" w:cs="宋体"/>
      <w:sz w:val="18"/>
      <w:szCs w:val="18"/>
    </w:rPr>
  </w:style>
  <w:style w:type="paragraph" w:customStyle="1" w:styleId="27">
    <w:name w:val="font6"/>
    <w:basedOn w:val="1"/>
    <w:uiPriority w:val="0"/>
    <w:pPr>
      <w:widowControl/>
      <w:spacing w:before="100" w:beforeAutospacing="1" w:after="100" w:afterAutospacing="1"/>
      <w:jc w:val="left"/>
    </w:pPr>
    <w:rPr>
      <w:rFonts w:ascii="宋体" w:hAnsi="宋体" w:eastAsia="宋体" w:cs="宋体"/>
      <w:sz w:val="20"/>
      <w:szCs w:val="20"/>
    </w:rPr>
  </w:style>
  <w:style w:type="paragraph" w:customStyle="1" w:styleId="28">
    <w:name w:val="font7"/>
    <w:basedOn w:val="1"/>
    <w:uiPriority w:val="0"/>
    <w:pPr>
      <w:widowControl/>
      <w:spacing w:before="100" w:beforeAutospacing="1" w:after="100" w:afterAutospacing="1"/>
      <w:jc w:val="left"/>
    </w:pPr>
    <w:rPr>
      <w:rFonts w:ascii="宋体" w:hAnsi="宋体" w:eastAsia="宋体" w:cs="宋体"/>
      <w:sz w:val="20"/>
      <w:szCs w:val="20"/>
    </w:rPr>
  </w:style>
  <w:style w:type="paragraph" w:customStyle="1" w:styleId="29">
    <w:name w:val="xl310"/>
    <w:basedOn w:val="1"/>
    <w:uiPriority w:val="0"/>
    <w:pPr>
      <w:widowControl/>
      <w:spacing w:before="100" w:beforeAutospacing="1" w:after="100" w:afterAutospacing="1"/>
      <w:jc w:val="center"/>
    </w:pPr>
    <w:rPr>
      <w:rFonts w:ascii="宋体" w:hAnsi="宋体" w:eastAsia="宋体" w:cs="宋体"/>
      <w:sz w:val="20"/>
      <w:szCs w:val="20"/>
    </w:rPr>
  </w:style>
  <w:style w:type="paragraph" w:customStyle="1" w:styleId="30">
    <w:name w:val="xl311"/>
    <w:basedOn w:val="1"/>
    <w:uiPriority w:val="0"/>
    <w:pPr>
      <w:widowControl/>
      <w:spacing w:before="100" w:beforeAutospacing="1" w:after="100" w:afterAutospacing="1"/>
      <w:jc w:val="center"/>
      <w:textAlignment w:val="bottom"/>
    </w:pPr>
    <w:rPr>
      <w:rFonts w:ascii="宋体" w:hAnsi="宋体" w:eastAsia="宋体" w:cs="宋体"/>
      <w:sz w:val="20"/>
      <w:szCs w:val="20"/>
    </w:rPr>
  </w:style>
  <w:style w:type="paragraph" w:customStyle="1" w:styleId="31">
    <w:name w:val="xl312"/>
    <w:basedOn w:val="1"/>
    <w:uiPriority w:val="0"/>
    <w:pPr>
      <w:widowControl/>
      <w:spacing w:before="100" w:beforeAutospacing="1" w:after="100" w:afterAutospacing="1"/>
      <w:jc w:val="left"/>
      <w:textAlignment w:val="bottom"/>
    </w:pPr>
    <w:rPr>
      <w:rFonts w:ascii="宋体" w:hAnsi="宋体" w:eastAsia="宋体" w:cs="宋体"/>
      <w:sz w:val="20"/>
      <w:szCs w:val="20"/>
    </w:rPr>
  </w:style>
  <w:style w:type="paragraph" w:customStyle="1" w:styleId="32">
    <w:name w:val="xl3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20"/>
      <w:szCs w:val="20"/>
    </w:rPr>
  </w:style>
  <w:style w:type="paragraph" w:customStyle="1" w:styleId="33">
    <w:name w:val="xl3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z w:val="20"/>
      <w:szCs w:val="20"/>
    </w:rPr>
  </w:style>
  <w:style w:type="paragraph" w:customStyle="1" w:styleId="34">
    <w:name w:val="xl3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20"/>
      <w:szCs w:val="20"/>
    </w:rPr>
  </w:style>
  <w:style w:type="paragraph" w:customStyle="1" w:styleId="35">
    <w:name w:val="xl3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z w:val="20"/>
      <w:szCs w:val="20"/>
    </w:rPr>
  </w:style>
  <w:style w:type="paragraph" w:customStyle="1" w:styleId="36">
    <w:name w:val="xl3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37">
    <w:name w:val="xl3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38">
    <w:name w:val="xl3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z w:val="20"/>
      <w:szCs w:val="20"/>
    </w:rPr>
  </w:style>
  <w:style w:type="paragraph" w:customStyle="1" w:styleId="39">
    <w:name w:val="xl3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40">
    <w:name w:val="xl3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41">
    <w:name w:val="xl3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42">
    <w:name w:val="xl3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z w:val="20"/>
      <w:szCs w:val="20"/>
    </w:rPr>
  </w:style>
  <w:style w:type="paragraph" w:customStyle="1" w:styleId="43">
    <w:name w:val="xl3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44">
    <w:name w:val="xl3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z w:val="20"/>
      <w:szCs w:val="20"/>
    </w:rPr>
  </w:style>
  <w:style w:type="paragraph" w:customStyle="1" w:styleId="45">
    <w:name w:val="xl3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z w:val="20"/>
      <w:szCs w:val="20"/>
    </w:rPr>
  </w:style>
  <w:style w:type="paragraph" w:customStyle="1" w:styleId="46">
    <w:name w:val="xl3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47">
    <w:name w:val="xl3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z w:val="20"/>
      <w:szCs w:val="20"/>
    </w:rPr>
  </w:style>
  <w:style w:type="paragraph" w:customStyle="1" w:styleId="48">
    <w:name w:val="xl3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49">
    <w:name w:val="xl3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z w:val="20"/>
      <w:szCs w:val="20"/>
    </w:rPr>
  </w:style>
  <w:style w:type="paragraph" w:customStyle="1" w:styleId="50">
    <w:name w:val="xl3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51">
    <w:name w:val="xl3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52">
    <w:name w:val="xl3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z w:val="20"/>
      <w:szCs w:val="20"/>
    </w:rPr>
  </w:style>
  <w:style w:type="paragraph" w:customStyle="1" w:styleId="53">
    <w:name w:val="xl3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paragraph" w:customStyle="1" w:styleId="54">
    <w:name w:val="xl3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z w:val="20"/>
      <w:szCs w:val="20"/>
    </w:rPr>
  </w:style>
  <w:style w:type="paragraph" w:customStyle="1" w:styleId="55">
    <w:name w:val="xl3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20"/>
      <w:szCs w:val="20"/>
    </w:rPr>
  </w:style>
  <w:style w:type="character" w:customStyle="1" w:styleId="56">
    <w:name w:val="标题 1 Char"/>
    <w:basedOn w:val="16"/>
    <w:link w:val="2"/>
    <w:qFormat/>
    <w:uiPriority w:val="0"/>
    <w:rPr>
      <w:b/>
      <w:bCs/>
      <w:kern w:val="44"/>
      <w:sz w:val="44"/>
      <w:szCs w:val="44"/>
    </w:rPr>
  </w:style>
  <w:style w:type="character" w:customStyle="1" w:styleId="57">
    <w:name w:val="标题 2 Char"/>
    <w:basedOn w:val="16"/>
    <w:link w:val="3"/>
    <w:qFormat/>
    <w:uiPriority w:val="0"/>
    <w:rPr>
      <w:rFonts w:asciiTheme="majorHAnsi" w:hAnsiTheme="majorHAnsi" w:eastAsiaTheme="majorEastAsia" w:cstheme="majorBidi"/>
      <w:b/>
      <w:bCs/>
      <w:sz w:val="32"/>
      <w:szCs w:val="32"/>
    </w:rPr>
  </w:style>
  <w:style w:type="character" w:customStyle="1" w:styleId="58">
    <w:name w:val="页脚 Char"/>
    <w:basedOn w:val="16"/>
    <w:link w:val="9"/>
    <w:qFormat/>
    <w:uiPriority w:val="99"/>
    <w:rPr>
      <w:sz w:val="18"/>
      <w:szCs w:val="22"/>
    </w:rPr>
  </w:style>
  <w:style w:type="paragraph" w:customStyle="1" w:styleId="59">
    <w:name w:val="xl3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z w:val="20"/>
      <w:szCs w:val="20"/>
    </w:rPr>
  </w:style>
  <w:style w:type="paragraph" w:customStyle="1" w:styleId="60">
    <w:name w:val="xl33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sz w:val="20"/>
      <w:szCs w:val="20"/>
    </w:rPr>
  </w:style>
  <w:style w:type="paragraph" w:customStyle="1" w:styleId="61">
    <w:name w:val="xl3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sz w:val="20"/>
      <w:szCs w:val="20"/>
    </w:rPr>
  </w:style>
  <w:style w:type="paragraph" w:customStyle="1" w:styleId="62">
    <w:name w:val="xl340"/>
    <w:basedOn w:val="1"/>
    <w:qFormat/>
    <w:uiPriority w:val="0"/>
    <w:pPr>
      <w:widowControl/>
      <w:pBdr>
        <w:bottom w:val="single" w:color="auto" w:sz="4" w:space="0"/>
      </w:pBdr>
      <w:spacing w:before="100" w:beforeAutospacing="1" w:after="100" w:afterAutospacing="1"/>
      <w:jc w:val="left"/>
    </w:pPr>
    <w:rPr>
      <w:rFonts w:ascii="宋体" w:hAnsi="宋体" w:eastAsia="宋体" w:cs="宋体"/>
      <w:b/>
      <w:bCs/>
      <w:sz w:val="20"/>
      <w:szCs w:val="20"/>
    </w:rPr>
  </w:style>
  <w:style w:type="paragraph" w:customStyle="1" w:styleId="63">
    <w:name w:val="xl3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z w:val="20"/>
      <w:szCs w:val="20"/>
    </w:rPr>
  </w:style>
  <w:style w:type="character" w:customStyle="1" w:styleId="64">
    <w:name w:val="纯文本 Char"/>
    <w:basedOn w:val="16"/>
    <w:link w:val="7"/>
    <w:qFormat/>
    <w:uiPriority w:val="0"/>
    <w:rPr>
      <w:rFonts w:ascii="宋体" w:hAnsi="Courier New"/>
      <w:sz w:val="22"/>
      <w:szCs w:val="22"/>
      <w:lang w:val="zh-CN" w:bidi="zh-CN"/>
    </w:rPr>
  </w:style>
  <w:style w:type="paragraph" w:customStyle="1" w:styleId="6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66">
    <w:name w:val="批注框文本 Char"/>
    <w:basedOn w:val="16"/>
    <w:link w:val="8"/>
    <w:qFormat/>
    <w:uiPriority w:val="0"/>
    <w:rPr>
      <w:sz w:val="18"/>
      <w:szCs w:val="18"/>
    </w:rPr>
  </w:style>
  <w:style w:type="paragraph" w:customStyle="1" w:styleId="67">
    <w:name w:val="正文1"/>
    <w:basedOn w:val="1"/>
    <w:qFormat/>
    <w:uiPriority w:val="0"/>
    <w:pPr>
      <w:widowControl/>
      <w:topLinePunct/>
      <w:spacing w:beforeLines="50" w:afterLines="50" w:line="300" w:lineRule="auto"/>
      <w:ind w:left="420"/>
    </w:pPr>
    <w:rPr>
      <w:rFonts w:ascii="Times New Roman" w:hAnsi="Times New Roman" w:eastAsia="宋体" w:cs="Times New Roman"/>
      <w:kern w:val="2"/>
      <w:szCs w:val="24"/>
    </w:rPr>
  </w:style>
  <w:style w:type="character" w:customStyle="1" w:styleId="68">
    <w:name w:val="标题 3 Char"/>
    <w:basedOn w:val="16"/>
    <w:link w:val="4"/>
    <w:semiHidden/>
    <w:qFormat/>
    <w:uiPriority w:val="0"/>
    <w:rPr>
      <w:b/>
      <w:bCs/>
      <w:sz w:val="32"/>
      <w:szCs w:val="32"/>
    </w:rPr>
  </w:style>
  <w:style w:type="paragraph" w:customStyle="1" w:styleId="6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B9FE2-B73A-44B9-B3D6-3CBB6B88FDC2}">
  <ds:schemaRefs/>
</ds:datastoreItem>
</file>

<file path=docProps/app.xml><?xml version="1.0" encoding="utf-8"?>
<Properties xmlns="http://schemas.openxmlformats.org/officeDocument/2006/extended-properties" xmlns:vt="http://schemas.openxmlformats.org/officeDocument/2006/docPropsVTypes">
  <Template>Normal</Template>
  <Pages>56</Pages>
  <Words>23286</Words>
  <Characters>5066</Characters>
  <Lines>42</Lines>
  <Paragraphs>56</Paragraphs>
  <TotalTime>51</TotalTime>
  <ScaleCrop>false</ScaleCrop>
  <LinksUpToDate>false</LinksUpToDate>
  <CharactersWithSpaces>28296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2021-12-14T13:31:00Z</dcterms:created>
  <dc:creator>Administrator</dc:creator>
  <cp:lastModifiedBy>张光</cp:lastModifiedBy>
  <dcterms:modified xsi:type="dcterms:W3CDTF">2024-04-23T03:30:37Z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5F139DA8EEC94513B403CACBF5B82647_13</vt:lpwstr>
  </property>
</Properties>
</file>