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1700" w:lineRule="exact"/>
        <w:jc w:val="center"/>
        <w:rPr>
          <w:rFonts w:ascii="Arial Black" w:hAnsi="Arial Black" w:eastAsia="黑体"/>
          <w:b/>
          <w:color w:val="000000" w:themeColor="text1"/>
          <w:spacing w:val="36"/>
          <w:sz w:val="52"/>
          <w:szCs w:val="52"/>
          <w14:textFill>
            <w14:solidFill>
              <w14:schemeClr w14:val="tx1"/>
            </w14:solidFill>
          </w14:textFill>
        </w:rPr>
      </w:pPr>
      <w:r>
        <w:rPr>
          <w:rFonts w:hint="eastAsia" w:ascii="Arial Black" w:hAnsi="Arial Black" w:eastAsia="黑体"/>
          <w:b/>
          <w:bCs/>
          <w:color w:val="000000" w:themeColor="text1"/>
          <w:spacing w:val="36"/>
          <w:sz w:val="52"/>
          <w:szCs w:val="52"/>
          <w14:textFill>
            <w14:solidFill>
              <w14:schemeClr w14:val="tx1"/>
            </w14:solidFill>
          </w14:textFill>
        </w:rPr>
        <w:t>周口市公共资源交易中心</w:t>
      </w:r>
    </w:p>
    <w:p>
      <w:pPr>
        <w:tabs>
          <w:tab w:val="left" w:pos="315"/>
          <w:tab w:val="left" w:pos="8820"/>
        </w:tabs>
        <w:spacing w:line="500" w:lineRule="exact"/>
        <w:ind w:right="267" w:rightChars="127"/>
        <w:jc w:val="center"/>
        <w:rPr>
          <w:rFonts w:ascii="仿宋_GB2312" w:eastAsia="仿宋_GB2312"/>
          <w:b/>
          <w:bCs/>
          <w:color w:val="000000" w:themeColor="text1"/>
          <w:sz w:val="48"/>
          <w14:textFill>
            <w14:solidFill>
              <w14:schemeClr w14:val="tx1"/>
            </w14:solidFill>
          </w14:textFill>
        </w:rPr>
      </w:pPr>
    </w:p>
    <w:p>
      <w:pPr>
        <w:tabs>
          <w:tab w:val="left" w:pos="315"/>
          <w:tab w:val="left" w:pos="8820"/>
        </w:tabs>
        <w:spacing w:line="500" w:lineRule="exact"/>
        <w:ind w:right="267" w:rightChars="127"/>
        <w:jc w:val="center"/>
        <w:rPr>
          <w:rFonts w:ascii="微软简标宋" w:eastAsia="黑体"/>
          <w:b/>
          <w:bCs/>
          <w:color w:val="000000" w:themeColor="text1"/>
          <w:sz w:val="52"/>
          <w14:textFill>
            <w14:solidFill>
              <w14:schemeClr w14:val="tx1"/>
            </w14:solidFill>
          </w14:textFill>
        </w:rPr>
      </w:pPr>
      <w:r>
        <w:rPr>
          <w:rFonts w:hint="eastAsia" w:ascii="微软简标宋" w:eastAsia="黑体"/>
          <w:b/>
          <w:bCs/>
          <w:color w:val="000000" w:themeColor="text1"/>
          <w:sz w:val="52"/>
          <w14:textFill>
            <w14:solidFill>
              <w14:schemeClr w14:val="tx1"/>
            </w14:solidFill>
          </w14:textFill>
        </w:rPr>
        <w:t>竞争性磋商文件</w:t>
      </w:r>
    </w:p>
    <w:p>
      <w:pPr>
        <w:tabs>
          <w:tab w:val="left" w:pos="315"/>
          <w:tab w:val="left" w:pos="8820"/>
        </w:tabs>
        <w:spacing w:line="500" w:lineRule="exact"/>
        <w:ind w:right="267" w:rightChars="127"/>
        <w:jc w:val="center"/>
        <w:rPr>
          <w:rFonts w:ascii="仿宋_GB2312" w:eastAsia="仿宋_GB2312"/>
          <w:color w:val="000000" w:themeColor="text1"/>
          <w:sz w:val="44"/>
          <w14:textFill>
            <w14:solidFill>
              <w14:schemeClr w14:val="tx1"/>
            </w14:solidFill>
          </w14:textFill>
        </w:rPr>
      </w:pPr>
    </w:p>
    <w:p>
      <w:pPr>
        <w:tabs>
          <w:tab w:val="left" w:pos="315"/>
          <w:tab w:val="left" w:pos="8820"/>
        </w:tabs>
        <w:ind w:right="267" w:rightChars="127"/>
        <w:rPr>
          <w:rFonts w:ascii="仿宋_GB2312" w:eastAsia="仿宋_GB2312"/>
          <w:color w:val="000000" w:themeColor="text1"/>
          <w:sz w:val="44"/>
          <w14:textFill>
            <w14:solidFill>
              <w14:schemeClr w14:val="tx1"/>
            </w14:solidFill>
          </w14:textFill>
        </w:rPr>
      </w:pPr>
    </w:p>
    <w:p>
      <w:pPr>
        <w:tabs>
          <w:tab w:val="left" w:pos="315"/>
          <w:tab w:val="left" w:pos="8820"/>
        </w:tabs>
        <w:spacing w:line="500" w:lineRule="exact"/>
        <w:ind w:right="267" w:rightChars="127"/>
        <w:rPr>
          <w:rFonts w:ascii="仿宋_GB2312" w:eastAsia="仿宋_GB2312"/>
          <w:b/>
          <w:bCs/>
          <w:color w:val="000000" w:themeColor="text1"/>
          <w:sz w:val="36"/>
          <w14:textFill>
            <w14:solidFill>
              <w14:schemeClr w14:val="tx1"/>
            </w14:solidFill>
          </w14:textFill>
        </w:rPr>
      </w:pPr>
    </w:p>
    <w:p>
      <w:pPr>
        <w:tabs>
          <w:tab w:val="left" w:pos="315"/>
          <w:tab w:val="left" w:pos="8820"/>
        </w:tabs>
        <w:spacing w:line="500" w:lineRule="exact"/>
        <w:ind w:right="267" w:rightChars="127"/>
        <w:rPr>
          <w:rFonts w:ascii="仿宋_GB2312" w:eastAsia="仿宋_GB2312"/>
          <w:b/>
          <w:bCs/>
          <w:color w:val="000000" w:themeColor="text1"/>
          <w:sz w:val="36"/>
          <w14:textFill>
            <w14:solidFill>
              <w14:schemeClr w14:val="tx1"/>
            </w14:solidFill>
          </w14:textFill>
        </w:rPr>
      </w:pPr>
    </w:p>
    <w:p>
      <w:pPr>
        <w:tabs>
          <w:tab w:val="left" w:pos="315"/>
          <w:tab w:val="left" w:pos="8820"/>
        </w:tabs>
        <w:spacing w:line="500" w:lineRule="exact"/>
        <w:ind w:right="267" w:rightChars="127"/>
        <w:jc w:val="center"/>
        <w:rPr>
          <w:rFonts w:ascii="宋体" w:hAnsi="宋体"/>
          <w:color w:val="000000" w:themeColor="text1"/>
          <w:sz w:val="32"/>
          <w14:textFill>
            <w14:solidFill>
              <w14:schemeClr w14:val="tx1"/>
            </w14:solidFill>
          </w14:textFill>
        </w:rPr>
      </w:pPr>
    </w:p>
    <w:p>
      <w:pPr>
        <w:tabs>
          <w:tab w:val="left" w:pos="315"/>
          <w:tab w:val="left" w:pos="8820"/>
        </w:tabs>
        <w:spacing w:line="500" w:lineRule="exact"/>
        <w:ind w:right="267" w:rightChars="127"/>
        <w:jc w:val="center"/>
        <w:rPr>
          <w:rFonts w:ascii="微软简标宋" w:eastAsia="黑体"/>
          <w:b/>
          <w:bCs/>
          <w:color w:val="000000" w:themeColor="text1"/>
          <w:sz w:val="52"/>
          <w14:textFill>
            <w14:solidFill>
              <w14:schemeClr w14:val="tx1"/>
            </w14:solidFill>
          </w14:textFill>
        </w:rPr>
      </w:pPr>
    </w:p>
    <w:p>
      <w:pPr>
        <w:tabs>
          <w:tab w:val="left" w:pos="315"/>
          <w:tab w:val="left" w:pos="8820"/>
        </w:tabs>
        <w:spacing w:line="600" w:lineRule="exact"/>
        <w:ind w:right="267" w:rightChars="127"/>
        <w:jc w:val="left"/>
        <w:rPr>
          <w:rFonts w:ascii="微软简标宋" w:eastAsia="黑体"/>
          <w:b/>
          <w:bCs/>
          <w:color w:val="000000" w:themeColor="text1"/>
          <w:sz w:val="30"/>
          <w:szCs w:val="30"/>
          <w14:textFill>
            <w14:solidFill>
              <w14:schemeClr w14:val="tx1"/>
            </w14:solidFill>
          </w14:textFill>
        </w:rPr>
      </w:pPr>
      <w:r>
        <w:rPr>
          <w:rFonts w:hint="eastAsia" w:ascii="微软简标宋" w:eastAsia="黑体"/>
          <w:b/>
          <w:bCs/>
          <w:color w:val="000000" w:themeColor="text1"/>
          <w:sz w:val="30"/>
          <w:szCs w:val="30"/>
          <w14:textFill>
            <w14:solidFill>
              <w14:schemeClr w14:val="tx1"/>
            </w14:solidFill>
          </w14:textFill>
        </w:rPr>
        <w:t>项目名称:商水县财政局商水县县属国有企业年度财务报告审计服务项目</w:t>
      </w:r>
    </w:p>
    <w:p>
      <w:pPr>
        <w:tabs>
          <w:tab w:val="left" w:pos="315"/>
          <w:tab w:val="left" w:pos="8820"/>
        </w:tabs>
        <w:spacing w:line="600" w:lineRule="exact"/>
        <w:ind w:right="267" w:rightChars="127"/>
        <w:jc w:val="left"/>
        <w:rPr>
          <w:rFonts w:ascii="微软简标宋" w:eastAsia="黑体"/>
          <w:b/>
          <w:bCs/>
          <w:color w:val="000000" w:themeColor="text1"/>
          <w:sz w:val="30"/>
          <w:szCs w:val="30"/>
          <w14:textFill>
            <w14:solidFill>
              <w14:schemeClr w14:val="tx1"/>
            </w14:solidFill>
          </w14:textFill>
        </w:rPr>
      </w:pPr>
      <w:r>
        <w:rPr>
          <w:rFonts w:hint="eastAsia" w:ascii="微软简标宋" w:eastAsia="黑体"/>
          <w:b/>
          <w:bCs/>
          <w:color w:val="000000" w:themeColor="text1"/>
          <w:sz w:val="30"/>
          <w:szCs w:val="30"/>
          <w14:textFill>
            <w14:solidFill>
              <w14:schemeClr w14:val="tx1"/>
            </w14:solidFill>
          </w14:textFill>
        </w:rPr>
        <w:t>项目编号:</w:t>
      </w:r>
      <w:r>
        <w:rPr>
          <w:rFonts w:ascii="微软简标宋" w:eastAsia="黑体"/>
          <w:b/>
          <w:bCs/>
          <w:color w:val="000000" w:themeColor="text1"/>
          <w:sz w:val="30"/>
          <w:szCs w:val="30"/>
          <w14:textFill>
            <w14:solidFill>
              <w14:schemeClr w14:val="tx1"/>
            </w14:solidFill>
          </w14:textFill>
        </w:rPr>
        <w:t xml:space="preserve">商水财磋商采购-2024-14 </w:t>
      </w:r>
    </w:p>
    <w:p>
      <w:pPr>
        <w:pStyle w:val="10"/>
        <w:rPr>
          <w:rFonts w:ascii="微软简标宋" w:eastAsia="黑体"/>
          <w:b/>
          <w:bCs/>
          <w:color w:val="000000" w:themeColor="text1"/>
          <w:sz w:val="52"/>
          <w:szCs w:val="24"/>
          <w14:textFill>
            <w14:solidFill>
              <w14:schemeClr w14:val="tx1"/>
            </w14:solidFill>
          </w14:textFill>
        </w:rPr>
      </w:pPr>
    </w:p>
    <w:p>
      <w:pPr>
        <w:pStyle w:val="10"/>
        <w:rPr>
          <w:rFonts w:ascii="宋体" w:hAnsi="宋体"/>
          <w:b/>
          <w:color w:val="000000" w:themeColor="text1"/>
          <w:sz w:val="32"/>
          <w14:textFill>
            <w14:solidFill>
              <w14:schemeClr w14:val="tx1"/>
            </w14:solidFill>
          </w14:textFill>
        </w:rPr>
      </w:pPr>
    </w:p>
    <w:p>
      <w:pPr>
        <w:pStyle w:val="10"/>
        <w:rPr>
          <w:rFonts w:ascii="宋体" w:hAnsi="宋体"/>
          <w:b/>
          <w:color w:val="000000" w:themeColor="text1"/>
          <w:sz w:val="32"/>
          <w14:textFill>
            <w14:solidFill>
              <w14:schemeClr w14:val="tx1"/>
            </w14:solidFill>
          </w14:textFill>
        </w:rPr>
      </w:pPr>
    </w:p>
    <w:p>
      <w:pPr>
        <w:tabs>
          <w:tab w:val="left" w:pos="315"/>
          <w:tab w:val="left" w:pos="8820"/>
        </w:tabs>
        <w:spacing w:line="600" w:lineRule="exact"/>
        <w:ind w:right="267" w:rightChars="127"/>
        <w:jc w:val="center"/>
        <w:rPr>
          <w:rFonts w:ascii="微软简标宋" w:eastAsia="黑体"/>
          <w:b/>
          <w:bCs/>
          <w:color w:val="000000" w:themeColor="text1"/>
          <w:sz w:val="30"/>
          <w:szCs w:val="30"/>
          <w14:textFill>
            <w14:solidFill>
              <w14:schemeClr w14:val="tx1"/>
            </w14:solidFill>
          </w14:textFill>
        </w:rPr>
      </w:pPr>
      <w:r>
        <w:rPr>
          <w:rFonts w:hint="eastAsia" w:ascii="微软简标宋" w:eastAsia="黑体"/>
          <w:b/>
          <w:bCs/>
          <w:color w:val="000000" w:themeColor="text1"/>
          <w:sz w:val="30"/>
          <w:szCs w:val="30"/>
          <w14:textFill>
            <w14:solidFill>
              <w14:schemeClr w14:val="tx1"/>
            </w14:solidFill>
          </w14:textFill>
        </w:rPr>
        <w:t>2024年04月25日</w:t>
      </w:r>
    </w:p>
    <w:p>
      <w:pPr>
        <w:pStyle w:val="10"/>
        <w:jc w:val="center"/>
        <w:rPr>
          <w:rFonts w:ascii="宋体" w:hAnsi="宋体"/>
          <w:b/>
          <w:color w:val="000000" w:themeColor="text1"/>
          <w:sz w:val="32"/>
          <w14:textFill>
            <w14:solidFill>
              <w14:schemeClr w14:val="tx1"/>
            </w14:solidFill>
          </w14:textFill>
        </w:rPr>
      </w:pPr>
    </w:p>
    <w:p>
      <w:pPr>
        <w:rPr>
          <w:rFonts w:ascii="仿宋_GB2312" w:eastAsia="仿宋_GB2312"/>
          <w:b/>
          <w:color w:val="000000" w:themeColor="text1"/>
          <w:sz w:val="30"/>
          <w:szCs w:val="30"/>
          <w14:textFill>
            <w14:solidFill>
              <w14:schemeClr w14:val="tx1"/>
            </w14:solidFill>
          </w14:textFill>
        </w:rPr>
      </w:pPr>
    </w:p>
    <w:p>
      <w:pPr>
        <w:pStyle w:val="27"/>
        <w:ind w:firstLine="210"/>
        <w:rPr>
          <w:color w:val="000000" w:themeColor="text1"/>
          <w14:textFill>
            <w14:solidFill>
              <w14:schemeClr w14:val="tx1"/>
            </w14:solidFill>
          </w14:textFill>
        </w:rPr>
      </w:pPr>
    </w:p>
    <w:p>
      <w:pPr>
        <w:pStyle w:val="27"/>
        <w:ind w:firstLine="210"/>
        <w:rPr>
          <w:color w:val="000000" w:themeColor="text1"/>
          <w14:textFill>
            <w14:solidFill>
              <w14:schemeClr w14:val="tx1"/>
            </w14:solidFill>
          </w14:textFill>
        </w:rPr>
      </w:pPr>
    </w:p>
    <w:p>
      <w:pPr>
        <w:spacing w:line="560" w:lineRule="exact"/>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目     录</w:t>
      </w:r>
    </w:p>
    <w:p>
      <w:pPr>
        <w:rPr>
          <w:rFonts w:ascii="宋体" w:hAnsi="宋体" w:cs="宋体"/>
          <w:b/>
          <w:color w:val="000000" w:themeColor="text1"/>
          <w:sz w:val="32"/>
          <w:szCs w:val="32"/>
          <w14:textFill>
            <w14:solidFill>
              <w14:schemeClr w14:val="tx1"/>
            </w14:solidFill>
          </w14:textFill>
        </w:rPr>
      </w:pPr>
    </w:p>
    <w:p>
      <w:pPr>
        <w:spacing w:line="800" w:lineRule="exact"/>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第一章  竞争性磋商邀请函 .........................3</w:t>
      </w:r>
    </w:p>
    <w:p>
      <w:pPr>
        <w:spacing w:line="800" w:lineRule="exact"/>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第二章  供应商须知 ...............................6</w:t>
      </w:r>
    </w:p>
    <w:p>
      <w:pPr>
        <w:spacing w:line="800" w:lineRule="exact"/>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第三章  采购项目内容及要求.......................24</w:t>
      </w:r>
    </w:p>
    <w:p>
      <w:pPr>
        <w:spacing w:line="800" w:lineRule="exact"/>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第四章  响应性文件内容及格式.....................25</w:t>
      </w:r>
    </w:p>
    <w:p>
      <w:pPr>
        <w:spacing w:line="800" w:lineRule="exact"/>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第五章  合同主要条款 合同签订指引、供应商履约验收指引38</w:t>
      </w:r>
    </w:p>
    <w:p>
      <w:pPr>
        <w:spacing w:line="800" w:lineRule="exact"/>
        <w:ind w:firstLine="2249" w:firstLineChars="700"/>
        <w:rPr>
          <w:rFonts w:ascii="宋体" w:hAnsi="宋体" w:cs="宋体"/>
          <w:b/>
          <w:color w:val="000000" w:themeColor="text1"/>
          <w:sz w:val="32"/>
          <w:szCs w:val="32"/>
          <w14:textFill>
            <w14:solidFill>
              <w14:schemeClr w14:val="tx1"/>
            </w14:solidFill>
          </w14:textFill>
        </w:rPr>
      </w:pPr>
    </w:p>
    <w:p>
      <w:pPr>
        <w:spacing w:line="800" w:lineRule="exact"/>
        <w:ind w:firstLine="2249" w:firstLineChars="700"/>
        <w:rPr>
          <w:rFonts w:ascii="宋体" w:hAnsi="宋体" w:cs="宋体"/>
          <w:b/>
          <w:color w:val="000000" w:themeColor="text1"/>
          <w:sz w:val="32"/>
          <w:szCs w:val="32"/>
          <w14:textFill>
            <w14:solidFill>
              <w14:schemeClr w14:val="tx1"/>
            </w14:solidFill>
          </w14:textFill>
        </w:rPr>
      </w:pPr>
    </w:p>
    <w:p>
      <w:pPr>
        <w:spacing w:line="800" w:lineRule="exact"/>
        <w:ind w:firstLine="2249" w:firstLineChars="700"/>
        <w:rPr>
          <w:rFonts w:ascii="宋体" w:hAnsi="宋体" w:cs="宋体"/>
          <w:b/>
          <w:color w:val="000000" w:themeColor="text1"/>
          <w:sz w:val="32"/>
          <w:szCs w:val="32"/>
          <w14:textFill>
            <w14:solidFill>
              <w14:schemeClr w14:val="tx1"/>
            </w14:solidFill>
          </w14:textFill>
        </w:rPr>
      </w:pPr>
    </w:p>
    <w:p>
      <w:pPr>
        <w:jc w:val="center"/>
        <w:rPr>
          <w:rFonts w:ascii="宋体" w:hAnsi="宋体" w:cs="宋体"/>
          <w:b/>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br w:type="page"/>
      </w:r>
      <w:r>
        <w:rPr>
          <w:rFonts w:hint="eastAsia" w:ascii="宋体" w:hAnsi="宋体" w:cs="宋体"/>
          <w:b/>
          <w:color w:val="000000" w:themeColor="text1"/>
          <w:sz w:val="32"/>
          <w:szCs w:val="32"/>
          <w14:textFill>
            <w14:solidFill>
              <w14:schemeClr w14:val="tx1"/>
            </w14:solidFill>
          </w14:textFill>
        </w:rPr>
        <w:t>第一章    竞争性磋商邀请函</w:t>
      </w:r>
    </w:p>
    <w:p>
      <w:pPr>
        <w:pStyle w:val="37"/>
        <w:rPr>
          <w:color w:val="000000" w:themeColor="text1"/>
          <w14:textFill>
            <w14:solidFill>
              <w14:schemeClr w14:val="tx1"/>
            </w14:solidFill>
          </w14:textFill>
        </w:rPr>
      </w:pP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项目概况</w:t>
      </w:r>
    </w:p>
    <w:p>
      <w:pPr>
        <w:spacing w:line="360" w:lineRule="auto"/>
        <w:ind w:firstLine="480" w:firstLineChars="200"/>
        <w:jc w:val="left"/>
        <w:rPr>
          <w:rFonts w:asciiTheme="minorEastAsia" w:hAnsiTheme="minorEastAsia" w:eastAsiaTheme="minorEastAsia" w:cstheme="minorEastAsia"/>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商水县财政局商水县县属国有企业年度财务报告审计服务项目(项目名称) 项目的潜在投标人应在周口市公共资源交易中心网（http://jyzx.zhoukou.gov.cn）获取招标文件，并于</w:t>
      </w:r>
      <w:r>
        <w:rPr>
          <w:rFonts w:hint="eastAsia" w:ascii="宋体" w:hAnsi="宋体" w:eastAsia="宋体" w:cs="宋体"/>
          <w:color w:val="auto"/>
          <w:sz w:val="24"/>
          <w:highlight w:val="none"/>
          <w:lang w:val="en-US" w:eastAsia="zh-CN"/>
        </w:rPr>
        <w:t>2024</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点</w:t>
      </w:r>
      <w:r>
        <w:rPr>
          <w:rFonts w:hint="eastAsia" w:ascii="宋体" w:hAnsi="宋体" w:eastAsia="宋体" w:cs="宋体"/>
          <w:color w:val="auto"/>
          <w:sz w:val="24"/>
          <w:highlight w:val="none"/>
          <w:lang w:val="en-US" w:eastAsia="zh-CN"/>
        </w:rPr>
        <w:t>00</w:t>
      </w:r>
      <w:r>
        <w:rPr>
          <w:rFonts w:hint="eastAsia" w:ascii="宋体" w:hAnsi="宋体" w:eastAsia="宋体" w:cs="宋体"/>
          <w:color w:val="auto"/>
          <w:sz w:val="24"/>
          <w:highlight w:val="none"/>
        </w:rPr>
        <w:t>分</w:t>
      </w:r>
      <w:r>
        <w:rPr>
          <w:rFonts w:hint="eastAsia" w:ascii="宋体" w:hAnsi="宋体" w:cs="宋体"/>
          <w:color w:val="000000" w:themeColor="text1"/>
          <w:sz w:val="24"/>
          <w14:textFill>
            <w14:solidFill>
              <w14:schemeClr w14:val="tx1"/>
            </w14:solidFill>
          </w14:textFill>
        </w:rPr>
        <w:t>（北京时间）前递交投标文件。</w:t>
      </w:r>
    </w:p>
    <w:p>
      <w:pPr>
        <w:pStyle w:val="5"/>
        <w:autoSpaceDE w:val="0"/>
        <w:autoSpaceDN w:val="0"/>
        <w:spacing w:line="360" w:lineRule="auto"/>
        <w:jc w:val="left"/>
        <w:rPr>
          <w:rFonts w:asciiTheme="minorEastAsia" w:hAnsiTheme="minorEastAsia" w:eastAsiaTheme="minorEastAsia" w:cstheme="minorEastAsia"/>
          <w:color w:val="000000" w:themeColor="text1"/>
          <w:sz w:val="24"/>
          <w14:textFill>
            <w14:solidFill>
              <w14:schemeClr w14:val="tx1"/>
            </w14:solidFill>
          </w14:textFill>
        </w:rPr>
      </w:pPr>
      <w:bookmarkStart w:id="0" w:name="_Toc35393629"/>
      <w:bookmarkStart w:id="1" w:name="_Toc28359012"/>
      <w:bookmarkStart w:id="2" w:name="_Toc28359089"/>
      <w:bookmarkStart w:id="3" w:name="_Toc35393798"/>
      <w:r>
        <w:rPr>
          <w:rFonts w:hint="eastAsia" w:asciiTheme="minorEastAsia" w:hAnsiTheme="minorEastAsia" w:eastAsiaTheme="minorEastAsia" w:cstheme="minorEastAsia"/>
          <w:color w:val="000000" w:themeColor="text1"/>
          <w:sz w:val="24"/>
          <w14:textFill>
            <w14:solidFill>
              <w14:schemeClr w14:val="tx1"/>
            </w14:solidFill>
          </w14:textFill>
        </w:rPr>
        <w:t>一、项目基本情况</w:t>
      </w:r>
      <w:bookmarkEnd w:id="0"/>
      <w:bookmarkEnd w:id="1"/>
      <w:bookmarkEnd w:id="2"/>
      <w:bookmarkEnd w:id="3"/>
    </w:p>
    <w:p>
      <w:pPr>
        <w:autoSpaceDE w:val="0"/>
        <w:autoSpaceDN w:val="0"/>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项目编号：</w:t>
      </w:r>
      <w:r>
        <w:rPr>
          <w:rFonts w:asciiTheme="minorEastAsia" w:hAnsiTheme="minorEastAsia" w:eastAsiaTheme="minorEastAsia" w:cstheme="minorEastAsia"/>
          <w:color w:val="000000" w:themeColor="text1"/>
          <w:sz w:val="24"/>
          <w14:textFill>
            <w14:solidFill>
              <w14:schemeClr w14:val="tx1"/>
            </w14:solidFill>
          </w14:textFill>
        </w:rPr>
        <w:t>商水财磋商采购-2024-14</w:t>
      </w:r>
    </w:p>
    <w:p>
      <w:pPr>
        <w:autoSpaceDE w:val="0"/>
        <w:autoSpaceDN w:val="0"/>
        <w:spacing w:line="360" w:lineRule="auto"/>
        <w:ind w:firstLine="480" w:firstLineChars="200"/>
        <w:rPr>
          <w:rFonts w:asciiTheme="minorEastAsia" w:hAnsiTheme="minorEastAsia" w:eastAsiaTheme="minorEastAsia" w:cstheme="minorEastAsia"/>
          <w:color w:val="000000" w:themeColor="text1"/>
          <w:sz w:val="24"/>
          <w:u w:val="single"/>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项目名称：商水县财政局商水县县属国有企业年度财务报告审计服务项目</w:t>
      </w:r>
    </w:p>
    <w:p>
      <w:pPr>
        <w:autoSpaceDE w:val="0"/>
        <w:autoSpaceDN w:val="0"/>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采购方式：竞争性磋商</w:t>
      </w:r>
    </w:p>
    <w:p>
      <w:pPr>
        <w:autoSpaceDE w:val="0"/>
        <w:autoSpaceDN w:val="0"/>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预算金额：590028.58元</w:t>
      </w:r>
    </w:p>
    <w:p>
      <w:pPr>
        <w:autoSpaceDE w:val="0"/>
        <w:autoSpaceDN w:val="0"/>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最高限价：590028.58元</w:t>
      </w:r>
    </w:p>
    <w:p>
      <w:pPr>
        <w:pStyle w:val="26"/>
        <w:snapToGrid w:val="0"/>
        <w:spacing w:before="0" w:beforeAutospacing="0" w:after="0" w:afterAutospacing="0" w:line="360" w:lineRule="auto"/>
        <w:ind w:firstLine="480"/>
        <w:jc w:val="both"/>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包划分：1个包</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4"/>
        <w:gridCol w:w="5616"/>
        <w:gridCol w:w="2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044" w:type="dxa"/>
            <w:vAlign w:val="center"/>
          </w:tcPr>
          <w:p>
            <w:pPr>
              <w:pStyle w:val="26"/>
              <w:shd w:val="clear" w:color="auto" w:fill="FFFFFF"/>
              <w:adjustRightInd w:val="0"/>
              <w:snapToGrid w:val="0"/>
              <w:spacing w:before="0" w:beforeAutospacing="0" w:after="0" w:afterAutospacing="0" w:line="360" w:lineRule="auto"/>
              <w:jc w:val="center"/>
              <w:rPr>
                <w:color w:val="000000" w:themeColor="text1"/>
                <w14:textFill>
                  <w14:solidFill>
                    <w14:schemeClr w14:val="tx1"/>
                  </w14:solidFill>
                </w14:textFill>
              </w:rPr>
            </w:pPr>
            <w:r>
              <w:rPr>
                <w:rFonts w:hint="eastAsia" w:cs="宋体" w:asciiTheme="minorEastAsia" w:hAnsiTheme="minorEastAsia" w:eastAsiaTheme="minorEastAsia"/>
                <w:color w:val="000000" w:themeColor="text1"/>
                <w:kern w:val="2"/>
                <w:szCs w:val="24"/>
                <w14:textFill>
                  <w14:solidFill>
                    <w14:schemeClr w14:val="tx1"/>
                  </w14:solidFill>
                </w14:textFill>
              </w:rPr>
              <w:t>包号</w:t>
            </w:r>
          </w:p>
        </w:tc>
        <w:tc>
          <w:tcPr>
            <w:tcW w:w="5616" w:type="dxa"/>
            <w:vAlign w:val="center"/>
          </w:tcPr>
          <w:p>
            <w:pPr>
              <w:pStyle w:val="26"/>
              <w:shd w:val="clear" w:color="auto" w:fill="FFFFFF"/>
              <w:adjustRightInd w:val="0"/>
              <w:snapToGrid w:val="0"/>
              <w:spacing w:before="0" w:beforeAutospacing="0" w:after="0" w:afterAutospacing="0" w:line="360" w:lineRule="auto"/>
              <w:jc w:val="center"/>
              <w:rPr>
                <w:color w:val="000000" w:themeColor="text1"/>
                <w14:textFill>
                  <w14:solidFill>
                    <w14:schemeClr w14:val="tx1"/>
                  </w14:solidFill>
                </w14:textFill>
              </w:rPr>
            </w:pPr>
            <w:r>
              <w:rPr>
                <w:rFonts w:hint="eastAsia" w:cs="宋体" w:asciiTheme="minorEastAsia" w:hAnsiTheme="minorEastAsia" w:eastAsiaTheme="minorEastAsia"/>
                <w:color w:val="000000" w:themeColor="text1"/>
                <w:kern w:val="2"/>
                <w:szCs w:val="24"/>
                <w14:textFill>
                  <w14:solidFill>
                    <w14:schemeClr w14:val="tx1"/>
                  </w14:solidFill>
                </w14:textFill>
              </w:rPr>
              <w:t>包名称</w:t>
            </w:r>
          </w:p>
        </w:tc>
        <w:tc>
          <w:tcPr>
            <w:tcW w:w="2036" w:type="dxa"/>
            <w:vAlign w:val="center"/>
          </w:tcPr>
          <w:p>
            <w:pPr>
              <w:pStyle w:val="26"/>
              <w:shd w:val="clear" w:color="auto" w:fill="FFFFFF"/>
              <w:adjustRightInd w:val="0"/>
              <w:snapToGrid w:val="0"/>
              <w:spacing w:before="0" w:beforeAutospacing="0" w:after="0" w:afterAutospacing="0" w:line="360" w:lineRule="auto"/>
              <w:jc w:val="center"/>
              <w:rPr>
                <w:color w:val="000000" w:themeColor="text1"/>
                <w14:textFill>
                  <w14:solidFill>
                    <w14:schemeClr w14:val="tx1"/>
                  </w14:solidFill>
                </w14:textFill>
              </w:rPr>
            </w:pPr>
            <w:r>
              <w:rPr>
                <w:rFonts w:hint="eastAsia" w:cs="宋体" w:asciiTheme="minorEastAsia" w:hAnsiTheme="minorEastAsia" w:eastAsiaTheme="minorEastAsia"/>
                <w:color w:val="000000" w:themeColor="text1"/>
                <w:kern w:val="2"/>
                <w:szCs w:val="24"/>
                <w14:textFill>
                  <w14:solidFill>
                    <w14:schemeClr w14:val="tx1"/>
                  </w14:solidFill>
                </w14:textFill>
              </w:rPr>
              <w:t>包最高限价万元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44" w:type="dxa"/>
            <w:vAlign w:val="center"/>
          </w:tcPr>
          <w:p>
            <w:pPr>
              <w:pStyle w:val="26"/>
              <w:shd w:val="clear" w:color="auto" w:fill="FFFFFF"/>
              <w:adjustRightInd w:val="0"/>
              <w:snapToGrid w:val="0"/>
              <w:spacing w:before="0" w:beforeAutospacing="0" w:after="0" w:afterAutospacing="0" w:line="360" w:lineRule="auto"/>
              <w:jc w:val="center"/>
              <w:rPr>
                <w:color w:val="000000" w:themeColor="text1"/>
                <w14:textFill>
                  <w14:solidFill>
                    <w14:schemeClr w14:val="tx1"/>
                  </w14:solidFill>
                </w14:textFill>
              </w:rPr>
            </w:pPr>
            <w:r>
              <w:rPr>
                <w:rFonts w:hint="eastAsia" w:cs="宋体" w:asciiTheme="minorEastAsia" w:hAnsiTheme="minorEastAsia" w:eastAsiaTheme="minorEastAsia"/>
                <w:color w:val="000000" w:themeColor="text1"/>
                <w:kern w:val="2"/>
                <w:szCs w:val="24"/>
                <w14:textFill>
                  <w14:solidFill>
                    <w14:schemeClr w14:val="tx1"/>
                  </w14:solidFill>
                </w14:textFill>
              </w:rPr>
              <w:t>1</w:t>
            </w:r>
          </w:p>
        </w:tc>
        <w:tc>
          <w:tcPr>
            <w:tcW w:w="5616" w:type="dxa"/>
            <w:vAlign w:val="center"/>
          </w:tcPr>
          <w:p>
            <w:pPr>
              <w:adjustRightInd w:val="0"/>
              <w:snapToGrid w:val="0"/>
              <w:spacing w:line="360" w:lineRule="auto"/>
              <w:rPr>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商水县财政局商水县县属国有企业年度财务报告审计服务项目</w:t>
            </w:r>
          </w:p>
        </w:tc>
        <w:tc>
          <w:tcPr>
            <w:tcW w:w="2036" w:type="dxa"/>
            <w:vAlign w:val="center"/>
          </w:tcPr>
          <w:p>
            <w:pPr>
              <w:adjustRightInd w:val="0"/>
              <w:snapToGrid w:val="0"/>
              <w:spacing w:line="360" w:lineRule="auto"/>
              <w:rPr>
                <w:color w:val="000000" w:themeColor="text1"/>
                <w14:textFill>
                  <w14:solidFill>
                    <w14:schemeClr w14:val="tx1"/>
                  </w14:solidFill>
                </w14:textFill>
              </w:rPr>
            </w:pPr>
            <w:r>
              <w:rPr>
                <w:rFonts w:hint="eastAsia" w:cs="宋体" w:asciiTheme="minorEastAsia" w:hAnsiTheme="minorEastAsia" w:eastAsiaTheme="minorEastAsia"/>
                <w:color w:val="000000" w:themeColor="text1"/>
                <w:sz w:val="24"/>
                <w14:textFill>
                  <w14:solidFill>
                    <w14:schemeClr w14:val="tx1"/>
                  </w14:solidFill>
                </w14:textFill>
              </w:rPr>
              <w:t>59.002858</w:t>
            </w:r>
          </w:p>
        </w:tc>
      </w:tr>
    </w:tbl>
    <w:p>
      <w:pPr>
        <w:autoSpaceDE w:val="0"/>
        <w:autoSpaceDN w:val="0"/>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采购需求：（包括但不限于标的的名称、数量、简要技术需求或服务要求等）</w:t>
      </w:r>
    </w:p>
    <w:p>
      <w:pPr>
        <w:autoSpaceDE w:val="0"/>
        <w:autoSpaceDN w:val="0"/>
        <w:spacing w:line="360" w:lineRule="auto"/>
        <w:ind w:firstLine="480" w:firstLineChars="20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合同履行期限：30日历天</w:t>
      </w:r>
      <w:r>
        <w:rPr>
          <w:rFonts w:asciiTheme="minorEastAsia" w:hAnsiTheme="minorEastAsia" w:eastAsiaTheme="minorEastAsia" w:cstheme="minorEastAsia"/>
          <w:color w:val="000000" w:themeColor="text1"/>
          <w:sz w:val="24"/>
          <w14:textFill>
            <w14:solidFill>
              <w14:schemeClr w14:val="tx1"/>
            </w14:solidFill>
          </w14:textFill>
        </w:rPr>
        <w:t xml:space="preserve"> </w:t>
      </w:r>
    </w:p>
    <w:p>
      <w:pPr>
        <w:spacing w:line="360" w:lineRule="auto"/>
        <w:ind w:firstLine="480" w:firstLineChars="200"/>
        <w:jc w:val="left"/>
        <w:rPr>
          <w:rFonts w:ascii="宋体" w:hAnsi="宋体" w:cs="宋体"/>
          <w:color w:val="000000" w:themeColor="text1"/>
          <w:sz w:val="24"/>
          <w14:textFill>
            <w14:solidFill>
              <w14:schemeClr w14:val="tx1"/>
            </w14:solidFill>
          </w14:textFill>
        </w:rPr>
      </w:pPr>
      <w:bookmarkStart w:id="4" w:name="_Toc35393799"/>
      <w:bookmarkStart w:id="5" w:name="_Toc28359090"/>
      <w:bookmarkStart w:id="6" w:name="_Toc28359013"/>
      <w:bookmarkStart w:id="7" w:name="_Toc35393630"/>
      <w:r>
        <w:rPr>
          <w:rFonts w:hint="eastAsia" w:ascii="宋体" w:hAnsi="宋体" w:cs="宋体"/>
          <w:color w:val="000000" w:themeColor="text1"/>
          <w:sz w:val="24"/>
          <w14:textFill>
            <w14:solidFill>
              <w14:schemeClr w14:val="tx1"/>
            </w14:solidFill>
          </w14:textFill>
        </w:rPr>
        <w:t>是否接受进口产品：（否）</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本项目是否接受联合体投标：（否）</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本项目是否为只面向中小企业采购：是</w:t>
      </w:r>
    </w:p>
    <w:p>
      <w:pPr>
        <w:pStyle w:val="5"/>
        <w:autoSpaceDE w:val="0"/>
        <w:autoSpaceDN w:val="0"/>
        <w:spacing w:line="360" w:lineRule="auto"/>
        <w:jc w:val="left"/>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二、申请人的资格要求：</w:t>
      </w:r>
      <w:bookmarkEnd w:id="4"/>
      <w:bookmarkEnd w:id="5"/>
      <w:bookmarkEnd w:id="6"/>
      <w:bookmarkEnd w:id="7"/>
    </w:p>
    <w:p>
      <w:pPr>
        <w:autoSpaceDE w:val="0"/>
        <w:autoSpaceDN w:val="0"/>
        <w:spacing w:line="360" w:lineRule="auto"/>
        <w:ind w:firstLine="54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1.满足《中华人民共和国政府采购法》第二十二条规定；</w:t>
      </w:r>
    </w:p>
    <w:p>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（1）具有独立承担民事责任的能力； </w:t>
      </w:r>
    </w:p>
    <w:p>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（2）具有良好的商业信誉和健全的财务会计制度； </w:t>
      </w:r>
    </w:p>
    <w:p>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（3）具有履行合同所必需的设备和专业技术能力； </w:t>
      </w:r>
    </w:p>
    <w:p>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（4）有依法缴纳税收和社会保障资金的良好记录； </w:t>
      </w:r>
    </w:p>
    <w:p>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 xml:space="preserve">（5）参加政府采购活动前三年内，在经营活动中没有重大违法记录； </w:t>
      </w:r>
    </w:p>
    <w:p>
      <w:pPr>
        <w:adjustRightInd w:val="0"/>
        <w:snapToGrid w:val="0"/>
        <w:spacing w:line="360" w:lineRule="auto"/>
        <w:ind w:firstLine="480" w:firstLineChars="200"/>
        <w:rPr>
          <w:color w:val="000000" w:themeColor="text1"/>
          <w14:textFill>
            <w14:solidFill>
              <w14:schemeClr w14:val="tx1"/>
            </w14:solidFill>
          </w14:textFill>
        </w:rPr>
      </w:pPr>
      <w:r>
        <w:rPr>
          <w:rFonts w:hint="eastAsia"/>
          <w:color w:val="000000" w:themeColor="text1"/>
          <w:sz w:val="24"/>
          <w14:textFill>
            <w14:solidFill>
              <w14:schemeClr w14:val="tx1"/>
            </w14:solidFill>
          </w14:textFill>
        </w:rPr>
        <w:t xml:space="preserve">（6）法律、行政法规规定的其他条件。 </w:t>
      </w:r>
    </w:p>
    <w:p>
      <w:pPr>
        <w:autoSpaceDE w:val="0"/>
        <w:autoSpaceDN w:val="0"/>
        <w:spacing w:line="360" w:lineRule="auto"/>
        <w:ind w:firstLine="540"/>
        <w:rPr>
          <w:rFonts w:asciiTheme="minorEastAsia" w:hAnsiTheme="minorEastAsia" w:eastAsiaTheme="minorEastAsia" w:cstheme="minorEastAsia"/>
          <w:color w:val="000000" w:themeColor="text1"/>
          <w:sz w:val="24"/>
          <w14:textFill>
            <w14:solidFill>
              <w14:schemeClr w14:val="tx1"/>
            </w14:solidFill>
          </w14:textFill>
        </w:rPr>
      </w:pPr>
      <w:bookmarkStart w:id="8" w:name="_Toc28359091"/>
      <w:bookmarkStart w:id="9" w:name="_Toc28359014"/>
      <w:r>
        <w:rPr>
          <w:rFonts w:hint="eastAsia" w:asciiTheme="minorEastAsia" w:hAnsiTheme="minorEastAsia" w:eastAsiaTheme="minorEastAsia" w:cstheme="minorEastAsia"/>
          <w:color w:val="000000" w:themeColor="text1"/>
          <w:sz w:val="24"/>
          <w14:textFill>
            <w14:solidFill>
              <w14:schemeClr w14:val="tx1"/>
            </w14:solidFill>
          </w14:textFill>
        </w:rPr>
        <w:t xml:space="preserve">2.落实政府采购政策需满足的资格要求：促进中小企业和监狱企业发展扶持政策、政府强制采购节能产品强制采购、节能产品及环境标志产品优先采购、促进残疾人就业政府采购政策。 </w:t>
      </w:r>
    </w:p>
    <w:p>
      <w:pPr>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3.本项目的特定资格要求：（1）根据《关于在政府采购活动中查询及使用信用记录有关问题的通知》(财库[2016]125号)和豫财购【2016】15号的规定，对列入“信用中国”网站（</w:t>
      </w:r>
      <w:r>
        <w:fldChar w:fldCharType="begin"/>
      </w:r>
      <w:r>
        <w:instrText xml:space="preserve"> HYPERLINK "http://www.creditchina.gov.cn/" </w:instrText>
      </w:r>
      <w:r>
        <w:fldChar w:fldCharType="separate"/>
      </w:r>
      <w:r>
        <w:rPr>
          <w:rFonts w:hint="eastAsia"/>
          <w:color w:val="000000" w:themeColor="text1"/>
          <w:sz w:val="24"/>
          <w14:textFill>
            <w14:solidFill>
              <w14:schemeClr w14:val="tx1"/>
            </w14:solidFill>
          </w14:textFill>
        </w:rPr>
        <w:t>www.creditchina.gov.cn</w:t>
      </w:r>
      <w:r>
        <w:rPr>
          <w:rFonts w:hint="eastAsia"/>
          <w:color w:val="000000" w:themeColor="text1"/>
          <w:sz w:val="24"/>
          <w14:textFill>
            <w14:solidFill>
              <w14:schemeClr w14:val="tx1"/>
            </w14:solidFill>
          </w14:textFill>
        </w:rPr>
        <w:fldChar w:fldCharType="end"/>
      </w:r>
      <w:r>
        <w:rPr>
          <w:rFonts w:hint="eastAsia"/>
          <w:color w:val="000000" w:themeColor="text1"/>
          <w:sz w:val="24"/>
          <w14:textFill>
            <w14:solidFill>
              <w14:schemeClr w14:val="tx1"/>
            </w14:solidFill>
          </w14:textFill>
        </w:rPr>
        <w:t>）的“重大税收违法案件当事人名单（重大税收违法失信主体）”、“失信被执行人”和“中国政府采购”网站(</w:t>
      </w:r>
      <w:r>
        <w:fldChar w:fldCharType="begin"/>
      </w:r>
      <w:r>
        <w:instrText xml:space="preserve"> HYPERLINK "http://www.ccgp.gov.cn/" </w:instrText>
      </w:r>
      <w:r>
        <w:fldChar w:fldCharType="separate"/>
      </w:r>
      <w:r>
        <w:rPr>
          <w:rFonts w:hint="eastAsia"/>
          <w:color w:val="000000" w:themeColor="text1"/>
          <w:sz w:val="24"/>
          <w14:textFill>
            <w14:solidFill>
              <w14:schemeClr w14:val="tx1"/>
            </w14:solidFill>
          </w14:textFill>
        </w:rPr>
        <w:t>www.ccgp.gov.cn</w:t>
      </w:r>
      <w:r>
        <w:rPr>
          <w:rFonts w:hint="eastAsia"/>
          <w:color w:val="000000" w:themeColor="text1"/>
          <w:sz w:val="24"/>
          <w14:textFill>
            <w14:solidFill>
              <w14:schemeClr w14:val="tx1"/>
            </w14:solidFill>
          </w14:textFill>
        </w:rPr>
        <w:fldChar w:fldCharType="end"/>
      </w:r>
      <w:r>
        <w:rPr>
          <w:rFonts w:hint="eastAsia"/>
          <w:color w:val="000000" w:themeColor="text1"/>
          <w:sz w:val="24"/>
          <w14:textFill>
            <w14:solidFill>
              <w14:schemeClr w14:val="tx1"/>
            </w14:solidFill>
          </w14:textFill>
        </w:rPr>
        <w:t>)的“政府采购严重违法失信行为记录名单”的供应商和法定代表人，将拒绝其参加政府采购活动；在标书中附加盖公章的网页查询扫描件，查询日期为公告发布之日起至投标截止之日止。</w:t>
      </w:r>
    </w:p>
    <w:p>
      <w:pPr>
        <w:spacing w:line="360" w:lineRule="auto"/>
        <w:ind w:firstLine="480" w:firstLineChars="200"/>
        <w:jc w:val="left"/>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（2）具有行政主管部门颁发的执业证书；</w:t>
      </w:r>
      <w:bookmarkStart w:id="10" w:name="_Toc35393631"/>
      <w:bookmarkStart w:id="11" w:name="_Toc35393800"/>
      <w:r>
        <w:rPr>
          <w:color w:val="000000" w:themeColor="text1"/>
          <w:sz w:val="24"/>
          <w14:textFill>
            <w14:solidFill>
              <w14:schemeClr w14:val="tx1"/>
            </w14:solidFill>
          </w14:textFill>
        </w:rPr>
        <w:t xml:space="preserve"> </w:t>
      </w:r>
    </w:p>
    <w:p>
      <w:pPr>
        <w:spacing w:line="360" w:lineRule="auto"/>
        <w:ind w:firstLine="480" w:firstLineChars="200"/>
        <w:jc w:val="left"/>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三、获取采购文件</w:t>
      </w:r>
      <w:bookmarkEnd w:id="8"/>
      <w:bookmarkEnd w:id="9"/>
      <w:bookmarkEnd w:id="10"/>
      <w:bookmarkEnd w:id="11"/>
    </w:p>
    <w:p>
      <w:pPr>
        <w:autoSpaceDE w:val="0"/>
        <w:autoSpaceDN w:val="0"/>
        <w:spacing w:line="360" w:lineRule="auto"/>
        <w:ind w:firstLine="54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时间：</w:t>
      </w:r>
      <w:r>
        <w:rPr>
          <w:rFonts w:hint="eastAsia" w:ascii="宋体" w:hAnsi="宋体" w:cs="宋体"/>
          <w:color w:val="auto"/>
          <w:sz w:val="24"/>
          <w:highlight w:val="none"/>
          <w:lang w:val="en-US" w:eastAsia="zh-CN"/>
        </w:rPr>
        <w:t>2024年4月28日至 2024年5月8日，每天00:00至23:59</w:t>
      </w:r>
      <w:bookmarkStart w:id="38" w:name="_GoBack"/>
      <w:bookmarkEnd w:id="38"/>
      <w:r>
        <w:rPr>
          <w:rFonts w:hint="eastAsia" w:asciiTheme="minorEastAsia" w:hAnsiTheme="minorEastAsia" w:eastAsiaTheme="minorEastAsia" w:cstheme="minorEastAsia"/>
          <w:color w:val="000000" w:themeColor="text1"/>
          <w:sz w:val="24"/>
          <w14:textFill>
            <w14:solidFill>
              <w14:schemeClr w14:val="tx1"/>
            </w14:solidFill>
          </w14:textFill>
        </w:rPr>
        <w:t>（北京时间，法定节假日除外 ）</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地点：周口市公共资源交易中心网（http://jyzx.zhoukou.gov.cn）</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方式：供应商请在网站自主注册后下载采购文件（zkzf格式）及资料，需办理CA数字证书后方可提交响应文件，具体办理事宜请查阅周口市公共资源交易中心网站。</w:t>
      </w:r>
    </w:p>
    <w:p>
      <w:pPr>
        <w:autoSpaceDE w:val="0"/>
        <w:autoSpaceDN w:val="0"/>
        <w:spacing w:line="360" w:lineRule="auto"/>
        <w:ind w:firstLine="540"/>
        <w:rPr>
          <w:rFonts w:asciiTheme="minorEastAsia" w:hAnsiTheme="minorEastAsia" w:eastAsiaTheme="minorEastAsia" w:cstheme="minorEastAsia"/>
          <w:color w:val="000000" w:themeColor="text1"/>
          <w:sz w:val="24"/>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售价：0</w:t>
      </w:r>
    </w:p>
    <w:p>
      <w:pPr>
        <w:pStyle w:val="5"/>
        <w:autoSpaceDE w:val="0"/>
        <w:autoSpaceDN w:val="0"/>
        <w:spacing w:line="360" w:lineRule="auto"/>
        <w:jc w:val="left"/>
        <w:rPr>
          <w:rFonts w:asciiTheme="minorEastAsia" w:hAnsiTheme="minorEastAsia" w:eastAsiaTheme="minorEastAsia" w:cstheme="minorEastAsia"/>
          <w:color w:val="000000" w:themeColor="text1"/>
          <w:sz w:val="24"/>
          <w14:textFill>
            <w14:solidFill>
              <w14:schemeClr w14:val="tx1"/>
            </w14:solidFill>
          </w14:textFill>
        </w:rPr>
      </w:pPr>
      <w:bookmarkStart w:id="12" w:name="_Toc28359015"/>
      <w:bookmarkStart w:id="13" w:name="_Toc28359092"/>
      <w:bookmarkStart w:id="14" w:name="_Toc35393632"/>
      <w:bookmarkStart w:id="15" w:name="_Toc35393801"/>
      <w:r>
        <w:rPr>
          <w:rFonts w:hint="eastAsia" w:asciiTheme="minorEastAsia" w:hAnsiTheme="minorEastAsia" w:eastAsiaTheme="minorEastAsia" w:cstheme="minorEastAsia"/>
          <w:color w:val="000000" w:themeColor="text1"/>
          <w:sz w:val="24"/>
          <w14:textFill>
            <w14:solidFill>
              <w14:schemeClr w14:val="tx1"/>
            </w14:solidFill>
          </w14:textFill>
        </w:rPr>
        <w:t>四、响应文件提交</w:t>
      </w:r>
      <w:bookmarkEnd w:id="12"/>
      <w:bookmarkEnd w:id="13"/>
      <w:bookmarkEnd w:id="14"/>
      <w:bookmarkEnd w:id="15"/>
    </w:p>
    <w:p>
      <w:pPr>
        <w:autoSpaceDE w:val="0"/>
        <w:autoSpaceDN w:val="0"/>
        <w:spacing w:line="360" w:lineRule="auto"/>
        <w:ind w:firstLine="480" w:firstLineChars="200"/>
        <w:rPr>
          <w:rFonts w:asciiTheme="minorEastAsia" w:hAnsiTheme="minorEastAsia" w:eastAsiaTheme="minorEastAsia" w:cstheme="minorEastAsia"/>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截止时间：</w:t>
      </w:r>
      <w:r>
        <w:rPr>
          <w:rFonts w:hint="eastAsia" w:ascii="宋体" w:hAnsi="宋体" w:eastAsia="宋体" w:cs="宋体"/>
          <w:color w:val="auto"/>
          <w:sz w:val="24"/>
          <w:highlight w:val="none"/>
          <w:lang w:val="en-US" w:eastAsia="zh-CN"/>
        </w:rPr>
        <w:t>2024</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点</w:t>
      </w:r>
      <w:r>
        <w:rPr>
          <w:rFonts w:hint="eastAsia" w:ascii="宋体" w:hAnsi="宋体" w:eastAsia="宋体" w:cs="宋体"/>
          <w:color w:val="auto"/>
          <w:sz w:val="24"/>
          <w:highlight w:val="none"/>
          <w:lang w:val="en-US" w:eastAsia="zh-CN"/>
        </w:rPr>
        <w:t>00</w:t>
      </w:r>
      <w:r>
        <w:rPr>
          <w:rFonts w:hint="eastAsia" w:ascii="宋体" w:hAnsi="宋体" w:eastAsia="宋体" w:cs="宋体"/>
          <w:color w:val="auto"/>
          <w:sz w:val="24"/>
          <w:highlight w:val="none"/>
        </w:rPr>
        <w:t>分</w:t>
      </w:r>
      <w:r>
        <w:rPr>
          <w:rFonts w:hint="eastAsia" w:asciiTheme="minorEastAsia" w:hAnsiTheme="minorEastAsia" w:eastAsiaTheme="minorEastAsia" w:cstheme="minorEastAsia"/>
          <w:bCs/>
          <w:color w:val="000000" w:themeColor="text1"/>
          <w:sz w:val="24"/>
          <w14:textFill>
            <w14:solidFill>
              <w14:schemeClr w14:val="tx1"/>
            </w14:solidFill>
          </w14:textFill>
        </w:rPr>
        <w:t>（北京时间）</w:t>
      </w:r>
    </w:p>
    <w:p>
      <w:pPr>
        <w:autoSpaceDE w:val="0"/>
        <w:autoSpaceDN w:val="0"/>
        <w:spacing w:line="360" w:lineRule="auto"/>
        <w:ind w:firstLine="480" w:firstLineChars="200"/>
        <w:rPr>
          <w:rFonts w:asciiTheme="minorEastAsia" w:hAnsiTheme="minorEastAsia" w:eastAsiaTheme="minorEastAsia" w:cstheme="minorEastAsia"/>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地点：加密电子响应文件须在投标截止时间前通过</w:t>
      </w:r>
      <w:r>
        <w:rPr>
          <w:rFonts w:hint="eastAsia" w:asciiTheme="minorEastAsia" w:hAnsiTheme="minorEastAsia" w:eastAsiaTheme="minorEastAsia" w:cstheme="minorEastAsia"/>
          <w:color w:val="000000" w:themeColor="text1"/>
          <w:spacing w:val="-6"/>
          <w:sz w:val="24"/>
          <w14:textFill>
            <w14:solidFill>
              <w14:schemeClr w14:val="tx1"/>
            </w14:solidFill>
          </w14:textFill>
        </w:rPr>
        <w:t>周口市公共资源交易中心网</w:t>
      </w:r>
      <w:r>
        <w:rPr>
          <w:rFonts w:hint="eastAsia" w:asciiTheme="minorEastAsia" w:hAnsiTheme="minorEastAsia" w:eastAsiaTheme="minorEastAsia" w:cstheme="minorEastAsia"/>
          <w:color w:val="000000" w:themeColor="text1"/>
          <w:sz w:val="24"/>
          <w14:textFill>
            <w14:solidFill>
              <w14:schemeClr w14:val="tx1"/>
            </w14:solidFill>
          </w14:textFill>
        </w:rPr>
        <w:t>（网址http://jyzx.zhoukou.gov.cn）。</w:t>
      </w:r>
    </w:p>
    <w:p>
      <w:pPr>
        <w:pStyle w:val="5"/>
        <w:autoSpaceDE w:val="0"/>
        <w:autoSpaceDN w:val="0"/>
        <w:spacing w:line="360" w:lineRule="auto"/>
        <w:jc w:val="left"/>
        <w:rPr>
          <w:rFonts w:asciiTheme="minorEastAsia" w:hAnsiTheme="minorEastAsia" w:eastAsiaTheme="minorEastAsia" w:cstheme="minorEastAsia"/>
          <w:color w:val="000000" w:themeColor="text1"/>
          <w:sz w:val="24"/>
          <w14:textFill>
            <w14:solidFill>
              <w14:schemeClr w14:val="tx1"/>
            </w14:solidFill>
          </w14:textFill>
        </w:rPr>
      </w:pPr>
      <w:bookmarkStart w:id="16" w:name="_Toc28359093"/>
      <w:bookmarkStart w:id="17" w:name="_Toc35393802"/>
      <w:bookmarkStart w:id="18" w:name="_Toc35393633"/>
      <w:bookmarkStart w:id="19" w:name="_Toc28359016"/>
      <w:r>
        <w:rPr>
          <w:rFonts w:hint="eastAsia" w:asciiTheme="minorEastAsia" w:hAnsiTheme="minorEastAsia" w:eastAsiaTheme="minorEastAsia" w:cstheme="minorEastAsia"/>
          <w:color w:val="000000" w:themeColor="text1"/>
          <w:sz w:val="24"/>
          <w14:textFill>
            <w14:solidFill>
              <w14:schemeClr w14:val="tx1"/>
            </w14:solidFill>
          </w14:textFill>
        </w:rPr>
        <w:t>五、开启（竞争性磋商方式必须填写）</w:t>
      </w:r>
      <w:bookmarkEnd w:id="16"/>
      <w:bookmarkEnd w:id="17"/>
      <w:bookmarkEnd w:id="18"/>
      <w:bookmarkEnd w:id="19"/>
    </w:p>
    <w:p>
      <w:pPr>
        <w:autoSpaceDE w:val="0"/>
        <w:autoSpaceDN w:val="0"/>
        <w:spacing w:line="360" w:lineRule="auto"/>
        <w:ind w:firstLine="480" w:firstLineChars="200"/>
        <w:rPr>
          <w:rFonts w:asciiTheme="minorEastAsia" w:hAnsiTheme="minorEastAsia" w:eastAsiaTheme="minorEastAsia" w:cstheme="minorEastAsia"/>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时间：</w:t>
      </w:r>
      <w:r>
        <w:rPr>
          <w:rFonts w:hint="eastAsia" w:ascii="宋体" w:hAnsi="宋体" w:eastAsia="宋体" w:cs="宋体"/>
          <w:color w:val="auto"/>
          <w:sz w:val="24"/>
          <w:highlight w:val="none"/>
          <w:lang w:val="en-US" w:eastAsia="zh-CN"/>
        </w:rPr>
        <w:t>2024</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点</w:t>
      </w:r>
      <w:r>
        <w:rPr>
          <w:rFonts w:hint="eastAsia" w:ascii="宋体" w:hAnsi="宋体" w:eastAsia="宋体" w:cs="宋体"/>
          <w:color w:val="auto"/>
          <w:sz w:val="24"/>
          <w:highlight w:val="none"/>
          <w:lang w:val="en-US" w:eastAsia="zh-CN"/>
        </w:rPr>
        <w:t>00</w:t>
      </w:r>
      <w:r>
        <w:rPr>
          <w:rFonts w:hint="eastAsia" w:ascii="宋体" w:hAnsi="宋体" w:eastAsia="宋体" w:cs="宋体"/>
          <w:color w:val="auto"/>
          <w:sz w:val="24"/>
          <w:highlight w:val="none"/>
        </w:rPr>
        <w:t>分</w:t>
      </w:r>
      <w:r>
        <w:rPr>
          <w:rFonts w:hint="eastAsia" w:asciiTheme="minorEastAsia" w:hAnsiTheme="minorEastAsia" w:eastAsiaTheme="minorEastAsia" w:cstheme="minorEastAsia"/>
          <w:bCs/>
          <w:color w:val="000000" w:themeColor="text1"/>
          <w:sz w:val="24"/>
          <w14:textFill>
            <w14:solidFill>
              <w14:schemeClr w14:val="tx1"/>
            </w14:solidFill>
          </w14:textFill>
        </w:rPr>
        <w:t>（北京时间）</w:t>
      </w:r>
    </w:p>
    <w:p>
      <w:pPr>
        <w:autoSpaceDE w:val="0"/>
        <w:autoSpaceDN w:val="0"/>
        <w:spacing w:line="360" w:lineRule="auto"/>
        <w:ind w:firstLine="480" w:firstLineChars="200"/>
        <w:jc w:val="left"/>
        <w:rPr>
          <w:rFonts w:asciiTheme="minorEastAsia" w:hAnsiTheme="minorEastAsia" w:eastAsiaTheme="minorEastAsia" w:cstheme="minorEastAsia"/>
          <w:bCs/>
          <w:color w:val="000000" w:themeColor="text1"/>
          <w:sz w:val="24"/>
          <w:u w:val="single"/>
          <w14:textFill>
            <w14:solidFill>
              <w14:schemeClr w14:val="tx1"/>
            </w14:solidFill>
          </w14:textFill>
        </w:rPr>
      </w:pPr>
      <w:r>
        <w:rPr>
          <w:rFonts w:hint="eastAsia" w:asciiTheme="minorEastAsia" w:hAnsiTheme="minorEastAsia" w:eastAsiaTheme="minorEastAsia" w:cstheme="minorEastAsia"/>
          <w:color w:val="000000" w:themeColor="text1"/>
          <w:sz w:val="24"/>
          <w14:textFill>
            <w14:solidFill>
              <w14:schemeClr w14:val="tx1"/>
            </w14:solidFill>
          </w14:textFill>
        </w:rPr>
        <w:t>地点：</w:t>
      </w:r>
      <w:r>
        <w:rPr>
          <w:rFonts w:hint="eastAsia" w:ascii="宋体" w:hAnsi="宋体" w:cs="宋体"/>
          <w:color w:val="000000" w:themeColor="text1"/>
          <w:sz w:val="24"/>
          <w14:textFill>
            <w14:solidFill>
              <w14:schemeClr w14:val="tx1"/>
            </w14:solidFill>
          </w14:textFill>
        </w:rPr>
        <w:t>周口市公共资源交易中心开标室</w:t>
      </w:r>
    </w:p>
    <w:p>
      <w:pPr>
        <w:pStyle w:val="5"/>
        <w:autoSpaceDE w:val="0"/>
        <w:autoSpaceDN w:val="0"/>
        <w:spacing w:line="360" w:lineRule="auto"/>
        <w:jc w:val="left"/>
        <w:rPr>
          <w:rFonts w:asciiTheme="minorEastAsia" w:hAnsiTheme="minorEastAsia" w:eastAsiaTheme="minorEastAsia" w:cstheme="minorEastAsia"/>
          <w:color w:val="000000" w:themeColor="text1"/>
          <w:sz w:val="24"/>
          <w14:textFill>
            <w14:solidFill>
              <w14:schemeClr w14:val="tx1"/>
            </w14:solidFill>
          </w14:textFill>
        </w:rPr>
      </w:pPr>
      <w:bookmarkStart w:id="20" w:name="_Toc35393634"/>
      <w:bookmarkStart w:id="21" w:name="_Toc28359017"/>
      <w:bookmarkStart w:id="22" w:name="_Toc35393803"/>
      <w:bookmarkStart w:id="23" w:name="_Toc28359094"/>
      <w:r>
        <w:rPr>
          <w:rFonts w:hint="eastAsia" w:asciiTheme="minorEastAsia" w:hAnsiTheme="minorEastAsia" w:eastAsiaTheme="minorEastAsia" w:cstheme="minorEastAsia"/>
          <w:color w:val="000000" w:themeColor="text1"/>
          <w:sz w:val="24"/>
          <w14:textFill>
            <w14:solidFill>
              <w14:schemeClr w14:val="tx1"/>
            </w14:solidFill>
          </w14:textFill>
        </w:rPr>
        <w:t>六、公告期限</w:t>
      </w:r>
      <w:bookmarkEnd w:id="20"/>
      <w:bookmarkEnd w:id="21"/>
      <w:bookmarkEnd w:id="22"/>
      <w:bookmarkEnd w:id="23"/>
    </w:p>
    <w:p>
      <w:pPr>
        <w:autoSpaceDE w:val="0"/>
        <w:autoSpaceDN w:val="0"/>
        <w:spacing w:line="360" w:lineRule="auto"/>
        <w:ind w:firstLine="480" w:firstLineChars="200"/>
        <w:rPr>
          <w:rFonts w:asciiTheme="minorEastAsia" w:hAnsiTheme="minorEastAsia" w:eastAsiaTheme="minorEastAsia" w:cstheme="minorEastAsia"/>
          <w:color w:val="000000" w:themeColor="text1"/>
          <w:kern w:val="0"/>
          <w:sz w:val="24"/>
          <w14:textFill>
            <w14:solidFill>
              <w14:schemeClr w14:val="tx1"/>
            </w14:solidFill>
          </w14:textFill>
        </w:rPr>
      </w:pPr>
      <w:r>
        <w:rPr>
          <w:rFonts w:hint="eastAsia" w:asciiTheme="minorEastAsia" w:hAnsiTheme="minorEastAsia" w:eastAsiaTheme="minorEastAsia" w:cstheme="minorEastAsia"/>
          <w:color w:val="000000" w:themeColor="text1"/>
          <w:kern w:val="0"/>
          <w:sz w:val="24"/>
          <w14:textFill>
            <w14:solidFill>
              <w14:schemeClr w14:val="tx1"/>
            </w14:solidFill>
          </w14:textFill>
        </w:rPr>
        <w:t>自本公告发布之日起3个工作日。</w:t>
      </w:r>
    </w:p>
    <w:p>
      <w:pPr>
        <w:pStyle w:val="5"/>
        <w:autoSpaceDE w:val="0"/>
        <w:autoSpaceDN w:val="0"/>
        <w:spacing w:line="360" w:lineRule="auto"/>
        <w:jc w:val="left"/>
        <w:rPr>
          <w:rFonts w:asciiTheme="minorEastAsia" w:hAnsiTheme="minorEastAsia" w:eastAsiaTheme="minorEastAsia" w:cstheme="minorEastAsia"/>
          <w:color w:val="000000" w:themeColor="text1"/>
          <w:sz w:val="24"/>
          <w14:textFill>
            <w14:solidFill>
              <w14:schemeClr w14:val="tx1"/>
            </w14:solidFill>
          </w14:textFill>
        </w:rPr>
      </w:pPr>
      <w:bookmarkStart w:id="24" w:name="_Toc35393635"/>
      <w:bookmarkStart w:id="25" w:name="_Toc35393804"/>
      <w:r>
        <w:rPr>
          <w:rFonts w:hint="eastAsia" w:asciiTheme="minorEastAsia" w:hAnsiTheme="minorEastAsia" w:eastAsiaTheme="minorEastAsia" w:cstheme="minorEastAsia"/>
          <w:color w:val="000000" w:themeColor="text1"/>
          <w:sz w:val="24"/>
          <w14:textFill>
            <w14:solidFill>
              <w14:schemeClr w14:val="tx1"/>
            </w14:solidFill>
          </w14:textFill>
        </w:rPr>
        <w:t>七、其他补充事宜</w:t>
      </w:r>
      <w:bookmarkEnd w:id="24"/>
      <w:bookmarkEnd w:id="25"/>
    </w:p>
    <w:p>
      <w:pPr>
        <w:pStyle w:val="5"/>
        <w:autoSpaceDE w:val="0"/>
        <w:autoSpaceDN w:val="0"/>
        <w:spacing w:line="360" w:lineRule="auto"/>
        <w:jc w:val="left"/>
        <w:rPr>
          <w:rFonts w:asciiTheme="minorEastAsia" w:hAnsiTheme="minorEastAsia" w:eastAsiaTheme="minorEastAsia" w:cstheme="minorEastAsia"/>
          <w:color w:val="000000" w:themeColor="text1"/>
          <w:sz w:val="24"/>
          <w14:textFill>
            <w14:solidFill>
              <w14:schemeClr w14:val="tx1"/>
            </w14:solidFill>
          </w14:textFill>
        </w:rPr>
      </w:pPr>
      <w:bookmarkStart w:id="26" w:name="_Toc35393805"/>
      <w:bookmarkStart w:id="27" w:name="_Toc28359095"/>
      <w:bookmarkStart w:id="28" w:name="_Toc28359018"/>
      <w:bookmarkStart w:id="29" w:name="_Toc35393636"/>
      <w:r>
        <w:rPr>
          <w:rFonts w:hint="eastAsia" w:asciiTheme="minorEastAsia" w:hAnsiTheme="minorEastAsia" w:eastAsiaTheme="minorEastAsia" w:cstheme="minorEastAsia"/>
          <w:color w:val="000000" w:themeColor="text1"/>
          <w:sz w:val="24"/>
          <w14:textFill>
            <w14:solidFill>
              <w14:schemeClr w14:val="tx1"/>
            </w14:solidFill>
          </w14:textFill>
        </w:rPr>
        <w:t>八、凡对本次采购提出询问，请按以下方式联系。</w:t>
      </w:r>
      <w:bookmarkEnd w:id="26"/>
      <w:bookmarkEnd w:id="27"/>
      <w:bookmarkEnd w:id="28"/>
      <w:bookmarkEnd w:id="29"/>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1.采购人信息</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名 称：商水县财政局　　　　　　　　</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地址：商水县　　</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项目联系人：冯强   联系方式：</w:t>
      </w:r>
      <w:r>
        <w:rPr>
          <w:rFonts w:ascii="宋体" w:hAnsi="宋体" w:cs="宋体"/>
          <w:color w:val="000000" w:themeColor="text1"/>
          <w:sz w:val="24"/>
          <w14:textFill>
            <w14:solidFill>
              <w14:schemeClr w14:val="tx1"/>
            </w14:solidFill>
          </w14:textFill>
        </w:rPr>
        <w:t>13949982182</w:t>
      </w:r>
      <w:r>
        <w:rPr>
          <w:rFonts w:hint="eastAsia" w:ascii="宋体" w:hAnsi="宋体" w:cs="宋体"/>
          <w:color w:val="000000" w:themeColor="text1"/>
          <w:sz w:val="24"/>
          <w14:textFill>
            <w14:solidFill>
              <w14:schemeClr w14:val="tx1"/>
            </w14:solidFill>
          </w14:textFill>
        </w:rPr>
        <w:t xml:space="preserve">　　　　 </w:t>
      </w:r>
      <w:bookmarkStart w:id="30" w:name="_Toc28359086"/>
      <w:bookmarkStart w:id="31" w:name="_Toc28359009"/>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2.采购代理机构信息</w:t>
      </w:r>
      <w:bookmarkEnd w:id="30"/>
      <w:bookmarkEnd w:id="31"/>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名 称：周口市公共资源交易中心政府采购中心　　　　　　　　　　　　</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　址：周口市光明路与政通路交叉口向北100米路东</w:t>
      </w:r>
    </w:p>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项目联系人：</w:t>
      </w:r>
      <w:r>
        <w:rPr>
          <w:rFonts w:hint="eastAsia" w:ascii="宋体" w:hAnsi="宋体" w:cs="宋体"/>
          <w:color w:val="000000" w:themeColor="text1"/>
          <w:sz w:val="24"/>
          <w:lang w:val="en-US" w:eastAsia="zh-CN"/>
          <w14:textFill>
            <w14:solidFill>
              <w14:schemeClr w14:val="tx1"/>
            </w14:solidFill>
          </w14:textFill>
        </w:rPr>
        <w:t>张光</w:t>
      </w:r>
      <w:r>
        <w:rPr>
          <w:rFonts w:hint="eastAsia" w:ascii="宋体" w:hAnsi="宋体" w:cs="宋体"/>
          <w:color w:val="000000" w:themeColor="text1"/>
          <w:sz w:val="24"/>
          <w14:textFill>
            <w14:solidFill>
              <w14:schemeClr w14:val="tx1"/>
            </w14:solidFill>
          </w14:textFill>
        </w:rPr>
        <w:t xml:space="preserve">     联系方式：</w:t>
      </w:r>
      <w:bookmarkStart w:id="32" w:name="_Toc28359087"/>
      <w:bookmarkStart w:id="33" w:name="_Toc28359010"/>
      <w:r>
        <w:rPr>
          <w:rFonts w:hint="eastAsia" w:ascii="宋体" w:hAnsi="宋体" w:cs="宋体"/>
          <w:color w:val="000000" w:themeColor="text1"/>
          <w:sz w:val="24"/>
          <w:lang w:val="en-US" w:eastAsia="zh-CN"/>
          <w14:textFill>
            <w14:solidFill>
              <w14:schemeClr w14:val="tx1"/>
            </w14:solidFill>
          </w14:textFill>
        </w:rPr>
        <w:t>0394-8106517</w:t>
      </w:r>
      <w:r>
        <w:rPr>
          <w:rFonts w:hint="eastAsia" w:ascii="宋体" w:hAnsi="宋体" w:cs="宋体"/>
          <w:color w:val="000000" w:themeColor="text1"/>
          <w:sz w:val="24"/>
          <w14:textFill>
            <w14:solidFill>
              <w14:schemeClr w14:val="tx1"/>
            </w14:solidFill>
          </w14:textFill>
        </w:rPr>
        <w:t>　　　　　</w:t>
      </w:r>
    </w:p>
    <w:bookmarkEnd w:id="32"/>
    <w:bookmarkEnd w:id="33"/>
    <w:p>
      <w:pPr>
        <w:spacing w:line="360" w:lineRule="auto"/>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r>
        <w:rPr>
          <w:rFonts w:hint="eastAsia"/>
          <w:color w:val="000000" w:themeColor="text1"/>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监督单位：商水县财政局政府采购监督管理办公室</w:t>
      </w:r>
    </w:p>
    <w:p>
      <w:pPr>
        <w:spacing w:line="360" w:lineRule="auto"/>
        <w:ind w:firstLine="480" w:firstLineChars="200"/>
        <w:jc w:val="left"/>
        <w:rPr>
          <w:color w:val="000000" w:themeColor="text1"/>
          <w:szCs w:val="20"/>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联系方式：0394-7821169    </w:t>
      </w:r>
    </w:p>
    <w:p>
      <w:pPr>
        <w:spacing w:line="360" w:lineRule="auto"/>
        <w:ind w:firstLine="480" w:firstLineChars="200"/>
        <w:jc w:val="left"/>
        <w:rPr>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pPr>
        <w:pStyle w:val="2"/>
        <w:ind w:firstLine="0" w:firstLineChars="0"/>
        <w:rPr>
          <w:color w:val="000000" w:themeColor="text1"/>
          <w14:textFill>
            <w14:solidFill>
              <w14:schemeClr w14:val="tx1"/>
            </w14:solidFill>
          </w14:textFill>
        </w:rPr>
      </w:pPr>
    </w:p>
    <w:p>
      <w:pPr>
        <w:pStyle w:val="11"/>
        <w:adjustRightInd w:val="0"/>
        <w:snapToGrid w:val="0"/>
        <w:spacing w:line="360" w:lineRule="auto"/>
        <w:ind w:firstLine="2040" w:firstLineChars="85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周口市公共资源交易中心政府采购中心</w:t>
      </w:r>
    </w:p>
    <w:p>
      <w:pPr>
        <w:pStyle w:val="23"/>
        <w:adjustRightInd w:val="0"/>
        <w:spacing w:line="360" w:lineRule="auto"/>
        <w:ind w:firstLine="3360" w:firstLineChars="1400"/>
        <w:rPr>
          <w:rFonts w:ascii="宋体" w:hAnsi="宋体" w:cs="宋体"/>
          <w:color w:val="000000" w:themeColor="text1"/>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2024</w:t>
      </w:r>
      <w:r>
        <w:rPr>
          <w:rFonts w:hint="eastAsia" w:ascii="宋体" w:hAnsi="宋体" w:cs="宋体"/>
          <w:color w:val="000000" w:themeColor="text1"/>
          <w:sz w:val="24"/>
          <w:szCs w:val="24"/>
          <w14:textFill>
            <w14:solidFill>
              <w14:schemeClr w14:val="tx1"/>
            </w14:solidFill>
          </w14:textFill>
        </w:rPr>
        <w:t>年</w:t>
      </w:r>
      <w:r>
        <w:rPr>
          <w:rFonts w:hint="eastAsia" w:ascii="宋体" w:hAnsi="宋体" w:cs="宋体"/>
          <w:color w:val="000000" w:themeColor="text1"/>
          <w:sz w:val="24"/>
          <w:szCs w:val="24"/>
          <w:lang w:val="en-US" w:eastAsia="zh-CN"/>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t>月</w:t>
      </w:r>
      <w:r>
        <w:rPr>
          <w:rFonts w:hint="eastAsia" w:ascii="宋体" w:hAnsi="宋体" w:cs="宋体"/>
          <w:color w:val="000000" w:themeColor="text1"/>
          <w:sz w:val="24"/>
          <w:szCs w:val="24"/>
          <w:lang w:val="en-US" w:eastAsia="zh-CN"/>
          <w14:textFill>
            <w14:solidFill>
              <w14:schemeClr w14:val="tx1"/>
            </w14:solidFill>
          </w14:textFill>
        </w:rPr>
        <w:t>28</w:t>
      </w:r>
      <w:r>
        <w:rPr>
          <w:rFonts w:hint="eastAsia" w:ascii="宋体" w:hAnsi="宋体" w:cs="宋体"/>
          <w:color w:val="000000" w:themeColor="text1"/>
          <w:sz w:val="24"/>
          <w:szCs w:val="24"/>
          <w14:textFill>
            <w14:solidFill>
              <w14:schemeClr w14:val="tx1"/>
            </w14:solidFill>
          </w14:textFill>
        </w:rPr>
        <w:t>日　　</w:t>
      </w:r>
    </w:p>
    <w:p>
      <w:pPr>
        <w:pStyle w:val="28"/>
        <w:adjustRightInd w:val="0"/>
        <w:snapToGrid w:val="0"/>
        <w:spacing w:line="360" w:lineRule="auto"/>
        <w:ind w:firstLine="0" w:firstLineChars="0"/>
        <w:rPr>
          <w:color w:val="000000" w:themeColor="text1"/>
          <w14:textFill>
            <w14:solidFill>
              <w14:schemeClr w14:val="tx1"/>
            </w14:solidFill>
          </w14:textFill>
        </w:rPr>
      </w:pPr>
    </w:p>
    <w:p>
      <w:pPr>
        <w:pStyle w:val="28"/>
        <w:ind w:firstLine="0" w:firstLineChars="0"/>
        <w:rPr>
          <w:color w:val="000000" w:themeColor="text1"/>
          <w14:textFill>
            <w14:solidFill>
              <w14:schemeClr w14:val="tx1"/>
            </w14:solidFill>
          </w14:textFill>
        </w:rPr>
      </w:pPr>
    </w:p>
    <w:p>
      <w:pPr>
        <w:jc w:val="center"/>
        <w:rPr>
          <w:rFonts w:ascii="宋体" w:hAnsi="宋体" w:cs="宋体"/>
          <w:b/>
          <w:color w:val="000000" w:themeColor="text1"/>
          <w:sz w:val="32"/>
          <w:szCs w:val="32"/>
          <w14:textFill>
            <w14:solidFill>
              <w14:schemeClr w14:val="tx1"/>
            </w14:solidFill>
          </w14:textFill>
        </w:rPr>
      </w:pPr>
      <w:r>
        <w:rPr>
          <w:rFonts w:ascii="宋体" w:hAnsi="宋体" w:cs="宋体"/>
          <w:b/>
          <w:color w:val="000000" w:themeColor="text1"/>
          <w:sz w:val="32"/>
          <w:szCs w:val="32"/>
          <w14:textFill>
            <w14:solidFill>
              <w14:schemeClr w14:val="tx1"/>
            </w14:solidFill>
          </w14:textFill>
        </w:rPr>
        <w:br w:type="page"/>
      </w:r>
      <w:r>
        <w:rPr>
          <w:rFonts w:hint="eastAsia" w:ascii="宋体" w:hAnsi="宋体" w:cs="宋体"/>
          <w:b/>
          <w:color w:val="000000" w:themeColor="text1"/>
          <w:sz w:val="32"/>
          <w:szCs w:val="32"/>
          <w14:textFill>
            <w14:solidFill>
              <w14:schemeClr w14:val="tx1"/>
            </w14:solidFill>
          </w14:textFill>
        </w:rPr>
        <w:t>第二章    供应商须知</w:t>
      </w:r>
    </w:p>
    <w:tbl>
      <w:tblPr>
        <w:tblStyle w:val="29"/>
        <w:tblW w:w="9345"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995"/>
        <w:gridCol w:w="661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9345" w:type="dxa"/>
            <w:gridSpan w:val="3"/>
            <w:vAlign w:val="center"/>
          </w:tcPr>
          <w:p>
            <w:pPr>
              <w:jc w:val="center"/>
              <w:rPr>
                <w:rFonts w:ascii="宋体" w:hAnsi="宋体"/>
                <w:color w:val="000000" w:themeColor="text1"/>
                <w:szCs w:val="21"/>
                <w14:textFill>
                  <w14:solidFill>
                    <w14:schemeClr w14:val="tx1"/>
                  </w14:solidFill>
                </w14:textFill>
              </w:rPr>
            </w:pPr>
            <w:r>
              <w:rPr>
                <w:rFonts w:hint="eastAsia" w:ascii="宋体" w:hAnsi="宋体" w:cs="楷体_GB2312"/>
                <w:color w:val="000000" w:themeColor="text1"/>
                <w:sz w:val="32"/>
                <w:szCs w:val="32"/>
                <w14:textFill>
                  <w14:solidFill>
                    <w14:schemeClr w14:val="tx1"/>
                  </w14:solidFill>
                </w14:textFill>
              </w:rPr>
              <w:t>供应商须知前附表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3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序号</w:t>
            </w: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条款</w:t>
            </w:r>
          </w:p>
        </w:tc>
        <w:tc>
          <w:tcPr>
            <w:tcW w:w="6615"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内  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项目概况</w:t>
            </w:r>
          </w:p>
        </w:tc>
        <w:tc>
          <w:tcPr>
            <w:tcW w:w="6615"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项目名称：</w:t>
            </w:r>
            <w:r>
              <w:rPr>
                <w:rFonts w:hint="eastAsia" w:asciiTheme="minorEastAsia" w:hAnsiTheme="minorEastAsia" w:eastAsiaTheme="minorEastAsia" w:cstheme="minorEastAsia"/>
                <w:color w:val="000000" w:themeColor="text1"/>
                <w:sz w:val="24"/>
                <w14:textFill>
                  <w14:solidFill>
                    <w14:schemeClr w14:val="tx1"/>
                  </w14:solidFill>
                </w14:textFill>
              </w:rPr>
              <w:t>商水县财政局商水县县属国有企业年度财务报告审计服务项目</w:t>
            </w:r>
          </w:p>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采购内容：</w:t>
            </w:r>
            <w:r>
              <w:rPr>
                <w:rFonts w:hint="eastAsia" w:asciiTheme="minorEastAsia" w:hAnsiTheme="minorEastAsia" w:eastAsiaTheme="minorEastAsia" w:cstheme="minorEastAsia"/>
                <w:color w:val="000000" w:themeColor="text1"/>
                <w:sz w:val="24"/>
                <w14:textFill>
                  <w14:solidFill>
                    <w14:schemeClr w14:val="tx1"/>
                  </w14:solidFill>
                </w14:textFill>
              </w:rPr>
              <w:t>商水县财政局商水县县属国有企业年度财务报告审计服务项目</w:t>
            </w:r>
          </w:p>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采购人：</w:t>
            </w:r>
            <w:r>
              <w:rPr>
                <w:rFonts w:hint="eastAsia" w:asciiTheme="minorEastAsia" w:hAnsiTheme="minorEastAsia" w:eastAsiaTheme="minorEastAsia" w:cstheme="minorEastAsia"/>
                <w:color w:val="000000" w:themeColor="text1"/>
                <w:sz w:val="24"/>
                <w14:textFill>
                  <w14:solidFill>
                    <w14:schemeClr w14:val="tx1"/>
                  </w14:solidFill>
                </w14:textFill>
              </w:rPr>
              <w:t>商水县财政局</w:t>
            </w:r>
          </w:p>
          <w:p>
            <w:pPr>
              <w:rPr>
                <w:rFonts w:ascii="宋体" w:hAnsi="宋体" w:cs="宋体"/>
                <w:color w:val="000000" w:themeColor="text1"/>
                <w:sz w:val="24"/>
                <w:highlight w:val="yellow"/>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采购代理机构：周口市光明路与政通路交叉口向北100米路东</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ind w:left="-4" w:leftChars="-4" w:hanging="4" w:hangingChars="2"/>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对供应商的资格要求</w:t>
            </w:r>
          </w:p>
        </w:tc>
        <w:tc>
          <w:tcPr>
            <w:tcW w:w="6615" w:type="dxa"/>
            <w:vAlign w:val="center"/>
          </w:tcPr>
          <w:p>
            <w:pPr>
              <w:spacing w:before="156" w:beforeLines="50"/>
              <w:ind w:left="-4" w:leftChars="-4" w:hanging="4" w:hangingChars="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见竞争性磋商邀请函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报价费用</w:t>
            </w:r>
          </w:p>
        </w:tc>
        <w:tc>
          <w:tcPr>
            <w:tcW w:w="6615"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无论报价和磋商的过程和结果如何，供应商自行承担所有与参加报价及磋商有关活动的全部费用。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pPr>
              <w:numPr>
                <w:ilvl w:val="0"/>
                <w:numId w:val="1"/>
              </w:numPr>
              <w:spacing w:before="156" w:beforeLines="50"/>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响应文件语言</w:t>
            </w:r>
          </w:p>
        </w:tc>
        <w:tc>
          <w:tcPr>
            <w:tcW w:w="6615" w:type="dxa"/>
            <w:vAlign w:val="center"/>
          </w:tcPr>
          <w:p>
            <w:pPr>
              <w:snapToGrid w:val="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中文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pPr>
              <w:numPr>
                <w:ilvl w:val="0"/>
                <w:numId w:val="1"/>
              </w:numPr>
              <w:spacing w:before="156" w:beforeLines="50"/>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报价货币</w:t>
            </w:r>
          </w:p>
        </w:tc>
        <w:tc>
          <w:tcPr>
            <w:tcW w:w="6615"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人民币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报价范围及说明</w:t>
            </w:r>
          </w:p>
        </w:tc>
        <w:tc>
          <w:tcPr>
            <w:tcW w:w="6615"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报价包括本项目所招标的服务、保险、税费、验收等（采购项目技术规格、参数及要求）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响应文件有效期</w:t>
            </w:r>
          </w:p>
        </w:tc>
        <w:tc>
          <w:tcPr>
            <w:tcW w:w="6615"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响应文件递交截止期后60日内有效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tabs>
                <w:tab w:val="left" w:pos="8640"/>
              </w:tabs>
              <w:spacing w:before="156" w:beforeLines="50"/>
              <w:ind w:left="-2" w:leftChars="-1"/>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响应文件的组成</w:t>
            </w:r>
          </w:p>
        </w:tc>
        <w:tc>
          <w:tcPr>
            <w:tcW w:w="6615"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供应商应按本磋商文件规定的格式，填写并提供相关文件或资料，本磋商文件第三部分要求的文件和资料也须一并提供。供应商还可根据自己的理解，提供其他必要的技术响应、样本资料及附件；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tabs>
                <w:tab w:val="left" w:pos="8640"/>
              </w:tabs>
              <w:spacing w:before="156" w:beforeLines="50"/>
              <w:ind w:left="-2" w:leftChars="-1"/>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响应文件封面要求</w:t>
            </w:r>
          </w:p>
        </w:tc>
        <w:tc>
          <w:tcPr>
            <w:tcW w:w="6615" w:type="dxa"/>
            <w:vAlign w:val="center"/>
          </w:tcPr>
          <w:p>
            <w:pPr>
              <w:tabs>
                <w:tab w:val="left" w:pos="8640"/>
              </w:tabs>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响应文件份数要求</w:t>
            </w:r>
          </w:p>
        </w:tc>
        <w:tc>
          <w:tcPr>
            <w:tcW w:w="6615" w:type="dxa"/>
            <w:vAlign w:val="center"/>
          </w:tcPr>
          <w:p>
            <w:pPr>
              <w:tabs>
                <w:tab w:val="left" w:pos="8640"/>
              </w:tabs>
              <w:ind w:left="-2" w:leftChars="-1"/>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加密的电子投标文件须在投标截止时间前成功上传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响应文件装订和密封要求</w:t>
            </w:r>
          </w:p>
        </w:tc>
        <w:tc>
          <w:tcPr>
            <w:tcW w:w="6615"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竞争性磋商文件的澄清</w:t>
            </w:r>
          </w:p>
        </w:tc>
        <w:tc>
          <w:tcPr>
            <w:tcW w:w="6615"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对竞争性磋商文件进行的澄清，以网上公告的方式通知供应商。澄清或修改的内容可能影响响应文件编制的，采购人、采购代理机构应当在提交响应文件截止时间至少5日前。</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响应文件递交截止时间</w:t>
            </w:r>
          </w:p>
        </w:tc>
        <w:tc>
          <w:tcPr>
            <w:tcW w:w="6615" w:type="dxa"/>
            <w:vAlign w:val="center"/>
          </w:tcPr>
          <w:p>
            <w:pPr>
              <w:ind w:firstLine="240" w:firstLineChars="100"/>
              <w:rPr>
                <w:rFonts w:ascii="宋体" w:hAnsi="宋体" w:cs="宋体"/>
                <w:color w:val="000000" w:themeColor="text1"/>
                <w:sz w:val="24"/>
                <w14:textFill>
                  <w14:solidFill>
                    <w14:schemeClr w14:val="tx1"/>
                  </w14:solidFill>
                </w14:textFill>
              </w:rPr>
            </w:pPr>
            <w:r>
              <w:rPr>
                <w:rFonts w:hint="eastAsia" w:ascii="宋体" w:hAnsi="宋体" w:eastAsia="宋体" w:cs="宋体"/>
                <w:color w:val="auto"/>
                <w:sz w:val="24"/>
                <w:highlight w:val="none"/>
                <w:lang w:val="en-US" w:eastAsia="zh-CN"/>
              </w:rPr>
              <w:t>2024</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点</w:t>
            </w:r>
            <w:r>
              <w:rPr>
                <w:rFonts w:hint="eastAsia" w:ascii="宋体" w:hAnsi="宋体" w:eastAsia="宋体" w:cs="宋体"/>
                <w:color w:val="auto"/>
                <w:sz w:val="24"/>
                <w:highlight w:val="none"/>
                <w:lang w:val="en-US" w:eastAsia="zh-CN"/>
              </w:rPr>
              <w:t>00</w:t>
            </w:r>
            <w:r>
              <w:rPr>
                <w:rFonts w:hint="eastAsia" w:ascii="宋体" w:hAnsi="宋体" w:eastAsia="宋体" w:cs="宋体"/>
                <w:color w:val="auto"/>
                <w:sz w:val="24"/>
                <w:highlight w:val="none"/>
              </w:rPr>
              <w:t>分</w:t>
            </w:r>
            <w:r>
              <w:rPr>
                <w:rFonts w:hint="eastAsia" w:ascii="宋体" w:hAnsi="宋体" w:cs="宋体"/>
                <w:color w:val="000000" w:themeColor="text1"/>
                <w:sz w:val="24"/>
                <w14:textFill>
                  <w14:solidFill>
                    <w14:schemeClr w14:val="tx1"/>
                  </w14:solidFill>
                </w14:textFill>
              </w:rPr>
              <w:t xml:space="preserve">（见磋商公告）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响应文件递交地点</w:t>
            </w:r>
          </w:p>
        </w:tc>
        <w:tc>
          <w:tcPr>
            <w:tcW w:w="6615" w:type="dxa"/>
            <w:vAlign w:val="center"/>
          </w:tcPr>
          <w:p>
            <w:pP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周口市公共资源交易中心网</w:t>
            </w:r>
          </w:p>
          <w:p>
            <w:pPr>
              <w:rPr>
                <w:rFonts w:ascii="宋体" w:hAnsi="宋体" w:cs="宋体" w:eastAsiaTheme="minorEastAsia"/>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网址：周口市公共资源电子交易服务平台会员系统（网址</w:t>
            </w:r>
            <w:r>
              <w:rPr>
                <w:rFonts w:hint="eastAsia" w:asciiTheme="minorEastAsia" w:hAnsiTheme="minorEastAsia" w:eastAsiaTheme="minorEastAsia"/>
                <w:color w:val="000000" w:themeColor="text1"/>
                <w14:textFill>
                  <w14:solidFill>
                    <w14:schemeClr w14:val="tx1"/>
                  </w14:solidFill>
                </w14:textFill>
              </w:rPr>
              <w:t>http://jyzx.zhoukou.gov.cn）</w:t>
            </w:r>
          </w:p>
          <w:p>
            <w:pPr>
              <w:spacing w:line="56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（本项目实行网上远程开标无须到现场提交响应文件）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磋商时间</w:t>
            </w:r>
          </w:p>
        </w:tc>
        <w:tc>
          <w:tcPr>
            <w:tcW w:w="6615" w:type="dxa"/>
            <w:vAlign w:val="center"/>
          </w:tcPr>
          <w:p>
            <w:pPr>
              <w:tabs>
                <w:tab w:val="left" w:pos="8640"/>
              </w:tabs>
              <w:ind w:left="-2" w:leftChars="-1" w:firstLine="240" w:firstLineChars="100"/>
              <w:rPr>
                <w:rFonts w:ascii="宋体" w:hAnsi="宋体" w:cs="宋体"/>
                <w:color w:val="000000" w:themeColor="text1"/>
                <w:sz w:val="24"/>
                <w14:textFill>
                  <w14:solidFill>
                    <w14:schemeClr w14:val="tx1"/>
                  </w14:solidFill>
                </w14:textFill>
              </w:rPr>
            </w:pPr>
            <w:r>
              <w:rPr>
                <w:rFonts w:hint="eastAsia" w:ascii="宋体" w:hAnsi="宋体" w:eastAsia="宋体" w:cs="宋体"/>
                <w:color w:val="auto"/>
                <w:sz w:val="24"/>
                <w:highlight w:val="none"/>
                <w:lang w:val="en-US" w:eastAsia="zh-CN"/>
              </w:rPr>
              <w:t>2024</w:t>
            </w:r>
            <w:r>
              <w:rPr>
                <w:rFonts w:hint="eastAsia" w:ascii="宋体" w:hAnsi="宋体" w:eastAsia="宋体" w:cs="宋体"/>
                <w:color w:val="auto"/>
                <w:sz w:val="24"/>
                <w:highlight w:val="none"/>
              </w:rPr>
              <w:t>年</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月</w:t>
            </w: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rPr>
              <w:t>点</w:t>
            </w:r>
            <w:r>
              <w:rPr>
                <w:rFonts w:hint="eastAsia" w:ascii="宋体" w:hAnsi="宋体" w:eastAsia="宋体" w:cs="宋体"/>
                <w:color w:val="auto"/>
                <w:sz w:val="24"/>
                <w:highlight w:val="none"/>
                <w:lang w:val="en-US" w:eastAsia="zh-CN"/>
              </w:rPr>
              <w:t>00</w:t>
            </w:r>
            <w:r>
              <w:rPr>
                <w:rFonts w:hint="eastAsia" w:ascii="宋体" w:hAnsi="宋体" w:eastAsia="宋体" w:cs="宋体"/>
                <w:color w:val="auto"/>
                <w:sz w:val="24"/>
                <w:highlight w:val="none"/>
              </w:rPr>
              <w:t>分</w:t>
            </w:r>
            <w:r>
              <w:rPr>
                <w:rFonts w:hint="eastAsia" w:ascii="宋体" w:hAnsi="宋体" w:cs="宋体"/>
                <w:color w:val="000000" w:themeColor="text1"/>
                <w:sz w:val="24"/>
                <w14:textFill>
                  <w14:solidFill>
                    <w14:schemeClr w14:val="tx1"/>
                  </w14:solidFill>
                </w14:textFill>
              </w:rPr>
              <w:t xml:space="preserve">   见磋商公告</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磋商程序和内容</w:t>
            </w:r>
          </w:p>
        </w:tc>
        <w:tc>
          <w:tcPr>
            <w:tcW w:w="6615" w:type="dxa"/>
            <w:vAlign w:val="center"/>
          </w:tcPr>
          <w:p>
            <w:pPr>
              <w:tabs>
                <w:tab w:val="left" w:pos="8640"/>
              </w:tabs>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详见磋商文件第二章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授予合同</w:t>
            </w:r>
          </w:p>
        </w:tc>
        <w:tc>
          <w:tcPr>
            <w:tcW w:w="6615" w:type="dxa"/>
            <w:vAlign w:val="center"/>
          </w:tcPr>
          <w:p>
            <w:pPr>
              <w:tabs>
                <w:tab w:val="left" w:pos="8640"/>
              </w:tabs>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采购人根据磋商小组的推荐意见，确定成交供应商。采购代理机构向成交供应商发出成交通知书。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ind w:firstLine="14" w:firstLineChars="6"/>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签订合同</w:t>
            </w:r>
          </w:p>
        </w:tc>
        <w:tc>
          <w:tcPr>
            <w:tcW w:w="6615" w:type="dxa"/>
            <w:vAlign w:val="center"/>
          </w:tcPr>
          <w:p>
            <w:pPr>
              <w:tabs>
                <w:tab w:val="left" w:pos="8640"/>
              </w:tabs>
              <w:ind w:left="-2" w:leftChars="-1"/>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1）接到成交通知书30天内，成交供应商应与采购人签订采购合同。</w:t>
            </w:r>
          </w:p>
          <w:p>
            <w:pPr>
              <w:tabs>
                <w:tab w:val="left" w:pos="8640"/>
              </w:tabs>
              <w:ind w:left="-2" w:leftChars="-1"/>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2）本磋商文件、响应文件及磋商、评审过程中有关澄清、承诺文件的内容，将作为签订合同的主要内容。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ind w:firstLine="14" w:firstLineChars="6"/>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投标保证金</w:t>
            </w:r>
          </w:p>
        </w:tc>
        <w:tc>
          <w:tcPr>
            <w:tcW w:w="6615" w:type="dxa"/>
            <w:vAlign w:val="center"/>
          </w:tcPr>
          <w:p>
            <w:pPr>
              <w:rPr>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不需要缴纳投标保证金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服务期限</w:t>
            </w:r>
          </w:p>
        </w:tc>
        <w:tc>
          <w:tcPr>
            <w:tcW w:w="6615" w:type="dxa"/>
            <w:vAlign w:val="center"/>
          </w:tcPr>
          <w:p>
            <w:pPr>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30日历天</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35" w:type="dxa"/>
            <w:vAlign w:val="center"/>
          </w:tcPr>
          <w:p>
            <w:pPr>
              <w:numPr>
                <w:ilvl w:val="0"/>
                <w:numId w:val="1"/>
              </w:numPr>
              <w:spacing w:before="156" w:beforeLines="50"/>
              <w:jc w:val="center"/>
              <w:rPr>
                <w:rFonts w:ascii="宋体" w:hAnsi="宋体" w:cs="宋体"/>
                <w:color w:val="000000" w:themeColor="text1"/>
                <w:sz w:val="24"/>
                <w14:textFill>
                  <w14:solidFill>
                    <w14:schemeClr w14:val="tx1"/>
                  </w14:solidFill>
                </w14:textFill>
              </w:rPr>
            </w:pPr>
          </w:p>
        </w:tc>
        <w:tc>
          <w:tcPr>
            <w:tcW w:w="1995" w:type="dxa"/>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付款方式（要求详细填写）</w:t>
            </w:r>
          </w:p>
        </w:tc>
        <w:tc>
          <w:tcPr>
            <w:tcW w:w="6615" w:type="dxa"/>
            <w:vAlign w:val="center"/>
          </w:tcPr>
          <w:p>
            <w:pPr>
              <w:tabs>
                <w:tab w:val="left" w:pos="8640"/>
              </w:tabs>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合同签订后，采购人支付合同金额的30%的审计费用，其余款项于[审计报告草稿完成日]结清。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735" w:type="dxa"/>
            <w:vAlign w:val="center"/>
          </w:tcPr>
          <w:p>
            <w:pPr>
              <w:spacing w:before="156" w:beforeLines="50"/>
              <w:ind w:firstLine="14" w:firstLineChars="6"/>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ind w:firstLine="14" w:firstLineChars="6"/>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勘察现场</w:t>
            </w:r>
          </w:p>
        </w:tc>
        <w:tc>
          <w:tcPr>
            <w:tcW w:w="6615" w:type="dxa"/>
            <w:vAlign w:val="center"/>
          </w:tcPr>
          <w:p>
            <w:pPr>
              <w:tabs>
                <w:tab w:val="left" w:pos="8640"/>
              </w:tabs>
              <w:ind w:firstLine="14" w:firstLineChars="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不组织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pPr>
              <w:spacing w:before="156" w:beforeLines="50"/>
              <w:ind w:firstLine="14" w:firstLineChars="6"/>
              <w:jc w:val="center"/>
              <w:rPr>
                <w:rFonts w:ascii="宋体" w:hAnsi="宋体" w:cs="宋体"/>
                <w:color w:val="000000" w:themeColor="text1"/>
                <w:sz w:val="24"/>
                <w14:textFill>
                  <w14:solidFill>
                    <w14:schemeClr w14:val="tx1"/>
                  </w14:solidFill>
                </w14:textFill>
              </w:rPr>
            </w:pPr>
          </w:p>
        </w:tc>
        <w:tc>
          <w:tcPr>
            <w:tcW w:w="1995" w:type="dxa"/>
            <w:vAlign w:val="center"/>
          </w:tcPr>
          <w:p>
            <w:pPr>
              <w:spacing w:before="156" w:beforeLines="50"/>
              <w:ind w:firstLine="14" w:firstLineChars="6"/>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报价</w:t>
            </w:r>
          </w:p>
        </w:tc>
        <w:tc>
          <w:tcPr>
            <w:tcW w:w="6615" w:type="dxa"/>
            <w:vAlign w:val="center"/>
          </w:tcPr>
          <w:p>
            <w:pPr>
              <w:tabs>
                <w:tab w:val="left" w:pos="8640"/>
              </w:tabs>
              <w:ind w:firstLine="14" w:firstLineChars="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一次报价</w:t>
            </w:r>
          </w:p>
        </w:tc>
      </w:tr>
    </w:tbl>
    <w:p>
      <w:pPr>
        <w:pStyle w:val="28"/>
        <w:ind w:firstLine="0" w:firstLineChars="0"/>
        <w:rPr>
          <w:rFonts w:ascii="宋体" w:hAnsi="宋体" w:cs="宋体"/>
          <w:b/>
          <w:color w:val="000000" w:themeColor="text1"/>
          <w:sz w:val="30"/>
          <w:szCs w:val="30"/>
          <w14:textFill>
            <w14:solidFill>
              <w14:schemeClr w14:val="tx1"/>
            </w14:solidFill>
          </w14:textFill>
        </w:rPr>
      </w:pPr>
    </w:p>
    <w:p>
      <w:pPr>
        <w:pStyle w:val="28"/>
        <w:ind w:firstLine="0" w:firstLineChars="0"/>
        <w:rPr>
          <w:rFonts w:ascii="宋体" w:hAnsi="宋体" w:cs="宋体"/>
          <w:b/>
          <w:color w:val="000000" w:themeColor="text1"/>
          <w:sz w:val="30"/>
          <w:szCs w:val="30"/>
          <w14:textFill>
            <w14:solidFill>
              <w14:schemeClr w14:val="tx1"/>
            </w14:solidFill>
          </w14:textFill>
        </w:rPr>
      </w:pPr>
    </w:p>
    <w:p>
      <w:pPr>
        <w:pStyle w:val="28"/>
        <w:ind w:firstLine="0" w:firstLineChars="0"/>
        <w:rPr>
          <w:rFonts w:ascii="宋体" w:hAnsi="宋体" w:cs="宋体"/>
          <w:b/>
          <w:color w:val="000000" w:themeColor="text1"/>
          <w:sz w:val="30"/>
          <w:szCs w:val="30"/>
          <w14:textFill>
            <w14:solidFill>
              <w14:schemeClr w14:val="tx1"/>
            </w14:solidFill>
          </w14:textFill>
        </w:rPr>
      </w:pPr>
    </w:p>
    <w:p>
      <w:pPr>
        <w:pStyle w:val="28"/>
        <w:ind w:firstLine="0" w:firstLineChars="0"/>
        <w:rPr>
          <w:rFonts w:ascii="宋体" w:hAnsi="宋体" w:cs="宋体"/>
          <w:b/>
          <w:color w:val="000000" w:themeColor="text1"/>
          <w:sz w:val="30"/>
          <w:szCs w:val="30"/>
          <w14:textFill>
            <w14:solidFill>
              <w14:schemeClr w14:val="tx1"/>
            </w14:solidFill>
          </w14:textFill>
        </w:rPr>
      </w:pPr>
    </w:p>
    <w:p>
      <w:pPr>
        <w:pStyle w:val="28"/>
        <w:ind w:firstLine="0" w:firstLineChars="0"/>
        <w:rPr>
          <w:rFonts w:ascii="宋体" w:hAnsi="宋体" w:cs="宋体"/>
          <w:b/>
          <w:color w:val="000000" w:themeColor="text1"/>
          <w:sz w:val="30"/>
          <w:szCs w:val="30"/>
          <w14:textFill>
            <w14:solidFill>
              <w14:schemeClr w14:val="tx1"/>
            </w14:solidFill>
          </w14:textFill>
        </w:rPr>
      </w:pPr>
    </w:p>
    <w:p>
      <w:pPr>
        <w:pStyle w:val="28"/>
        <w:ind w:firstLine="0" w:firstLineChars="0"/>
        <w:rPr>
          <w:rFonts w:ascii="宋体" w:hAnsi="宋体" w:cs="宋体"/>
          <w:b/>
          <w:color w:val="000000" w:themeColor="text1"/>
          <w:sz w:val="30"/>
          <w:szCs w:val="30"/>
          <w14:textFill>
            <w14:solidFill>
              <w14:schemeClr w14:val="tx1"/>
            </w14:solidFill>
          </w14:textFill>
        </w:rPr>
      </w:pPr>
    </w:p>
    <w:p>
      <w:pPr>
        <w:spacing w:line="720" w:lineRule="auto"/>
        <w:jc w:val="center"/>
        <w:rPr>
          <w:rFonts w:ascii="宋体" w:hAnsi="宋体" w:cs="宋体"/>
          <w:b/>
          <w:color w:val="000000" w:themeColor="text1"/>
          <w:sz w:val="30"/>
          <w:szCs w:val="30"/>
          <w14:textFill>
            <w14:solidFill>
              <w14:schemeClr w14:val="tx1"/>
            </w14:solidFill>
          </w14:textFill>
        </w:rPr>
      </w:pPr>
      <w:r>
        <w:rPr>
          <w:rFonts w:hint="eastAsia" w:ascii="宋体" w:hAnsi="宋体" w:cs="宋体"/>
          <w:b/>
          <w:color w:val="000000" w:themeColor="text1"/>
          <w:sz w:val="30"/>
          <w:szCs w:val="30"/>
          <w14:textFill>
            <w14:solidFill>
              <w14:schemeClr w14:val="tx1"/>
            </w14:solidFill>
          </w14:textFill>
        </w:rPr>
        <w:t>一、总则</w:t>
      </w:r>
    </w:p>
    <w:p>
      <w:pPr>
        <w:spacing w:line="560" w:lineRule="exact"/>
        <w:ind w:firstLine="482" w:firstLineChars="200"/>
        <w:rPr>
          <w:rFonts w:ascii="宋体" w:hAnsi="宋体" w:cs="宋体"/>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1．适用范围</w:t>
      </w:r>
    </w:p>
    <w:p>
      <w:pPr>
        <w:spacing w:line="56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1.1本竞争性磋商文件仅适用于本次竞争性磋商邀请函中所述</w:t>
      </w:r>
      <w:r>
        <w:rPr>
          <w:rFonts w:hint="eastAsia" w:ascii="宋体" w:hAnsi="宋体" w:cs="宋体"/>
          <w:bCs/>
          <w:color w:val="000000" w:themeColor="text1"/>
          <w:sz w:val="24"/>
          <w14:textFill>
            <w14:solidFill>
              <w14:schemeClr w14:val="tx1"/>
            </w14:solidFill>
          </w14:textFill>
        </w:rPr>
        <w:t>项目。</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2．定义</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2.1“采购代理机构”：周口市公共资源交易中心政府采购中心。</w:t>
      </w:r>
    </w:p>
    <w:p>
      <w:pPr>
        <w:tabs>
          <w:tab w:val="left" w:pos="0"/>
        </w:tabs>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2.2“采购人”：商水县财政局</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2.3“供应商”系指按竞争性磋商文件规定取得竞争性磋商文件并参加竞争性磋商活动的法人、其他组织或者自然人。</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2.4“供应商代表”：系指代表供应商参加本次竞争性磋商活动的供应商的法定代表人或其委托代理人。</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2.5“服务”：系指本项目所采购的服务及其他要求等。</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2.6“法定代表人”系指法人单位（企业）法人营业执照（或事业法人登记证书上）上注明的法定代表人；如为其他组织或个体经营者参加竞争性磋商会的，指营业执照上注明的负责人或经营者。 </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2.7“重大违法记录”系指供应商因违法经营受到刑事处罚或者责令停产停业、吊销许可证或者执照、较大数额罚款等行政处罚。</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2.8“不具备良好的商业信誉”是指：</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（1）有重大违法记录的（满三年的除外）；</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（2）被各级财政部门列入政府采购严重违法失信行为信息记录的（期限已满的除外）；</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（3）被各级政府采购监督管理部门禁止在一定期限内参加政府采购活动等处罚的（期限已满的除外）；</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（4）被各级法院列入失信名单的（已依法解除的除外）；</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（5）法律法规规定的其他情形。</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3.采购预算</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3.1本次采购预算：见公告。</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4.合格的供应商</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4.1.1符合供应商资格条件（详见第一部分供应商资格条件）</w:t>
      </w:r>
    </w:p>
    <w:p>
      <w:pPr>
        <w:widowControl/>
        <w:spacing w:line="360" w:lineRule="auto"/>
        <w:ind w:firstLine="480" w:firstLineChars="200"/>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4.1.2参加政府采购活动前三年内，在经营活动中没有重大违法记录的声明函；</w:t>
      </w:r>
    </w:p>
    <w:p>
      <w:pPr>
        <w:widowControl/>
        <w:spacing w:line="360" w:lineRule="auto"/>
        <w:ind w:firstLine="480" w:firstLineChars="200"/>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4.1.3 政府采购供应商诚信承诺书；</w:t>
      </w:r>
    </w:p>
    <w:p>
      <w:pPr>
        <w:pStyle w:val="71"/>
        <w:spacing w:line="360" w:lineRule="auto"/>
        <w:ind w:firstLine="480" w:firstLineChars="200"/>
        <w:rPr>
          <w:rFonts w:hAnsi="宋体" w:eastAsia="宋体"/>
          <w:color w:val="000000" w:themeColor="text1"/>
          <w:sz w:val="24"/>
          <w14:textFill>
            <w14:solidFill>
              <w14:schemeClr w14:val="tx1"/>
            </w14:solidFill>
          </w14:textFill>
        </w:rPr>
      </w:pPr>
      <w:r>
        <w:rPr>
          <w:rFonts w:hint="eastAsia" w:hAnsi="宋体" w:eastAsia="宋体"/>
          <w:color w:val="000000" w:themeColor="text1"/>
          <w:sz w:val="24"/>
          <w14:textFill>
            <w14:solidFill>
              <w14:schemeClr w14:val="tx1"/>
            </w14:solidFill>
          </w14:textFill>
        </w:rPr>
        <w:t>4.</w:t>
      </w:r>
      <w:r>
        <w:rPr>
          <w:rFonts w:hint="eastAsia" w:hAnsi="宋体" w:eastAsia="宋体"/>
          <w:color w:val="000000" w:themeColor="text1"/>
          <w:sz w:val="24"/>
          <w:lang w:val="en-US"/>
          <w14:textFill>
            <w14:solidFill>
              <w14:schemeClr w14:val="tx1"/>
            </w14:solidFill>
          </w14:textFill>
        </w:rPr>
        <w:t>1.4 供应商</w:t>
      </w:r>
      <w:r>
        <w:rPr>
          <w:rFonts w:hint="eastAsia" w:hAnsi="宋体" w:eastAsia="宋体"/>
          <w:color w:val="000000" w:themeColor="text1"/>
          <w:sz w:val="24"/>
          <w14:textFill>
            <w14:solidFill>
              <w14:schemeClr w14:val="tx1"/>
            </w14:solidFill>
          </w14:textFill>
        </w:rPr>
        <w:t>自觉抵制政府采购领域商业贿赂行为承诺书；</w:t>
      </w:r>
    </w:p>
    <w:p>
      <w:pPr>
        <w:spacing w:line="360" w:lineRule="auto"/>
        <w:ind w:firstLine="480" w:firstLineChars="200"/>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 xml:space="preserve">4.2 </w:t>
      </w:r>
      <w:r>
        <w:rPr>
          <w:rFonts w:hint="eastAsia" w:ascii="宋体" w:hAnsi="宋体" w:cs="宋体"/>
          <w:color w:val="000000" w:themeColor="text1"/>
          <w:kern w:val="0"/>
          <w:sz w:val="24"/>
          <w14:textFill>
            <w14:solidFill>
              <w14:schemeClr w14:val="tx1"/>
            </w14:solidFill>
          </w14:textFill>
        </w:rPr>
        <w:t>供应商需提供售后服务体系与承诺</w:t>
      </w:r>
      <w:r>
        <w:rPr>
          <w:rFonts w:hint="eastAsia" w:ascii="宋体" w:hAnsi="宋体" w:cs="宋体"/>
          <w:color w:val="000000" w:themeColor="text1"/>
          <w:kern w:val="0"/>
          <w:sz w:val="24"/>
          <w:lang w:val="zh-CN"/>
          <w14:textFill>
            <w14:solidFill>
              <w14:schemeClr w14:val="tx1"/>
            </w14:solidFill>
          </w14:textFill>
        </w:rPr>
        <w:t>。</w:t>
      </w:r>
    </w:p>
    <w:p>
      <w:pPr>
        <w:pStyle w:val="71"/>
        <w:spacing w:line="360" w:lineRule="auto"/>
        <w:ind w:firstLine="480" w:firstLineChars="200"/>
        <w:rPr>
          <w:rFonts w:hAnsi="宋体" w:eastAsia="宋体"/>
          <w:color w:val="000000" w:themeColor="text1"/>
          <w:sz w:val="24"/>
          <w14:textFill>
            <w14:solidFill>
              <w14:schemeClr w14:val="tx1"/>
            </w14:solidFill>
          </w14:textFill>
        </w:rPr>
      </w:pPr>
      <w:r>
        <w:rPr>
          <w:rFonts w:hint="eastAsia" w:hAnsi="宋体" w:eastAsia="宋体"/>
          <w:color w:val="000000" w:themeColor="text1"/>
          <w:sz w:val="24"/>
          <w14:textFill>
            <w14:solidFill>
              <w14:schemeClr w14:val="tx1"/>
            </w14:solidFill>
          </w14:textFill>
        </w:rPr>
        <w:t>4.</w:t>
      </w:r>
      <w:r>
        <w:rPr>
          <w:rFonts w:hint="eastAsia" w:hAnsi="宋体" w:eastAsia="宋体"/>
          <w:color w:val="000000" w:themeColor="text1"/>
          <w:sz w:val="24"/>
          <w:lang w:val="en-US"/>
          <w14:textFill>
            <w14:solidFill>
              <w14:schemeClr w14:val="tx1"/>
            </w14:solidFill>
          </w14:textFill>
        </w:rPr>
        <w:t>3</w:t>
      </w:r>
      <w:r>
        <w:rPr>
          <w:rFonts w:hint="eastAsia" w:hAnsi="宋体" w:eastAsia="宋体"/>
          <w:color w:val="000000" w:themeColor="text1"/>
          <w:sz w:val="24"/>
          <w14:textFill>
            <w14:solidFill>
              <w14:schemeClr w14:val="tx1"/>
            </w14:solidFill>
          </w14:textFill>
        </w:rPr>
        <w:t>符合本竞争性磋商文件规定的供应商资格要求及项目要求的其它条件，并按照要求提供相关证明材料。</w:t>
      </w:r>
    </w:p>
    <w:p>
      <w:pPr>
        <w:spacing w:line="360" w:lineRule="auto"/>
        <w:ind w:firstLine="480" w:firstLineChars="200"/>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4.4供应商应遵守国家法律、法规有关竞争性磋商的规定。</w:t>
      </w:r>
    </w:p>
    <w:p>
      <w:pPr>
        <w:autoSpaceDE w:val="0"/>
        <w:autoSpaceDN w:val="0"/>
        <w:adjustRightInd w:val="0"/>
        <w:snapToGrid w:val="0"/>
        <w:spacing w:line="360" w:lineRule="auto"/>
        <w:ind w:firstLine="480" w:firstLineChars="200"/>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4.5 凡通过磋商小组符合性审查的供应商均为合格供应商。未通过符合性审查的供</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注：</w:t>
      </w:r>
      <w:r>
        <w:rPr>
          <w:rFonts w:hint="eastAsia" w:ascii="宋体" w:hAnsi="宋体" w:cs="宋体"/>
          <w:color w:val="000000" w:themeColor="text1"/>
          <w:sz w:val="24"/>
          <w14:textFill>
            <w14:solidFill>
              <w14:schemeClr w14:val="tx1"/>
            </w14:solidFill>
          </w14:textFill>
        </w:rPr>
        <w:t>单位负责人为同一人或者存在直接控股、管理关系的不同供应商，不得参加同一合同项下的政府采购活动。</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 xml:space="preserve">5.竞争性磋商文件的约束力 </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5.l供应商一旦参加竞争性磋商，即被认为接受了本竞争性磋商文件中的所有条款和规定。</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5.3本磋商文件由采购人负责解释。</w:t>
      </w:r>
    </w:p>
    <w:p>
      <w:pPr>
        <w:spacing w:line="72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二、竞争性磋商文件</w:t>
      </w:r>
    </w:p>
    <w:p>
      <w:pPr>
        <w:tabs>
          <w:tab w:val="left" w:pos="632"/>
          <w:tab w:val="left" w:pos="790"/>
        </w:tabs>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6．竞争性磋商文件的组成</w:t>
      </w:r>
    </w:p>
    <w:p>
      <w:pPr>
        <w:autoSpaceDE w:val="0"/>
        <w:autoSpaceDN w:val="0"/>
        <w:adjustRightInd w:val="0"/>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6.1竞争性磋商</w:t>
      </w:r>
      <w:r>
        <w:rPr>
          <w:rFonts w:hint="eastAsia" w:ascii="宋体" w:hAnsi="宋体" w:cs="宋体"/>
          <w:color w:val="000000" w:themeColor="text1"/>
          <w:sz w:val="24"/>
          <w:lang w:val="zh-CN"/>
          <w14:textFill>
            <w14:solidFill>
              <w14:schemeClr w14:val="tx1"/>
            </w14:solidFill>
          </w14:textFill>
        </w:rPr>
        <w:t>文件是用以阐明的采购需求、采购程序和合同格式等的规范性文件。竞争性磋商文件主要由以下部分组成：</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（1）竞争性磋商邀请函；</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（2）供应商须知；</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（3）采购需求；</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（4）响应性文件内容及格式；</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（5）合同主要条款。</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（6）加盖单位公章的营业执照扫描件。</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w:t>
      </w:r>
      <w:r>
        <w:rPr>
          <w:rFonts w:ascii="宋体" w:hAnsi="宋体" w:cs="宋体"/>
          <w:color w:val="000000" w:themeColor="text1"/>
          <w:sz w:val="24"/>
          <w14:textFill>
            <w14:solidFill>
              <w14:schemeClr w14:val="tx1"/>
            </w14:solidFill>
          </w14:textFill>
        </w:rPr>
        <w:t>投标人如对竞争性蹉商文件无异议</w:t>
      </w: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出具确认书</w:t>
      </w: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确认竞争性蹉商文件清晰无异议</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6.3供应商被视为充分熟悉本采购项目所在地的与履行合同有关的各种情况，包括自然环境、气候条件、劳动力及公用设施等，本竞争性磋商文件不再对上述情况进行描述。</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6.4供应商必须详阅竞争性磋商文件的所有条款、文件及表格格式等。供应商若未按竞争性磋商文件的要求和规范编制、提交响应性文件，将有可能导致响应性文件被拒绝接受或被视为无效。</w:t>
      </w:r>
    </w:p>
    <w:p>
      <w:pPr>
        <w:widowControl/>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7.竞争性磋商文件的澄清与修改</w:t>
      </w:r>
    </w:p>
    <w:p>
      <w:pPr>
        <w:autoSpaceDE w:val="0"/>
        <w:autoSpaceDN w:val="0"/>
        <w:adjustRightInd w:val="0"/>
        <w:spacing w:line="56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pPr>
        <w:spacing w:line="72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三、响应性文件的编制</w:t>
      </w:r>
    </w:p>
    <w:p>
      <w:pPr>
        <w:spacing w:line="560" w:lineRule="exact"/>
        <w:ind w:firstLine="482" w:firstLineChars="200"/>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8.要求</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8.1供应商应仔细阅读、并充分理解竞争性磋商文件的所有内容，按照竞争性磋商文件的要求编制、提交响应性文件。响应性文件应对竞争性磋商文件的要求作出实质性响应，并保证所提供的全部资料的真实性、合法性，否则其响应性文件将作为无效处理。</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8.2任何对竞争性磋商文件的忽略或误解不能作为响应性文件没有完全响应竞争性磋商文件的有效理由。</w:t>
      </w:r>
    </w:p>
    <w:p>
      <w:pPr>
        <w:spacing w:line="560" w:lineRule="exact"/>
        <w:ind w:firstLine="480" w:firstLineChars="200"/>
        <w:rPr>
          <w:rFonts w:ascii="宋体" w:hAnsi="宋体" w:cs="宋体"/>
          <w:i/>
          <w:i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8.3供应商没有按照竞争性磋商文件要求提供全部资料，或者供应商没有对竞争性磋商文件在各方面都作出实质性响应是供应商的风险，并可能导致其响应性文件被拒绝。</w:t>
      </w:r>
    </w:p>
    <w:p>
      <w:pPr>
        <w:widowControl/>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 xml:space="preserve">9.响应性文件的语言及度量衡 </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9.1响应性文件以及供应商与采购代理机构之间的所有书面往来都应用简体中文书写。 </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9.2供应商使用其他语言的，以中文翻译为准。 </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9.3关于计量单位，竞争性磋商文件已有明确规定的，使用竞争性磋商文件规定的计量单位；竞争性磋商文件没有规定的，应采用中华人民共和国法定计量单位。</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9.4本竞争性磋商文件所表述的时间均为北京时间。</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10.响应性文件的组成</w:t>
      </w:r>
    </w:p>
    <w:p>
      <w:pPr>
        <w:widowControl/>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10.1响应性文件由</w:t>
      </w:r>
      <w:r>
        <w:rPr>
          <w:rFonts w:hint="eastAsia" w:ascii="宋体" w:hAnsi="宋体" w:cs="宋体"/>
          <w:bCs/>
          <w:color w:val="000000" w:themeColor="text1"/>
          <w:sz w:val="24"/>
          <w:u w:val="single"/>
          <w14:textFill>
            <w14:solidFill>
              <w14:schemeClr w14:val="tx1"/>
            </w14:solidFill>
          </w14:textFill>
        </w:rPr>
        <w:t>资格性证明材料</w:t>
      </w:r>
      <w:r>
        <w:rPr>
          <w:rFonts w:hint="eastAsia" w:ascii="宋体" w:hAnsi="宋体" w:cs="宋体"/>
          <w:bCs/>
          <w:color w:val="000000" w:themeColor="text1"/>
          <w:sz w:val="24"/>
          <w14:textFill>
            <w14:solidFill>
              <w14:schemeClr w14:val="tx1"/>
            </w14:solidFill>
          </w14:textFill>
        </w:rPr>
        <w:t>、</w:t>
      </w:r>
      <w:r>
        <w:rPr>
          <w:rFonts w:hint="eastAsia" w:ascii="宋体" w:hAnsi="宋体" w:cs="宋体"/>
          <w:bCs/>
          <w:color w:val="000000" w:themeColor="text1"/>
          <w:sz w:val="24"/>
          <w:u w:val="single"/>
          <w14:textFill>
            <w14:solidFill>
              <w14:schemeClr w14:val="tx1"/>
            </w14:solidFill>
          </w14:textFill>
        </w:rPr>
        <w:t>符合性证明材料</w:t>
      </w:r>
      <w:r>
        <w:rPr>
          <w:rFonts w:hint="eastAsia" w:ascii="宋体" w:hAnsi="宋体" w:cs="宋体"/>
          <w:bCs/>
          <w:color w:val="000000" w:themeColor="text1"/>
          <w:sz w:val="24"/>
          <w14:textFill>
            <w14:solidFill>
              <w14:schemeClr w14:val="tx1"/>
            </w14:solidFill>
          </w14:textFill>
        </w:rPr>
        <w:t>、</w:t>
      </w:r>
      <w:r>
        <w:rPr>
          <w:rFonts w:hint="eastAsia" w:ascii="宋体" w:hAnsi="宋体" w:cs="宋体"/>
          <w:bCs/>
          <w:color w:val="000000" w:themeColor="text1"/>
          <w:sz w:val="24"/>
          <w:u w:val="single"/>
          <w14:textFill>
            <w14:solidFill>
              <w14:schemeClr w14:val="tx1"/>
            </w14:solidFill>
          </w14:textFill>
        </w:rPr>
        <w:t>其他材料</w:t>
      </w:r>
      <w:r>
        <w:rPr>
          <w:rFonts w:hint="eastAsia" w:ascii="宋体" w:hAnsi="宋体" w:cs="宋体"/>
          <w:color w:val="000000" w:themeColor="text1"/>
          <w:sz w:val="24"/>
          <w14:textFill>
            <w14:solidFill>
              <w14:schemeClr w14:val="tx1"/>
            </w14:solidFill>
          </w14:textFill>
        </w:rPr>
        <w:t>三部分组成。具体内容和格式见竞争性磋商文件</w:t>
      </w:r>
      <w:r>
        <w:rPr>
          <w:rFonts w:hint="eastAsia" w:ascii="宋体" w:hAnsi="宋体" w:cs="宋体"/>
          <w:bCs/>
          <w:color w:val="000000" w:themeColor="text1"/>
          <w:sz w:val="24"/>
          <w14:textFill>
            <w14:solidFill>
              <w14:schemeClr w14:val="tx1"/>
            </w14:solidFill>
          </w14:textFill>
        </w:rPr>
        <w:t>第四章</w:t>
      </w:r>
      <w:r>
        <w:rPr>
          <w:rFonts w:hint="eastAsia" w:ascii="宋体" w:hAnsi="宋体" w:cs="宋体"/>
          <w:color w:val="000000" w:themeColor="text1"/>
          <w:sz w:val="24"/>
          <w14:textFill>
            <w14:solidFill>
              <w14:schemeClr w14:val="tx1"/>
            </w14:solidFill>
          </w14:textFill>
        </w:rPr>
        <w:t>。</w:t>
      </w:r>
    </w:p>
    <w:p>
      <w:pPr>
        <w:spacing w:line="560" w:lineRule="auto"/>
        <w:ind w:firstLine="480"/>
        <w:rPr>
          <w:rFonts w:ascii="宋体" w:hAnsi="宋体" w:cs="宋体"/>
          <w:color w:val="000000" w:themeColor="text1"/>
          <w:kern w:val="0"/>
          <w:sz w:val="24"/>
          <w:szCs w:val="22"/>
          <w14:textFill>
            <w14:solidFill>
              <w14:schemeClr w14:val="tx1"/>
            </w14:solidFill>
          </w14:textFill>
        </w:rPr>
      </w:pPr>
      <w:r>
        <w:rPr>
          <w:rFonts w:hint="eastAsia" w:ascii="宋体" w:hAnsi="宋体" w:cs="宋体"/>
          <w:color w:val="000000" w:themeColor="text1"/>
          <w:kern w:val="0"/>
          <w:sz w:val="24"/>
          <w:szCs w:val="22"/>
          <w14:textFill>
            <w14:solidFill>
              <w14:schemeClr w14:val="tx1"/>
            </w14:solidFill>
          </w14:textFill>
        </w:rPr>
        <w:t>10.2响应文件封面要求: 列明项目名称、采购编号、供应商名称和地址及联系方式等信息。</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11.响应性文件格式</w:t>
      </w:r>
    </w:p>
    <w:p>
      <w:pPr>
        <w:widowControl/>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11.1供应商应按照竞争性磋商文件提供的格式编写响应性文件，不得缺少、留空或私自更改任何竞争性磋商文件要求填写的表格或提交的资料。竞争性磋商文件提供格式的按格式填列，未提供格式的可自行拟定。</w:t>
      </w:r>
    </w:p>
    <w:p>
      <w:pPr>
        <w:widowControl/>
        <w:spacing w:line="560" w:lineRule="exact"/>
        <w:ind w:firstLine="482" w:firstLineChars="200"/>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12.竞争性磋商报价</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12.1报价包括所投服务、保险、税费、检测、验收和交付后约定期限内免费维保等工作所发生的一切应有费用。</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12.2经过磋商后进行的报价为供应商的最终报价。</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12.3采购人不接受有选择的报价。</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12.4最终报价不得超过采购预算。</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12.5报价均须以人民币为计算单位。</w:t>
      </w:r>
    </w:p>
    <w:p>
      <w:pPr>
        <w:spacing w:line="560" w:lineRule="exact"/>
        <w:ind w:firstLine="482" w:firstLineChars="200"/>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 xml:space="preserve">13．响应性文件有效期 </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13.l响应性文件有效期为自竞争性磋商开始之日起60天，有效期短于此规定的响应性文件将被视为无效。</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13.2特殊情况下，采购人可于响应性文件有效期满之前书面要求供应商同意延长有效期，供应商应在采购人规定的期限内以书面形式予以答复。供应商答复不明确或逾期未答复的，均视为拒绝上述要求。</w:t>
      </w:r>
    </w:p>
    <w:p>
      <w:pPr>
        <w:spacing w:line="560" w:lineRule="exact"/>
        <w:ind w:firstLine="482" w:firstLineChars="200"/>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14.响应性文件的签署、盖章</w:t>
      </w:r>
    </w:p>
    <w:p>
      <w:pPr>
        <w:spacing w:line="560" w:lineRule="exact"/>
        <w:ind w:firstLine="480" w:firstLineChars="200"/>
        <w:rPr>
          <w:rFonts w:ascii="宋体" w:hAnsi="宋体" w:cs="宋体"/>
          <w:color w:val="000000" w:themeColor="text1"/>
          <w:kern w:val="0"/>
          <w:sz w:val="24"/>
          <w:szCs w:val="22"/>
          <w14:textFill>
            <w14:solidFill>
              <w14:schemeClr w14:val="tx1"/>
            </w14:solidFill>
          </w14:textFill>
        </w:rPr>
      </w:pPr>
      <w:r>
        <w:rPr>
          <w:rFonts w:hint="eastAsia" w:ascii="宋体" w:hAnsi="宋体" w:cs="宋体"/>
          <w:color w:val="000000" w:themeColor="text1"/>
          <w:sz w:val="24"/>
          <w14:textFill>
            <w14:solidFill>
              <w14:schemeClr w14:val="tx1"/>
            </w14:solidFill>
          </w14:textFill>
        </w:rPr>
        <w:t>14.1</w:t>
      </w:r>
      <w:r>
        <w:rPr>
          <w:rFonts w:hint="eastAsia" w:ascii="宋体" w:hAnsi="宋体" w:cs="宋体"/>
          <w:color w:val="000000" w:themeColor="text1"/>
          <w:sz w:val="24"/>
          <w:lang w:val="zh-CN"/>
          <w14:textFill>
            <w14:solidFill>
              <w14:schemeClr w14:val="tx1"/>
            </w14:solidFill>
          </w14:textFill>
        </w:rPr>
        <w:t>响应性文件中凡是要求签署和加盖公章处均须由供应商的法定代表人或其委托代理人签字并加盖供应商公章。本竞争性磋商文件所表述（指定）的公章是指法人（供应商）行政公章，不包括专用章。</w:t>
      </w:r>
      <w:r>
        <w:rPr>
          <w:rFonts w:hint="eastAsia" w:ascii="Calibri" w:hAnsi="Calibri"/>
          <w:color w:val="000000" w:themeColor="text1"/>
          <w:kern w:val="0"/>
          <w:sz w:val="24"/>
          <w:szCs w:val="22"/>
          <w14:textFill>
            <w14:solidFill>
              <w14:schemeClr w14:val="tx1"/>
            </w14:solidFill>
          </w14:textFill>
        </w:rPr>
        <w:t>生成后</w:t>
      </w:r>
      <w:r>
        <w:rPr>
          <w:rFonts w:ascii="Calibri" w:hAnsi="Calibri"/>
          <w:color w:val="000000" w:themeColor="text1"/>
          <w:kern w:val="0"/>
          <w:sz w:val="24"/>
          <w:szCs w:val="22"/>
          <w14:textFill>
            <w14:solidFill>
              <w14:schemeClr w14:val="tx1"/>
            </w14:solidFill>
          </w14:textFill>
        </w:rPr>
        <w:t>的电子</w:t>
      </w:r>
      <w:r>
        <w:rPr>
          <w:rFonts w:hint="eastAsia" w:ascii="Calibri" w:hAnsi="Calibri"/>
          <w:color w:val="000000" w:themeColor="text1"/>
          <w:kern w:val="0"/>
          <w:sz w:val="24"/>
          <w:szCs w:val="22"/>
          <w14:textFill>
            <w14:solidFill>
              <w14:schemeClr w14:val="tx1"/>
            </w14:solidFill>
          </w14:textFill>
        </w:rPr>
        <w:t>响应文件需要加盖供应商骑缝章、法定代表人或委托代理人逐页签字盖章</w:t>
      </w:r>
      <w:r>
        <w:rPr>
          <w:rFonts w:hint="eastAsia" w:ascii="等线" w:hAnsi="等线" w:eastAsia="等线"/>
          <w:bCs/>
          <w:color w:val="000000" w:themeColor="text1"/>
          <w:kern w:val="0"/>
          <w:sz w:val="24"/>
          <w:szCs w:val="22"/>
          <w14:textFill>
            <w14:solidFill>
              <w14:schemeClr w14:val="tx1"/>
            </w14:solidFill>
          </w14:textFill>
        </w:rPr>
        <w:t>。</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14.2响应性文件应无涂改和行间插字，除非这些改动是为改正供应商造成的必须修改的错误进行的。有改动时，修改处应由供应商代表签署证明或加盖公章，但非供应商出具的材料，供应商改动无效。</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14.3供应商提交的资料应证明其满足竞争性磋商文件要求，该文件可以是文字资料、图纸和数据等详细描述的资料。</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15电子投标文件制作，见周口市公共资源交易中心网站下载中心版块《投标单位-电子投标文件视频制作手册》的相关规定。</w:t>
      </w:r>
    </w:p>
    <w:p>
      <w:pPr>
        <w:numPr>
          <w:ilvl w:val="0"/>
          <w:numId w:val="2"/>
        </w:numPr>
        <w:spacing w:line="72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响应性文件的递交</w:t>
      </w:r>
    </w:p>
    <w:p>
      <w:pPr>
        <w:autoSpaceDE w:val="0"/>
        <w:autoSpaceDN w:val="0"/>
        <w:adjustRightInd w:val="0"/>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加密的电子磋商响应文件，应在磋商截止时间前通过周口市公共资源交易中心会员系统上传；本项目实行网上远程开标，未加密的电子响应文件和纸质响应文件均不再提交。在解密投标响应开始时30分钟内进行解密，超时视为放弃递交响应文件。</w:t>
      </w:r>
    </w:p>
    <w:p>
      <w:pPr>
        <w:spacing w:line="360" w:lineRule="auto"/>
        <w:ind w:firstLine="55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注：加密的电子投标文件的递交，见周口市公共资源交易中心网站下载中心版块《投标单位-电子投标文件视频制作手册》的相关规定。如未在招标文件规定的投标时间截止前上传网上响应文件，投标无效。</w:t>
      </w:r>
    </w:p>
    <w:p>
      <w:pPr>
        <w:autoSpaceDE w:val="0"/>
        <w:autoSpaceDN w:val="0"/>
        <w:adjustRightInd w:val="0"/>
        <w:spacing w:line="500" w:lineRule="exact"/>
        <w:ind w:firstLine="240" w:firstLineChars="1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供应商须使用单位CA证书进行电子响应文件远程解密，详见周口市公共资源电子交易中心网站（网址：http://jyzx.zhoukou.gov.cn）办事指南</w:t>
      </w:r>
      <w:r>
        <w:rPr>
          <w:rFonts w:hint="eastAsia" w:ascii="宋体" w:hAnsi="宋体" w:cs="宋体"/>
          <w:bCs/>
          <w:color w:val="000000" w:themeColor="text1"/>
          <w:sz w:val="24"/>
          <w14:textFill>
            <w14:solidFill>
              <w14:schemeClr w14:val="tx1"/>
            </w14:solidFill>
          </w14:textFill>
        </w:rPr>
        <w:t>《不见面开标远程在线解密会员端操作手册操作指南》</w:t>
      </w:r>
      <w:r>
        <w:rPr>
          <w:rFonts w:hint="eastAsia" w:ascii="宋体" w:hAnsi="宋体" w:cs="宋体"/>
          <w:color w:val="000000" w:themeColor="text1"/>
          <w:sz w:val="24"/>
          <w14:textFill>
            <w14:solidFill>
              <w14:schemeClr w14:val="tx1"/>
            </w14:solidFill>
          </w14:textFill>
        </w:rPr>
        <w:t>。</w:t>
      </w:r>
    </w:p>
    <w:p>
      <w:pPr>
        <w:spacing w:line="560" w:lineRule="exac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16.响应性文件的递交</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16.1供应商应在竞争性磋商邀请函中规定的截止日期和时间前，将响应性文件在会员系统成功上传，递交（接收）地点为竞争性磋商邀请函中规定的地址。</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16.2若采购人推迟了响应性文件接收截止时间，采购人和供应商受响应性文件接收截止时间制约的所有权利和义务均应以新的截止时间为准。 </w:t>
      </w:r>
    </w:p>
    <w:p>
      <w:pPr>
        <w:pStyle w:val="55"/>
        <w:spacing w:line="560" w:lineRule="exact"/>
        <w:ind w:firstLine="482" w:firstLineChars="200"/>
        <w:rPr>
          <w:rFonts w:ascii="宋体" w:hAnsi="宋体"/>
          <w:b/>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17</w:t>
      </w:r>
      <w:r>
        <w:rPr>
          <w:rFonts w:hint="eastAsia" w:ascii="宋体" w:hAnsi="宋体"/>
          <w:b/>
          <w:color w:val="000000" w:themeColor="text1"/>
          <w:sz w:val="24"/>
          <w:szCs w:val="24"/>
          <w14:textFill>
            <w14:solidFill>
              <w14:schemeClr w14:val="tx1"/>
            </w14:solidFill>
          </w14:textFill>
        </w:rPr>
        <w:t>.响应性文件的修改和撤回</w:t>
      </w:r>
    </w:p>
    <w:p>
      <w:pPr>
        <w:pStyle w:val="55"/>
        <w:spacing w:line="560" w:lineRule="exact"/>
        <w:ind w:left="279" w:leftChars="133" w:firstLine="240" w:firstLineChars="100"/>
        <w:rPr>
          <w:rFonts w:ascii="宋体" w:hAnsi="宋体"/>
          <w:b/>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17.1供应商在提交响应性文件截止时间前，可以对已上传的响应文件进行撤回补充、修改或撤回，补充、修改之后进行再次上传，再次上传内容作为响应性文件的组成部分。</w:t>
      </w:r>
    </w:p>
    <w:p>
      <w:pPr>
        <w:pStyle w:val="55"/>
        <w:spacing w:line="56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17.2响应性文件的补充、修改文件应按照本竞争性磋商文件有关规定进行密封、签署，修改后的加密的电子投标文件须在投标截止时间前成功上传。 </w:t>
      </w:r>
    </w:p>
    <w:p>
      <w:pPr>
        <w:pStyle w:val="55"/>
        <w:spacing w:line="56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17.3供应商在响应性文件接收截止时间后不得修改、撤回响应性文件。供应商在响应性文件接收截止时间后修改响应性文件的，将被拒绝接受。</w:t>
      </w:r>
    </w:p>
    <w:p>
      <w:pPr>
        <w:pStyle w:val="55"/>
        <w:spacing w:line="56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17.4供应商有下列情形之一的，采购人将拒绝接受其响应性文件：</w:t>
      </w:r>
    </w:p>
    <w:p>
      <w:pPr>
        <w:pStyle w:val="55"/>
        <w:spacing w:line="56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17.4.1在竞争性磋商文件规定的响应性文件接收截止时间之后递交响应性文件的；</w:t>
      </w:r>
    </w:p>
    <w:p>
      <w:pPr>
        <w:pStyle w:val="55"/>
        <w:spacing w:line="56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17.4.2响应性文件未按竞争性磋商文件规定密封、签署、盖章的；</w:t>
      </w:r>
    </w:p>
    <w:p>
      <w:pPr>
        <w:pStyle w:val="55"/>
        <w:spacing w:line="560" w:lineRule="exact"/>
        <w:ind w:firstLine="480" w:firstLineChars="200"/>
        <w:rPr>
          <w:rFonts w:ascii="宋体" w:hAnsi="宋体"/>
          <w:b/>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17.4.3一个供应商不止递交一套响应性文件的。</w:t>
      </w:r>
    </w:p>
    <w:p>
      <w:pPr>
        <w:spacing w:line="72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五、竞争性磋商</w:t>
      </w:r>
    </w:p>
    <w:p>
      <w:pPr>
        <w:spacing w:line="560" w:lineRule="exact"/>
        <w:ind w:firstLine="482" w:firstLineChars="200"/>
        <w:rPr>
          <w:rFonts w:ascii="宋体" w:hAnsi="宋体" w:cs="宋体"/>
          <w:b/>
          <w:color w:val="000000" w:themeColor="text1"/>
          <w:sz w:val="24"/>
          <w:lang w:val="zh-CN"/>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18.组建</w:t>
      </w:r>
      <w:r>
        <w:rPr>
          <w:rFonts w:hint="eastAsia" w:ascii="宋体" w:hAnsi="宋体" w:cs="宋体"/>
          <w:b/>
          <w:color w:val="000000" w:themeColor="text1"/>
          <w:sz w:val="24"/>
          <w:lang w:val="zh-CN"/>
          <w14:textFill>
            <w14:solidFill>
              <w14:schemeClr w14:val="tx1"/>
            </w14:solidFill>
          </w14:textFill>
        </w:rPr>
        <w:t>竞争性磋商小组</w:t>
      </w:r>
    </w:p>
    <w:p>
      <w:pPr>
        <w:spacing w:line="56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18.1采购人根据采购项目的特点依法组建竞争性磋商小组。</w:t>
      </w:r>
    </w:p>
    <w:p>
      <w:pPr>
        <w:spacing w:line="56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18.2竞争性磋商小组</w:t>
      </w:r>
      <w:r>
        <w:rPr>
          <w:rFonts w:hint="eastAsia" w:ascii="宋体" w:hAnsi="宋体" w:cs="宋体"/>
          <w:bCs/>
          <w:color w:val="000000" w:themeColor="text1"/>
          <w:kern w:val="0"/>
          <w:sz w:val="24"/>
          <w14:textFill>
            <w14:solidFill>
              <w14:schemeClr w14:val="tx1"/>
            </w14:solidFill>
          </w14:textFill>
        </w:rPr>
        <w:t>确认竞争性磋商文件，并</w:t>
      </w:r>
      <w:r>
        <w:rPr>
          <w:rFonts w:hint="eastAsia" w:ascii="宋体" w:hAnsi="宋体" w:cs="宋体"/>
          <w:color w:val="000000" w:themeColor="text1"/>
          <w:kern w:val="0"/>
          <w:sz w:val="24"/>
          <w14:textFill>
            <w14:solidFill>
              <w14:schemeClr w14:val="tx1"/>
            </w14:solidFill>
          </w14:textFill>
        </w:rPr>
        <w:t>负责具体评审事务，根据有关法律法规和竞争性磋商文件规定的评审程序，按照评审方法及评审标准独立履行竞争性磋商小组职责。</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19.资格性和符合性审查</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pPr>
        <w:spacing w:line="560" w:lineRule="exact"/>
        <w:ind w:firstLine="480" w:firstLineChars="200"/>
        <w:rPr>
          <w:rFonts w:ascii="宋体" w:hAnsi="宋体" w:cs="宋体"/>
          <w:b/>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19.1.1资格性审查的内容包括：竞争性磋商文件规定的供应商资格条件；</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19.2.1符合性审查的内容包括：</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（1）响应性文件的有效性(签署情况等)；</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（2）响应性文件的完整性；</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（3）对竞争性磋商文件的响应程度（是否存在重大负偏离等）。 </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u w:val="single"/>
          <w14:textFill>
            <w14:solidFill>
              <w14:schemeClr w14:val="tx1"/>
            </w14:solidFill>
          </w14:textFill>
        </w:rPr>
        <w:t>以上资格性审查和符合性审查的内容只要有一条不满足，则响应性文件无效，将不进入竞争性磋商程序。</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注意事项：资格性、符合性证明材料见竞争性磋商文件第四章规定。</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19.3实质性响应的响应性文件是指与竞争性磋商文件的全部条款、条件和规格相符，没有重大偏离；重大负偏离的认定须经竞争性磋商小组三分之二以上同意。</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19.5如果响应性文件实质上没有响应竞争性磋商文件的要求，将作为无效处理，供应商不得再对响应性文件进行任何修正从而使其响应性文件成为实质上响应的文件；</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19.6竞争性磋商小组审定响应性文件的响应性只根据响应性文件本身的内容而不寻求外部证据。</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19.7凡有下列情况之一的，其响应性文件也被视为未实质性响应竞争性磋商文件，按照无效处理（不再参加竞争性磋商）：</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19.7.1未按竞争性磋商文件规定要求</w:t>
      </w:r>
      <w:r>
        <w:rPr>
          <w:rFonts w:hint="eastAsia" w:ascii="宋体" w:hAnsi="宋体" w:cs="宋体"/>
          <w:color w:val="000000" w:themeColor="text1"/>
          <w:sz w:val="24"/>
          <w:lang w:val="zh-CN"/>
          <w14:textFill>
            <w14:solidFill>
              <w14:schemeClr w14:val="tx1"/>
            </w14:solidFill>
          </w14:textFill>
        </w:rPr>
        <w:t>签署、盖章的；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19.7.2资格证明文件不全的，或不符合竞争性磋商文件中规定的资格要求的；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19.7.3供应商代表未能出具有效身份证明，或与身份不符的；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19.7.4不符合竞争性磋商文件规定的实质性要求的；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19.7.5响应性文件内容不齐全或内容虚假的；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19.7.6响应性文件的实质性内容未使用中文表述；</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19.7.7响应性文件的内容修改处未按规定签名或盖章的；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19.7.8违反法律、行政法规、竞争性磋商文件规定的其他情形的。</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19.7.9不同供应商的电子投标（响应）文件上传计算机的网卡 MAC 地址、CPU 序列号和硬盘序列号等硬件信息相同的;</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19.7.10不同供应商的投标（响应）文件由同一电子设备编制，打印、复印、加密或者上传的；</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19.7.11不同供应商的投标（响应）文件由同一人送达或者分发，或者不同供应商联系人为同一人或不同联系人的联系电话一致的；</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19.7.12供应商提交的有关证明资料未签署“与原件一致”的。</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19.7.13不同供应商的投标（响应）文件的内容存在两处以上细节错误一致；</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19.7.14不同供应商的法定代表人、委托代理人、项目经理、项目负责人等由同一个单位缴纳社会保险或者领取报酬的；</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19.7.15不同供应商投标（响应）文件中法定代表人或者负责人签字出自同一人之手。</w:t>
      </w:r>
    </w:p>
    <w:p>
      <w:pPr>
        <w:spacing w:line="560" w:lineRule="auto"/>
        <w:ind w:firstLine="480"/>
        <w:rPr>
          <w:rFonts w:ascii="宋体" w:hAnsi="宋体" w:cs="宋体"/>
          <w:color w:val="000000" w:themeColor="text1"/>
          <w:kern w:val="0"/>
          <w:sz w:val="24"/>
          <w:szCs w:val="22"/>
          <w14:textFill>
            <w14:solidFill>
              <w14:schemeClr w14:val="tx1"/>
            </w14:solidFill>
          </w14:textFill>
        </w:rPr>
      </w:pPr>
      <w:r>
        <w:rPr>
          <w:rFonts w:hint="eastAsia" w:ascii="宋体" w:hAnsi="宋体" w:cs="宋体"/>
          <w:color w:val="000000" w:themeColor="text1"/>
          <w:kern w:val="0"/>
          <w:sz w:val="24"/>
          <w:szCs w:val="22"/>
          <w14:textFill>
            <w14:solidFill>
              <w14:schemeClr w14:val="tx1"/>
            </w14:solidFill>
          </w14:textFill>
        </w:rPr>
        <w:t>19.7.16投标供应商没有将“廉洁自律承诺书”附在投标（响应）文件中。</w:t>
      </w:r>
    </w:p>
    <w:p>
      <w:pPr>
        <w:spacing w:line="560" w:lineRule="auto"/>
        <w:ind w:firstLine="480"/>
        <w:rPr>
          <w:rFonts w:ascii="宋体" w:hAnsi="宋体" w:cs="宋体"/>
          <w:color w:val="000000" w:themeColor="text1"/>
          <w:kern w:val="0"/>
          <w:sz w:val="24"/>
          <w:szCs w:val="22"/>
          <w14:textFill>
            <w14:solidFill>
              <w14:schemeClr w14:val="tx1"/>
            </w14:solidFill>
          </w14:textFill>
        </w:rPr>
      </w:pPr>
      <w:r>
        <w:rPr>
          <w:rFonts w:hint="eastAsia" w:ascii="宋体" w:hAnsi="宋体" w:cs="宋体"/>
          <w:color w:val="000000" w:themeColor="text1"/>
          <w:sz w:val="24"/>
          <w14:textFill>
            <w14:solidFill>
              <w14:schemeClr w14:val="tx1"/>
            </w14:solidFill>
          </w14:textFill>
        </w:rPr>
        <w:t>19.7.17</w:t>
      </w:r>
      <w:r>
        <w:rPr>
          <w:rFonts w:hint="eastAsia" w:ascii="宋体" w:hAnsi="宋体" w:cs="宋体"/>
          <w:color w:val="000000" w:themeColor="text1"/>
          <w:kern w:val="0"/>
          <w:sz w:val="24"/>
          <w:szCs w:val="22"/>
          <w14:textFill>
            <w14:solidFill>
              <w14:schemeClr w14:val="tx1"/>
            </w14:solidFill>
          </w14:textFill>
        </w:rPr>
        <w:t>未提供近半年内连续三个月的已依法缴纳税收和社会保障资金的凭证（依法免税或不需要缴纳社会保障资金的供应商应提供相应证明文件；新成立的企业提供近1个月的缴纳税收和社会保障资金的凭证，日期从成立日期算起）；</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19.8在评审过程中，竞争性磋商小组发现供应商有下列情形之一的，视为供应商相互串通，按照无效处理并依据法律、法规追究其相关责任。具体表现形式如下：</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19.8.1不同供应商的响应性文件互相混装的；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19.8.2不同供应商授权同一人作为供应商委托代理人的；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19.8.3不同供应商的响应性文件载明的项目管理成员为同一人的；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19.8.4有证据证明供应商与采购人、采购代理机构或者其他供应商串通的其他情形；</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19.8.5竞争性磋商小组认定的其他串通情形；</w:t>
      </w:r>
    </w:p>
    <w:p>
      <w:pPr>
        <w:pStyle w:val="37"/>
        <w:rPr>
          <w:rFonts w:ascii="宋体" w:hAnsi="宋体" w:cs="宋体"/>
          <w:color w:val="000000" w:themeColor="text1"/>
          <w:sz w:val="24"/>
          <w:szCs w:val="24"/>
          <w14:textFill>
            <w14:solidFill>
              <w14:schemeClr w14:val="tx1"/>
            </w14:solidFill>
          </w14:textFill>
        </w:rPr>
      </w:pPr>
    </w:p>
    <w:tbl>
      <w:tblPr>
        <w:tblStyle w:val="29"/>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665"/>
        <w:gridCol w:w="1937"/>
        <w:gridCol w:w="825"/>
        <w:gridCol w:w="2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505" w:type="dxa"/>
            <w:gridSpan w:val="5"/>
            <w:vAlign w:val="center"/>
          </w:tcPr>
          <w:p>
            <w:pPr>
              <w:pStyle w:val="72"/>
              <w:pBdr>
                <w:bottom w:val="none" w:color="auto" w:sz="0" w:space="0"/>
              </w:pBdr>
              <w:tabs>
                <w:tab w:val="clear" w:pos="4153"/>
                <w:tab w:val="clear" w:pos="8306"/>
              </w:tabs>
              <w:snapToGrid w:val="0"/>
              <w:spacing w:line="360" w:lineRule="auto"/>
              <w:ind w:right="-10"/>
              <w:textAlignment w:val="auto"/>
              <w:rPr>
                <w:rFonts w:ascii="宋体" w:hAnsi="宋体" w:cs="宋体"/>
                <w:b/>
                <w:color w:val="000000" w:themeColor="text1"/>
                <w:kern w:val="2"/>
                <w:szCs w:val="24"/>
                <w14:textFill>
                  <w14:solidFill>
                    <w14:schemeClr w14:val="tx1"/>
                  </w14:solidFill>
                </w14:textFill>
              </w:rPr>
            </w:pPr>
            <w:r>
              <w:rPr>
                <w:rFonts w:hint="eastAsia" w:ascii="宋体" w:hAnsi="宋体" w:cs="宋体"/>
                <w:b/>
                <w:color w:val="000000" w:themeColor="text1"/>
                <w:kern w:val="2"/>
                <w:szCs w:val="24"/>
                <w14:textFill>
                  <w14:solidFill>
                    <w14:schemeClr w14:val="tx1"/>
                  </w14:solidFill>
                </w14:textFill>
              </w:rPr>
              <w:t>项目符合性审查表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707" w:type="dxa"/>
            <w:tcBorders>
              <w:bottom w:val="single" w:color="auto" w:sz="4" w:space="0"/>
            </w:tcBorders>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序号</w:t>
            </w:r>
          </w:p>
        </w:tc>
        <w:tc>
          <w:tcPr>
            <w:tcW w:w="2665" w:type="dxa"/>
            <w:tcBorders>
              <w:bottom w:val="single" w:color="auto" w:sz="4" w:space="0"/>
            </w:tcBorders>
            <w:vAlign w:val="center"/>
          </w:tcPr>
          <w:p>
            <w:pPr>
              <w:pStyle w:val="72"/>
              <w:pBdr>
                <w:bottom w:val="none" w:color="auto" w:sz="0" w:space="0"/>
              </w:pBdr>
              <w:tabs>
                <w:tab w:val="clear" w:pos="4153"/>
                <w:tab w:val="clear" w:pos="8306"/>
              </w:tabs>
              <w:snapToGrid w:val="0"/>
              <w:spacing w:line="360" w:lineRule="auto"/>
              <w:ind w:right="-10"/>
              <w:textAlignment w:val="auto"/>
              <w:rPr>
                <w:rFonts w:ascii="宋体" w:hAnsi="宋体" w:cs="宋体"/>
                <w:color w:val="000000" w:themeColor="text1"/>
                <w:kern w:val="2"/>
                <w:szCs w:val="24"/>
                <w14:textFill>
                  <w14:solidFill>
                    <w14:schemeClr w14:val="tx1"/>
                  </w14:solidFill>
                </w14:textFill>
              </w:rPr>
            </w:pPr>
            <w:r>
              <w:rPr>
                <w:rFonts w:hint="eastAsia" w:ascii="宋体" w:hAnsi="宋体" w:cs="宋体"/>
                <w:color w:val="000000" w:themeColor="text1"/>
                <w:kern w:val="2"/>
                <w:szCs w:val="24"/>
                <w14:textFill>
                  <w14:solidFill>
                    <w14:schemeClr w14:val="tx1"/>
                  </w14:solidFill>
                </w14:textFill>
              </w:rPr>
              <w:t>指标名称</w:t>
            </w:r>
          </w:p>
        </w:tc>
        <w:tc>
          <w:tcPr>
            <w:tcW w:w="1937" w:type="dxa"/>
            <w:tcBorders>
              <w:bottom w:val="single" w:color="auto" w:sz="4" w:space="0"/>
            </w:tcBorders>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指标要求</w:t>
            </w:r>
          </w:p>
        </w:tc>
        <w:tc>
          <w:tcPr>
            <w:tcW w:w="825" w:type="dxa"/>
            <w:tcBorders>
              <w:bottom w:val="single" w:color="auto" w:sz="4" w:space="0"/>
            </w:tcBorders>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是否</w:t>
            </w:r>
          </w:p>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通过</w:t>
            </w:r>
          </w:p>
        </w:tc>
        <w:tc>
          <w:tcPr>
            <w:tcW w:w="2371" w:type="dxa"/>
            <w:tcBorders>
              <w:bottom w:val="single" w:color="auto" w:sz="4" w:space="0"/>
            </w:tcBorders>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投标文件格式及</w:t>
            </w:r>
          </w:p>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提交资料要求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2665"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营业执照</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2665" w:type="dxa"/>
            <w:vAlign w:val="center"/>
          </w:tcPr>
          <w:p>
            <w:pPr>
              <w:spacing w:after="50" w:line="360" w:lineRule="auto"/>
              <w:ind w:right="-10"/>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法定代表人及身份证</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2665" w:type="dxa"/>
            <w:vAlign w:val="center"/>
          </w:tcPr>
          <w:p>
            <w:pPr>
              <w:spacing w:after="50" w:line="360" w:lineRule="auto"/>
              <w:ind w:right="-10"/>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纳税凭证和社保证明</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2665"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财务审计报告</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2665"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“信用中国”“中国政府采购网”查询</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p>
        </w:tc>
        <w:tc>
          <w:tcPr>
            <w:tcW w:w="2665"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投标文件签字盖章格式</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p>
        </w:tc>
        <w:tc>
          <w:tcPr>
            <w:tcW w:w="2665"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合格供应商的声明函和承诺书</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w:t>
            </w:r>
          </w:p>
        </w:tc>
        <w:tc>
          <w:tcPr>
            <w:tcW w:w="2665"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服务期</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w:t>
            </w:r>
          </w:p>
        </w:tc>
        <w:tc>
          <w:tcPr>
            <w:tcW w:w="2665"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投标有效期</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2665"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服务技术要求</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p>
        </w:tc>
        <w:tc>
          <w:tcPr>
            <w:tcW w:w="2665" w:type="dxa"/>
            <w:vAlign w:val="center"/>
          </w:tcPr>
          <w:p>
            <w:pPr>
              <w:spacing w:after="50" w:line="360" w:lineRule="auto"/>
              <w:ind w:right="-10"/>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其他实质性要求</w:t>
            </w: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见招标文件</w:t>
            </w: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p>
        </w:tc>
        <w:tc>
          <w:tcPr>
            <w:tcW w:w="2665" w:type="dxa"/>
            <w:vAlign w:val="center"/>
          </w:tcPr>
          <w:p>
            <w:pPr>
              <w:spacing w:after="50" w:line="360" w:lineRule="auto"/>
              <w:ind w:right="-10"/>
              <w:jc w:val="center"/>
              <w:rPr>
                <w:rFonts w:ascii="宋体" w:hAnsi="宋体" w:cs="宋体"/>
                <w:bCs/>
                <w:color w:val="000000" w:themeColor="text1"/>
                <w:sz w:val="24"/>
                <w14:textFill>
                  <w14:solidFill>
                    <w14:schemeClr w14:val="tx1"/>
                  </w14:solidFill>
                </w14:textFill>
              </w:rPr>
            </w:pP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w:t>
            </w:r>
          </w:p>
        </w:tc>
        <w:tc>
          <w:tcPr>
            <w:tcW w:w="2665"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p>
        </w:tc>
        <w:tc>
          <w:tcPr>
            <w:tcW w:w="1937" w:type="dxa"/>
            <w:vAlign w:val="center"/>
          </w:tcPr>
          <w:p>
            <w:pPr>
              <w:spacing w:after="50" w:line="360" w:lineRule="auto"/>
              <w:ind w:right="-10"/>
              <w:jc w:val="center"/>
              <w:rPr>
                <w:rFonts w:ascii="宋体" w:hAnsi="宋体" w:cs="宋体"/>
                <w:color w:val="000000" w:themeColor="text1"/>
                <w:sz w:val="24"/>
                <w14:textFill>
                  <w14:solidFill>
                    <w14:schemeClr w14:val="tx1"/>
                  </w14:solidFill>
                </w14:textFill>
              </w:rPr>
            </w:pPr>
          </w:p>
        </w:tc>
        <w:tc>
          <w:tcPr>
            <w:tcW w:w="825" w:type="dxa"/>
            <w:vAlign w:val="center"/>
          </w:tcPr>
          <w:p>
            <w:pPr>
              <w:adjustRightInd w:val="0"/>
              <w:snapToGrid w:val="0"/>
              <w:spacing w:line="360" w:lineRule="auto"/>
              <w:ind w:right="-10"/>
              <w:rPr>
                <w:rFonts w:ascii="宋体" w:hAnsi="宋体" w:cs="宋体"/>
                <w:color w:val="000000" w:themeColor="text1"/>
                <w:sz w:val="24"/>
                <w14:textFill>
                  <w14:solidFill>
                    <w14:schemeClr w14:val="tx1"/>
                  </w14:solidFill>
                </w14:textFill>
              </w:rPr>
            </w:pPr>
          </w:p>
        </w:tc>
        <w:tc>
          <w:tcPr>
            <w:tcW w:w="2371"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w:t>
            </w:r>
          </w:p>
        </w:tc>
        <w:tc>
          <w:tcPr>
            <w:tcW w:w="2665" w:type="dxa"/>
            <w:vAlign w:val="center"/>
          </w:tcPr>
          <w:p>
            <w:pPr>
              <w:spacing w:after="50" w:line="360" w:lineRule="auto"/>
              <w:ind w:right="-10"/>
              <w:jc w:val="center"/>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结论</w:t>
            </w:r>
          </w:p>
        </w:tc>
        <w:tc>
          <w:tcPr>
            <w:tcW w:w="5133" w:type="dxa"/>
            <w:gridSpan w:val="3"/>
            <w:vAlign w:val="center"/>
          </w:tcPr>
          <w:p>
            <w:pPr>
              <w:adjustRightInd w:val="0"/>
              <w:snapToGrid w:val="0"/>
              <w:spacing w:line="360" w:lineRule="auto"/>
              <w:ind w:right="-10"/>
              <w:jc w:val="cente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是否通过审查</w:t>
            </w:r>
          </w:p>
        </w:tc>
      </w:tr>
    </w:tbl>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20.响应性文件的澄清</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20.3供应商拒不进行澄清、说明、补正的，或者不能在竞争性磋商小组规定时间内作出书面澄清、说明、补正的，其响应性文件将被作为无效处理。</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20.4供应商的书面澄清材料作为响应性文件的补充。 </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20.5竞争性磋商小组不得接受供应商主动提出的澄清和解释。 </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20.6并非每个供应商都将被询问、澄清。</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21.竞争性磋商</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21.1资格性审查和符合性审查合格的供应商，将进入本次竞争性磋商程序。</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21.2竞争性磋商将按照供应商的签到顺序进行。</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21.3磋商内容包括：</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21.3.1按照竞争性磋商文件中商务部分的内容，对照供应商提交的响应文件逐一进行比较各项指标和要求。</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21.3.2按照竞争性磋商文件中技术部分的内容，对照供应商提交的响应文件逐一进行比较各项指标和要求。</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21.3.3按照竞争性磋商文件中合同条款部分的内容，对照供应商提交的响应文件逐一进行比较各项指标和要求。</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21.3.4在磋商中，磋商的任何一方不得透露与磋商有关的其他供应商的技术资料及其他信息。</w:t>
      </w:r>
    </w:p>
    <w:p>
      <w:pPr>
        <w:spacing w:line="56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21.4</w:t>
      </w:r>
      <w:r>
        <w:rPr>
          <w:rFonts w:hint="eastAsia" w:ascii="宋体" w:hAnsi="宋体" w:cs="宋体"/>
          <w:color w:val="000000" w:themeColor="text1"/>
          <w:sz w:val="24"/>
          <w:lang w:val="zh-CN"/>
          <w14:textFill>
            <w14:solidFill>
              <w14:schemeClr w14:val="tx1"/>
            </w14:solidFill>
          </w14:textFill>
        </w:rPr>
        <w:t>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pPr>
        <w:spacing w:line="56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21.4.1</w:t>
      </w:r>
      <w:r>
        <w:rPr>
          <w:rFonts w:hint="eastAsia" w:ascii="宋体" w:hAnsi="宋体" w:cs="宋体"/>
          <w:color w:val="000000" w:themeColor="text1"/>
          <w:sz w:val="24"/>
          <w:lang w:val="zh-CN"/>
          <w14:textFill>
            <w14:solidFill>
              <w14:schemeClr w14:val="tx1"/>
            </w14:solidFill>
          </w14:textFill>
        </w:rPr>
        <w:t>对竞争性磋商文件作出实质性变动是竞争性磋商文件的有效组成部分，竞争性磋商小组应当及时以书面形式同时通知所有参加竞争性磋商的供应商。</w:t>
      </w:r>
    </w:p>
    <w:p>
      <w:pPr>
        <w:spacing w:line="56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21.4.2供应商应当按照竞争性磋商文件的变动情况和竞争性磋商小组的要求重新提交响应性文件，并由其法定代表人或授权代表签字或者加盖公章。</w:t>
      </w:r>
    </w:p>
    <w:p>
      <w:pPr>
        <w:spacing w:line="56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21.5报价</w:t>
      </w:r>
    </w:p>
    <w:p>
      <w:pPr>
        <w:spacing w:line="56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lang w:val="zh-CN"/>
          <w14:textFill>
            <w14:solidFill>
              <w14:schemeClr w14:val="tx1"/>
            </w14:solidFill>
          </w14:textFill>
        </w:rPr>
        <w:t>一次报价依据</w:t>
      </w:r>
      <w:r>
        <w:rPr>
          <w:rFonts w:hint="eastAsia" w:ascii="宋体" w:hAnsi="宋体" w:cs="宋体"/>
          <w:color w:val="000000" w:themeColor="text1"/>
          <w:sz w:val="24"/>
          <w14:textFill>
            <w14:solidFill>
              <w14:schemeClr w14:val="tx1"/>
            </w14:solidFill>
          </w14:textFill>
        </w:rPr>
        <w:t>是</w:t>
      </w:r>
      <w:r>
        <w:rPr>
          <w:rFonts w:hint="eastAsia" w:ascii="宋体" w:hAnsi="宋体" w:cs="宋体"/>
          <w:color w:val="000000" w:themeColor="text1"/>
          <w:sz w:val="24"/>
          <w:lang w:val="zh-CN"/>
          <w14:textFill>
            <w14:solidFill>
              <w14:schemeClr w14:val="tx1"/>
            </w14:solidFill>
          </w14:textFill>
        </w:rPr>
        <w:t>供应商的投标函和开标记。</w:t>
      </w:r>
    </w:p>
    <w:p>
      <w:pPr>
        <w:spacing w:line="56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2.如有多次报价，</w:t>
      </w:r>
      <w:r>
        <w:rPr>
          <w:rFonts w:hint="eastAsia" w:ascii="宋体" w:hAnsi="宋体" w:cs="宋体"/>
          <w:color w:val="000000" w:themeColor="text1"/>
          <w:sz w:val="24"/>
          <w:lang w:val="zh-CN"/>
          <w14:textFill>
            <w14:solidFill>
              <w14:schemeClr w14:val="tx1"/>
            </w14:solidFill>
          </w14:textFill>
        </w:rPr>
        <w:t>资格评审过通后的供应商须使用本单位CA锁在网上系统进行二次或多次报价（请在周口市公共资源交易中心网站报名系统等待报价），每次的报价由供应商自定，评审小组不作限制，但每次的报价不得高于上次报价（可以等于或小于）。</w:t>
      </w:r>
      <w:r>
        <w:rPr>
          <w:rFonts w:hint="eastAsia" w:ascii="宋体" w:hAnsi="宋体" w:cs="宋体"/>
          <w:color w:val="000000" w:themeColor="text1"/>
          <w:sz w:val="24"/>
          <w14:textFill>
            <w14:solidFill>
              <w14:schemeClr w14:val="tx1"/>
            </w14:solidFill>
          </w14:textFill>
        </w:rPr>
        <w:t>报价次数见供应商须知前附表。</w:t>
      </w:r>
    </w:p>
    <w:p>
      <w:pPr>
        <w:spacing w:line="560" w:lineRule="exact"/>
        <w:ind w:firstLine="480" w:firstLineChars="200"/>
        <w:rPr>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开标后请供应商在计算前等待报价，网上报价</w:t>
      </w:r>
      <w:r>
        <w:rPr>
          <w:rFonts w:hint="eastAsia" w:ascii="宋体" w:hAnsi="宋体" w:cs="宋体"/>
          <w:color w:val="000000" w:themeColor="text1"/>
          <w:sz w:val="24"/>
          <w:lang w:val="zh-CN"/>
          <w14:textFill>
            <w14:solidFill>
              <w14:schemeClr w14:val="tx1"/>
            </w14:solidFill>
          </w14:textFill>
        </w:rPr>
        <w:t>，见周口市公共资源交易中心</w:t>
      </w:r>
      <w:r>
        <w:rPr>
          <w:rFonts w:hint="eastAsia" w:ascii="宋体" w:hAnsi="宋体" w:cs="宋体"/>
          <w:color w:val="000000" w:themeColor="text1"/>
          <w:sz w:val="24"/>
          <w14:textFill>
            <w14:solidFill>
              <w14:schemeClr w14:val="tx1"/>
            </w14:solidFill>
          </w14:textFill>
        </w:rPr>
        <w:t>网站下载中心版块</w:t>
      </w:r>
      <w:r>
        <w:rPr>
          <w:rFonts w:hint="eastAsia" w:ascii="宋体" w:hAnsi="宋体" w:cs="宋体"/>
          <w:color w:val="000000" w:themeColor="text1"/>
          <w:sz w:val="24"/>
          <w:lang w:val="zh-CN"/>
          <w14:textFill>
            <w14:solidFill>
              <w14:schemeClr w14:val="tx1"/>
            </w14:solidFill>
          </w14:textFill>
        </w:rPr>
        <w:t>《投标</w:t>
      </w:r>
      <w:r>
        <w:rPr>
          <w:rFonts w:hint="eastAsia" w:ascii="宋体" w:hAnsi="宋体" w:cs="宋体"/>
          <w:color w:val="000000" w:themeColor="text1"/>
          <w:sz w:val="24"/>
          <w14:textFill>
            <w14:solidFill>
              <w14:schemeClr w14:val="tx1"/>
            </w14:solidFill>
          </w14:textFill>
        </w:rPr>
        <w:t>单位-电子投标文件视频制作手册》</w:t>
      </w:r>
      <w:r>
        <w:rPr>
          <w:rFonts w:hint="eastAsia" w:cs="宋体"/>
          <w:color w:val="000000" w:themeColor="text1"/>
          <w:sz w:val="24"/>
          <w14:textFill>
            <w14:solidFill>
              <w14:schemeClr w14:val="tx1"/>
            </w14:solidFill>
          </w14:textFill>
        </w:rPr>
        <w:t>中的《周口市公共资源交易系统政府采购供应商操作手册》相关规定。</w:t>
      </w:r>
    </w:p>
    <w:p>
      <w:pPr>
        <w:spacing w:line="72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六、评定标准</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22.竞争性磋商过程及保密原则</w:t>
      </w:r>
    </w:p>
    <w:p>
      <w:pPr>
        <w:spacing w:line="46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22.1磋商小组采用综合评分法对有效供应商的响应文件和报价进行评审。磋商委员会按照投标人综合得分由高到低推荐中标候选人，采购人将从评委会推荐的中标候选人中依次选取成交供应商。</w:t>
      </w:r>
    </w:p>
    <w:p>
      <w:pPr>
        <w:spacing w:line="46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采购代理机构在评标结束后1个工作日内将评标报告送采购人。采购人自收到评标报告之日起５个工作日内，在评标报告确定的中标候选人名单中确定中标人。</w:t>
      </w:r>
    </w:p>
    <w:p>
      <w:pPr>
        <w:pStyle w:val="18"/>
        <w:spacing w:after="0" w:line="560" w:lineRule="exact"/>
        <w:ind w:left="0" w:leftChars="0"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22.2对通过初步审查的响应文件，采用百分制综合评分法进行评价。</w:t>
      </w:r>
    </w:p>
    <w:p>
      <w:pPr>
        <w:spacing w:line="360" w:lineRule="auto"/>
        <w:ind w:right="-92" w:rightChars="-44"/>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评标方法：</w:t>
      </w:r>
    </w:p>
    <w:tbl>
      <w:tblPr>
        <w:tblStyle w:val="29"/>
        <w:tblW w:w="10228" w:type="dxa"/>
        <w:jc w:val="center"/>
        <w:tblLayout w:type="fixed"/>
        <w:tblCellMar>
          <w:top w:w="0" w:type="dxa"/>
          <w:left w:w="108" w:type="dxa"/>
          <w:bottom w:w="0" w:type="dxa"/>
          <w:right w:w="108" w:type="dxa"/>
        </w:tblCellMar>
      </w:tblPr>
      <w:tblGrid>
        <w:gridCol w:w="1284"/>
        <w:gridCol w:w="1715"/>
        <w:gridCol w:w="4457"/>
        <w:gridCol w:w="2772"/>
      </w:tblGrid>
      <w:tr>
        <w:tblPrEx>
          <w:tblCellMar>
            <w:top w:w="0" w:type="dxa"/>
            <w:left w:w="108" w:type="dxa"/>
            <w:bottom w:w="0" w:type="dxa"/>
            <w:right w:w="108" w:type="dxa"/>
          </w:tblCellMar>
        </w:tblPrEx>
        <w:trPr>
          <w:trHeight w:val="252" w:hRule="atLeast"/>
          <w:jc w:val="center"/>
        </w:trPr>
        <w:tc>
          <w:tcPr>
            <w:tcW w:w="128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评分指标</w:t>
            </w:r>
          </w:p>
        </w:tc>
        <w:tc>
          <w:tcPr>
            <w:tcW w:w="17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分值</w:t>
            </w:r>
          </w:p>
        </w:tc>
        <w:tc>
          <w:tcPr>
            <w:tcW w:w="44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指标说明及评分标准</w:t>
            </w:r>
          </w:p>
        </w:tc>
        <w:tc>
          <w:tcPr>
            <w:tcW w:w="277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评分依据</w:t>
            </w:r>
          </w:p>
        </w:tc>
      </w:tr>
      <w:tr>
        <w:tblPrEx>
          <w:tblCellMar>
            <w:top w:w="0" w:type="dxa"/>
            <w:left w:w="108" w:type="dxa"/>
            <w:bottom w:w="0" w:type="dxa"/>
            <w:right w:w="108" w:type="dxa"/>
          </w:tblCellMar>
        </w:tblPrEx>
        <w:trPr>
          <w:trHeight w:val="273" w:hRule="atLeast"/>
          <w:jc w:val="center"/>
        </w:trPr>
        <w:tc>
          <w:tcPr>
            <w:tcW w:w="1284"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报价得分（10分）</w:t>
            </w:r>
          </w:p>
        </w:tc>
        <w:tc>
          <w:tcPr>
            <w:tcW w:w="171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（10分）</w:t>
            </w:r>
          </w:p>
        </w:tc>
        <w:tc>
          <w:tcPr>
            <w:tcW w:w="7229" w:type="dxa"/>
            <w:gridSpan w:val="2"/>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cs="宋体"/>
                <w:bCs/>
                <w:color w:val="000000" w:themeColor="text1"/>
                <w:sz w:val="24"/>
                <w:szCs w:val="20"/>
                <w14:textFill>
                  <w14:solidFill>
                    <w14:schemeClr w14:val="tx1"/>
                  </w14:solidFill>
                </w14:textFill>
              </w:rPr>
            </w:pPr>
            <w:r>
              <w:rPr>
                <w:rFonts w:hint="eastAsia" w:ascii="宋体" w:hAnsi="宋体" w:cs="宋体"/>
                <w:bCs/>
                <w:color w:val="000000" w:themeColor="text1"/>
                <w:sz w:val="24"/>
                <w:szCs w:val="20"/>
                <w14:textFill>
                  <w14:solidFill>
                    <w14:schemeClr w14:val="tx1"/>
                  </w14:solidFill>
                </w14:textFill>
              </w:rPr>
              <w:t>满足磋商文件要求且最后报价最低的供应商的价格为磋商基准价，其价格分为满分。其他供应商的价格分统一按照下列公式计算：</w:t>
            </w:r>
          </w:p>
          <w:p>
            <w:pPr>
              <w:ind w:firstLine="480" w:firstLineChars="200"/>
              <w:rPr>
                <w:rFonts w:ascii="宋体" w:hAnsi="宋体" w:cs="宋体"/>
                <w:bCs/>
                <w:color w:val="000000" w:themeColor="text1"/>
                <w:sz w:val="24"/>
                <w:szCs w:val="20"/>
                <w14:textFill>
                  <w14:solidFill>
                    <w14:schemeClr w14:val="tx1"/>
                  </w14:solidFill>
                </w14:textFill>
              </w:rPr>
            </w:pPr>
            <w:r>
              <w:rPr>
                <w:rFonts w:hint="eastAsia" w:ascii="宋体" w:hAnsi="宋体" w:cs="宋体"/>
                <w:bCs/>
                <w:color w:val="000000" w:themeColor="text1"/>
                <w:sz w:val="24"/>
                <w:szCs w:val="20"/>
                <w14:textFill>
                  <w14:solidFill>
                    <w14:schemeClr w14:val="tx1"/>
                  </w14:solidFill>
                </w14:textFill>
              </w:rPr>
              <w:t>磋商报价得分=（磋商基准价/最后磋商报价）×价格权值</w:t>
            </w:r>
          </w:p>
          <w:p>
            <w:pPr>
              <w:tabs>
                <w:tab w:val="left" w:pos="5130"/>
              </w:tabs>
              <w:adjustRightInd w:val="0"/>
              <w:snapToGrid w:val="0"/>
              <w:spacing w:line="280" w:lineRule="exact"/>
              <w:rPr>
                <w:rFonts w:ascii="宋体" w:hAnsi="宋体" w:cs="宋体"/>
                <w:bCs/>
                <w:color w:val="000000" w:themeColor="text1"/>
                <w:sz w:val="24"/>
                <w:szCs w:val="20"/>
                <w14:textFill>
                  <w14:solidFill>
                    <w14:schemeClr w14:val="tx1"/>
                  </w14:solidFill>
                </w14:textFill>
              </w:rPr>
            </w:pPr>
            <w:r>
              <w:rPr>
                <w:rFonts w:hint="eastAsia" w:ascii="宋体" w:hAnsi="宋体" w:cs="宋体"/>
                <w:bCs/>
                <w:color w:val="000000" w:themeColor="text1"/>
                <w:sz w:val="24"/>
                <w:szCs w:val="20"/>
                <w14:textFill>
                  <w14:solidFill>
                    <w14:schemeClr w14:val="tx1"/>
                  </w14:solidFill>
                </w14:textFill>
              </w:rPr>
              <w:t>备注：价格分计算保留小数点后二位。</w:t>
            </w:r>
          </w:p>
          <w:p>
            <w:pPr>
              <w:spacing w:after="120" w:line="280" w:lineRule="exact"/>
              <w:ind w:right="-21"/>
              <w:rPr>
                <w:rFonts w:ascii="宋体" w:hAnsi="宋体" w:cs="宋体"/>
                <w:bCs/>
                <w:color w:val="000000" w:themeColor="text1"/>
                <w:sz w:val="24"/>
                <w:szCs w:val="20"/>
                <w14:textFill>
                  <w14:solidFill>
                    <w14:schemeClr w14:val="tx1"/>
                  </w14:solidFill>
                </w14:textFill>
              </w:rPr>
            </w:pPr>
            <w:r>
              <w:rPr>
                <w:rFonts w:hint="eastAsia" w:ascii="宋体" w:hAnsi="宋体" w:cs="宋体"/>
                <w:bCs/>
                <w:color w:val="000000" w:themeColor="text1"/>
                <w:sz w:val="24"/>
                <w:szCs w:val="20"/>
                <w14:textFill>
                  <w14:solidFill>
                    <w14:schemeClr w14:val="tx1"/>
                  </w14:solidFill>
                </w14:textFill>
              </w:rPr>
              <w:t>根据财政部、工信部关于印发《政府采购促进中小企业发展管理办法》的通知（财库〔2020〕46号 ）文件规定：</w:t>
            </w:r>
          </w:p>
          <w:p>
            <w:pPr>
              <w:spacing w:after="120" w:line="280" w:lineRule="exact"/>
              <w:ind w:right="-21"/>
              <w:rPr>
                <w:rFonts w:ascii="宋体" w:hAnsi="宋体" w:cs="宋体"/>
                <w:bCs/>
                <w:color w:val="000000" w:themeColor="text1"/>
                <w:sz w:val="24"/>
                <w:szCs w:val="20"/>
                <w14:textFill>
                  <w14:solidFill>
                    <w14:schemeClr w14:val="tx1"/>
                  </w14:solidFill>
                </w14:textFill>
              </w:rPr>
            </w:pPr>
            <w:r>
              <w:rPr>
                <w:rFonts w:hint="eastAsia" w:ascii="宋体" w:hAnsi="宋体" w:cs="宋体"/>
                <w:bCs/>
                <w:color w:val="000000" w:themeColor="text1"/>
                <w:sz w:val="24"/>
                <w:szCs w:val="20"/>
                <w14:textFill>
                  <w14:solidFill>
                    <w14:schemeClr w14:val="tx1"/>
                  </w14:solidFill>
                </w14:textFill>
              </w:rPr>
              <w:t>（1）对小微企业报价给予10%扣除，请按照《政府采购促进中小企业发展管理办法》要求提供中小企业声明函。</w:t>
            </w:r>
          </w:p>
          <w:p>
            <w:pPr>
              <w:spacing w:after="120" w:line="280" w:lineRule="exact"/>
              <w:ind w:right="-21"/>
              <w:rPr>
                <w:rFonts w:ascii="宋体" w:hAnsi="宋体" w:cs="宋体"/>
                <w:bCs/>
                <w:color w:val="000000" w:themeColor="text1"/>
                <w:sz w:val="24"/>
                <w:szCs w:val="20"/>
                <w14:textFill>
                  <w14:solidFill>
                    <w14:schemeClr w14:val="tx1"/>
                  </w14:solidFill>
                </w14:textFill>
              </w:rPr>
            </w:pPr>
            <w:r>
              <w:rPr>
                <w:rFonts w:hint="eastAsia" w:ascii="宋体" w:hAnsi="宋体" w:cs="宋体"/>
                <w:bCs/>
                <w:color w:val="000000" w:themeColor="text1"/>
                <w:sz w:val="24"/>
                <w:szCs w:val="20"/>
                <w14:textFill>
                  <w14:solidFill>
                    <w14:schemeClr w14:val="tx1"/>
                  </w14:solidFill>
                </w14:textFill>
              </w:rPr>
              <w:t>（2）关于监狱企业：视同小微企业。须提供由省级以上监狱管理局、戒毒管理局（含新疆生产建设兵团）出具的属于监狱企业的证明文件，否则不考虑价格扣除。</w:t>
            </w:r>
          </w:p>
          <w:p>
            <w:pPr>
              <w:spacing w:after="120" w:line="280" w:lineRule="exact"/>
              <w:ind w:right="-21"/>
              <w:rPr>
                <w:rFonts w:ascii="宋体" w:hAnsi="宋体" w:cs="宋体"/>
                <w:bCs/>
                <w:color w:val="000000" w:themeColor="text1"/>
                <w:sz w:val="24"/>
                <w:szCs w:val="20"/>
                <w14:textFill>
                  <w14:solidFill>
                    <w14:schemeClr w14:val="tx1"/>
                  </w14:solidFill>
                </w14:textFill>
              </w:rPr>
            </w:pPr>
            <w:r>
              <w:rPr>
                <w:rFonts w:hint="eastAsia" w:ascii="宋体" w:hAnsi="宋体" w:cs="宋体"/>
                <w:bCs/>
                <w:color w:val="000000" w:themeColor="text1"/>
                <w:sz w:val="24"/>
                <w:szCs w:val="20"/>
                <w14:textFill>
                  <w14:solidFill>
                    <w14:schemeClr w14:val="tx1"/>
                  </w14:solidFill>
                </w14:textFill>
              </w:rPr>
              <w:t>（3）关于残疾人福利性单位：视同小微企业。须提供完整的“残疾人福利性单位声明函”，否则在价格评审时不予考虑价格扣除。残疾人福利性单位属于小型、微型企业的，不重复享受政策。</w:t>
            </w:r>
          </w:p>
          <w:p>
            <w:pPr>
              <w:widowControl/>
              <w:snapToGrid w:val="0"/>
              <w:spacing w:line="280" w:lineRule="exact"/>
              <w:jc w:val="left"/>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szCs w:val="20"/>
                <w14:textFill>
                  <w14:solidFill>
                    <w14:schemeClr w14:val="tx1"/>
                  </w14:solidFill>
                </w14:textFill>
              </w:rPr>
              <w:t>（4）没有提供有效证明材料的供应商将被视为不接受投标总价的扣除，用原投标总价参与评审。</w:t>
            </w:r>
          </w:p>
        </w:tc>
      </w:tr>
      <w:tr>
        <w:tblPrEx>
          <w:tblCellMar>
            <w:top w:w="0" w:type="dxa"/>
            <w:left w:w="108" w:type="dxa"/>
            <w:bottom w:w="0" w:type="dxa"/>
            <w:right w:w="108" w:type="dxa"/>
          </w:tblCellMar>
        </w:tblPrEx>
        <w:trPr>
          <w:trHeight w:val="808" w:hRule="atLeast"/>
          <w:jc w:val="center"/>
        </w:trPr>
        <w:tc>
          <w:tcPr>
            <w:tcW w:w="1284" w:type="dxa"/>
            <w:vMerge w:val="restart"/>
            <w:tcBorders>
              <w:top w:val="single" w:color="auto" w:sz="4" w:space="0"/>
              <w:left w:val="single" w:color="auto" w:sz="4" w:space="0"/>
              <w:right w:val="single" w:color="auto" w:sz="4" w:space="0"/>
            </w:tcBorders>
            <w:vAlign w:val="center"/>
          </w:tcPr>
          <w:p>
            <w:pPr>
              <w:widowControl/>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技术方案(50分)</w:t>
            </w:r>
          </w:p>
          <w:p>
            <w:pPr>
              <w:jc w:val="center"/>
              <w:rPr>
                <w:rFonts w:ascii="宋体" w:hAnsi="宋体" w:cs="宋体"/>
                <w:color w:val="000000" w:themeColor="text1"/>
                <w:sz w:val="24"/>
                <w14:textFill>
                  <w14:solidFill>
                    <w14:schemeClr w14:val="tx1"/>
                  </w14:solidFill>
                </w14:textFill>
              </w:rPr>
            </w:pPr>
          </w:p>
        </w:tc>
        <w:tc>
          <w:tcPr>
            <w:tcW w:w="1715" w:type="dxa"/>
            <w:tcBorders>
              <w:top w:val="single" w:color="auto" w:sz="4" w:space="0"/>
              <w:left w:val="single" w:color="auto" w:sz="4" w:space="0"/>
              <w:right w:val="single" w:color="auto" w:sz="4" w:space="0"/>
            </w:tcBorders>
            <w:vAlign w:val="center"/>
          </w:tcPr>
          <w:p>
            <w:pPr>
              <w:spacing w:line="400" w:lineRule="exact"/>
              <w:ind w:right="-21"/>
              <w:rPr>
                <w:rFonts w:ascii="宋体" w:hAnsi="宋体" w:cs="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服务方案（10分）</w:t>
            </w:r>
          </w:p>
        </w:tc>
        <w:tc>
          <w:tcPr>
            <w:tcW w:w="7229" w:type="dxa"/>
            <w:gridSpan w:val="2"/>
            <w:tcBorders>
              <w:top w:val="single" w:color="auto" w:sz="4" w:space="0"/>
              <w:left w:val="single" w:color="auto" w:sz="4" w:space="0"/>
              <w:right w:val="single" w:color="auto" w:sz="4" w:space="0"/>
            </w:tcBorders>
            <w:vAlign w:val="center"/>
          </w:tcPr>
          <w:p>
            <w:pPr>
              <w:spacing w:line="400" w:lineRule="exact"/>
              <w:rPr>
                <w:rFonts w:ascii="宋体" w:hAnsi="宋体" w:cs="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应包含审计内容的重点难点分析、对应检查要点、检查方法、工作安排以及质量控制措施的方案得10分；缺一项扣2分，未提供得0分。</w:t>
            </w:r>
          </w:p>
        </w:tc>
      </w:tr>
      <w:tr>
        <w:tblPrEx>
          <w:tblCellMar>
            <w:top w:w="0" w:type="dxa"/>
            <w:left w:w="108" w:type="dxa"/>
            <w:bottom w:w="0" w:type="dxa"/>
            <w:right w:w="108" w:type="dxa"/>
          </w:tblCellMar>
        </w:tblPrEx>
        <w:trPr>
          <w:trHeight w:val="552" w:hRule="atLeast"/>
          <w:jc w:val="center"/>
        </w:trPr>
        <w:tc>
          <w:tcPr>
            <w:tcW w:w="1284" w:type="dxa"/>
            <w:vMerge w:val="continue"/>
            <w:tcBorders>
              <w:left w:val="single" w:color="auto" w:sz="4" w:space="0"/>
              <w:right w:val="single" w:color="auto"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vAlign w:val="center"/>
          </w:tcPr>
          <w:p>
            <w:pPr>
              <w:spacing w:line="400" w:lineRule="exact"/>
              <w:ind w:right="-21"/>
              <w:rPr>
                <w:rFonts w:ascii="宋体" w:hAnsi="宋体" w:cs="宋体"/>
                <w:bCs/>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内控管理制度（8分）</w:t>
            </w:r>
          </w:p>
        </w:tc>
        <w:tc>
          <w:tcPr>
            <w:tcW w:w="7229" w:type="dxa"/>
            <w:gridSpan w:val="2"/>
            <w:tcBorders>
              <w:top w:val="single" w:color="auto" w:sz="4" w:space="0"/>
              <w:left w:val="single" w:color="auto" w:sz="4" w:space="0"/>
              <w:right w:val="single" w:color="auto" w:sz="4" w:space="0"/>
            </w:tcBorders>
            <w:vAlign w:val="center"/>
          </w:tcPr>
          <w:p>
            <w:pPr>
              <w:spacing w:line="400" w:lineRule="exact"/>
              <w:rPr>
                <w:rFonts w:ascii="宋体" w:hAnsi="宋体" w:cs="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提供供应商的财务管理制度和人员岗位职责制度得8分，缺一项扣4分，未提供得0分。</w:t>
            </w:r>
          </w:p>
        </w:tc>
      </w:tr>
      <w:tr>
        <w:tblPrEx>
          <w:tblCellMar>
            <w:top w:w="0" w:type="dxa"/>
            <w:left w:w="108" w:type="dxa"/>
            <w:bottom w:w="0" w:type="dxa"/>
            <w:right w:w="108" w:type="dxa"/>
          </w:tblCellMar>
        </w:tblPrEx>
        <w:trPr>
          <w:trHeight w:val="552" w:hRule="atLeast"/>
          <w:jc w:val="center"/>
        </w:trPr>
        <w:tc>
          <w:tcPr>
            <w:tcW w:w="1284" w:type="dxa"/>
            <w:vMerge w:val="continue"/>
            <w:tcBorders>
              <w:left w:val="single" w:color="auto" w:sz="4" w:space="0"/>
              <w:right w:val="single" w:color="auto"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vAlign w:val="center"/>
          </w:tcPr>
          <w:p>
            <w:pPr>
              <w:spacing w:line="400" w:lineRule="exact"/>
              <w:ind w:right="-21"/>
              <w:rPr>
                <w:rFonts w:ascii="宋体" w:hAnsi="宋体" w:cs="宋体"/>
                <w:bCs/>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运作机制及业务操作流程（6分）</w:t>
            </w:r>
          </w:p>
        </w:tc>
        <w:tc>
          <w:tcPr>
            <w:tcW w:w="7229" w:type="dxa"/>
            <w:gridSpan w:val="2"/>
            <w:tcBorders>
              <w:top w:val="single" w:color="auto" w:sz="4" w:space="0"/>
              <w:left w:val="single" w:color="auto" w:sz="4" w:space="0"/>
              <w:right w:val="single" w:color="auto" w:sz="4" w:space="0"/>
            </w:tcBorders>
            <w:vAlign w:val="center"/>
          </w:tcPr>
          <w:p>
            <w:pPr>
              <w:spacing w:line="400" w:lineRule="exact"/>
              <w:rPr>
                <w:rFonts w:ascii="宋体" w:hAnsi="宋体" w:cs="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提供的对项目的运作机制及业务操作流程内容得6分，缺一项扣3分，</w:t>
            </w:r>
            <w:r>
              <w:rPr>
                <w:rFonts w:hint="eastAsia" w:hAnsi="宋体"/>
                <w:color w:val="000000" w:themeColor="text1"/>
                <w:sz w:val="24"/>
                <w14:textFill>
                  <w14:solidFill>
                    <w14:schemeClr w14:val="tx1"/>
                  </w14:solidFill>
                </w14:textFill>
              </w:rPr>
              <w:t>未提供得0分。</w:t>
            </w:r>
          </w:p>
        </w:tc>
      </w:tr>
      <w:tr>
        <w:tblPrEx>
          <w:tblCellMar>
            <w:top w:w="0" w:type="dxa"/>
            <w:left w:w="108" w:type="dxa"/>
            <w:bottom w:w="0" w:type="dxa"/>
            <w:right w:w="108" w:type="dxa"/>
          </w:tblCellMar>
        </w:tblPrEx>
        <w:trPr>
          <w:trHeight w:val="552" w:hRule="atLeast"/>
          <w:jc w:val="center"/>
        </w:trPr>
        <w:tc>
          <w:tcPr>
            <w:tcW w:w="1284" w:type="dxa"/>
            <w:vMerge w:val="continue"/>
            <w:tcBorders>
              <w:left w:val="single" w:color="auto" w:sz="4" w:space="0"/>
              <w:right w:val="single" w:color="auto"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vAlign w:val="center"/>
          </w:tcPr>
          <w:p>
            <w:pPr>
              <w:spacing w:line="400" w:lineRule="exact"/>
              <w:ind w:right="-21"/>
              <w:rPr>
                <w:rFonts w:ascii="宋体" w:hAnsi="宋体" w:cs="宋体"/>
                <w:bCs/>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质量保障及风险防范措施（6分）</w:t>
            </w:r>
          </w:p>
        </w:tc>
        <w:tc>
          <w:tcPr>
            <w:tcW w:w="7229" w:type="dxa"/>
            <w:gridSpan w:val="2"/>
            <w:tcBorders>
              <w:top w:val="single" w:color="auto" w:sz="4" w:space="0"/>
              <w:left w:val="single" w:color="auto" w:sz="4" w:space="0"/>
              <w:right w:val="single" w:color="auto" w:sz="4" w:space="0"/>
            </w:tcBorders>
            <w:vAlign w:val="center"/>
          </w:tcPr>
          <w:p>
            <w:pPr>
              <w:spacing w:line="400" w:lineRule="exact"/>
              <w:rPr>
                <w:rFonts w:ascii="宋体" w:hAnsi="宋体" w:cs="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提供的对项目的质量保障措施及风险防范措施得6分，缺一项扣3分，未提供得0分。</w:t>
            </w:r>
          </w:p>
        </w:tc>
      </w:tr>
      <w:tr>
        <w:tblPrEx>
          <w:tblCellMar>
            <w:top w:w="0" w:type="dxa"/>
            <w:left w:w="108" w:type="dxa"/>
            <w:bottom w:w="0" w:type="dxa"/>
            <w:right w:w="108" w:type="dxa"/>
          </w:tblCellMar>
        </w:tblPrEx>
        <w:trPr>
          <w:trHeight w:val="552" w:hRule="atLeast"/>
          <w:jc w:val="center"/>
        </w:trPr>
        <w:tc>
          <w:tcPr>
            <w:tcW w:w="1284" w:type="dxa"/>
            <w:vMerge w:val="continue"/>
            <w:tcBorders>
              <w:left w:val="single" w:color="auto" w:sz="4" w:space="0"/>
              <w:right w:val="single" w:color="auto"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vAlign w:val="center"/>
          </w:tcPr>
          <w:p>
            <w:pPr>
              <w:spacing w:line="400" w:lineRule="exact"/>
              <w:ind w:right="-21"/>
              <w:rPr>
                <w:rFonts w:ascii="宋体" w:hAnsi="宋体" w:cs="宋体"/>
                <w:bCs/>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档案管理制度（5分）</w:t>
            </w:r>
          </w:p>
        </w:tc>
        <w:tc>
          <w:tcPr>
            <w:tcW w:w="7229" w:type="dxa"/>
            <w:gridSpan w:val="2"/>
            <w:tcBorders>
              <w:top w:val="single" w:color="auto" w:sz="4" w:space="0"/>
              <w:left w:val="single" w:color="auto" w:sz="4" w:space="0"/>
              <w:right w:val="single" w:color="auto" w:sz="4" w:space="0"/>
            </w:tcBorders>
            <w:vAlign w:val="center"/>
          </w:tcPr>
          <w:p>
            <w:pPr>
              <w:spacing w:line="400" w:lineRule="exact"/>
              <w:rPr>
                <w:rFonts w:ascii="宋体" w:hAnsi="宋体" w:cs="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提供对项目的档案管理制度和方法的得5分；未提供得0分。</w:t>
            </w:r>
          </w:p>
        </w:tc>
      </w:tr>
      <w:tr>
        <w:tblPrEx>
          <w:tblCellMar>
            <w:top w:w="0" w:type="dxa"/>
            <w:left w:w="108" w:type="dxa"/>
            <w:bottom w:w="0" w:type="dxa"/>
            <w:right w:w="108" w:type="dxa"/>
          </w:tblCellMar>
        </w:tblPrEx>
        <w:trPr>
          <w:trHeight w:val="702" w:hRule="atLeast"/>
          <w:jc w:val="center"/>
        </w:trPr>
        <w:tc>
          <w:tcPr>
            <w:tcW w:w="1284" w:type="dxa"/>
            <w:vMerge w:val="continue"/>
            <w:tcBorders>
              <w:left w:val="single" w:color="auto" w:sz="4" w:space="0"/>
              <w:right w:val="single" w:color="auto"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vAlign w:val="center"/>
          </w:tcPr>
          <w:p>
            <w:pPr>
              <w:spacing w:line="400" w:lineRule="exact"/>
              <w:ind w:right="-21"/>
              <w:rPr>
                <w:rFonts w:ascii="宋体" w:hAnsi="宋体" w:cs="宋体"/>
                <w:bCs/>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保密措施（5分）</w:t>
            </w:r>
          </w:p>
        </w:tc>
        <w:tc>
          <w:tcPr>
            <w:tcW w:w="722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cs="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提供对项目的保密措施得5分；未提供得0分。</w:t>
            </w:r>
          </w:p>
        </w:tc>
      </w:tr>
      <w:tr>
        <w:tblPrEx>
          <w:tblCellMar>
            <w:top w:w="0" w:type="dxa"/>
            <w:left w:w="108" w:type="dxa"/>
            <w:bottom w:w="0" w:type="dxa"/>
            <w:right w:w="108" w:type="dxa"/>
          </w:tblCellMar>
        </w:tblPrEx>
        <w:trPr>
          <w:trHeight w:val="809" w:hRule="atLeast"/>
          <w:jc w:val="center"/>
        </w:trPr>
        <w:tc>
          <w:tcPr>
            <w:tcW w:w="1284" w:type="dxa"/>
            <w:vMerge w:val="continue"/>
            <w:tcBorders>
              <w:left w:val="single" w:color="auto" w:sz="4" w:space="0"/>
              <w:right w:val="single" w:color="auto"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715" w:type="dxa"/>
            <w:tcBorders>
              <w:top w:val="single" w:color="auto" w:sz="4" w:space="0"/>
              <w:left w:val="single" w:color="auto" w:sz="4" w:space="0"/>
              <w:right w:val="single" w:color="auto" w:sz="4" w:space="0"/>
            </w:tcBorders>
            <w:vAlign w:val="center"/>
          </w:tcPr>
          <w:p>
            <w:pPr>
              <w:spacing w:line="400" w:lineRule="exact"/>
              <w:ind w:right="-21"/>
              <w:rPr>
                <w:rFonts w:ascii="宋体" w:hAnsi="宋体" w:cs="宋体"/>
                <w:bCs/>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增值服务（5分）</w:t>
            </w:r>
          </w:p>
        </w:tc>
        <w:tc>
          <w:tcPr>
            <w:tcW w:w="7229" w:type="dxa"/>
            <w:gridSpan w:val="2"/>
            <w:tcBorders>
              <w:top w:val="single" w:color="auto" w:sz="4" w:space="0"/>
              <w:left w:val="single" w:color="auto" w:sz="4" w:space="0"/>
              <w:right w:val="single" w:color="auto" w:sz="4" w:space="0"/>
            </w:tcBorders>
            <w:vAlign w:val="center"/>
          </w:tcPr>
          <w:p>
            <w:pPr>
              <w:spacing w:line="400" w:lineRule="exact"/>
              <w:ind w:right="-21"/>
              <w:rPr>
                <w:rFonts w:ascii="宋体" w:hAnsi="宋体" w:cs="宋体"/>
                <w:bCs/>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供应商在主项服务之外，能够提供更多的增值服务，每提供1项增值服务加1分，最多加5分。</w:t>
            </w:r>
          </w:p>
        </w:tc>
      </w:tr>
      <w:tr>
        <w:tblPrEx>
          <w:tblCellMar>
            <w:top w:w="0" w:type="dxa"/>
            <w:left w:w="108" w:type="dxa"/>
            <w:bottom w:w="0" w:type="dxa"/>
            <w:right w:w="108" w:type="dxa"/>
          </w:tblCellMar>
        </w:tblPrEx>
        <w:trPr>
          <w:trHeight w:val="787" w:hRule="atLeast"/>
          <w:jc w:val="center"/>
        </w:trPr>
        <w:tc>
          <w:tcPr>
            <w:tcW w:w="1284" w:type="dxa"/>
            <w:vMerge w:val="continue"/>
            <w:tcBorders>
              <w:left w:val="single" w:color="auto" w:sz="4" w:space="0"/>
              <w:right w:val="single" w:color="auto" w:sz="4" w:space="0"/>
            </w:tcBorders>
            <w:vAlign w:val="center"/>
          </w:tcPr>
          <w:p>
            <w:pPr>
              <w:widowControl/>
              <w:jc w:val="left"/>
              <w:rPr>
                <w:rFonts w:ascii="宋体" w:hAnsi="宋体" w:cs="宋体"/>
                <w:color w:val="000000" w:themeColor="text1"/>
                <w:sz w:val="24"/>
                <w14:textFill>
                  <w14:solidFill>
                    <w14:schemeClr w14:val="tx1"/>
                  </w14:solidFill>
                </w14:textFill>
              </w:rPr>
            </w:pPr>
          </w:p>
        </w:tc>
        <w:tc>
          <w:tcPr>
            <w:tcW w:w="1715" w:type="dxa"/>
            <w:tcBorders>
              <w:top w:val="single" w:color="auto" w:sz="4" w:space="0"/>
              <w:left w:val="single" w:color="auto" w:sz="4" w:space="0"/>
              <w:right w:val="single" w:color="auto" w:sz="4" w:space="0"/>
            </w:tcBorders>
            <w:vAlign w:val="center"/>
          </w:tcPr>
          <w:p>
            <w:pPr>
              <w:spacing w:line="400" w:lineRule="exact"/>
              <w:ind w:right="-21"/>
              <w:rPr>
                <w:rFonts w:ascii="宋体" w:hAnsi="宋体" w:cs="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服务承诺（5分）</w:t>
            </w:r>
          </w:p>
        </w:tc>
        <w:tc>
          <w:tcPr>
            <w:tcW w:w="7229" w:type="dxa"/>
            <w:gridSpan w:val="2"/>
            <w:tcBorders>
              <w:top w:val="single" w:color="auto" w:sz="4" w:space="0"/>
              <w:left w:val="single" w:color="auto" w:sz="4" w:space="0"/>
              <w:right w:val="single" w:color="auto" w:sz="4" w:space="0"/>
            </w:tcBorders>
          </w:tcPr>
          <w:p>
            <w:pPr>
              <w:spacing w:line="400" w:lineRule="exact"/>
              <w:rPr>
                <w:rFonts w:ascii="宋体" w:hAnsi="宋体" w:cs="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提供服从业主管理承诺及措施得5分；未提供得0分。</w:t>
            </w:r>
          </w:p>
        </w:tc>
      </w:tr>
      <w:tr>
        <w:tblPrEx>
          <w:tblCellMar>
            <w:top w:w="0" w:type="dxa"/>
            <w:left w:w="108" w:type="dxa"/>
            <w:bottom w:w="0" w:type="dxa"/>
            <w:right w:w="108" w:type="dxa"/>
          </w:tblCellMar>
        </w:tblPrEx>
        <w:trPr>
          <w:trHeight w:val="287" w:hRule="atLeast"/>
          <w:jc w:val="center"/>
        </w:trPr>
        <w:tc>
          <w:tcPr>
            <w:tcW w:w="1284" w:type="dxa"/>
            <w:vMerge w:val="restart"/>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综合（40分）</w:t>
            </w:r>
          </w:p>
        </w:tc>
        <w:tc>
          <w:tcPr>
            <w:tcW w:w="1715" w:type="dxa"/>
            <w:tcBorders>
              <w:top w:val="single" w:color="auto" w:sz="4" w:space="0"/>
              <w:left w:val="single" w:color="auto" w:sz="4" w:space="0"/>
              <w:bottom w:val="single" w:color="auto" w:sz="4" w:space="0"/>
              <w:right w:val="single" w:color="auto" w:sz="4" w:space="0"/>
            </w:tcBorders>
            <w:vAlign w:val="center"/>
          </w:tcPr>
          <w:p>
            <w:pPr>
              <w:spacing w:line="400" w:lineRule="exact"/>
              <w:ind w:right="-21"/>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企业业绩（8分）</w:t>
            </w:r>
          </w:p>
        </w:tc>
        <w:tc>
          <w:tcPr>
            <w:tcW w:w="7229" w:type="dxa"/>
            <w:gridSpan w:val="2"/>
            <w:tcBorders>
              <w:top w:val="single" w:color="auto" w:sz="4" w:space="0"/>
              <w:left w:val="single" w:color="auto" w:sz="4" w:space="0"/>
              <w:bottom w:val="single" w:color="auto" w:sz="4" w:space="0"/>
              <w:right w:val="single" w:color="auto" w:sz="4" w:space="0"/>
            </w:tcBorders>
            <w:vAlign w:val="center"/>
          </w:tcPr>
          <w:p>
            <w:pPr>
              <w:pStyle w:val="12"/>
              <w:spacing w:line="400" w:lineRule="exact"/>
              <w:rPr>
                <w:rFonts w:hint="default" w:ascii="Times New Roman" w:hAnsi="宋体" w:eastAsia="宋体"/>
                <w:color w:val="000000" w:themeColor="text1"/>
                <w:kern w:val="2"/>
                <w:szCs w:val="24"/>
                <w14:textFill>
                  <w14:solidFill>
                    <w14:schemeClr w14:val="tx1"/>
                  </w14:solidFill>
                </w14:textFill>
              </w:rPr>
            </w:pPr>
            <w:r>
              <w:rPr>
                <w:rFonts w:ascii="Times New Roman" w:hAnsi="宋体" w:eastAsia="宋体"/>
                <w:color w:val="000000" w:themeColor="text1"/>
                <w:kern w:val="2"/>
                <w:szCs w:val="24"/>
                <w14:textFill>
                  <w14:solidFill>
                    <w14:schemeClr w14:val="tx1"/>
                  </w14:solidFill>
                </w14:textFill>
              </w:rPr>
              <w:t>申请人自2020年1月1日（以合同签订时间为准）以来承担国有企业或行政事业单位类似财务审计项目业绩，每提供一份得2分，本项最多得8分。</w:t>
            </w:r>
          </w:p>
          <w:p>
            <w:pPr>
              <w:spacing w:line="400" w:lineRule="exact"/>
              <w:ind w:right="-21"/>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注：响应文件中附合同复印件和审计成果证明材料（首页和签章页）</w:t>
            </w:r>
          </w:p>
        </w:tc>
      </w:tr>
      <w:tr>
        <w:tblPrEx>
          <w:tblCellMar>
            <w:top w:w="0" w:type="dxa"/>
            <w:left w:w="108" w:type="dxa"/>
            <w:bottom w:w="0" w:type="dxa"/>
            <w:right w:w="108" w:type="dxa"/>
          </w:tblCellMar>
        </w:tblPrEx>
        <w:trPr>
          <w:trHeight w:val="665" w:hRule="atLeast"/>
          <w:jc w:val="center"/>
        </w:trPr>
        <w:tc>
          <w:tcPr>
            <w:tcW w:w="128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 w:val="24"/>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vAlign w:val="center"/>
          </w:tcPr>
          <w:p>
            <w:pPr>
              <w:spacing w:line="400" w:lineRule="exact"/>
              <w:ind w:right="-21"/>
              <w:rPr>
                <w:rFonts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项目负责人（6分）</w:t>
            </w:r>
          </w:p>
        </w:tc>
        <w:tc>
          <w:tcPr>
            <w:tcW w:w="722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right="-21"/>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供应商拟派项目负责人具有注册会计师证书资格并具有相关从业经验得3分，同时具有中级或以上职称证书加3分，此项最多得6分。</w:t>
            </w:r>
          </w:p>
          <w:p>
            <w:pPr>
              <w:spacing w:line="400" w:lineRule="exact"/>
              <w:ind w:right="-21"/>
              <w:rPr>
                <w:rFonts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r>
              <w:rPr>
                <w:rFonts w:ascii="宋体" w:hAnsi="宋体" w:cs="宋体"/>
                <w:bCs/>
                <w:color w:val="000000" w:themeColor="text1"/>
                <w:sz w:val="24"/>
                <w:szCs w:val="20"/>
                <w14:textFill>
                  <w14:solidFill>
                    <w14:schemeClr w14:val="tx1"/>
                  </w14:solidFill>
                </w14:textFill>
              </w:rPr>
              <w:t>提供投标截止时间前近3个月份社保证明或依法不缴纳的相关证明复印件加盖公章</w:t>
            </w:r>
          </w:p>
        </w:tc>
      </w:tr>
      <w:tr>
        <w:tblPrEx>
          <w:tblCellMar>
            <w:top w:w="0" w:type="dxa"/>
            <w:left w:w="108" w:type="dxa"/>
            <w:bottom w:w="0" w:type="dxa"/>
            <w:right w:w="108" w:type="dxa"/>
          </w:tblCellMar>
        </w:tblPrEx>
        <w:trPr>
          <w:trHeight w:val="665" w:hRule="atLeast"/>
          <w:jc w:val="center"/>
        </w:trPr>
        <w:tc>
          <w:tcPr>
            <w:tcW w:w="128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 w:val="24"/>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vAlign w:val="center"/>
          </w:tcPr>
          <w:p>
            <w:pPr>
              <w:spacing w:line="400" w:lineRule="exact"/>
              <w:ind w:right="-21"/>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人员实力（16分）</w:t>
            </w:r>
          </w:p>
        </w:tc>
        <w:tc>
          <w:tcPr>
            <w:tcW w:w="7229" w:type="dxa"/>
            <w:gridSpan w:val="2"/>
            <w:tcBorders>
              <w:top w:val="single" w:color="auto" w:sz="4" w:space="0"/>
              <w:left w:val="single" w:color="auto" w:sz="4" w:space="0"/>
              <w:bottom w:val="single" w:color="auto" w:sz="4" w:space="0"/>
              <w:right w:val="single" w:color="auto" w:sz="4" w:space="0"/>
            </w:tcBorders>
          </w:tcPr>
          <w:p>
            <w:pPr>
              <w:spacing w:line="400" w:lineRule="exact"/>
              <w:ind w:right="-21"/>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拟派项目团队人员（不含项目负责人）每有1名具备注册会计师资格的得2分，本项最多得16分。</w:t>
            </w:r>
          </w:p>
        </w:tc>
      </w:tr>
      <w:tr>
        <w:tblPrEx>
          <w:tblCellMar>
            <w:top w:w="0" w:type="dxa"/>
            <w:left w:w="108" w:type="dxa"/>
            <w:bottom w:w="0" w:type="dxa"/>
            <w:right w:w="108" w:type="dxa"/>
          </w:tblCellMar>
        </w:tblPrEx>
        <w:trPr>
          <w:trHeight w:val="651" w:hRule="atLeast"/>
          <w:jc w:val="center"/>
        </w:trPr>
        <w:tc>
          <w:tcPr>
            <w:tcW w:w="128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 w:val="24"/>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vAlign w:val="center"/>
          </w:tcPr>
          <w:p>
            <w:pPr>
              <w:spacing w:line="400" w:lineRule="exact"/>
              <w:ind w:right="-21"/>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体系认证（10）</w:t>
            </w:r>
          </w:p>
        </w:tc>
        <w:tc>
          <w:tcPr>
            <w:tcW w:w="7229" w:type="dxa"/>
            <w:gridSpan w:val="2"/>
            <w:tcBorders>
              <w:top w:val="single" w:color="auto" w:sz="4" w:space="0"/>
              <w:left w:val="single" w:color="auto" w:sz="4" w:space="0"/>
              <w:bottom w:val="single" w:color="auto" w:sz="4" w:space="0"/>
              <w:right w:val="single" w:color="auto" w:sz="4" w:space="0"/>
            </w:tcBorders>
          </w:tcPr>
          <w:p>
            <w:pPr>
              <w:pStyle w:val="2"/>
              <w:ind w:firstLine="0" w:firstLineChars="0"/>
              <w:rPr>
                <w:color w:val="000000" w:themeColor="text1"/>
                <w14:textFill>
                  <w14:solidFill>
                    <w14:schemeClr w14:val="tx1"/>
                  </w14:solidFill>
                </w14:textFill>
              </w:rPr>
            </w:pPr>
            <w:r>
              <w:rPr>
                <w:rFonts w:hint="eastAsia" w:ascii="宋体" w:hAnsi="宋体"/>
                <w:color w:val="000000" w:themeColor="text1"/>
                <w:sz w:val="24"/>
                <w14:textFill>
                  <w14:solidFill>
                    <w14:schemeClr w14:val="tx1"/>
                  </w14:solidFill>
                </w14:textFill>
              </w:rPr>
              <w:t>具有有效的环境体系认证证书、质量体系认证证书、职业健康安全管理体系认证证书，全部齐全者得10分，否则不得分。</w:t>
            </w:r>
          </w:p>
        </w:tc>
      </w:tr>
    </w:tbl>
    <w:p>
      <w:pPr>
        <w:spacing w:line="560" w:lineRule="exac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 xml:space="preserve">  最终得分为磋商小组所有成员计分的算术平均值，计算保留小数点两位，小数点后第三位四舍五入。</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22.3磋商小组根据综合评分情况，按照评审得分由高到低顺序推荐成交候选供应商，并编写评审报告。综合得分相同的供应商，报价较低者优先；报价也相同的，由采购人自行确定。</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560" w:lineRule="exact"/>
        <w:ind w:firstLine="480" w:firstLineChars="200"/>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22.5若供应商的报价高于项目预算，磋商小组有权根据采购人意见及其实际情况，拒绝该报价。</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22.7在竞争性磋商期间，供应商不得向竞争性磋商小组成员询问其它供应商竞争性磋商情况，不得进行旨在影响成交结果的活动。</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22.8在竞争性磋商期间，采购人将有专门人员与供应商进行联络。</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23.竞争性磋商终止</w:t>
      </w:r>
    </w:p>
    <w:p>
      <w:pPr>
        <w:spacing w:line="560" w:lineRule="exact"/>
        <w:ind w:firstLine="480" w:firstLineChars="200"/>
        <w:rPr>
          <w:rFonts w:ascii="宋体" w:hAnsi="宋体" w:cs="宋体"/>
          <w:b/>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23.1出现下列情形之一时，采购人有权宣布竞争性磋商终止，并将理由通知所有供应商：</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（1）因情况变化，不再符合竞争性磋商适用情形的；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（2）出现影响采购公正的违法、违规行为的；</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（3）在采购过程中符合磋商文件要求的供应商不足3家的；</w:t>
      </w:r>
    </w:p>
    <w:p>
      <w:pPr>
        <w:spacing w:line="560" w:lineRule="exact"/>
        <w:ind w:firstLine="480" w:firstLineChars="200"/>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（4）在采购活动中因重大变故，采购任务取消的；</w:t>
      </w:r>
    </w:p>
    <w:p>
      <w:pPr>
        <w:spacing w:line="72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七、成交通知</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24.成交通知</w:t>
      </w:r>
    </w:p>
    <w:p>
      <w:pPr>
        <w:pStyle w:val="2"/>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24.1采购人应当自收到评审报告之日起5个工作日内在评审报告推荐的中标或者成交候选人中按顺序确定中标或者成交供应商。</w:t>
      </w:r>
    </w:p>
    <w:p>
      <w:pPr>
        <w:tabs>
          <w:tab w:val="left" w:pos="1800"/>
        </w:tabs>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24.2在发出成交公告后请采购人、中标人登录周口市公共资源交易中心网（http://jyzx.zhoukou.gov.cn）自行下载</w:t>
      </w:r>
      <w:r>
        <w:rPr>
          <w:rFonts w:hint="eastAsia" w:cs="宋体"/>
          <w:color w:val="000000" w:themeColor="text1"/>
          <w:sz w:val="24"/>
          <w14:textFill>
            <w14:solidFill>
              <w14:schemeClr w14:val="tx1"/>
            </w14:solidFill>
          </w14:textFill>
        </w:rPr>
        <w:t>成交</w:t>
      </w:r>
      <w:r>
        <w:rPr>
          <w:rFonts w:hint="eastAsia" w:ascii="宋体" w:hAnsi="宋体" w:cs="宋体"/>
          <w:color w:val="000000" w:themeColor="text1"/>
          <w:sz w:val="24"/>
          <w14:textFill>
            <w14:solidFill>
              <w14:schemeClr w14:val="tx1"/>
            </w14:solidFill>
          </w14:textFill>
        </w:rPr>
        <w:t>通知书。</w:t>
      </w:r>
    </w:p>
    <w:p>
      <w:pPr>
        <w:tabs>
          <w:tab w:val="left" w:pos="1800"/>
        </w:tabs>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24.3成交通知书对采购人和成交供应商具有同等法律效力。成交通知书发出后，采购人改变成交结果，或者成交供应商放弃成交，应当承担相应的法律责任。</w:t>
      </w:r>
    </w:p>
    <w:p>
      <w:pPr>
        <w:spacing w:line="720" w:lineRule="auto"/>
        <w:jc w:val="center"/>
        <w:rPr>
          <w:rFonts w:ascii="宋体" w:hAnsi="宋体" w:cs="宋体"/>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八、合同授予</w:t>
      </w:r>
    </w:p>
    <w:p>
      <w:pPr>
        <w:tabs>
          <w:tab w:val="left" w:pos="1620"/>
        </w:tabs>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25.签订合同及合同的执行</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25.1采购人、成交供应商按照竞争性磋商文件确定的合同文本签订政府采购合同。</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25.2采购人不得向成交供应商提出超过竞争性磋商文件以外的任何要求作为签订合同的条件，不得与成交供应商订立背离竞争性磋商文件确定的合同文本协议。</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pPr>
        <w:spacing w:line="72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九、质疑处理</w:t>
      </w:r>
    </w:p>
    <w:p>
      <w:pPr>
        <w:pStyle w:val="5"/>
        <w:spacing w:line="560" w:lineRule="exact"/>
        <w:ind w:firstLine="482" w:firstLineChars="200"/>
        <w:jc w:val="both"/>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26.质疑程序及处理</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26.1</w:t>
      </w:r>
      <w:r>
        <w:rPr>
          <w:rFonts w:hint="eastAsia" w:ascii="宋体" w:hAnsi="宋体" w:cs="宋体"/>
          <w:bCs/>
          <w:color w:val="000000" w:themeColor="text1"/>
          <w:sz w:val="24"/>
          <w14:textFill>
            <w14:solidFill>
              <w14:schemeClr w14:val="tx1"/>
            </w14:solidFill>
          </w14:textFill>
        </w:rPr>
        <w:t>投标人认为采购过程、成交结果使自己的合法权益受到损害的，可以在知道或应当知道自己的权益受到损害之日起7个工作日内，由投标人授权代表（或法人代表）按照相关规定，向采购人提出质疑，逾期不予受理。</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26.2采购人在收到供应商的书面质疑后七个工作日内做出答复，并以书面形式通知质疑供应商和其他供应商，但答复内容不得涉及商业秘密。</w:t>
      </w:r>
    </w:p>
    <w:p>
      <w:pPr>
        <w:spacing w:line="56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26.3</w:t>
      </w:r>
      <w:r>
        <w:rPr>
          <w:rFonts w:hint="eastAsia" w:ascii="宋体" w:hAnsi="宋体" w:cs="宋体"/>
          <w:bCs/>
          <w:color w:val="000000" w:themeColor="text1"/>
          <w:sz w:val="24"/>
          <w14:textFill>
            <w14:solidFill>
              <w14:schemeClr w14:val="tx1"/>
            </w14:solidFill>
          </w14:textFill>
        </w:rPr>
        <w:t>质疑供应商行使质疑权时，必须遵守“实事求是”和“谨慎性”原则，承担使用虚假材料或恶意方式质疑的法律责任，</w:t>
      </w:r>
      <w:r>
        <w:rPr>
          <w:rFonts w:hint="eastAsia" w:ascii="宋体" w:hAnsi="宋体" w:cs="宋体"/>
          <w:color w:val="000000" w:themeColor="text1"/>
          <w:sz w:val="24"/>
          <w14:textFill>
            <w14:solidFill>
              <w14:schemeClr w14:val="tx1"/>
            </w14:solidFill>
          </w14:textFill>
        </w:rPr>
        <w:t>采购人</w:t>
      </w:r>
      <w:r>
        <w:rPr>
          <w:rFonts w:hint="eastAsia" w:ascii="宋体" w:hAnsi="宋体" w:cs="宋体"/>
          <w:bCs/>
          <w:color w:val="000000" w:themeColor="text1"/>
          <w:sz w:val="24"/>
          <w14:textFill>
            <w14:solidFill>
              <w14:schemeClr w14:val="tx1"/>
            </w14:solidFill>
          </w14:textFill>
        </w:rPr>
        <w:t>将遵循“谁过错谁负担”的原则，由过错方提交相关的调查论证费用。</w:t>
      </w: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pPr>
        <w:spacing w:line="560" w:lineRule="exact"/>
        <w:rPr>
          <w:rFonts w:ascii="宋体" w:hAnsi="宋体" w:cs="宋体"/>
          <w:color w:val="000000" w:themeColor="text1"/>
          <w:sz w:val="24"/>
          <w14:textFill>
            <w14:solidFill>
              <w14:schemeClr w14:val="tx1"/>
            </w14:solidFill>
          </w14:textFill>
        </w:rPr>
        <w:sectPr>
          <w:headerReference r:id="rId3" w:type="default"/>
          <w:footerReference r:id="rId4" w:type="default"/>
          <w:pgSz w:w="11907" w:h="16840"/>
          <w:pgMar w:top="2098" w:right="1474" w:bottom="1985" w:left="1588" w:header="851" w:footer="992" w:gutter="0"/>
          <w:cols w:space="720" w:num="1"/>
          <w:docGrid w:type="lines" w:linePitch="312" w:charSpace="0"/>
        </w:sectPr>
      </w:pPr>
    </w:p>
    <w:p>
      <w:pPr>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第三章 采购项目内容及要求</w:t>
      </w:r>
    </w:p>
    <w:p>
      <w:pPr>
        <w:pStyle w:val="2"/>
        <w:ind w:firstLine="210"/>
        <w:rPr>
          <w:color w:val="000000" w:themeColor="text1"/>
          <w14:textFill>
            <w14:solidFill>
              <w14:schemeClr w14:val="tx1"/>
            </w14:solidFill>
          </w14:textFill>
        </w:rPr>
      </w:pPr>
    </w:p>
    <w:p>
      <w:pPr>
        <w:pStyle w:val="2"/>
        <w:ind w:firstLine="210"/>
        <w:rPr>
          <w:color w:val="000000" w:themeColor="text1"/>
          <w14:textFill>
            <w14:solidFill>
              <w14:schemeClr w14:val="tx1"/>
            </w14:solidFill>
          </w14:textFill>
        </w:rPr>
      </w:pPr>
      <w:r>
        <w:rPr>
          <w:rFonts w:hint="eastAsia"/>
          <w:color w:val="000000" w:themeColor="text1"/>
          <w14:textFill>
            <w14:solidFill>
              <w14:schemeClr w14:val="tx1"/>
            </w14:solidFill>
          </w14:textFill>
        </w:rPr>
        <w:t>1.</w:t>
      </w:r>
      <w:r>
        <w:rPr>
          <w:rFonts w:hint="eastAsia" w:ascii="宋体" w:hAnsi="宋体" w:cs="宋体"/>
          <w:b/>
          <w:color w:val="000000" w:themeColor="text1"/>
          <w:sz w:val="24"/>
          <w14:textFill>
            <w14:solidFill>
              <w14:schemeClr w14:val="tx1"/>
            </w14:solidFill>
          </w14:textFill>
        </w:rPr>
        <w:t xml:space="preserve"> 项目内容</w:t>
      </w:r>
    </w:p>
    <w:p>
      <w:pPr>
        <w:spacing w:line="360" w:lineRule="auto"/>
        <w:ind w:left="352" w:firstLine="480" w:firstLineChars="200"/>
        <w:rPr>
          <w:rStyle w:val="66"/>
          <w:rFonts w:ascii="宋体" w:hAnsi="宋体" w:cs="宋体"/>
          <w:color w:val="000000" w:themeColor="text1"/>
          <w:sz w:val="24"/>
          <w:lang w:val="zh-CN"/>
          <w14:textFill>
            <w14:solidFill>
              <w14:schemeClr w14:val="tx1"/>
            </w14:solidFill>
          </w14:textFill>
        </w:rPr>
      </w:pPr>
      <w:r>
        <w:rPr>
          <w:rStyle w:val="66"/>
          <w:rFonts w:hint="eastAsia" w:ascii="宋体" w:hAnsi="宋体" w:cs="宋体"/>
          <w:color w:val="000000" w:themeColor="text1"/>
          <w:sz w:val="24"/>
          <w:lang w:val="zh-CN"/>
          <w14:textFill>
            <w14:solidFill>
              <w14:schemeClr w14:val="tx1"/>
            </w14:solidFill>
          </w14:textFill>
        </w:rPr>
        <w:t>服务期限内中标人应在执行审计工作的基础上对商水县县属国有企业财务报表发表审计意见，按照约定时间完成审计工作，出具审计报告，在年度财务报表审计范围内不收取额外费用；服务方式为现场和送达模式，由此产生的一切费用均由中标人承担。</w:t>
      </w:r>
    </w:p>
    <w:p>
      <w:pPr>
        <w:spacing w:line="480" w:lineRule="auto"/>
        <w:ind w:left="350"/>
        <w:rPr>
          <w:rStyle w:val="66"/>
          <w:rFonts w:ascii="宋体" w:hAnsi="宋体" w:cs="宋体"/>
          <w:color w:val="000000" w:themeColor="text1"/>
          <w:sz w:val="24"/>
          <w:lang w:val="zh-CN"/>
          <w14:textFill>
            <w14:solidFill>
              <w14:schemeClr w14:val="tx1"/>
            </w14:solidFill>
          </w14:textFill>
        </w:rPr>
      </w:pPr>
      <w:r>
        <w:rPr>
          <w:rStyle w:val="66"/>
          <w:rFonts w:hint="eastAsia" w:ascii="宋体" w:hAnsi="宋体" w:cs="宋体"/>
          <w:color w:val="000000" w:themeColor="text1"/>
          <w:sz w:val="24"/>
          <w:lang w:val="zh-CN"/>
          <w14:textFill>
            <w14:solidFill>
              <w14:schemeClr w14:val="tx1"/>
            </w14:solidFill>
          </w14:textFill>
        </w:rPr>
        <w:t>2、服务内容及要求：</w:t>
      </w:r>
    </w:p>
    <w:p>
      <w:pPr>
        <w:spacing w:line="420" w:lineRule="exact"/>
        <w:ind w:firstLine="480" w:firstLineChars="200"/>
        <w:rPr>
          <w:rStyle w:val="66"/>
          <w:rFonts w:ascii="宋体" w:hAnsi="宋体" w:cs="宋体"/>
          <w:color w:val="000000" w:themeColor="text1"/>
          <w:sz w:val="24"/>
          <w:lang w:val="zh-CN"/>
          <w14:textFill>
            <w14:solidFill>
              <w14:schemeClr w14:val="tx1"/>
            </w14:solidFill>
          </w14:textFill>
        </w:rPr>
      </w:pPr>
      <w:r>
        <w:rPr>
          <w:rStyle w:val="66"/>
          <w:rFonts w:hint="eastAsia" w:ascii="宋体" w:hAnsi="宋体" w:cs="宋体"/>
          <w:color w:val="000000" w:themeColor="text1"/>
          <w:sz w:val="24"/>
          <w:lang w:val="zh-CN"/>
          <w14:textFill>
            <w14:solidFill>
              <w14:schemeClr w14:val="tx1"/>
            </w14:solidFill>
          </w14:textFill>
        </w:rPr>
        <w:t>2.1服务要求：符合国家和地方有关管理的规范、标准。</w:t>
      </w:r>
    </w:p>
    <w:p>
      <w:pPr>
        <w:spacing w:line="420" w:lineRule="exact"/>
        <w:ind w:firstLine="480" w:firstLineChars="200"/>
        <w:rPr>
          <w:rStyle w:val="66"/>
          <w:rFonts w:ascii="宋体" w:hAnsi="宋体" w:cs="宋体"/>
          <w:color w:val="000000" w:themeColor="text1"/>
          <w:sz w:val="24"/>
          <w:lang w:val="zh-CN"/>
          <w14:textFill>
            <w14:solidFill>
              <w14:schemeClr w14:val="tx1"/>
            </w14:solidFill>
          </w14:textFill>
        </w:rPr>
      </w:pPr>
      <w:r>
        <w:rPr>
          <w:rStyle w:val="66"/>
          <w:rFonts w:hint="eastAsia" w:ascii="宋体" w:hAnsi="宋体" w:cs="宋体"/>
          <w:color w:val="000000" w:themeColor="text1"/>
          <w:sz w:val="24"/>
          <w:lang w:val="zh-CN"/>
          <w14:textFill>
            <w14:solidFill>
              <w14:schemeClr w14:val="tx1"/>
            </w14:solidFill>
          </w14:textFill>
        </w:rPr>
        <w:t>2.2</w:t>
      </w:r>
      <w:r>
        <w:rPr>
          <w:rStyle w:val="66"/>
          <w:rFonts w:hint="eastAsia" w:ascii="宋体" w:hAnsi="宋体" w:cs="宋体"/>
          <w:color w:val="000000" w:themeColor="text1"/>
          <w:sz w:val="24"/>
          <w14:textFill>
            <w14:solidFill>
              <w14:schemeClr w14:val="tx1"/>
            </w14:solidFill>
          </w14:textFill>
        </w:rPr>
        <w:t>服务</w:t>
      </w:r>
      <w:r>
        <w:rPr>
          <w:rStyle w:val="66"/>
          <w:rFonts w:hint="eastAsia" w:ascii="宋体" w:hAnsi="宋体" w:cs="宋体"/>
          <w:color w:val="000000" w:themeColor="text1"/>
          <w:sz w:val="24"/>
          <w:lang w:val="zh-CN"/>
          <w14:textFill>
            <w14:solidFill>
              <w14:schemeClr w14:val="tx1"/>
            </w14:solidFill>
          </w14:textFill>
        </w:rPr>
        <w:t>地点：采购人指定地点。</w:t>
      </w:r>
    </w:p>
    <w:p>
      <w:pPr>
        <w:spacing w:line="420" w:lineRule="exact"/>
        <w:ind w:firstLine="480" w:firstLineChars="200"/>
        <w:rPr>
          <w:rStyle w:val="66"/>
          <w:rFonts w:ascii="宋体" w:hAnsi="宋体" w:cs="宋体"/>
          <w:color w:val="000000" w:themeColor="text1"/>
          <w:sz w:val="24"/>
          <w:lang w:val="zh-CN"/>
          <w14:textFill>
            <w14:solidFill>
              <w14:schemeClr w14:val="tx1"/>
            </w14:solidFill>
          </w14:textFill>
        </w:rPr>
      </w:pPr>
      <w:r>
        <w:rPr>
          <w:rStyle w:val="66"/>
          <w:rFonts w:hint="eastAsia" w:ascii="宋体" w:hAnsi="宋体" w:cs="宋体"/>
          <w:color w:val="000000" w:themeColor="text1"/>
          <w:sz w:val="24"/>
          <w:lang w:val="zh-CN"/>
          <w14:textFill>
            <w14:solidFill>
              <w14:schemeClr w14:val="tx1"/>
            </w14:solidFill>
          </w14:textFill>
        </w:rPr>
        <w:t>2.3</w:t>
      </w:r>
      <w:r>
        <w:rPr>
          <w:rStyle w:val="66"/>
          <w:rFonts w:hint="eastAsia" w:ascii="宋体" w:hAnsi="宋体" w:cs="宋体"/>
          <w:color w:val="000000" w:themeColor="text1"/>
          <w:sz w:val="24"/>
          <w14:textFill>
            <w14:solidFill>
              <w14:schemeClr w14:val="tx1"/>
            </w14:solidFill>
          </w14:textFill>
        </w:rPr>
        <w:t>服务</w:t>
      </w:r>
      <w:r>
        <w:rPr>
          <w:rStyle w:val="66"/>
          <w:rFonts w:hint="eastAsia" w:ascii="宋体" w:hAnsi="宋体" w:cs="宋体"/>
          <w:color w:val="000000" w:themeColor="text1"/>
          <w:sz w:val="24"/>
          <w:lang w:val="zh-CN"/>
          <w14:textFill>
            <w14:solidFill>
              <w14:schemeClr w14:val="tx1"/>
            </w14:solidFill>
          </w14:textFill>
        </w:rPr>
        <w:t>日期：</w:t>
      </w:r>
      <w:r>
        <w:rPr>
          <w:rStyle w:val="66"/>
          <w:rFonts w:ascii="宋体" w:hAnsi="宋体" w:cs="宋体"/>
          <w:color w:val="000000" w:themeColor="text1"/>
          <w:sz w:val="24"/>
          <w:lang w:val="zh-CN"/>
          <w14:textFill>
            <w14:solidFill>
              <w14:schemeClr w14:val="tx1"/>
            </w14:solidFill>
          </w14:textFill>
        </w:rPr>
        <w:t xml:space="preserve"> </w:t>
      </w:r>
      <w:r>
        <w:rPr>
          <w:rStyle w:val="66"/>
          <w:rFonts w:hint="eastAsia" w:ascii="宋体" w:hAnsi="宋体" w:cs="宋体"/>
          <w:color w:val="000000" w:themeColor="text1"/>
          <w:sz w:val="24"/>
          <w:lang w:val="zh-CN"/>
          <w14:textFill>
            <w14:solidFill>
              <w14:schemeClr w14:val="tx1"/>
            </w14:solidFill>
          </w14:textFill>
        </w:rPr>
        <w:t>30日历天</w:t>
      </w:r>
    </w:p>
    <w:p>
      <w:pPr>
        <w:spacing w:after="120" w:line="415" w:lineRule="auto"/>
        <w:ind w:firstLine="480" w:firstLineChars="200"/>
        <w:jc w:val="center"/>
        <w:rPr>
          <w:rStyle w:val="66"/>
          <w:rFonts w:ascii="宋体" w:hAnsi="宋体" w:cs="宋体"/>
          <w:color w:val="000000" w:themeColor="text1"/>
          <w:sz w:val="24"/>
          <w:lang w:val="zh-CN"/>
          <w14:textFill>
            <w14:solidFill>
              <w14:schemeClr w14:val="tx1"/>
            </w14:solidFill>
          </w14:textFill>
        </w:rPr>
      </w:pPr>
    </w:p>
    <w:p>
      <w:pPr>
        <w:pStyle w:val="2"/>
        <w:ind w:firstLine="210"/>
        <w:rPr>
          <w:rStyle w:val="66"/>
          <w:color w:val="000000" w:themeColor="text1"/>
          <w:lang w:val="zh-CN"/>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spacing w:line="480" w:lineRule="auto"/>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第四章  响应性文件内容及格式</w:t>
      </w:r>
    </w:p>
    <w:p>
      <w:pPr>
        <w:widowControl/>
        <w:spacing w:line="520" w:lineRule="exact"/>
        <w:ind w:firstLine="480" w:firstLineChars="200"/>
        <w:jc w:val="center"/>
        <w:rPr>
          <w:rFonts w:ascii="宋体" w:hAnsi="宋体" w:cs="宋体"/>
          <w:color w:val="000000" w:themeColor="text1"/>
          <w:sz w:val="24"/>
          <w14:textFill>
            <w14:solidFill>
              <w14:schemeClr w14:val="tx1"/>
            </w14:solidFill>
          </w14:textFill>
        </w:rPr>
      </w:pPr>
    </w:p>
    <w:p>
      <w:pPr>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注：请供应商按照以下文件的要求格式、内容，顺序制作响应性文件，并编制目录及页码，否则可能将影响对响应性文件的评价。 </w:t>
      </w:r>
    </w:p>
    <w:p>
      <w:pPr>
        <w:spacing w:line="56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重要提示：</w:t>
      </w:r>
    </w:p>
    <w:p>
      <w:pPr>
        <w:snapToGrid w:val="0"/>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1．供应商在编制响应性文件时，对于给定格式的文件内容，必须按照给定的标准格式进行填报；对于没有给定标准格式的文件内容，可以由供应商自行设计。</w:t>
      </w:r>
    </w:p>
    <w:p>
      <w:pPr>
        <w:snapToGrid w:val="0"/>
        <w:spacing w:line="5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2.法定代表人本人参加竞争性磋商的，不需提供授权委托书。</w:t>
      </w: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pStyle w:val="28"/>
        <w:ind w:firstLine="480"/>
        <w:rPr>
          <w:rFonts w:ascii="宋体" w:hAnsi="宋体" w:eastAsia="宋体" w:cs="宋体"/>
          <w:color w:val="000000" w:themeColor="text1"/>
          <w:sz w:val="24"/>
          <w14:textFill>
            <w14:solidFill>
              <w14:schemeClr w14:val="tx1"/>
            </w14:solidFill>
          </w14:textFill>
        </w:rPr>
      </w:pPr>
    </w:p>
    <w:p>
      <w:pPr>
        <w:pStyle w:val="28"/>
        <w:ind w:firstLine="480"/>
        <w:rPr>
          <w:rFonts w:ascii="宋体" w:hAnsi="宋体" w:eastAsia="宋体" w:cs="宋体"/>
          <w:color w:val="000000" w:themeColor="text1"/>
          <w:sz w:val="24"/>
          <w14:textFill>
            <w14:solidFill>
              <w14:schemeClr w14:val="tx1"/>
            </w14:solidFill>
          </w14:textFill>
        </w:rPr>
      </w:pPr>
    </w:p>
    <w:p>
      <w:pPr>
        <w:pStyle w:val="28"/>
        <w:ind w:firstLine="480"/>
        <w:rPr>
          <w:rFonts w:ascii="宋体" w:hAnsi="宋体" w:eastAsia="宋体" w:cs="宋体"/>
          <w:color w:val="000000" w:themeColor="text1"/>
          <w:sz w:val="24"/>
          <w14:textFill>
            <w14:solidFill>
              <w14:schemeClr w14:val="tx1"/>
            </w14:solidFill>
          </w14:textFill>
        </w:rPr>
      </w:pPr>
    </w:p>
    <w:p>
      <w:pPr>
        <w:pStyle w:val="28"/>
        <w:ind w:firstLine="480"/>
        <w:rPr>
          <w:rFonts w:ascii="宋体" w:hAnsi="宋体" w:eastAsia="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pStyle w:val="28"/>
        <w:ind w:firstLine="480"/>
        <w:rPr>
          <w:rFonts w:ascii="宋体" w:hAnsi="宋体" w:eastAsia="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snapToGrid w:val="0"/>
        <w:jc w:val="left"/>
        <w:rPr>
          <w:rFonts w:ascii="宋体" w:hAnsi="宋体" w:cs="宋体"/>
          <w:color w:val="000000" w:themeColor="text1"/>
          <w:sz w:val="24"/>
          <w14:textFill>
            <w14:solidFill>
              <w14:schemeClr w14:val="tx1"/>
            </w14:solidFill>
          </w14:textFill>
        </w:rPr>
      </w:pPr>
    </w:p>
    <w:p>
      <w:pPr>
        <w:pStyle w:val="28"/>
        <w:ind w:firstLine="480"/>
        <w:rPr>
          <w:rFonts w:ascii="宋体" w:hAnsi="宋体" w:eastAsia="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格式2-1</w:t>
      </w:r>
    </w:p>
    <w:p>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企业营业执照副本及</w:t>
      </w:r>
      <w:r>
        <w:rPr>
          <w:rFonts w:hint="eastAsia" w:ascii="宋体" w:hAnsi="宋体" w:cs="宋体"/>
          <w:color w:val="000000" w:themeColor="text1"/>
          <w:kern w:val="0"/>
          <w:sz w:val="24"/>
          <w14:textFill>
            <w14:solidFill>
              <w14:schemeClr w14:val="tx1"/>
            </w14:solidFill>
          </w14:textFill>
        </w:rPr>
        <w:t>资格性证明材料</w:t>
      </w:r>
    </w:p>
    <w:p>
      <w:pPr>
        <w:pStyle w:val="2"/>
        <w:ind w:firstLine="210"/>
        <w:rPr>
          <w:color w:val="000000" w:themeColor="text1"/>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格式2-2</w:t>
      </w:r>
    </w:p>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法定代表人身份证明书</w:t>
      </w:r>
    </w:p>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（法定代表人参加竞争性磋商的，出具此证明书）</w:t>
      </w:r>
    </w:p>
    <w:p>
      <w:pPr>
        <w:spacing w:line="360" w:lineRule="auto"/>
        <w:ind w:firstLine="480" w:firstLineChars="200"/>
        <w:rPr>
          <w:rFonts w:ascii="宋体" w:hAnsi="宋体" w:cs="宋体"/>
          <w:color w:val="000000" w:themeColor="text1"/>
          <w:sz w:val="24"/>
          <w14:textFill>
            <w14:solidFill>
              <w14:schemeClr w14:val="tx1"/>
            </w14:solidFill>
          </w14:textFill>
        </w:rPr>
      </w:pP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同志，系我单位法定代表人，任职务。</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特此证明。</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附：联系地址：               </w:t>
      </w:r>
    </w:p>
    <w:p>
      <w:pPr>
        <w:spacing w:line="360" w:lineRule="auto"/>
        <w:ind w:firstLine="960" w:firstLineChars="400"/>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联系电话：</w:t>
      </w:r>
    </w:p>
    <w:tbl>
      <w:tblPr>
        <w:tblStyle w:val="29"/>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rPr>
                <w:rFonts w:ascii="宋体" w:hAnsi="宋体" w:cs="宋体"/>
                <w:b/>
                <w:bCs/>
                <w:color w:val="000000" w:themeColor="text1"/>
                <w:sz w:val="24"/>
                <w14:textFill>
                  <w14:solidFill>
                    <w14:schemeClr w14:val="tx1"/>
                  </w14:solidFill>
                </w14:textFill>
              </w:rPr>
            </w:pPr>
          </w:p>
          <w:p>
            <w:pPr>
              <w:spacing w:line="480" w:lineRule="exact"/>
              <w:rPr>
                <w:rFonts w:ascii="宋体" w:hAnsi="宋体" w:cs="宋体"/>
                <w:b/>
                <w:bCs/>
                <w:color w:val="000000" w:themeColor="text1"/>
                <w:sz w:val="24"/>
                <w14:textFill>
                  <w14:solidFill>
                    <w14:schemeClr w14:val="tx1"/>
                  </w14:solidFill>
                </w14:textFill>
              </w:rPr>
            </w:pPr>
          </w:p>
          <w:p>
            <w:pPr>
              <w:spacing w:line="480" w:lineRule="exact"/>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（※附：法定代表人身份证复印件※）</w:t>
            </w:r>
          </w:p>
          <w:p>
            <w:pPr>
              <w:spacing w:line="480" w:lineRule="exact"/>
              <w:rPr>
                <w:rFonts w:ascii="宋体" w:hAnsi="宋体" w:cs="宋体"/>
                <w:color w:val="000000" w:themeColor="text1"/>
                <w:sz w:val="24"/>
                <w14:textFill>
                  <w14:solidFill>
                    <w14:schemeClr w14:val="tx1"/>
                  </w14:solidFill>
                </w14:textFill>
              </w:rPr>
            </w:pPr>
          </w:p>
          <w:p>
            <w:pPr>
              <w:spacing w:line="480" w:lineRule="exact"/>
              <w:rPr>
                <w:rFonts w:ascii="宋体" w:hAnsi="宋体" w:cs="宋体"/>
                <w:color w:val="000000" w:themeColor="text1"/>
                <w:sz w:val="24"/>
                <w14:textFill>
                  <w14:solidFill>
                    <w14:schemeClr w14:val="tx1"/>
                  </w14:solidFill>
                </w14:textFill>
              </w:rPr>
            </w:pPr>
          </w:p>
        </w:tc>
      </w:tr>
    </w:tbl>
    <w:p>
      <w:pPr>
        <w:spacing w:line="360" w:lineRule="auto"/>
        <w:ind w:firstLine="960" w:firstLineChars="400"/>
        <w:rPr>
          <w:rFonts w:ascii="宋体" w:hAnsi="宋体" w:cs="宋体"/>
          <w:color w:val="000000" w:themeColor="text1"/>
          <w:sz w:val="24"/>
          <w14:textFill>
            <w14:solidFill>
              <w14:schemeClr w14:val="tx1"/>
            </w14:solidFill>
          </w14:textFill>
        </w:rPr>
      </w:pPr>
    </w:p>
    <w:p>
      <w:pPr>
        <w:spacing w:line="360" w:lineRule="auto"/>
        <w:ind w:firstLine="3840" w:firstLineChars="1600"/>
        <w:rPr>
          <w:rFonts w:ascii="宋体" w:hAnsi="宋体" w:cs="宋体"/>
          <w:color w:val="000000" w:themeColor="text1"/>
          <w:sz w:val="24"/>
          <w14:textFill>
            <w14:solidFill>
              <w14:schemeClr w14:val="tx1"/>
            </w14:solidFill>
          </w14:textFill>
        </w:rPr>
      </w:pPr>
    </w:p>
    <w:p>
      <w:pPr>
        <w:spacing w:line="360" w:lineRule="auto"/>
        <w:ind w:firstLine="3840" w:firstLineChars="1600"/>
        <w:rPr>
          <w:rFonts w:ascii="宋体" w:hAnsi="宋体" w:cs="宋体"/>
          <w:color w:val="000000" w:themeColor="text1"/>
          <w:sz w:val="24"/>
          <w14:textFill>
            <w14:solidFill>
              <w14:schemeClr w14:val="tx1"/>
            </w14:solidFill>
          </w14:textFill>
        </w:rPr>
      </w:pPr>
    </w:p>
    <w:p>
      <w:pPr>
        <w:spacing w:line="360" w:lineRule="auto"/>
        <w:ind w:firstLine="3840" w:firstLineChars="1600"/>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ind w:firstLine="3840" w:firstLineChars="16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供应商电子公章： </w:t>
      </w:r>
    </w:p>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格式2-3</w:t>
      </w:r>
    </w:p>
    <w:p>
      <w:pPr>
        <w:spacing w:line="360" w:lineRule="auto"/>
        <w:ind w:firstLine="480" w:firstLineChars="200"/>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授权委托书</w:t>
      </w:r>
    </w:p>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（委托代理人参加竞争性磋商的，出具此证明书）</w:t>
      </w:r>
    </w:p>
    <w:p>
      <w:pPr>
        <w:spacing w:line="360" w:lineRule="auto"/>
        <w:ind w:firstLine="480" w:firstLineChars="200"/>
        <w:rPr>
          <w:rFonts w:ascii="宋体" w:hAnsi="宋体" w:cs="宋体"/>
          <w:color w:val="000000" w:themeColor="text1"/>
          <w:sz w:val="24"/>
          <w14:textFill>
            <w14:solidFill>
              <w14:schemeClr w14:val="tx1"/>
            </w14:solidFill>
          </w14:textFill>
        </w:rPr>
      </w:pP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委托人授权（被委托人的姓名、职务）为委托人的委托代理人，就项目编号为的项目及合同的执行，以本单位名义处理一切与之有关的事务。</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本授权书于年月日签字生效，特此声明。</w:t>
      </w:r>
    </w:p>
    <w:p>
      <w:pPr>
        <w:spacing w:line="360" w:lineRule="auto"/>
        <w:rPr>
          <w:rFonts w:ascii="宋体" w:hAnsi="宋体" w:cs="宋体"/>
          <w:color w:val="000000" w:themeColor="text1"/>
          <w:sz w:val="24"/>
          <w14:textFill>
            <w14:solidFill>
              <w14:schemeClr w14:val="tx1"/>
            </w14:solidFill>
          </w14:textFill>
        </w:rPr>
      </w:pP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委托人：</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供应商电子签章：       </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被委托人：</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w:t>
      </w:r>
    </w:p>
    <w:tbl>
      <w:tblPr>
        <w:tblStyle w:val="29"/>
        <w:tblpPr w:leftFromText="180" w:rightFromText="180" w:vertAnchor="text" w:horzAnchor="page" w:tblpX="3282" w:tblpY="247"/>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宋体"/>
                <w:b/>
                <w:bCs/>
                <w:color w:val="000000" w:themeColor="text1"/>
                <w:sz w:val="24"/>
                <w14:textFill>
                  <w14:solidFill>
                    <w14:schemeClr w14:val="tx1"/>
                  </w14:solidFill>
                </w14:textFill>
              </w:rPr>
            </w:pPr>
          </w:p>
          <w:p>
            <w:pPr>
              <w:spacing w:line="480" w:lineRule="exact"/>
              <w:rPr>
                <w:rFonts w:ascii="宋体" w:hAnsi="宋体" w:cs="宋体"/>
                <w:b/>
                <w:bCs/>
                <w:color w:val="000000" w:themeColor="text1"/>
                <w:sz w:val="24"/>
                <w14:textFill>
                  <w14:solidFill>
                    <w14:schemeClr w14:val="tx1"/>
                  </w14:solidFill>
                </w14:textFill>
              </w:rPr>
            </w:pPr>
          </w:p>
          <w:p>
            <w:pPr>
              <w:spacing w:line="480" w:lineRule="exact"/>
              <w:jc w:val="cente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（※附：被委托人身份证复印件※）</w:t>
            </w:r>
          </w:p>
        </w:tc>
      </w:tr>
    </w:tbl>
    <w:p>
      <w:pPr>
        <w:spacing w:line="360" w:lineRule="auto"/>
        <w:ind w:firstLine="480" w:firstLineChars="200"/>
        <w:rPr>
          <w:rFonts w:ascii="宋体" w:hAnsi="宋体" w:cs="宋体"/>
          <w:color w:val="000000" w:themeColor="text1"/>
          <w:sz w:val="24"/>
          <w14:textFill>
            <w14:solidFill>
              <w14:schemeClr w14:val="tx1"/>
            </w14:solidFill>
          </w14:textFill>
        </w:rPr>
      </w:pPr>
    </w:p>
    <w:p>
      <w:pPr>
        <w:spacing w:line="360" w:lineRule="auto"/>
        <w:ind w:firstLine="480" w:firstLineChars="200"/>
        <w:rPr>
          <w:rFonts w:ascii="宋体" w:hAnsi="宋体" w:cs="宋体"/>
          <w:color w:val="000000" w:themeColor="text1"/>
          <w:sz w:val="24"/>
          <w14:textFill>
            <w14:solidFill>
              <w14:schemeClr w14:val="tx1"/>
            </w14:solidFill>
          </w14:textFill>
        </w:rPr>
      </w:pPr>
    </w:p>
    <w:p>
      <w:pPr>
        <w:spacing w:line="360" w:lineRule="auto"/>
        <w:ind w:firstLine="480" w:firstLineChars="200"/>
        <w:rPr>
          <w:rFonts w:ascii="宋体" w:hAnsi="宋体" w:cs="宋体"/>
          <w:color w:val="000000" w:themeColor="text1"/>
          <w:sz w:val="24"/>
          <w14:textFill>
            <w14:solidFill>
              <w14:schemeClr w14:val="tx1"/>
            </w14:solidFill>
          </w14:textFill>
        </w:rPr>
      </w:pPr>
    </w:p>
    <w:p>
      <w:pPr>
        <w:spacing w:line="360" w:lineRule="auto"/>
        <w:ind w:firstLine="4920" w:firstLineChars="2050"/>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ind w:firstLine="3840" w:firstLineChars="16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供应商电子公章： </w:t>
      </w:r>
    </w:p>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p>
      <w:pPr>
        <w:pStyle w:val="2"/>
        <w:ind w:firstLine="210"/>
        <w:rPr>
          <w:color w:val="000000" w:themeColor="text1"/>
          <w14:textFill>
            <w14:solidFill>
              <w14:schemeClr w14:val="tx1"/>
            </w14:solidFill>
          </w14:textFill>
        </w:rPr>
      </w:pPr>
    </w:p>
    <w:p>
      <w:pPr>
        <w:pStyle w:val="2"/>
        <w:ind w:firstLine="210"/>
        <w:rPr>
          <w:color w:val="000000" w:themeColor="text1"/>
          <w14:textFill>
            <w14:solidFill>
              <w14:schemeClr w14:val="tx1"/>
            </w14:solidFill>
          </w14:textFill>
        </w:rPr>
      </w:pPr>
    </w:p>
    <w:p>
      <w:pPr>
        <w:pStyle w:val="2"/>
        <w:ind w:firstLine="210"/>
        <w:rPr>
          <w:color w:val="000000" w:themeColor="text1"/>
          <w14:textFill>
            <w14:solidFill>
              <w14:schemeClr w14:val="tx1"/>
            </w14:solidFill>
          </w14:textFill>
        </w:rPr>
      </w:pPr>
    </w:p>
    <w:p>
      <w:pPr>
        <w:pStyle w:val="2"/>
        <w:ind w:firstLine="210"/>
        <w:rPr>
          <w:color w:val="000000" w:themeColor="text1"/>
          <w14:textFill>
            <w14:solidFill>
              <w14:schemeClr w14:val="tx1"/>
            </w14:solidFill>
          </w14:textFill>
        </w:rPr>
      </w:pPr>
    </w:p>
    <w:p>
      <w:pPr>
        <w:pStyle w:val="2"/>
        <w:ind w:firstLine="210"/>
        <w:rPr>
          <w:color w:val="000000" w:themeColor="text1"/>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格式2-3政府采购法第二十二条及参加政府采购活动前三年内无重大违法记录的书面声明</w:t>
      </w:r>
    </w:p>
    <w:p>
      <w:pPr>
        <w:spacing w:line="360" w:lineRule="auto"/>
        <w:jc w:val="left"/>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格式3</w:t>
      </w:r>
    </w:p>
    <w:p>
      <w:pPr>
        <w:spacing w:line="5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投标函</w:t>
      </w:r>
    </w:p>
    <w:p>
      <w:pPr>
        <w:pStyle w:val="26"/>
        <w:shd w:val="clear" w:color="auto" w:fill="FFFFFF"/>
        <w:adjustRightInd w:val="0"/>
        <w:snapToGrid w:val="0"/>
        <w:spacing w:before="0" w:beforeAutospacing="0" w:after="0" w:afterAutospacing="0" w:line="360" w:lineRule="auto"/>
        <w:rPr>
          <w:rFonts w:cs="宋体"/>
          <w:color w:val="000000" w:themeColor="text1"/>
          <w14:textFill>
            <w14:solidFill>
              <w14:schemeClr w14:val="tx1"/>
            </w14:solidFill>
          </w14:textFill>
        </w:rPr>
      </w:pPr>
      <w:r>
        <w:rPr>
          <w:rFonts w:hint="eastAsia" w:cs="宋体"/>
          <w:color w:val="000000" w:themeColor="text1"/>
          <w:szCs w:val="24"/>
          <w14:textFill>
            <w14:solidFill>
              <w14:schemeClr w14:val="tx1"/>
            </w14:solidFill>
          </w14:textFill>
        </w:rPr>
        <w:t>致：</w:t>
      </w:r>
      <w:r>
        <w:rPr>
          <w:rFonts w:hint="eastAsia" w:cs="宋体"/>
          <w:color w:val="000000" w:themeColor="text1"/>
          <w:kern w:val="2"/>
          <w14:textFill>
            <w14:solidFill>
              <w14:schemeClr w14:val="tx1"/>
            </w14:solidFill>
          </w14:textFill>
        </w:rPr>
        <w:t>（采购人或采购代理机构）</w:t>
      </w:r>
    </w:p>
    <w:p>
      <w:pPr>
        <w:pStyle w:val="55"/>
        <w:ind w:firstLine="600" w:firstLineChars="2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根据贵方</w:t>
      </w:r>
      <w:r>
        <w:rPr>
          <w:rFonts w:hint="eastAsia" w:ascii="宋体" w:hAnsi="宋体"/>
          <w:color w:val="000000" w:themeColor="text1"/>
          <w:sz w:val="24"/>
          <w:szCs w:val="24"/>
          <w:u w:val="single"/>
          <w14:textFill>
            <w14:solidFill>
              <w14:schemeClr w14:val="tx1"/>
            </w14:solidFill>
          </w14:textFill>
        </w:rPr>
        <w:t>（本项目名称）</w:t>
      </w:r>
      <w:r>
        <w:rPr>
          <w:rFonts w:hint="eastAsia" w:ascii="宋体" w:hAnsi="宋体"/>
          <w:color w:val="000000" w:themeColor="text1"/>
          <w:sz w:val="24"/>
          <w:szCs w:val="24"/>
          <w14:textFill>
            <w14:solidFill>
              <w14:schemeClr w14:val="tx1"/>
            </w14:solidFill>
          </w14:textFill>
        </w:rPr>
        <w:t>项目的竞争性磋商邀请（项目编号</w:t>
      </w:r>
      <w:r>
        <w:rPr>
          <w:rFonts w:hint="eastAsia" w:ascii="宋体" w:hAnsi="宋体"/>
          <w:color w:val="000000" w:themeColor="text1"/>
          <w:sz w:val="24"/>
          <w:szCs w:val="24"/>
          <w:u w:val="single"/>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），委托代理人 (全名、职务)代表 供应商名称、地址)提交投标文件，报价为</w:t>
      </w:r>
      <w:r>
        <w:rPr>
          <w:rFonts w:hint="eastAsia" w:ascii="宋体" w:hAnsi="宋体"/>
          <w:color w:val="000000" w:themeColor="text1"/>
          <w:sz w:val="24"/>
          <w:szCs w:val="24"/>
          <w:u w:val="single"/>
          <w14:textFill>
            <w14:solidFill>
              <w14:schemeClr w14:val="tx1"/>
            </w14:solidFill>
          </w14:textFill>
        </w:rPr>
        <w:t>：    元，</w:t>
      </w:r>
      <w:r>
        <w:rPr>
          <w:rFonts w:hint="eastAsia" w:ascii="宋体" w:hAnsi="宋体"/>
          <w:color w:val="000000" w:themeColor="text1"/>
          <w:sz w:val="24"/>
          <w:szCs w:val="24"/>
          <w14:textFill>
            <w14:solidFill>
              <w14:schemeClr w14:val="tx1"/>
            </w14:solidFill>
          </w14:textFill>
        </w:rPr>
        <w:t>并对之负法律责任。</w:t>
      </w:r>
    </w:p>
    <w:p>
      <w:pPr>
        <w:ind w:firstLine="568" w:firstLineChars="237"/>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据此函，宣布同意如下：</w:t>
      </w:r>
    </w:p>
    <w:p>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(1)我们完全理解贵方不一定要接受最低报价，并同意本文件规定的响应性文件有效期。</w:t>
      </w:r>
    </w:p>
    <w:p>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(2)我们已详细审核全部竞争性磋商文件，我们知道必须放弃提出含糊不清或误解的问题的权利。</w:t>
      </w:r>
    </w:p>
    <w:p>
      <w:pPr>
        <w:numPr>
          <w:ilvl w:val="0"/>
          <w:numId w:val="3"/>
        </w:num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同意向贵方提供贵方可能另外要求的与其竞争性磋商有关的任何证据和资料。</w:t>
      </w:r>
    </w:p>
    <w:p>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(4)一旦我们成交，我们将严格履行合同责任和义务。</w:t>
      </w:r>
    </w:p>
    <w:p>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(5)我们完全理解不向未成交人解释未成交理由的义务。</w:t>
      </w:r>
    </w:p>
    <w:p>
      <w:pPr>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r>
        <w:rPr>
          <w:rFonts w:hint="eastAsia" w:ascii="宋体" w:hAnsi="宋体" w:cs="宋体"/>
          <w:color w:val="000000" w:themeColor="text1"/>
          <w:sz w:val="24"/>
          <w:lang w:val="zh-CN"/>
          <w14:textFill>
            <w14:solidFill>
              <w14:schemeClr w14:val="tx1"/>
            </w14:solidFill>
          </w14:textFill>
        </w:rPr>
        <w:t>如果我们的谈判响应文件被接受，我们将履行谈判文件中规定的每一项要求，按期、按质、按量履行合同。</w:t>
      </w:r>
    </w:p>
    <w:p>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r>
        <w:rPr>
          <w:rFonts w:hint="eastAsia" w:ascii="宋体" w:hAnsi="宋体" w:cs="宋体"/>
          <w:color w:val="000000" w:themeColor="text1"/>
          <w:sz w:val="24"/>
          <w:lang w:val="zh-CN"/>
          <w14:textFill>
            <w14:solidFill>
              <w14:schemeClr w14:val="tx1"/>
            </w14:solidFill>
          </w14:textFill>
        </w:rPr>
        <w:t>我方愿按《中华人民共和国合同法》履行我方的全部责任。</w:t>
      </w:r>
    </w:p>
    <w:p>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(8)与本次竞争性磋商有关的正式通讯地址为：</w:t>
      </w:r>
    </w:p>
    <w:p>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地 址：                  邮 编：</w:t>
      </w:r>
    </w:p>
    <w:p>
      <w:pPr>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电 话：                  电子信箱：</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我们保证：</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(1)不提供虚假材料谋取成交；</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(2)不以不正当手段抵毁、排挤其他供应商；</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(3)不与采购人和其它供应商恶意串通；</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(4)不向采购人和采购代理机构提供不正当利益；</w:t>
      </w:r>
    </w:p>
    <w:p>
      <w:pPr>
        <w:ind w:firstLine="480" w:firstLineChars="2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(5)不拒绝有关部门监督检查或提供虚假情况。</w:t>
      </w:r>
    </w:p>
    <w:p>
      <w:pPr>
        <w:spacing w:line="560" w:lineRule="exact"/>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联系人：              联系电话：</w:t>
      </w:r>
    </w:p>
    <w:p>
      <w:pPr>
        <w:spacing w:line="360" w:lineRule="auto"/>
        <w:jc w:val="left"/>
        <w:rPr>
          <w:rFonts w:ascii="宋体" w:hAnsi="宋体" w:cs="宋体"/>
          <w:color w:val="000000" w:themeColor="text1"/>
          <w:sz w:val="24"/>
          <w14:textFill>
            <w14:solidFill>
              <w14:schemeClr w14:val="tx1"/>
            </w14:solidFill>
          </w14:textFill>
        </w:rPr>
      </w:pPr>
    </w:p>
    <w:p>
      <w:pPr>
        <w:spacing w:line="360" w:lineRule="auto"/>
        <w:ind w:firstLine="3840" w:firstLineChars="16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供应商电子公章： </w:t>
      </w:r>
    </w:p>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格式4</w:t>
      </w:r>
    </w:p>
    <w:p>
      <w:pPr>
        <w:pStyle w:val="6"/>
        <w:jc w:val="center"/>
        <w:rPr>
          <w:rFonts w:ascii="宋体" w:hAnsi="宋体" w:cs="宋体"/>
          <w:b w:val="0"/>
          <w:color w:val="000000" w:themeColor="text1"/>
          <w:sz w:val="24"/>
          <w:szCs w:val="24"/>
          <w14:textFill>
            <w14:solidFill>
              <w14:schemeClr w14:val="tx1"/>
            </w14:solidFill>
          </w14:textFill>
        </w:rPr>
      </w:pPr>
      <w:bookmarkStart w:id="34" w:name="_Toc495414231"/>
      <w:bookmarkStart w:id="35" w:name="_Toc197934561"/>
      <w:r>
        <w:rPr>
          <w:rFonts w:hint="eastAsia" w:ascii="宋体" w:hAnsi="宋体" w:cs="宋体"/>
          <w:b w:val="0"/>
          <w:color w:val="000000" w:themeColor="text1"/>
          <w:sz w:val="24"/>
          <w:szCs w:val="24"/>
          <w14:textFill>
            <w14:solidFill>
              <w14:schemeClr w14:val="tx1"/>
            </w14:solidFill>
          </w14:textFill>
        </w:rPr>
        <w:t>一．报价一览表</w:t>
      </w:r>
      <w:bookmarkEnd w:id="34"/>
      <w:bookmarkEnd w:id="35"/>
    </w:p>
    <w:tbl>
      <w:tblPr>
        <w:tblStyle w:val="29"/>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vAlign w:val="center"/>
          </w:tcPr>
          <w:p>
            <w:pPr>
              <w:widowControl/>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项目名称</w:t>
            </w:r>
          </w:p>
        </w:tc>
        <w:tc>
          <w:tcPr>
            <w:tcW w:w="6667" w:type="dxa"/>
            <w:tcBorders>
              <w:top w:val="single" w:color="auto" w:sz="4" w:space="0"/>
              <w:bottom w:val="single" w:color="auto" w:sz="4" w:space="0"/>
              <w:right w:val="single" w:color="auto" w:sz="4" w:space="0"/>
            </w:tcBorders>
            <w:vAlign w:val="center"/>
          </w:tcPr>
          <w:p>
            <w:pPr>
              <w:spacing w:line="360" w:lineRule="exact"/>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投标人全称</w:t>
            </w:r>
          </w:p>
        </w:tc>
        <w:tc>
          <w:tcPr>
            <w:tcW w:w="6667" w:type="dxa"/>
            <w:tcBorders>
              <w:top w:val="nil"/>
            </w:tcBorders>
            <w:vAlign w:val="center"/>
          </w:tcPr>
          <w:p>
            <w:pPr>
              <w:spacing w:line="360" w:lineRule="auto"/>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最终投标报价（包：）</w:t>
            </w:r>
          </w:p>
          <w:p>
            <w:pPr>
              <w:spacing w:line="36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（人民币）</w:t>
            </w:r>
          </w:p>
        </w:tc>
        <w:tc>
          <w:tcPr>
            <w:tcW w:w="6667" w:type="dxa"/>
            <w:tcBorders>
              <w:top w:val="nil"/>
            </w:tcBorders>
            <w:vAlign w:val="center"/>
          </w:tcPr>
          <w:p>
            <w:pPr>
              <w:spacing w:line="360" w:lineRule="auto"/>
              <w:ind w:right="-67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投标总价：       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vAlign w:val="center"/>
          </w:tcPr>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tc>
        <w:tc>
          <w:tcPr>
            <w:tcW w:w="6667" w:type="dxa"/>
            <w:tcBorders>
              <w:top w:val="nil"/>
            </w:tcBorders>
            <w:vAlign w:val="center"/>
          </w:tcPr>
          <w:p>
            <w:pPr>
              <w:spacing w:line="360" w:lineRule="auto"/>
              <w:jc w:val="left"/>
              <w:rPr>
                <w:rFonts w:ascii="宋体" w:hAnsi="宋体" w:cs="宋体"/>
                <w:color w:val="000000" w:themeColor="text1"/>
                <w:sz w:val="24"/>
                <w14:textFill>
                  <w14:solidFill>
                    <w14:schemeClr w14:val="tx1"/>
                  </w14:solidFill>
                </w14:textFill>
              </w:rPr>
            </w:pPr>
          </w:p>
        </w:tc>
      </w:tr>
    </w:tbl>
    <w:p>
      <w:pPr>
        <w:spacing w:line="360" w:lineRule="auto"/>
        <w:ind w:firstLine="3840" w:firstLineChars="16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供应商电子公章： </w:t>
      </w:r>
    </w:p>
    <w:p>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p>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1、此表用于开标会唱标之用。</w:t>
      </w:r>
    </w:p>
    <w:p>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2、表中最终投标报价即为优惠后报价，并作为评审及定标依据。任何有选择或有条件的最终投标报价，或者表中某一包填写多个报价，均为无效报价。</w:t>
      </w:r>
    </w:p>
    <w:p>
      <w:pPr>
        <w:spacing w:line="360" w:lineRule="auto"/>
        <w:jc w:val="left"/>
        <w:rPr>
          <w:rFonts w:ascii="宋体" w:hAnsi="宋体" w:cs="宋体"/>
          <w:color w:val="000000" w:themeColor="text1"/>
          <w:sz w:val="24"/>
          <w14:textFill>
            <w14:solidFill>
              <w14:schemeClr w14:val="tx1"/>
            </w14:solidFill>
          </w14:textFill>
        </w:rPr>
      </w:pPr>
      <w:bookmarkStart w:id="36" w:name="_Toc220232409"/>
      <w:bookmarkStart w:id="37" w:name="_Toc495414234"/>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格式5</w:t>
      </w:r>
    </w:p>
    <w:p>
      <w:pPr>
        <w:pStyle w:val="6"/>
        <w:jc w:val="center"/>
        <w:rPr>
          <w:rFonts w:ascii="宋体" w:hAnsi="宋体" w:cs="宋体"/>
          <w:b w:val="0"/>
          <w:color w:val="000000" w:themeColor="text1"/>
          <w:sz w:val="24"/>
          <w:szCs w:val="24"/>
          <w14:textFill>
            <w14:solidFill>
              <w14:schemeClr w14:val="tx1"/>
            </w14:solidFill>
          </w14:textFill>
        </w:rPr>
      </w:pPr>
      <w:r>
        <w:rPr>
          <w:rFonts w:hint="eastAsia" w:ascii="宋体" w:hAnsi="宋体" w:cs="宋体"/>
          <w:b w:val="0"/>
          <w:color w:val="000000" w:themeColor="text1"/>
          <w:sz w:val="24"/>
          <w:szCs w:val="24"/>
          <w14:textFill>
            <w14:solidFill>
              <w14:schemeClr w14:val="tx1"/>
            </w14:solidFill>
          </w14:textFill>
        </w:rPr>
        <w:t>投标分项报价表</w:t>
      </w:r>
      <w:bookmarkEnd w:id="36"/>
      <w:bookmarkEnd w:id="37"/>
    </w:p>
    <w:tbl>
      <w:tblPr>
        <w:tblStyle w:val="29"/>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205"/>
        <w:gridCol w:w="957"/>
        <w:gridCol w:w="840"/>
        <w:gridCol w:w="1260"/>
        <w:gridCol w:w="1340"/>
        <w:gridCol w:w="1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vAlign w:val="center"/>
          </w:tcPr>
          <w:p>
            <w:pPr>
              <w:pStyle w:val="59"/>
              <w:widowControl w:val="0"/>
              <w:spacing w:before="0" w:beforeAutospacing="0" w:after="0" w:afterAutospacing="0" w:line="340" w:lineRule="exact"/>
              <w:rPr>
                <w:rFonts w:cs="宋体"/>
                <w:b w:val="0"/>
                <w:bCs w:val="0"/>
                <w:color w:val="000000" w:themeColor="text1"/>
                <w:kern w:val="2"/>
                <w:sz w:val="24"/>
                <w:szCs w:val="24"/>
                <w14:textFill>
                  <w14:solidFill>
                    <w14:schemeClr w14:val="tx1"/>
                  </w14:solidFill>
                </w14:textFill>
              </w:rPr>
            </w:pPr>
            <w:r>
              <w:rPr>
                <w:rFonts w:hint="eastAsia" w:cs="宋体"/>
                <w:b w:val="0"/>
                <w:bCs w:val="0"/>
                <w:color w:val="000000" w:themeColor="text1"/>
                <w:kern w:val="2"/>
                <w:sz w:val="24"/>
                <w:szCs w:val="24"/>
                <w14:textFill>
                  <w14:solidFill>
                    <w14:schemeClr w14:val="tx1"/>
                  </w14:solidFill>
                </w14:textFill>
              </w:rPr>
              <w:t>序号</w:t>
            </w:r>
          </w:p>
        </w:tc>
        <w:tc>
          <w:tcPr>
            <w:tcW w:w="2205" w:type="dxa"/>
            <w:vAlign w:val="center"/>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服务项目名称</w:t>
            </w:r>
          </w:p>
        </w:tc>
        <w:tc>
          <w:tcPr>
            <w:tcW w:w="957" w:type="dxa"/>
            <w:vAlign w:val="center"/>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单位</w:t>
            </w:r>
          </w:p>
        </w:tc>
        <w:tc>
          <w:tcPr>
            <w:tcW w:w="840" w:type="dxa"/>
            <w:vAlign w:val="center"/>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数量</w:t>
            </w:r>
          </w:p>
        </w:tc>
        <w:tc>
          <w:tcPr>
            <w:tcW w:w="1260" w:type="dxa"/>
            <w:vAlign w:val="center"/>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单价</w:t>
            </w:r>
          </w:p>
        </w:tc>
        <w:tc>
          <w:tcPr>
            <w:tcW w:w="1340" w:type="dxa"/>
            <w:vAlign w:val="center"/>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小计</w:t>
            </w:r>
          </w:p>
        </w:tc>
        <w:tc>
          <w:tcPr>
            <w:tcW w:w="1347" w:type="dxa"/>
            <w:vAlign w:val="center"/>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Borders>
              <w:bottom w:val="single" w:color="auto" w:sz="4" w:space="0"/>
            </w:tcBorders>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w:t>
            </w:r>
          </w:p>
        </w:tc>
        <w:tc>
          <w:tcPr>
            <w:tcW w:w="2205" w:type="dxa"/>
          </w:tcPr>
          <w:p>
            <w:pPr>
              <w:spacing w:line="340" w:lineRule="exact"/>
              <w:rPr>
                <w:rFonts w:ascii="宋体" w:hAnsi="宋体" w:cs="宋体"/>
                <w:color w:val="000000" w:themeColor="text1"/>
                <w:sz w:val="24"/>
                <w14:textFill>
                  <w14:solidFill>
                    <w14:schemeClr w14:val="tx1"/>
                  </w14:solidFill>
                </w14:textFill>
              </w:rPr>
            </w:pP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p>
        </w:tc>
        <w:tc>
          <w:tcPr>
            <w:tcW w:w="2205" w:type="dxa"/>
            <w:vAlign w:val="center"/>
          </w:tcPr>
          <w:p>
            <w:pPr>
              <w:pStyle w:val="60"/>
              <w:spacing w:line="340" w:lineRule="exact"/>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其他费用</w:t>
            </w: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p>
        </w:tc>
        <w:tc>
          <w:tcPr>
            <w:tcW w:w="2205" w:type="dxa"/>
          </w:tcPr>
          <w:p>
            <w:pPr>
              <w:spacing w:line="34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p>
        </w:tc>
        <w:tc>
          <w:tcPr>
            <w:tcW w:w="2205" w:type="dxa"/>
          </w:tcPr>
          <w:p>
            <w:pPr>
              <w:pStyle w:val="60"/>
              <w:spacing w:line="340" w:lineRule="exact"/>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w:t>
            </w: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p>
        </w:tc>
        <w:tc>
          <w:tcPr>
            <w:tcW w:w="2205" w:type="dxa"/>
          </w:tcPr>
          <w:p>
            <w:pPr>
              <w:spacing w:line="34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color w:val="000000" w:themeColor="text1"/>
                <w:sz w:val="24"/>
                <w14:textFill>
                  <w14:solidFill>
                    <w14:schemeClr w14:val="tx1"/>
                  </w14:solidFill>
                </w14:textFill>
              </w:rPr>
            </w:pPr>
          </w:p>
        </w:tc>
        <w:tc>
          <w:tcPr>
            <w:tcW w:w="2205" w:type="dxa"/>
            <w:vAlign w:val="center"/>
          </w:tcPr>
          <w:p>
            <w:pPr>
              <w:pStyle w:val="60"/>
              <w:spacing w:line="340" w:lineRule="exact"/>
              <w:rPr>
                <w:rFonts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合计</w:t>
            </w:r>
          </w:p>
        </w:tc>
        <w:tc>
          <w:tcPr>
            <w:tcW w:w="957" w:type="dxa"/>
          </w:tcPr>
          <w:p>
            <w:pPr>
              <w:spacing w:line="340" w:lineRule="exact"/>
              <w:rPr>
                <w:rFonts w:ascii="宋体" w:hAnsi="宋体" w:cs="宋体"/>
                <w:color w:val="000000" w:themeColor="text1"/>
                <w:sz w:val="24"/>
                <w14:textFill>
                  <w14:solidFill>
                    <w14:schemeClr w14:val="tx1"/>
                  </w14:solidFill>
                </w14:textFill>
              </w:rPr>
            </w:pPr>
          </w:p>
        </w:tc>
        <w:tc>
          <w:tcPr>
            <w:tcW w:w="840" w:type="dxa"/>
          </w:tcPr>
          <w:p>
            <w:pPr>
              <w:spacing w:line="340" w:lineRule="exact"/>
              <w:rPr>
                <w:rFonts w:ascii="宋体" w:hAnsi="宋体" w:cs="宋体"/>
                <w:color w:val="000000" w:themeColor="text1"/>
                <w:sz w:val="24"/>
                <w14:textFill>
                  <w14:solidFill>
                    <w14:schemeClr w14:val="tx1"/>
                  </w14:solidFill>
                </w14:textFill>
              </w:rPr>
            </w:pPr>
          </w:p>
        </w:tc>
        <w:tc>
          <w:tcPr>
            <w:tcW w:w="1260" w:type="dxa"/>
          </w:tcPr>
          <w:p>
            <w:pPr>
              <w:spacing w:line="340" w:lineRule="exact"/>
              <w:rPr>
                <w:rFonts w:ascii="宋体" w:hAnsi="宋体" w:cs="宋体"/>
                <w:color w:val="000000" w:themeColor="text1"/>
                <w:sz w:val="24"/>
                <w14:textFill>
                  <w14:solidFill>
                    <w14:schemeClr w14:val="tx1"/>
                  </w14:solidFill>
                </w14:textFill>
              </w:rPr>
            </w:pPr>
          </w:p>
        </w:tc>
        <w:tc>
          <w:tcPr>
            <w:tcW w:w="1340" w:type="dxa"/>
          </w:tcPr>
          <w:p>
            <w:pPr>
              <w:spacing w:line="340" w:lineRule="exact"/>
              <w:rPr>
                <w:rFonts w:ascii="宋体" w:hAnsi="宋体" w:cs="宋体"/>
                <w:color w:val="000000" w:themeColor="text1"/>
                <w:sz w:val="24"/>
                <w14:textFill>
                  <w14:solidFill>
                    <w14:schemeClr w14:val="tx1"/>
                  </w14:solidFill>
                </w14:textFill>
              </w:rPr>
            </w:pPr>
          </w:p>
        </w:tc>
        <w:tc>
          <w:tcPr>
            <w:tcW w:w="1347" w:type="dxa"/>
          </w:tcPr>
          <w:p>
            <w:pPr>
              <w:spacing w:line="340" w:lineRule="exact"/>
              <w:rPr>
                <w:rFonts w:ascii="宋体" w:hAnsi="宋体" w:cs="宋体"/>
                <w:color w:val="000000" w:themeColor="text1"/>
                <w:sz w:val="24"/>
                <w14:textFill>
                  <w14:solidFill>
                    <w14:schemeClr w14:val="tx1"/>
                  </w14:solidFill>
                </w14:textFill>
              </w:rPr>
            </w:pPr>
          </w:p>
        </w:tc>
      </w:tr>
    </w:tbl>
    <w:p>
      <w:pPr>
        <w:spacing w:line="360" w:lineRule="auto"/>
        <w:ind w:firstLine="3840" w:firstLineChars="16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供应商电子公章： </w:t>
      </w:r>
    </w:p>
    <w:p>
      <w:pPr>
        <w:spacing w:line="360" w:lineRule="auto"/>
        <w:jc w:val="righ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p>
      <w:pPr>
        <w:adjustRightInd w:val="0"/>
        <w:snapToGrid w:val="0"/>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备注：</w:t>
      </w: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表中所列内容为对应本项目需求的全部要求。如有漏项或缺项，投标人承担全部责任。</w:t>
      </w: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pStyle w:val="2"/>
        <w:ind w:firstLine="241"/>
        <w:rPr>
          <w:rFonts w:ascii="宋体" w:hAnsi="宋体" w:cs="宋体"/>
          <w:b/>
          <w:color w:val="000000" w:themeColor="text1"/>
          <w:sz w:val="24"/>
          <w14:textFill>
            <w14:solidFill>
              <w14:schemeClr w14:val="tx1"/>
            </w14:solidFill>
          </w14:textFill>
        </w:rPr>
      </w:pPr>
    </w:p>
    <w:p>
      <w:pPr>
        <w:pStyle w:val="2"/>
        <w:ind w:firstLine="241"/>
        <w:rPr>
          <w:rFonts w:ascii="宋体" w:hAnsi="宋体" w:cs="宋体"/>
          <w:b/>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格式6                     </w:t>
      </w:r>
      <w:r>
        <w:rPr>
          <w:rFonts w:hint="eastAsia" w:ascii="宋体" w:hAnsi="宋体" w:cs="宋体"/>
          <w:b/>
          <w:color w:val="000000" w:themeColor="text1"/>
          <w:sz w:val="24"/>
          <w14:textFill>
            <w14:solidFill>
              <w14:schemeClr w14:val="tx1"/>
            </w14:solidFill>
          </w14:textFill>
        </w:rPr>
        <w:t>技术参数响应表</w:t>
      </w:r>
    </w:p>
    <w:p>
      <w:pPr>
        <w:rPr>
          <w:rFonts w:ascii="宋体" w:hAnsi="宋体" w:cs="宋体"/>
          <w:color w:val="000000" w:themeColor="text1"/>
          <w:sz w:val="24"/>
          <w14:textFill>
            <w14:solidFill>
              <w14:schemeClr w14:val="tx1"/>
            </w14:solidFill>
          </w14:textFill>
        </w:rPr>
      </w:pPr>
    </w:p>
    <w:p>
      <w:pPr>
        <w:rPr>
          <w:rFonts w:ascii="宋体" w:hAnsi="宋体" w:cs="宋体"/>
          <w:color w:val="000000" w:themeColor="text1"/>
          <w:sz w:val="24"/>
          <w14:textFill>
            <w14:solidFill>
              <w14:schemeClr w14:val="tx1"/>
            </w14:solidFill>
          </w14:textFill>
        </w:rPr>
      </w:pPr>
    </w:p>
    <w:tbl>
      <w:tblPr>
        <w:tblStyle w:val="29"/>
        <w:tblW w:w="90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723"/>
        <w:gridCol w:w="3490"/>
        <w:gridCol w:w="2810"/>
        <w:gridCol w:w="1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937" w:type="dxa"/>
            <w:gridSpan w:val="3"/>
            <w:tcBorders>
              <w:top w:val="single" w:color="auto" w:sz="4" w:space="0"/>
              <w:left w:val="single" w:color="auto" w:sz="4" w:space="0"/>
              <w:bottom w:val="single" w:color="auto" w:sz="4" w:space="0"/>
              <w:right w:val="single" w:color="auto" w:sz="4" w:space="0"/>
            </w:tcBorders>
            <w:vAlign w:val="center"/>
          </w:tcPr>
          <w:p>
            <w:pPr>
              <w:pStyle w:val="16"/>
              <w:jc w:val="center"/>
              <w:rPr>
                <w:rFonts w:hAnsi="宋体" w:cs="宋体"/>
                <w:bCs/>
                <w:color w:val="000000" w:themeColor="text1"/>
                <w:sz w:val="24"/>
                <w:szCs w:val="24"/>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按招标文件规定填写</w:t>
            </w:r>
          </w:p>
        </w:tc>
        <w:tc>
          <w:tcPr>
            <w:tcW w:w="4146" w:type="dxa"/>
            <w:gridSpan w:val="2"/>
            <w:tcBorders>
              <w:top w:val="single" w:color="auto" w:sz="4" w:space="0"/>
              <w:left w:val="nil"/>
              <w:bottom w:val="single" w:color="auto" w:sz="4" w:space="0"/>
              <w:right w:val="single" w:color="auto" w:sz="4" w:space="0"/>
            </w:tcBorders>
            <w:vAlign w:val="center"/>
          </w:tcPr>
          <w:p>
            <w:pPr>
              <w:pStyle w:val="16"/>
              <w:jc w:val="center"/>
              <w:rPr>
                <w:rFonts w:hAnsi="宋体" w:cs="宋体"/>
                <w:bCs/>
                <w:color w:val="000000" w:themeColor="text1"/>
                <w:sz w:val="24"/>
                <w:szCs w:val="24"/>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按投标人所投内容填写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724" w:type="dxa"/>
            <w:tcBorders>
              <w:top w:val="single" w:color="auto" w:sz="4" w:space="0"/>
              <w:left w:val="single" w:color="auto" w:sz="4" w:space="0"/>
              <w:bottom w:val="single" w:color="auto" w:sz="4" w:space="0"/>
              <w:right w:val="single" w:color="auto" w:sz="4" w:space="0"/>
            </w:tcBorders>
            <w:vAlign w:val="center"/>
          </w:tcPr>
          <w:p>
            <w:pPr>
              <w:pStyle w:val="16"/>
              <w:jc w:val="center"/>
              <w:rPr>
                <w:rFonts w:hAnsi="宋体" w:cs="宋体"/>
                <w:bCs/>
                <w:color w:val="000000" w:themeColor="text1"/>
                <w:sz w:val="24"/>
                <w:szCs w:val="24"/>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序号</w:t>
            </w:r>
          </w:p>
        </w:tc>
        <w:tc>
          <w:tcPr>
            <w:tcW w:w="723" w:type="dxa"/>
            <w:tcBorders>
              <w:top w:val="single" w:color="auto" w:sz="4" w:space="0"/>
              <w:left w:val="nil"/>
              <w:bottom w:val="single" w:color="auto" w:sz="4" w:space="0"/>
              <w:right w:val="single" w:color="auto" w:sz="4" w:space="0"/>
            </w:tcBorders>
            <w:vAlign w:val="center"/>
          </w:tcPr>
          <w:p>
            <w:pPr>
              <w:pStyle w:val="16"/>
              <w:jc w:val="center"/>
              <w:rPr>
                <w:rFonts w:hAnsi="宋体" w:cs="宋体"/>
                <w:bCs/>
                <w:color w:val="000000" w:themeColor="text1"/>
                <w:sz w:val="24"/>
                <w:szCs w:val="24"/>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品名</w:t>
            </w:r>
          </w:p>
        </w:tc>
        <w:tc>
          <w:tcPr>
            <w:tcW w:w="3490" w:type="dxa"/>
            <w:tcBorders>
              <w:top w:val="single" w:color="auto" w:sz="4" w:space="0"/>
              <w:left w:val="nil"/>
              <w:bottom w:val="single" w:color="auto" w:sz="4" w:space="0"/>
              <w:right w:val="single" w:color="auto" w:sz="4" w:space="0"/>
            </w:tcBorders>
            <w:vAlign w:val="center"/>
          </w:tcPr>
          <w:p>
            <w:pPr>
              <w:pStyle w:val="16"/>
              <w:jc w:val="center"/>
              <w:rPr>
                <w:rFonts w:hAnsi="宋体" w:cs="宋体"/>
                <w:bCs/>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磋商文件服务要求及其他要求</w:t>
            </w:r>
          </w:p>
        </w:tc>
        <w:tc>
          <w:tcPr>
            <w:tcW w:w="2810" w:type="dxa"/>
            <w:tcBorders>
              <w:top w:val="single" w:color="auto" w:sz="4" w:space="0"/>
              <w:left w:val="nil"/>
              <w:bottom w:val="single" w:color="auto" w:sz="4" w:space="0"/>
              <w:right w:val="single" w:color="auto" w:sz="4" w:space="0"/>
            </w:tcBorders>
            <w:vAlign w:val="center"/>
          </w:tcPr>
          <w:p>
            <w:pPr>
              <w:pStyle w:val="16"/>
              <w:jc w:val="center"/>
              <w:rPr>
                <w:rFonts w:hAnsi="宋体" w:cs="宋体"/>
                <w:bCs/>
                <w:color w:val="000000" w:themeColor="text1"/>
                <w:sz w:val="24"/>
                <w:szCs w:val="24"/>
                <w14:textFill>
                  <w14:solidFill>
                    <w14:schemeClr w14:val="tx1"/>
                  </w14:solidFill>
                </w14:textFill>
              </w:rPr>
            </w:pPr>
            <w:r>
              <w:rPr>
                <w:rFonts w:hint="eastAsia" w:hAnsi="宋体" w:cs="宋体"/>
                <w:color w:val="000000" w:themeColor="text1"/>
                <w:sz w:val="24"/>
                <w:szCs w:val="24"/>
                <w14:textFill>
                  <w14:solidFill>
                    <w14:schemeClr w14:val="tx1"/>
                  </w14:solidFill>
                </w14:textFill>
              </w:rPr>
              <w:t>响应</w:t>
            </w:r>
          </w:p>
        </w:tc>
        <w:tc>
          <w:tcPr>
            <w:tcW w:w="1336" w:type="dxa"/>
            <w:tcBorders>
              <w:top w:val="single" w:color="auto" w:sz="4" w:space="0"/>
              <w:left w:val="nil"/>
              <w:bottom w:val="single" w:color="auto" w:sz="4" w:space="0"/>
              <w:right w:val="single" w:color="auto" w:sz="4" w:space="0"/>
            </w:tcBorders>
            <w:vAlign w:val="center"/>
          </w:tcPr>
          <w:p>
            <w:pPr>
              <w:pStyle w:val="16"/>
              <w:jc w:val="center"/>
              <w:rPr>
                <w:rFonts w:hAnsi="宋体" w:cs="宋体"/>
                <w:bCs/>
                <w:color w:val="000000" w:themeColor="text1"/>
                <w:sz w:val="24"/>
                <w:szCs w:val="24"/>
                <w14:textFill>
                  <w14:solidFill>
                    <w14:schemeClr w14:val="tx1"/>
                  </w14:solidFill>
                </w14:textFill>
              </w:rPr>
            </w:pPr>
            <w:r>
              <w:rPr>
                <w:rFonts w:hint="eastAsia" w:hAnsi="宋体" w:cs="宋体"/>
                <w:bCs/>
                <w:color w:val="000000" w:themeColor="text1"/>
                <w:sz w:val="24"/>
                <w:szCs w:val="24"/>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723"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themeColor="text1"/>
                <w:kern w:val="0"/>
                <w:sz w:val="24"/>
                <w14:textFill>
                  <w14:solidFill>
                    <w14:schemeClr w14:val="tx1"/>
                  </w14:solidFill>
                </w14:textFill>
              </w:rPr>
            </w:pPr>
          </w:p>
        </w:tc>
        <w:tc>
          <w:tcPr>
            <w:tcW w:w="3490" w:type="dxa"/>
            <w:tcBorders>
              <w:top w:val="single" w:color="auto" w:sz="4" w:space="0"/>
              <w:left w:val="nil"/>
              <w:bottom w:val="single" w:color="auto" w:sz="4" w:space="0"/>
              <w:right w:val="single" w:color="auto" w:sz="4" w:space="0"/>
            </w:tcBorders>
          </w:tcPr>
          <w:p>
            <w:pPr>
              <w:rPr>
                <w:rFonts w:ascii="宋体" w:hAnsi="宋体" w:cs="宋体"/>
                <w:color w:val="000000" w:themeColor="text1"/>
                <w:sz w:val="24"/>
                <w14:textFill>
                  <w14:solidFill>
                    <w14:schemeClr w14:val="tx1"/>
                  </w14:solidFill>
                </w14:textFill>
              </w:rPr>
            </w:pPr>
          </w:p>
        </w:tc>
        <w:tc>
          <w:tcPr>
            <w:tcW w:w="2810" w:type="dxa"/>
            <w:tcBorders>
              <w:top w:val="single" w:color="auto" w:sz="4" w:space="0"/>
              <w:left w:val="nil"/>
              <w:bottom w:val="single" w:color="auto" w:sz="4" w:space="0"/>
              <w:right w:val="single" w:color="auto" w:sz="4" w:space="0"/>
            </w:tcBorders>
          </w:tcPr>
          <w:p>
            <w:pPr>
              <w:widowControl/>
              <w:rPr>
                <w:rFonts w:ascii="宋体" w:hAnsi="宋体" w:cs="宋体"/>
                <w:color w:val="000000" w:themeColor="text1"/>
                <w:kern w:val="0"/>
                <w:sz w:val="24"/>
                <w14:textFill>
                  <w14:solidFill>
                    <w14:schemeClr w14:val="tx1"/>
                  </w14:solidFill>
                </w14:textFill>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c>
          <w:tcPr>
            <w:tcW w:w="349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color w:val="000000" w:themeColor="text1"/>
                <w:sz w:val="24"/>
                <w14:textFill>
                  <w14:solidFill>
                    <w14:schemeClr w14:val="tx1"/>
                  </w14:solidFill>
                </w14:textFill>
              </w:rPr>
            </w:pP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color w:val="000000" w:themeColor="text1"/>
                <w:sz w:val="24"/>
                <w14:textFill>
                  <w14:solidFill>
                    <w14:schemeClr w14:val="tx1"/>
                  </w14:solidFill>
                </w14:textFill>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 w:val="24"/>
                <w14:textFill>
                  <w14:solidFill>
                    <w14:schemeClr w14:val="tx1"/>
                  </w14:solidFill>
                </w14:textFill>
              </w:rPr>
            </w:pP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c>
          <w:tcPr>
            <w:tcW w:w="3490" w:type="dxa"/>
            <w:tcBorders>
              <w:top w:val="single" w:color="auto" w:sz="4" w:space="0"/>
              <w:left w:val="nil"/>
              <w:bottom w:val="single" w:color="auto" w:sz="4" w:space="0"/>
              <w:right w:val="single" w:color="auto" w:sz="4" w:space="0"/>
            </w:tcBorders>
            <w:vAlign w:val="center"/>
          </w:tcPr>
          <w:p>
            <w:pPr>
              <w:jc w:val="left"/>
              <w:rPr>
                <w:rFonts w:ascii="宋体" w:hAnsi="宋体" w:cs="宋体"/>
                <w:color w:val="000000" w:themeColor="text1"/>
                <w:sz w:val="24"/>
                <w14:textFill>
                  <w14:solidFill>
                    <w14:schemeClr w14:val="tx1"/>
                  </w14:solidFill>
                </w14:textFill>
              </w:rPr>
            </w:pP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color w:val="000000" w:themeColor="text1"/>
                <w:sz w:val="24"/>
                <w14:textFill>
                  <w14:solidFill>
                    <w14:schemeClr w14:val="tx1"/>
                  </w14:solidFill>
                </w14:textFill>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 w:val="24"/>
                <w14:textFill>
                  <w14:solidFill>
                    <w14:schemeClr w14:val="tx1"/>
                  </w14:solidFill>
                </w14:textFill>
              </w:rPr>
            </w:pP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c>
          <w:tcPr>
            <w:tcW w:w="3490" w:type="dxa"/>
            <w:tcBorders>
              <w:top w:val="single" w:color="auto" w:sz="4" w:space="0"/>
              <w:left w:val="nil"/>
              <w:bottom w:val="single" w:color="auto" w:sz="4" w:space="0"/>
              <w:right w:val="single" w:color="auto" w:sz="4" w:space="0"/>
            </w:tcBorders>
            <w:vAlign w:val="center"/>
          </w:tcPr>
          <w:p>
            <w:pPr>
              <w:jc w:val="left"/>
              <w:rPr>
                <w:rFonts w:ascii="宋体" w:hAnsi="宋体" w:cs="宋体"/>
                <w:color w:val="000000" w:themeColor="text1"/>
                <w:sz w:val="24"/>
                <w14:textFill>
                  <w14:solidFill>
                    <w14:schemeClr w14:val="tx1"/>
                  </w14:solidFill>
                </w14:textFill>
              </w:rPr>
            </w:pP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color w:val="000000" w:themeColor="text1"/>
                <w:sz w:val="24"/>
                <w14:textFill>
                  <w14:solidFill>
                    <w14:schemeClr w14:val="tx1"/>
                  </w14:solidFill>
                </w14:textFill>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 w:val="24"/>
                <w14:textFill>
                  <w14:solidFill>
                    <w14:schemeClr w14:val="tx1"/>
                  </w14:solidFill>
                </w14:textFill>
              </w:rPr>
            </w:pP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c>
          <w:tcPr>
            <w:tcW w:w="349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color w:val="000000" w:themeColor="text1"/>
                <w:sz w:val="24"/>
                <w14:textFill>
                  <w14:solidFill>
                    <w14:schemeClr w14:val="tx1"/>
                  </w14:solidFill>
                </w14:textFill>
              </w:rPr>
            </w:pP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color w:val="000000" w:themeColor="text1"/>
                <w:sz w:val="24"/>
                <w14:textFill>
                  <w14:solidFill>
                    <w14:schemeClr w14:val="tx1"/>
                  </w14:solidFill>
                </w14:textFill>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c>
          <w:tcPr>
            <w:tcW w:w="349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color w:val="000000" w:themeColor="text1"/>
                <w:sz w:val="24"/>
                <w14:textFill>
                  <w14:solidFill>
                    <w14:schemeClr w14:val="tx1"/>
                  </w14:solidFill>
                </w14:textFill>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themeColor="text1"/>
                <w:sz w:val="24"/>
                <w14:textFill>
                  <w14:solidFill>
                    <w14:schemeClr w14:val="tx1"/>
                  </w14:solidFill>
                </w14:textFill>
              </w:rPr>
            </w:pPr>
          </w:p>
        </w:tc>
      </w:tr>
    </w:tbl>
    <w:p>
      <w:pPr>
        <w:rPr>
          <w:rFonts w:ascii="宋体" w:hAnsi="宋体" w:cs="宋体"/>
          <w:color w:val="000000" w:themeColor="text1"/>
          <w:sz w:val="24"/>
          <w14:textFill>
            <w14:solidFill>
              <w14:schemeClr w14:val="tx1"/>
            </w14:solidFill>
          </w14:textFill>
        </w:rPr>
      </w:pPr>
    </w:p>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(可根据需求自行更改)</w:t>
      </w:r>
    </w:p>
    <w:p>
      <w:pPr>
        <w:rPr>
          <w:rFonts w:ascii="宋体" w:hAnsi="宋体" w:cs="宋体"/>
          <w:color w:val="000000" w:themeColor="text1"/>
          <w:sz w:val="24"/>
          <w14:textFill>
            <w14:solidFill>
              <w14:schemeClr w14:val="tx1"/>
            </w14:solidFill>
          </w14:textFill>
        </w:rPr>
      </w:pPr>
    </w:p>
    <w:p>
      <w:pPr>
        <w:spacing w:line="360" w:lineRule="auto"/>
        <w:ind w:firstLine="3840" w:firstLineChars="16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供应商电子公章： </w:t>
      </w:r>
    </w:p>
    <w:p>
      <w:pPr>
        <w:spacing w:line="360" w:lineRule="auto"/>
        <w:jc w:val="righ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p>
      <w:pPr>
        <w:spacing w:line="360" w:lineRule="auto"/>
        <w:rPr>
          <w:rFonts w:ascii="宋体" w:hAnsi="宋体" w:cs="宋体"/>
          <w:b/>
          <w:color w:val="000000" w:themeColor="text1"/>
          <w:sz w:val="24"/>
          <w14:textFill>
            <w14:solidFill>
              <w14:schemeClr w14:val="tx1"/>
            </w14:solidFill>
          </w14:textFill>
        </w:rPr>
      </w:pPr>
    </w:p>
    <w:p>
      <w:pPr>
        <w:spacing w:line="360" w:lineRule="auto"/>
        <w:rPr>
          <w:rFonts w:ascii="宋体" w:hAnsi="宋体" w:cs="宋体"/>
          <w:b/>
          <w:color w:val="000000" w:themeColor="text1"/>
          <w:sz w:val="24"/>
          <w14:textFill>
            <w14:solidFill>
              <w14:schemeClr w14:val="tx1"/>
            </w14:solidFill>
          </w14:textFill>
        </w:rPr>
      </w:pPr>
    </w:p>
    <w:p>
      <w:pPr>
        <w:spacing w:line="360" w:lineRule="auto"/>
        <w:rPr>
          <w:rFonts w:ascii="宋体" w:hAnsi="宋体" w:cs="宋体"/>
          <w:b/>
          <w:color w:val="000000" w:themeColor="text1"/>
          <w:sz w:val="24"/>
          <w14:textFill>
            <w14:solidFill>
              <w14:schemeClr w14:val="tx1"/>
            </w14:solidFill>
          </w14:textFill>
        </w:rPr>
      </w:pPr>
    </w:p>
    <w:p>
      <w:pPr>
        <w:spacing w:line="360" w:lineRule="auto"/>
        <w:rPr>
          <w:rFonts w:ascii="宋体" w:hAnsi="宋体" w:cs="宋体"/>
          <w:b/>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br w:type="page"/>
      </w:r>
      <w:r>
        <w:rPr>
          <w:rFonts w:hint="eastAsia" w:ascii="宋体" w:hAnsi="宋体" w:cs="宋体"/>
          <w:color w:val="000000" w:themeColor="text1"/>
          <w:sz w:val="24"/>
          <w14:textFill>
            <w14:solidFill>
              <w14:schemeClr w14:val="tx1"/>
            </w14:solidFill>
          </w14:textFill>
        </w:rPr>
        <w:t>格式7</w:t>
      </w:r>
    </w:p>
    <w:p>
      <w:pPr>
        <w:pStyle w:val="28"/>
        <w:ind w:firstLine="480"/>
        <w:rPr>
          <w:rFonts w:ascii="宋体" w:hAnsi="宋体" w:eastAsia="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服务方案及服务承诺</w:t>
      </w: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ind w:firstLine="360" w:firstLineChars="150"/>
        <w:rPr>
          <w:rFonts w:ascii="宋体" w:hAnsi="宋体" w:cs="宋体"/>
          <w:color w:val="000000" w:themeColor="text1"/>
          <w:sz w:val="24"/>
          <w14:textFill>
            <w14:solidFill>
              <w14:schemeClr w14:val="tx1"/>
            </w14:solidFill>
          </w14:textFill>
        </w:rPr>
      </w:pPr>
    </w:p>
    <w:p>
      <w:pPr>
        <w:pStyle w:val="37"/>
        <w:rPr>
          <w:rFonts w:ascii="宋体" w:hAnsi="宋体" w:cs="宋体"/>
          <w:color w:val="000000" w:themeColor="text1"/>
          <w:sz w:val="24"/>
          <w:szCs w:val="24"/>
          <w14:textFill>
            <w14:solidFill>
              <w14:schemeClr w14:val="tx1"/>
            </w14:solidFill>
          </w14:textFill>
        </w:rPr>
      </w:pPr>
    </w:p>
    <w:p>
      <w:pPr>
        <w:pStyle w:val="37"/>
        <w:rPr>
          <w:rFonts w:ascii="宋体" w:hAnsi="宋体" w:cs="宋体"/>
          <w:color w:val="000000" w:themeColor="text1"/>
          <w:sz w:val="24"/>
          <w:szCs w:val="24"/>
          <w14:textFill>
            <w14:solidFill>
              <w14:schemeClr w14:val="tx1"/>
            </w14:solidFill>
          </w14:textFill>
        </w:rPr>
      </w:pPr>
    </w:p>
    <w:p>
      <w:pPr>
        <w:pStyle w:val="37"/>
        <w:rPr>
          <w:rFonts w:ascii="宋体" w:hAnsi="宋体" w:cs="宋体"/>
          <w:color w:val="000000" w:themeColor="text1"/>
          <w:sz w:val="24"/>
          <w:szCs w:val="24"/>
          <w14:textFill>
            <w14:solidFill>
              <w14:schemeClr w14:val="tx1"/>
            </w14:solidFill>
          </w14:textFill>
        </w:rPr>
      </w:pPr>
    </w:p>
    <w:p>
      <w:pPr>
        <w:pStyle w:val="37"/>
        <w:rPr>
          <w:rFonts w:ascii="宋体" w:hAnsi="宋体" w:cs="宋体"/>
          <w:color w:val="000000" w:themeColor="text1"/>
          <w:sz w:val="24"/>
          <w:szCs w:val="24"/>
          <w14:textFill>
            <w14:solidFill>
              <w14:schemeClr w14:val="tx1"/>
            </w14:solidFill>
          </w14:textFill>
        </w:rPr>
      </w:pPr>
    </w:p>
    <w:p>
      <w:pPr>
        <w:pStyle w:val="37"/>
        <w:rPr>
          <w:rFonts w:ascii="宋体" w:hAnsi="宋体" w:cs="宋体"/>
          <w:color w:val="000000" w:themeColor="text1"/>
          <w:sz w:val="24"/>
          <w:szCs w:val="24"/>
          <w14:textFill>
            <w14:solidFill>
              <w14:schemeClr w14:val="tx1"/>
            </w14:solidFill>
          </w14:textFill>
        </w:rPr>
      </w:pPr>
    </w:p>
    <w:p>
      <w:pPr>
        <w:pStyle w:val="37"/>
        <w:rPr>
          <w:rFonts w:ascii="宋体" w:hAnsi="宋体" w:cs="宋体"/>
          <w:color w:val="000000" w:themeColor="text1"/>
          <w:sz w:val="24"/>
          <w:szCs w:val="24"/>
          <w14:textFill>
            <w14:solidFill>
              <w14:schemeClr w14:val="tx1"/>
            </w14:solidFill>
          </w14:textFill>
        </w:rPr>
      </w:pPr>
    </w:p>
    <w:p>
      <w:pPr>
        <w:spacing w:line="380" w:lineRule="exact"/>
        <w:rPr>
          <w:rFonts w:ascii="宋体" w:hAnsi="宋体" w:cs="宋体"/>
          <w:color w:val="000000" w:themeColor="text1"/>
          <w:sz w:val="24"/>
          <w14:textFill>
            <w14:solidFill>
              <w14:schemeClr w14:val="tx1"/>
            </w14:solidFill>
          </w14:textFill>
        </w:rPr>
      </w:pPr>
    </w:p>
    <w:p>
      <w:pPr>
        <w:spacing w:line="360" w:lineRule="auto"/>
        <w:ind w:firstLine="3840" w:firstLineChars="16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供应商电子公章： </w:t>
      </w:r>
    </w:p>
    <w:p>
      <w:pPr>
        <w:spacing w:line="380" w:lineRule="exact"/>
        <w:ind w:right="640" w:firstLine="1560" w:firstLineChars="650"/>
        <w:rPr>
          <w:rFonts w:ascii="宋体" w:hAnsi="宋体" w:cs="宋体"/>
          <w:color w:val="000000" w:themeColor="text1"/>
          <w:sz w:val="24"/>
          <w14:textFill>
            <w14:solidFill>
              <w14:schemeClr w14:val="tx1"/>
            </w14:solidFill>
          </w14:textFill>
        </w:rPr>
      </w:pPr>
    </w:p>
    <w:p>
      <w:pPr>
        <w:spacing w:line="380" w:lineRule="exact"/>
        <w:ind w:right="640" w:firstLine="4680" w:firstLineChars="1950"/>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ind w:firstLine="3600" w:firstLineChars="1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p>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br w:type="page"/>
      </w:r>
    </w:p>
    <w:p>
      <w:pPr>
        <w:spacing w:line="38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格式8合格供应商的声明函和承诺书</w:t>
      </w:r>
    </w:p>
    <w:p>
      <w:pPr>
        <w:spacing w:line="360" w:lineRule="auto"/>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b/>
          <w:bCs/>
          <w:color w:val="000000" w:themeColor="text1"/>
          <w:sz w:val="24"/>
          <w14:textFill>
            <w14:solidFill>
              <w14:schemeClr w14:val="tx1"/>
            </w14:solidFill>
          </w14:textFill>
        </w:rPr>
      </w:pPr>
    </w:p>
    <w:p>
      <w:pPr>
        <w:pStyle w:val="37"/>
        <w:rPr>
          <w:color w:val="000000" w:themeColor="text1"/>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jc w:val="center"/>
        <w:rPr>
          <w:rFonts w:ascii="宋体" w:hAnsi="宋体" w:cs="宋体"/>
          <w:b/>
          <w:color w:val="000000" w:themeColor="text1"/>
          <w:sz w:val="24"/>
          <w14:textFill>
            <w14:solidFill>
              <w14:schemeClr w14:val="tx1"/>
            </w14:solidFill>
          </w14:textFill>
        </w:rPr>
      </w:pPr>
    </w:p>
    <w:p>
      <w:pPr>
        <w:spacing w:line="360" w:lineRule="auto"/>
        <w:ind w:firstLine="3840" w:firstLineChars="16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供应商电子公章： </w:t>
      </w:r>
    </w:p>
    <w:p>
      <w:pPr>
        <w:spacing w:line="380" w:lineRule="exact"/>
        <w:ind w:right="640" w:firstLine="1560" w:firstLineChars="650"/>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年   月    日</w:t>
      </w:r>
    </w:p>
    <w:p>
      <w:pPr>
        <w:spacing w:line="360" w:lineRule="auto"/>
        <w:rPr>
          <w:rFonts w:ascii="宋体" w:hAnsi="宋体" w:cs="宋体"/>
          <w:color w:val="000000" w:themeColor="text1"/>
          <w:sz w:val="24"/>
          <w14:textFill>
            <w14:solidFill>
              <w14:schemeClr w14:val="tx1"/>
            </w14:solidFill>
          </w14:textFill>
        </w:rPr>
      </w:pPr>
    </w:p>
    <w:p>
      <w:pPr>
        <w:spacing w:line="360" w:lineRule="auto"/>
        <w:rPr>
          <w:rFonts w:ascii="宋体" w:hAnsi="宋体" w:cs="宋体"/>
          <w:color w:val="000000" w:themeColor="text1"/>
          <w:sz w:val="24"/>
          <w14:textFill>
            <w14:solidFill>
              <w14:schemeClr w14:val="tx1"/>
            </w14:solidFill>
          </w14:textFill>
        </w:rPr>
      </w:pPr>
    </w:p>
    <w:p>
      <w:pPr>
        <w:spacing w:line="360" w:lineRule="auto"/>
        <w:rPr>
          <w:rFonts w:ascii="宋体" w:hAnsi="宋体" w:cs="宋体"/>
          <w:color w:val="000000" w:themeColor="text1"/>
          <w:sz w:val="24"/>
          <w14:textFill>
            <w14:solidFill>
              <w14:schemeClr w14:val="tx1"/>
            </w14:solidFill>
          </w14:textFill>
        </w:rPr>
      </w:pPr>
    </w:p>
    <w:p>
      <w:pPr>
        <w:spacing w:line="360" w:lineRule="auto"/>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p>
    <w:p>
      <w:pPr>
        <w:spacing w:line="38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格式9中小企业声明函（工程、服务）</w:t>
      </w:r>
    </w:p>
    <w:p>
      <w:pPr>
        <w:spacing w:line="360" w:lineRule="auto"/>
        <w:rPr>
          <w:b/>
          <w:bCs/>
          <w:color w:val="000000" w:themeColor="text1"/>
          <w:sz w:val="32"/>
          <w:szCs w:val="32"/>
          <w14:textFill>
            <w14:solidFill>
              <w14:schemeClr w14:val="tx1"/>
            </w14:solidFill>
          </w14:textFill>
        </w:rPr>
      </w:pP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本公司（联合体）郑重声明，根据《政府采购促进中小企业发展管理办法》（财库﹝2020﹞46号）的规定，本公司（联合体）参加</w:t>
      </w:r>
      <w:r>
        <w:rPr>
          <w:rFonts w:hint="eastAsia" w:ascii="宋体" w:hAnsi="宋体" w:cs="宋体"/>
          <w:color w:val="000000" w:themeColor="text1"/>
          <w:sz w:val="24"/>
          <w:u w:val="single"/>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的</w:t>
      </w:r>
      <w:r>
        <w:rPr>
          <w:rFonts w:hint="eastAsia" w:ascii="宋体" w:hAnsi="宋体" w:cs="宋体"/>
          <w:color w:val="000000" w:themeColor="text1"/>
          <w:sz w:val="24"/>
          <w:u w:val="single"/>
          <w14:textFill>
            <w14:solidFill>
              <w14:schemeClr w14:val="tx1"/>
            </w14:solidFill>
          </w14:textFill>
        </w:rPr>
        <w:t>（项目名称）</w:t>
      </w:r>
      <w:r>
        <w:rPr>
          <w:rFonts w:hint="eastAsia" w:ascii="宋体" w:hAnsi="宋体" w:cs="宋体"/>
          <w:color w:val="000000" w:themeColor="text1"/>
          <w:sz w:val="24"/>
          <w14:textFill>
            <w14:solidFill>
              <w14:schemeClr w14:val="tx1"/>
            </w14:solidFill>
          </w14:textFill>
        </w:rPr>
        <w:t>采购活动，工程的施工单位全部为符合政策要求的中小企业</w:t>
      </w:r>
      <w:r>
        <w:rPr>
          <w:rFonts w:hint="eastAsia" w:ascii="宋体" w:hAnsi="宋体" w:cs="宋体"/>
          <w:color w:val="000000" w:themeColor="text1"/>
          <w:sz w:val="24"/>
          <w:u w:val="single"/>
          <w14:textFill>
            <w14:solidFill>
              <w14:schemeClr w14:val="tx1"/>
            </w14:solidFill>
          </w14:textFill>
        </w:rPr>
        <w:t>（或者：服务全部由符合政策要求的中小企业承接）</w:t>
      </w:r>
      <w:r>
        <w:rPr>
          <w:rFonts w:hint="eastAsia" w:ascii="宋体" w:hAnsi="宋体" w:cs="宋体"/>
          <w:color w:val="000000" w:themeColor="text1"/>
          <w:sz w:val="24"/>
          <w14:textFill>
            <w14:solidFill>
              <w14:schemeClr w14:val="tx1"/>
            </w14:solidFill>
          </w14:textFill>
        </w:rPr>
        <w:t>。相关企业</w:t>
      </w:r>
      <w:r>
        <w:rPr>
          <w:rFonts w:hint="eastAsia" w:ascii="宋体" w:hAnsi="宋体" w:cs="宋体"/>
          <w:color w:val="000000" w:themeColor="text1"/>
          <w:sz w:val="24"/>
          <w:u w:val="single"/>
          <w14:textFill>
            <w14:solidFill>
              <w14:schemeClr w14:val="tx1"/>
            </w14:solidFill>
          </w14:textFill>
        </w:rPr>
        <w:t>（含联合 体中的中小企业、签订分包意向协议的中小企业）</w:t>
      </w:r>
      <w:r>
        <w:rPr>
          <w:rFonts w:hint="eastAsia" w:ascii="宋体" w:hAnsi="宋体" w:cs="宋体"/>
          <w:color w:val="000000" w:themeColor="text1"/>
          <w:sz w:val="24"/>
          <w14:textFill>
            <w14:solidFill>
              <w14:schemeClr w14:val="tx1"/>
            </w14:solidFill>
          </w14:textFill>
        </w:rPr>
        <w:t>的具体情 况如下：</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color w:val="000000" w:themeColor="text1"/>
          <w:sz w:val="24"/>
          <w:u w:val="single"/>
          <w14:textFill>
            <w14:solidFill>
              <w14:schemeClr w14:val="tx1"/>
            </w14:solidFill>
          </w14:textFill>
        </w:rPr>
        <w:t>（标的名称）</w:t>
      </w:r>
      <w:r>
        <w:rPr>
          <w:rFonts w:hint="eastAsia" w:ascii="宋体" w:hAnsi="宋体" w:cs="宋体"/>
          <w:color w:val="000000" w:themeColor="text1"/>
          <w:sz w:val="24"/>
          <w14:textFill>
            <w14:solidFill>
              <w14:schemeClr w14:val="tx1"/>
            </w14:solidFill>
          </w14:textFill>
        </w:rPr>
        <w:t>，属于</w:t>
      </w:r>
      <w:r>
        <w:rPr>
          <w:rFonts w:hint="eastAsia" w:ascii="宋体" w:hAnsi="宋体" w:cs="宋体"/>
          <w:color w:val="000000" w:themeColor="text1"/>
          <w:sz w:val="24"/>
          <w:u w:val="single"/>
          <w14:textFill>
            <w14:solidFill>
              <w14:schemeClr w14:val="tx1"/>
            </w14:solidFill>
          </w14:textFill>
        </w:rPr>
        <w:t>（采购文件中明确的所属行业）</w:t>
      </w:r>
      <w:r>
        <w:rPr>
          <w:rFonts w:hint="eastAsia" w:ascii="宋体" w:hAnsi="宋体" w:cs="宋体"/>
          <w:color w:val="000000" w:themeColor="text1"/>
          <w:sz w:val="24"/>
          <w14:textFill>
            <w14:solidFill>
              <w14:schemeClr w14:val="tx1"/>
            </w14:solidFill>
          </w14:textFill>
        </w:rPr>
        <w:t>； 承建（承接）企业为（企业名称），从业人员</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人，营业收入为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万元，资产总额为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万元1，属于（中型企业、小型企业、微型企业）； </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u w:val="single"/>
          <w14:textFill>
            <w14:solidFill>
              <w14:schemeClr w14:val="tx1"/>
            </w14:solidFill>
          </w14:textFill>
        </w:rPr>
        <w:t>（标的名称）</w:t>
      </w:r>
      <w:r>
        <w:rPr>
          <w:rFonts w:hint="eastAsia" w:ascii="宋体" w:hAnsi="宋体" w:cs="宋体"/>
          <w:color w:val="000000" w:themeColor="text1"/>
          <w:sz w:val="24"/>
          <w14:textFill>
            <w14:solidFill>
              <w14:schemeClr w14:val="tx1"/>
            </w14:solidFill>
          </w14:textFill>
        </w:rPr>
        <w:t>，属于</w:t>
      </w:r>
      <w:r>
        <w:rPr>
          <w:rFonts w:hint="eastAsia" w:ascii="宋体" w:hAnsi="宋体" w:cs="宋体"/>
          <w:color w:val="000000" w:themeColor="text1"/>
          <w:sz w:val="24"/>
          <w:u w:val="single"/>
          <w14:textFill>
            <w14:solidFill>
              <w14:schemeClr w14:val="tx1"/>
            </w14:solidFill>
          </w14:textFill>
        </w:rPr>
        <w:t>（采购文件中明确的所属行业）</w:t>
      </w:r>
      <w:r>
        <w:rPr>
          <w:rFonts w:hint="eastAsia" w:ascii="宋体" w:hAnsi="宋体" w:cs="宋体"/>
          <w:color w:val="000000" w:themeColor="text1"/>
          <w:sz w:val="24"/>
          <w14:textFill>
            <w14:solidFill>
              <w14:schemeClr w14:val="tx1"/>
            </w14:solidFill>
          </w14:textFill>
        </w:rPr>
        <w:t>； 承建（承接）企业为</w:t>
      </w:r>
      <w:r>
        <w:rPr>
          <w:rFonts w:hint="eastAsia" w:ascii="宋体" w:hAnsi="宋体" w:cs="宋体"/>
          <w:color w:val="000000" w:themeColor="text1"/>
          <w:sz w:val="24"/>
          <w:u w:val="single"/>
          <w14:textFill>
            <w14:solidFill>
              <w14:schemeClr w14:val="tx1"/>
            </w14:solidFill>
          </w14:textFill>
        </w:rPr>
        <w:t>（企业名称）</w:t>
      </w:r>
      <w:r>
        <w:rPr>
          <w:rFonts w:hint="eastAsia" w:ascii="宋体" w:hAnsi="宋体" w:cs="宋体"/>
          <w:color w:val="000000" w:themeColor="text1"/>
          <w:sz w:val="24"/>
          <w14:textFill>
            <w14:solidFill>
              <w14:schemeClr w14:val="tx1"/>
            </w14:solidFill>
          </w14:textFill>
        </w:rPr>
        <w:t>，从业人员</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人，营业收入为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万元，资产总额为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万元，属于</w:t>
      </w:r>
      <w:r>
        <w:rPr>
          <w:rFonts w:hint="eastAsia" w:ascii="宋体" w:hAnsi="宋体" w:cs="宋体"/>
          <w:color w:val="000000" w:themeColor="text1"/>
          <w:sz w:val="24"/>
          <w:u w:val="single"/>
          <w14:textFill>
            <w14:solidFill>
              <w14:schemeClr w14:val="tx1"/>
            </w14:solidFill>
          </w14:textFill>
        </w:rPr>
        <w:t>（中型企业、 小型企业、微型企业）</w:t>
      </w:r>
      <w:r>
        <w:rPr>
          <w:rFonts w:hint="eastAsia" w:ascii="宋体" w:hAnsi="宋体" w:cs="宋体"/>
          <w:color w:val="000000" w:themeColor="text1"/>
          <w:sz w:val="24"/>
          <w14:textFill>
            <w14:solidFill>
              <w14:schemeClr w14:val="tx1"/>
            </w14:solidFill>
          </w14:textFill>
        </w:rPr>
        <w:t>； ……</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以上企业，不属于大企业的分支机构，不存在控股股东 为大企业的情形，也不存在与大企业的负责人为同一人的情形。</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本企业对上述声明内容的真实性负责。如有虚假，将依 法承担相应责任。 </w:t>
      </w:r>
    </w:p>
    <w:p>
      <w:pPr>
        <w:spacing w:line="360" w:lineRule="auto"/>
        <w:ind w:firstLine="3600" w:firstLineChars="1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企业名称（盖章）： </w:t>
      </w:r>
    </w:p>
    <w:p>
      <w:pPr>
        <w:spacing w:line="360" w:lineRule="auto"/>
        <w:ind w:firstLine="4800" w:firstLineChars="20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日 期： </w:t>
      </w:r>
    </w:p>
    <w:p>
      <w:pPr>
        <w:pStyle w:val="37"/>
        <w:rPr>
          <w:rFonts w:ascii="宋体" w:hAnsi="宋体" w:cs="宋体"/>
          <w:color w:val="000000" w:themeColor="text1"/>
          <w:sz w:val="24"/>
          <w:szCs w:val="24"/>
          <w14:textFill>
            <w14:solidFill>
              <w14:schemeClr w14:val="tx1"/>
            </w14:solidFill>
          </w14:textFill>
        </w:rPr>
      </w:pPr>
    </w:p>
    <w:p>
      <w:pPr>
        <w:pStyle w:val="7"/>
        <w:rPr>
          <w:rFonts w:ascii="宋体" w:hAnsi="宋体" w:eastAsia="宋体" w:cs="宋体"/>
          <w:color w:val="000000" w:themeColor="text1"/>
          <w:sz w:val="24"/>
          <w14:textFill>
            <w14:solidFill>
              <w14:schemeClr w14:val="tx1"/>
            </w14:solidFill>
          </w14:textFill>
        </w:rPr>
      </w:pPr>
    </w:p>
    <w:p>
      <w:pPr>
        <w:rPr>
          <w:rFonts w:ascii="宋体" w:hAnsi="宋体" w:cs="宋体"/>
          <w:color w:val="000000" w:themeColor="text1"/>
          <w:sz w:val="24"/>
          <w14:textFill>
            <w14:solidFill>
              <w14:schemeClr w14:val="tx1"/>
            </w14:solidFill>
          </w14:textFill>
        </w:rPr>
      </w:pPr>
    </w:p>
    <w:p>
      <w:pPr>
        <w:pStyle w:val="37"/>
        <w:rPr>
          <w:rFonts w:ascii="宋体" w:hAnsi="宋体" w:cs="宋体"/>
          <w:color w:val="000000" w:themeColor="text1"/>
          <w:sz w:val="24"/>
          <w:szCs w:val="24"/>
          <w14:textFill>
            <w14:solidFill>
              <w14:schemeClr w14:val="tx1"/>
            </w14:solidFill>
          </w14:textFill>
        </w:rPr>
      </w:pPr>
    </w:p>
    <w:p>
      <w:pPr>
        <w:pStyle w:val="7"/>
        <w:rPr>
          <w:color w:val="000000" w:themeColor="text1"/>
          <w14:textFill>
            <w14:solidFill>
              <w14:schemeClr w14:val="tx1"/>
            </w14:solidFill>
          </w14:textFill>
        </w:rPr>
      </w:pPr>
    </w:p>
    <w:p>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注：1.从业人员、营业收入、资产总额填报上一年度数据，无上一年度数据的新成立企业可不填报。</w:t>
      </w:r>
    </w:p>
    <w:p>
      <w:pPr>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2.本项目如是只面向中小企业采购的应当必须提供。</w:t>
      </w:r>
    </w:p>
    <w:p>
      <w:pPr>
        <w:spacing w:line="360" w:lineRule="auto"/>
        <w:jc w:val="center"/>
        <w:rPr>
          <w:rFonts w:ascii="宋体" w:hAnsi="宋体" w:cs="宋体"/>
          <w:b/>
          <w:bCs/>
          <w:color w:val="000000" w:themeColor="text1"/>
          <w:sz w:val="24"/>
          <w14:textFill>
            <w14:solidFill>
              <w14:schemeClr w14:val="tx1"/>
            </w14:solidFill>
          </w14:textFill>
        </w:rPr>
      </w:pPr>
    </w:p>
    <w:p>
      <w:pPr>
        <w:spacing w:line="360" w:lineRule="auto"/>
        <w:jc w:val="center"/>
        <w:rPr>
          <w:rFonts w:ascii="宋体" w:hAnsi="宋体" w:cs="宋体"/>
          <w:b/>
          <w:bCs/>
          <w:color w:val="000000" w:themeColor="text1"/>
          <w:sz w:val="24"/>
          <w14:textFill>
            <w14:solidFill>
              <w14:schemeClr w14:val="tx1"/>
            </w14:solidFill>
          </w14:textFill>
        </w:rPr>
      </w:pPr>
    </w:p>
    <w:p>
      <w:pPr>
        <w:pStyle w:val="37"/>
        <w:rPr>
          <w:rFonts w:ascii="宋体" w:hAnsi="宋体" w:cs="宋体"/>
          <w:b/>
          <w:bCs/>
          <w:color w:val="000000" w:themeColor="text1"/>
          <w:sz w:val="24"/>
          <w14:textFill>
            <w14:solidFill>
              <w14:schemeClr w14:val="tx1"/>
            </w14:solidFill>
          </w14:textFill>
        </w:rPr>
      </w:pPr>
    </w:p>
    <w:p>
      <w:pPr>
        <w:pStyle w:val="7"/>
        <w:rPr>
          <w:color w:val="000000" w:themeColor="text1"/>
          <w14:textFill>
            <w14:solidFill>
              <w14:schemeClr w14:val="tx1"/>
            </w14:solidFill>
          </w14:textFill>
        </w:rPr>
      </w:pPr>
    </w:p>
    <w:p>
      <w:pPr>
        <w:rPr>
          <w:color w:val="000000" w:themeColor="text1"/>
          <w14:textFill>
            <w14:solidFill>
              <w14:schemeClr w14:val="tx1"/>
            </w14:solidFill>
          </w14:textFill>
        </w:rPr>
      </w:pPr>
    </w:p>
    <w:p>
      <w:pPr>
        <w:spacing w:line="360" w:lineRule="auto"/>
        <w:rPr>
          <w:rFonts w:ascii="宋体" w:hAnsi="宋体" w:cs="宋体"/>
          <w:color w:val="000000" w:themeColor="text1"/>
          <w:sz w:val="24"/>
          <w14:textFill>
            <w14:solidFill>
              <w14:schemeClr w14:val="tx1"/>
            </w14:solidFill>
          </w14:textFill>
        </w:rPr>
      </w:pPr>
    </w:p>
    <w:p>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格式10其他资料</w:t>
      </w: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pStyle w:val="2"/>
        <w:ind w:firstLine="240"/>
        <w:rPr>
          <w:rFonts w:ascii="宋体" w:hAnsi="宋体" w:cs="宋体"/>
          <w:color w:val="000000" w:themeColor="text1"/>
          <w:sz w:val="24"/>
          <w14:textFill>
            <w14:solidFill>
              <w14:schemeClr w14:val="tx1"/>
            </w14:solidFill>
          </w14:textFill>
        </w:rPr>
      </w:pPr>
    </w:p>
    <w:p>
      <w:pPr>
        <w:spacing w:line="360" w:lineRule="auto"/>
        <w:rPr>
          <w:color w:val="000000" w:themeColor="text1"/>
          <w14:textFill>
            <w14:solidFill>
              <w14:schemeClr w14:val="tx1"/>
            </w14:solidFill>
          </w14:textFill>
        </w:rPr>
      </w:pPr>
      <w:r>
        <w:rPr>
          <w:rFonts w:hint="eastAsia" w:ascii="宋体" w:hAnsi="宋体" w:cs="宋体"/>
          <w:color w:val="000000" w:themeColor="text1"/>
          <w:sz w:val="24"/>
          <w14:textFill>
            <w14:solidFill>
              <w14:schemeClr w14:val="tx1"/>
            </w14:solidFill>
          </w14:textFill>
        </w:rPr>
        <w:t>格式11</w:t>
      </w:r>
    </w:p>
    <w:p>
      <w:pPr>
        <w:spacing w:line="380" w:lineRule="exact"/>
        <w:jc w:val="center"/>
        <w:rPr>
          <w:rStyle w:val="66"/>
          <w:rFonts w:ascii="宋体"/>
          <w:b/>
          <w:bCs/>
          <w:color w:val="000000" w:themeColor="text1"/>
          <w:sz w:val="28"/>
          <w:szCs w:val="28"/>
          <w14:textFill>
            <w14:solidFill>
              <w14:schemeClr w14:val="tx1"/>
            </w14:solidFill>
          </w14:textFill>
        </w:rPr>
      </w:pPr>
      <w:r>
        <w:rPr>
          <w:rStyle w:val="66"/>
          <w:rFonts w:hint="eastAsia" w:ascii="宋体" w:hAnsi="宋体" w:cs="宋体"/>
          <w:b/>
          <w:bCs/>
          <w:color w:val="000000" w:themeColor="text1"/>
          <w:sz w:val="28"/>
          <w:szCs w:val="28"/>
          <w14:textFill>
            <w14:solidFill>
              <w14:schemeClr w14:val="tx1"/>
            </w14:solidFill>
          </w14:textFill>
        </w:rPr>
        <w:t>政府采购供应商诚信承诺书</w:t>
      </w:r>
    </w:p>
    <w:p>
      <w:pPr>
        <w:spacing w:line="380" w:lineRule="exact"/>
        <w:jc w:val="center"/>
        <w:rPr>
          <w:rStyle w:val="66"/>
          <w:rFonts w:ascii="宋体"/>
          <w:b/>
          <w:bCs/>
          <w:color w:val="000000" w:themeColor="text1"/>
          <w:sz w:val="24"/>
          <w14:textFill>
            <w14:solidFill>
              <w14:schemeClr w14:val="tx1"/>
            </w14:solidFill>
          </w14:textFill>
        </w:rPr>
      </w:pPr>
    </w:p>
    <w:p>
      <w:pPr>
        <w:spacing w:line="380" w:lineRule="exact"/>
        <w:ind w:firstLine="720" w:firstLineChars="3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（一）提供虚假材料谋取中标;</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（二）采取不正当手段诋毁、排挤其他供应商;</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（三）与招标采购单位、其他投标人恶意串通;</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（四）向招标采购单位或提供其他不正当利益;</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（五）在招标过程中与招标采购单位进行协商谈判、不按照招标文件和投标文件订立合同，或者与采购人另立背离合同实质性内容协议;</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（六）开标后擅自撤销投标，影响招标继续进行的或领取招标文件纳投标保证金后不投标导致废标;</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（七）中标后无正当理由，在规定时间内不与采购单位签订合同;</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（八）将中标项目转让给他人或非法分包他人;</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（九）无正当理由，拒绝履行合同义务;</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（十）无正当理由放弃中标（成交）项目;</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（十ー）撞自或与与采购人串通或接受采购人要求，在履约合同中通过减少货物数量，更换品牌、降低配置、技术要求、质量和服务标准等，却仍按原合同进行虚假验收或终止政府采购合同;</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（十二）与采购人串通，对尚未履约完毕的采购项目出具虚假验收报告；</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（十三）无不可抗力因素，拒绝提供售后服务、售后服务态度恶劣、故意提高维修配件价格（高于市场平均价）；</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（十四）开标后对招标文件的相关内容再进行质疑；</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（十五）恶意投诉的行为：投诉经查无实据的、捏造事实或者提供虚假设诉材料；</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（十六）拒绝有关部门监督检查或者提供虚假情况；</w:t>
      </w:r>
    </w:p>
    <w:p>
      <w:pPr>
        <w:spacing w:line="38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（十七）政府采购监管部门认定的其他政府采购活动中的不诚信行为。</w:t>
      </w:r>
    </w:p>
    <w:p>
      <w:pPr>
        <w:spacing w:line="380" w:lineRule="exact"/>
        <w:ind w:firstLine="3360" w:firstLineChars="1400"/>
        <w:rPr>
          <w:rFonts w:ascii="宋体" w:hAnsi="宋体" w:cs="宋体"/>
          <w:color w:val="000000" w:themeColor="text1"/>
          <w:sz w:val="24"/>
          <w14:textFill>
            <w14:solidFill>
              <w14:schemeClr w14:val="tx1"/>
            </w14:solidFill>
          </w14:textFill>
        </w:rPr>
      </w:pPr>
    </w:p>
    <w:p>
      <w:pPr>
        <w:spacing w:line="380" w:lineRule="exact"/>
        <w:ind w:firstLine="3360" w:firstLineChars="14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供应商名称：（盖章）</w:t>
      </w:r>
    </w:p>
    <w:p>
      <w:pPr>
        <w:spacing w:line="380" w:lineRule="exact"/>
        <w:ind w:firstLine="3360" w:firstLineChars="14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法定代表人：（签章）</w:t>
      </w:r>
    </w:p>
    <w:p>
      <w:pPr>
        <w:spacing w:line="380" w:lineRule="exact"/>
        <w:ind w:firstLine="3360" w:firstLineChars="1400"/>
        <w:rPr>
          <w:rFonts w:ascii="宋体" w:hAnsi="宋体" w:cs="宋体"/>
          <w:color w:val="000000" w:themeColor="text1"/>
          <w:sz w:val="24"/>
          <w14:textFill>
            <w14:solidFill>
              <w14:schemeClr w14:val="tx1"/>
            </w14:solidFill>
          </w14:textFill>
        </w:rPr>
      </w:pPr>
    </w:p>
    <w:p>
      <w:pPr>
        <w:spacing w:line="380" w:lineRule="exact"/>
        <w:ind w:firstLine="3360" w:firstLineChars="1400"/>
        <w:rPr>
          <w:rFonts w:ascii="宋体" w:hAnsi="宋体" w:cs="宋体"/>
          <w:b/>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日期：年 月 日</w:t>
      </w:r>
    </w:p>
    <w:p>
      <w:pPr>
        <w:pStyle w:val="2"/>
        <w:ind w:firstLine="0" w:firstLineChars="0"/>
        <w:rPr>
          <w:rFonts w:ascii="宋体" w:hAnsi="宋体" w:cs="宋体"/>
          <w:b/>
          <w:color w:val="000000" w:themeColor="text1"/>
          <w:sz w:val="24"/>
          <w14:textFill>
            <w14:solidFill>
              <w14:schemeClr w14:val="tx1"/>
            </w14:solidFill>
          </w14:textFill>
        </w:rPr>
      </w:pPr>
    </w:p>
    <w:p>
      <w:pPr>
        <w:spacing w:line="360" w:lineRule="auto"/>
        <w:rPr>
          <w:rFonts w:ascii="宋体" w:hAnsi="宋体" w:cs="宋体"/>
          <w:b/>
          <w:bCs/>
          <w:color w:val="000000" w:themeColor="text1"/>
          <w:sz w:val="24"/>
          <w14:textFill>
            <w14:solidFill>
              <w14:schemeClr w14:val="tx1"/>
            </w14:solidFill>
          </w14:textFill>
        </w:rPr>
      </w:pPr>
    </w:p>
    <w:p>
      <w:pPr>
        <w:pStyle w:val="2"/>
        <w:ind w:firstLine="0" w:firstLineChars="0"/>
        <w:rPr>
          <w:rFonts w:ascii="宋体" w:hAnsi="宋体" w:cs="宋体"/>
          <w:b/>
          <w:color w:val="000000" w:themeColor="text1"/>
          <w:sz w:val="24"/>
          <w14:textFill>
            <w14:solidFill>
              <w14:schemeClr w14:val="tx1"/>
            </w14:solidFill>
          </w14:textFill>
        </w:rPr>
      </w:pPr>
    </w:p>
    <w:p>
      <w:pPr>
        <w:pStyle w:val="5"/>
        <w:spacing w:line="500" w:lineRule="exact"/>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 xml:space="preserve">第五章  </w:t>
      </w:r>
      <w:r>
        <w:rPr>
          <w:rFonts w:hint="eastAsia" w:ascii="宋体" w:hAnsi="宋体" w:cs="宋体"/>
          <w:b/>
          <w:color w:val="000000" w:themeColor="text1"/>
          <w:w w:val="92"/>
          <w:sz w:val="32"/>
          <w:szCs w:val="32"/>
          <w14:textFill>
            <w14:solidFill>
              <w14:schemeClr w14:val="tx1"/>
            </w14:solidFill>
          </w14:textFill>
        </w:rPr>
        <w:t>周口市</w:t>
      </w:r>
      <w:r>
        <w:rPr>
          <w:rFonts w:hint="eastAsia" w:ascii="宋体" w:hAnsi="宋体" w:cs="宋体"/>
          <w:b/>
          <w:color w:val="000000" w:themeColor="text1"/>
          <w:sz w:val="32"/>
          <w:szCs w:val="32"/>
          <w14:textFill>
            <w14:solidFill>
              <w14:schemeClr w14:val="tx1"/>
            </w14:solidFill>
          </w14:textFill>
        </w:rPr>
        <w:t>政府采购合同（服务类）标准文本</w:t>
      </w:r>
    </w:p>
    <w:p>
      <w:pPr>
        <w:ind w:firstLine="640" w:firstLineChars="200"/>
        <w:rPr>
          <w:rFonts w:ascii="宋体" w:hAnsi="宋体" w:cs="宋体"/>
          <w:color w:val="000000" w:themeColor="text1"/>
          <w:sz w:val="32"/>
          <w:szCs w:val="32"/>
          <w14:textFill>
            <w14:solidFill>
              <w14:schemeClr w14:val="tx1"/>
            </w14:solidFill>
          </w14:textFill>
        </w:rPr>
      </w:pPr>
    </w:p>
    <w:p>
      <w:pPr>
        <w:pStyle w:val="79"/>
        <w:spacing w:beforeLines="0" w:afterLines="0"/>
        <w:ind w:left="0" w:firstLine="640" w:firstLineChars="200"/>
        <w:rPr>
          <w:rFonts w:ascii="宋体" w:hAnsi="宋体" w:cs="宋体"/>
          <w:color w:val="000000" w:themeColor="text1"/>
          <w:sz w:val="32"/>
          <w:szCs w:val="32"/>
          <w14:textFill>
            <w14:solidFill>
              <w14:schemeClr w14:val="tx1"/>
            </w14:solidFill>
          </w14:textFill>
        </w:rPr>
      </w:pPr>
    </w:p>
    <w:p>
      <w:pPr>
        <w:pStyle w:val="79"/>
        <w:spacing w:beforeLines="0" w:afterLines="0"/>
        <w:ind w:left="0" w:firstLine="640" w:firstLineChars="200"/>
        <w:rPr>
          <w:rFonts w:ascii="宋体" w:hAnsi="宋体" w:cs="宋体"/>
          <w:color w:val="000000" w:themeColor="text1"/>
          <w:sz w:val="32"/>
          <w:szCs w:val="32"/>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r>
        <w:rPr>
          <w:rFonts w:hint="eastAsia" w:ascii="宋体" w:hAnsi="宋体" w:cs="宋体"/>
          <w:color w:val="000000" w:themeColor="text1"/>
          <w:sz w:val="30"/>
          <w:szCs w:val="30"/>
          <w14:textFill>
            <w14:solidFill>
              <w14:schemeClr w14:val="tx1"/>
            </w14:solidFill>
          </w14:textFill>
        </w:rPr>
        <w:t>政府采购项目名称：</w:t>
      </w: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r>
        <w:rPr>
          <w:rFonts w:hint="eastAsia" w:ascii="宋体" w:hAnsi="宋体" w:cs="宋体"/>
          <w:color w:val="000000" w:themeColor="text1"/>
          <w:sz w:val="30"/>
          <w:szCs w:val="30"/>
          <w14:textFill>
            <w14:solidFill>
              <w14:schemeClr w14:val="tx1"/>
            </w14:solidFill>
          </w14:textFill>
        </w:rPr>
        <w:t>政府采购项目编号：</w:t>
      </w: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r>
        <w:rPr>
          <w:rFonts w:hint="eastAsia" w:ascii="宋体" w:hAnsi="宋体" w:cs="宋体"/>
          <w:color w:val="000000" w:themeColor="text1"/>
          <w:sz w:val="30"/>
          <w:szCs w:val="30"/>
          <w14:textFill>
            <w14:solidFill>
              <w14:schemeClr w14:val="tx1"/>
            </w14:solidFill>
          </w14:textFill>
        </w:rPr>
        <w:t>采      购    人：</w:t>
      </w: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r>
        <w:rPr>
          <w:rFonts w:hint="eastAsia" w:ascii="宋体" w:hAnsi="宋体" w:cs="宋体"/>
          <w:color w:val="000000" w:themeColor="text1"/>
          <w:sz w:val="30"/>
          <w:szCs w:val="30"/>
          <w14:textFill>
            <w14:solidFill>
              <w14:schemeClr w14:val="tx1"/>
            </w14:solidFill>
          </w14:textFill>
        </w:rPr>
        <w:t>供      应    商：</w:t>
      </w: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r>
        <w:rPr>
          <w:rFonts w:hint="eastAsia" w:ascii="宋体" w:hAnsi="宋体" w:cs="宋体"/>
          <w:color w:val="000000" w:themeColor="text1"/>
          <w:sz w:val="30"/>
          <w:szCs w:val="30"/>
          <w14:textFill>
            <w14:solidFill>
              <w14:schemeClr w14:val="tx1"/>
            </w14:solidFill>
          </w14:textFill>
        </w:rPr>
        <w:t>合  同  签 订 地：</w:t>
      </w: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r>
        <w:rPr>
          <w:rFonts w:hint="eastAsia" w:ascii="宋体" w:hAnsi="宋体" w:cs="宋体"/>
          <w:color w:val="000000" w:themeColor="text1"/>
          <w:sz w:val="30"/>
          <w:szCs w:val="30"/>
          <w14:textFill>
            <w14:solidFill>
              <w14:schemeClr w14:val="tx1"/>
            </w14:solidFill>
          </w14:textFill>
        </w:rPr>
        <w:t>合 同 签订 时 间：</w:t>
      </w: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ind w:left="0" w:firstLine="600" w:firstLineChars="200"/>
        <w:rPr>
          <w:rFonts w:ascii="宋体" w:hAnsi="宋体" w:cs="宋体"/>
          <w:color w:val="000000" w:themeColor="text1"/>
          <w:sz w:val="30"/>
          <w:szCs w:val="30"/>
          <w14:textFill>
            <w14:solidFill>
              <w14:schemeClr w14:val="tx1"/>
            </w14:solidFill>
          </w14:textFill>
        </w:rPr>
      </w:pPr>
    </w:p>
    <w:p>
      <w:pPr>
        <w:pStyle w:val="79"/>
        <w:spacing w:beforeLines="0" w:afterLines="0" w:line="440" w:lineRule="exact"/>
        <w:ind w:left="0"/>
        <w:jc w:val="center"/>
        <w:rPr>
          <w:rFonts w:ascii="宋体" w:hAnsi="宋体" w:cs="宋体"/>
          <w:color w:val="000000" w:themeColor="text1"/>
          <w:sz w:val="32"/>
          <w:szCs w:val="32"/>
          <w14:textFill>
            <w14:solidFill>
              <w14:schemeClr w14:val="tx1"/>
            </w14:solidFill>
          </w14:textFill>
        </w:rPr>
      </w:pPr>
      <w:r>
        <w:rPr>
          <w:rFonts w:hint="eastAsia" w:ascii="宋体" w:hAnsi="宋体" w:cs="宋体"/>
          <w:color w:val="000000" w:themeColor="text1"/>
          <w:sz w:val="32"/>
          <w:szCs w:val="32"/>
          <w14:textFill>
            <w14:solidFill>
              <w14:schemeClr w14:val="tx1"/>
            </w14:solidFill>
          </w14:textFill>
        </w:rPr>
        <w:t>合同签订指引</w:t>
      </w:r>
    </w:p>
    <w:p>
      <w:pPr>
        <w:pStyle w:val="79"/>
        <w:spacing w:beforeLines="0" w:afterLines="0" w:line="440" w:lineRule="exact"/>
        <w:ind w:left="0"/>
        <w:rPr>
          <w:rFonts w:ascii="宋体" w:hAnsi="宋体" w:cs="宋体"/>
          <w:color w:val="000000" w:themeColor="text1"/>
          <w:sz w:val="30"/>
          <w:szCs w:val="30"/>
          <w14:textFill>
            <w14:solidFill>
              <w14:schemeClr w14:val="tx1"/>
            </w14:solidFill>
          </w14:textFill>
        </w:rPr>
      </w:pP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一、采购人在签订合同时应提供的资料：</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1、该政府采购项目的招标采购文件（以网上发布内容为准）；</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2、该政府采购项目招标文件的澄清和修改内容（公告内容）；</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3、该政府采购项目评审报告；</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4、采购单位法人授权委托书（法人到场并签字的除外）；</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5、采购单位被授权人身份证件（法人到场并签字的除外）；</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6、采购人和中标供应商（或服务商，下同）约定的其它内容（不得超出招标采购文件实质性内容）。</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二、供应商在签订合同时应提供的资料：</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1、该政府采购项目的投标文件（纸质或DPF格式的电子投标文件）；</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2、针对该项目评审时评审委员会提出的质询答复（纸质并签章）；</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3、该政府采购项目中标通知书；</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4、供应商法人授权委托书（法人到场并签字的除外）；</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5、供应商被授权人身份证件（法人到场并签字的除外）；</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6、供应商和采购人约定的其它内容（不得超出招标采购文件实质性内容）。</w:t>
      </w:r>
    </w:p>
    <w:p>
      <w:pPr>
        <w:pStyle w:val="79"/>
        <w:spacing w:beforeLines="0" w:afterLines="0" w:line="440" w:lineRule="exact"/>
        <w:ind w:left="0" w:firstLine="420" w:firstLineChars="200"/>
        <w:rPr>
          <w:rFonts w:ascii="宋体" w:hAnsi="宋体" w:cs="宋体"/>
          <w:color w:val="000000" w:themeColor="text1"/>
          <w:sz w:val="30"/>
          <w:szCs w:val="30"/>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三、本合同签订后二个工作日内有采购人在“周口市政府采购网”上进行合同公示。</w:t>
      </w:r>
    </w:p>
    <w:p>
      <w:pPr>
        <w:pStyle w:val="79"/>
        <w:spacing w:beforeLines="0" w:afterLines="0" w:line="440" w:lineRule="exact"/>
        <w:ind w:left="0"/>
        <w:jc w:val="center"/>
        <w:rPr>
          <w:rFonts w:ascii="宋体" w:hAnsi="宋体" w:cs="宋体"/>
          <w:bCs/>
          <w:color w:val="000000" w:themeColor="text1"/>
          <w:sz w:val="32"/>
          <w:szCs w:val="32"/>
          <w14:textFill>
            <w14:solidFill>
              <w14:schemeClr w14:val="tx1"/>
            </w14:solidFill>
          </w14:textFill>
        </w:rPr>
      </w:pPr>
    </w:p>
    <w:p>
      <w:pPr>
        <w:pStyle w:val="79"/>
        <w:spacing w:beforeLines="0" w:afterLines="0" w:line="440" w:lineRule="exact"/>
        <w:ind w:left="0"/>
        <w:jc w:val="center"/>
        <w:rPr>
          <w:rFonts w:ascii="宋体" w:hAnsi="宋体" w:cs="宋体"/>
          <w:color w:val="000000" w:themeColor="text1"/>
          <w:sz w:val="32"/>
          <w:szCs w:val="32"/>
          <w14:textFill>
            <w14:solidFill>
              <w14:schemeClr w14:val="tx1"/>
            </w14:solidFill>
          </w14:textFill>
        </w:rPr>
      </w:pPr>
      <w:r>
        <w:rPr>
          <w:rFonts w:hint="eastAsia" w:ascii="宋体" w:hAnsi="宋体" w:cs="宋体"/>
          <w:bCs/>
          <w:color w:val="000000" w:themeColor="text1"/>
          <w:sz w:val="32"/>
          <w:szCs w:val="32"/>
          <w14:textFill>
            <w14:solidFill>
              <w14:schemeClr w14:val="tx1"/>
            </w14:solidFill>
          </w14:textFill>
        </w:rPr>
        <w:t>供应商履约验收指引</w:t>
      </w:r>
    </w:p>
    <w:p>
      <w:pPr>
        <w:pStyle w:val="79"/>
        <w:spacing w:beforeLines="0" w:afterLines="0" w:line="440" w:lineRule="exact"/>
        <w:ind w:left="0"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1、供应商不得擅自变更合同标的服务内容；</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2、不得以次充优，随意降低服务标准和水平；</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3、对因客观上采购人采购需求发生变化造成的，应提供采、供双方的纸质备忘录材料；</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4、在满足验收条件5个工作日内通知采购人组织验收；</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5、供应商应提供需验收服务的清单、标准、达到的水平等量化资料；</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6、采、供双方约定的验收机构及相关人员组成情况。</w:t>
      </w:r>
    </w:p>
    <w:p>
      <w:pPr>
        <w:pStyle w:val="79"/>
        <w:spacing w:beforeLines="0" w:afterLines="0" w:line="440" w:lineRule="exact"/>
        <w:ind w:left="0"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7、督促采购人在项目验收结束并达到相关要求后一个工作日内，在“周口市政府采购网”上进行“履约验收”公示。</w:t>
      </w:r>
    </w:p>
    <w:p>
      <w:pPr>
        <w:pStyle w:val="5"/>
        <w:spacing w:line="500" w:lineRule="exact"/>
        <w:jc w:val="both"/>
        <w:rPr>
          <w:rFonts w:ascii="宋体" w:hAnsi="宋体" w:cs="宋体"/>
          <w:color w:val="000000" w:themeColor="text1"/>
          <w:sz w:val="21"/>
          <w:szCs w:val="21"/>
          <w14:textFill>
            <w14:solidFill>
              <w14:schemeClr w14:val="tx1"/>
            </w14:solidFill>
          </w14:textFill>
        </w:rPr>
      </w:pPr>
    </w:p>
    <w:p>
      <w:pPr>
        <w:rPr>
          <w:color w:val="000000" w:themeColor="text1"/>
          <w14:textFill>
            <w14:solidFill>
              <w14:schemeClr w14:val="tx1"/>
            </w14:solidFill>
          </w14:textFill>
        </w:rPr>
      </w:pPr>
    </w:p>
    <w:p>
      <w:pPr>
        <w:pStyle w:val="5"/>
        <w:spacing w:line="500" w:lineRule="exact"/>
        <w:rPr>
          <w:rFonts w:ascii="宋体" w:hAnsi="宋体" w:cs="宋体"/>
          <w:color w:val="000000" w:themeColor="text1"/>
          <w:sz w:val="44"/>
          <w:szCs w:val="44"/>
          <w14:textFill>
            <w14:solidFill>
              <w14:schemeClr w14:val="tx1"/>
            </w14:solidFill>
          </w14:textFill>
        </w:rPr>
      </w:pPr>
      <w:r>
        <w:rPr>
          <w:rFonts w:hint="eastAsia" w:ascii="宋体" w:hAnsi="宋体" w:cs="宋体"/>
          <w:color w:val="000000" w:themeColor="text1"/>
          <w:sz w:val="44"/>
          <w:szCs w:val="44"/>
          <w14:textFill>
            <w14:solidFill>
              <w14:schemeClr w14:val="tx1"/>
            </w14:solidFill>
          </w14:textFill>
        </w:rPr>
        <w:t>服务合同内容</w:t>
      </w:r>
    </w:p>
    <w:p>
      <w:pPr>
        <w:spacing w:line="360" w:lineRule="auto"/>
        <w:ind w:firstLine="420" w:firstLineChars="200"/>
        <w:rPr>
          <w:rFonts w:ascii="宋体" w:hAnsi="宋体" w:cs="宋体"/>
          <w:color w:val="000000" w:themeColor="text1"/>
          <w:szCs w:val="27"/>
          <w14:textFill>
            <w14:solidFill>
              <w14:schemeClr w14:val="tx1"/>
            </w14:solidFill>
          </w14:textFill>
        </w:rPr>
      </w:pPr>
    </w:p>
    <w:p>
      <w:pPr>
        <w:spacing w:line="360" w:lineRule="auto"/>
        <w:ind w:firstLine="420" w:firstLineChars="200"/>
        <w:rPr>
          <w:rFonts w:ascii="宋体" w:hAnsi="宋体" w:cs="宋体"/>
          <w:color w:val="000000" w:themeColor="text1"/>
          <w:szCs w:val="27"/>
          <w:u w:val="single"/>
          <w14:textFill>
            <w14:solidFill>
              <w14:schemeClr w14:val="tx1"/>
            </w14:solidFill>
          </w14:textFill>
        </w:rPr>
      </w:pPr>
      <w:r>
        <w:rPr>
          <w:rFonts w:hint="eastAsia" w:ascii="宋体" w:hAnsi="宋体" w:cs="宋体"/>
          <w:color w:val="000000" w:themeColor="text1"/>
          <w:szCs w:val="27"/>
          <w14:textFill>
            <w14:solidFill>
              <w14:schemeClr w14:val="tx1"/>
            </w14:solidFill>
          </w14:textFill>
        </w:rPr>
        <w:t xml:space="preserve">采购人（甲方）： </w:t>
      </w: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szCs w:val="27"/>
          <w14:textFill>
            <w14:solidFill>
              <w14:schemeClr w14:val="tx1"/>
            </w14:solidFill>
          </w14:textFill>
        </w:rPr>
        <w:t>供应商（乙方）：</w:t>
      </w:r>
    </w:p>
    <w:p>
      <w:pPr>
        <w:spacing w:line="360" w:lineRule="auto"/>
        <w:ind w:firstLine="420" w:firstLineChars="200"/>
        <w:rPr>
          <w:rFonts w:ascii="宋体" w:hAnsi="宋体" w:cs="宋体"/>
          <w:color w:val="000000" w:themeColor="text1"/>
          <w:szCs w:val="27"/>
          <w:u w:val="single"/>
          <w14:textFill>
            <w14:solidFill>
              <w14:schemeClr w14:val="tx1"/>
            </w14:solidFill>
          </w14:textFill>
        </w:rPr>
      </w:pPr>
      <w:r>
        <w:rPr>
          <w:rFonts w:hint="eastAsia" w:ascii="宋体" w:hAnsi="宋体" w:cs="宋体"/>
          <w:color w:val="000000" w:themeColor="text1"/>
          <w:szCs w:val="27"/>
          <w14:textFill>
            <w14:solidFill>
              <w14:schemeClr w14:val="tx1"/>
            </w14:solidFill>
          </w14:textFill>
        </w:rPr>
        <w:t>签订地点：</w:t>
      </w:r>
    </w:p>
    <w:p>
      <w:pPr>
        <w:spacing w:line="360" w:lineRule="auto"/>
        <w:ind w:firstLine="420" w:firstLineChars="200"/>
        <w:rPr>
          <w:rFonts w:ascii="宋体" w:hAnsi="宋体" w:cs="宋体"/>
          <w:color w:val="000000" w:themeColor="text1"/>
          <w:szCs w:val="27"/>
          <w:u w:val="single"/>
          <w14:textFill>
            <w14:solidFill>
              <w14:schemeClr w14:val="tx1"/>
            </w14:solidFill>
          </w14:textFill>
        </w:rPr>
      </w:pPr>
      <w:r>
        <w:rPr>
          <w:rFonts w:hint="eastAsia" w:ascii="宋体" w:hAnsi="宋体" w:cs="宋体"/>
          <w:color w:val="000000" w:themeColor="text1"/>
          <w:szCs w:val="27"/>
          <w14:textFill>
            <w14:solidFill>
              <w14:schemeClr w14:val="tx1"/>
            </w14:solidFill>
          </w14:textFill>
        </w:rPr>
        <w:t>项目名称：</w:t>
      </w:r>
    </w:p>
    <w:p>
      <w:pPr>
        <w:spacing w:line="360" w:lineRule="auto"/>
        <w:ind w:firstLine="420" w:firstLineChars="200"/>
        <w:rPr>
          <w:rFonts w:ascii="宋体" w:hAnsi="宋体" w:cs="宋体"/>
          <w:color w:val="000000" w:themeColor="text1"/>
          <w:szCs w:val="27"/>
          <w:u w:val="single"/>
          <w14:textFill>
            <w14:solidFill>
              <w14:schemeClr w14:val="tx1"/>
            </w14:solidFill>
          </w14:textFill>
        </w:rPr>
      </w:pPr>
      <w:r>
        <w:rPr>
          <w:rFonts w:hint="eastAsia" w:ascii="宋体" w:hAnsi="宋体" w:cs="宋体"/>
          <w:color w:val="000000" w:themeColor="text1"/>
          <w:szCs w:val="27"/>
          <w14:textFill>
            <w14:solidFill>
              <w14:schemeClr w14:val="tx1"/>
            </w14:solidFill>
          </w14:textFill>
        </w:rPr>
        <w:t>项目编号：</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Cs w:val="27"/>
          <w14:textFill>
            <w14:solidFill>
              <w14:schemeClr w14:val="tx1"/>
            </w14:solidFill>
          </w14:textFill>
        </w:rPr>
        <w:t>财政委托号：</w:t>
      </w:r>
      <w:r>
        <w:rPr>
          <w:rFonts w:hint="eastAsia" w:ascii="宋体" w:hAnsi="宋体" w:cs="宋体"/>
          <w:color w:val="000000" w:themeColor="text1"/>
          <w:szCs w:val="27"/>
          <w:u w:val="single"/>
          <w14:textFill>
            <w14:solidFill>
              <w14:schemeClr w14:val="tx1"/>
            </w14:solidFill>
          </w14:textFill>
        </w:rPr>
        <w:t xml:space="preserve">      </w:t>
      </w:r>
      <w:r>
        <w:rPr>
          <w:rFonts w:hint="eastAsia" w:ascii="宋体" w:hAnsi="宋体" w:cs="宋体"/>
          <w:color w:val="000000" w:themeColor="text1"/>
          <w:szCs w:val="27"/>
          <w14:textFill>
            <w14:solidFill>
              <w14:schemeClr w14:val="tx1"/>
            </w14:solidFill>
          </w14:textFill>
        </w:rPr>
        <w:t>(财政资金项目必须填写)</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Cs w:val="27"/>
          <w14:textFill>
            <w14:solidFill>
              <w14:schemeClr w14:val="tx1"/>
            </w14:solidFill>
          </w14:textFill>
        </w:rPr>
        <w:t>本项目经批准采用</w:t>
      </w:r>
      <w:r>
        <w:rPr>
          <w:rFonts w:hint="eastAsia" w:ascii="宋体" w:hAnsi="宋体" w:cs="宋体"/>
          <w:color w:val="000000" w:themeColor="text1"/>
          <w:szCs w:val="27"/>
          <w:u w:val="single"/>
          <w14:textFill>
            <w14:solidFill>
              <w14:schemeClr w14:val="tx1"/>
            </w14:solidFill>
          </w14:textFill>
        </w:rPr>
        <w:t xml:space="preserve">           </w:t>
      </w:r>
      <w:r>
        <w:rPr>
          <w:rFonts w:hint="eastAsia" w:ascii="宋体" w:hAnsi="宋体" w:cs="宋体"/>
          <w:color w:val="000000" w:themeColor="text1"/>
          <w:szCs w:val="27"/>
          <w14:textFill>
            <w14:solidFill>
              <w14:schemeClr w14:val="tx1"/>
            </w14:solidFill>
          </w14:textFill>
        </w:rPr>
        <w:t>采购方式，经本项目评审委员会认真评审，决定将采购合同授予乙方。为进一步明确双方的责任，确保合同的顺利履行，根据《中华人民共和国采购法法》、《中华人民共和国合同法》之规定，经甲乙双方充分协商，特订立本合同，以便共同遵守。</w:t>
      </w:r>
    </w:p>
    <w:p>
      <w:pPr>
        <w:spacing w:line="360" w:lineRule="auto"/>
        <w:ind w:firstLine="422" w:firstLineChars="200"/>
        <w:rPr>
          <w:rFonts w:ascii="宋体" w:hAnsi="宋体" w:cs="宋体"/>
          <w:color w:val="000000" w:themeColor="text1"/>
          <w:u w:val="single"/>
          <w14:textFill>
            <w14:solidFill>
              <w14:schemeClr w14:val="tx1"/>
            </w14:solidFill>
          </w14:textFill>
        </w:rPr>
      </w:pPr>
      <w:r>
        <w:rPr>
          <w:rFonts w:hint="eastAsia" w:ascii="宋体" w:hAnsi="宋体" w:cs="宋体"/>
          <w:b/>
          <w:bCs/>
          <w:color w:val="000000" w:themeColor="text1"/>
          <w:szCs w:val="27"/>
          <w14:textFill>
            <w14:solidFill>
              <w14:schemeClr w14:val="tx1"/>
            </w14:solidFill>
          </w14:textFill>
        </w:rPr>
        <w:t>第一条</w:t>
      </w:r>
      <w:r>
        <w:rPr>
          <w:rFonts w:hint="eastAsia" w:ascii="宋体" w:hAnsi="宋体" w:cs="宋体"/>
          <w:color w:val="000000" w:themeColor="text1"/>
          <w:szCs w:val="27"/>
          <w14:textFill>
            <w14:solidFill>
              <w14:schemeClr w14:val="tx1"/>
            </w14:solidFill>
          </w14:textFill>
        </w:rPr>
        <w:t>   服务的内容、标准、数量和价格：（若服务项目过多则见附表，如有附表则必须加盖印章）</w:t>
      </w:r>
    </w:p>
    <w:tbl>
      <w:tblPr>
        <w:tblStyle w:val="29"/>
        <w:tblW w:w="88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1623"/>
        <w:gridCol w:w="902"/>
        <w:gridCol w:w="902"/>
        <w:gridCol w:w="1071"/>
        <w:gridCol w:w="1250"/>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服务内容</w:t>
            </w:r>
          </w:p>
        </w:tc>
        <w:tc>
          <w:tcPr>
            <w:tcW w:w="1623" w:type="dxa"/>
          </w:tcPr>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标准水平</w:t>
            </w:r>
          </w:p>
        </w:tc>
        <w:tc>
          <w:tcPr>
            <w:tcW w:w="902" w:type="dxa"/>
          </w:tcPr>
          <w:p>
            <w:pPr>
              <w:spacing w:line="360" w:lineRule="auto"/>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单位</w:t>
            </w:r>
          </w:p>
        </w:tc>
        <w:tc>
          <w:tcPr>
            <w:tcW w:w="902" w:type="dxa"/>
          </w:tcPr>
          <w:p>
            <w:pPr>
              <w:spacing w:line="360" w:lineRule="auto"/>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数量</w:t>
            </w:r>
          </w:p>
        </w:tc>
        <w:tc>
          <w:tcPr>
            <w:tcW w:w="1071" w:type="dxa"/>
          </w:tcPr>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单价</w:t>
            </w:r>
          </w:p>
        </w:tc>
        <w:tc>
          <w:tcPr>
            <w:tcW w:w="1250" w:type="dxa"/>
          </w:tcPr>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小计</w:t>
            </w:r>
          </w:p>
        </w:tc>
        <w:tc>
          <w:tcPr>
            <w:tcW w:w="1106" w:type="dxa"/>
          </w:tcPr>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623"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902"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902"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071"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250"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106" w:type="dxa"/>
          </w:tcPr>
          <w:p>
            <w:pPr>
              <w:spacing w:line="360" w:lineRule="auto"/>
              <w:ind w:firstLine="420" w:firstLineChars="200"/>
              <w:rPr>
                <w:rFonts w:ascii="宋体"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623"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902"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902"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071"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250"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106" w:type="dxa"/>
          </w:tcPr>
          <w:p>
            <w:pPr>
              <w:spacing w:line="360" w:lineRule="auto"/>
              <w:ind w:firstLine="420" w:firstLineChars="200"/>
              <w:rPr>
                <w:rFonts w:ascii="宋体"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623"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902"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902"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071"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250" w:type="dxa"/>
          </w:tcPr>
          <w:p>
            <w:pPr>
              <w:spacing w:line="360" w:lineRule="auto"/>
              <w:ind w:firstLine="420" w:firstLineChars="200"/>
              <w:rPr>
                <w:rFonts w:ascii="宋体" w:hAnsi="宋体" w:cs="宋体"/>
                <w:color w:val="000000" w:themeColor="text1"/>
                <w14:textFill>
                  <w14:solidFill>
                    <w14:schemeClr w14:val="tx1"/>
                  </w14:solidFill>
                </w14:textFill>
              </w:rPr>
            </w:pPr>
          </w:p>
        </w:tc>
        <w:tc>
          <w:tcPr>
            <w:tcW w:w="1106" w:type="dxa"/>
          </w:tcPr>
          <w:p>
            <w:pPr>
              <w:spacing w:line="360" w:lineRule="auto"/>
              <w:ind w:firstLine="420" w:firstLineChars="200"/>
              <w:rPr>
                <w:rFonts w:ascii="宋体" w:hAnsi="宋体"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837" w:type="dxa"/>
            <w:gridSpan w:val="7"/>
          </w:tcPr>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合同总价款（大小写）：</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Cs w:val="28"/>
                <w14:textFill>
                  <w14:solidFill>
                    <w14:schemeClr w14:val="tx1"/>
                  </w14:solidFill>
                </w14:textFill>
              </w:rPr>
              <w:t>备注：上述服务包含相关设备购置、人员工资及售后服务、税金、劳保基金、人员培训等费用。</w:t>
            </w:r>
          </w:p>
        </w:tc>
      </w:tr>
    </w:tbl>
    <w:p>
      <w:pPr>
        <w:spacing w:line="360" w:lineRule="auto"/>
        <w:ind w:firstLine="422" w:firstLineChars="200"/>
        <w:rPr>
          <w:rFonts w:ascii="宋体" w:hAnsi="宋体" w:cs="宋体"/>
          <w:color w:val="000000" w:themeColor="text1"/>
          <w14:textFill>
            <w14:solidFill>
              <w14:schemeClr w14:val="tx1"/>
            </w14:solidFill>
          </w14:textFill>
        </w:rPr>
      </w:pPr>
      <w:r>
        <w:rPr>
          <w:rFonts w:hint="eastAsia" w:ascii="宋体" w:hAnsi="宋体" w:cs="宋体"/>
          <w:b/>
          <w:bCs/>
          <w:color w:val="000000" w:themeColor="text1"/>
          <w:szCs w:val="27"/>
          <w14:textFill>
            <w14:solidFill>
              <w14:schemeClr w14:val="tx1"/>
            </w14:solidFill>
          </w14:textFill>
        </w:rPr>
        <w:t xml:space="preserve">第二条  </w:t>
      </w:r>
      <w:r>
        <w:rPr>
          <w:rFonts w:hint="eastAsia" w:ascii="宋体" w:hAnsi="宋体" w:cs="宋体"/>
          <w:color w:val="000000" w:themeColor="text1"/>
          <w:szCs w:val="27"/>
          <w14:textFill>
            <w14:solidFill>
              <w14:schemeClr w14:val="tx1"/>
            </w14:solidFill>
          </w14:textFill>
        </w:rPr>
        <w:t>服务标准（包括达到的水平要求），按下列第（ ）项执行：</w:t>
      </w: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szCs w:val="27"/>
          <w14:textFill>
            <w14:solidFill>
              <w14:schemeClr w14:val="tx1"/>
            </w14:solidFill>
          </w14:textFill>
        </w:rPr>
        <w:t>①按国家标准执行；②按部颁标准执行；③若无以上标准，则应不低于同行业服务标准；④有特殊要求的，按甲乙双方在合同中商定的要求执行；</w:t>
      </w:r>
    </w:p>
    <w:p>
      <w:pPr>
        <w:spacing w:line="360" w:lineRule="auto"/>
        <w:ind w:firstLine="420" w:firstLineChars="200"/>
        <w:rPr>
          <w:rFonts w:ascii="宋体" w:hAnsi="宋体" w:cs="宋体"/>
          <w:color w:val="000000" w:themeColor="text1"/>
          <w:szCs w:val="27"/>
          <w:u w:val="single"/>
          <w14:textFill>
            <w14:solidFill>
              <w14:schemeClr w14:val="tx1"/>
            </w14:solidFill>
          </w14:textFill>
        </w:rPr>
      </w:pPr>
      <w:r>
        <w:rPr>
          <w:rFonts w:hint="eastAsia" w:ascii="宋体" w:hAnsi="宋体" w:cs="宋体"/>
          <w:color w:val="000000" w:themeColor="text1"/>
          <w14:textFill>
            <w14:solidFill>
              <w14:schemeClr w14:val="tx1"/>
            </w14:solidFill>
          </w14:textFill>
        </w:rPr>
        <w:t>乙方提供的服务标准和水平应与招标采购文件规定的标准和水平相一致。</w:t>
      </w:r>
    </w:p>
    <w:p>
      <w:pPr>
        <w:spacing w:line="360" w:lineRule="auto"/>
        <w:ind w:firstLine="422" w:firstLineChars="200"/>
        <w:rPr>
          <w:rFonts w:ascii="宋体" w:hAnsi="宋体" w:cs="宋体"/>
          <w:color w:val="000000" w:themeColor="text1"/>
          <w:szCs w:val="27"/>
          <w14:textFill>
            <w14:solidFill>
              <w14:schemeClr w14:val="tx1"/>
            </w14:solidFill>
          </w14:textFill>
        </w:rPr>
      </w:pPr>
      <w:r>
        <w:rPr>
          <w:rFonts w:hint="eastAsia" w:ascii="宋体" w:hAnsi="宋体" w:cs="宋体"/>
          <w:b/>
          <w:bCs/>
          <w:color w:val="000000" w:themeColor="text1"/>
          <w:szCs w:val="27"/>
          <w14:textFill>
            <w14:solidFill>
              <w14:schemeClr w14:val="tx1"/>
            </w14:solidFill>
          </w14:textFill>
        </w:rPr>
        <w:t xml:space="preserve">第三条  </w:t>
      </w:r>
      <w:r>
        <w:rPr>
          <w:rFonts w:hint="eastAsia" w:ascii="宋体" w:hAnsi="宋体" w:cs="宋体"/>
          <w:color w:val="000000" w:themeColor="text1"/>
          <w:szCs w:val="27"/>
          <w14:textFill>
            <w14:solidFill>
              <w14:schemeClr w14:val="tx1"/>
            </w14:solidFill>
          </w14:textFill>
        </w:rPr>
        <w:t>服务的方式、方法、、地点和期限</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Cs w:val="27"/>
          <w14:textFill>
            <w14:solidFill>
              <w14:schemeClr w14:val="tx1"/>
            </w14:solidFill>
          </w14:textFill>
        </w:rPr>
        <w:t>1、服务方式：</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2、服务方法：</w:t>
      </w: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szCs w:val="27"/>
          <w14:textFill>
            <w14:solidFill>
              <w14:schemeClr w14:val="tx1"/>
            </w14:solidFill>
          </w14:textFill>
        </w:rPr>
        <w:t>2、服务地点：</w:t>
      </w:r>
      <w:r>
        <w:rPr>
          <w:rFonts w:hint="eastAsia" w:ascii="宋体" w:hAnsi="宋体" w:cs="宋体"/>
          <w:color w:val="000000" w:themeColor="text1"/>
          <w:szCs w:val="27"/>
          <w14:textFill>
            <w14:solidFill>
              <w14:schemeClr w14:val="tx1"/>
            </w14:solidFill>
          </w14:textFill>
        </w:rPr>
        <w:softHyphen/>
      </w:r>
      <w:r>
        <w:rPr>
          <w:rFonts w:hint="eastAsia" w:ascii="宋体" w:hAnsi="宋体" w:cs="宋体"/>
          <w:color w:val="000000" w:themeColor="text1"/>
          <w:szCs w:val="27"/>
          <w14:textFill>
            <w14:solidFill>
              <w14:schemeClr w14:val="tx1"/>
            </w14:solidFill>
          </w14:textFill>
        </w:rPr>
        <w:softHyphen/>
      </w:r>
      <w:r>
        <w:rPr>
          <w:rFonts w:hint="eastAsia" w:ascii="宋体" w:hAnsi="宋体" w:cs="宋体"/>
          <w:color w:val="000000" w:themeColor="text1"/>
          <w:szCs w:val="27"/>
          <w14:textFill>
            <w14:solidFill>
              <w14:schemeClr w14:val="tx1"/>
            </w14:solidFill>
          </w14:textFill>
        </w:rPr>
        <w:softHyphen/>
      </w:r>
      <w:r>
        <w:rPr>
          <w:rFonts w:hint="eastAsia" w:ascii="宋体" w:hAnsi="宋体" w:cs="宋体"/>
          <w:color w:val="000000" w:themeColor="text1"/>
          <w:szCs w:val="27"/>
          <w14:textFill>
            <w14:solidFill>
              <w14:schemeClr w14:val="tx1"/>
            </w14:solidFill>
          </w14:textFill>
        </w:rPr>
        <w:softHyphen/>
      </w:r>
      <w:r>
        <w:rPr>
          <w:rFonts w:hint="eastAsia" w:ascii="宋体" w:hAnsi="宋体" w:cs="宋体"/>
          <w:color w:val="000000" w:themeColor="text1"/>
          <w:szCs w:val="27"/>
          <w14:textFill>
            <w14:solidFill>
              <w14:schemeClr w14:val="tx1"/>
            </w14:solidFill>
          </w14:textFill>
        </w:rPr>
        <w:softHyphen/>
      </w:r>
      <w:r>
        <w:rPr>
          <w:rFonts w:hint="eastAsia" w:ascii="宋体" w:hAnsi="宋体" w:cs="宋体"/>
          <w:color w:val="000000" w:themeColor="text1"/>
          <w:szCs w:val="27"/>
          <w14:textFill>
            <w14:solidFill>
              <w14:schemeClr w14:val="tx1"/>
            </w14:solidFill>
          </w14:textFill>
        </w:rPr>
        <w:softHyphen/>
      </w:r>
      <w:r>
        <w:rPr>
          <w:rFonts w:hint="eastAsia" w:ascii="宋体" w:hAnsi="宋体" w:cs="宋体"/>
          <w:color w:val="000000" w:themeColor="text1"/>
          <w:szCs w:val="27"/>
          <w14:textFill>
            <w14:solidFill>
              <w14:schemeClr w14:val="tx1"/>
            </w14:solidFill>
          </w14:textFill>
        </w:rPr>
        <w:softHyphen/>
      </w:r>
      <w:r>
        <w:rPr>
          <w:rFonts w:hint="eastAsia" w:ascii="宋体" w:hAnsi="宋体" w:cs="宋体"/>
          <w:color w:val="000000" w:themeColor="text1"/>
          <w:szCs w:val="27"/>
          <w14:textFill>
            <w14:solidFill>
              <w14:schemeClr w14:val="tx1"/>
            </w14:solidFill>
          </w14:textFill>
        </w:rPr>
        <w:softHyphen/>
      </w:r>
      <w:r>
        <w:rPr>
          <w:rFonts w:hint="eastAsia" w:ascii="宋体" w:hAnsi="宋体" w:cs="宋体"/>
          <w:color w:val="000000" w:themeColor="text1"/>
          <w:szCs w:val="27"/>
          <w14:textFill>
            <w14:solidFill>
              <w14:schemeClr w14:val="tx1"/>
            </w14:solidFill>
          </w14:textFill>
        </w:rPr>
        <w:softHyphen/>
      </w:r>
      <w:r>
        <w:rPr>
          <w:rFonts w:hint="eastAsia" w:ascii="宋体" w:hAnsi="宋体" w:cs="宋体"/>
          <w:color w:val="000000" w:themeColor="text1"/>
          <w:szCs w:val="27"/>
          <w14:textFill>
            <w14:solidFill>
              <w14:schemeClr w14:val="tx1"/>
            </w14:solidFill>
          </w14:textFill>
        </w:rPr>
        <w:softHyphen/>
      </w: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szCs w:val="27"/>
          <w14:textFill>
            <w14:solidFill>
              <w14:schemeClr w14:val="tx1"/>
            </w14:solidFill>
          </w14:textFill>
        </w:rPr>
        <w:t>3、服务期限：</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第四条  费用及支付方式</w:t>
      </w:r>
    </w:p>
    <w:p>
      <w:pPr>
        <w:pStyle w:val="11"/>
        <w:kinsoku w:val="0"/>
        <w:overflowPunct w:val="0"/>
        <w:spacing w:line="364" w:lineRule="auto"/>
        <w:ind w:firstLine="422" w:firstLineChars="200"/>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(一)本项目费用有以下组成：</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 1、XX 万元；</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2、XX 万元；</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w:t>
      </w:r>
    </w:p>
    <w:p>
      <w:pPr>
        <w:pStyle w:val="11"/>
        <w:kinsoku w:val="0"/>
        <w:overflowPunct w:val="0"/>
        <w:ind w:firstLine="422" w:firstLineChars="200"/>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(二)费用支付方式：</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1、XXXX；</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2、XXXX ；</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3、在支付前甲方对乙方的服务进行考核或验收，合格的支付相应款 项。乙方须向甲方出具合法有效完整的完税发票及凭证资料进行支付结算。</w:t>
      </w:r>
    </w:p>
    <w:p>
      <w:pPr>
        <w:pStyle w:val="11"/>
        <w:kinsoku w:val="0"/>
        <w:overflowPunct w:val="0"/>
        <w:ind w:firstLine="422" w:firstLineChars="200"/>
        <w:rPr>
          <w:rFonts w:ascii="宋体" w:hAnsi="宋体" w:cs="宋体"/>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 xml:space="preserve">第五条  付款条件   </w:t>
      </w:r>
      <w:r>
        <w:rPr>
          <w:rFonts w:hint="eastAsia" w:ascii="宋体" w:hAnsi="宋体" w:cs="宋体"/>
          <w:color w:val="000000" w:themeColor="text1"/>
          <w14:textFill>
            <w14:solidFill>
              <w14:schemeClr w14:val="tx1"/>
            </w14:solidFill>
          </w14:textFill>
        </w:rPr>
        <w:t xml:space="preserve">               </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本合同以人民币付款。</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该项目是否实行预付款：</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实行预付款的条件和比例：</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合同款项结算方式和支付比例：   </w:t>
      </w:r>
    </w:p>
    <w:p>
      <w:pPr>
        <w:spacing w:line="360" w:lineRule="auto"/>
        <w:ind w:firstLine="420" w:firstLineChars="200"/>
        <w:rPr>
          <w:rFonts w:ascii="宋体" w:hAnsi="宋体" w:cs="宋体"/>
          <w:color w:val="000000" w:themeColor="text1"/>
          <w:u w:val="single"/>
          <w14:textFill>
            <w14:solidFill>
              <w14:schemeClr w14:val="tx1"/>
            </w14:solidFill>
          </w14:textFill>
        </w:rPr>
      </w:pPr>
      <w:r>
        <w:rPr>
          <w:rFonts w:hint="eastAsia" w:ascii="宋体" w:hAnsi="宋体" w:cs="宋体"/>
          <w:color w:val="000000" w:themeColor="text1"/>
          <w14:textFill>
            <w14:solidFill>
              <w14:schemeClr w14:val="tx1"/>
            </w14:solidFill>
          </w14:textFill>
        </w:rPr>
        <w:t>(具体付款方式</w:t>
      </w:r>
      <w:r>
        <w:rPr>
          <w:rFonts w:hint="eastAsia" w:ascii="宋体" w:hAnsi="宋体" w:cs="宋体"/>
          <w:color w:val="000000" w:themeColor="text1"/>
          <w:u w:val="single"/>
          <w14:textFill>
            <w14:solidFill>
              <w14:schemeClr w14:val="tx1"/>
            </w14:solidFill>
          </w14:textFill>
        </w:rPr>
        <w:t>按投标人须知前附表以及采、购双方的具体约定</w:t>
      </w:r>
    </w:p>
    <w:p>
      <w:pPr>
        <w:pStyle w:val="4"/>
        <w:kinsoku w:val="0"/>
        <w:overflowPunct w:val="0"/>
        <w:ind w:firstLine="422" w:firstLineChars="200"/>
        <w:rPr>
          <w:rFonts w:ascii="宋体" w:hAnsi="宋体" w:cs="宋体"/>
          <w:color w:val="000000" w:themeColor="text1"/>
          <w:kern w:val="2"/>
          <w:sz w:val="21"/>
          <w:szCs w:val="27"/>
          <w14:textFill>
            <w14:solidFill>
              <w14:schemeClr w14:val="tx1"/>
            </w14:solidFill>
          </w14:textFill>
        </w:rPr>
      </w:pPr>
      <w:r>
        <w:rPr>
          <w:rFonts w:hint="eastAsia" w:ascii="宋体" w:hAnsi="宋体" w:cs="宋体"/>
          <w:color w:val="000000" w:themeColor="text1"/>
          <w:kern w:val="2"/>
          <w:sz w:val="21"/>
          <w:szCs w:val="27"/>
          <w14:textFill>
            <w14:solidFill>
              <w14:schemeClr w14:val="tx1"/>
            </w14:solidFill>
          </w14:textFill>
        </w:rPr>
        <w:t>第六条  验收方法</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1.甲、乙双方应严格履行合同有关条款，如果验收过程中发现乙方在没有征得采购人同意的情况下擅自变更合同服务内容，将拒绝通过验收，由此引起的一切后果及损失由乙方承担。</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甲方应承担项目验收的主体责任。项目验收时，应成立三人以上（由甲、乙双方、管理人员、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3、甲方视情况可以邀请参加本项目的其他投标人或者第三方机构参与验收，参与验收的投标人或者第三方机构的意见作为验收书的参考资料一并存档。</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4、涉及安全、消防、环保等其他需要由质检或行业主管部门进行验收的项目，必须邀请相关部门或相关专家参与验收。涉及社会化服务的项目，甲方将要求社会公众人员参与验收。</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检测、验收费用承担方式：</w:t>
      </w:r>
    </w:p>
    <w:p>
      <w:pPr>
        <w:pStyle w:val="11"/>
        <w:kinsoku w:val="0"/>
        <w:overflowPunct w:val="0"/>
        <w:spacing w:line="364" w:lineRule="auto"/>
        <w:ind w:firstLine="422" w:firstLineChars="200"/>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第七条 知识产权</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乙方应保证所提供的服务或其任何一部分均不会侵犯任何第三方的专利权、商标权或著作权。</w:t>
      </w:r>
    </w:p>
    <w:p>
      <w:pPr>
        <w:pStyle w:val="4"/>
        <w:kinsoku w:val="0"/>
        <w:overflowPunct w:val="0"/>
        <w:ind w:firstLine="422" w:firstLineChars="200"/>
        <w:rPr>
          <w:rFonts w:ascii="宋体" w:hAnsi="宋体" w:cs="宋体"/>
          <w:color w:val="000000" w:themeColor="text1"/>
          <w:kern w:val="2"/>
          <w:sz w:val="21"/>
          <w:szCs w:val="27"/>
          <w14:textFill>
            <w14:solidFill>
              <w14:schemeClr w14:val="tx1"/>
            </w14:solidFill>
          </w14:textFill>
        </w:rPr>
      </w:pPr>
      <w:r>
        <w:rPr>
          <w:rFonts w:hint="eastAsia" w:ascii="宋体" w:hAnsi="宋体" w:cs="宋体"/>
          <w:color w:val="000000" w:themeColor="text1"/>
          <w:kern w:val="2"/>
          <w:sz w:val="21"/>
          <w:szCs w:val="27"/>
          <w14:textFill>
            <w14:solidFill>
              <w14:schemeClr w14:val="tx1"/>
            </w14:solidFill>
          </w14:textFill>
        </w:rPr>
        <w:t>第八条 无产权瑕疵条款</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乙方保证所提供的服务的所有权完全属于乙方且无任何抵押、查封等产权瑕疵。如有产权瑕疵的，视为乙方违约。乙方应负担由此而产生的一切损失。</w:t>
      </w:r>
    </w:p>
    <w:p>
      <w:pPr>
        <w:spacing w:line="400" w:lineRule="exact"/>
        <w:ind w:firstLine="422" w:firstLineChars="200"/>
        <w:rPr>
          <w:rFonts w:ascii="宋体" w:hAnsi="宋体" w:cs="宋体"/>
          <w:b/>
          <w:bCs/>
          <w:color w:val="000000" w:themeColor="text1"/>
          <w:szCs w:val="27"/>
          <w14:textFill>
            <w14:solidFill>
              <w14:schemeClr w14:val="tx1"/>
            </w14:solidFill>
          </w14:textFill>
        </w:rPr>
      </w:pPr>
      <w:r>
        <w:rPr>
          <w:rFonts w:hint="eastAsia" w:ascii="宋体" w:hAnsi="宋体" w:cs="宋体"/>
          <w:b/>
          <w:bCs/>
          <w:color w:val="000000" w:themeColor="text1"/>
          <w:szCs w:val="27"/>
          <w14:textFill>
            <w14:solidFill>
              <w14:schemeClr w14:val="tx1"/>
            </w14:solidFill>
          </w14:textFill>
        </w:rPr>
        <w:t xml:space="preserve">第九条  </w:t>
      </w:r>
      <w:r>
        <w:rPr>
          <w:rFonts w:hint="eastAsia" w:ascii="宋体" w:hAnsi="宋体" w:cs="宋体"/>
          <w:color w:val="000000" w:themeColor="text1"/>
          <w:szCs w:val="27"/>
          <w14:textFill>
            <w14:solidFill>
              <w14:schemeClr w14:val="tx1"/>
            </w14:solidFill>
          </w14:textFill>
        </w:rPr>
        <w:t>履约（或质量）保证金</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1.本项目不收取履约保证金。确需收取履约保证金的，甲方不得要求乙方以现款的形式提供。乙方提供的履约保证金按规定格式以银行保函形式提供，与此有关的费用由服务方承担。</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2.若确需质量保证金的，质量保证金不得超过合同总价款的5%</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3.如乙方未能履行其合同规定的任何义务，甲方有权从履约保证金中取得补偿。</w:t>
      </w:r>
    </w:p>
    <w:p>
      <w:pPr>
        <w:pStyle w:val="4"/>
        <w:kinsoku w:val="0"/>
        <w:overflowPunct w:val="0"/>
        <w:ind w:firstLine="422" w:firstLineChars="200"/>
        <w:rPr>
          <w:rFonts w:ascii="宋体" w:hAnsi="宋体" w:cs="宋体"/>
          <w:color w:val="000000" w:themeColor="text1"/>
          <w:kern w:val="2"/>
          <w:sz w:val="21"/>
          <w:szCs w:val="27"/>
          <w14:textFill>
            <w14:solidFill>
              <w14:schemeClr w14:val="tx1"/>
            </w14:solidFill>
          </w14:textFill>
        </w:rPr>
      </w:pPr>
      <w:r>
        <w:rPr>
          <w:rFonts w:hint="eastAsia" w:ascii="宋体" w:hAnsi="宋体" w:cs="宋体"/>
          <w:color w:val="000000" w:themeColor="text1"/>
          <w:kern w:val="2"/>
          <w:sz w:val="21"/>
          <w:szCs w:val="27"/>
          <w14:textFill>
            <w14:solidFill>
              <w14:schemeClr w14:val="tx1"/>
            </w14:solidFill>
          </w14:textFill>
        </w:rPr>
        <w:t>第十条 甲方的权利和义务</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1、甲方有权对合同规定范围内乙方的行为进行监督和检查，拥有监管权。有权定期核对乙方提供服务所配备的人员数量。对甲方认为不合理的部分有权下达整改通知书，并要求乙方限期整改。</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2、甲方有权依据双方签订的考评办法对乙方提供的服务进行定期考评。当考评结果未达到标准时，有权依据考评办法约定的数额扣除履约保证金。</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3、负责检查监督乙方管理工作的实施及制度的执行情况。</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4、根据本合同规定，按时向乙方支付应付服务费用。</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5、国家法律、法规所规定由甲方承担的其他责任               </w:t>
      </w:r>
    </w:p>
    <w:p>
      <w:pPr>
        <w:pStyle w:val="11"/>
        <w:kinsoku w:val="0"/>
        <w:overflowPunct w:val="0"/>
        <w:spacing w:line="364" w:lineRule="auto"/>
        <w:ind w:firstLine="422" w:firstLineChars="200"/>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第十一条 乙方的权利和义务</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1、对本合同规定的委托服务范围内的项目享有管理权及服务义务。</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2、根据本合同的规定向甲方收取相关服务费用，并有权在本项目管理范围内管理及合理使用。</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3、及时向甲方通告本项目服务范围内有关服务的重大事项，及时配合处理投诉。</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4、接受项目行业管理部门及政府有关部门的指导，接受甲方的监督。</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5、国家法律、法规所规定由乙方承担的其它责任。</w:t>
      </w:r>
    </w:p>
    <w:p>
      <w:pPr>
        <w:pStyle w:val="11"/>
        <w:kinsoku w:val="0"/>
        <w:overflowPunct w:val="0"/>
        <w:spacing w:line="364" w:lineRule="auto"/>
        <w:ind w:firstLine="422" w:firstLineChars="200"/>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第十二条 违约责任</w:t>
      </w:r>
    </w:p>
    <w:p>
      <w:pPr>
        <w:pStyle w:val="11"/>
        <w:kinsoku w:val="0"/>
        <w:overflowPunct w:val="0"/>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1、甲乙双方必须遵守本合同并执行合同中的各项规定，保证本合同的正常履行。</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2、甲方逾期付款的，除应及时付足款项外，应向乙方偿付欠款总额万分之 /天的违约金；逾期付款超过 天的，乙方有权终止合同。</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pPr>
        <w:pStyle w:val="11"/>
        <w:kinsoku w:val="0"/>
        <w:overflowPunct w:val="0"/>
        <w:spacing w:line="364"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4、变更、中止或者终止合同，有过错的一方应当承担赔偿责任，双方都有过错的，各自承担相应的责任。</w:t>
      </w:r>
    </w:p>
    <w:p>
      <w:pPr>
        <w:spacing w:line="360" w:lineRule="auto"/>
        <w:ind w:firstLine="422" w:firstLineChars="200"/>
        <w:rPr>
          <w:rFonts w:ascii="宋体" w:hAnsi="宋体" w:cs="宋体"/>
          <w:b/>
          <w:color w:val="000000" w:themeColor="text1"/>
          <w14:textFill>
            <w14:solidFill>
              <w14:schemeClr w14:val="tx1"/>
            </w14:solidFill>
          </w14:textFill>
        </w:rPr>
      </w:pPr>
      <w:r>
        <w:rPr>
          <w:rFonts w:hint="eastAsia" w:ascii="宋体" w:hAnsi="宋体" w:cs="宋体"/>
          <w:b/>
          <w:bCs/>
          <w:color w:val="000000" w:themeColor="text1"/>
          <w:szCs w:val="27"/>
          <w14:textFill>
            <w14:solidFill>
              <w14:schemeClr w14:val="tx1"/>
            </w14:solidFill>
          </w14:textFill>
        </w:rPr>
        <w:t xml:space="preserve">第十三条 </w:t>
      </w:r>
      <w:r>
        <w:rPr>
          <w:rFonts w:hint="eastAsia" w:ascii="宋体" w:hAnsi="宋体" w:cs="宋体"/>
          <w:bCs/>
          <w:color w:val="000000" w:themeColor="text1"/>
          <w14:textFill>
            <w14:solidFill>
              <w14:schemeClr w14:val="tx1"/>
            </w14:solidFill>
          </w14:textFill>
        </w:rPr>
        <w:t>转让与分包</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r>
        <w:rPr>
          <w:rFonts w:hint="eastAsia" w:ascii="宋体" w:hAnsi="宋体" w:cs="宋体"/>
          <w:color w:val="000000" w:themeColor="text1"/>
          <w:szCs w:val="27"/>
          <w14:textFill>
            <w14:solidFill>
              <w14:schemeClr w14:val="tx1"/>
            </w14:solidFill>
          </w14:textFill>
        </w:rPr>
        <w:t>.</w:t>
      </w:r>
      <w:r>
        <w:rPr>
          <w:rFonts w:hint="eastAsia" w:ascii="宋体" w:hAnsi="宋体" w:cs="宋体"/>
          <w:color w:val="000000" w:themeColor="text1"/>
          <w14:textFill>
            <w14:solidFill>
              <w14:schemeClr w14:val="tx1"/>
            </w14:solidFill>
          </w14:textFill>
        </w:rPr>
        <w:t>除甲方事先书面同意外，乙方不得部分转让或全部转让其应履行的合同义务。</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r>
        <w:rPr>
          <w:rFonts w:hint="eastAsia" w:ascii="宋体" w:hAnsi="宋体" w:cs="宋体"/>
          <w:color w:val="000000" w:themeColor="text1"/>
          <w:szCs w:val="27"/>
          <w14:textFill>
            <w14:solidFill>
              <w14:schemeClr w14:val="tx1"/>
            </w14:solidFill>
          </w14:textFill>
        </w:rPr>
        <w:t>.</w:t>
      </w:r>
      <w:r>
        <w:rPr>
          <w:rFonts w:hint="eastAsia" w:ascii="宋体" w:hAnsi="宋体" w:cs="宋体"/>
          <w:color w:val="000000" w:themeColor="text1"/>
          <w14:textFill>
            <w14:solidFill>
              <w14:schemeClr w14:val="tx1"/>
            </w14:solidFill>
          </w14:textFill>
        </w:rPr>
        <w:t>乙方应在投标文件中或以其他书面形式对甲方确认本合同项下所授予的所有分包合同。但该确认不解除乙方承担的本合同下的任何责任或义务。意即在本合同项下，乙方对甲方负总责。</w:t>
      </w:r>
    </w:p>
    <w:p>
      <w:pPr>
        <w:spacing w:line="360" w:lineRule="auto"/>
        <w:ind w:firstLine="422" w:firstLineChars="200"/>
        <w:rPr>
          <w:rFonts w:ascii="宋体" w:hAnsi="宋体" w:cs="宋体"/>
          <w:b/>
          <w:color w:val="000000" w:themeColor="text1"/>
          <w14:textFill>
            <w14:solidFill>
              <w14:schemeClr w14:val="tx1"/>
            </w14:solidFill>
          </w14:textFill>
        </w:rPr>
      </w:pPr>
      <w:r>
        <w:rPr>
          <w:rFonts w:hint="eastAsia" w:ascii="宋体" w:hAnsi="宋体" w:cs="宋体"/>
          <w:b/>
          <w:bCs/>
          <w:color w:val="000000" w:themeColor="text1"/>
          <w:szCs w:val="27"/>
          <w14:textFill>
            <w14:solidFill>
              <w14:schemeClr w14:val="tx1"/>
            </w14:solidFill>
          </w14:textFill>
        </w:rPr>
        <w:t xml:space="preserve">第十四条 </w:t>
      </w:r>
      <w:r>
        <w:rPr>
          <w:rFonts w:hint="eastAsia" w:ascii="宋体" w:hAnsi="宋体" w:cs="宋体"/>
          <w:bCs/>
          <w:color w:val="000000" w:themeColor="text1"/>
          <w14:textFill>
            <w14:solidFill>
              <w14:schemeClr w14:val="tx1"/>
            </w14:solidFill>
          </w14:textFill>
        </w:rPr>
        <w:t>合同文件及资料的使用</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r>
        <w:rPr>
          <w:rFonts w:hint="eastAsia" w:ascii="宋体" w:hAnsi="宋体" w:cs="宋体"/>
          <w:color w:val="000000" w:themeColor="text1"/>
          <w:szCs w:val="27"/>
          <w14:textFill>
            <w14:solidFill>
              <w14:schemeClr w14:val="tx1"/>
            </w14:solidFill>
          </w14:textFill>
        </w:rPr>
        <w:t>.</w:t>
      </w:r>
      <w:r>
        <w:rPr>
          <w:rFonts w:hint="eastAsia" w:ascii="宋体" w:hAnsi="宋体" w:cs="宋体"/>
          <w:color w:val="000000" w:themeColor="text1"/>
          <w14:textFill>
            <w14:solidFill>
              <w14:schemeClr w14:val="tx1"/>
            </w14:solidFill>
          </w14:textFill>
        </w:rPr>
        <w:t>乙方在未经甲方同意的情况下，不得将合同、合同中的规定、有关计划、图纸、样本或甲方为上述内容向乙方提供的资料透露给任何人。</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w:t>
      </w:r>
      <w:r>
        <w:rPr>
          <w:rFonts w:hint="eastAsia" w:ascii="宋体" w:hAnsi="宋体" w:cs="宋体"/>
          <w:color w:val="000000" w:themeColor="text1"/>
          <w:szCs w:val="27"/>
          <w14:textFill>
            <w14:solidFill>
              <w14:schemeClr w14:val="tx1"/>
            </w14:solidFill>
          </w14:textFill>
        </w:rPr>
        <w:t>.</w:t>
      </w:r>
      <w:r>
        <w:rPr>
          <w:rFonts w:hint="eastAsia" w:ascii="宋体" w:hAnsi="宋体" w:cs="宋体"/>
          <w:color w:val="000000" w:themeColor="text1"/>
          <w14:textFill>
            <w14:solidFill>
              <w14:schemeClr w14:val="tx1"/>
            </w14:solidFill>
          </w14:textFill>
        </w:rPr>
        <w:t>除非执行合同需要，在事先未得到甲方同意的情况下，乙方不得使用前款所列的任何文件和资料。</w:t>
      </w:r>
    </w:p>
    <w:p>
      <w:pPr>
        <w:pStyle w:val="4"/>
        <w:kinsoku w:val="0"/>
        <w:overflowPunct w:val="0"/>
        <w:ind w:firstLine="422" w:firstLineChars="200"/>
        <w:rPr>
          <w:rFonts w:ascii="宋体" w:hAnsi="宋体" w:cs="宋体"/>
          <w:color w:val="000000" w:themeColor="text1"/>
          <w:kern w:val="2"/>
          <w:sz w:val="21"/>
          <w:szCs w:val="27"/>
          <w14:textFill>
            <w14:solidFill>
              <w14:schemeClr w14:val="tx1"/>
            </w14:solidFill>
          </w14:textFill>
        </w:rPr>
      </w:pPr>
      <w:r>
        <w:rPr>
          <w:rFonts w:hint="eastAsia" w:ascii="宋体" w:hAnsi="宋体" w:cs="宋体"/>
          <w:color w:val="000000" w:themeColor="text1"/>
          <w:kern w:val="2"/>
          <w:sz w:val="21"/>
          <w:szCs w:val="27"/>
          <w14:textFill>
            <w14:solidFill>
              <w14:schemeClr w14:val="tx1"/>
            </w14:solidFill>
          </w14:textFill>
        </w:rPr>
        <w:t>第十五条 不可抗力事件处理</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r>
        <w:rPr>
          <w:rFonts w:hint="eastAsia" w:ascii="宋体" w:hAnsi="宋体" w:cs="宋体"/>
          <w:color w:val="000000" w:themeColor="text1"/>
          <w:szCs w:val="27"/>
          <w14:textFill>
            <w14:solidFill>
              <w14:schemeClr w14:val="tx1"/>
            </w14:solidFill>
          </w14:textFill>
        </w:rPr>
        <w:t>.</w:t>
      </w:r>
      <w:r>
        <w:rPr>
          <w:rFonts w:hint="eastAsia" w:ascii="宋体" w:hAnsi="宋体" w:cs="宋体"/>
          <w:color w:val="000000" w:themeColor="text1"/>
          <w14:textFill>
            <w14:solidFill>
              <w14:schemeClr w14:val="tx1"/>
            </w14:solidFill>
          </w14:textFill>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14:textFill>
            <w14:solidFill>
              <w14:schemeClr w14:val="tx1"/>
            </w14:solidFill>
          </w14:textFill>
        </w:rPr>
        <w:t>2</w:t>
      </w:r>
      <w:r>
        <w:rPr>
          <w:rFonts w:hint="eastAsia" w:ascii="宋体" w:hAnsi="宋体" w:cs="宋体"/>
          <w:color w:val="000000" w:themeColor="text1"/>
          <w:szCs w:val="27"/>
          <w14:textFill>
            <w14:solidFill>
              <w14:schemeClr w14:val="tx1"/>
            </w14:solidFill>
          </w14:textFill>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pPr>
        <w:pStyle w:val="4"/>
        <w:kinsoku w:val="0"/>
        <w:overflowPunct w:val="0"/>
        <w:ind w:firstLine="422" w:firstLineChars="200"/>
        <w:rPr>
          <w:rFonts w:ascii="宋体" w:hAnsi="宋体" w:cs="宋体"/>
          <w:color w:val="000000" w:themeColor="text1"/>
          <w:kern w:val="2"/>
          <w:sz w:val="21"/>
          <w:szCs w:val="27"/>
          <w14:textFill>
            <w14:solidFill>
              <w14:schemeClr w14:val="tx1"/>
            </w14:solidFill>
          </w14:textFill>
        </w:rPr>
      </w:pPr>
      <w:r>
        <w:rPr>
          <w:rFonts w:hint="eastAsia" w:ascii="宋体" w:hAnsi="宋体" w:cs="宋体"/>
          <w:color w:val="000000" w:themeColor="text1"/>
          <w:kern w:val="2"/>
          <w:sz w:val="21"/>
          <w:szCs w:val="27"/>
          <w14:textFill>
            <w14:solidFill>
              <w14:schemeClr w14:val="tx1"/>
            </w14:solidFill>
          </w14:textFill>
        </w:rPr>
        <w:t>第十六条 合同纠纷调处</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w:t>
      </w:r>
      <w:r>
        <w:rPr>
          <w:rFonts w:hint="eastAsia" w:ascii="宋体" w:hAnsi="宋体" w:cs="宋体"/>
          <w:color w:val="000000" w:themeColor="text1"/>
          <w:szCs w:val="27"/>
          <w14:textFill>
            <w14:solidFill>
              <w14:schemeClr w14:val="tx1"/>
            </w14:solidFill>
          </w14:textFill>
        </w:rPr>
        <w:t>.按本合同规定应该偿付的违约金、赔偿金、保管保养费和各种经济损失，应当在明确责任后10天内，按银行规定的结算办法付清，否则按逾期付款处理。</w:t>
      </w: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14:textFill>
            <w14:solidFill>
              <w14:schemeClr w14:val="tx1"/>
            </w14:solidFill>
          </w14:textFill>
        </w:rPr>
        <w:t>2</w:t>
      </w:r>
      <w:r>
        <w:rPr>
          <w:rFonts w:hint="eastAsia" w:ascii="宋体" w:hAnsi="宋体" w:cs="宋体"/>
          <w:color w:val="000000" w:themeColor="text1"/>
          <w:szCs w:val="27"/>
          <w14:textFill>
            <w14:solidFill>
              <w14:schemeClr w14:val="tx1"/>
            </w14:solidFill>
          </w14:textFill>
        </w:rPr>
        <w:t>.本合同如发生纠纷，当事人双方应当及时协商解决，协商不成时，任何一方均可请本项目政府采购监督管理部门调解，调解不成，按以下第（ ）项方式处理：①根据《中华人民共和国仲裁法》的规定向</w:t>
      </w:r>
      <w:r>
        <w:rPr>
          <w:rFonts w:hint="eastAsia" w:ascii="宋体" w:hAnsi="宋体" w:cs="宋体"/>
          <w:b/>
          <w:bCs/>
          <w:color w:val="000000" w:themeColor="text1"/>
          <w:szCs w:val="27"/>
          <w:u w:val="single"/>
          <w14:textFill>
            <w14:solidFill>
              <w14:schemeClr w14:val="tx1"/>
            </w14:solidFill>
          </w14:textFill>
        </w:rPr>
        <w:t>周口仲裁委员会</w:t>
      </w:r>
      <w:r>
        <w:rPr>
          <w:rFonts w:hint="eastAsia" w:ascii="宋体" w:hAnsi="宋体" w:cs="宋体"/>
          <w:color w:val="000000" w:themeColor="text1"/>
          <w:szCs w:val="27"/>
          <w14:textFill>
            <w14:solidFill>
              <w14:schemeClr w14:val="tx1"/>
            </w14:solidFill>
          </w14:textFill>
        </w:rPr>
        <w:t>申请仲裁。②向</w:t>
      </w:r>
      <w:r>
        <w:rPr>
          <w:rFonts w:hint="eastAsia" w:ascii="宋体" w:hAnsi="宋体" w:cs="宋体"/>
          <w:color w:val="000000" w:themeColor="text1"/>
          <w14:textFill>
            <w14:solidFill>
              <w14:schemeClr w14:val="tx1"/>
            </w14:solidFill>
          </w14:textFill>
        </w:rPr>
        <w:t>合同签订地有级别管辖权的</w:t>
      </w:r>
      <w:r>
        <w:rPr>
          <w:rFonts w:hint="eastAsia" w:ascii="宋体" w:hAnsi="宋体" w:cs="宋体"/>
          <w:color w:val="000000" w:themeColor="text1"/>
          <w:szCs w:val="27"/>
          <w14:textFill>
            <w14:solidFill>
              <w14:schemeClr w14:val="tx1"/>
            </w14:solidFill>
          </w14:textFill>
        </w:rPr>
        <w:t>人民法院起诉。</w:t>
      </w:r>
    </w:p>
    <w:p>
      <w:pPr>
        <w:pStyle w:val="4"/>
        <w:kinsoku w:val="0"/>
        <w:overflowPunct w:val="0"/>
        <w:ind w:firstLine="420" w:firstLineChars="200"/>
        <w:rPr>
          <w:rFonts w:ascii="宋体" w:hAnsi="宋体" w:cs="宋体"/>
          <w:b w:val="0"/>
          <w:bCs w:val="0"/>
          <w:color w:val="000000" w:themeColor="text1"/>
          <w:kern w:val="2"/>
          <w:sz w:val="21"/>
          <w:szCs w:val="27"/>
          <w14:textFill>
            <w14:solidFill>
              <w14:schemeClr w14:val="tx1"/>
            </w14:solidFill>
          </w14:textFill>
        </w:rPr>
      </w:pPr>
      <w:r>
        <w:rPr>
          <w:rFonts w:hint="eastAsia" w:ascii="宋体" w:hAnsi="宋体" w:cs="宋体"/>
          <w:b w:val="0"/>
          <w:bCs w:val="0"/>
          <w:color w:val="000000" w:themeColor="text1"/>
          <w:kern w:val="2"/>
          <w:sz w:val="21"/>
          <w:szCs w:val="27"/>
          <w14:textFill>
            <w14:solidFill>
              <w14:schemeClr w14:val="tx1"/>
            </w14:solidFill>
          </w14:textFill>
        </w:rPr>
        <w:t>3、甲、乙双方均有权利向本项目具有监管职能的政府采购监督管理部门举报反映对方在合同履约中的违法违纪行为。</w:t>
      </w:r>
    </w:p>
    <w:p>
      <w:pPr>
        <w:spacing w:line="360" w:lineRule="auto"/>
        <w:ind w:firstLine="422" w:firstLineChars="200"/>
        <w:rPr>
          <w:rFonts w:ascii="宋体" w:hAnsi="宋体" w:cs="宋体"/>
          <w:b/>
          <w:bCs/>
          <w:color w:val="000000" w:themeColor="text1"/>
          <w:szCs w:val="27"/>
          <w14:textFill>
            <w14:solidFill>
              <w14:schemeClr w14:val="tx1"/>
            </w14:solidFill>
          </w14:textFill>
        </w:rPr>
      </w:pPr>
      <w:r>
        <w:rPr>
          <w:rFonts w:hint="eastAsia" w:ascii="宋体" w:hAnsi="宋体" w:cs="宋体"/>
          <w:b/>
          <w:bCs/>
          <w:color w:val="000000" w:themeColor="text1"/>
          <w:szCs w:val="27"/>
          <w14:textFill>
            <w14:solidFill>
              <w14:schemeClr w14:val="tx1"/>
            </w14:solidFill>
          </w14:textFill>
        </w:rPr>
        <w:t>第十七条 其他</w:t>
      </w:r>
    </w:p>
    <w:p>
      <w:pPr>
        <w:spacing w:line="360" w:lineRule="auto"/>
        <w:ind w:firstLine="422" w:firstLineChars="200"/>
        <w:rPr>
          <w:rFonts w:ascii="宋体" w:hAnsi="宋体" w:cs="宋体"/>
          <w:color w:val="000000" w:themeColor="text1"/>
          <w:szCs w:val="27"/>
          <w14:textFill>
            <w14:solidFill>
              <w14:schemeClr w14:val="tx1"/>
            </w14:solidFill>
          </w14:textFill>
        </w:rPr>
      </w:pPr>
      <w:r>
        <w:rPr>
          <w:rFonts w:hint="eastAsia" w:ascii="宋体" w:hAnsi="宋体" w:cs="宋体"/>
          <w:b/>
          <w:bCs/>
          <w:color w:val="000000" w:themeColor="text1"/>
          <w:szCs w:val="27"/>
          <w14:textFill>
            <w14:solidFill>
              <w14:schemeClr w14:val="tx1"/>
            </w14:solidFill>
          </w14:textFill>
        </w:rPr>
        <w:t xml:space="preserve"> </w:t>
      </w:r>
      <w:r>
        <w:rPr>
          <w:rFonts w:hint="eastAsia" w:ascii="宋体" w:hAnsi="宋体" w:cs="宋体"/>
          <w:color w:val="000000" w:themeColor="text1"/>
          <w:szCs w:val="27"/>
          <w14:textFill>
            <w14:solidFill>
              <w14:schemeClr w14:val="tx1"/>
            </w14:solidFill>
          </w14:textFill>
        </w:rPr>
        <w:t>下列关于周口市公共资源交易中心政府采购代理机构名称</w:t>
      </w:r>
      <w:r>
        <w:rPr>
          <w:rFonts w:hint="eastAsia" w:ascii="宋体" w:hAnsi="宋体" w:cs="宋体"/>
          <w:color w:val="000000" w:themeColor="text1"/>
          <w:szCs w:val="27"/>
          <w:u w:val="single"/>
          <w14:textFill>
            <w14:solidFill>
              <w14:schemeClr w14:val="tx1"/>
            </w14:solidFill>
          </w14:textFill>
        </w:rPr>
        <w:t>某项目（项目编号：某编号）</w:t>
      </w:r>
      <w:r>
        <w:rPr>
          <w:rFonts w:hint="eastAsia" w:ascii="宋体" w:hAnsi="宋体" w:cs="宋体"/>
          <w:color w:val="000000" w:themeColor="text1"/>
          <w:szCs w:val="27"/>
          <w14:textFill>
            <w14:solidFill>
              <w14:schemeClr w14:val="tx1"/>
            </w14:solidFill>
          </w14:textFill>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szCs w:val="27"/>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本合同一式</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份，甲乙双方各执</w:t>
      </w:r>
      <w:r>
        <w:rPr>
          <w:rFonts w:hint="eastAsia" w:ascii="宋体" w:hAnsi="宋体" w:cs="宋体"/>
          <w:color w:val="000000" w:themeColor="text1"/>
          <w:u w:val="single"/>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份，自双方当事人签字盖章之日起生效。</w:t>
      </w:r>
    </w:p>
    <w:p>
      <w:pPr>
        <w:spacing w:line="360" w:lineRule="auto"/>
        <w:ind w:firstLine="420" w:firstLineChars="200"/>
        <w:rPr>
          <w:rFonts w:ascii="宋体" w:hAnsi="宋体" w:cs="宋体"/>
          <w:color w:val="000000" w:themeColor="text1"/>
          <w:szCs w:val="27"/>
          <w14:textFill>
            <w14:solidFill>
              <w14:schemeClr w14:val="tx1"/>
            </w14:solidFill>
          </w14:textFill>
        </w:rPr>
      </w:pPr>
    </w:p>
    <w:p>
      <w:pPr>
        <w:pStyle w:val="2"/>
        <w:ind w:firstLine="210"/>
        <w:rPr>
          <w:rFonts w:ascii="宋体" w:hAnsi="宋体" w:cs="宋体"/>
          <w:color w:val="000000" w:themeColor="text1"/>
          <w14:textFill>
            <w14:solidFill>
              <w14:schemeClr w14:val="tx1"/>
            </w14:solidFill>
          </w14:textFill>
        </w:rPr>
      </w:pP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szCs w:val="27"/>
          <w14:textFill>
            <w14:solidFill>
              <w14:schemeClr w14:val="tx1"/>
            </w14:solidFill>
          </w14:textFill>
        </w:rPr>
        <w:t xml:space="preserve">采购人（甲方）：    （公章）           供货人（乙方）：     （公章）  </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Cs w:val="27"/>
          <w14:textFill>
            <w14:solidFill>
              <w14:schemeClr w14:val="tx1"/>
            </w14:solidFill>
          </w14:textFill>
        </w:rPr>
        <w:t>地址：                               地址：</w:t>
      </w: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szCs w:val="27"/>
          <w14:textFill>
            <w14:solidFill>
              <w14:schemeClr w14:val="tx1"/>
            </w14:solidFill>
          </w14:textFill>
        </w:rPr>
        <w:t>法定代表人：                         法定代表人：</w:t>
      </w:r>
    </w:p>
    <w:p>
      <w:pPr>
        <w:spacing w:line="360" w:lineRule="auto"/>
        <w:ind w:firstLine="420" w:firstLineChars="200"/>
        <w:rPr>
          <w:rFonts w:ascii="宋体" w:hAnsi="宋体" w:cs="宋体"/>
          <w:color w:val="000000" w:themeColor="text1"/>
          <w:u w:val="single"/>
          <w14:textFill>
            <w14:solidFill>
              <w14:schemeClr w14:val="tx1"/>
            </w14:solidFill>
          </w14:textFill>
        </w:rPr>
      </w:pPr>
      <w:r>
        <w:rPr>
          <w:rFonts w:hint="eastAsia" w:ascii="宋体" w:hAnsi="宋体" w:cs="宋体"/>
          <w:color w:val="000000" w:themeColor="text1"/>
          <w:szCs w:val="27"/>
          <w14:textFill>
            <w14:solidFill>
              <w14:schemeClr w14:val="tx1"/>
            </w14:solidFill>
          </w14:textFill>
        </w:rPr>
        <w:t>委托代理人：                         委托代理人：</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电话：                               电话：</w:t>
      </w:r>
    </w:p>
    <w:p>
      <w:pPr>
        <w:spacing w:line="360" w:lineRule="auto"/>
        <w:ind w:firstLine="420" w:firstLineChars="200"/>
        <w:rPr>
          <w:rFonts w:ascii="宋体" w:hAnsi="宋体" w:cs="宋体"/>
          <w:color w:val="000000" w:themeColor="text1"/>
          <w:szCs w:val="27"/>
          <w14:textFill>
            <w14:solidFill>
              <w14:schemeClr w14:val="tx1"/>
            </w14:solidFill>
          </w14:textFill>
        </w:rPr>
      </w:pPr>
      <w:r>
        <w:rPr>
          <w:rFonts w:hint="eastAsia" w:ascii="宋体" w:hAnsi="宋体" w:cs="宋体"/>
          <w:color w:val="000000" w:themeColor="text1"/>
          <w:szCs w:val="27"/>
          <w14:textFill>
            <w14:solidFill>
              <w14:schemeClr w14:val="tx1"/>
            </w14:solidFill>
          </w14:textFill>
        </w:rPr>
        <w:t>开户银行：                           开户银行：</w:t>
      </w:r>
    </w:p>
    <w:p>
      <w:pPr>
        <w:spacing w:line="360" w:lineRule="auto"/>
        <w:ind w:firstLine="420" w:firstLineChars="200"/>
        <w:rPr>
          <w:rFonts w:ascii="宋体" w:hAnsi="宋体" w:cs="宋体"/>
          <w:color w:val="000000" w:themeColor="text1"/>
          <w14:textFill>
            <w14:solidFill>
              <w14:schemeClr w14:val="tx1"/>
            </w14:solidFill>
          </w14:textFill>
        </w:rPr>
      </w:pPr>
      <w:r>
        <w:rPr>
          <w:rFonts w:hint="eastAsia" w:ascii="宋体" w:hAnsi="宋体" w:cs="宋体"/>
          <w:color w:val="000000" w:themeColor="text1"/>
          <w:szCs w:val="27"/>
          <w14:textFill>
            <w14:solidFill>
              <w14:schemeClr w14:val="tx1"/>
            </w14:solidFill>
          </w14:textFill>
        </w:rPr>
        <w:t>账号：                               账号：</w:t>
      </w:r>
    </w:p>
    <w:p>
      <w:pPr>
        <w:spacing w:line="640" w:lineRule="exact"/>
        <w:ind w:firstLine="420" w:firstLineChars="200"/>
        <w:rPr>
          <w:rFonts w:ascii="宋体" w:hAnsi="宋体" w:cs="宋体"/>
          <w:color w:val="000000" w:themeColor="text1"/>
          <w:szCs w:val="27"/>
          <w:u w:val="single"/>
          <w14:textFill>
            <w14:solidFill>
              <w14:schemeClr w14:val="tx1"/>
            </w14:solidFill>
          </w14:textFill>
        </w:rPr>
      </w:pPr>
    </w:p>
    <w:p>
      <w:pPr>
        <w:pStyle w:val="2"/>
        <w:ind w:firstLine="210"/>
        <w:jc w:val="center"/>
        <w:rPr>
          <w:b/>
          <w:color w:val="000000" w:themeColor="text1"/>
          <w:sz w:val="32"/>
          <w:szCs w:val="32"/>
          <w14:textFill>
            <w14:solidFill>
              <w14:schemeClr w14:val="tx1"/>
            </w14:solidFill>
          </w14:textFill>
        </w:rPr>
      </w:pPr>
      <w:r>
        <w:rPr>
          <w:rFonts w:hint="eastAsia" w:ascii="宋体" w:hAnsi="宋体" w:cs="宋体"/>
          <w:color w:val="000000" w:themeColor="text1"/>
          <w:szCs w:val="27"/>
          <w:u w:val="single"/>
          <w14:textFill>
            <w14:solidFill>
              <w14:schemeClr w14:val="tx1"/>
            </w14:solidFill>
          </w14:textFill>
        </w:rPr>
        <w:t>        </w:t>
      </w:r>
      <w:r>
        <w:rPr>
          <w:rFonts w:hint="eastAsia" w:ascii="宋体" w:hAnsi="宋体" w:cs="宋体"/>
          <w:color w:val="000000" w:themeColor="text1"/>
          <w:szCs w:val="27"/>
          <w14:textFill>
            <w14:solidFill>
              <w14:schemeClr w14:val="tx1"/>
            </w14:solidFill>
          </w14:textFill>
        </w:rPr>
        <w:t>年</w:t>
      </w:r>
      <w:r>
        <w:rPr>
          <w:rFonts w:hint="eastAsia" w:ascii="宋体" w:hAnsi="宋体" w:cs="宋体"/>
          <w:color w:val="000000" w:themeColor="text1"/>
          <w:szCs w:val="27"/>
          <w:u w:val="single"/>
          <w14:textFill>
            <w14:solidFill>
              <w14:schemeClr w14:val="tx1"/>
            </w14:solidFill>
          </w14:textFill>
        </w:rPr>
        <w:t xml:space="preserve">    </w:t>
      </w:r>
      <w:r>
        <w:rPr>
          <w:rFonts w:hint="eastAsia" w:ascii="宋体" w:hAnsi="宋体" w:cs="宋体"/>
          <w:color w:val="000000" w:themeColor="text1"/>
          <w:szCs w:val="27"/>
          <w14:textFill>
            <w14:solidFill>
              <w14:schemeClr w14:val="tx1"/>
            </w14:solidFill>
          </w14:textFill>
        </w:rPr>
        <w:t>月</w:t>
      </w:r>
      <w:r>
        <w:rPr>
          <w:rFonts w:hint="eastAsia" w:ascii="宋体" w:hAnsi="宋体" w:cs="宋体"/>
          <w:color w:val="000000" w:themeColor="text1"/>
          <w:szCs w:val="27"/>
          <w:u w:val="single"/>
          <w14:textFill>
            <w14:solidFill>
              <w14:schemeClr w14:val="tx1"/>
            </w14:solidFill>
          </w14:textFill>
        </w:rPr>
        <w:t xml:space="preserve">    </w:t>
      </w:r>
      <w:r>
        <w:rPr>
          <w:rFonts w:hint="eastAsia" w:ascii="宋体" w:hAnsi="宋体" w:cs="宋体"/>
          <w:color w:val="000000" w:themeColor="text1"/>
          <w:szCs w:val="27"/>
          <w14:textFill>
            <w14:solidFill>
              <w14:schemeClr w14:val="tx1"/>
            </w14:solidFill>
          </w14:textFill>
        </w:rPr>
        <w:t xml:space="preserve">日                      </w:t>
      </w:r>
      <w:r>
        <w:rPr>
          <w:rFonts w:hint="eastAsia" w:ascii="宋体" w:hAnsi="宋体" w:cs="宋体"/>
          <w:color w:val="000000" w:themeColor="text1"/>
          <w:szCs w:val="27"/>
          <w:u w:val="single"/>
          <w14:textFill>
            <w14:solidFill>
              <w14:schemeClr w14:val="tx1"/>
            </w14:solidFill>
          </w14:textFill>
        </w:rPr>
        <w:t xml:space="preserve">         </w:t>
      </w:r>
      <w:r>
        <w:rPr>
          <w:rFonts w:hint="eastAsia" w:ascii="宋体" w:hAnsi="宋体" w:cs="宋体"/>
          <w:color w:val="000000" w:themeColor="text1"/>
          <w:szCs w:val="27"/>
          <w14:textFill>
            <w14:solidFill>
              <w14:schemeClr w14:val="tx1"/>
            </w14:solidFill>
          </w14:textFill>
        </w:rPr>
        <w:t>年</w:t>
      </w:r>
      <w:r>
        <w:rPr>
          <w:rFonts w:hint="eastAsia" w:ascii="宋体" w:hAnsi="宋体" w:cs="宋体"/>
          <w:color w:val="000000" w:themeColor="text1"/>
          <w:szCs w:val="27"/>
          <w:u w:val="single"/>
          <w14:textFill>
            <w14:solidFill>
              <w14:schemeClr w14:val="tx1"/>
            </w14:solidFill>
          </w14:textFill>
        </w:rPr>
        <w:t xml:space="preserve">    </w:t>
      </w:r>
      <w:r>
        <w:rPr>
          <w:rFonts w:hint="eastAsia" w:ascii="宋体" w:hAnsi="宋体" w:cs="宋体"/>
          <w:color w:val="000000" w:themeColor="text1"/>
          <w:szCs w:val="27"/>
          <w14:textFill>
            <w14:solidFill>
              <w14:schemeClr w14:val="tx1"/>
            </w14:solidFill>
          </w14:textFill>
        </w:rPr>
        <w:t>月</w:t>
      </w:r>
      <w:r>
        <w:rPr>
          <w:rFonts w:hint="eastAsia" w:ascii="宋体" w:hAnsi="宋体" w:cs="宋体"/>
          <w:color w:val="000000" w:themeColor="text1"/>
          <w:szCs w:val="27"/>
          <w:u w:val="single"/>
          <w14:textFill>
            <w14:solidFill>
              <w14:schemeClr w14:val="tx1"/>
            </w14:solidFill>
          </w14:textFill>
        </w:rPr>
        <w:t xml:space="preserve">  </w:t>
      </w:r>
      <w:r>
        <w:rPr>
          <w:rFonts w:hint="eastAsia" w:ascii="宋体" w:hAnsi="宋体" w:cs="宋体"/>
          <w:color w:val="000000" w:themeColor="text1"/>
          <w:szCs w:val="27"/>
          <w14:textFill>
            <w14:solidFill>
              <w14:schemeClr w14:val="tx1"/>
            </w14:solidFill>
          </w14:textFill>
        </w:rPr>
        <w:t>日</w:t>
      </w:r>
    </w:p>
    <w:p>
      <w:pPr>
        <w:pStyle w:val="2"/>
        <w:ind w:firstLine="321"/>
        <w:jc w:val="center"/>
        <w:rPr>
          <w:b/>
          <w:color w:val="000000" w:themeColor="text1"/>
          <w:sz w:val="32"/>
          <w:szCs w:val="32"/>
          <w14:textFill>
            <w14:solidFill>
              <w14:schemeClr w14:val="tx1"/>
            </w14:solidFill>
          </w14:textFill>
        </w:rPr>
      </w:pPr>
    </w:p>
    <w:p>
      <w:pPr>
        <w:pStyle w:val="2"/>
        <w:ind w:firstLine="321"/>
        <w:jc w:val="center"/>
        <w:rPr>
          <w:b/>
          <w:color w:val="000000" w:themeColor="text1"/>
          <w:sz w:val="32"/>
          <w:szCs w:val="32"/>
          <w14:textFill>
            <w14:solidFill>
              <w14:schemeClr w14:val="tx1"/>
            </w14:solidFill>
          </w14:textFill>
        </w:rPr>
      </w:pPr>
    </w:p>
    <w:p>
      <w:pPr>
        <w:pStyle w:val="2"/>
        <w:ind w:firstLine="321"/>
        <w:jc w:val="center"/>
        <w:rPr>
          <w:b/>
          <w:color w:val="000000" w:themeColor="text1"/>
          <w:sz w:val="32"/>
          <w:szCs w:val="32"/>
          <w14:textFill>
            <w14:solidFill>
              <w14:schemeClr w14:val="tx1"/>
            </w14:solidFill>
          </w14:textFill>
        </w:rPr>
      </w:pPr>
    </w:p>
    <w:p>
      <w:pPr>
        <w:pStyle w:val="2"/>
        <w:ind w:firstLine="321"/>
        <w:jc w:val="center"/>
        <w:rPr>
          <w:b/>
          <w:color w:val="000000" w:themeColor="text1"/>
          <w:sz w:val="32"/>
          <w:szCs w:val="32"/>
          <w14:textFill>
            <w14:solidFill>
              <w14:schemeClr w14:val="tx1"/>
            </w14:solidFill>
          </w14:textFill>
        </w:rPr>
      </w:pPr>
    </w:p>
    <w:p>
      <w:pPr>
        <w:pStyle w:val="2"/>
        <w:ind w:firstLine="321"/>
        <w:jc w:val="center"/>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周口市政府采购合同融资政策告知函</w:t>
      </w:r>
    </w:p>
    <w:p>
      <w:pPr>
        <w:pStyle w:val="2"/>
        <w:ind w:firstLine="240"/>
        <w:rPr>
          <w:rFonts w:asciiTheme="minorEastAsia" w:hAnsiTheme="minorEastAsia" w:eastAsiaTheme="minorEastAsia"/>
          <w:color w:val="000000" w:themeColor="text1"/>
          <w:sz w:val="24"/>
          <w14:textFill>
            <w14:solidFill>
              <w14:schemeClr w14:val="tx1"/>
            </w14:solidFill>
          </w14:textFill>
        </w:rPr>
      </w:pPr>
    </w:p>
    <w:p>
      <w:pPr>
        <w:pStyle w:val="2"/>
        <w:ind w:firstLine="240"/>
        <w:rPr>
          <w:rFonts w:asciiTheme="minorEastAsia" w:hAnsiTheme="minorEastAsia" w:eastAsiaTheme="minorEastAsia"/>
          <w:color w:val="000000" w:themeColor="text1"/>
          <w:sz w:val="24"/>
          <w14:textFill>
            <w14:solidFill>
              <w14:schemeClr w14:val="tx1"/>
            </w14:solidFill>
          </w14:textFill>
        </w:rPr>
      </w:pPr>
    </w:p>
    <w:p>
      <w:pPr>
        <w:pStyle w:val="2"/>
        <w:ind w:firstLine="240"/>
        <w:rPr>
          <w:rFonts w:asciiTheme="minorEastAsia" w:hAnsiTheme="minorEastAsia" w:eastAsiaTheme="minorEastAsia"/>
          <w:color w:val="000000" w:themeColor="text1"/>
          <w:sz w:val="24"/>
          <w14:textFill>
            <w14:solidFill>
              <w14:schemeClr w14:val="tx1"/>
            </w14:solidFill>
          </w14:textFill>
        </w:rPr>
      </w:pPr>
    </w:p>
    <w:p>
      <w:pPr>
        <w:pStyle w:val="2"/>
        <w:ind w:firstLine="24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各供应商：</w:t>
      </w:r>
    </w:p>
    <w:p>
      <w:pPr>
        <w:pStyle w:val="2"/>
        <w:ind w:firstLine="24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欢迎贵公司参与周口市政府采购活动！</w:t>
      </w:r>
    </w:p>
    <w:p>
      <w:pPr>
        <w:pStyle w:val="2"/>
        <w:ind w:firstLine="24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2"/>
        <w:ind w:firstLine="240"/>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贷款渠道和提供贷款的金融机构，可在河南省政府采购网“河南省政府采购合同融资平台”查询联系。</w:t>
      </w:r>
    </w:p>
    <w:p>
      <w:pPr>
        <w:pStyle w:val="26"/>
        <w:spacing w:before="0" w:beforeAutospacing="0" w:after="0" w:afterAutospacing="0" w:line="330" w:lineRule="atLeast"/>
        <w:rPr>
          <w:rFonts w:cs="仿宋_GB2312"/>
          <w:b/>
          <w:bCs/>
          <w:color w:val="000000" w:themeColor="text1"/>
          <w:sz w:val="21"/>
          <w:szCs w:val="21"/>
          <w14:textFill>
            <w14:solidFill>
              <w14:schemeClr w14:val="tx1"/>
            </w14:solidFill>
          </w14:textFill>
        </w:rPr>
      </w:pPr>
    </w:p>
    <w:p>
      <w:pPr>
        <w:pStyle w:val="26"/>
        <w:spacing w:before="0" w:beforeAutospacing="0" w:after="0" w:afterAutospacing="0" w:line="330" w:lineRule="atLeast"/>
        <w:rPr>
          <w:rFonts w:cs="仿宋_GB2312"/>
          <w:b/>
          <w:bCs/>
          <w:color w:val="000000" w:themeColor="text1"/>
          <w:sz w:val="21"/>
          <w:szCs w:val="21"/>
          <w14:textFill>
            <w14:solidFill>
              <w14:schemeClr w14:val="tx1"/>
            </w14:solidFill>
          </w14:textFill>
        </w:rPr>
      </w:pPr>
    </w:p>
    <w:p>
      <w:pPr>
        <w:pStyle w:val="26"/>
        <w:spacing w:before="0" w:beforeAutospacing="0" w:after="0" w:afterAutospacing="0" w:line="330" w:lineRule="atLeast"/>
        <w:rPr>
          <w:rFonts w:cs="仿宋_GB2312"/>
          <w:b/>
          <w:bCs/>
          <w:color w:val="000000" w:themeColor="text1"/>
          <w:sz w:val="21"/>
          <w:szCs w:val="21"/>
          <w14:textFill>
            <w14:solidFill>
              <w14:schemeClr w14:val="tx1"/>
            </w14:solidFill>
          </w14:textFill>
        </w:rPr>
      </w:pPr>
    </w:p>
    <w:p>
      <w:pPr>
        <w:pStyle w:val="26"/>
        <w:spacing w:before="0" w:beforeAutospacing="0" w:after="0" w:afterAutospacing="0" w:line="330" w:lineRule="atLeast"/>
        <w:rPr>
          <w:rFonts w:cs="仿宋_GB2312"/>
          <w:b/>
          <w:bCs/>
          <w:color w:val="000000" w:themeColor="text1"/>
          <w:sz w:val="21"/>
          <w:szCs w:val="21"/>
          <w14:textFill>
            <w14:solidFill>
              <w14:schemeClr w14:val="tx1"/>
            </w14:solidFill>
          </w14:textFill>
        </w:rPr>
      </w:pPr>
    </w:p>
    <w:p>
      <w:pPr>
        <w:pStyle w:val="26"/>
        <w:spacing w:before="0" w:beforeAutospacing="0" w:after="0" w:afterAutospacing="0" w:line="330" w:lineRule="atLeast"/>
        <w:rPr>
          <w:rFonts w:cs="仿宋_GB2312"/>
          <w:b/>
          <w:bCs/>
          <w:color w:val="0000FF"/>
          <w:sz w:val="21"/>
          <w:szCs w:val="21"/>
        </w:rPr>
      </w:pPr>
    </w:p>
    <w:p>
      <w:pPr>
        <w:pStyle w:val="26"/>
        <w:spacing w:before="0" w:beforeAutospacing="0" w:after="0" w:afterAutospacing="0" w:line="330" w:lineRule="atLeast"/>
        <w:rPr>
          <w:rFonts w:cs="仿宋_GB2312"/>
          <w:b/>
          <w:bCs/>
          <w:color w:val="0000FF"/>
          <w:sz w:val="21"/>
          <w:szCs w:val="21"/>
        </w:rPr>
      </w:pPr>
    </w:p>
    <w:p>
      <w:pPr>
        <w:pStyle w:val="26"/>
        <w:spacing w:before="0" w:beforeAutospacing="0" w:after="0" w:afterAutospacing="0" w:line="330" w:lineRule="atLeast"/>
        <w:rPr>
          <w:rFonts w:cs="仿宋_GB2312"/>
          <w:b/>
          <w:bCs/>
          <w:color w:val="0000FF"/>
          <w:sz w:val="21"/>
          <w:szCs w:val="21"/>
        </w:rPr>
      </w:pPr>
    </w:p>
    <w:p>
      <w:pPr>
        <w:pStyle w:val="26"/>
        <w:spacing w:before="0" w:beforeAutospacing="0" w:after="0" w:afterAutospacing="0" w:line="330" w:lineRule="atLeast"/>
        <w:rPr>
          <w:rFonts w:cs="仿宋_GB2312"/>
          <w:b/>
          <w:bCs/>
          <w:color w:val="0000FF"/>
          <w:sz w:val="21"/>
          <w:szCs w:val="21"/>
        </w:rPr>
      </w:pPr>
    </w:p>
    <w:sectPr>
      <w:pgSz w:w="11907" w:h="16840"/>
      <w:pgMar w:top="1440"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Arial Black">
    <w:panose1 w:val="020B0A04020102020204"/>
    <w:charset w:val="00"/>
    <w:family w:val="swiss"/>
    <w:pitch w:val="default"/>
    <w:sig w:usb0="A00002AF" w:usb1="400078FB" w:usb2="00000000" w:usb3="00000000" w:csb0="6000009F" w:csb1="DFD70000"/>
  </w:font>
  <w:font w:name="微软简标宋">
    <w:altName w:val="黑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rPr>
        <w:rFonts w:ascii="宋体" w:hAnsi="宋体"/>
        <w:kern w:val="0"/>
        <w:sz w:val="21"/>
        <w:szCs w:val="21"/>
      </w:rPr>
    </w:pPr>
    <w:r>
      <w:rPr>
        <w:rFonts w:hint="eastAsia" w:ascii="宋体" w:hAnsi="宋体"/>
        <w:kern w:val="0"/>
        <w:sz w:val="21"/>
        <w:szCs w:val="21"/>
      </w:rPr>
      <w:t>-------------------------------------</w:t>
    </w:r>
    <w:r>
      <w:rPr>
        <w:rFonts w:ascii="宋体" w:hAnsi="宋体"/>
        <w:kern w:val="0"/>
        <w:sz w:val="21"/>
        <w:szCs w:val="21"/>
      </w:rPr>
      <w:t xml:space="preserve">- </w:t>
    </w:r>
    <w:r>
      <w:rPr>
        <w:rFonts w:ascii="宋体" w:hAnsi="宋体"/>
        <w:kern w:val="0"/>
        <w:sz w:val="21"/>
        <w:szCs w:val="21"/>
      </w:rPr>
      <w:fldChar w:fldCharType="begin"/>
    </w:r>
    <w:r>
      <w:rPr>
        <w:rFonts w:ascii="宋体" w:hAnsi="宋体"/>
        <w:kern w:val="0"/>
        <w:sz w:val="21"/>
        <w:szCs w:val="21"/>
      </w:rPr>
      <w:instrText xml:space="preserve"> PAGE </w:instrText>
    </w:r>
    <w:r>
      <w:rPr>
        <w:rFonts w:ascii="宋体" w:hAnsi="宋体"/>
        <w:kern w:val="0"/>
        <w:sz w:val="21"/>
        <w:szCs w:val="21"/>
      </w:rPr>
      <w:fldChar w:fldCharType="separate"/>
    </w:r>
    <w:r>
      <w:rPr>
        <w:rFonts w:ascii="宋体" w:hAnsi="宋体"/>
        <w:kern w:val="0"/>
        <w:sz w:val="21"/>
        <w:szCs w:val="21"/>
      </w:rPr>
      <w:t>6</w:t>
    </w:r>
    <w:r>
      <w:rPr>
        <w:rFonts w:ascii="宋体" w:hAnsi="宋体"/>
        <w:kern w:val="0"/>
        <w:sz w:val="21"/>
        <w:szCs w:val="21"/>
      </w:rPr>
      <w:fldChar w:fldCharType="end"/>
    </w:r>
    <w:r>
      <w:rPr>
        <w:rFonts w:hint="eastAsia" w:ascii="宋体" w:hAnsi="宋体"/>
        <w:kern w:val="0"/>
        <w:sz w:val="21"/>
        <w:szCs w:val="21"/>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spacing w:line="160" w:lineRule="atLeast"/>
      <w:jc w:val="both"/>
      <w:rPr>
        <w:rFonts w:ascii="楷体_GB2312" w:eastAsia="楷体_GB2312"/>
        <w:sz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3"/>
      <w:numFmt w:val="decimal"/>
      <w:suff w:val="nothing"/>
      <w:lvlText w:val="(%1)"/>
      <w:lvlJc w:val="left"/>
    </w:lvl>
  </w:abstractNum>
  <w:abstractNum w:abstractNumId="1">
    <w:nsid w:val="00000005"/>
    <w:multiLevelType w:val="multilevel"/>
    <w:tmpl w:val="00000005"/>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8"/>
    <w:multiLevelType w:val="multilevel"/>
    <w:tmpl w:val="00000008"/>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840"/>
        </w:tabs>
        <w:ind w:left="840" w:hanging="420"/>
      </w:pPr>
    </w:lvl>
    <w:lvl w:ilvl="2" w:tentative="0">
      <w:start w:val="1"/>
      <w:numFmt w:val="decimal"/>
      <w:lvlText w:val="(%3)"/>
      <w:lvlJc w:val="left"/>
      <w:pPr>
        <w:tabs>
          <w:tab w:val="left" w:pos="1260"/>
        </w:tabs>
        <w:ind w:left="1260" w:hanging="420"/>
      </w:pPr>
      <w:rPr>
        <w:rFonts w:hint="eastAsia"/>
      </w:rPr>
    </w:lvl>
    <w:lvl w:ilvl="3" w:tentative="0">
      <w:start w:val="1"/>
      <w:numFmt w:val="decimal"/>
      <w:lvlText w:val="%4）"/>
      <w:lvlJc w:val="left"/>
      <w:pPr>
        <w:tabs>
          <w:tab w:val="left" w:pos="1635"/>
        </w:tabs>
        <w:ind w:left="1635" w:hanging="375"/>
      </w:pPr>
      <w:rPr>
        <w:rFonts w:ascii="Times New Roman" w:hAnsi="Times New Roman"/>
        <w:b w:val="0"/>
        <w:i w:val="0"/>
        <w:sz w:val="21"/>
        <w:szCs w:val="21"/>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gutterAtTop/>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jOTQ5NGFmNGFjMTAwMjZiODlhMzA0ZTU0NWNjMTYifQ=="/>
  </w:docVars>
  <w:rsids>
    <w:rsidRoot w:val="00172A27"/>
    <w:rsid w:val="00000EB7"/>
    <w:rsid w:val="00001FA5"/>
    <w:rsid w:val="00002165"/>
    <w:rsid w:val="00003AB0"/>
    <w:rsid w:val="00006828"/>
    <w:rsid w:val="00007916"/>
    <w:rsid w:val="000102C8"/>
    <w:rsid w:val="00010D52"/>
    <w:rsid w:val="000129DA"/>
    <w:rsid w:val="00013396"/>
    <w:rsid w:val="00013D3C"/>
    <w:rsid w:val="00014E7F"/>
    <w:rsid w:val="000213BA"/>
    <w:rsid w:val="00024C10"/>
    <w:rsid w:val="00027FC6"/>
    <w:rsid w:val="0004275F"/>
    <w:rsid w:val="00044689"/>
    <w:rsid w:val="000449D3"/>
    <w:rsid w:val="00045FE3"/>
    <w:rsid w:val="00050196"/>
    <w:rsid w:val="000511E4"/>
    <w:rsid w:val="000529C4"/>
    <w:rsid w:val="00052DCC"/>
    <w:rsid w:val="0005462A"/>
    <w:rsid w:val="00057BB8"/>
    <w:rsid w:val="00066982"/>
    <w:rsid w:val="00071C67"/>
    <w:rsid w:val="00074405"/>
    <w:rsid w:val="000749C6"/>
    <w:rsid w:val="00081415"/>
    <w:rsid w:val="000829BC"/>
    <w:rsid w:val="00085402"/>
    <w:rsid w:val="000864BD"/>
    <w:rsid w:val="00086641"/>
    <w:rsid w:val="00086B9C"/>
    <w:rsid w:val="00091B49"/>
    <w:rsid w:val="000928CD"/>
    <w:rsid w:val="00093E90"/>
    <w:rsid w:val="00094BB5"/>
    <w:rsid w:val="000A257B"/>
    <w:rsid w:val="000A26CA"/>
    <w:rsid w:val="000A44B1"/>
    <w:rsid w:val="000A520A"/>
    <w:rsid w:val="000A5315"/>
    <w:rsid w:val="000B3B85"/>
    <w:rsid w:val="000B7098"/>
    <w:rsid w:val="000C0E0E"/>
    <w:rsid w:val="000D1060"/>
    <w:rsid w:val="000D13CD"/>
    <w:rsid w:val="000D2FDB"/>
    <w:rsid w:val="000D5EE1"/>
    <w:rsid w:val="000E4D37"/>
    <w:rsid w:val="000E6607"/>
    <w:rsid w:val="000E6816"/>
    <w:rsid w:val="000F00E0"/>
    <w:rsid w:val="000F1943"/>
    <w:rsid w:val="000F24C7"/>
    <w:rsid w:val="000F7A85"/>
    <w:rsid w:val="00101C3F"/>
    <w:rsid w:val="00110380"/>
    <w:rsid w:val="001127C4"/>
    <w:rsid w:val="00112A3E"/>
    <w:rsid w:val="00114EC3"/>
    <w:rsid w:val="0011768E"/>
    <w:rsid w:val="00120244"/>
    <w:rsid w:val="00123AA2"/>
    <w:rsid w:val="001302F5"/>
    <w:rsid w:val="001337D6"/>
    <w:rsid w:val="00136327"/>
    <w:rsid w:val="00140E06"/>
    <w:rsid w:val="00144E58"/>
    <w:rsid w:val="00146C5A"/>
    <w:rsid w:val="00156E7B"/>
    <w:rsid w:val="00157047"/>
    <w:rsid w:val="00163FD1"/>
    <w:rsid w:val="001670CA"/>
    <w:rsid w:val="00170FFC"/>
    <w:rsid w:val="00172A27"/>
    <w:rsid w:val="001740C8"/>
    <w:rsid w:val="001741A6"/>
    <w:rsid w:val="0017512B"/>
    <w:rsid w:val="0018079E"/>
    <w:rsid w:val="00186974"/>
    <w:rsid w:val="00191897"/>
    <w:rsid w:val="00194767"/>
    <w:rsid w:val="00195842"/>
    <w:rsid w:val="00195D4F"/>
    <w:rsid w:val="00196EC8"/>
    <w:rsid w:val="001A0695"/>
    <w:rsid w:val="001A26F3"/>
    <w:rsid w:val="001A346F"/>
    <w:rsid w:val="001A59B6"/>
    <w:rsid w:val="001A5BD3"/>
    <w:rsid w:val="001B4FAB"/>
    <w:rsid w:val="001B576E"/>
    <w:rsid w:val="001B5FA9"/>
    <w:rsid w:val="001B7F67"/>
    <w:rsid w:val="001C2A62"/>
    <w:rsid w:val="001C5B45"/>
    <w:rsid w:val="001C621E"/>
    <w:rsid w:val="001D45CF"/>
    <w:rsid w:val="001D7BCE"/>
    <w:rsid w:val="001F1738"/>
    <w:rsid w:val="001F441B"/>
    <w:rsid w:val="00200168"/>
    <w:rsid w:val="002025C2"/>
    <w:rsid w:val="00202B6A"/>
    <w:rsid w:val="00205F75"/>
    <w:rsid w:val="00206F03"/>
    <w:rsid w:val="00207987"/>
    <w:rsid w:val="00212001"/>
    <w:rsid w:val="00213E36"/>
    <w:rsid w:val="002156E9"/>
    <w:rsid w:val="002176AB"/>
    <w:rsid w:val="0022038E"/>
    <w:rsid w:val="0022145E"/>
    <w:rsid w:val="00222577"/>
    <w:rsid w:val="00224F94"/>
    <w:rsid w:val="00240176"/>
    <w:rsid w:val="00246082"/>
    <w:rsid w:val="00247A19"/>
    <w:rsid w:val="00251AE3"/>
    <w:rsid w:val="00257C04"/>
    <w:rsid w:val="00265B18"/>
    <w:rsid w:val="00270508"/>
    <w:rsid w:val="00270AB4"/>
    <w:rsid w:val="00270B0F"/>
    <w:rsid w:val="00280A38"/>
    <w:rsid w:val="0028546B"/>
    <w:rsid w:val="002A134F"/>
    <w:rsid w:val="002A2FB3"/>
    <w:rsid w:val="002A33CC"/>
    <w:rsid w:val="002A6593"/>
    <w:rsid w:val="002A6941"/>
    <w:rsid w:val="002B29FD"/>
    <w:rsid w:val="002B4CF0"/>
    <w:rsid w:val="002B7671"/>
    <w:rsid w:val="002B7AB2"/>
    <w:rsid w:val="002C00CD"/>
    <w:rsid w:val="002C24BA"/>
    <w:rsid w:val="002C440E"/>
    <w:rsid w:val="002C650A"/>
    <w:rsid w:val="002C7E2D"/>
    <w:rsid w:val="002D2A87"/>
    <w:rsid w:val="002D2DA6"/>
    <w:rsid w:val="002D6658"/>
    <w:rsid w:val="002D6811"/>
    <w:rsid w:val="002D7BB8"/>
    <w:rsid w:val="002E3325"/>
    <w:rsid w:val="002F3064"/>
    <w:rsid w:val="00300BC8"/>
    <w:rsid w:val="00304C09"/>
    <w:rsid w:val="00310B94"/>
    <w:rsid w:val="00310CDB"/>
    <w:rsid w:val="00315AD3"/>
    <w:rsid w:val="00322F75"/>
    <w:rsid w:val="0032356A"/>
    <w:rsid w:val="00327B1D"/>
    <w:rsid w:val="00331138"/>
    <w:rsid w:val="00336C0C"/>
    <w:rsid w:val="003370FE"/>
    <w:rsid w:val="00340D87"/>
    <w:rsid w:val="00341B57"/>
    <w:rsid w:val="003420B3"/>
    <w:rsid w:val="0034239E"/>
    <w:rsid w:val="00342B36"/>
    <w:rsid w:val="00342B7F"/>
    <w:rsid w:val="00347F63"/>
    <w:rsid w:val="00360B52"/>
    <w:rsid w:val="0036629C"/>
    <w:rsid w:val="00367065"/>
    <w:rsid w:val="003723EC"/>
    <w:rsid w:val="00372CFF"/>
    <w:rsid w:val="0037369C"/>
    <w:rsid w:val="00373F72"/>
    <w:rsid w:val="0037728A"/>
    <w:rsid w:val="00381FD5"/>
    <w:rsid w:val="0038214C"/>
    <w:rsid w:val="00386520"/>
    <w:rsid w:val="00397A34"/>
    <w:rsid w:val="003A3D7E"/>
    <w:rsid w:val="003A4ABC"/>
    <w:rsid w:val="003B488B"/>
    <w:rsid w:val="003B6C98"/>
    <w:rsid w:val="003C0583"/>
    <w:rsid w:val="003C21D6"/>
    <w:rsid w:val="003C2A5C"/>
    <w:rsid w:val="003C4372"/>
    <w:rsid w:val="003C5B13"/>
    <w:rsid w:val="003D1D81"/>
    <w:rsid w:val="003D68C0"/>
    <w:rsid w:val="003D7330"/>
    <w:rsid w:val="003E7C35"/>
    <w:rsid w:val="003F0BE5"/>
    <w:rsid w:val="003F192A"/>
    <w:rsid w:val="003F2257"/>
    <w:rsid w:val="00412000"/>
    <w:rsid w:val="00412743"/>
    <w:rsid w:val="004144EF"/>
    <w:rsid w:val="00415E9C"/>
    <w:rsid w:val="00416396"/>
    <w:rsid w:val="004173F4"/>
    <w:rsid w:val="00417D8B"/>
    <w:rsid w:val="00421E87"/>
    <w:rsid w:val="00427C9C"/>
    <w:rsid w:val="00427E1C"/>
    <w:rsid w:val="00436E32"/>
    <w:rsid w:val="00440598"/>
    <w:rsid w:val="004441AE"/>
    <w:rsid w:val="00451260"/>
    <w:rsid w:val="004546C0"/>
    <w:rsid w:val="00467101"/>
    <w:rsid w:val="00467BD4"/>
    <w:rsid w:val="00475851"/>
    <w:rsid w:val="00480775"/>
    <w:rsid w:val="00480D31"/>
    <w:rsid w:val="00484B9E"/>
    <w:rsid w:val="00487991"/>
    <w:rsid w:val="00492A0C"/>
    <w:rsid w:val="00493EBA"/>
    <w:rsid w:val="00495DFE"/>
    <w:rsid w:val="004A09D9"/>
    <w:rsid w:val="004A253C"/>
    <w:rsid w:val="004A2891"/>
    <w:rsid w:val="004A35A6"/>
    <w:rsid w:val="004A5C57"/>
    <w:rsid w:val="004A669D"/>
    <w:rsid w:val="004B0282"/>
    <w:rsid w:val="004B253B"/>
    <w:rsid w:val="004B2C3C"/>
    <w:rsid w:val="004B6352"/>
    <w:rsid w:val="004B7594"/>
    <w:rsid w:val="004C2474"/>
    <w:rsid w:val="004C4124"/>
    <w:rsid w:val="004C4A46"/>
    <w:rsid w:val="004C5947"/>
    <w:rsid w:val="004D63CD"/>
    <w:rsid w:val="004E01F6"/>
    <w:rsid w:val="004E0E11"/>
    <w:rsid w:val="004E2003"/>
    <w:rsid w:val="004E29E2"/>
    <w:rsid w:val="004E3C63"/>
    <w:rsid w:val="004F400C"/>
    <w:rsid w:val="004F613D"/>
    <w:rsid w:val="00503FE1"/>
    <w:rsid w:val="00505A03"/>
    <w:rsid w:val="0050669F"/>
    <w:rsid w:val="00510C03"/>
    <w:rsid w:val="00513FAF"/>
    <w:rsid w:val="00520620"/>
    <w:rsid w:val="00522CAA"/>
    <w:rsid w:val="00526086"/>
    <w:rsid w:val="005269CB"/>
    <w:rsid w:val="005301E0"/>
    <w:rsid w:val="0053098E"/>
    <w:rsid w:val="00534938"/>
    <w:rsid w:val="005429D6"/>
    <w:rsid w:val="005507A4"/>
    <w:rsid w:val="00556822"/>
    <w:rsid w:val="00557571"/>
    <w:rsid w:val="005745F5"/>
    <w:rsid w:val="00575B7A"/>
    <w:rsid w:val="00576301"/>
    <w:rsid w:val="005812D3"/>
    <w:rsid w:val="005839B0"/>
    <w:rsid w:val="00586720"/>
    <w:rsid w:val="0058696C"/>
    <w:rsid w:val="005A0AEF"/>
    <w:rsid w:val="005A1487"/>
    <w:rsid w:val="005A5948"/>
    <w:rsid w:val="005A60F7"/>
    <w:rsid w:val="005B0990"/>
    <w:rsid w:val="005B3A63"/>
    <w:rsid w:val="005B7620"/>
    <w:rsid w:val="005C3659"/>
    <w:rsid w:val="005C4554"/>
    <w:rsid w:val="005C627C"/>
    <w:rsid w:val="005C689F"/>
    <w:rsid w:val="005D1CE5"/>
    <w:rsid w:val="005D40FE"/>
    <w:rsid w:val="005D69B1"/>
    <w:rsid w:val="005D6ACD"/>
    <w:rsid w:val="005D71B0"/>
    <w:rsid w:val="005E0004"/>
    <w:rsid w:val="005E260C"/>
    <w:rsid w:val="005E43B1"/>
    <w:rsid w:val="005F47DD"/>
    <w:rsid w:val="005F4D02"/>
    <w:rsid w:val="00601BF7"/>
    <w:rsid w:val="0060524B"/>
    <w:rsid w:val="00607654"/>
    <w:rsid w:val="006113CF"/>
    <w:rsid w:val="006132B9"/>
    <w:rsid w:val="006158DC"/>
    <w:rsid w:val="0061645A"/>
    <w:rsid w:val="0062126D"/>
    <w:rsid w:val="00621B09"/>
    <w:rsid w:val="006227BE"/>
    <w:rsid w:val="0063018F"/>
    <w:rsid w:val="00632A25"/>
    <w:rsid w:val="006353B4"/>
    <w:rsid w:val="006362B0"/>
    <w:rsid w:val="0064576F"/>
    <w:rsid w:val="00650ECD"/>
    <w:rsid w:val="006547BF"/>
    <w:rsid w:val="00660AE8"/>
    <w:rsid w:val="00664807"/>
    <w:rsid w:val="00665625"/>
    <w:rsid w:val="00666A24"/>
    <w:rsid w:val="00671CF7"/>
    <w:rsid w:val="006767FC"/>
    <w:rsid w:val="00676B60"/>
    <w:rsid w:val="0067790A"/>
    <w:rsid w:val="006828EF"/>
    <w:rsid w:val="00683330"/>
    <w:rsid w:val="00685DDD"/>
    <w:rsid w:val="00690481"/>
    <w:rsid w:val="00690661"/>
    <w:rsid w:val="00692E2F"/>
    <w:rsid w:val="006A1EA6"/>
    <w:rsid w:val="006A3E62"/>
    <w:rsid w:val="006A4ACB"/>
    <w:rsid w:val="006B09AC"/>
    <w:rsid w:val="006B3C32"/>
    <w:rsid w:val="006B41DC"/>
    <w:rsid w:val="006B70D2"/>
    <w:rsid w:val="006C1791"/>
    <w:rsid w:val="006C631F"/>
    <w:rsid w:val="006D09EA"/>
    <w:rsid w:val="006E3FE7"/>
    <w:rsid w:val="006E430F"/>
    <w:rsid w:val="006E49E5"/>
    <w:rsid w:val="006E6A04"/>
    <w:rsid w:val="006F3DCD"/>
    <w:rsid w:val="006F68AD"/>
    <w:rsid w:val="00702C0E"/>
    <w:rsid w:val="00706198"/>
    <w:rsid w:val="00714C4C"/>
    <w:rsid w:val="00715BAF"/>
    <w:rsid w:val="00726195"/>
    <w:rsid w:val="007268FD"/>
    <w:rsid w:val="00731000"/>
    <w:rsid w:val="00732671"/>
    <w:rsid w:val="007353E7"/>
    <w:rsid w:val="00741235"/>
    <w:rsid w:val="007616D5"/>
    <w:rsid w:val="007635E7"/>
    <w:rsid w:val="00771B3B"/>
    <w:rsid w:val="00772211"/>
    <w:rsid w:val="00772250"/>
    <w:rsid w:val="0077769A"/>
    <w:rsid w:val="00777F77"/>
    <w:rsid w:val="00781022"/>
    <w:rsid w:val="00785043"/>
    <w:rsid w:val="007865D6"/>
    <w:rsid w:val="00795CE5"/>
    <w:rsid w:val="007A02D3"/>
    <w:rsid w:val="007A0948"/>
    <w:rsid w:val="007A1F1A"/>
    <w:rsid w:val="007A6607"/>
    <w:rsid w:val="007B22A9"/>
    <w:rsid w:val="007B26AB"/>
    <w:rsid w:val="007B2E19"/>
    <w:rsid w:val="007B7E0D"/>
    <w:rsid w:val="007C2E93"/>
    <w:rsid w:val="007C4817"/>
    <w:rsid w:val="007C5B30"/>
    <w:rsid w:val="007C66B3"/>
    <w:rsid w:val="007D5D92"/>
    <w:rsid w:val="007D68B2"/>
    <w:rsid w:val="007E1DC9"/>
    <w:rsid w:val="007E360B"/>
    <w:rsid w:val="007E4794"/>
    <w:rsid w:val="007F0F99"/>
    <w:rsid w:val="007F7BCC"/>
    <w:rsid w:val="007F7E0C"/>
    <w:rsid w:val="00802014"/>
    <w:rsid w:val="0080554F"/>
    <w:rsid w:val="00806276"/>
    <w:rsid w:val="00811B9B"/>
    <w:rsid w:val="0081290A"/>
    <w:rsid w:val="008154F8"/>
    <w:rsid w:val="00820E85"/>
    <w:rsid w:val="008249A0"/>
    <w:rsid w:val="008256E0"/>
    <w:rsid w:val="008300B9"/>
    <w:rsid w:val="00834ADC"/>
    <w:rsid w:val="00837F30"/>
    <w:rsid w:val="00843022"/>
    <w:rsid w:val="008449D1"/>
    <w:rsid w:val="00852238"/>
    <w:rsid w:val="008556E9"/>
    <w:rsid w:val="008567B8"/>
    <w:rsid w:val="00862964"/>
    <w:rsid w:val="0086450E"/>
    <w:rsid w:val="0087215E"/>
    <w:rsid w:val="00873150"/>
    <w:rsid w:val="008773D9"/>
    <w:rsid w:val="00877A82"/>
    <w:rsid w:val="00884033"/>
    <w:rsid w:val="00885D9E"/>
    <w:rsid w:val="0089021D"/>
    <w:rsid w:val="008950FC"/>
    <w:rsid w:val="00895142"/>
    <w:rsid w:val="008A0F14"/>
    <w:rsid w:val="008A4F0E"/>
    <w:rsid w:val="008A57B7"/>
    <w:rsid w:val="008B0347"/>
    <w:rsid w:val="008B5DE6"/>
    <w:rsid w:val="008B62B2"/>
    <w:rsid w:val="008C0B9D"/>
    <w:rsid w:val="008C6860"/>
    <w:rsid w:val="008D14C4"/>
    <w:rsid w:val="008D2636"/>
    <w:rsid w:val="008D4262"/>
    <w:rsid w:val="008D565A"/>
    <w:rsid w:val="008D666A"/>
    <w:rsid w:val="008E0610"/>
    <w:rsid w:val="008E4432"/>
    <w:rsid w:val="008F025C"/>
    <w:rsid w:val="008F0C14"/>
    <w:rsid w:val="008F3065"/>
    <w:rsid w:val="008F3DC2"/>
    <w:rsid w:val="008F67FB"/>
    <w:rsid w:val="009002BC"/>
    <w:rsid w:val="00905099"/>
    <w:rsid w:val="00911BA9"/>
    <w:rsid w:val="009141DA"/>
    <w:rsid w:val="0091594C"/>
    <w:rsid w:val="0091644E"/>
    <w:rsid w:val="009202CA"/>
    <w:rsid w:val="00923FD9"/>
    <w:rsid w:val="0092553D"/>
    <w:rsid w:val="00925D64"/>
    <w:rsid w:val="0093017D"/>
    <w:rsid w:val="00931C19"/>
    <w:rsid w:val="00933328"/>
    <w:rsid w:val="00933FF5"/>
    <w:rsid w:val="0094012B"/>
    <w:rsid w:val="009405C8"/>
    <w:rsid w:val="00945398"/>
    <w:rsid w:val="00950DCC"/>
    <w:rsid w:val="009563B8"/>
    <w:rsid w:val="0097211C"/>
    <w:rsid w:val="00973CCF"/>
    <w:rsid w:val="00973CFC"/>
    <w:rsid w:val="00981EA7"/>
    <w:rsid w:val="009826D9"/>
    <w:rsid w:val="009833E8"/>
    <w:rsid w:val="00985B87"/>
    <w:rsid w:val="00986993"/>
    <w:rsid w:val="00994E2B"/>
    <w:rsid w:val="009B640D"/>
    <w:rsid w:val="009C1641"/>
    <w:rsid w:val="009C1815"/>
    <w:rsid w:val="009C1E45"/>
    <w:rsid w:val="009C4A93"/>
    <w:rsid w:val="009D02F1"/>
    <w:rsid w:val="009D1DF4"/>
    <w:rsid w:val="009D26B5"/>
    <w:rsid w:val="009D2780"/>
    <w:rsid w:val="009D43AA"/>
    <w:rsid w:val="009D5101"/>
    <w:rsid w:val="009D7296"/>
    <w:rsid w:val="009D7626"/>
    <w:rsid w:val="009E2358"/>
    <w:rsid w:val="009F1033"/>
    <w:rsid w:val="009F713B"/>
    <w:rsid w:val="00A03496"/>
    <w:rsid w:val="00A05FC7"/>
    <w:rsid w:val="00A11EE6"/>
    <w:rsid w:val="00A21FFC"/>
    <w:rsid w:val="00A2250C"/>
    <w:rsid w:val="00A248DE"/>
    <w:rsid w:val="00A325C7"/>
    <w:rsid w:val="00A37EC9"/>
    <w:rsid w:val="00A37FA9"/>
    <w:rsid w:val="00A42F68"/>
    <w:rsid w:val="00A51635"/>
    <w:rsid w:val="00A52293"/>
    <w:rsid w:val="00A54E30"/>
    <w:rsid w:val="00A56FBF"/>
    <w:rsid w:val="00A71698"/>
    <w:rsid w:val="00A720FE"/>
    <w:rsid w:val="00A74266"/>
    <w:rsid w:val="00A81D57"/>
    <w:rsid w:val="00A82462"/>
    <w:rsid w:val="00A86E65"/>
    <w:rsid w:val="00A904CC"/>
    <w:rsid w:val="00A9111B"/>
    <w:rsid w:val="00A96B4F"/>
    <w:rsid w:val="00AA5AED"/>
    <w:rsid w:val="00AA68A2"/>
    <w:rsid w:val="00AB1BAE"/>
    <w:rsid w:val="00AB3E61"/>
    <w:rsid w:val="00AB40DB"/>
    <w:rsid w:val="00AB7180"/>
    <w:rsid w:val="00AC28E3"/>
    <w:rsid w:val="00AC5FEA"/>
    <w:rsid w:val="00AC68FB"/>
    <w:rsid w:val="00AC7F1A"/>
    <w:rsid w:val="00AD0DCD"/>
    <w:rsid w:val="00AD1707"/>
    <w:rsid w:val="00AD4CA5"/>
    <w:rsid w:val="00AE0466"/>
    <w:rsid w:val="00AE701D"/>
    <w:rsid w:val="00AE7549"/>
    <w:rsid w:val="00AF6CB4"/>
    <w:rsid w:val="00AF7CA7"/>
    <w:rsid w:val="00B00A00"/>
    <w:rsid w:val="00B222CB"/>
    <w:rsid w:val="00B2244A"/>
    <w:rsid w:val="00B22C29"/>
    <w:rsid w:val="00B261F9"/>
    <w:rsid w:val="00B329E8"/>
    <w:rsid w:val="00B353DE"/>
    <w:rsid w:val="00B46D0E"/>
    <w:rsid w:val="00B50E69"/>
    <w:rsid w:val="00B53549"/>
    <w:rsid w:val="00B61578"/>
    <w:rsid w:val="00B61F6A"/>
    <w:rsid w:val="00B63E2D"/>
    <w:rsid w:val="00B63E3B"/>
    <w:rsid w:val="00B65B2B"/>
    <w:rsid w:val="00B74DF6"/>
    <w:rsid w:val="00B75749"/>
    <w:rsid w:val="00B75770"/>
    <w:rsid w:val="00B770DA"/>
    <w:rsid w:val="00B80066"/>
    <w:rsid w:val="00B810FF"/>
    <w:rsid w:val="00B813C9"/>
    <w:rsid w:val="00B819C0"/>
    <w:rsid w:val="00B832B4"/>
    <w:rsid w:val="00B91785"/>
    <w:rsid w:val="00BA1264"/>
    <w:rsid w:val="00BA1E07"/>
    <w:rsid w:val="00BA3F05"/>
    <w:rsid w:val="00BA4044"/>
    <w:rsid w:val="00BA7189"/>
    <w:rsid w:val="00BB16AB"/>
    <w:rsid w:val="00BC0324"/>
    <w:rsid w:val="00BC3C3C"/>
    <w:rsid w:val="00BD0FFD"/>
    <w:rsid w:val="00BE1722"/>
    <w:rsid w:val="00BE48BE"/>
    <w:rsid w:val="00BF01C3"/>
    <w:rsid w:val="00BF02C3"/>
    <w:rsid w:val="00BF0722"/>
    <w:rsid w:val="00BF0EC2"/>
    <w:rsid w:val="00BF0FC6"/>
    <w:rsid w:val="00BF5086"/>
    <w:rsid w:val="00BF5F55"/>
    <w:rsid w:val="00BF7F74"/>
    <w:rsid w:val="00C060D6"/>
    <w:rsid w:val="00C11BA9"/>
    <w:rsid w:val="00C11CE1"/>
    <w:rsid w:val="00C15294"/>
    <w:rsid w:val="00C163FF"/>
    <w:rsid w:val="00C2478C"/>
    <w:rsid w:val="00C25084"/>
    <w:rsid w:val="00C26042"/>
    <w:rsid w:val="00C31016"/>
    <w:rsid w:val="00C35ACF"/>
    <w:rsid w:val="00C4116C"/>
    <w:rsid w:val="00C463AE"/>
    <w:rsid w:val="00C4680C"/>
    <w:rsid w:val="00C46CF6"/>
    <w:rsid w:val="00C474B8"/>
    <w:rsid w:val="00C537EC"/>
    <w:rsid w:val="00C543C0"/>
    <w:rsid w:val="00C5522C"/>
    <w:rsid w:val="00C6454E"/>
    <w:rsid w:val="00C65D27"/>
    <w:rsid w:val="00C6787E"/>
    <w:rsid w:val="00C71746"/>
    <w:rsid w:val="00C74533"/>
    <w:rsid w:val="00C762CB"/>
    <w:rsid w:val="00C7681E"/>
    <w:rsid w:val="00C77074"/>
    <w:rsid w:val="00C82739"/>
    <w:rsid w:val="00C83BC9"/>
    <w:rsid w:val="00C83D2E"/>
    <w:rsid w:val="00C86968"/>
    <w:rsid w:val="00C9550F"/>
    <w:rsid w:val="00C97E4E"/>
    <w:rsid w:val="00CA0847"/>
    <w:rsid w:val="00CA0D11"/>
    <w:rsid w:val="00CA0D50"/>
    <w:rsid w:val="00CA170A"/>
    <w:rsid w:val="00CA17D5"/>
    <w:rsid w:val="00CA4004"/>
    <w:rsid w:val="00CB02EF"/>
    <w:rsid w:val="00CB78A2"/>
    <w:rsid w:val="00CB7A49"/>
    <w:rsid w:val="00CC18F5"/>
    <w:rsid w:val="00CC21DA"/>
    <w:rsid w:val="00CC2BBE"/>
    <w:rsid w:val="00CC781E"/>
    <w:rsid w:val="00CC7E9F"/>
    <w:rsid w:val="00CD469E"/>
    <w:rsid w:val="00CD54AB"/>
    <w:rsid w:val="00CD56D5"/>
    <w:rsid w:val="00CD76A3"/>
    <w:rsid w:val="00CE6AE2"/>
    <w:rsid w:val="00CE70B2"/>
    <w:rsid w:val="00CF09ED"/>
    <w:rsid w:val="00CF20C5"/>
    <w:rsid w:val="00CF3A78"/>
    <w:rsid w:val="00CF5D7A"/>
    <w:rsid w:val="00CF62CB"/>
    <w:rsid w:val="00CF7273"/>
    <w:rsid w:val="00CF7C4A"/>
    <w:rsid w:val="00D02838"/>
    <w:rsid w:val="00D02BC5"/>
    <w:rsid w:val="00D03761"/>
    <w:rsid w:val="00D075D0"/>
    <w:rsid w:val="00D23640"/>
    <w:rsid w:val="00D26C7D"/>
    <w:rsid w:val="00D27725"/>
    <w:rsid w:val="00D27DEA"/>
    <w:rsid w:val="00D31B04"/>
    <w:rsid w:val="00D514B2"/>
    <w:rsid w:val="00D528FC"/>
    <w:rsid w:val="00D52EE1"/>
    <w:rsid w:val="00D5419F"/>
    <w:rsid w:val="00D63B3F"/>
    <w:rsid w:val="00D663BA"/>
    <w:rsid w:val="00D722E5"/>
    <w:rsid w:val="00D90069"/>
    <w:rsid w:val="00D90654"/>
    <w:rsid w:val="00D90954"/>
    <w:rsid w:val="00D963B5"/>
    <w:rsid w:val="00DA499C"/>
    <w:rsid w:val="00DB2611"/>
    <w:rsid w:val="00DB3311"/>
    <w:rsid w:val="00DB5086"/>
    <w:rsid w:val="00DB6E55"/>
    <w:rsid w:val="00DB7C7E"/>
    <w:rsid w:val="00DC178C"/>
    <w:rsid w:val="00DC4C8F"/>
    <w:rsid w:val="00DC727F"/>
    <w:rsid w:val="00DD0C58"/>
    <w:rsid w:val="00DD4886"/>
    <w:rsid w:val="00DE2836"/>
    <w:rsid w:val="00DF2BF0"/>
    <w:rsid w:val="00DF50DE"/>
    <w:rsid w:val="00DF6901"/>
    <w:rsid w:val="00DF7061"/>
    <w:rsid w:val="00E061E2"/>
    <w:rsid w:val="00E10368"/>
    <w:rsid w:val="00E10BED"/>
    <w:rsid w:val="00E20C65"/>
    <w:rsid w:val="00E23C7A"/>
    <w:rsid w:val="00E34F1B"/>
    <w:rsid w:val="00E37B8C"/>
    <w:rsid w:val="00E41920"/>
    <w:rsid w:val="00E4462C"/>
    <w:rsid w:val="00E46EEB"/>
    <w:rsid w:val="00E47566"/>
    <w:rsid w:val="00E50376"/>
    <w:rsid w:val="00E525C0"/>
    <w:rsid w:val="00E57C67"/>
    <w:rsid w:val="00E70704"/>
    <w:rsid w:val="00E73041"/>
    <w:rsid w:val="00E774FE"/>
    <w:rsid w:val="00E83B33"/>
    <w:rsid w:val="00E85EA8"/>
    <w:rsid w:val="00E91F2D"/>
    <w:rsid w:val="00E94E14"/>
    <w:rsid w:val="00EB0ADA"/>
    <w:rsid w:val="00EB48A6"/>
    <w:rsid w:val="00EB7E8A"/>
    <w:rsid w:val="00EC1F8A"/>
    <w:rsid w:val="00EC5DB1"/>
    <w:rsid w:val="00ED32AA"/>
    <w:rsid w:val="00EE29B5"/>
    <w:rsid w:val="00EE2AA0"/>
    <w:rsid w:val="00EE313D"/>
    <w:rsid w:val="00EE44DC"/>
    <w:rsid w:val="00EF42A8"/>
    <w:rsid w:val="00F06E68"/>
    <w:rsid w:val="00F15662"/>
    <w:rsid w:val="00F15FAA"/>
    <w:rsid w:val="00F249A7"/>
    <w:rsid w:val="00F26376"/>
    <w:rsid w:val="00F30298"/>
    <w:rsid w:val="00F3029E"/>
    <w:rsid w:val="00F32031"/>
    <w:rsid w:val="00F32F54"/>
    <w:rsid w:val="00F37939"/>
    <w:rsid w:val="00F400A4"/>
    <w:rsid w:val="00F47D3E"/>
    <w:rsid w:val="00F52EE4"/>
    <w:rsid w:val="00F61537"/>
    <w:rsid w:val="00F66FB2"/>
    <w:rsid w:val="00F67CEB"/>
    <w:rsid w:val="00F816B6"/>
    <w:rsid w:val="00F8251B"/>
    <w:rsid w:val="00F8641B"/>
    <w:rsid w:val="00F87182"/>
    <w:rsid w:val="00F907E3"/>
    <w:rsid w:val="00FA1603"/>
    <w:rsid w:val="00FA2AB7"/>
    <w:rsid w:val="00FB185F"/>
    <w:rsid w:val="00FB1D44"/>
    <w:rsid w:val="00FB21C7"/>
    <w:rsid w:val="00FB5C5D"/>
    <w:rsid w:val="00FB7BB8"/>
    <w:rsid w:val="00FD440F"/>
    <w:rsid w:val="00FD52EF"/>
    <w:rsid w:val="00FD7284"/>
    <w:rsid w:val="00FE03BB"/>
    <w:rsid w:val="00FE0F29"/>
    <w:rsid w:val="00FE1846"/>
    <w:rsid w:val="00FE6ED6"/>
    <w:rsid w:val="00FE7F88"/>
    <w:rsid w:val="00FF0FFE"/>
    <w:rsid w:val="00FF26A5"/>
    <w:rsid w:val="00FF309F"/>
    <w:rsid w:val="017C3055"/>
    <w:rsid w:val="02B07FF7"/>
    <w:rsid w:val="03733BDF"/>
    <w:rsid w:val="03A308DC"/>
    <w:rsid w:val="040532BA"/>
    <w:rsid w:val="04176582"/>
    <w:rsid w:val="051259ED"/>
    <w:rsid w:val="07041580"/>
    <w:rsid w:val="07932A4C"/>
    <w:rsid w:val="08DB1CFF"/>
    <w:rsid w:val="0A9E30AD"/>
    <w:rsid w:val="0BEB3B44"/>
    <w:rsid w:val="0C0644C0"/>
    <w:rsid w:val="10D62AA4"/>
    <w:rsid w:val="13552B79"/>
    <w:rsid w:val="13793DF7"/>
    <w:rsid w:val="141C4A83"/>
    <w:rsid w:val="14354A58"/>
    <w:rsid w:val="14677422"/>
    <w:rsid w:val="152E6B10"/>
    <w:rsid w:val="15BF1042"/>
    <w:rsid w:val="1656732A"/>
    <w:rsid w:val="181939B9"/>
    <w:rsid w:val="18D74DC1"/>
    <w:rsid w:val="1AED58EF"/>
    <w:rsid w:val="1F397F3B"/>
    <w:rsid w:val="1F3A0BB5"/>
    <w:rsid w:val="1FA92FCB"/>
    <w:rsid w:val="20193BC8"/>
    <w:rsid w:val="220D398C"/>
    <w:rsid w:val="2301566F"/>
    <w:rsid w:val="2345387F"/>
    <w:rsid w:val="24165293"/>
    <w:rsid w:val="2482721D"/>
    <w:rsid w:val="24A10BF5"/>
    <w:rsid w:val="24D70B68"/>
    <w:rsid w:val="26AB07CC"/>
    <w:rsid w:val="287B63A6"/>
    <w:rsid w:val="29613C02"/>
    <w:rsid w:val="2A397C18"/>
    <w:rsid w:val="2A5015D5"/>
    <w:rsid w:val="2AF63392"/>
    <w:rsid w:val="2BA67492"/>
    <w:rsid w:val="2C66791C"/>
    <w:rsid w:val="2D221D01"/>
    <w:rsid w:val="2D676A80"/>
    <w:rsid w:val="2D7A3266"/>
    <w:rsid w:val="2F5F2B72"/>
    <w:rsid w:val="312513B2"/>
    <w:rsid w:val="31B042BF"/>
    <w:rsid w:val="31F12401"/>
    <w:rsid w:val="31FF5F72"/>
    <w:rsid w:val="32035D60"/>
    <w:rsid w:val="326E6953"/>
    <w:rsid w:val="33523A32"/>
    <w:rsid w:val="34B524C1"/>
    <w:rsid w:val="36D23A94"/>
    <w:rsid w:val="376940D0"/>
    <w:rsid w:val="38204506"/>
    <w:rsid w:val="39321D68"/>
    <w:rsid w:val="3BAE6CD9"/>
    <w:rsid w:val="3C3000ED"/>
    <w:rsid w:val="3D232399"/>
    <w:rsid w:val="3D2E2D19"/>
    <w:rsid w:val="3D31181A"/>
    <w:rsid w:val="3DC87CB2"/>
    <w:rsid w:val="3F1749BD"/>
    <w:rsid w:val="3F4F365B"/>
    <w:rsid w:val="3F9A5B70"/>
    <w:rsid w:val="41093759"/>
    <w:rsid w:val="41380196"/>
    <w:rsid w:val="41415EFF"/>
    <w:rsid w:val="41D026B4"/>
    <w:rsid w:val="452567EA"/>
    <w:rsid w:val="46886BA6"/>
    <w:rsid w:val="48524AAD"/>
    <w:rsid w:val="490552AA"/>
    <w:rsid w:val="4B7A4CDC"/>
    <w:rsid w:val="4FFA680C"/>
    <w:rsid w:val="50981A4B"/>
    <w:rsid w:val="52390069"/>
    <w:rsid w:val="528D1696"/>
    <w:rsid w:val="52CB2821"/>
    <w:rsid w:val="542F765C"/>
    <w:rsid w:val="54914939"/>
    <w:rsid w:val="54EB5EC1"/>
    <w:rsid w:val="554D13F6"/>
    <w:rsid w:val="57580486"/>
    <w:rsid w:val="59DA41E0"/>
    <w:rsid w:val="5A2424B3"/>
    <w:rsid w:val="5A3906A0"/>
    <w:rsid w:val="5A9919E3"/>
    <w:rsid w:val="5B2A7B0A"/>
    <w:rsid w:val="5B417B6B"/>
    <w:rsid w:val="5B54373E"/>
    <w:rsid w:val="5BC745F2"/>
    <w:rsid w:val="5CA161B2"/>
    <w:rsid w:val="5EE21916"/>
    <w:rsid w:val="5F4417E0"/>
    <w:rsid w:val="5F88669E"/>
    <w:rsid w:val="622F04A1"/>
    <w:rsid w:val="62707B3A"/>
    <w:rsid w:val="645C0879"/>
    <w:rsid w:val="64741C1C"/>
    <w:rsid w:val="648C064A"/>
    <w:rsid w:val="656B3097"/>
    <w:rsid w:val="66AB4942"/>
    <w:rsid w:val="687951D6"/>
    <w:rsid w:val="68AB69AF"/>
    <w:rsid w:val="68D653C8"/>
    <w:rsid w:val="68D85250"/>
    <w:rsid w:val="698D4180"/>
    <w:rsid w:val="6D1F0B58"/>
    <w:rsid w:val="6D3654A5"/>
    <w:rsid w:val="6EB24C26"/>
    <w:rsid w:val="74170E85"/>
    <w:rsid w:val="75DC35E9"/>
    <w:rsid w:val="77FA11D3"/>
    <w:rsid w:val="789E6834"/>
    <w:rsid w:val="79DD67E6"/>
    <w:rsid w:val="7BCF79D9"/>
    <w:rsid w:val="7C1A4C7A"/>
    <w:rsid w:val="7C444892"/>
    <w:rsid w:val="7CAE7448"/>
    <w:rsid w:val="7DF36BF7"/>
    <w:rsid w:val="7E543E84"/>
    <w:rsid w:val="7EC902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spacing w:line="0" w:lineRule="atLeast"/>
      <w:jc w:val="center"/>
      <w:outlineLvl w:val="1"/>
    </w:pPr>
    <w:rPr>
      <w:kern w:val="0"/>
      <w:sz w:val="28"/>
    </w:rPr>
  </w:style>
  <w:style w:type="paragraph" w:styleId="6">
    <w:name w:val="heading 3"/>
    <w:basedOn w:val="1"/>
    <w:next w:val="1"/>
    <w:link w:val="38"/>
    <w:qFormat/>
    <w:uiPriority w:val="0"/>
    <w:pPr>
      <w:keepNext/>
      <w:keepLines/>
      <w:spacing w:before="260" w:after="260" w:line="416" w:lineRule="auto"/>
      <w:outlineLvl w:val="2"/>
    </w:pPr>
    <w:rPr>
      <w:b/>
      <w:bCs/>
      <w:sz w:val="32"/>
      <w:szCs w:val="32"/>
    </w:rPr>
  </w:style>
  <w:style w:type="character" w:default="1" w:styleId="31">
    <w:name w:val="Default Paragraph Font"/>
    <w:semiHidden/>
    <w:unhideWhenUsed/>
    <w:uiPriority w:val="1"/>
  </w:style>
  <w:style w:type="table" w:default="1" w:styleId="29">
    <w:name w:val="Normal Table"/>
    <w:semiHidden/>
    <w:unhideWhenUsed/>
    <w:uiPriority w:val="99"/>
    <w:tblPr>
      <w:tblCellMar>
        <w:top w:w="0" w:type="dxa"/>
        <w:left w:w="108" w:type="dxa"/>
        <w:bottom w:w="0" w:type="dxa"/>
        <w:right w:w="108" w:type="dxa"/>
      </w:tblCellMar>
    </w:tblPr>
  </w:style>
  <w:style w:type="paragraph" w:customStyle="1" w:styleId="2">
    <w:name w:val="BodyText1I"/>
    <w:basedOn w:val="3"/>
    <w:qFormat/>
    <w:uiPriority w:val="99"/>
    <w:pPr>
      <w:ind w:firstLine="420" w:firstLineChars="100"/>
    </w:pPr>
  </w:style>
  <w:style w:type="paragraph" w:customStyle="1" w:styleId="3">
    <w:name w:val="BodyText"/>
    <w:basedOn w:val="1"/>
    <w:qFormat/>
    <w:uiPriority w:val="99"/>
    <w:pPr>
      <w:spacing w:after="120"/>
    </w:pPr>
  </w:style>
  <w:style w:type="paragraph" w:styleId="7">
    <w:name w:val="caption"/>
    <w:basedOn w:val="1"/>
    <w:next w:val="1"/>
    <w:qFormat/>
    <w:uiPriority w:val="0"/>
    <w:rPr>
      <w:rFonts w:ascii="Cambria" w:hAnsi="Cambria" w:eastAsia="黑体"/>
      <w:sz w:val="20"/>
    </w:rPr>
  </w:style>
  <w:style w:type="paragraph" w:styleId="8">
    <w:name w:val="Document Map"/>
    <w:basedOn w:val="1"/>
    <w:link w:val="46"/>
    <w:qFormat/>
    <w:uiPriority w:val="0"/>
    <w:rPr>
      <w:rFonts w:ascii="宋体"/>
      <w:sz w:val="18"/>
      <w:szCs w:val="18"/>
    </w:rPr>
  </w:style>
  <w:style w:type="paragraph" w:styleId="9">
    <w:name w:val="annotation text"/>
    <w:basedOn w:val="1"/>
    <w:link w:val="45"/>
    <w:qFormat/>
    <w:uiPriority w:val="0"/>
    <w:pPr>
      <w:jc w:val="left"/>
    </w:pPr>
  </w:style>
  <w:style w:type="paragraph" w:styleId="10">
    <w:name w:val="Body Text 3"/>
    <w:basedOn w:val="1"/>
    <w:qFormat/>
    <w:uiPriority w:val="0"/>
    <w:pPr>
      <w:spacing w:after="120"/>
    </w:pPr>
    <w:rPr>
      <w:sz w:val="16"/>
      <w:szCs w:val="16"/>
    </w:rPr>
  </w:style>
  <w:style w:type="paragraph" w:styleId="11">
    <w:name w:val="Body Text"/>
    <w:basedOn w:val="1"/>
    <w:next w:val="12"/>
    <w:link w:val="43"/>
    <w:qFormat/>
    <w:uiPriority w:val="99"/>
    <w:pPr>
      <w:spacing w:after="120"/>
    </w:pPr>
  </w:style>
  <w:style w:type="paragraph" w:customStyle="1" w:styleId="12">
    <w:name w:val="Default"/>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styleId="13">
    <w:name w:val="Body Text Indent"/>
    <w:basedOn w:val="1"/>
    <w:next w:val="14"/>
    <w:qFormat/>
    <w:uiPriority w:val="0"/>
    <w:pPr>
      <w:ind w:firstLine="632" w:firstLineChars="200"/>
    </w:pPr>
    <w:rPr>
      <w:rFonts w:ascii="仿宋_GB2312" w:hAnsi="华文楷体" w:eastAsia="仿宋_GB2312"/>
      <w:sz w:val="32"/>
    </w:rPr>
  </w:style>
  <w:style w:type="paragraph" w:styleId="14">
    <w:name w:val="envelope return"/>
    <w:basedOn w:val="1"/>
    <w:qFormat/>
    <w:uiPriority w:val="99"/>
    <w:pPr>
      <w:snapToGrid w:val="0"/>
    </w:pPr>
    <w:rPr>
      <w:rFonts w:ascii="Arial" w:hAnsi="Arial"/>
    </w:rPr>
  </w:style>
  <w:style w:type="paragraph" w:styleId="15">
    <w:name w:val="List 2"/>
    <w:basedOn w:val="1"/>
    <w:qFormat/>
    <w:uiPriority w:val="0"/>
    <w:pPr>
      <w:ind w:left="400" w:leftChars="200" w:hanging="200" w:hangingChars="200"/>
    </w:pPr>
  </w:style>
  <w:style w:type="paragraph" w:styleId="16">
    <w:name w:val="Plain Text"/>
    <w:basedOn w:val="1"/>
    <w:link w:val="51"/>
    <w:qFormat/>
    <w:uiPriority w:val="99"/>
    <w:rPr>
      <w:rFonts w:ascii="宋体" w:hAnsi="Courier New"/>
      <w:szCs w:val="20"/>
    </w:rPr>
  </w:style>
  <w:style w:type="paragraph" w:styleId="17">
    <w:name w:val="Date"/>
    <w:basedOn w:val="1"/>
    <w:next w:val="1"/>
    <w:link w:val="47"/>
    <w:qFormat/>
    <w:uiPriority w:val="0"/>
    <w:pPr>
      <w:ind w:left="100" w:leftChars="2500"/>
    </w:pPr>
  </w:style>
  <w:style w:type="paragraph" w:styleId="18">
    <w:name w:val="Body Text Indent 2"/>
    <w:basedOn w:val="1"/>
    <w:qFormat/>
    <w:uiPriority w:val="0"/>
    <w:pPr>
      <w:spacing w:after="120" w:line="480" w:lineRule="auto"/>
      <w:ind w:left="420" w:leftChars="200"/>
    </w:pPr>
  </w:style>
  <w:style w:type="paragraph" w:styleId="19">
    <w:name w:val="Balloon Text"/>
    <w:basedOn w:val="1"/>
    <w:qFormat/>
    <w:uiPriority w:val="0"/>
    <w:rPr>
      <w:sz w:val="18"/>
      <w:szCs w:val="18"/>
    </w:rPr>
  </w:style>
  <w:style w:type="paragraph" w:styleId="20">
    <w:name w:val="footer"/>
    <w:basedOn w:val="1"/>
    <w:link w:val="68"/>
    <w:qFormat/>
    <w:uiPriority w:val="99"/>
    <w:pPr>
      <w:tabs>
        <w:tab w:val="center" w:pos="4153"/>
        <w:tab w:val="right" w:pos="8306"/>
      </w:tabs>
      <w:snapToGrid w:val="0"/>
      <w:jc w:val="left"/>
    </w:pPr>
    <w:rPr>
      <w:sz w:val="18"/>
      <w:szCs w:val="18"/>
    </w:rPr>
  </w:style>
  <w:style w:type="paragraph" w:styleId="21">
    <w:name w:val="header"/>
    <w:basedOn w:val="1"/>
    <w:link w:val="67"/>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before="120" w:after="120"/>
      <w:jc w:val="left"/>
    </w:pPr>
    <w:rPr>
      <w:caps/>
    </w:rPr>
  </w:style>
  <w:style w:type="paragraph" w:styleId="23">
    <w:name w:val="footnote text"/>
    <w:basedOn w:val="1"/>
    <w:qFormat/>
    <w:uiPriority w:val="99"/>
    <w:pPr>
      <w:snapToGrid w:val="0"/>
      <w:jc w:val="left"/>
    </w:pPr>
    <w:rPr>
      <w:sz w:val="18"/>
      <w:szCs w:val="18"/>
    </w:rPr>
  </w:style>
  <w:style w:type="paragraph" w:styleId="24">
    <w:name w:val="Body Text 2"/>
    <w:basedOn w:val="1"/>
    <w:link w:val="65"/>
    <w:qFormat/>
    <w:uiPriority w:val="0"/>
    <w:pPr>
      <w:spacing w:after="120" w:line="480" w:lineRule="auto"/>
    </w:pPr>
  </w:style>
  <w:style w:type="paragraph" w:styleId="25">
    <w:name w:val="Message Header"/>
    <w:basedOn w:val="1"/>
    <w:qFormat/>
    <w:uiPriority w:val="0"/>
    <w:pPr>
      <w:widowControl/>
      <w:shd w:val="pct20" w:color="000000" w:fill="auto"/>
      <w:ind w:left="1080" w:hanging="1080"/>
    </w:pPr>
    <w:rPr>
      <w:rFonts w:ascii="Cambria" w:hAnsi="Cambria" w:eastAsia="Cambria"/>
      <w:sz w:val="24"/>
    </w:rPr>
  </w:style>
  <w:style w:type="paragraph" w:styleId="26">
    <w:name w:val="Normal (Web)"/>
    <w:basedOn w:val="1"/>
    <w:unhideWhenUsed/>
    <w:qFormat/>
    <w:uiPriority w:val="99"/>
    <w:pPr>
      <w:widowControl/>
      <w:spacing w:before="100" w:beforeAutospacing="1" w:after="100" w:afterAutospacing="1"/>
      <w:jc w:val="left"/>
    </w:pPr>
    <w:rPr>
      <w:rFonts w:ascii="宋体" w:hAnsi="宋体"/>
      <w:kern w:val="0"/>
      <w:sz w:val="24"/>
      <w:szCs w:val="20"/>
    </w:rPr>
  </w:style>
  <w:style w:type="paragraph" w:styleId="27">
    <w:name w:val="Body Text First Indent"/>
    <w:basedOn w:val="11"/>
    <w:link w:val="42"/>
    <w:qFormat/>
    <w:uiPriority w:val="0"/>
    <w:pPr>
      <w:ind w:firstLine="420" w:firstLineChars="100"/>
    </w:pPr>
  </w:style>
  <w:style w:type="paragraph" w:styleId="28">
    <w:name w:val="Body Text First Indent 2"/>
    <w:basedOn w:val="13"/>
    <w:qFormat/>
    <w:uiPriority w:val="99"/>
    <w:pPr>
      <w:tabs>
        <w:tab w:val="left" w:pos="0"/>
        <w:tab w:val="left" w:pos="993"/>
        <w:tab w:val="left" w:pos="1134"/>
      </w:tabs>
      <w:ind w:firstLine="420"/>
    </w:pPr>
  </w:style>
  <w:style w:type="table" w:styleId="30">
    <w:name w:val="Table Grid"/>
    <w:basedOn w:val="2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Strong"/>
    <w:qFormat/>
    <w:uiPriority w:val="22"/>
    <w:rPr>
      <w:b/>
      <w:bCs/>
    </w:rPr>
  </w:style>
  <w:style w:type="character" w:styleId="33">
    <w:name w:val="page number"/>
    <w:basedOn w:val="31"/>
    <w:qFormat/>
    <w:uiPriority w:val="0"/>
  </w:style>
  <w:style w:type="character" w:styleId="34">
    <w:name w:val="FollowedHyperlink"/>
    <w:basedOn w:val="31"/>
    <w:qFormat/>
    <w:uiPriority w:val="0"/>
    <w:rPr>
      <w:color w:val="000000"/>
      <w:u w:val="none"/>
    </w:rPr>
  </w:style>
  <w:style w:type="character" w:styleId="35">
    <w:name w:val="Hyperlink"/>
    <w:qFormat/>
    <w:uiPriority w:val="0"/>
    <w:rPr>
      <w:color w:val="333333"/>
      <w:u w:val="none"/>
    </w:rPr>
  </w:style>
  <w:style w:type="character" w:styleId="36">
    <w:name w:val="annotation reference"/>
    <w:qFormat/>
    <w:uiPriority w:val="99"/>
    <w:rPr>
      <w:sz w:val="21"/>
    </w:rPr>
  </w:style>
  <w:style w:type="paragraph" w:customStyle="1" w:styleId="37">
    <w:name w:val="无间隔1"/>
    <w:next w:val="7"/>
    <w:qFormat/>
    <w:uiPriority w:val="0"/>
    <w:pPr>
      <w:widowControl w:val="0"/>
      <w:jc w:val="both"/>
    </w:pPr>
    <w:rPr>
      <w:rFonts w:ascii="Calibri" w:hAnsi="Calibri" w:eastAsia="宋体" w:cs="Times New Roman"/>
      <w:kern w:val="2"/>
      <w:sz w:val="21"/>
      <w:szCs w:val="22"/>
      <w:lang w:val="en-US" w:eastAsia="zh-CN" w:bidi="ar-SA"/>
    </w:rPr>
  </w:style>
  <w:style w:type="character" w:customStyle="1" w:styleId="38">
    <w:name w:val="标题 3 Char"/>
    <w:link w:val="6"/>
    <w:semiHidden/>
    <w:qFormat/>
    <w:uiPriority w:val="0"/>
    <w:rPr>
      <w:b/>
      <w:bCs/>
      <w:kern w:val="2"/>
      <w:sz w:val="32"/>
      <w:szCs w:val="32"/>
    </w:rPr>
  </w:style>
  <w:style w:type="character" w:customStyle="1" w:styleId="39">
    <w:name w:val="font231"/>
    <w:qFormat/>
    <w:uiPriority w:val="0"/>
    <w:rPr>
      <w:rFonts w:hint="eastAsia" w:ascii="宋体" w:hAnsi="宋体" w:eastAsia="宋体" w:cs="宋体"/>
      <w:color w:val="000000"/>
      <w:sz w:val="22"/>
      <w:szCs w:val="22"/>
      <w:u w:val="none"/>
    </w:rPr>
  </w:style>
  <w:style w:type="character" w:customStyle="1" w:styleId="40">
    <w:name w:val="font11"/>
    <w:qFormat/>
    <w:uiPriority w:val="0"/>
    <w:rPr>
      <w:rFonts w:hint="default" w:ascii="Times New Roman" w:hAnsi="Times New Roman" w:cs="Times New Roman"/>
      <w:color w:val="000000"/>
      <w:sz w:val="18"/>
      <w:szCs w:val="18"/>
      <w:u w:val="none"/>
    </w:rPr>
  </w:style>
  <w:style w:type="character" w:customStyle="1" w:styleId="41">
    <w:name w:val="font191"/>
    <w:qFormat/>
    <w:uiPriority w:val="0"/>
    <w:rPr>
      <w:rFonts w:hint="default" w:ascii="Calibri" w:hAnsi="Calibri" w:cs="Calibri"/>
      <w:color w:val="000000"/>
      <w:sz w:val="22"/>
      <w:szCs w:val="22"/>
      <w:u w:val="none"/>
    </w:rPr>
  </w:style>
  <w:style w:type="character" w:customStyle="1" w:styleId="42">
    <w:name w:val="正文首行缩进 Char"/>
    <w:link w:val="27"/>
    <w:qFormat/>
    <w:uiPriority w:val="0"/>
    <w:rPr>
      <w:kern w:val="2"/>
      <w:sz w:val="21"/>
      <w:szCs w:val="24"/>
    </w:rPr>
  </w:style>
  <w:style w:type="character" w:customStyle="1" w:styleId="43">
    <w:name w:val="正文文本 Char"/>
    <w:link w:val="11"/>
    <w:qFormat/>
    <w:uiPriority w:val="99"/>
    <w:rPr>
      <w:kern w:val="2"/>
      <w:sz w:val="21"/>
      <w:szCs w:val="24"/>
    </w:rPr>
  </w:style>
  <w:style w:type="character" w:customStyle="1" w:styleId="44">
    <w:name w:val="font151"/>
    <w:qFormat/>
    <w:uiPriority w:val="0"/>
    <w:rPr>
      <w:rFonts w:hint="default" w:ascii="Calibri" w:hAnsi="Calibri" w:cs="Calibri"/>
      <w:color w:val="000000"/>
      <w:sz w:val="22"/>
      <w:szCs w:val="22"/>
      <w:u w:val="none"/>
    </w:rPr>
  </w:style>
  <w:style w:type="character" w:customStyle="1" w:styleId="45">
    <w:name w:val="批注文字 Char"/>
    <w:link w:val="9"/>
    <w:qFormat/>
    <w:uiPriority w:val="0"/>
    <w:rPr>
      <w:kern w:val="2"/>
      <w:sz w:val="21"/>
      <w:szCs w:val="24"/>
    </w:rPr>
  </w:style>
  <w:style w:type="character" w:customStyle="1" w:styleId="46">
    <w:name w:val="文档结构图 Char"/>
    <w:link w:val="8"/>
    <w:qFormat/>
    <w:uiPriority w:val="0"/>
    <w:rPr>
      <w:rFonts w:ascii="宋体"/>
      <w:kern w:val="2"/>
      <w:sz w:val="18"/>
      <w:szCs w:val="18"/>
    </w:rPr>
  </w:style>
  <w:style w:type="character" w:customStyle="1" w:styleId="47">
    <w:name w:val="日期 Char"/>
    <w:link w:val="17"/>
    <w:qFormat/>
    <w:uiPriority w:val="0"/>
    <w:rPr>
      <w:kern w:val="2"/>
      <w:sz w:val="21"/>
      <w:szCs w:val="24"/>
    </w:rPr>
  </w:style>
  <w:style w:type="character" w:customStyle="1" w:styleId="48">
    <w:name w:val="font221"/>
    <w:qFormat/>
    <w:uiPriority w:val="0"/>
    <w:rPr>
      <w:rFonts w:hint="eastAsia" w:ascii="宋体" w:hAnsi="宋体" w:eastAsia="宋体" w:cs="宋体"/>
      <w:color w:val="000000"/>
      <w:sz w:val="20"/>
      <w:szCs w:val="20"/>
      <w:u w:val="none"/>
    </w:rPr>
  </w:style>
  <w:style w:type="character" w:customStyle="1" w:styleId="49">
    <w:name w:val="font61"/>
    <w:qFormat/>
    <w:uiPriority w:val="0"/>
    <w:rPr>
      <w:rFonts w:hint="eastAsia" w:ascii="宋体" w:hAnsi="宋体" w:eastAsia="宋体" w:cs="宋体"/>
      <w:color w:val="FF0000"/>
      <w:sz w:val="22"/>
      <w:szCs w:val="22"/>
      <w:u w:val="none"/>
    </w:rPr>
  </w:style>
  <w:style w:type="character" w:customStyle="1" w:styleId="50">
    <w:name w:val="font31"/>
    <w:qFormat/>
    <w:uiPriority w:val="0"/>
    <w:rPr>
      <w:rFonts w:hint="eastAsia" w:ascii="宋体" w:hAnsi="宋体" w:eastAsia="宋体" w:cs="宋体"/>
      <w:color w:val="000000"/>
      <w:sz w:val="18"/>
      <w:szCs w:val="18"/>
      <w:u w:val="none"/>
    </w:rPr>
  </w:style>
  <w:style w:type="character" w:customStyle="1" w:styleId="51">
    <w:name w:val="纯文本 Char"/>
    <w:link w:val="16"/>
    <w:qFormat/>
    <w:uiPriority w:val="99"/>
    <w:rPr>
      <w:rFonts w:ascii="宋体" w:hAnsi="Courier New"/>
      <w:kern w:val="2"/>
      <w:sz w:val="21"/>
    </w:rPr>
  </w:style>
  <w:style w:type="character" w:customStyle="1" w:styleId="52">
    <w:name w:val="访问过的超链接1"/>
    <w:qFormat/>
    <w:uiPriority w:val="0"/>
    <w:rPr>
      <w:color w:val="333333"/>
      <w:u w:val="none"/>
    </w:rPr>
  </w:style>
  <w:style w:type="character" w:customStyle="1" w:styleId="53">
    <w:name w:val="font01"/>
    <w:qFormat/>
    <w:uiPriority w:val="0"/>
    <w:rPr>
      <w:rFonts w:hint="eastAsia" w:ascii="宋体" w:hAnsi="宋体" w:eastAsia="宋体" w:cs="宋体"/>
      <w:color w:val="000000"/>
      <w:sz w:val="22"/>
      <w:szCs w:val="22"/>
      <w:u w:val="none"/>
    </w:rPr>
  </w:style>
  <w:style w:type="character" w:customStyle="1" w:styleId="54">
    <w:name w:val="font21"/>
    <w:qFormat/>
    <w:uiPriority w:val="0"/>
    <w:rPr>
      <w:rFonts w:hint="default" w:ascii="Times New Roman" w:hAnsi="Times New Roman" w:cs="Times New Roman"/>
      <w:color w:val="000000"/>
      <w:sz w:val="18"/>
      <w:szCs w:val="18"/>
      <w:u w:val="none"/>
    </w:rPr>
  </w:style>
  <w:style w:type="paragraph" w:customStyle="1" w:styleId="55">
    <w:name w:val="p0"/>
    <w:basedOn w:val="1"/>
    <w:qFormat/>
    <w:uiPriority w:val="0"/>
    <w:pPr>
      <w:widowControl/>
    </w:pPr>
    <w:rPr>
      <w:rFonts w:ascii="Calibri" w:hAnsi="Calibri" w:cs="宋体"/>
      <w:kern w:val="0"/>
      <w:szCs w:val="21"/>
    </w:rPr>
  </w:style>
  <w:style w:type="paragraph" w:customStyle="1" w:styleId="56">
    <w:name w:val="List Paragraph1"/>
    <w:basedOn w:val="1"/>
    <w:qFormat/>
    <w:uiPriority w:val="0"/>
    <w:pPr>
      <w:ind w:firstLine="420" w:firstLineChars="200"/>
    </w:pPr>
  </w:style>
  <w:style w:type="paragraph" w:customStyle="1" w:styleId="57">
    <w:name w:val="样式1"/>
    <w:basedOn w:val="1"/>
    <w:qFormat/>
    <w:uiPriority w:val="0"/>
    <w:pPr>
      <w:tabs>
        <w:tab w:val="left" w:pos="709"/>
      </w:tabs>
      <w:adjustRightInd w:val="0"/>
      <w:ind w:left="709" w:hanging="709"/>
      <w:textAlignment w:val="baseline"/>
    </w:pPr>
    <w:rPr>
      <w:rFonts w:ascii="宋体" w:hAnsi="宋体"/>
      <w:kern w:val="0"/>
    </w:rPr>
  </w:style>
  <w:style w:type="paragraph" w:customStyle="1" w:styleId="58">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59">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60">
    <w:name w:val="Char Char Char Char Char Char Char1 Char"/>
    <w:basedOn w:val="1"/>
    <w:qFormat/>
    <w:uiPriority w:val="0"/>
    <w:rPr>
      <w:rFonts w:ascii="Tahoma" w:hAnsi="Tahoma"/>
      <w:sz w:val="24"/>
      <w:szCs w:val="20"/>
    </w:rPr>
  </w:style>
  <w:style w:type="paragraph" w:styleId="61">
    <w:name w:val="List Paragraph"/>
    <w:basedOn w:val="1"/>
    <w:qFormat/>
    <w:uiPriority w:val="34"/>
    <w:pPr>
      <w:ind w:firstLine="420" w:firstLineChars="200"/>
    </w:pPr>
  </w:style>
  <w:style w:type="paragraph" w:customStyle="1" w:styleId="62">
    <w:name w:val="Char Char Char1 Char"/>
    <w:basedOn w:val="1"/>
    <w:qFormat/>
    <w:uiPriority w:val="0"/>
    <w:pPr>
      <w:spacing w:line="360" w:lineRule="auto"/>
      <w:ind w:firstLine="200" w:firstLineChars="200"/>
    </w:pPr>
    <w:rPr>
      <w:rFonts w:ascii="宋体" w:hAnsi="宋体" w:cs="宋体"/>
      <w:sz w:val="24"/>
    </w:rPr>
  </w:style>
  <w:style w:type="paragraph" w:customStyle="1" w:styleId="63">
    <w:name w:val="默认段落字体 Para Char Char Char Char Char Char Char Char Char Char"/>
    <w:basedOn w:val="1"/>
    <w:qFormat/>
    <w:uiPriority w:val="0"/>
    <w:pPr>
      <w:tabs>
        <w:tab w:val="right" w:pos="-2120"/>
      </w:tabs>
      <w:snapToGrid w:val="0"/>
    </w:pPr>
  </w:style>
  <w:style w:type="character" w:customStyle="1" w:styleId="64">
    <w:name w:val="generalinfo-address-text"/>
    <w:basedOn w:val="31"/>
    <w:qFormat/>
    <w:uiPriority w:val="0"/>
  </w:style>
  <w:style w:type="character" w:customStyle="1" w:styleId="65">
    <w:name w:val="正文文本 2 Char"/>
    <w:link w:val="24"/>
    <w:qFormat/>
    <w:uiPriority w:val="0"/>
    <w:rPr>
      <w:kern w:val="2"/>
      <w:sz w:val="21"/>
      <w:szCs w:val="24"/>
    </w:rPr>
  </w:style>
  <w:style w:type="character" w:customStyle="1" w:styleId="66">
    <w:name w:val="NormalCharacter"/>
    <w:qFormat/>
    <w:uiPriority w:val="0"/>
  </w:style>
  <w:style w:type="character" w:customStyle="1" w:styleId="67">
    <w:name w:val="页眉 Char"/>
    <w:link w:val="21"/>
    <w:qFormat/>
    <w:uiPriority w:val="99"/>
    <w:rPr>
      <w:kern w:val="2"/>
      <w:sz w:val="18"/>
      <w:szCs w:val="18"/>
    </w:rPr>
  </w:style>
  <w:style w:type="character" w:customStyle="1" w:styleId="68">
    <w:name w:val="页脚 Char"/>
    <w:link w:val="20"/>
    <w:qFormat/>
    <w:uiPriority w:val="99"/>
    <w:rPr>
      <w:kern w:val="2"/>
      <w:sz w:val="18"/>
      <w:szCs w:val="18"/>
    </w:rPr>
  </w:style>
  <w:style w:type="paragraph" w:customStyle="1" w:styleId="69">
    <w:name w:val="普通(网站)1"/>
    <w:basedOn w:val="1"/>
    <w:qFormat/>
    <w:uiPriority w:val="0"/>
    <w:pPr>
      <w:widowControl/>
      <w:spacing w:before="100" w:beforeAutospacing="1" w:after="100" w:afterAutospacing="1"/>
      <w:jc w:val="left"/>
    </w:pPr>
    <w:rPr>
      <w:rFonts w:ascii="宋体" w:hAnsi="宋体"/>
      <w:kern w:val="0"/>
      <w:sz w:val="24"/>
    </w:rPr>
  </w:style>
  <w:style w:type="character" w:customStyle="1" w:styleId="70">
    <w:name w:val="contentlabel"/>
    <w:qFormat/>
    <w:uiPriority w:val="0"/>
  </w:style>
  <w:style w:type="paragraph" w:customStyle="1" w:styleId="71">
    <w:name w:val="Body Text First Indent1"/>
    <w:basedOn w:val="11"/>
    <w:qFormat/>
    <w:uiPriority w:val="0"/>
    <w:pPr>
      <w:autoSpaceDE w:val="0"/>
      <w:autoSpaceDN w:val="0"/>
      <w:ind w:firstLine="420" w:firstLineChars="100"/>
      <w:jc w:val="left"/>
    </w:pPr>
    <w:rPr>
      <w:rFonts w:ascii="宋体" w:hAnsi="等线" w:eastAsia="等线" w:cs="宋体"/>
      <w:kern w:val="0"/>
      <w:lang w:val="zh-CN"/>
    </w:rPr>
  </w:style>
  <w:style w:type="paragraph" w:customStyle="1" w:styleId="72">
    <w:name w:val="D&amp;L"/>
    <w:basedOn w:val="21"/>
    <w:qFormat/>
    <w:uiPriority w:val="0"/>
    <w:pPr>
      <w:pBdr>
        <w:bottom w:val="thinThickSmallGap" w:color="auto" w:sz="18" w:space="1"/>
      </w:pBdr>
      <w:adjustRightInd w:val="0"/>
      <w:snapToGrid/>
      <w:spacing w:line="240" w:lineRule="atLeast"/>
      <w:textAlignment w:val="baseline"/>
    </w:pPr>
    <w:rPr>
      <w:kern w:val="0"/>
      <w:sz w:val="24"/>
    </w:rPr>
  </w:style>
  <w:style w:type="character" w:customStyle="1" w:styleId="73">
    <w:name w:val="icon_gys"/>
    <w:basedOn w:val="31"/>
    <w:qFormat/>
    <w:uiPriority w:val="0"/>
    <w:rPr>
      <w:sz w:val="21"/>
      <w:szCs w:val="21"/>
    </w:rPr>
  </w:style>
  <w:style w:type="character" w:customStyle="1" w:styleId="74">
    <w:name w:val="first-child"/>
    <w:basedOn w:val="31"/>
    <w:qFormat/>
    <w:uiPriority w:val="0"/>
    <w:rPr>
      <w:color w:val="1F3149"/>
      <w:sz w:val="24"/>
      <w:szCs w:val="24"/>
    </w:rPr>
  </w:style>
  <w:style w:type="character" w:customStyle="1" w:styleId="75">
    <w:name w:val="first-child1"/>
    <w:basedOn w:val="31"/>
    <w:qFormat/>
    <w:uiPriority w:val="0"/>
    <w:rPr>
      <w:color w:val="1F3149"/>
      <w:sz w:val="24"/>
      <w:szCs w:val="24"/>
    </w:rPr>
  </w:style>
  <w:style w:type="character" w:customStyle="1" w:styleId="76">
    <w:name w:val="xiadan"/>
    <w:basedOn w:val="31"/>
    <w:qFormat/>
    <w:uiPriority w:val="0"/>
    <w:rPr>
      <w:shd w:val="clear" w:color="auto" w:fill="E4393C"/>
    </w:rPr>
  </w:style>
  <w:style w:type="character" w:customStyle="1" w:styleId="77">
    <w:name w:val="fr"/>
    <w:basedOn w:val="31"/>
    <w:qFormat/>
    <w:uiPriority w:val="0"/>
  </w:style>
  <w:style w:type="character" w:customStyle="1" w:styleId="78">
    <w:name w:val="icon_ds"/>
    <w:basedOn w:val="31"/>
    <w:qFormat/>
    <w:uiPriority w:val="0"/>
  </w:style>
  <w:style w:type="paragraph" w:customStyle="1" w:styleId="79">
    <w:name w:val="正文1"/>
    <w:basedOn w:val="1"/>
    <w:qFormat/>
    <w:uiPriority w:val="0"/>
    <w:pPr>
      <w:widowControl/>
      <w:topLinePunct/>
      <w:spacing w:beforeLines="50" w:afterLines="50" w:line="300" w:lineRule="auto"/>
      <w:ind w:left="42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B1EB26F-E183-46D8-882B-7D2356FDC9C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45</Pages>
  <Words>18172</Words>
  <Characters>19145</Characters>
  <Lines>26</Lines>
  <Paragraphs>42</Paragraphs>
  <TotalTime>0</TotalTime>
  <ScaleCrop>false</ScaleCrop>
  <LinksUpToDate>false</LinksUpToDate>
  <CharactersWithSpaces>20022</CharactersWithSpaces>
  <Application>WPS Office_12.1.0.16894_F1E327BC-269C-435d-A152-05C5408002CA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2024-04-26T05:41:00Z</dcterms:created>
  <dc:creator>gg1</dc:creator>
  <cp:lastModifiedBy>大海里的糖醋鱼</cp:lastModifiedBy>
  <cp:lastPrinted>2020-11-18T03:21:00Z</cp:lastPrinted>
  <dcterms:modified xsi:type="dcterms:W3CDTF">2024-04-28T07:16:08Z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3F3AEF60031F459BB45F1EB8C7A16E06</vt:lpwstr>
  </property>
</Properties>
</file>