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240" w:lineRule="auto"/>
        <w:jc w:val="center"/>
        <w:rPr>
          <w:rFonts w:hint="eastAsia" w:ascii="宋体" w:hAnsi="宋体" w:eastAsia="宋体" w:cs="宋体"/>
          <w:b/>
          <w:bCs/>
          <w:color w:val="auto"/>
          <w:spacing w:val="36"/>
          <w:sz w:val="44"/>
          <w:szCs w:val="44"/>
          <w:highlight w:val="none"/>
        </w:rPr>
      </w:pPr>
    </w:p>
    <w:p>
      <w:pPr>
        <w:tabs>
          <w:tab w:val="left" w:pos="420"/>
        </w:tabs>
        <w:spacing w:line="1700" w:lineRule="exact"/>
        <w:jc w:val="center"/>
        <w:rPr>
          <w:rFonts w:ascii="Arial Black" w:hAnsi="Arial Black" w:eastAsia="黑体"/>
          <w:b/>
          <w:spacing w:val="36"/>
          <w:sz w:val="52"/>
          <w:szCs w:val="52"/>
        </w:rPr>
      </w:pPr>
      <w:r>
        <w:rPr>
          <w:rFonts w:hint="eastAsia" w:ascii="Arial Black" w:hAnsi="Arial Black" w:eastAsia="黑体"/>
          <w:b/>
          <w:bCs/>
          <w:spacing w:val="36"/>
          <w:sz w:val="52"/>
          <w:szCs w:val="52"/>
        </w:rPr>
        <w:t>周口市公共资源交易中心</w:t>
      </w:r>
    </w:p>
    <w:p>
      <w:pPr>
        <w:tabs>
          <w:tab w:val="left" w:pos="315"/>
          <w:tab w:val="left" w:pos="8820"/>
        </w:tabs>
        <w:spacing w:line="500" w:lineRule="exact"/>
        <w:ind w:right="267" w:rightChars="127"/>
        <w:jc w:val="center"/>
        <w:rPr>
          <w:rFonts w:ascii="仿宋_GB2312" w:eastAsia="仿宋_GB2312"/>
          <w:b/>
          <w:bCs/>
          <w:sz w:val="48"/>
        </w:rPr>
      </w:pPr>
    </w:p>
    <w:p>
      <w:pPr>
        <w:pStyle w:val="2"/>
        <w:rPr>
          <w:rFonts w:ascii="仿宋_GB2312" w:eastAsia="仿宋_GB2312"/>
          <w:b/>
          <w:bCs/>
          <w:sz w:val="48"/>
        </w:rPr>
      </w:pPr>
    </w:p>
    <w:p>
      <w:pPr>
        <w:pStyle w:val="2"/>
        <w:rPr>
          <w:rFonts w:ascii="仿宋_GB2312" w:eastAsia="仿宋_GB2312"/>
          <w:b/>
          <w:bCs/>
          <w:sz w:val="48"/>
        </w:rPr>
      </w:pPr>
    </w:p>
    <w:p>
      <w:pPr>
        <w:pStyle w:val="2"/>
        <w:rPr>
          <w:rFonts w:ascii="仿宋_GB2312" w:eastAsia="仿宋_GB2312"/>
          <w:b/>
          <w:bCs/>
          <w:sz w:val="48"/>
        </w:rPr>
      </w:pPr>
    </w:p>
    <w:p>
      <w:pPr>
        <w:pStyle w:val="2"/>
        <w:rPr>
          <w:rFonts w:ascii="仿宋_GB2312" w:eastAsia="仿宋_GB2312"/>
          <w:b/>
          <w:bCs/>
          <w:sz w:val="48"/>
        </w:rPr>
      </w:pPr>
    </w:p>
    <w:p>
      <w:pPr>
        <w:tabs>
          <w:tab w:val="left" w:pos="315"/>
          <w:tab w:val="left" w:pos="8820"/>
        </w:tabs>
        <w:spacing w:line="500" w:lineRule="exact"/>
        <w:ind w:right="267" w:rightChars="127"/>
        <w:jc w:val="center"/>
        <w:rPr>
          <w:rFonts w:ascii="微软简标宋" w:eastAsia="黑体"/>
          <w:b/>
          <w:bCs/>
          <w:sz w:val="52"/>
        </w:rPr>
      </w:pPr>
      <w:r>
        <w:rPr>
          <w:rFonts w:hint="eastAsia" w:ascii="微软简标宋" w:eastAsia="黑体"/>
          <w:b/>
          <w:bCs/>
          <w:sz w:val="52"/>
        </w:rPr>
        <w:t>竞争性磋商文件</w:t>
      </w:r>
    </w:p>
    <w:p>
      <w:pPr>
        <w:tabs>
          <w:tab w:val="left" w:pos="315"/>
          <w:tab w:val="left" w:pos="8820"/>
        </w:tabs>
        <w:spacing w:line="500" w:lineRule="exact"/>
        <w:ind w:right="267" w:rightChars="127"/>
        <w:jc w:val="center"/>
        <w:rPr>
          <w:rFonts w:ascii="仿宋_GB2312" w:eastAsia="仿宋_GB2312"/>
          <w:sz w:val="44"/>
        </w:rPr>
      </w:pPr>
    </w:p>
    <w:p>
      <w:pPr>
        <w:tabs>
          <w:tab w:val="left" w:pos="315"/>
          <w:tab w:val="left" w:pos="8820"/>
        </w:tabs>
        <w:ind w:right="267" w:rightChars="127"/>
        <w:rPr>
          <w:rFonts w:ascii="仿宋_GB2312" w:eastAsia="仿宋_GB2312"/>
          <w:sz w:val="44"/>
        </w:rPr>
      </w:pPr>
    </w:p>
    <w:p>
      <w:pPr>
        <w:pStyle w:val="2"/>
        <w:rPr>
          <w:rFonts w:ascii="仿宋_GB2312" w:eastAsia="仿宋_GB2312"/>
          <w:sz w:val="44"/>
        </w:rPr>
      </w:pPr>
    </w:p>
    <w:p>
      <w:pPr>
        <w:pStyle w:val="2"/>
        <w:rPr>
          <w:rFonts w:ascii="仿宋_GB2312" w:eastAsia="仿宋_GB2312"/>
          <w:sz w:val="44"/>
        </w:rPr>
      </w:pPr>
    </w:p>
    <w:p>
      <w:pPr>
        <w:tabs>
          <w:tab w:val="left" w:pos="315"/>
          <w:tab w:val="left" w:pos="8820"/>
        </w:tabs>
        <w:spacing w:line="500" w:lineRule="exact"/>
        <w:ind w:right="267" w:rightChars="127"/>
        <w:rPr>
          <w:rFonts w:ascii="仿宋_GB2312" w:eastAsia="仿宋_GB2312"/>
          <w:b/>
          <w:bCs/>
          <w:sz w:val="36"/>
        </w:rPr>
      </w:pPr>
      <w:r>
        <w:rPr>
          <w:rFonts w:hint="eastAsia" w:ascii="Arial Black" w:hAnsi="Arial Black" w:eastAsia="华文彩云"/>
          <w:sz w:val="44"/>
        </w:rPr>
        <w:t xml:space="preserve">  </w:t>
      </w:r>
    </w:p>
    <w:p>
      <w:pPr>
        <w:tabs>
          <w:tab w:val="left" w:pos="315"/>
          <w:tab w:val="left" w:pos="8820"/>
        </w:tabs>
        <w:spacing w:line="500" w:lineRule="exact"/>
        <w:ind w:right="267" w:rightChars="127"/>
        <w:jc w:val="center"/>
        <w:rPr>
          <w:rFonts w:ascii="宋体" w:hAnsi="宋体"/>
          <w:sz w:val="32"/>
        </w:rPr>
      </w:pPr>
    </w:p>
    <w:p>
      <w:pPr>
        <w:tabs>
          <w:tab w:val="left" w:pos="315"/>
          <w:tab w:val="left" w:pos="8820"/>
        </w:tabs>
        <w:spacing w:line="500" w:lineRule="exact"/>
        <w:ind w:right="267" w:rightChars="127"/>
        <w:jc w:val="center"/>
        <w:rPr>
          <w:rFonts w:ascii="微软简标宋" w:eastAsia="黑体"/>
          <w:b/>
          <w:bCs/>
          <w:sz w:val="52"/>
        </w:rPr>
      </w:pPr>
    </w:p>
    <w:p>
      <w:pPr>
        <w:rPr>
          <w:rFonts w:hint="eastAsia"/>
          <w:b/>
          <w:bCs/>
          <w:sz w:val="32"/>
          <w:szCs w:val="32"/>
        </w:rPr>
      </w:pPr>
      <w:r>
        <w:rPr>
          <w:rFonts w:hint="eastAsia"/>
          <w:b/>
          <w:bCs/>
          <w:sz w:val="32"/>
          <w:szCs w:val="32"/>
        </w:rPr>
        <w:t>项目名称:</w:t>
      </w:r>
      <w:r>
        <w:rPr>
          <w:rFonts w:hint="eastAsia"/>
          <w:b/>
          <w:bCs/>
          <w:sz w:val="32"/>
          <w:szCs w:val="32"/>
          <w:lang w:val="en-US" w:eastAsia="zh-CN"/>
        </w:rPr>
        <w:t>郸城县民政局郸城县骨灰堂建设项目（城市公墓）门前绿化工程项目</w:t>
      </w:r>
    </w:p>
    <w:p>
      <w:pPr>
        <w:tabs>
          <w:tab w:val="left" w:pos="315"/>
          <w:tab w:val="left" w:pos="8820"/>
        </w:tabs>
        <w:spacing w:line="600" w:lineRule="exact"/>
        <w:ind w:right="267" w:rightChars="127"/>
        <w:jc w:val="left"/>
        <w:rPr>
          <w:rFonts w:hint="eastAsia" w:ascii="宋体" w:hAnsi="宋体"/>
          <w:b/>
          <w:bCs/>
          <w:sz w:val="32"/>
          <w:szCs w:val="32"/>
        </w:rPr>
      </w:pPr>
      <w:r>
        <w:rPr>
          <w:rFonts w:hint="eastAsia" w:ascii="宋体" w:hAnsi="宋体"/>
          <w:b/>
          <w:bCs/>
          <w:sz w:val="32"/>
          <w:szCs w:val="32"/>
        </w:rPr>
        <w:t xml:space="preserve">项目编号: </w:t>
      </w:r>
      <w:r>
        <w:rPr>
          <w:rFonts w:hint="eastAsia" w:ascii="宋体" w:hAnsi="宋体"/>
          <w:b/>
          <w:bCs/>
          <w:sz w:val="32"/>
          <w:szCs w:val="32"/>
          <w:lang w:val="en-US" w:eastAsia="zh-CN"/>
        </w:rPr>
        <w:t>郸财磋商采购-2024-15</w:t>
      </w:r>
    </w:p>
    <w:p>
      <w:pPr>
        <w:pStyle w:val="11"/>
        <w:jc w:val="center"/>
        <w:rPr>
          <w:rFonts w:hint="eastAsia" w:ascii="宋体" w:hAnsi="宋体" w:cs="宋体"/>
          <w:b/>
          <w:bCs/>
          <w:sz w:val="32"/>
          <w:szCs w:val="32"/>
          <w:lang w:val="en-US" w:eastAsia="zh-CN"/>
        </w:rPr>
      </w:pPr>
    </w:p>
    <w:p>
      <w:pPr>
        <w:pStyle w:val="11"/>
        <w:jc w:val="center"/>
        <w:rPr>
          <w:rFonts w:ascii="宋体" w:hAnsi="宋体"/>
          <w:b/>
          <w:bCs/>
          <w:sz w:val="32"/>
          <w:szCs w:val="32"/>
        </w:rPr>
      </w:pPr>
      <w:r>
        <w:rPr>
          <w:rFonts w:hint="eastAsia" w:ascii="宋体" w:hAnsi="宋体" w:cs="宋体"/>
          <w:b/>
          <w:bCs/>
          <w:sz w:val="32"/>
          <w:szCs w:val="32"/>
          <w:lang w:val="en-US" w:eastAsia="zh-CN"/>
        </w:rPr>
        <w:t>2024</w:t>
      </w:r>
      <w:r>
        <w:rPr>
          <w:rFonts w:hint="eastAsia" w:ascii="宋体" w:hAnsi="宋体"/>
          <w:b/>
          <w:bCs/>
          <w:sz w:val="32"/>
          <w:szCs w:val="32"/>
        </w:rPr>
        <w:t>年</w:t>
      </w:r>
      <w:r>
        <w:rPr>
          <w:rFonts w:hint="eastAsia" w:ascii="宋体" w:hAnsi="宋体" w:cs="宋体"/>
          <w:b/>
          <w:bCs/>
          <w:sz w:val="32"/>
          <w:szCs w:val="32"/>
          <w:lang w:val="en-US" w:eastAsia="zh-CN"/>
        </w:rPr>
        <w:t>04</w:t>
      </w:r>
      <w:r>
        <w:rPr>
          <w:rFonts w:hint="eastAsia" w:ascii="宋体" w:hAnsi="宋体"/>
          <w:b/>
          <w:bCs/>
          <w:sz w:val="32"/>
          <w:szCs w:val="32"/>
        </w:rPr>
        <w:t>月</w:t>
      </w:r>
      <w:r>
        <w:rPr>
          <w:rFonts w:hint="eastAsia" w:ascii="宋体" w:hAnsi="宋体" w:cs="宋体"/>
          <w:b/>
          <w:bCs/>
          <w:sz w:val="32"/>
          <w:szCs w:val="32"/>
          <w:lang w:val="en-US" w:eastAsia="zh-CN"/>
        </w:rPr>
        <w:t>26</w:t>
      </w:r>
      <w:r>
        <w:rPr>
          <w:rFonts w:hint="eastAsia" w:ascii="宋体" w:hAnsi="宋体"/>
          <w:b/>
          <w:bCs/>
          <w:sz w:val="32"/>
          <w:szCs w:val="32"/>
        </w:rPr>
        <w:t>日</w:t>
      </w:r>
    </w:p>
    <w:p>
      <w:pPr>
        <w:spacing w:line="56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目     录</w:t>
      </w:r>
    </w:p>
    <w:p>
      <w:pPr>
        <w:rPr>
          <w:rFonts w:hint="eastAsia" w:ascii="宋体" w:hAnsi="宋体" w:eastAsia="宋体" w:cs="宋体"/>
          <w:b/>
          <w:color w:val="auto"/>
          <w:sz w:val="32"/>
          <w:szCs w:val="32"/>
          <w:highlight w:val="none"/>
        </w:rPr>
      </w:pPr>
    </w:p>
    <w:p>
      <w:pPr>
        <w:spacing w:line="8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第一章  竞争性磋商邀请函 .........................3</w:t>
      </w:r>
    </w:p>
    <w:p>
      <w:pPr>
        <w:spacing w:line="8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第二章  供应商须知 ...............................6</w:t>
      </w:r>
    </w:p>
    <w:p>
      <w:pPr>
        <w:spacing w:line="8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第三章  采购项目内容及要求.......................24</w:t>
      </w:r>
    </w:p>
    <w:p>
      <w:pPr>
        <w:spacing w:line="8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第四章  响应性文件内容及格式.....................25</w:t>
      </w:r>
    </w:p>
    <w:p>
      <w:pPr>
        <w:spacing w:line="800" w:lineRule="exac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第五章  合同主要条款 合同签订指引、供应商履约验收指引41</w:t>
      </w:r>
    </w:p>
    <w:p>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第一章    竞争性磋商邀请函</w:t>
      </w:r>
    </w:p>
    <w:p>
      <w:pPr>
        <w:spacing w:before="0" w:after="0" w:line="240" w:lineRule="auto"/>
        <w:ind w:left="0" w:right="0" w:firstLine="480"/>
        <w:jc w:val="both"/>
        <w:rPr>
          <w:rFonts w:ascii="Times New Roman" w:hAnsi="Times New Roman" w:eastAsia="Times New Roman" w:cs="Times New Roman"/>
          <w:color w:val="auto"/>
          <w:spacing w:val="0"/>
          <w:position w:val="0"/>
          <w:sz w:val="24"/>
          <w:highlight w:val="none"/>
          <w:shd w:val="clear" w:fill="auto"/>
        </w:rPr>
      </w:pPr>
      <w:bookmarkStart w:id="0" w:name="_Toc28359012"/>
      <w:bookmarkStart w:id="1" w:name="_Toc35393629"/>
      <w:bookmarkStart w:id="2" w:name="_Toc28359089"/>
      <w:bookmarkStart w:id="3" w:name="_Toc35393798"/>
      <w:bookmarkStart w:id="4" w:name="OLE_LINK2"/>
      <w:bookmarkStart w:id="5" w:name="OLE_LINK1"/>
      <w:r>
        <w:rPr>
          <w:rFonts w:ascii="宋体" w:hAnsi="宋体" w:eastAsia="宋体" w:cs="宋体"/>
          <w:color w:val="auto"/>
          <w:spacing w:val="0"/>
          <w:position w:val="0"/>
          <w:sz w:val="24"/>
          <w:highlight w:val="none"/>
          <w:shd w:val="clear" w:fill="auto"/>
        </w:rPr>
        <w:t>项目概况</w:t>
      </w:r>
    </w:p>
    <w:p>
      <w:pPr>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 郸城县民政局郸城县骨灰堂建设项目（城市公墓）门前绿化工程项目</w:t>
      </w:r>
      <w:r>
        <w:rPr>
          <w:rFonts w:hint="eastAsia" w:ascii="宋体" w:hAnsi="宋体" w:eastAsia="宋体" w:cs="宋体"/>
          <w:color w:val="auto"/>
          <w:sz w:val="24"/>
          <w:highlight w:val="none"/>
        </w:rPr>
        <w:t xml:space="preserve"> 项目的潜在供应商应在周口市公共资源交易中心网获取采购文件，并于</w:t>
      </w: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分（北京时间）前提交响应文件。</w:t>
      </w:r>
    </w:p>
    <w:p>
      <w:pPr>
        <w:pStyle w:val="5"/>
        <w:autoSpaceDE w:val="0"/>
        <w:autoSpaceDN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一、项目基本情况</w:t>
      </w:r>
      <w:bookmarkEnd w:id="0"/>
      <w:bookmarkEnd w:id="1"/>
      <w:bookmarkEnd w:id="2"/>
      <w:bookmarkEnd w:id="3"/>
    </w:p>
    <w:p>
      <w:pPr>
        <w:autoSpaceDE w:val="0"/>
        <w:autoSpaceDN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项目编号：</w:t>
      </w:r>
      <w:r>
        <w:rPr>
          <w:rFonts w:hint="eastAsia" w:ascii="宋体" w:hAnsi="宋体" w:cs="宋体"/>
          <w:color w:val="auto"/>
          <w:sz w:val="24"/>
          <w:highlight w:val="none"/>
          <w:lang w:eastAsia="zh-CN"/>
        </w:rPr>
        <w:t>郸财磋商采购-2024-15</w:t>
      </w:r>
    </w:p>
    <w:p>
      <w:pPr>
        <w:autoSpaceDE w:val="0"/>
        <w:autoSpaceDN w:val="0"/>
        <w:spacing w:line="360" w:lineRule="auto"/>
        <w:ind w:firstLine="480" w:firstLineChars="200"/>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项目名称：</w:t>
      </w:r>
      <w:r>
        <w:rPr>
          <w:rFonts w:hint="eastAsia" w:ascii="宋体" w:hAnsi="宋体" w:cs="宋体"/>
          <w:color w:val="auto"/>
          <w:sz w:val="24"/>
          <w:highlight w:val="none"/>
          <w:lang w:eastAsia="zh-CN"/>
        </w:rPr>
        <w:t>郸城县民政局郸城县骨灰堂建设项目（城市公墓）门前绿化工程项目</w:t>
      </w:r>
    </w:p>
    <w:p>
      <w:pPr>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采购方式：竞争性磋商</w:t>
      </w:r>
    </w:p>
    <w:p>
      <w:pPr>
        <w:autoSpaceDE w:val="0"/>
        <w:autoSpaceDN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预算金额：839508.24</w:t>
      </w:r>
      <w:r>
        <w:rPr>
          <w:rFonts w:hint="eastAsia" w:ascii="宋体" w:hAnsi="宋体" w:cs="宋体"/>
          <w:color w:val="auto"/>
          <w:sz w:val="24"/>
          <w:highlight w:val="none"/>
          <w:lang w:val="en-US" w:eastAsia="zh-CN"/>
        </w:rPr>
        <w:t>元</w:t>
      </w:r>
    </w:p>
    <w:p>
      <w:pPr>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最高限价：</w:t>
      </w:r>
      <w:r>
        <w:rPr>
          <w:rFonts w:hint="eastAsia" w:ascii="宋体" w:hAnsi="宋体" w:eastAsia="宋体" w:cs="宋体"/>
          <w:color w:val="auto"/>
          <w:spacing w:val="0"/>
          <w:position w:val="0"/>
          <w:sz w:val="24"/>
          <w:highlight w:val="none"/>
          <w:shd w:val="clear" w:fill="auto"/>
          <w:lang w:val="en-US" w:eastAsia="zh-CN"/>
        </w:rPr>
        <w:t>839508.24</w:t>
      </w:r>
      <w:r>
        <w:rPr>
          <w:rFonts w:hint="eastAsia" w:ascii="宋体" w:hAnsi="宋体" w:cs="宋体"/>
          <w:color w:val="auto"/>
          <w:sz w:val="24"/>
          <w:highlight w:val="none"/>
          <w:lang w:val="en-US" w:eastAsia="zh-CN"/>
        </w:rPr>
        <w:t>元</w:t>
      </w:r>
    </w:p>
    <w:p>
      <w:pPr>
        <w:pStyle w:val="27"/>
        <w:snapToGrid w:val="0"/>
        <w:spacing w:before="0" w:beforeAutospacing="0" w:after="0" w:afterAutospacing="0" w:line="360" w:lineRule="auto"/>
        <w:ind w:firstLine="480"/>
        <w:jc w:val="both"/>
        <w:rPr>
          <w:rFonts w:hint="eastAsia" w:ascii="宋体" w:hAnsi="宋体" w:eastAsia="宋体" w:cs="宋体"/>
          <w:color w:val="auto"/>
          <w:highlight w:val="none"/>
        </w:rPr>
      </w:pPr>
      <w:r>
        <w:rPr>
          <w:rFonts w:hint="eastAsia" w:ascii="宋体" w:hAnsi="宋体" w:eastAsia="宋体" w:cs="宋体"/>
          <w:color w:val="auto"/>
          <w:highlight w:val="none"/>
        </w:rPr>
        <w:t>包划分：</w:t>
      </w:r>
      <w:r>
        <w:rPr>
          <w:rFonts w:hint="eastAsia" w:cs="宋体"/>
          <w:color w:val="auto"/>
          <w:highlight w:val="none"/>
          <w:lang w:val="en-US" w:eastAsia="zh-CN"/>
        </w:rPr>
        <w:t>1</w:t>
      </w:r>
      <w:r>
        <w:rPr>
          <w:rFonts w:hint="eastAsia" w:ascii="宋体" w:hAnsi="宋体" w:eastAsia="宋体" w:cs="宋体"/>
          <w:color w:val="auto"/>
          <w:highlight w:val="none"/>
        </w:rPr>
        <w:t>个包</w:t>
      </w:r>
    </w:p>
    <w:tbl>
      <w:tblPr>
        <w:tblStyle w:val="31"/>
        <w:tblW w:w="87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5745"/>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027" w:type="dxa"/>
            <w:vAlign w:val="center"/>
          </w:tcPr>
          <w:p>
            <w:pPr>
              <w:pStyle w:val="27"/>
              <w:shd w:val="clear" w:color="auto" w:fill="FFFFFF"/>
              <w:adjustRightInd w:val="0"/>
              <w:snapToGrid w:val="0"/>
              <w:spacing w:before="0" w:beforeAutospacing="0" w:after="0" w:afterAutospacing="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包号</w:t>
            </w:r>
          </w:p>
        </w:tc>
        <w:tc>
          <w:tcPr>
            <w:tcW w:w="5745" w:type="dxa"/>
            <w:vAlign w:val="center"/>
          </w:tcPr>
          <w:p>
            <w:pPr>
              <w:pStyle w:val="27"/>
              <w:shd w:val="clear" w:color="auto" w:fill="FFFFFF"/>
              <w:adjustRightInd w:val="0"/>
              <w:snapToGrid w:val="0"/>
              <w:spacing w:before="0" w:beforeAutospacing="0" w:after="0" w:afterAutospacing="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包名称</w:t>
            </w:r>
          </w:p>
        </w:tc>
        <w:tc>
          <w:tcPr>
            <w:tcW w:w="2010" w:type="dxa"/>
            <w:vAlign w:val="center"/>
          </w:tcPr>
          <w:p>
            <w:pPr>
              <w:pStyle w:val="27"/>
              <w:shd w:val="clear" w:color="auto" w:fill="FFFFFF"/>
              <w:adjustRightInd w:val="0"/>
              <w:snapToGrid w:val="0"/>
              <w:spacing w:before="0" w:beforeAutospacing="0" w:after="0" w:afterAutospacing="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27" w:type="dxa"/>
            <w:vAlign w:val="center"/>
          </w:tcPr>
          <w:p>
            <w:pPr>
              <w:pStyle w:val="27"/>
              <w:shd w:val="clear" w:color="auto" w:fill="FFFFFF"/>
              <w:adjustRightInd w:val="0"/>
              <w:snapToGrid w:val="0"/>
              <w:spacing w:before="0" w:beforeAutospacing="0" w:after="0" w:afterAutospacing="0"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rPr>
              <w:t>1</w:t>
            </w:r>
          </w:p>
        </w:tc>
        <w:tc>
          <w:tcPr>
            <w:tcW w:w="5745" w:type="dxa"/>
            <w:vAlign w:val="center"/>
          </w:tcPr>
          <w:p>
            <w:pPr>
              <w:adjustRightInd w:val="0"/>
              <w:snapToGrid w:val="0"/>
              <w:spacing w:line="240" w:lineRule="auto"/>
              <w:jc w:val="left"/>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lang w:eastAsia="zh-CN"/>
              </w:rPr>
              <w:t>郸城县民政局郸城县骨灰堂建设项目（城市公墓）门前绿化工程项目</w:t>
            </w:r>
          </w:p>
        </w:tc>
        <w:tc>
          <w:tcPr>
            <w:tcW w:w="2010" w:type="dxa"/>
            <w:vAlign w:val="center"/>
          </w:tcPr>
          <w:p>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0"/>
                <w:position w:val="0"/>
                <w:sz w:val="24"/>
                <w:highlight w:val="none"/>
                <w:shd w:val="clear" w:fill="auto"/>
                <w:lang w:val="en-US" w:eastAsia="zh-CN"/>
              </w:rPr>
              <w:t>839508.24</w:t>
            </w:r>
          </w:p>
        </w:tc>
      </w:tr>
    </w:tbl>
    <w:p>
      <w:pPr>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采购需求：详见</w:t>
      </w:r>
      <w:r>
        <w:rPr>
          <w:rFonts w:hint="eastAsia" w:ascii="宋体" w:hAnsi="宋体" w:cs="宋体"/>
          <w:color w:val="auto"/>
          <w:sz w:val="24"/>
          <w:highlight w:val="none"/>
          <w:lang w:val="en-US" w:eastAsia="zh-CN"/>
        </w:rPr>
        <w:t>工程量</w:t>
      </w:r>
      <w:r>
        <w:rPr>
          <w:rFonts w:hint="eastAsia" w:ascii="宋体" w:hAnsi="宋体" w:eastAsia="宋体" w:cs="宋体"/>
          <w:color w:val="auto"/>
          <w:sz w:val="24"/>
          <w:highlight w:val="none"/>
        </w:rPr>
        <w:t>清单（包括但不限于标的的名称、数量、简要技术需求或服务要求等）</w:t>
      </w:r>
    </w:p>
    <w:p>
      <w:pPr>
        <w:autoSpaceDE w:val="0"/>
        <w:autoSpaceDN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合同履行期限：合同签订后</w:t>
      </w:r>
      <w:r>
        <w:rPr>
          <w:rFonts w:hint="eastAsia" w:ascii="宋体" w:hAnsi="宋体" w:cs="宋体"/>
          <w:color w:val="auto"/>
          <w:sz w:val="24"/>
          <w:highlight w:val="none"/>
          <w:lang w:val="en-US" w:eastAsia="zh-CN"/>
        </w:rPr>
        <w:t>15</w:t>
      </w:r>
      <w:r>
        <w:rPr>
          <w:rFonts w:hint="eastAsia" w:ascii="宋体" w:hAnsi="宋体" w:eastAsia="宋体" w:cs="宋体"/>
          <w:color w:val="auto"/>
          <w:sz w:val="24"/>
          <w:highlight w:val="none"/>
        </w:rPr>
        <w:t>日历天</w:t>
      </w:r>
    </w:p>
    <w:p>
      <w:pPr>
        <w:spacing w:line="360" w:lineRule="auto"/>
        <w:ind w:firstLine="480" w:firstLineChars="200"/>
        <w:jc w:val="left"/>
        <w:rPr>
          <w:rFonts w:hint="eastAsia" w:ascii="宋体" w:hAnsi="宋体" w:eastAsia="宋体" w:cs="宋体"/>
          <w:color w:val="auto"/>
          <w:sz w:val="24"/>
          <w:highlight w:val="none"/>
        </w:rPr>
      </w:pPr>
      <w:bookmarkStart w:id="6" w:name="_Toc35393630"/>
      <w:bookmarkStart w:id="7" w:name="_Toc35393799"/>
      <w:bookmarkStart w:id="8" w:name="_Toc28359013"/>
      <w:bookmarkStart w:id="9" w:name="_Toc28359090"/>
      <w:r>
        <w:rPr>
          <w:rFonts w:hint="eastAsia" w:ascii="宋体" w:hAnsi="宋体" w:eastAsia="宋体" w:cs="宋体"/>
          <w:color w:val="auto"/>
          <w:sz w:val="24"/>
          <w:highlight w:val="none"/>
        </w:rPr>
        <w:t>是否接受进口产品：否</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本项目是否接受联合体投标：否</w:t>
      </w:r>
    </w:p>
    <w:p>
      <w:pPr>
        <w:spacing w:line="360" w:lineRule="auto"/>
        <w:ind w:firstLine="480" w:firstLineChars="200"/>
        <w:jc w:val="left"/>
        <w:rPr>
          <w:rFonts w:hint="eastAsia" w:ascii="宋体" w:hAnsi="宋体" w:eastAsia="宋体" w:cs="宋体"/>
          <w:color w:val="auto"/>
          <w:highlight w:val="none"/>
        </w:rPr>
      </w:pPr>
      <w:r>
        <w:rPr>
          <w:rFonts w:hint="eastAsia" w:ascii="宋体" w:hAnsi="宋体" w:eastAsia="宋体" w:cs="宋体"/>
          <w:color w:val="auto"/>
          <w:sz w:val="24"/>
          <w:highlight w:val="none"/>
        </w:rPr>
        <w:t>本项目是否为只面向中小企业采购：是，采购预留金额（万元）</w:t>
      </w:r>
      <w:r>
        <w:rPr>
          <w:rFonts w:hint="eastAsia" w:ascii="宋体" w:hAnsi="宋体" w:eastAsia="宋体" w:cs="宋体"/>
          <w:color w:val="auto"/>
          <w:sz w:val="24"/>
          <w:highlight w:val="none"/>
          <w:u w:val="single"/>
        </w:rPr>
        <w:t>83</w:t>
      </w:r>
      <w:r>
        <w:rPr>
          <w:rFonts w:hint="eastAsia" w:ascii="宋体" w:hAnsi="宋体" w:cs="宋体"/>
          <w:color w:val="auto"/>
          <w:sz w:val="24"/>
          <w:highlight w:val="none"/>
          <w:u w:val="single"/>
          <w:lang w:val="en-US" w:eastAsia="zh-CN"/>
        </w:rPr>
        <w:t>.</w:t>
      </w:r>
      <w:r>
        <w:rPr>
          <w:rFonts w:hint="eastAsia" w:ascii="宋体" w:hAnsi="宋体" w:eastAsia="宋体" w:cs="宋体"/>
          <w:color w:val="auto"/>
          <w:sz w:val="24"/>
          <w:highlight w:val="none"/>
          <w:u w:val="single"/>
        </w:rPr>
        <w:t>950824</w:t>
      </w:r>
      <w:r>
        <w:rPr>
          <w:rFonts w:hint="eastAsia" w:ascii="宋体" w:hAnsi="宋体" w:eastAsia="宋体" w:cs="宋体"/>
          <w:color w:val="auto"/>
          <w:sz w:val="24"/>
          <w:highlight w:val="none"/>
        </w:rPr>
        <w:t xml:space="preserve"> 必须提供中小企业声明函/否。(友情提醒：此处必须和省政府采购网上申报填写一致)。</w:t>
      </w:r>
    </w:p>
    <w:p>
      <w:pPr>
        <w:pStyle w:val="5"/>
        <w:autoSpaceDE w:val="0"/>
        <w:autoSpaceDN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二、申请人的资格要求：</w:t>
      </w:r>
      <w:bookmarkEnd w:id="6"/>
      <w:bookmarkEnd w:id="7"/>
      <w:bookmarkEnd w:id="8"/>
      <w:bookmarkEnd w:id="9"/>
    </w:p>
    <w:p>
      <w:pPr>
        <w:autoSpaceDE w:val="0"/>
        <w:autoSpaceDN w:val="0"/>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（1）具有独立承担民事责任的能力；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（2）具有良好的商业信誉和健全的财务会计制度；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（3）具有履行合同所必需的设备和专业技术能力；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（4）有依法缴纳税收和社会保障资金的良好记录； </w:t>
      </w:r>
    </w:p>
    <w:p>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（5）参加政府采购活动前三年内，在经营活动中没有重大违法记录； </w:t>
      </w:r>
    </w:p>
    <w:p>
      <w:pPr>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 xml:space="preserve">（6）法律、行政法规规定的其他条件。 </w:t>
      </w:r>
    </w:p>
    <w:p>
      <w:pPr>
        <w:autoSpaceDE w:val="0"/>
        <w:autoSpaceDN w:val="0"/>
        <w:spacing w:line="360" w:lineRule="auto"/>
        <w:ind w:firstLine="540"/>
        <w:rPr>
          <w:rFonts w:hint="eastAsia" w:ascii="宋体" w:hAnsi="宋体" w:eastAsia="宋体" w:cs="宋体"/>
          <w:color w:val="auto"/>
          <w:sz w:val="24"/>
          <w:highlight w:val="none"/>
        </w:rPr>
      </w:pPr>
      <w:bookmarkStart w:id="10" w:name="_Toc28359091"/>
      <w:bookmarkStart w:id="11" w:name="_Toc28359014"/>
      <w:r>
        <w:rPr>
          <w:rFonts w:hint="eastAsia" w:ascii="宋体" w:hAnsi="宋体" w:eastAsia="宋体" w:cs="宋体"/>
          <w:color w:val="auto"/>
          <w:sz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3.本项目的特定资格要求：（1）根据《关于在政府采购活动中查询及使用信用记录有关问题的通知》(财库[2016]125号)和豫财购【2016】15号的规定，对列入“信用中国”网站（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highlight w:val="none"/>
        </w:rPr>
        <w:t>www.creditchina.gov.cn</w:t>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）的“重大税收违法失信主体”、“失信被执行人”和“中国政府采购”网站(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4"/>
          <w:highlight w:val="none"/>
        </w:rPr>
        <w:t>www.ccgp.gov.cn</w:t>
      </w:r>
      <w:r>
        <w:rPr>
          <w:rFonts w:hint="eastAsia" w:ascii="宋体" w:hAnsi="宋体" w:eastAsia="宋体" w:cs="宋体"/>
          <w:color w:val="auto"/>
          <w:sz w:val="24"/>
          <w:highlight w:val="none"/>
        </w:rPr>
        <w:fldChar w:fldCharType="end"/>
      </w:r>
      <w:r>
        <w:rPr>
          <w:rFonts w:hint="eastAsia" w:ascii="宋体" w:hAnsi="宋体" w:eastAsia="宋体" w:cs="宋体"/>
          <w:color w:val="auto"/>
          <w:sz w:val="24"/>
          <w:highlight w:val="none"/>
        </w:rPr>
        <w:t>)的“政府采购严重违法失信行为记录名单”的供应商，将拒绝其参加政府采购活动；在标书中附加盖公章的网页查询扫描件，查询日期为公告发布之日起至投标截止之日止。</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（2）供应商须具备</w:t>
      </w:r>
      <w:r>
        <w:rPr>
          <w:rFonts w:hint="eastAsia" w:ascii="宋体" w:hAnsi="宋体" w:cs="宋体"/>
          <w:color w:val="auto"/>
          <w:sz w:val="24"/>
          <w:highlight w:val="none"/>
          <w:lang w:eastAsia="zh-CN"/>
        </w:rPr>
        <w:t>市政公用工程施工总承包叁级</w:t>
      </w:r>
      <w:r>
        <w:rPr>
          <w:rFonts w:hint="eastAsia" w:ascii="宋体" w:hAnsi="宋体" w:eastAsia="宋体" w:cs="宋体"/>
          <w:color w:val="auto"/>
          <w:sz w:val="24"/>
          <w:highlight w:val="none"/>
        </w:rPr>
        <w:t>及以上资质，并在人员、设备、资金等方面具有相应的施工能力，须具有有效的安全生产许可证；拟派项目经理须具备</w:t>
      </w:r>
      <w:r>
        <w:rPr>
          <w:rFonts w:hint="eastAsia" w:ascii="宋体" w:hAnsi="宋体" w:cs="宋体"/>
          <w:color w:val="auto"/>
          <w:sz w:val="24"/>
          <w:highlight w:val="none"/>
          <w:lang w:val="en-US" w:eastAsia="zh-CN"/>
        </w:rPr>
        <w:t>市政公用工程</w:t>
      </w:r>
      <w:r>
        <w:rPr>
          <w:rFonts w:hint="eastAsia" w:ascii="宋体" w:hAnsi="宋体" w:eastAsia="宋体" w:cs="宋体"/>
          <w:color w:val="auto"/>
          <w:sz w:val="24"/>
          <w:highlight w:val="none"/>
        </w:rPr>
        <w:t>专业贰级及以上注册建造师执业资格、具有有效的安全生产考核合格证书，且未担任其他在建项目的项目经理。</w:t>
      </w:r>
    </w:p>
    <w:p>
      <w:pPr>
        <w:pStyle w:val="5"/>
        <w:autoSpaceDE w:val="0"/>
        <w:autoSpaceDN w:val="0"/>
        <w:spacing w:line="360" w:lineRule="auto"/>
        <w:jc w:val="left"/>
        <w:rPr>
          <w:rFonts w:hint="eastAsia" w:ascii="宋体" w:hAnsi="宋体" w:eastAsia="宋体" w:cs="宋体"/>
          <w:color w:val="auto"/>
          <w:sz w:val="24"/>
          <w:highlight w:val="none"/>
        </w:rPr>
      </w:pPr>
      <w:bookmarkStart w:id="12" w:name="_Toc35393800"/>
      <w:bookmarkStart w:id="13" w:name="_Toc35393631"/>
      <w:r>
        <w:rPr>
          <w:rFonts w:hint="eastAsia" w:ascii="宋体" w:hAnsi="宋体" w:eastAsia="宋体" w:cs="宋体"/>
          <w:color w:val="auto"/>
          <w:sz w:val="24"/>
          <w:highlight w:val="none"/>
        </w:rPr>
        <w:t>三、获取采购文件</w:t>
      </w:r>
      <w:bookmarkEnd w:id="10"/>
      <w:bookmarkEnd w:id="11"/>
      <w:bookmarkEnd w:id="12"/>
      <w:bookmarkEnd w:id="13"/>
    </w:p>
    <w:p>
      <w:pPr>
        <w:autoSpaceDE w:val="0"/>
        <w:autoSpaceDN w:val="0"/>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bookmarkStart w:id="49" w:name="_GoBack"/>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2024年4月28日至 2024年5月8日，每天00:00至23:59</w:t>
      </w:r>
      <w:r>
        <w:rPr>
          <w:rFonts w:hint="eastAsia" w:ascii="宋体" w:hAnsi="宋体" w:cs="宋体"/>
          <w:color w:val="auto"/>
          <w:sz w:val="24"/>
          <w:highlight w:val="none"/>
          <w:lang w:eastAsia="zh-CN"/>
        </w:rPr>
        <w:t>（北京</w:t>
      </w:r>
      <w:bookmarkEnd w:id="49"/>
      <w:r>
        <w:rPr>
          <w:rFonts w:hint="eastAsia" w:ascii="宋体" w:hAnsi="宋体" w:eastAsia="宋体" w:cs="宋体"/>
          <w:color w:val="auto"/>
          <w:sz w:val="24"/>
          <w:highlight w:val="none"/>
        </w:rPr>
        <w:t>时间，法定节假日除外 ）</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地点：周口市公共资源交易中心网（http://jyzx.zhoukou.gov.cn/）</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方式：供应商请在网站自主注册后下载采购文件（zkzf格式）及资料，需办理CA数字证书后方可提交响应文件，具体办理事宜请查阅周口市公共资源交易中心网站。</w:t>
      </w:r>
    </w:p>
    <w:p>
      <w:pPr>
        <w:autoSpaceDE w:val="0"/>
        <w:autoSpaceDN w:val="0"/>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售价：0</w:t>
      </w:r>
    </w:p>
    <w:p>
      <w:pPr>
        <w:pStyle w:val="5"/>
        <w:autoSpaceDE w:val="0"/>
        <w:autoSpaceDN w:val="0"/>
        <w:spacing w:line="360" w:lineRule="auto"/>
        <w:jc w:val="left"/>
        <w:rPr>
          <w:rFonts w:hint="eastAsia" w:ascii="宋体" w:hAnsi="宋体" w:eastAsia="宋体" w:cs="宋体"/>
          <w:color w:val="auto"/>
          <w:sz w:val="24"/>
          <w:highlight w:val="none"/>
        </w:rPr>
      </w:pPr>
      <w:bookmarkStart w:id="14" w:name="_Toc28359015"/>
      <w:bookmarkStart w:id="15" w:name="_Toc35393801"/>
      <w:bookmarkStart w:id="16" w:name="_Toc35393632"/>
      <w:bookmarkStart w:id="17" w:name="_Toc28359092"/>
      <w:r>
        <w:rPr>
          <w:rFonts w:hint="eastAsia" w:ascii="宋体" w:hAnsi="宋体" w:eastAsia="宋体" w:cs="宋体"/>
          <w:color w:val="auto"/>
          <w:sz w:val="24"/>
          <w:highlight w:val="none"/>
        </w:rPr>
        <w:t>四、响应文件提交</w:t>
      </w:r>
      <w:bookmarkEnd w:id="14"/>
      <w:bookmarkEnd w:id="15"/>
      <w:bookmarkEnd w:id="16"/>
      <w:bookmarkEnd w:id="17"/>
    </w:p>
    <w:p>
      <w:pPr>
        <w:autoSpaceDE w:val="0"/>
        <w:autoSpaceDN w:val="0"/>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截止时间：</w:t>
      </w: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宋体" w:hAnsi="宋体" w:eastAsia="宋体" w:cs="宋体"/>
          <w:bCs/>
          <w:color w:val="auto"/>
          <w:sz w:val="24"/>
          <w:highlight w:val="none"/>
        </w:rPr>
        <w:t>（北京时间）</w:t>
      </w:r>
    </w:p>
    <w:p>
      <w:pPr>
        <w:autoSpaceDE w:val="0"/>
        <w:autoSpaceDN w:val="0"/>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地点：加密电子响应文件须在投标截止时间前通过</w:t>
      </w:r>
      <w:r>
        <w:rPr>
          <w:rFonts w:hint="eastAsia" w:ascii="宋体" w:hAnsi="宋体" w:eastAsia="宋体" w:cs="宋体"/>
          <w:color w:val="auto"/>
          <w:spacing w:val="-6"/>
          <w:sz w:val="24"/>
          <w:highlight w:val="none"/>
        </w:rPr>
        <w:t>周口市公共资源交易中心网</w:t>
      </w:r>
      <w:r>
        <w:rPr>
          <w:rFonts w:hint="eastAsia" w:ascii="宋体" w:hAnsi="宋体" w:eastAsia="宋体" w:cs="宋体"/>
          <w:color w:val="auto"/>
          <w:sz w:val="24"/>
          <w:highlight w:val="none"/>
        </w:rPr>
        <w:t>（网址（http://jyzx.zhoukou.gov.cn/）。</w:t>
      </w:r>
    </w:p>
    <w:p>
      <w:pPr>
        <w:pStyle w:val="5"/>
        <w:autoSpaceDE w:val="0"/>
        <w:autoSpaceDN w:val="0"/>
        <w:spacing w:line="360" w:lineRule="auto"/>
        <w:jc w:val="left"/>
        <w:rPr>
          <w:rFonts w:hint="eastAsia" w:ascii="宋体" w:hAnsi="宋体" w:eastAsia="宋体" w:cs="宋体"/>
          <w:color w:val="auto"/>
          <w:sz w:val="24"/>
          <w:highlight w:val="none"/>
        </w:rPr>
      </w:pPr>
      <w:bookmarkStart w:id="18" w:name="_Toc35393633"/>
      <w:bookmarkStart w:id="19" w:name="_Toc35393802"/>
      <w:bookmarkStart w:id="20" w:name="_Toc28359093"/>
      <w:bookmarkStart w:id="21" w:name="_Toc28359016"/>
      <w:r>
        <w:rPr>
          <w:rFonts w:hint="eastAsia" w:ascii="宋体" w:hAnsi="宋体" w:eastAsia="宋体" w:cs="宋体"/>
          <w:color w:val="auto"/>
          <w:sz w:val="24"/>
          <w:highlight w:val="none"/>
        </w:rPr>
        <w:t>五、</w:t>
      </w:r>
      <w:bookmarkEnd w:id="18"/>
      <w:bookmarkEnd w:id="19"/>
      <w:bookmarkEnd w:id="20"/>
      <w:bookmarkEnd w:id="21"/>
      <w:r>
        <w:rPr>
          <w:rFonts w:hint="eastAsia" w:ascii="宋体" w:hAnsi="宋体" w:eastAsia="宋体" w:cs="宋体"/>
          <w:color w:val="auto"/>
          <w:sz w:val="24"/>
          <w:highlight w:val="none"/>
        </w:rPr>
        <w:t>五、响应文件开启</w:t>
      </w:r>
    </w:p>
    <w:p>
      <w:pPr>
        <w:autoSpaceDE w:val="0"/>
        <w:autoSpaceDN w:val="0"/>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宋体" w:hAnsi="宋体" w:eastAsia="宋体" w:cs="宋体"/>
          <w:bCs/>
          <w:color w:val="auto"/>
          <w:sz w:val="24"/>
          <w:highlight w:val="none"/>
        </w:rPr>
        <w:t>（北京时间）</w:t>
      </w:r>
    </w:p>
    <w:p>
      <w:pPr>
        <w:autoSpaceDE w:val="0"/>
        <w:autoSpaceDN w:val="0"/>
        <w:spacing w:line="360" w:lineRule="auto"/>
        <w:ind w:firstLine="480" w:firstLineChars="200"/>
        <w:jc w:val="left"/>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地点：周口市公共资源交易中心开标室</w:t>
      </w:r>
    </w:p>
    <w:p>
      <w:pPr>
        <w:pStyle w:val="5"/>
        <w:autoSpaceDE w:val="0"/>
        <w:autoSpaceDN w:val="0"/>
        <w:spacing w:line="360" w:lineRule="auto"/>
        <w:jc w:val="left"/>
        <w:rPr>
          <w:rFonts w:hint="eastAsia" w:ascii="宋体" w:hAnsi="宋体" w:eastAsia="宋体" w:cs="宋体"/>
          <w:color w:val="auto"/>
          <w:sz w:val="24"/>
          <w:highlight w:val="none"/>
        </w:rPr>
      </w:pPr>
      <w:bookmarkStart w:id="22" w:name="_Toc28359094"/>
      <w:bookmarkStart w:id="23" w:name="_Toc28359017"/>
      <w:bookmarkStart w:id="24" w:name="_Toc35393803"/>
      <w:bookmarkStart w:id="25" w:name="_Toc35393634"/>
      <w:r>
        <w:rPr>
          <w:rFonts w:hint="eastAsia" w:ascii="宋体" w:hAnsi="宋体" w:eastAsia="宋体" w:cs="宋体"/>
          <w:color w:val="auto"/>
          <w:sz w:val="24"/>
          <w:highlight w:val="none"/>
        </w:rPr>
        <w:t>六、</w:t>
      </w:r>
      <w:bookmarkEnd w:id="22"/>
      <w:bookmarkEnd w:id="23"/>
      <w:bookmarkEnd w:id="24"/>
      <w:bookmarkEnd w:id="25"/>
      <w:r>
        <w:rPr>
          <w:rFonts w:hint="eastAsia" w:ascii="宋体" w:hAnsi="宋体" w:eastAsia="宋体" w:cs="宋体"/>
          <w:color w:val="auto"/>
          <w:sz w:val="24"/>
          <w:highlight w:val="none"/>
        </w:rPr>
        <w:t>发布公告的媒介及招标公告期限</w:t>
      </w:r>
    </w:p>
    <w:p>
      <w:pPr>
        <w:autoSpaceDE w:val="0"/>
        <w:autoSpaceDN w:val="0"/>
        <w:spacing w:line="360" w:lineRule="auto"/>
        <w:ind w:firstLine="480" w:firstLineChars="200"/>
        <w:rPr>
          <w:rFonts w:hint="eastAsia" w:ascii="宋体" w:hAnsi="宋体" w:eastAsia="宋体" w:cs="宋体"/>
          <w:color w:val="auto"/>
          <w:kern w:val="0"/>
          <w:sz w:val="24"/>
          <w:highlight w:val="none"/>
        </w:rPr>
      </w:pPr>
      <w:r>
        <w:rPr>
          <w:rFonts w:ascii="Segoe UI" w:hAnsi="Segoe UI" w:eastAsia="Segoe UI" w:cs="Segoe UI"/>
          <w:color w:val="333333"/>
          <w:sz w:val="24"/>
          <w:szCs w:val="24"/>
        </w:rPr>
        <w:t>本次招标公告在《河南省政府采购网》《周口市公共资源交易中心网》上发布， 招标公告期限为三个工作日</w:t>
      </w:r>
      <w:r>
        <w:rPr>
          <w:rFonts w:hint="eastAsia" w:ascii="宋体" w:hAnsi="宋体" w:eastAsia="宋体" w:cs="宋体"/>
          <w:color w:val="auto"/>
          <w:kern w:val="0"/>
          <w:sz w:val="24"/>
          <w:highlight w:val="none"/>
        </w:rPr>
        <w:t>。</w:t>
      </w:r>
    </w:p>
    <w:p>
      <w:pPr>
        <w:pStyle w:val="5"/>
        <w:autoSpaceDE w:val="0"/>
        <w:autoSpaceDN w:val="0"/>
        <w:spacing w:line="360" w:lineRule="auto"/>
        <w:jc w:val="left"/>
        <w:rPr>
          <w:rFonts w:hint="eastAsia" w:ascii="宋体" w:hAnsi="宋体" w:eastAsia="宋体" w:cs="宋体"/>
          <w:color w:val="auto"/>
          <w:sz w:val="24"/>
          <w:highlight w:val="none"/>
        </w:rPr>
      </w:pPr>
      <w:bookmarkStart w:id="26" w:name="_Toc35393804"/>
      <w:bookmarkStart w:id="27" w:name="_Toc35393635"/>
      <w:r>
        <w:rPr>
          <w:rFonts w:hint="eastAsia" w:ascii="宋体" w:hAnsi="宋体" w:eastAsia="宋体" w:cs="宋体"/>
          <w:color w:val="auto"/>
          <w:sz w:val="24"/>
          <w:highlight w:val="none"/>
        </w:rPr>
        <w:t>七、其他补充事宜</w:t>
      </w:r>
      <w:bookmarkEnd w:id="26"/>
      <w:bookmarkEnd w:id="27"/>
    </w:p>
    <w:p>
      <w:pPr>
        <w:pStyle w:val="5"/>
        <w:autoSpaceDE w:val="0"/>
        <w:autoSpaceDN w:val="0"/>
        <w:spacing w:line="360" w:lineRule="auto"/>
        <w:jc w:val="left"/>
        <w:rPr>
          <w:rFonts w:hint="eastAsia" w:ascii="宋体" w:hAnsi="宋体" w:eastAsia="宋体" w:cs="宋体"/>
          <w:color w:val="auto"/>
          <w:sz w:val="24"/>
          <w:highlight w:val="none"/>
        </w:rPr>
      </w:pPr>
      <w:bookmarkStart w:id="28" w:name="_Toc35393805"/>
      <w:bookmarkStart w:id="29" w:name="_Toc28359018"/>
      <w:bookmarkStart w:id="30" w:name="_Toc35393636"/>
      <w:bookmarkStart w:id="31" w:name="_Toc28359095"/>
      <w:r>
        <w:rPr>
          <w:rFonts w:hint="eastAsia" w:ascii="宋体" w:hAnsi="宋体" w:eastAsia="宋体" w:cs="宋体"/>
          <w:color w:val="auto"/>
          <w:sz w:val="24"/>
          <w:highlight w:val="none"/>
        </w:rPr>
        <w:t>八、凡对本次采购提出询问，请按以下方式联系。</w:t>
      </w:r>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1.采购人信息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名称：郸城县民政局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地址：郸城县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联系人：韩伟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联系方式：13033953333 　　　　　　　　　　　 </w:t>
      </w:r>
      <w:bookmarkStart w:id="32" w:name="_Toc28359086"/>
      <w:bookmarkStart w:id="33" w:name="_Toc28359009"/>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2.采购代理机构信息</w:t>
      </w:r>
      <w:bookmarkEnd w:id="32"/>
      <w:bookmarkEnd w:id="3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名 称：周口市公共资源交易中心政府采购中心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地　址：周口市光明路与政通路交叉口</w:t>
      </w:r>
      <w:r>
        <w:rPr>
          <w:rFonts w:hint="eastAsia" w:ascii="宋体" w:hAnsi="宋体" w:eastAsia="宋体" w:cs="宋体"/>
          <w:i w:val="0"/>
          <w:iCs w:val="0"/>
          <w:color w:val="auto"/>
          <w:sz w:val="24"/>
          <w:szCs w:val="24"/>
          <w:lang w:val="en-US" w:eastAsia="zh-CN"/>
        </w:rPr>
        <w:t>向北100米路东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项目联系人：</w:t>
      </w:r>
      <w:r>
        <w:rPr>
          <w:rFonts w:hint="eastAsia" w:ascii="宋体" w:hAnsi="宋体" w:cs="宋体"/>
          <w:i w:val="0"/>
          <w:iCs w:val="0"/>
          <w:color w:val="auto"/>
          <w:sz w:val="24"/>
          <w:szCs w:val="24"/>
          <w:lang w:val="en-US" w:eastAsia="zh-CN"/>
        </w:rPr>
        <w:t xml:space="preserve">张光 </w:t>
      </w:r>
      <w:r>
        <w:rPr>
          <w:rFonts w:hint="eastAsia" w:ascii="宋体" w:hAnsi="宋体" w:eastAsia="宋体" w:cs="宋体"/>
          <w:i w:val="0"/>
          <w:iCs w:val="0"/>
          <w:color w:val="auto"/>
          <w:sz w:val="24"/>
          <w:szCs w:val="24"/>
          <w:lang w:val="en-US" w:eastAsia="zh-CN"/>
        </w:rPr>
        <w:t xml:space="preserve">   </w:t>
      </w:r>
      <w:r>
        <w:rPr>
          <w:rFonts w:hint="eastAsia" w:ascii="宋体" w:hAnsi="宋体" w:eastAsia="宋体" w:cs="宋体"/>
          <w:i w:val="0"/>
          <w:iCs w:val="0"/>
          <w:color w:val="auto"/>
          <w:sz w:val="24"/>
          <w:szCs w:val="24"/>
        </w:rPr>
        <w:t>联系方式：</w:t>
      </w:r>
      <w:bookmarkStart w:id="34" w:name="_Toc28359087"/>
      <w:bookmarkStart w:id="35" w:name="_Toc28359010"/>
      <w:r>
        <w:rPr>
          <w:rFonts w:hint="eastAsia" w:ascii="宋体" w:hAnsi="宋体" w:eastAsia="宋体" w:cs="宋体"/>
          <w:i w:val="0"/>
          <w:iCs w:val="0"/>
          <w:color w:val="auto"/>
          <w:sz w:val="24"/>
          <w:szCs w:val="24"/>
          <w:lang w:val="en-US" w:eastAsia="zh-CN"/>
        </w:rPr>
        <w:t>0394-8106517</w:t>
      </w:r>
      <w:r>
        <w:rPr>
          <w:rFonts w:hint="eastAsia" w:ascii="宋体" w:hAnsi="宋体" w:eastAsia="宋体" w:cs="宋体"/>
          <w:i w:val="0"/>
          <w:iCs w:val="0"/>
          <w:color w:val="auto"/>
          <w:sz w:val="24"/>
          <w:szCs w:val="24"/>
        </w:rPr>
        <w:t>　　　　　　　　</w:t>
      </w:r>
    </w:p>
    <w:bookmarkEnd w:id="34"/>
    <w:bookmarkEnd w:id="35"/>
    <w:p>
      <w:pPr>
        <w:pStyle w:val="2"/>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 xml:space="preserve">3.项目联系方式 </w:t>
      </w:r>
    </w:p>
    <w:p>
      <w:pPr>
        <w:pStyle w:val="2"/>
        <w:ind w:firstLine="480" w:firstLineChars="200"/>
        <w:rPr>
          <w:rFonts w:hint="eastAsia"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项目联系人：韩伟</w:t>
      </w:r>
    </w:p>
    <w:p>
      <w:pPr>
        <w:pStyle w:val="2"/>
        <w:ind w:firstLine="480" w:firstLineChars="200"/>
        <w:rPr>
          <w:rFonts w:hint="default"/>
          <w:color w:val="auto"/>
          <w:lang w:val="en-US" w:eastAsia="zh-CN"/>
        </w:rPr>
      </w:pPr>
      <w:r>
        <w:rPr>
          <w:rFonts w:hint="eastAsia" w:ascii="宋体" w:hAnsi="宋体" w:eastAsia="宋体" w:cs="宋体"/>
          <w:i w:val="0"/>
          <w:iCs w:val="0"/>
          <w:color w:val="auto"/>
          <w:sz w:val="24"/>
          <w:szCs w:val="24"/>
          <w:lang w:val="en-US" w:eastAsia="zh-CN"/>
        </w:rPr>
        <w:t>联系方式：</w:t>
      </w:r>
      <w:r>
        <w:rPr>
          <w:rFonts w:hint="eastAsia" w:ascii="宋体" w:hAnsi="宋体" w:eastAsia="宋体" w:cs="宋体"/>
          <w:i w:val="0"/>
          <w:iCs w:val="0"/>
          <w:color w:val="auto"/>
          <w:sz w:val="24"/>
          <w:szCs w:val="24"/>
        </w:rPr>
        <w:t>13033953333</w:t>
      </w:r>
      <w:r>
        <w:rPr>
          <w:rFonts w:hint="eastAsia" w:ascii="宋体" w:hAnsi="宋体" w:eastAsia="宋体" w:cs="宋体"/>
          <w:i w:val="0"/>
          <w:iCs w:val="0"/>
          <w:color w:val="auto"/>
          <w:sz w:val="24"/>
          <w:szCs w:val="24"/>
          <w:lang w:val="en-US" w:eastAsia="zh-CN"/>
        </w:rPr>
        <w:t xml:space="preserve">     </w:t>
      </w:r>
    </w:p>
    <w:p>
      <w:pPr>
        <w:pStyle w:val="2"/>
        <w:numPr>
          <w:ilvl w:val="0"/>
          <w:numId w:val="0"/>
        </w:numPr>
        <w:rPr>
          <w:rFonts w:hint="default"/>
          <w:color w:val="auto"/>
          <w:lang w:val="en-US" w:eastAsia="zh-CN"/>
        </w:rPr>
      </w:pPr>
    </w:p>
    <w:p>
      <w:pPr>
        <w:pStyle w:val="12"/>
        <w:adjustRightInd w:val="0"/>
        <w:snapToGrid w:val="0"/>
        <w:spacing w:line="360" w:lineRule="auto"/>
        <w:ind w:firstLine="2040" w:firstLineChars="85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周口市公共资源交易中心政府采购中心</w:t>
      </w:r>
    </w:p>
    <w:p>
      <w:pPr>
        <w:spacing w:line="360" w:lineRule="auto"/>
        <w:ind w:firstLine="3600" w:firstLineChars="1500"/>
        <w:jc w:val="left"/>
        <w:rPr>
          <w:rFonts w:hint="eastAsia" w:ascii="宋体" w:hAnsi="宋体" w:eastAsia="宋体" w:cs="宋体"/>
          <w:color w:val="auto"/>
          <w:highlight w:val="none"/>
        </w:rPr>
      </w:pPr>
      <w:r>
        <w:rPr>
          <w:rFonts w:hint="eastAsia" w:ascii="宋体" w:hAnsi="宋体" w:eastAsia="宋体" w:cs="宋体"/>
          <w:color w:val="auto"/>
          <w:sz w:val="24"/>
          <w:szCs w:val="24"/>
          <w:lang w:val="en-US" w:eastAsia="zh-CN"/>
        </w:rPr>
        <w:t>202</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28</w:t>
      </w:r>
      <w:r>
        <w:rPr>
          <w:rFonts w:hint="eastAsia" w:ascii="宋体" w:hAnsi="宋体" w:eastAsia="宋体" w:cs="宋体"/>
          <w:color w:val="auto"/>
          <w:sz w:val="24"/>
          <w:szCs w:val="24"/>
        </w:rPr>
        <w:t>日</w:t>
      </w:r>
      <w:r>
        <w:rPr>
          <w:rFonts w:hint="eastAsia" w:ascii="宋体" w:hAnsi="宋体" w:eastAsia="宋体" w:cs="宋体"/>
          <w:color w:val="auto"/>
          <w:sz w:val="24"/>
          <w:szCs w:val="24"/>
          <w:highlight w:val="none"/>
        </w:rPr>
        <w:t>　　</w:t>
      </w:r>
    </w:p>
    <w:p>
      <w:pPr>
        <w:pStyle w:val="2"/>
        <w:ind w:firstLine="240"/>
        <w:rPr>
          <w:rFonts w:hint="eastAsia" w:ascii="宋体" w:hAnsi="宋体" w:eastAsia="宋体" w:cs="宋体"/>
          <w:color w:val="auto"/>
          <w:sz w:val="24"/>
          <w:highlight w:val="none"/>
        </w:rPr>
      </w:pPr>
    </w:p>
    <w:bookmarkEnd w:id="4"/>
    <w:bookmarkEnd w:id="5"/>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第二章    供应商须知</w:t>
      </w:r>
    </w:p>
    <w:tbl>
      <w:tblPr>
        <w:tblStyle w:val="30"/>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供应商须知前附表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条款</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内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tc>
        <w:tc>
          <w:tcPr>
            <w:tcW w:w="6615" w:type="dxa"/>
            <w:vAlign w:val="center"/>
          </w:tcPr>
          <w:p>
            <w:pP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1）项目名称：郸城县民政局郸城县骨灰堂建设项目（城市公墓）门前绿化工程项目</w:t>
            </w:r>
          </w:p>
          <w:p>
            <w:pP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2）采购内容：详见</w:t>
            </w:r>
            <w:r>
              <w:rPr>
                <w:rFonts w:hint="eastAsia" w:ascii="宋体" w:hAnsi="宋体" w:cs="宋体"/>
                <w:color w:val="auto"/>
                <w:sz w:val="24"/>
                <w:highlight w:val="none"/>
                <w:lang w:val="en-US" w:eastAsia="zh-CN"/>
              </w:rPr>
              <w:t>工程量</w:t>
            </w:r>
            <w:r>
              <w:rPr>
                <w:rFonts w:hint="eastAsia" w:ascii="宋体" w:hAnsi="宋体" w:eastAsia="宋体" w:cs="宋体"/>
                <w:color w:val="auto"/>
                <w:sz w:val="24"/>
                <w:highlight w:val="none"/>
              </w:rPr>
              <w:t>清单</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3）采购人：郸城县民政局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w:t>
            </w:r>
          </w:p>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4）采购代理机构：周口市公共资源交易中心政府采购中心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left="-4" w:leftChars="-4" w:hanging="4" w:hangingChars="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对供应商的资格要求</w:t>
            </w:r>
          </w:p>
        </w:tc>
        <w:tc>
          <w:tcPr>
            <w:tcW w:w="6615" w:type="dxa"/>
            <w:vAlign w:val="center"/>
          </w:tcPr>
          <w:p>
            <w:pPr>
              <w:spacing w:before="156" w:beforeLines="50"/>
              <w:ind w:left="-4" w:leftChars="-4" w:hanging="4" w:hangingChars="2"/>
              <w:rPr>
                <w:rFonts w:hint="eastAsia" w:ascii="宋体" w:hAnsi="宋体" w:eastAsia="宋体" w:cs="宋体"/>
                <w:color w:val="auto"/>
                <w:sz w:val="24"/>
                <w:highlight w:val="none"/>
              </w:rPr>
            </w:pPr>
            <w:r>
              <w:rPr>
                <w:rFonts w:hint="eastAsia" w:ascii="宋体" w:hAnsi="宋体" w:eastAsia="宋体" w:cs="宋体"/>
                <w:color w:val="auto"/>
                <w:sz w:val="24"/>
                <w:highlight w:val="none"/>
              </w:rPr>
              <w:t>见竞争性磋商邀请函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报价费用</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无论报价和磋商的过程和结果如何，供应商自行承担所有与参加报价及磋商有关活动的全部费用。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pPr>
              <w:numPr>
                <w:ilvl w:val="0"/>
                <w:numId w:val="1"/>
              </w:numPr>
              <w:spacing w:before="156" w:beforeLines="50"/>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响应文件语言</w:t>
            </w:r>
          </w:p>
        </w:tc>
        <w:tc>
          <w:tcPr>
            <w:tcW w:w="6615" w:type="dxa"/>
            <w:vAlign w:val="center"/>
          </w:tcPr>
          <w:p>
            <w:pPr>
              <w:snapToGrid w:val="0"/>
              <w:rPr>
                <w:rFonts w:hint="eastAsia" w:ascii="宋体" w:hAnsi="宋体" w:eastAsia="宋体" w:cs="宋体"/>
                <w:color w:val="auto"/>
                <w:sz w:val="24"/>
                <w:highlight w:val="none"/>
              </w:rPr>
            </w:pPr>
            <w:r>
              <w:rPr>
                <w:rFonts w:hint="eastAsia" w:ascii="宋体" w:hAnsi="宋体" w:eastAsia="宋体" w:cs="宋体"/>
                <w:color w:val="auto"/>
                <w:sz w:val="24"/>
                <w:highlight w:val="none"/>
              </w:rPr>
              <w:t>中文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报价货币</w:t>
            </w:r>
          </w:p>
        </w:tc>
        <w:tc>
          <w:tcPr>
            <w:tcW w:w="661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报价范围及说明</w:t>
            </w:r>
          </w:p>
        </w:tc>
        <w:tc>
          <w:tcPr>
            <w:tcW w:w="6615" w:type="dxa"/>
            <w:vAlign w:val="center"/>
          </w:tcPr>
          <w:p>
            <w:pPr>
              <w:spacing w:before="156" w:beforeLines="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报价包括所本项目所招标的工程量清单及有关附表包括的全部内容、保险、税费、包装、现场落地、安装、验收等（采购项目技术规格、参数及要求）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响应文件有效期</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响应文件递交截止期后60日内有效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tabs>
                <w:tab w:val="left" w:pos="8640"/>
              </w:tabs>
              <w:spacing w:before="156" w:beforeLines="50"/>
              <w:ind w:left="-2" w:leftChars="-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响应文件的组成</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tabs>
                <w:tab w:val="left" w:pos="8640"/>
              </w:tabs>
              <w:spacing w:before="156" w:beforeLines="50"/>
              <w:ind w:left="-2" w:leftChars="-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响应文件封面要求</w:t>
            </w:r>
          </w:p>
        </w:tc>
        <w:tc>
          <w:tcPr>
            <w:tcW w:w="6615" w:type="dxa"/>
            <w:vAlign w:val="center"/>
          </w:tcPr>
          <w:p>
            <w:pPr>
              <w:tabs>
                <w:tab w:val="left" w:pos="8640"/>
              </w:tabs>
              <w:rPr>
                <w:rFonts w:hint="eastAsia" w:ascii="宋体" w:hAnsi="宋体" w:eastAsia="宋体" w:cs="宋体"/>
                <w:color w:val="auto"/>
                <w:sz w:val="24"/>
                <w:highlight w:val="none"/>
              </w:rPr>
            </w:pPr>
            <w:r>
              <w:rPr>
                <w:rFonts w:hint="eastAsia" w:ascii="宋体" w:hAnsi="宋体" w:eastAsia="宋体" w:cs="宋体"/>
                <w:color w:val="auto"/>
                <w:sz w:val="24"/>
                <w:highlight w:val="none"/>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响应文件份数要求</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加密的电子投标文件须在投标截止时间前成功上传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响应文件装订和密封要求</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竞争性磋商文件的澄清</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对竞争性磋商文件进行的澄清，以网上公告的方式通知供应商。澄清或修改的内容可能影响响应文件编制的，采购人、采购代理机构应当在提交响应文件截止时间至少5日前。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响应文件递交截止时间</w:t>
            </w:r>
          </w:p>
        </w:tc>
        <w:tc>
          <w:tcPr>
            <w:tcW w:w="6615" w:type="dxa"/>
            <w:vAlign w:val="center"/>
          </w:tcPr>
          <w:p>
            <w:pPr>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 xml:space="preserve">分  （见磋商公告）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响应文件递交地点</w:t>
            </w:r>
          </w:p>
        </w:tc>
        <w:tc>
          <w:tcPr>
            <w:tcW w:w="6615" w:type="dxa"/>
            <w:vAlign w:val="center"/>
          </w:tcPr>
          <w:p>
            <w:pPr>
              <w:rPr>
                <w:rFonts w:hint="eastAsia" w:ascii="宋体" w:hAnsi="宋体" w:eastAsia="宋体" w:cs="宋体"/>
                <w:color w:val="auto"/>
                <w:sz w:val="24"/>
                <w:highlight w:val="none"/>
              </w:rPr>
            </w:pPr>
            <w:r>
              <w:rPr>
                <w:rFonts w:hint="eastAsia" w:ascii="宋体" w:hAnsi="宋体" w:eastAsia="宋体" w:cs="宋体"/>
                <w:color w:val="auto"/>
                <w:sz w:val="24"/>
                <w:highlight w:val="none"/>
              </w:rPr>
              <w:t>周口市公共资源交易中心网</w:t>
            </w: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网址：周口市公共资源电子交易服务平台会员系统（网址（http://jyzx.zhoukou.gov.cn/）</w:t>
            </w:r>
          </w:p>
          <w:p>
            <w:pPr>
              <w:spacing w:line="56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（本项目实行网上远程开标无须到现场提交响应文件）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磋商时间</w:t>
            </w:r>
          </w:p>
        </w:tc>
        <w:tc>
          <w:tcPr>
            <w:tcW w:w="6615" w:type="dxa"/>
            <w:vAlign w:val="center"/>
          </w:tcPr>
          <w:p>
            <w:pPr>
              <w:tabs>
                <w:tab w:val="left" w:pos="8640"/>
              </w:tabs>
              <w:ind w:left="-2" w:leftChars="-1"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 见磋商公告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磋商程序和内容</w:t>
            </w:r>
          </w:p>
        </w:tc>
        <w:tc>
          <w:tcPr>
            <w:tcW w:w="6615" w:type="dxa"/>
            <w:vAlign w:val="center"/>
          </w:tcPr>
          <w:p>
            <w:pPr>
              <w:tabs>
                <w:tab w:val="left" w:pos="8640"/>
              </w:tabs>
              <w:rPr>
                <w:rFonts w:hint="eastAsia" w:ascii="宋体" w:hAnsi="宋体" w:eastAsia="宋体" w:cs="宋体"/>
                <w:color w:val="auto"/>
                <w:sz w:val="24"/>
                <w:highlight w:val="none"/>
              </w:rPr>
            </w:pPr>
            <w:r>
              <w:rPr>
                <w:rFonts w:hint="eastAsia" w:ascii="宋体" w:hAnsi="宋体" w:eastAsia="宋体" w:cs="宋体"/>
                <w:color w:val="auto"/>
                <w:sz w:val="24"/>
                <w:highlight w:val="none"/>
              </w:rPr>
              <w:t>详见磋商文件第二章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授予合同</w:t>
            </w:r>
          </w:p>
        </w:tc>
        <w:tc>
          <w:tcPr>
            <w:tcW w:w="6615" w:type="dxa"/>
            <w:vAlign w:val="center"/>
          </w:tcPr>
          <w:p>
            <w:pPr>
              <w:tabs>
                <w:tab w:val="left" w:pos="8640"/>
              </w:tabs>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采购人根据磋商小组的推荐意见，由采购人确定成交供应商。采购代理机构向成交供应商发出成交通知书。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签订合同</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1）接到成交通知书30天内，成交供应商应与采购人签订采购合同。</w:t>
            </w:r>
          </w:p>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2）本磋商文件、响应文件及磋商、评审过程中有关澄清、承诺文件的内容，将作为签订合同的主要内容。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投标保证金</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不需要缴纳投标保证金（按照相关文件要求货物、服务类政府采购活动不收取投标保证金、履约、质量保证金、合同中预留资金作为质量保证金等无法律依据的保证金。政府采购工程推广以承诺书替代保证金）。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工期</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合同签订后</w:t>
            </w:r>
            <w:r>
              <w:rPr>
                <w:rFonts w:hint="eastAsia" w:ascii="宋体" w:hAnsi="宋体" w:cs="宋体"/>
                <w:color w:val="auto"/>
                <w:sz w:val="24"/>
                <w:highlight w:val="none"/>
                <w:lang w:val="en-US" w:eastAsia="zh-CN"/>
              </w:rPr>
              <w:t>15</w:t>
            </w:r>
            <w:r>
              <w:rPr>
                <w:rFonts w:hint="eastAsia" w:ascii="宋体" w:hAnsi="宋体" w:eastAsia="宋体" w:cs="宋体"/>
                <w:color w:val="auto"/>
                <w:sz w:val="24"/>
                <w:highlight w:val="none"/>
              </w:rPr>
              <w:t>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pPr>
              <w:numPr>
                <w:ilvl w:val="0"/>
                <w:numId w:val="1"/>
              </w:numPr>
              <w:spacing w:before="156" w:beforeLines="50"/>
              <w:rPr>
                <w:rFonts w:hint="eastAsia" w:ascii="宋体" w:hAnsi="宋体" w:eastAsia="宋体" w:cs="宋体"/>
                <w:color w:val="auto"/>
                <w:sz w:val="24"/>
                <w:highlight w:val="none"/>
              </w:rPr>
            </w:pPr>
          </w:p>
        </w:tc>
        <w:tc>
          <w:tcPr>
            <w:tcW w:w="199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付款方式（要求详细填写）</w:t>
            </w:r>
          </w:p>
        </w:tc>
        <w:tc>
          <w:tcPr>
            <w:tcW w:w="6615" w:type="dxa"/>
            <w:vAlign w:val="center"/>
          </w:tcPr>
          <w:p>
            <w:pPr>
              <w:tabs>
                <w:tab w:val="left" w:pos="8640"/>
              </w:tabs>
              <w:ind w:left="-2" w:leftChars="-1"/>
              <w:rPr>
                <w:rFonts w:hint="eastAsia" w:ascii="宋体" w:hAnsi="宋体" w:eastAsia="宋体" w:cs="宋体"/>
                <w:color w:val="auto"/>
                <w:sz w:val="24"/>
                <w:highlight w:val="none"/>
              </w:rPr>
            </w:pPr>
            <w:r>
              <w:rPr>
                <w:rFonts w:hint="eastAsia" w:ascii="宋体" w:hAnsi="宋体" w:eastAsia="宋体" w:cs="宋体"/>
                <w:color w:val="auto"/>
                <w:sz w:val="24"/>
                <w:highlight w:val="none"/>
              </w:rPr>
              <w:t>1、竣工验收合格后</w:t>
            </w:r>
            <w:r>
              <w:rPr>
                <w:rFonts w:hint="eastAsia" w:ascii="宋体" w:hAnsi="宋体" w:cs="宋体"/>
                <w:color w:val="auto"/>
                <w:sz w:val="24"/>
                <w:highlight w:val="none"/>
                <w:lang w:val="en-US" w:eastAsia="zh-CN"/>
              </w:rPr>
              <w:t>、竣工结算审计</w:t>
            </w:r>
            <w:r>
              <w:rPr>
                <w:rFonts w:hint="eastAsia" w:ascii="宋体" w:hAnsi="宋体" w:eastAsia="宋体" w:cs="宋体"/>
                <w:color w:val="auto"/>
                <w:sz w:val="24"/>
                <w:highlight w:val="none"/>
              </w:rPr>
              <w:t>后</w:t>
            </w:r>
            <w:r>
              <w:rPr>
                <w:rFonts w:hint="eastAsia" w:ascii="宋体" w:hAnsi="宋体" w:eastAsia="宋体" w:cs="宋体"/>
                <w:color w:val="auto"/>
                <w:sz w:val="24"/>
                <w:highlight w:val="none"/>
                <w:lang w:val="en-US" w:eastAsia="zh-CN"/>
              </w:rPr>
              <w:t>拨付</w:t>
            </w:r>
            <w:r>
              <w:rPr>
                <w:rFonts w:hint="eastAsia" w:ascii="宋体" w:hAnsi="宋体" w:cs="宋体"/>
                <w:color w:val="auto"/>
                <w:sz w:val="24"/>
                <w:highlight w:val="none"/>
                <w:lang w:val="en-US" w:eastAsia="zh-CN"/>
              </w:rPr>
              <w:t>97</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余3%到质保期结束后付清。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勘察现场</w:t>
            </w:r>
          </w:p>
        </w:tc>
        <w:tc>
          <w:tcPr>
            <w:tcW w:w="6615" w:type="dxa"/>
            <w:vAlign w:val="center"/>
          </w:tcPr>
          <w:p>
            <w:pPr>
              <w:tabs>
                <w:tab w:val="left" w:pos="8640"/>
              </w:tabs>
              <w:jc w:val="left"/>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不组织</w:t>
            </w:r>
            <w:r>
              <w:rPr>
                <w:rFonts w:hint="eastAsia" w:ascii="宋体" w:hAnsi="宋体" w:eastAsia="宋体" w:cs="宋体"/>
                <w:color w:val="000000" w:themeColor="text1"/>
                <w:sz w:val="24"/>
                <w:highlight w:val="none"/>
                <w14:textFill>
                  <w14:solidFill>
                    <w14:schemeClr w14:val="tx1"/>
                  </w14:solidFill>
                </w14:textFill>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numPr>
                <w:ilvl w:val="0"/>
                <w:numId w:val="1"/>
              </w:numPr>
              <w:spacing w:before="156" w:beforeLines="50"/>
              <w:jc w:val="center"/>
              <w:rPr>
                <w:rFonts w:hint="eastAsia" w:ascii="宋体" w:hAnsi="宋体" w:eastAsia="宋体" w:cs="宋体"/>
                <w:color w:val="auto"/>
                <w:sz w:val="24"/>
                <w:highlight w:val="none"/>
              </w:rPr>
            </w:pPr>
          </w:p>
        </w:tc>
        <w:tc>
          <w:tcPr>
            <w:tcW w:w="1995" w:type="dxa"/>
            <w:vAlign w:val="center"/>
          </w:tcPr>
          <w:p>
            <w:pPr>
              <w:spacing w:before="156" w:beforeLines="50"/>
              <w:ind w:firstLine="14" w:firstLineChars="6"/>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报价</w:t>
            </w:r>
          </w:p>
        </w:tc>
        <w:tc>
          <w:tcPr>
            <w:tcW w:w="6615" w:type="dxa"/>
            <w:vAlign w:val="center"/>
          </w:tcPr>
          <w:p>
            <w:pPr>
              <w:tabs>
                <w:tab w:val="left" w:pos="8640"/>
              </w:tabs>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一次报价</w:t>
            </w:r>
          </w:p>
        </w:tc>
      </w:tr>
    </w:tbl>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pStyle w:val="29"/>
        <w:ind w:firstLine="0" w:firstLineChars="0"/>
        <w:rPr>
          <w:rFonts w:hint="eastAsia" w:ascii="宋体" w:hAnsi="宋体" w:eastAsia="宋体" w:cs="宋体"/>
          <w:b/>
          <w:color w:val="auto"/>
          <w:sz w:val="24"/>
          <w:highlight w:val="none"/>
        </w:rPr>
      </w:pPr>
    </w:p>
    <w:p>
      <w:pPr>
        <w:spacing w:line="720" w:lineRule="auto"/>
        <w:jc w:val="center"/>
        <w:rPr>
          <w:rFonts w:hint="eastAsia" w:ascii="宋体" w:hAnsi="宋体" w:eastAsia="宋体" w:cs="宋体"/>
          <w:b/>
          <w:color w:val="auto"/>
          <w:sz w:val="24"/>
          <w:highlight w:val="none"/>
        </w:rPr>
      </w:pP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一、总则</w:t>
      </w:r>
    </w:p>
    <w:p>
      <w:pPr>
        <w:spacing w:line="56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1．适用范围</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1.1本竞争性磋商文件仅适用于本次竞争性磋商邀请函中所述</w:t>
      </w:r>
      <w:r>
        <w:rPr>
          <w:rFonts w:hint="eastAsia" w:ascii="宋体" w:hAnsi="宋体" w:eastAsia="宋体" w:cs="宋体"/>
          <w:bCs/>
          <w:color w:val="auto"/>
          <w:sz w:val="24"/>
          <w:highlight w:val="none"/>
        </w:rPr>
        <w:t>项目。</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2.1“采购代理机构”：周口市公共资源交易中心政府采购中心。</w:t>
      </w:r>
    </w:p>
    <w:p>
      <w:pPr>
        <w:spacing w:line="560" w:lineRule="exact"/>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2.2“采购人”：</w:t>
      </w:r>
      <w:r>
        <w:rPr>
          <w:rFonts w:hint="eastAsia" w:ascii="宋体" w:hAnsi="宋体" w:cs="宋体"/>
          <w:color w:val="auto"/>
          <w:sz w:val="24"/>
          <w:highlight w:val="none"/>
          <w:lang w:val="en-US" w:eastAsia="zh-CN"/>
        </w:rPr>
        <w:t>郸城县民政局</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2.3“供应商”系指按竞争性磋商文件规定取得竞争性磋商文件并参加竞争性磋商活动的法人、其他组织或者自然人。</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2.4“供应商代表”：系指代表供应商参加本次竞争性磋商活动的供应商的法定代表人或其委托代理人。</w:t>
      </w:r>
    </w:p>
    <w:p>
      <w:pPr>
        <w:tabs>
          <w:tab w:val="left" w:pos="720"/>
          <w:tab w:val="left" w:pos="819"/>
        </w:tabs>
        <w:autoSpaceDE w:val="0"/>
        <w:autoSpaceDN w:val="0"/>
        <w:spacing w:before="194" w:line="388" w:lineRule="auto"/>
        <w:ind w:right="61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2.5“工程“：——指谈判供应商按谈判文件规定，须为采购人提供的工程施工及服务。</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2.7“重大违法记录”系指供应商因违法经营受到刑事处罚或者责令停产停业、吊销许可证或者执照、较大数额罚款等行政处罚。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2.8“不具备良好的商业信誉”是指：</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（1）有重大违法记录的（满三年的除外）；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（2）被各级财政部门列入政府采购严重违法失信行为信息记录的（期限已满的除外）；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（3）被各级政府采购监督管理部门禁止在一定期限内参加政府采购活动等处罚的（期限已满的除外）；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（4）被各级法院列入失信名单的（已依法解除的除外）；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（5）法律法规规定的其他情形。</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3.采购预算</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3.1本次采购预算：见公告。</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4.合格的供应商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4.1.1符合供应商资格条件（详见第一部分供应商资格条件）</w:t>
      </w:r>
    </w:p>
    <w:p>
      <w:pPr>
        <w:widowControl/>
        <w:spacing w:line="360" w:lineRule="auto"/>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4.1.2</w:t>
      </w:r>
      <w:r>
        <w:rPr>
          <w:rFonts w:hint="eastAsia" w:ascii="宋体" w:hAnsi="宋体" w:eastAsia="宋体" w:cs="宋体"/>
          <w:color w:val="auto"/>
          <w:sz w:val="24"/>
          <w:highlight w:val="none"/>
        </w:rPr>
        <w:t>参加政府采购活动前三年内，在经营活动中没有重大违法记录</w:t>
      </w:r>
      <w:r>
        <w:rPr>
          <w:rFonts w:hint="eastAsia" w:ascii="宋体" w:hAnsi="宋体" w:eastAsia="宋体" w:cs="宋体"/>
          <w:bCs/>
          <w:color w:val="auto"/>
          <w:sz w:val="24"/>
          <w:highlight w:val="none"/>
        </w:rPr>
        <w:t>的声明函</w:t>
      </w:r>
      <w:r>
        <w:rPr>
          <w:rFonts w:hint="eastAsia" w:ascii="宋体" w:hAnsi="宋体" w:eastAsia="宋体" w:cs="宋体"/>
          <w:color w:val="auto"/>
          <w:sz w:val="24"/>
          <w:highlight w:val="none"/>
          <w:shd w:val="clear" w:color="auto" w:fill="FFFFFF"/>
        </w:rPr>
        <w:t>；</w:t>
      </w:r>
    </w:p>
    <w:p>
      <w:pPr>
        <w:widowControl/>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4.1.3 政府采购供应商诚信承诺书；</w:t>
      </w:r>
    </w:p>
    <w:p>
      <w:pPr>
        <w:pStyle w:val="80"/>
        <w:spacing w:line="360" w:lineRule="auto"/>
        <w:ind w:firstLine="480" w:firstLineChars="200"/>
        <w:rPr>
          <w:rFonts w:hint="eastAsia" w:ascii="宋体" w:hAnsi="宋体" w:eastAsia="宋体" w:cs="宋体"/>
          <w:color w:val="auto"/>
          <w:kern w:val="2"/>
          <w:sz w:val="24"/>
          <w:highlight w:val="none"/>
          <w:lang w:val="en-US"/>
        </w:rPr>
      </w:pPr>
      <w:r>
        <w:rPr>
          <w:rFonts w:hint="eastAsia" w:ascii="宋体" w:hAnsi="宋体" w:eastAsia="宋体" w:cs="宋体"/>
          <w:color w:val="auto"/>
          <w:kern w:val="2"/>
          <w:sz w:val="24"/>
          <w:highlight w:val="none"/>
          <w:lang w:val="en-US"/>
        </w:rPr>
        <w:t>4.1.4 供应商自觉抵制政府采购领域商业贿赂行为承诺书；</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 供应商需提供售后服务体系与承诺。</w:t>
      </w:r>
    </w:p>
    <w:p>
      <w:pPr>
        <w:pStyle w:val="80"/>
        <w:spacing w:line="360" w:lineRule="auto"/>
        <w:ind w:firstLine="480" w:firstLineChars="200"/>
        <w:rPr>
          <w:rFonts w:hint="eastAsia" w:ascii="宋体" w:hAnsi="宋体" w:eastAsia="宋体" w:cs="宋体"/>
          <w:color w:val="auto"/>
          <w:spacing w:val="15"/>
          <w:sz w:val="24"/>
          <w:highlight w:val="none"/>
        </w:rPr>
      </w:pPr>
      <w:r>
        <w:rPr>
          <w:rFonts w:hint="eastAsia" w:ascii="宋体" w:hAnsi="宋体" w:eastAsia="宋体" w:cs="宋体"/>
          <w:color w:val="auto"/>
          <w:kern w:val="2"/>
          <w:sz w:val="24"/>
          <w:highlight w:val="none"/>
          <w:lang w:val="en-US"/>
        </w:rPr>
        <w:t>4.3符合本竞争性磋商文件规定的供应商资格要求及</w:t>
      </w:r>
      <w:r>
        <w:rPr>
          <w:rFonts w:hint="eastAsia" w:ascii="宋体" w:hAnsi="宋体" w:eastAsia="宋体" w:cs="宋体"/>
          <w:color w:val="auto"/>
          <w:sz w:val="24"/>
          <w:highlight w:val="none"/>
        </w:rPr>
        <w:t>项目要求的其它条件，并按照要求提供相关证明材料。</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4.4供应商应遵守国家法律、法规有关竞争性磋商的规定。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 凡通过磋商小组符合性审查的供应商均为合格供应商。未通过符合性审查的供应商将视为不响应本项目的竞争性磋商文件被否决。</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 xml:space="preserve">   4.6</w:t>
      </w:r>
      <w:r>
        <w:rPr>
          <w:rFonts w:hint="eastAsia" w:ascii="宋体" w:hAnsi="宋体" w:cs="宋体"/>
          <w:color w:val="000000" w:themeColor="text1"/>
          <w:sz w:val="24"/>
          <w:highlight w:val="none"/>
          <w:lang w:val="en-US" w:eastAsia="zh-CN"/>
          <w14:textFill>
            <w14:solidFill>
              <w14:schemeClr w14:val="tx1"/>
            </w14:solidFill>
          </w14:textFill>
        </w:rPr>
        <w:t>不组织勘察</w:t>
      </w:r>
      <w:r>
        <w:rPr>
          <w:rFonts w:hint="eastAsia" w:ascii="宋体" w:hAnsi="宋体" w:cs="宋体"/>
          <w:color w:val="auto"/>
          <w:sz w:val="24"/>
          <w:highlight w:val="none"/>
        </w:rPr>
        <w:t>。</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注：单位负责人为同一人或者存在直接控股、管理关系的不同供应商，不得参加同一合同项下的政府采购活动。</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5.竞争性磋商文件的约束力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5.l供应商一旦参加竞争性磋商，即被认为接受了本竞争性磋商文件中的所有条款和规定。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5.3本磋商文件由采购人负责解释。</w:t>
      </w:r>
    </w:p>
    <w:p>
      <w:pPr>
        <w:pStyle w:val="29"/>
        <w:ind w:firstLine="480"/>
        <w:rPr>
          <w:rFonts w:hint="eastAsia" w:ascii="宋体" w:hAnsi="宋体" w:eastAsia="宋体" w:cs="宋体"/>
          <w:color w:val="auto"/>
          <w:sz w:val="24"/>
          <w:highlight w:val="none"/>
        </w:rPr>
      </w:pP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二、竞争性磋商文件</w:t>
      </w:r>
    </w:p>
    <w:p>
      <w:pPr>
        <w:tabs>
          <w:tab w:val="left" w:pos="632"/>
          <w:tab w:val="left" w:pos="790"/>
        </w:tabs>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6．竞争性磋商文件的组成</w:t>
      </w:r>
    </w:p>
    <w:p>
      <w:pPr>
        <w:autoSpaceDE w:val="0"/>
        <w:autoSpaceDN w:val="0"/>
        <w:adjustRightInd w:val="0"/>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6.1竞争性磋商</w:t>
      </w:r>
      <w:r>
        <w:rPr>
          <w:rFonts w:hint="eastAsia" w:ascii="宋体" w:hAnsi="宋体" w:eastAsia="宋体" w:cs="宋体"/>
          <w:color w:val="auto"/>
          <w:sz w:val="24"/>
          <w:highlight w:val="none"/>
          <w:lang w:val="zh-CN"/>
        </w:rPr>
        <w:t>文件是用以阐明的采购需求、采购程序和合同格式等的规范性文件。竞争性磋商文件主要由以下部分组成：</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（1）竞争性磋商邀请函；</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（2）供应商须知；</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（3）采购需求；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（4）响应性文件内容及格式；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（5）合同主要条款。</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6.3供应商被视为充分熟悉本采购项目所在地的与履行合同有关的各种情况，包括自然环境、气候条件、劳动力及公用设施等，本竞争性磋商文件不再对上述情况进行描述。</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pPr>
        <w:widowControl/>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7.竞争性磋商文件的澄清与修改</w:t>
      </w:r>
    </w:p>
    <w:p>
      <w:pPr>
        <w:autoSpaceDE w:val="0"/>
        <w:autoSpaceDN w:val="0"/>
        <w:adjustRightInd w:val="0"/>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三、响应性文件的编制</w:t>
      </w:r>
    </w:p>
    <w:p>
      <w:pPr>
        <w:spacing w:line="56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8.2任何对竞争性磋商文件的忽略或误解不能作为响应性文件没有完全响应竞争性磋商文件的有效理由。</w:t>
      </w:r>
    </w:p>
    <w:p>
      <w:pPr>
        <w:spacing w:line="560" w:lineRule="exact"/>
        <w:ind w:firstLine="480" w:firstLineChars="200"/>
        <w:rPr>
          <w:rFonts w:hint="eastAsia" w:ascii="宋体" w:hAnsi="宋体" w:eastAsia="宋体" w:cs="宋体"/>
          <w:i/>
          <w:iCs/>
          <w:color w:val="auto"/>
          <w:sz w:val="24"/>
          <w:highlight w:val="none"/>
        </w:rPr>
      </w:pPr>
      <w:r>
        <w:rPr>
          <w:rFonts w:hint="eastAsia" w:ascii="宋体" w:hAnsi="宋体" w:eastAsia="宋体" w:cs="宋体"/>
          <w:color w:val="auto"/>
          <w:sz w:val="24"/>
          <w:highlight w:val="none"/>
        </w:rPr>
        <w:t>8.3供应商没有按照竞争性磋商文件要求提供全部资料，或者供应商没有对竞争性磋商文件在各方面都作出实质性响应是供应商的风险，并可能导致其响应性文件被拒绝。</w:t>
      </w:r>
    </w:p>
    <w:p>
      <w:pPr>
        <w:widowControl/>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9.响应性文件的语言及度量衡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9.1响应性文件以及供应商与采购代理机构之间的所有书面往来都应用简体中文书写。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9.2供应商使用其他语言的，以中文翻译为准。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9.3关于计量单位，竞争性磋商文件已有明确规定的，使用竞争性磋商文件规定的计量单位；竞争性磋商文件没有规定的，应采用中华人民共和国法定计量单位。</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9.4本竞争性磋商文件所表述的时间均为北京时间。</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10.响应性文件的组成</w:t>
      </w:r>
    </w:p>
    <w:p>
      <w:pPr>
        <w:widowControl/>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10.1响应性文件由</w:t>
      </w:r>
      <w:r>
        <w:rPr>
          <w:rFonts w:hint="eastAsia" w:ascii="宋体" w:hAnsi="宋体" w:eastAsia="宋体" w:cs="宋体"/>
          <w:bCs/>
          <w:color w:val="auto"/>
          <w:sz w:val="24"/>
          <w:highlight w:val="none"/>
          <w:u w:val="single"/>
        </w:rPr>
        <w:t>资格性证明材料</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符合性证明材料</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其他材料</w:t>
      </w:r>
      <w:r>
        <w:rPr>
          <w:rFonts w:hint="eastAsia" w:ascii="宋体" w:hAnsi="宋体" w:eastAsia="宋体" w:cs="宋体"/>
          <w:color w:val="auto"/>
          <w:sz w:val="24"/>
          <w:highlight w:val="none"/>
        </w:rPr>
        <w:t>三部分组成。具体内容和格式见竞争性磋商文件</w:t>
      </w:r>
      <w:r>
        <w:rPr>
          <w:rFonts w:hint="eastAsia" w:ascii="宋体" w:hAnsi="宋体" w:eastAsia="宋体" w:cs="宋体"/>
          <w:bCs/>
          <w:color w:val="auto"/>
          <w:sz w:val="24"/>
          <w:highlight w:val="none"/>
        </w:rPr>
        <w:t>第四章</w:t>
      </w:r>
      <w:r>
        <w:rPr>
          <w:rFonts w:hint="eastAsia" w:ascii="宋体" w:hAnsi="宋体" w:eastAsia="宋体" w:cs="宋体"/>
          <w:color w:val="auto"/>
          <w:sz w:val="24"/>
          <w:highlight w:val="none"/>
        </w:rPr>
        <w:t>。</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11.响应性文件格式</w:t>
      </w:r>
    </w:p>
    <w:p>
      <w:pPr>
        <w:widowControl/>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pPr>
        <w:widowControl/>
        <w:spacing w:line="560" w:lineRule="exact"/>
        <w:ind w:firstLine="482" w:firstLineChars="200"/>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12.竞争性磋商报价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12.1报价包括所投工程、税费、材料、现场落地、验收和交付后约定期限内免费维保等工作所发生的一切应有费用。</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12.2经过磋商后进行的报价为供应商的最终报价。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12.3采购人不接受有选择的报价。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12.4最终报价不得超过采购预算。</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12.5报价均须以人民币为计算单位。</w:t>
      </w:r>
    </w:p>
    <w:p>
      <w:pPr>
        <w:spacing w:line="56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13．响应性文件有效期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13.l响应性文件有效期为自竞争性磋商开始之日起60天，有效期短于此规定的响应性文件将被视为无效。</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14.响应性文件的签署、盖章</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14.1</w:t>
      </w:r>
      <w:r>
        <w:rPr>
          <w:rFonts w:hint="eastAsia" w:ascii="宋体" w:hAnsi="宋体" w:eastAsia="宋体" w:cs="宋体"/>
          <w:color w:val="auto"/>
          <w:sz w:val="24"/>
          <w:highlight w:val="none"/>
          <w:lang w:val="zh-CN"/>
        </w:rPr>
        <w:t>响应性文件中凡是要求签署和加盖公章处均须由供应商的法定代表人或其委托代理人签字并加盖供应商公章。本竞争性磋商文件所表述（指定）的公章是指法人（供应商）行政公章，不包括专用章。</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14.3供应商提交的资料应证明其满足竞争性磋商文件要求，该文件可以是文字资料、图纸和数据等详细描述的资料。</w:t>
      </w:r>
    </w:p>
    <w:p>
      <w:pPr>
        <w:spacing w:line="360" w:lineRule="auto"/>
        <w:ind w:firstLine="550"/>
        <w:rPr>
          <w:rFonts w:hint="eastAsia" w:ascii="宋体" w:hAnsi="宋体" w:eastAsia="宋体" w:cs="宋体"/>
          <w:color w:val="auto"/>
          <w:highlight w:val="none"/>
        </w:rPr>
      </w:pPr>
      <w:r>
        <w:rPr>
          <w:rFonts w:hint="eastAsia" w:ascii="宋体" w:hAnsi="宋体" w:eastAsia="宋体" w:cs="宋体"/>
          <w:color w:val="auto"/>
          <w:sz w:val="24"/>
          <w:highlight w:val="none"/>
        </w:rPr>
        <w:t>15电子投标文件制作，见周口市公共资源交易中心网站下载中心版块《投标单位-电子投标文件视频制作手册》的相关规定。</w:t>
      </w:r>
    </w:p>
    <w:p>
      <w:pPr>
        <w:numPr>
          <w:ilvl w:val="0"/>
          <w:numId w:val="2"/>
        </w:num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响应性文件的递交</w:t>
      </w:r>
    </w:p>
    <w:p>
      <w:pPr>
        <w:autoSpaceDE w:val="0"/>
        <w:autoSpaceDN w:val="0"/>
        <w:adjustRightIn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360" w:lineRule="auto"/>
        <w:ind w:firstLine="550"/>
        <w:rPr>
          <w:rFonts w:hint="eastAsia" w:ascii="宋体" w:hAnsi="宋体" w:eastAsia="宋体" w:cs="宋体"/>
          <w:color w:val="auto"/>
          <w:sz w:val="24"/>
          <w:highlight w:val="none"/>
        </w:rPr>
      </w:pPr>
      <w:r>
        <w:rPr>
          <w:rFonts w:hint="eastAsia" w:ascii="宋体" w:hAnsi="宋体" w:eastAsia="宋体" w:cs="宋体"/>
          <w:color w:val="auto"/>
          <w:sz w:val="24"/>
          <w:highlight w:val="none"/>
        </w:rPr>
        <w:t>注：加密的电子投标文件的递交，见周口市公共资源交易中心网站下载中心版块《投标单位-电子投标文件视频制作手册》的相关规定。如未在招标文件规定的投标时间截止前上传网上响应文件，投标无效。</w:t>
      </w:r>
    </w:p>
    <w:p>
      <w:pPr>
        <w:autoSpaceDE w:val="0"/>
        <w:autoSpaceDN w:val="0"/>
        <w:adjustRightInd w:val="0"/>
        <w:spacing w:line="50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供应商须使用单位CA证书进行电子响应文件远程解密，详见周口市公共资源电子交易中心网站（网址：</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"http://jyzx.zhoukou.gov.cn）办事指南《不见面开标远程在线解密会员端操作手册操作指南》。" </w:instrText>
      </w:r>
      <w:r>
        <w:rPr>
          <w:rFonts w:hint="eastAsia" w:ascii="宋体" w:hAnsi="宋体" w:eastAsia="宋体" w:cs="宋体"/>
          <w:color w:val="auto"/>
          <w:highlight w:val="none"/>
        </w:rPr>
        <w:fldChar w:fldCharType="separate"/>
      </w:r>
      <w:r>
        <w:rPr>
          <w:rStyle w:val="40"/>
          <w:rFonts w:hint="eastAsia" w:ascii="宋体" w:hAnsi="宋体" w:eastAsia="宋体" w:cs="宋体"/>
          <w:color w:val="auto"/>
          <w:sz w:val="24"/>
          <w:highlight w:val="none"/>
        </w:rPr>
        <w:t>http://jyzx.zhoukou.gov.cn）办事指南</w:t>
      </w:r>
      <w:r>
        <w:rPr>
          <w:rStyle w:val="40"/>
          <w:rFonts w:hint="eastAsia" w:ascii="宋体" w:hAnsi="宋体" w:eastAsia="宋体" w:cs="宋体"/>
          <w:bCs/>
          <w:color w:val="auto"/>
          <w:sz w:val="24"/>
          <w:highlight w:val="none"/>
        </w:rPr>
        <w:t>《不见面开标远程在线解密会员端操作手册操作指南》</w:t>
      </w:r>
      <w:r>
        <w:rPr>
          <w:rStyle w:val="40"/>
          <w:rFonts w:hint="eastAsia" w:ascii="宋体" w:hAnsi="宋体" w:eastAsia="宋体" w:cs="宋体"/>
          <w:color w:val="auto"/>
          <w:sz w:val="24"/>
          <w:highlight w:val="none"/>
        </w:rPr>
        <w:t>。</w:t>
      </w:r>
      <w:r>
        <w:rPr>
          <w:rStyle w:val="40"/>
          <w:rFonts w:hint="eastAsia" w:ascii="宋体" w:hAnsi="宋体" w:eastAsia="宋体" w:cs="宋体"/>
          <w:color w:val="auto"/>
          <w:sz w:val="24"/>
          <w:highlight w:val="none"/>
        </w:rPr>
        <w:fldChar w:fldCharType="end"/>
      </w:r>
    </w:p>
    <w:p>
      <w:pPr>
        <w:autoSpaceDE w:val="0"/>
        <w:autoSpaceDN w:val="0"/>
        <w:adjustRightInd w:val="0"/>
        <w:spacing w:line="500" w:lineRule="exact"/>
        <w:ind w:firstLine="241" w:firstLineChars="1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16.响应性文件的递交</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16.1供应商应在竞争性磋商邀请函中规定的截止日期和时间前，将响应性文件在会员系统成功上传，递交（接收）地点为竞争性磋商邀请函中规定的地址。</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16.2若采购人推迟了响应性文件接收截止时间，采购人和供应商受响应性文件接收截止时间制约的所有权利和义务均应以新的截止时间为准。 </w:t>
      </w:r>
    </w:p>
    <w:p>
      <w:pPr>
        <w:pStyle w:val="64"/>
        <w:spacing w:line="56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17</w:t>
      </w:r>
      <w:r>
        <w:rPr>
          <w:rFonts w:hint="eastAsia" w:ascii="宋体" w:hAnsi="宋体" w:eastAsia="宋体" w:cs="宋体"/>
          <w:b/>
          <w:color w:val="auto"/>
          <w:sz w:val="24"/>
          <w:szCs w:val="24"/>
          <w:highlight w:val="none"/>
        </w:rPr>
        <w:t>.响应性文件的修改和撤回</w:t>
      </w:r>
    </w:p>
    <w:p>
      <w:pPr>
        <w:pStyle w:val="64"/>
        <w:spacing w:line="560" w:lineRule="exact"/>
        <w:ind w:left="279" w:leftChars="133" w:firstLine="240" w:firstLineChars="1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17.1供应商在提交响应性文件截止时间前，可以对已上传的响应文件进行撤回补充、修改或撤回，补充、修改，之后进行再次上传，再次上传内容作为响应性文件的组成部分。</w:t>
      </w:r>
    </w:p>
    <w:p>
      <w:pPr>
        <w:pStyle w:val="64"/>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17.2响应性文件的补充、修改文件应按照本竞争性磋商文件有关规定进行密封、签署，修改后的加密的电子投标文件须在投标截止时间前成功上传。 </w:t>
      </w:r>
    </w:p>
    <w:p>
      <w:pPr>
        <w:pStyle w:val="64"/>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17.3供应商在响应性文件接收截止时间后不得修改、撤回响应性文件。供应商在响应性文件接收截止时间后修改响应性文件的，将被拒绝接受。</w:t>
      </w:r>
    </w:p>
    <w:p>
      <w:pPr>
        <w:pStyle w:val="64"/>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17.4供应商有下列情形之一的，采购人将拒绝接受其响应性文件：</w:t>
      </w:r>
    </w:p>
    <w:p>
      <w:pPr>
        <w:pStyle w:val="64"/>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17.4.1在竞争性磋商文件规定的响应性文件接收截止时间之后递交响应性文件的；</w:t>
      </w:r>
    </w:p>
    <w:p>
      <w:pPr>
        <w:pStyle w:val="64"/>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17.4.2响应性文件未按竞争性磋商文件规定密封、签署、盖章的；</w:t>
      </w:r>
    </w:p>
    <w:p>
      <w:pPr>
        <w:pStyle w:val="64"/>
        <w:spacing w:line="56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17.4.3一个供应商不止递交一套响应性文件的。</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五、竞争性磋商</w:t>
      </w:r>
    </w:p>
    <w:p>
      <w:pPr>
        <w:spacing w:line="560" w:lineRule="exact"/>
        <w:ind w:firstLine="482" w:firstLineChars="200"/>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rPr>
        <w:t>18.组建</w:t>
      </w:r>
      <w:r>
        <w:rPr>
          <w:rFonts w:hint="eastAsia" w:ascii="宋体" w:hAnsi="宋体" w:eastAsia="宋体" w:cs="宋体"/>
          <w:b/>
          <w:color w:val="auto"/>
          <w:sz w:val="24"/>
          <w:highlight w:val="none"/>
          <w:lang w:val="zh-CN"/>
        </w:rPr>
        <w:t>竞争性磋商小组</w:t>
      </w:r>
    </w:p>
    <w:p>
      <w:pPr>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18.1采购人根据采购项目的特点依法组建竞争性磋商小组。</w:t>
      </w:r>
    </w:p>
    <w:p>
      <w:pPr>
        <w:spacing w:line="56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18.2竞争性磋商小组</w:t>
      </w:r>
      <w:r>
        <w:rPr>
          <w:rFonts w:hint="eastAsia" w:ascii="宋体" w:hAnsi="宋体" w:eastAsia="宋体" w:cs="宋体"/>
          <w:bCs/>
          <w:color w:val="auto"/>
          <w:kern w:val="0"/>
          <w:sz w:val="24"/>
          <w:highlight w:val="none"/>
        </w:rPr>
        <w:t>确认竞争性磋商文件，并</w:t>
      </w:r>
      <w:r>
        <w:rPr>
          <w:rFonts w:hint="eastAsia" w:ascii="宋体" w:hAnsi="宋体" w:eastAsia="宋体" w:cs="宋体"/>
          <w:color w:val="auto"/>
          <w:kern w:val="0"/>
          <w:sz w:val="24"/>
          <w:highlight w:val="none"/>
        </w:rPr>
        <w:t>负责具体评审事务，根据有关法律法规和竞争性磋商文件规定的评审程序，按照评审方法及评审标准独立履行竞争性磋商小组职责。</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19.资格性和符合性审查</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19.1资格性检查。竞争性磋商小组依据有关法律法规和竞争性磋商文件的规定，对响应性文件中资质证明等进行审查，审查每个供应商提交的资质证明材料是否齐全、完整、合法、有效。</w:t>
      </w:r>
    </w:p>
    <w:p>
      <w:pPr>
        <w:spacing w:line="560" w:lineRule="exact"/>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19.1.1资格性审查的内容包括：竞争性磋商文件规定的供应商资格条件；</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19.2.1符合性审查的内容包括：</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（1）响应性文件的有效性(签署情况等)；</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（2）响应性文件的完整性；</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（3）对竞争性磋商文件的响应程度（是否存在重大负偏离等）。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以上资格性审查和符合性审查的内容只要有一条不满足，则响应性文件无效，将不进入竞争性磋商程序。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注意事项：资格性、符合性证明材料见竞争性磋商文件第四章规定。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19.3实质性响应的响应性文件是指与竞争性磋商文件的全部条款、条件和规格相符，没有重大偏离；重大负偏离的认定须经竞争性磋商小组三分之二以上同意。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19.5如果响应性文件实质上没有响应竞争性磋商文件的要求，将作为无效处理，供应商不得再对响应性文件进行任何修正从而使其响应性文件成为实质上响应的文件；</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19.6竞争性磋商小组审定响应性文件的响应性只根据响应性文件本身的内容而不寻求外部证据。</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19.7凡有下列情况之一的，其响应性文件也被视为未实质性响应竞争性磋商文件，按照无效处理（不再参加竞争性磋商）：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19.7.1未按竞争性磋商文件规定要求</w:t>
      </w:r>
      <w:r>
        <w:rPr>
          <w:rFonts w:hint="eastAsia" w:ascii="宋体" w:hAnsi="宋体" w:eastAsia="宋体" w:cs="宋体"/>
          <w:color w:val="auto"/>
          <w:sz w:val="24"/>
          <w:highlight w:val="none"/>
          <w:lang w:val="zh-CN"/>
        </w:rPr>
        <w:t>签署、盖章的；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19.7.2资格证明文件不全的，或不符合竞争性磋商文件中规定的资格要求的；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19.7.3供应商代表未能出具有效身份证明，或与身份不符的；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19.7.4不符合竞争性磋商文件规定的实质性要求的；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19.7.5响应性文件内容不齐全或内容虚假的；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19.7.6响应性文件的实质性内容未使用中文表述；</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19.7.7响应性文件的内容修改处未按规定签名或盖章的；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19.7.8违反法律、行政法规、竞争性磋商文件规定的其他情形的。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19.7.9不同供应商的电子投标（响应）文件上传计算机的网卡 MAC 地址、CPU 序列号和硬盘序列号等硬件信息相同的;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19.7.10不同供应商的投标（响应）文件由同一电子设备编制，打印、复印、加密或者上传的；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19.7.11不同供应商的投标（响应）文件由同一人送达或者分发，或者不同供应商联系人为同一人或不同联系人的联系电话一致的；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19.7.12不同供应商的投标（响应）文件的内容存在两处以上细节错误一致；</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19.7.13不同供应商的法定代表人、委托代理人、项目经理、项目负责人等由同一个单位缴纳社会保险或者领取报酬的；</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19.7.14不同供应商投标（响应）文件中法定代表人或者负责人签字出自同一人之手。</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19.8在评审过程中，竞争性磋商小组发现供应商有下列情形之一的，视为供应商相互串通，按照无效处理并依据法律、法规追究其相关责任。具体表现形式如下：</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19.8.1不同供应商的响应性文件互相混装的；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19.8.2不同供应商授权同一人作为供应商委托代理人的；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19.8.3不同供应商的响应性文件载明的项目管理成员为同一人的；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19.8.4有证据证明供应商与采购人、采购代理机构或者其他供应商串通的其他情形；</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19.8.5竞争性磋商小组认定的其他串通情形。</w:t>
      </w:r>
    </w:p>
    <w:p>
      <w:pPr>
        <w:pStyle w:val="46"/>
        <w:rPr>
          <w:rFonts w:hint="eastAsia" w:ascii="宋体" w:hAnsi="宋体" w:eastAsia="宋体" w:cs="宋体"/>
          <w:color w:val="auto"/>
          <w:sz w:val="24"/>
          <w:szCs w:val="24"/>
          <w:highlight w:val="none"/>
        </w:rPr>
      </w:pPr>
    </w:p>
    <w:tbl>
      <w:tblPr>
        <w:tblStyle w:val="30"/>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pPr>
              <w:pStyle w:val="81"/>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rPr>
              <w:t>项目符合性审查表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665" w:type="dxa"/>
            <w:tcBorders>
              <w:bottom w:val="single" w:color="auto" w:sz="4" w:space="0"/>
            </w:tcBorders>
            <w:vAlign w:val="center"/>
          </w:tcPr>
          <w:p>
            <w:pPr>
              <w:pStyle w:val="81"/>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指标名称</w:t>
            </w:r>
          </w:p>
        </w:tc>
        <w:tc>
          <w:tcPr>
            <w:tcW w:w="1937"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指标要求</w:t>
            </w:r>
          </w:p>
        </w:tc>
        <w:tc>
          <w:tcPr>
            <w:tcW w:w="825"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w:t>
            </w:r>
          </w:p>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通过</w:t>
            </w:r>
          </w:p>
        </w:tc>
        <w:tc>
          <w:tcPr>
            <w:tcW w:w="2371" w:type="dxa"/>
            <w:tcBorders>
              <w:bottom w:val="single" w:color="auto" w:sz="4" w:space="0"/>
            </w:tcBorders>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投标文件格式及</w:t>
            </w:r>
          </w:p>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营业执照</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法定代表人及身份证</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纳税凭证和社保证明</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财务审计报告</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“信用中国”“中国政府采购网”查询</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投标文件签字盖章格式</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合格供应商的声明函和承诺书</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工期</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投标有效期</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2665"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工程技术要求</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其他实质性要求</w:t>
            </w:r>
          </w:p>
        </w:tc>
        <w:tc>
          <w:tcPr>
            <w:tcW w:w="1937" w:type="dxa"/>
            <w:vAlign w:val="center"/>
          </w:tcPr>
          <w:p>
            <w:pPr>
              <w:spacing w:after="50"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见招标文件</w:t>
            </w:r>
          </w:p>
        </w:tc>
        <w:tc>
          <w:tcPr>
            <w:tcW w:w="825" w:type="dxa"/>
            <w:vAlign w:val="center"/>
          </w:tcPr>
          <w:p>
            <w:pPr>
              <w:adjustRightInd w:val="0"/>
              <w:snapToGrid w:val="0"/>
              <w:spacing w:line="360" w:lineRule="auto"/>
              <w:ind w:right="-10"/>
              <w:rPr>
                <w:rFonts w:hint="eastAsia" w:ascii="宋体" w:hAnsi="宋体" w:eastAsia="宋体" w:cs="宋体"/>
                <w:color w:val="auto"/>
                <w:sz w:val="24"/>
                <w:highlight w:val="none"/>
              </w:rPr>
            </w:pPr>
          </w:p>
        </w:tc>
        <w:tc>
          <w:tcPr>
            <w:tcW w:w="2371" w:type="dxa"/>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2</w:t>
            </w:r>
          </w:p>
        </w:tc>
        <w:tc>
          <w:tcPr>
            <w:tcW w:w="2665" w:type="dxa"/>
            <w:vAlign w:val="center"/>
          </w:tcPr>
          <w:p>
            <w:pPr>
              <w:spacing w:after="50" w:line="360" w:lineRule="auto"/>
              <w:ind w:right="-1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结论</w:t>
            </w:r>
          </w:p>
        </w:tc>
        <w:tc>
          <w:tcPr>
            <w:tcW w:w="5133" w:type="dxa"/>
            <w:gridSpan w:val="3"/>
            <w:vAlign w:val="center"/>
          </w:tcPr>
          <w:p>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bCs/>
                <w:color w:val="auto"/>
                <w:sz w:val="24"/>
                <w:highlight w:val="none"/>
              </w:rPr>
              <w:t>是否通过审查</w:t>
            </w:r>
          </w:p>
        </w:tc>
      </w:tr>
    </w:tbl>
    <w:p>
      <w:pPr>
        <w:pStyle w:val="46"/>
        <w:rPr>
          <w:rFonts w:hint="eastAsia" w:ascii="宋体" w:hAnsi="宋体" w:eastAsia="宋体" w:cs="宋体"/>
          <w:color w:val="auto"/>
          <w:sz w:val="24"/>
          <w:szCs w:val="24"/>
          <w:highlight w:val="none"/>
        </w:rPr>
      </w:pP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20.响应性文件的澄清</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20.3供应商拒不进行澄清、说明、补正的，或者不能在竞争性磋商小组规定时间内作出书面澄清、说明、补正的，其响应性文件将被作为无效处理。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20.4供应商的书面澄清材料作为响应性文件的补充。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20.5竞争性磋商小组不得接受供应商主动提出的澄清和解释。 </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20.6并非每个供应商都将被询问、澄清。</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21.竞争性磋商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21.1资格性审查和符合性审查合格的供应商，将进入本次竞争性磋商程序。</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21.2竞争性磋商将按照供应商的签到顺序进行。</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21.3磋商内容包括：</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21.3.1按照竞争性磋商文件中商务部分的内容，对照供应商提交的响应文件逐一进行比较各项指标和要求。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21.3.2按照竞争性磋商文件中技术部分的内容，对照供应商提交的响应文件逐一进行比较各项指标和要求。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21.3.3按照竞争性磋商文件中合同条款部分的内容，对照供应商提交的响应文件逐一进行比较各项指标和要求。</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21.3.4在磋商中，磋商的任何一方不得透露与磋商有关的其他供应商的技术资料及其他信息。</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21.4</w:t>
      </w:r>
      <w:r>
        <w:rPr>
          <w:rFonts w:hint="eastAsia" w:ascii="宋体" w:hAnsi="宋体" w:eastAsia="宋体" w:cs="宋体"/>
          <w:color w:val="auto"/>
          <w:sz w:val="24"/>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21.4.1</w:t>
      </w:r>
      <w:r>
        <w:rPr>
          <w:rFonts w:hint="eastAsia" w:ascii="宋体" w:hAnsi="宋体" w:eastAsia="宋体" w:cs="宋体"/>
          <w:color w:val="auto"/>
          <w:sz w:val="24"/>
          <w:highlight w:val="none"/>
          <w:lang w:val="zh-CN"/>
        </w:rPr>
        <w:t>对竞争性磋商文件作出实质性变动是竞争性磋商文件的有效组成部分，竞争性磋商小组应当及时以书面形式同时通知所有参加竞争性磋商的供应商。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21.4.2</w:t>
      </w:r>
      <w:r>
        <w:rPr>
          <w:rFonts w:hint="eastAsia" w:ascii="宋体" w:hAnsi="宋体" w:eastAsia="宋体" w:cs="宋体"/>
          <w:color w:val="auto"/>
          <w:sz w:val="24"/>
          <w:highlight w:val="none"/>
          <w:lang w:val="zh-CN"/>
        </w:rPr>
        <w:t>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21.5报价</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zh-CN"/>
        </w:rPr>
        <w:t>一次报价依据</w:t>
      </w:r>
      <w:r>
        <w:rPr>
          <w:rFonts w:hint="eastAsia" w:ascii="宋体" w:hAnsi="宋体" w:eastAsia="宋体" w:cs="宋体"/>
          <w:color w:val="auto"/>
          <w:sz w:val="24"/>
          <w:highlight w:val="none"/>
        </w:rPr>
        <w:t>是</w:t>
      </w:r>
      <w:r>
        <w:rPr>
          <w:rFonts w:hint="eastAsia" w:ascii="宋体" w:hAnsi="宋体" w:eastAsia="宋体" w:cs="宋体"/>
          <w:color w:val="auto"/>
          <w:sz w:val="24"/>
          <w:highlight w:val="none"/>
          <w:lang w:val="zh-CN"/>
        </w:rPr>
        <w:t>供应商的投标函和开标记。</w:t>
      </w:r>
    </w:p>
    <w:p>
      <w:pPr>
        <w:spacing w:line="560" w:lineRule="exact"/>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2.如有多次报价，</w:t>
      </w:r>
      <w:r>
        <w:rPr>
          <w:rFonts w:hint="eastAsia" w:ascii="宋体" w:hAnsi="宋体" w:eastAsia="宋体" w:cs="宋体"/>
          <w:color w:val="auto"/>
          <w:sz w:val="24"/>
          <w:highlight w:val="none"/>
          <w:lang w:val="zh-CN"/>
        </w:rPr>
        <w:t>资格评审过通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eastAsia="宋体" w:cs="宋体"/>
          <w:color w:val="auto"/>
          <w:sz w:val="24"/>
          <w:highlight w:val="none"/>
        </w:rPr>
        <w:t>报价次数见供应商须知前附表。</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开标后请供应商在计算前等待报价，网上报价</w:t>
      </w:r>
      <w:r>
        <w:rPr>
          <w:rFonts w:hint="eastAsia" w:ascii="宋体" w:hAnsi="宋体" w:eastAsia="宋体" w:cs="宋体"/>
          <w:color w:val="auto"/>
          <w:sz w:val="24"/>
          <w:highlight w:val="none"/>
          <w:lang w:val="zh-CN"/>
        </w:rPr>
        <w:t>，见周口市公共资源交易中心</w:t>
      </w:r>
      <w:r>
        <w:rPr>
          <w:rFonts w:hint="eastAsia" w:ascii="宋体" w:hAnsi="宋体" w:eastAsia="宋体" w:cs="宋体"/>
          <w:color w:val="auto"/>
          <w:sz w:val="24"/>
          <w:highlight w:val="none"/>
        </w:rPr>
        <w:t>网站下载中心版块</w:t>
      </w:r>
      <w:r>
        <w:rPr>
          <w:rFonts w:hint="eastAsia" w:ascii="宋体" w:hAnsi="宋体" w:eastAsia="宋体" w:cs="宋体"/>
          <w:color w:val="auto"/>
          <w:sz w:val="24"/>
          <w:highlight w:val="none"/>
          <w:lang w:val="zh-CN"/>
        </w:rPr>
        <w:t>《投标</w:t>
      </w:r>
      <w:r>
        <w:rPr>
          <w:rFonts w:hint="eastAsia" w:ascii="宋体" w:hAnsi="宋体" w:eastAsia="宋体" w:cs="宋体"/>
          <w:color w:val="auto"/>
          <w:sz w:val="24"/>
          <w:highlight w:val="none"/>
        </w:rPr>
        <w:t>单位-电子投标文件视频制作手册》中的《周口市公共资源交易系统政府采购供应商操作手册》相关规定。</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六、评定标准</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22.竞争性磋商过程及保密原则</w:t>
      </w:r>
    </w:p>
    <w:p>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采购代理机构在评标结束后2个工作日内将评标报告送采购人。采购人自收到评标报告之日起５个工作日内，在评标报告确定的中标候选人名单中确定中标人。</w:t>
      </w:r>
    </w:p>
    <w:p>
      <w:pPr>
        <w:pStyle w:val="19"/>
        <w:spacing w:after="0" w:line="560" w:lineRule="exact"/>
        <w:ind w:left="0" w:leftChars="0"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22.2对通过初步审查的响应文件，采用百分制综合评分法进行评价。</w:t>
      </w:r>
    </w:p>
    <w:p>
      <w:pPr>
        <w:spacing w:line="360" w:lineRule="auto"/>
        <w:ind w:right="-92" w:rightChars="-44"/>
        <w:rPr>
          <w:rFonts w:hint="eastAsia" w:ascii="宋体" w:hAnsi="宋体" w:eastAsia="宋体" w:cs="宋体"/>
          <w:color w:val="auto"/>
          <w:sz w:val="24"/>
          <w:highlight w:val="none"/>
        </w:rPr>
      </w:pPr>
      <w:r>
        <w:rPr>
          <w:rFonts w:hint="eastAsia" w:ascii="宋体" w:hAnsi="宋体" w:eastAsia="宋体" w:cs="宋体"/>
          <w:color w:val="auto"/>
          <w:sz w:val="24"/>
          <w:highlight w:val="none"/>
        </w:rPr>
        <w:t>评标方法：</w:t>
      </w:r>
    </w:p>
    <w:p>
      <w:pPr>
        <w:pStyle w:val="29"/>
        <w:ind w:firstLine="480"/>
        <w:rPr>
          <w:rFonts w:hint="eastAsia" w:ascii="宋体" w:hAnsi="宋体" w:eastAsia="宋体" w:cs="宋体"/>
          <w:color w:val="auto"/>
          <w:sz w:val="24"/>
          <w:highlight w:val="none"/>
        </w:rPr>
      </w:pPr>
    </w:p>
    <w:tbl>
      <w:tblPr>
        <w:tblStyle w:val="30"/>
        <w:tblW w:w="10078" w:type="dxa"/>
        <w:jc w:val="center"/>
        <w:tblLayout w:type="fixed"/>
        <w:tblCellMar>
          <w:top w:w="0" w:type="dxa"/>
          <w:left w:w="108" w:type="dxa"/>
          <w:bottom w:w="0" w:type="dxa"/>
          <w:right w:w="108" w:type="dxa"/>
        </w:tblCellMar>
      </w:tblPr>
      <w:tblGrid>
        <w:gridCol w:w="2125"/>
        <w:gridCol w:w="748"/>
        <w:gridCol w:w="4625"/>
        <w:gridCol w:w="2580"/>
      </w:tblGrid>
      <w:tr>
        <w:tblPrEx>
          <w:tblCellMar>
            <w:top w:w="0" w:type="dxa"/>
            <w:left w:w="108" w:type="dxa"/>
            <w:bottom w:w="0" w:type="dxa"/>
            <w:right w:w="108" w:type="dxa"/>
          </w:tblCellMar>
        </w:tblPrEx>
        <w:trPr>
          <w:trHeight w:val="44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评分指标</w:t>
            </w:r>
          </w:p>
        </w:tc>
        <w:tc>
          <w:tcPr>
            <w:tcW w:w="74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w:t>
            </w:r>
          </w:p>
        </w:tc>
        <w:tc>
          <w:tcPr>
            <w:tcW w:w="462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指标说明及评分标准</w:t>
            </w:r>
          </w:p>
        </w:tc>
        <w:tc>
          <w:tcPr>
            <w:tcW w:w="258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评分依据</w:t>
            </w:r>
          </w:p>
        </w:tc>
      </w:tr>
      <w:tr>
        <w:tblPrEx>
          <w:tblCellMar>
            <w:top w:w="0" w:type="dxa"/>
            <w:left w:w="108" w:type="dxa"/>
            <w:bottom w:w="0" w:type="dxa"/>
            <w:right w:w="108" w:type="dxa"/>
          </w:tblCellMar>
        </w:tblPrEx>
        <w:trPr>
          <w:trHeight w:val="725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报价得分（30分）</w:t>
            </w: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（30分）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ind w:firstLine="480" w:firstLineChars="200"/>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满足磋商文件要求且最后报价最低的供应商的价格为磋商基准价，其价格分为满分。其他供应商的价格分统一按照下列公式计算：</w:t>
            </w:r>
          </w:p>
          <w:p>
            <w:pPr>
              <w:ind w:firstLine="480" w:firstLineChars="200"/>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磋商报价得分=（磋商基准价/最后磋商报价）×价格权值×100</w:t>
            </w:r>
          </w:p>
          <w:p>
            <w:pPr>
              <w:tabs>
                <w:tab w:val="left" w:pos="5130"/>
              </w:tabs>
              <w:adjustRightInd w:val="0"/>
              <w:snapToGrid w:val="0"/>
              <w:spacing w:line="360" w:lineRule="auto"/>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0"/>
                <w:highlight w:val="none"/>
              </w:rPr>
              <w:t>备注：价格分计算保留小数点后二位。</w:t>
            </w:r>
          </w:p>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1.若投标人投标价格均超过控制价，做废标处理。</w:t>
            </w:r>
          </w:p>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2.对小型、微型、监狱企业、残疾人福利性单位投标报价给予 5%的扣除，用扣除后的价格参与评审。参加本项目的中小企业应当提供《中小企业声明函》（格式详见《政府采购促进中小企业发展管理办法》）。</w:t>
            </w:r>
          </w:p>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tblPrEx>
          <w:tblCellMar>
            <w:top w:w="0" w:type="dxa"/>
            <w:left w:w="108" w:type="dxa"/>
            <w:bottom w:w="0" w:type="dxa"/>
            <w:right w:w="108" w:type="dxa"/>
          </w:tblCellMar>
        </w:tblPrEx>
        <w:trPr>
          <w:trHeight w:val="451" w:hRule="atLeast"/>
          <w:jc w:val="center"/>
        </w:trPr>
        <w:tc>
          <w:tcPr>
            <w:tcW w:w="2125"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技术部分</w:t>
            </w:r>
          </w:p>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53</w:t>
            </w:r>
            <w:r>
              <w:rPr>
                <w:rFonts w:hint="eastAsia" w:ascii="宋体" w:hAnsi="宋体" w:eastAsia="宋体" w:cs="宋体"/>
                <w:color w:val="auto"/>
                <w:sz w:val="24"/>
                <w:highlight w:val="none"/>
              </w:rPr>
              <w:t>分）</w:t>
            </w: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lang w:eastAsia="zh-CN"/>
              </w:rPr>
            </w:pPr>
            <w:r>
              <w:rPr>
                <w:rFonts w:hint="eastAsia" w:ascii="宋体" w:hAnsi="宋体" w:eastAsia="宋体" w:cs="宋体"/>
                <w:color w:val="auto"/>
                <w:szCs w:val="21"/>
                <w:highlight w:val="none"/>
              </w:rPr>
              <w:t>内容完整性</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45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施工方案与技术措施</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45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质量管理体系与措施</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45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安全管理体系与措施</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54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环境保护管理体系与措施</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45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工程进度计划与措施</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45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资源配备计划</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45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确保报价完成工程建设的技术和管理措施</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451"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劳动力安排计划</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768" w:hRule="atLeast"/>
          <w:jc w:val="center"/>
        </w:trPr>
        <w:tc>
          <w:tcPr>
            <w:tcW w:w="2125" w:type="dxa"/>
            <w:vMerge w:val="continue"/>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color w:val="auto"/>
                <w:sz w:val="24"/>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Cs w:val="21"/>
                <w:highlight w:val="none"/>
              </w:rPr>
              <w:t>施工总平面图</w:t>
            </w:r>
            <w:r>
              <w:rPr>
                <w:rFonts w:hint="eastAsia" w:ascii="宋体" w:hAnsi="宋体" w:cs="宋体"/>
                <w:color w:val="auto"/>
                <w:szCs w:val="21"/>
                <w:highlight w:val="none"/>
                <w:lang w:eastAsia="zh-CN"/>
              </w:rPr>
              <w:t>（不提供不得分）</w:t>
            </w:r>
          </w:p>
        </w:tc>
      </w:tr>
      <w:tr>
        <w:tblPrEx>
          <w:tblCellMar>
            <w:top w:w="0" w:type="dxa"/>
            <w:left w:w="108" w:type="dxa"/>
            <w:bottom w:w="0" w:type="dxa"/>
            <w:right w:w="108" w:type="dxa"/>
          </w:tblCellMar>
        </w:tblPrEx>
        <w:trPr>
          <w:trHeight w:val="1703" w:hRule="atLeast"/>
          <w:jc w:val="center"/>
        </w:trPr>
        <w:tc>
          <w:tcPr>
            <w:tcW w:w="2125"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商务部分</w:t>
            </w:r>
          </w:p>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17</w:t>
            </w:r>
            <w:r>
              <w:rPr>
                <w:rFonts w:hint="eastAsia" w:ascii="宋体" w:hAnsi="宋体" w:eastAsia="宋体" w:cs="宋体"/>
                <w:color w:val="auto"/>
                <w:sz w:val="24"/>
                <w:highlight w:val="none"/>
              </w:rPr>
              <w:t>分）</w:t>
            </w:r>
          </w:p>
        </w:tc>
        <w:tc>
          <w:tcPr>
            <w:tcW w:w="748" w:type="dxa"/>
            <w:vMerge w:val="restart"/>
            <w:tcBorders>
              <w:top w:val="single" w:color="auto" w:sz="4" w:space="0"/>
              <w:left w:val="single" w:color="auto" w:sz="4" w:space="0"/>
              <w:bottom w:val="single" w:color="auto" w:sz="4" w:space="0"/>
              <w:right w:val="single" w:color="auto" w:sz="4" w:space="0"/>
            </w:tcBorders>
            <w:vAlign w:val="center"/>
          </w:tcPr>
          <w:p>
            <w:pPr>
              <w:spacing w:line="320" w:lineRule="exac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17分</w:t>
            </w:r>
          </w:p>
        </w:tc>
        <w:tc>
          <w:tcPr>
            <w:tcW w:w="7205"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企业 </w:t>
            </w:r>
            <w:r>
              <w:rPr>
                <w:rFonts w:hint="eastAsia" w:ascii="宋体" w:hAnsi="宋体" w:eastAsia="宋体" w:cs="宋体"/>
                <w:color w:val="auto"/>
                <w:sz w:val="21"/>
                <w:szCs w:val="21"/>
                <w:highlight w:val="none"/>
                <w:lang w:val="en-US" w:eastAsia="zh-CN"/>
              </w:rPr>
              <w:t>202</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年 1月1日至今（以合同签订日期为准）完成的 1 个类似工程项目业绩的</w:t>
            </w:r>
            <w:r>
              <w:rPr>
                <w:rFonts w:hint="eastAsia" w:ascii="宋体" w:hAnsi="宋体" w:cs="宋体"/>
                <w:color w:val="auto"/>
                <w:sz w:val="21"/>
                <w:szCs w:val="21"/>
                <w:highlight w:val="none"/>
                <w:lang w:val="en-US" w:eastAsia="zh-CN"/>
              </w:rPr>
              <w:t>得5</w:t>
            </w:r>
            <w:r>
              <w:rPr>
                <w:rFonts w:hint="eastAsia" w:ascii="宋体" w:hAnsi="宋体" w:eastAsia="宋体" w:cs="宋体"/>
                <w:color w:val="auto"/>
                <w:sz w:val="21"/>
                <w:szCs w:val="21"/>
                <w:highlight w:val="none"/>
              </w:rPr>
              <w:t>分，本项最高得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不提供不得分。</w:t>
            </w:r>
          </w:p>
          <w:p>
            <w:pPr>
              <w:spacing w:line="320" w:lineRule="exact"/>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注：需提供中标通知书</w:t>
            </w:r>
            <w:r>
              <w:rPr>
                <w:rFonts w:hint="eastAsia" w:ascii="宋体" w:hAnsi="宋体" w:cs="宋体"/>
                <w:color w:val="auto"/>
                <w:sz w:val="21"/>
                <w:szCs w:val="21"/>
                <w:highlight w:val="none"/>
                <w:lang w:val="en-US" w:eastAsia="zh-CN"/>
              </w:rPr>
              <w:t>和</w:t>
            </w:r>
            <w:r>
              <w:rPr>
                <w:rFonts w:hint="eastAsia" w:ascii="宋体" w:hAnsi="宋体" w:eastAsia="宋体" w:cs="宋体"/>
                <w:color w:val="auto"/>
                <w:sz w:val="21"/>
                <w:szCs w:val="21"/>
                <w:highlight w:val="none"/>
              </w:rPr>
              <w:t>合同协议书。</w:t>
            </w:r>
          </w:p>
        </w:tc>
      </w:tr>
      <w:tr>
        <w:tblPrEx>
          <w:tblCellMar>
            <w:top w:w="0" w:type="dxa"/>
            <w:left w:w="108" w:type="dxa"/>
            <w:bottom w:w="0" w:type="dxa"/>
            <w:right w:w="108" w:type="dxa"/>
          </w:tblCellMar>
        </w:tblPrEx>
        <w:trPr>
          <w:trHeight w:val="1711" w:hRule="atLeast"/>
          <w:jc w:val="center"/>
        </w:trPr>
        <w:tc>
          <w:tcPr>
            <w:tcW w:w="2125" w:type="dxa"/>
            <w:vMerge w:val="continue"/>
            <w:tcBorders>
              <w:top w:val="single" w:color="auto" w:sz="4" w:space="0"/>
              <w:left w:val="single" w:color="auto" w:sz="4" w:space="0"/>
              <w:right w:val="single" w:color="auto" w:sz="4" w:space="0"/>
            </w:tcBorders>
            <w:vAlign w:val="center"/>
          </w:tcPr>
          <w:p>
            <w:pPr>
              <w:spacing w:line="320" w:lineRule="exact"/>
              <w:rPr>
                <w:rFonts w:hint="eastAsia" w:ascii="宋体" w:hAnsi="宋体" w:eastAsia="宋体" w:cs="宋体"/>
                <w:color w:val="auto"/>
                <w:sz w:val="24"/>
                <w:highlight w:val="none"/>
              </w:rPr>
            </w:pPr>
          </w:p>
        </w:tc>
        <w:tc>
          <w:tcPr>
            <w:tcW w:w="748" w:type="dxa"/>
            <w:vMerge w:val="continue"/>
            <w:tcBorders>
              <w:top w:val="single" w:color="auto" w:sz="4" w:space="0"/>
              <w:left w:val="single" w:color="auto" w:sz="4" w:space="0"/>
              <w:right w:val="single" w:color="auto" w:sz="4" w:space="0"/>
            </w:tcBorders>
            <w:vAlign w:val="center"/>
          </w:tcPr>
          <w:p>
            <w:pPr>
              <w:spacing w:line="320" w:lineRule="exact"/>
              <w:rPr>
                <w:rFonts w:hint="eastAsia" w:ascii="宋体" w:hAnsi="宋体" w:cs="宋体"/>
                <w:color w:val="auto"/>
                <w:sz w:val="24"/>
                <w:highlight w:val="none"/>
                <w:lang w:val="en-US" w:eastAsia="zh-CN"/>
              </w:rPr>
            </w:pPr>
          </w:p>
        </w:tc>
        <w:tc>
          <w:tcPr>
            <w:tcW w:w="720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投标人有对人员、设备、安全生产目标、农民工工资、质量、工期等方面做出承诺，得12分。每缺一项扣2分。扣完为止。</w:t>
            </w:r>
          </w:p>
        </w:tc>
      </w:tr>
    </w:tbl>
    <w:p>
      <w:pPr>
        <w:pStyle w:val="29"/>
        <w:ind w:firstLine="480"/>
        <w:rPr>
          <w:rFonts w:hint="eastAsia" w:ascii="宋体" w:hAnsi="宋体" w:eastAsia="宋体" w:cs="宋体"/>
          <w:color w:val="auto"/>
          <w:sz w:val="24"/>
          <w:highlight w:val="none"/>
        </w:rPr>
      </w:pPr>
    </w:p>
    <w:p>
      <w:pPr>
        <w:spacing w:line="56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最终得分为磋商小组所有成员计分的算术平均值，计算保留小数点两位，小数点后第三位四舍五入。</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22.3磋商小组根据综合评分情况，按照评审得分由高到低顺序推荐成交候选供应商，并编写评审报告。综合得分相同的供应商，报价较低者优先；报价也相同的，由采购人自行确定。</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22.5若供应商的报价高于项目预算，磋商小组有权根据采购人意见及其实际情况，拒绝该报价。</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22.7在竞争性磋商期间，供应商不得向竞争性磋商小组成员询问其它供应商竞争性磋商情况，不得进行旨在影响成交结果的活动。</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22.8在竞争性磋商期间，采购人将有专门人员与供应商进行联络。</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23.竞争性磋商终止</w:t>
      </w:r>
    </w:p>
    <w:p>
      <w:pPr>
        <w:spacing w:line="560" w:lineRule="exact"/>
        <w:ind w:firstLine="480" w:firstLineChars="200"/>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23.1出现下列情形之一时，采购人有权宣布竞争性磋商终止，并将理由通知所有供应商：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（1）因情况变化，不再符合竞争性磋商适用情形的；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（3）在采购过程中符合磋商文件要求的供应商不足3家的；</w:t>
      </w:r>
    </w:p>
    <w:p>
      <w:pPr>
        <w:spacing w:line="560" w:lineRule="exact"/>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（4）在采购活动中因重大变故，采购任务取消的；</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七、成交通知</w:t>
      </w: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24.成交通知</w:t>
      </w:r>
    </w:p>
    <w:p>
      <w:pPr>
        <w:pStyle w:val="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24.1采购人应当自收到评审报告之日起5个工作日内在评审报告推荐的中标或者成交候选人中按顺序确定中标或者成交供应商。</w:t>
      </w:r>
    </w:p>
    <w:p>
      <w:pPr>
        <w:tabs>
          <w:tab w:val="left" w:pos="1800"/>
        </w:tabs>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24.2在发出成交公告后请采购人、中标人登录周口市公共资源交易中心网（http://jyzx.zhoukou.gov.cn）自行下载成交通知书。</w:t>
      </w:r>
    </w:p>
    <w:p>
      <w:pPr>
        <w:tabs>
          <w:tab w:val="left" w:pos="1800"/>
        </w:tabs>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24.3成交通知书对采购人和成交供应商具有同等法律效力。成交通知书发出后，采购人改变成交结果，或者成交供应商放弃成交，应当承担相应的法律责任。</w:t>
      </w:r>
    </w:p>
    <w:p>
      <w:pPr>
        <w:spacing w:line="72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八、合同授予</w:t>
      </w:r>
    </w:p>
    <w:p>
      <w:pPr>
        <w:tabs>
          <w:tab w:val="left" w:pos="1620"/>
        </w:tabs>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25.签订合同及合同的执行</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25.1采购人、成交供应商在成交通知书发出之日起30日内，按照竞争性磋商文件确定的合同文本签订政府采购合同。</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25.2采购人不得向成交供应商提出超过竞争性磋商文件以外的任何要求作为签订合同的条件，不得与成交供应商订立背离竞争性磋商文件确定的合同文本协议。</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九、质疑处理</w:t>
      </w:r>
    </w:p>
    <w:p>
      <w:pPr>
        <w:pStyle w:val="5"/>
        <w:spacing w:line="560" w:lineRule="exact"/>
        <w:ind w:firstLine="482" w:firstLineChars="200"/>
        <w:jc w:val="both"/>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26.质疑程序及处理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26.1</w:t>
      </w:r>
      <w:r>
        <w:rPr>
          <w:rFonts w:hint="eastAsia" w:ascii="宋体" w:hAnsi="宋体" w:eastAsia="宋体" w:cs="宋体"/>
          <w:bCs/>
          <w:color w:val="auto"/>
          <w:sz w:val="24"/>
          <w:highlight w:val="none"/>
        </w:rPr>
        <w:t>供应商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26.2采购人在收到供应商的书面质疑后7个工作日内做出答复，并以书面形式通知质疑供应商和其他供应商，但答复内容不得涉及商业秘密。</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26.3</w:t>
      </w:r>
      <w:r>
        <w:rPr>
          <w:rFonts w:hint="eastAsia" w:ascii="宋体" w:hAnsi="宋体" w:eastAsia="宋体" w:cs="宋体"/>
          <w:bCs/>
          <w:color w:val="auto"/>
          <w:sz w:val="24"/>
          <w:highlight w:val="none"/>
        </w:rPr>
        <w:t>质疑供应商行使质疑权时，必须遵守“实事求是”和“谨慎性”原则，承担使用虚假材料或恶意方式质疑的法律责任，</w:t>
      </w:r>
      <w:r>
        <w:rPr>
          <w:rFonts w:hint="eastAsia" w:ascii="宋体" w:hAnsi="宋体" w:eastAsia="宋体" w:cs="宋体"/>
          <w:color w:val="auto"/>
          <w:sz w:val="24"/>
          <w:highlight w:val="none"/>
        </w:rPr>
        <w:t>采购人</w:t>
      </w:r>
      <w:r>
        <w:rPr>
          <w:rFonts w:hint="eastAsia" w:ascii="宋体" w:hAnsi="宋体" w:eastAsia="宋体" w:cs="宋体"/>
          <w:bCs/>
          <w:color w:val="auto"/>
          <w:sz w:val="24"/>
          <w:highlight w:val="none"/>
        </w:rPr>
        <w:t>将遵循“谁过错谁负担”的原则，由过错方提交相关的调查论证费用。</w:t>
      </w:r>
    </w:p>
    <w:p>
      <w:pPr>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exact"/>
        <w:rPr>
          <w:rFonts w:hint="eastAsia" w:ascii="宋体" w:hAnsi="宋体" w:eastAsia="宋体" w:cs="宋体"/>
          <w:color w:val="auto"/>
          <w:sz w:val="24"/>
          <w:highlight w:val="none"/>
        </w:rPr>
        <w:sectPr>
          <w:headerReference r:id="rId3" w:type="default"/>
          <w:footerReference r:id="rId4" w:type="default"/>
          <w:pgSz w:w="11907" w:h="16840"/>
          <w:pgMar w:top="1417" w:right="1417" w:bottom="1417" w:left="1417" w:header="624" w:footer="992" w:gutter="0"/>
          <w:cols w:space="0" w:num="1"/>
          <w:rtlGutter w:val="0"/>
          <w:docGrid w:type="lines" w:linePitch="312" w:charSpace="0"/>
        </w:sectPr>
      </w:pPr>
    </w:p>
    <w:p>
      <w:pPr>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第三章 采购项目内容及要求</w:t>
      </w:r>
    </w:p>
    <w:p>
      <w:pPr>
        <w:autoSpaceDE w:val="0"/>
        <w:autoSpaceDN w:val="0"/>
        <w:adjustRightInd w:val="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（内容及要求）</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cs="宋体"/>
          <w:bCs/>
          <w:color w:val="auto"/>
          <w:sz w:val="24"/>
          <w:highlight w:val="none"/>
          <w:lang w:val="en-US" w:eastAsia="zh-CN"/>
        </w:rPr>
        <w:t>1、</w:t>
      </w:r>
      <w:r>
        <w:rPr>
          <w:rFonts w:hint="eastAsia" w:ascii="宋体" w:hAnsi="宋体" w:eastAsia="宋体" w:cs="宋体"/>
          <w:bCs/>
          <w:color w:val="auto"/>
          <w:sz w:val="24"/>
          <w:highlight w:val="none"/>
        </w:rPr>
        <w:t>本项目采购内容：</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根据本项工程采购需求，本次谈判内容如下：工程量清单及有关附表包括的全部内容。工程量清单：</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eastAsia="宋体"/>
          <w:lang w:eastAsia="zh-CN"/>
        </w:rPr>
      </w:pPr>
      <w:r>
        <w:rPr>
          <w:rFonts w:hint="eastAsia" w:eastAsia="宋体"/>
          <w:lang w:eastAsia="zh-CN"/>
        </w:rPr>
        <w:drawing>
          <wp:inline distT="0" distB="0" distL="114300" distR="114300">
            <wp:extent cx="5713730" cy="7621270"/>
            <wp:effectExtent l="0" t="0" r="1270" b="17780"/>
            <wp:docPr id="1" name="图片 1" descr="be44f140877fbb072a46edec2ec8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e44f140877fbb072a46edec2ec8e18"/>
                    <pic:cNvPicPr>
                      <a:picLocks noChangeAspect="1"/>
                    </pic:cNvPicPr>
                  </pic:nvPicPr>
                  <pic:blipFill>
                    <a:blip r:embed="rId6"/>
                    <a:stretch>
                      <a:fillRect/>
                    </a:stretch>
                  </pic:blipFill>
                  <pic:spPr>
                    <a:xfrm>
                      <a:off x="0" y="0"/>
                      <a:ext cx="5713730" cy="7621270"/>
                    </a:xfrm>
                    <a:prstGeom prst="rect">
                      <a:avLst/>
                    </a:prstGeom>
                  </pic:spPr>
                </pic:pic>
              </a:graphicData>
            </a:graphic>
          </wp:inline>
        </w:drawing>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eastAsia="宋体"/>
          <w:lang w:eastAsia="zh-CN"/>
        </w:rPr>
      </w:pPr>
      <w:r>
        <w:rPr>
          <w:rFonts w:hint="eastAsia" w:eastAsia="宋体"/>
          <w:lang w:eastAsia="zh-CN"/>
        </w:rPr>
        <w:drawing>
          <wp:inline distT="0" distB="0" distL="114300" distR="114300">
            <wp:extent cx="5713730" cy="7621270"/>
            <wp:effectExtent l="0" t="0" r="1270" b="17780"/>
            <wp:docPr id="2" name="图片 2" descr="27b9ae255d5032163d23b41f65587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7b9ae255d5032163d23b41f65587b7"/>
                    <pic:cNvPicPr>
                      <a:picLocks noChangeAspect="1"/>
                    </pic:cNvPicPr>
                  </pic:nvPicPr>
                  <pic:blipFill>
                    <a:blip r:embed="rId7"/>
                    <a:stretch>
                      <a:fillRect/>
                    </a:stretch>
                  </pic:blipFill>
                  <pic:spPr>
                    <a:xfrm>
                      <a:off x="0" y="0"/>
                      <a:ext cx="5713730" cy="7621270"/>
                    </a:xfrm>
                    <a:prstGeom prst="rect">
                      <a:avLst/>
                    </a:prstGeom>
                  </pic:spPr>
                </pic:pic>
              </a:graphicData>
            </a:graphic>
          </wp:inline>
        </w:drawing>
      </w:r>
    </w:p>
    <w:p>
      <w:pPr>
        <w:pStyle w:val="2"/>
        <w:rPr>
          <w:rFonts w:hint="eastAsia"/>
        </w:rPr>
      </w:pPr>
    </w:p>
    <w:p>
      <w:pPr>
        <w:pStyle w:val="2"/>
        <w:rPr>
          <w:rFonts w:hint="eastAsia"/>
        </w:rPr>
      </w:pPr>
    </w:p>
    <w:p>
      <w:pPr>
        <w:pStyle w:val="2"/>
        <w:rPr>
          <w:rFonts w:hint="eastAsia"/>
        </w:rPr>
      </w:pPr>
    </w:p>
    <w:p>
      <w:pPr>
        <w:pStyle w:val="2"/>
        <w:rPr>
          <w:rFonts w:hint="eastAsia" w:eastAsia="宋体"/>
          <w:lang w:eastAsia="zh-CN"/>
        </w:rPr>
      </w:pPr>
      <w:r>
        <w:rPr>
          <w:rFonts w:hint="eastAsia" w:eastAsia="宋体"/>
          <w:lang w:eastAsia="zh-CN"/>
        </w:rPr>
        <w:drawing>
          <wp:inline distT="0" distB="0" distL="114300" distR="114300">
            <wp:extent cx="5713730" cy="7621270"/>
            <wp:effectExtent l="0" t="0" r="1270" b="17780"/>
            <wp:docPr id="3" name="图片 3" descr="7973a985a2697b323b47fa8dd01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973a985a2697b323b47fa8dd019190"/>
                    <pic:cNvPicPr>
                      <a:picLocks noChangeAspect="1"/>
                    </pic:cNvPicPr>
                  </pic:nvPicPr>
                  <pic:blipFill>
                    <a:blip r:embed="rId8"/>
                    <a:stretch>
                      <a:fillRect/>
                    </a:stretch>
                  </pic:blipFill>
                  <pic:spPr>
                    <a:xfrm>
                      <a:off x="0" y="0"/>
                      <a:ext cx="5713730" cy="7621270"/>
                    </a:xfrm>
                    <a:prstGeom prst="rect">
                      <a:avLst/>
                    </a:prstGeom>
                  </pic:spPr>
                </pic:pic>
              </a:graphicData>
            </a:graphic>
          </wp:inline>
        </w:drawing>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eastAsia="宋体"/>
          <w:lang w:eastAsia="zh-CN"/>
        </w:rPr>
      </w:pPr>
      <w:r>
        <w:rPr>
          <w:rFonts w:hint="eastAsia" w:eastAsia="宋体"/>
          <w:lang w:eastAsia="zh-CN"/>
        </w:rPr>
        <w:drawing>
          <wp:inline distT="0" distB="0" distL="114300" distR="114300">
            <wp:extent cx="5713730" cy="7621270"/>
            <wp:effectExtent l="0" t="0" r="1270" b="17780"/>
            <wp:docPr id="4" name="图片 4" descr="58a959a827b2efce9d256021c91a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8a959a827b2efce9d256021c91ad20"/>
                    <pic:cNvPicPr>
                      <a:picLocks noChangeAspect="1"/>
                    </pic:cNvPicPr>
                  </pic:nvPicPr>
                  <pic:blipFill>
                    <a:blip r:embed="rId9"/>
                    <a:stretch>
                      <a:fillRect/>
                    </a:stretch>
                  </pic:blipFill>
                  <pic:spPr>
                    <a:xfrm>
                      <a:off x="0" y="0"/>
                      <a:ext cx="5713730" cy="7621270"/>
                    </a:xfrm>
                    <a:prstGeom prst="rect">
                      <a:avLst/>
                    </a:prstGeom>
                  </pic:spPr>
                </pic:pic>
              </a:graphicData>
            </a:graphic>
          </wp:inline>
        </w:drawing>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spacing w:line="560" w:lineRule="exact"/>
        <w:ind w:firstLine="480" w:firstLineChars="200"/>
        <w:rPr>
          <w:rFonts w:hint="eastAsia" w:ascii="宋体" w:hAnsi="宋体" w:eastAsia="宋体" w:cs="宋体"/>
          <w:bCs/>
          <w:color w:val="auto"/>
          <w:sz w:val="24"/>
          <w:highlight w:val="none"/>
        </w:rPr>
      </w:pPr>
      <w:bookmarkStart w:id="36" w:name="_bookmark2"/>
      <w:bookmarkEnd w:id="36"/>
      <w:r>
        <w:rPr>
          <w:rFonts w:hint="eastAsia" w:ascii="宋体" w:hAnsi="宋体" w:eastAsia="宋体" w:cs="宋体"/>
          <w:bCs/>
          <w:color w:val="auto"/>
          <w:sz w:val="24"/>
          <w:highlight w:val="none"/>
        </w:rPr>
        <w:t>2、施工要求</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2.1承包方式：包工包料。所需材料符合国家相关标准； 整体要求结实、美观、耐用，质量优良。</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2.2质量标准：合格。</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2.3工期：合同签订后</w:t>
      </w:r>
      <w:r>
        <w:rPr>
          <w:rFonts w:hint="eastAsia" w:ascii="宋体" w:hAnsi="宋体" w:cs="宋体"/>
          <w:bCs/>
          <w:color w:val="auto"/>
          <w:sz w:val="24"/>
          <w:highlight w:val="none"/>
          <w:lang w:val="en-US" w:eastAsia="zh-CN"/>
        </w:rPr>
        <w:t>15</w:t>
      </w:r>
      <w:r>
        <w:rPr>
          <w:rFonts w:hint="eastAsia" w:ascii="宋体" w:hAnsi="宋体" w:eastAsia="宋体" w:cs="宋体"/>
          <w:bCs/>
          <w:color w:val="auto"/>
          <w:sz w:val="24"/>
          <w:highlight w:val="none"/>
        </w:rPr>
        <w:t>日历天。</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2.4保修期：按相关行业标准或双方签订合同时约定</w:t>
      </w:r>
      <w:r>
        <w:rPr>
          <w:rFonts w:hint="eastAsia" w:ascii="宋体" w:hAnsi="宋体" w:eastAsia="宋体" w:cs="宋体"/>
          <w:bCs/>
          <w:color w:val="auto"/>
          <w:sz w:val="24"/>
          <w:highlight w:val="none"/>
          <w:lang w:val="en-US" w:eastAsia="zh-CN"/>
        </w:rPr>
        <w:t>。</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2.5提供7×12小时工程服务，接到服务请求后，1小时响应，24小时内上门并视情况解决问题。</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2.6施工的具体要求见施工图纸及工程效果图。</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2.7投标人工程预算以现场勘察、施工图纸、工程量清单、所需材料及工期等要求综合考虑。</w:t>
      </w:r>
    </w:p>
    <w:p>
      <w:pPr>
        <w:spacing w:line="5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2.8严格落实安全措施，周密组织，文明施工。</w:t>
      </w:r>
    </w:p>
    <w:p>
      <w:pPr>
        <w:spacing w:line="560" w:lineRule="exact"/>
        <w:ind w:firstLine="480" w:firstLineChars="200"/>
        <w:rPr>
          <w:rFonts w:hint="eastAsia" w:ascii="宋体" w:hAnsi="宋体" w:eastAsia="宋体" w:cs="宋体"/>
          <w:bCs/>
          <w:color w:val="auto"/>
          <w:sz w:val="24"/>
          <w:highlight w:val="none"/>
        </w:rPr>
      </w:pPr>
    </w:p>
    <w:p>
      <w:pPr>
        <w:pStyle w:val="19"/>
        <w:rPr>
          <w:rFonts w:hint="eastAsia"/>
          <w:color w:val="auto"/>
          <w:highlight w:val="none"/>
        </w:rPr>
      </w:pPr>
    </w:p>
    <w:p>
      <w:pPr>
        <w:spacing w:line="420" w:lineRule="exact"/>
        <w:ind w:firstLine="480" w:firstLineChars="200"/>
        <w:rPr>
          <w:rStyle w:val="75"/>
          <w:rFonts w:hint="eastAsia" w:ascii="宋体" w:hAnsi="宋体" w:eastAsia="宋体" w:cs="宋体"/>
          <w:color w:val="auto"/>
          <w:sz w:val="24"/>
          <w:highlight w:val="none"/>
        </w:rPr>
      </w:pPr>
    </w:p>
    <w:p>
      <w:pPr>
        <w:spacing w:after="120" w:line="415" w:lineRule="auto"/>
        <w:ind w:firstLine="480" w:firstLineChars="200"/>
        <w:jc w:val="center"/>
        <w:rPr>
          <w:rStyle w:val="75"/>
          <w:rFonts w:hint="eastAsia" w:ascii="宋体" w:hAnsi="宋体" w:eastAsia="宋体" w:cs="宋体"/>
          <w:color w:val="auto"/>
          <w:sz w:val="24"/>
          <w:highlight w:val="none"/>
          <w:lang w:val="zh-CN"/>
        </w:rPr>
      </w:pPr>
    </w:p>
    <w:p>
      <w:pPr>
        <w:pStyle w:val="2"/>
        <w:ind w:firstLine="240"/>
        <w:rPr>
          <w:rFonts w:hint="eastAsia" w:ascii="宋体" w:hAnsi="宋体" w:eastAsia="宋体" w:cs="宋体"/>
          <w:color w:val="auto"/>
          <w:sz w:val="24"/>
          <w:highlight w:val="none"/>
        </w:rPr>
      </w:pPr>
    </w:p>
    <w:p>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pPr>
        <w:spacing w:line="480"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第四章  响应性文件内容及格式</w:t>
      </w:r>
    </w:p>
    <w:p>
      <w:pPr>
        <w:spacing w:line="5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注：请供应商按照以下文件的要求格式、内容，顺序制作响应性文件，并编制目录及页码，否则可能将影响对响应性文件的评价。 </w:t>
      </w:r>
    </w:p>
    <w:p>
      <w:pPr>
        <w:widowControl/>
        <w:spacing w:line="520" w:lineRule="exact"/>
        <w:ind w:firstLine="480" w:firstLineChars="200"/>
        <w:jc w:val="center"/>
        <w:rPr>
          <w:rFonts w:hint="eastAsia" w:ascii="宋体" w:hAnsi="宋体" w:eastAsia="宋体" w:cs="宋体"/>
          <w:color w:val="auto"/>
          <w:sz w:val="24"/>
          <w:highlight w:val="none"/>
        </w:rPr>
      </w:pPr>
    </w:p>
    <w:p>
      <w:pPr>
        <w:spacing w:line="56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重要提示：</w:t>
      </w:r>
    </w:p>
    <w:p>
      <w:pPr>
        <w:snapToGrid w:val="0"/>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1．供应商在编制响应性文件时，对于给定格式的文件内容，必须按照给定的标准格式进行填报；对于没有给定标准格式的文件内容，可以由供应商自行设计。</w:t>
      </w:r>
    </w:p>
    <w:p>
      <w:pPr>
        <w:snapToGrid w:val="0"/>
        <w:spacing w:line="5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2.法定代表人本人参加竞争性磋商的，不需提供授权委托书。</w:t>
      </w: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pStyle w:val="29"/>
        <w:ind w:firstLine="480"/>
        <w:rPr>
          <w:rFonts w:hint="eastAsia" w:ascii="宋体" w:hAnsi="宋体" w:eastAsia="宋体" w:cs="宋体"/>
          <w:color w:val="auto"/>
          <w:sz w:val="24"/>
          <w:highlight w:val="none"/>
        </w:rPr>
      </w:pPr>
    </w:p>
    <w:p>
      <w:pPr>
        <w:pStyle w:val="29"/>
        <w:ind w:firstLine="480"/>
        <w:rPr>
          <w:rFonts w:hint="eastAsia" w:ascii="宋体" w:hAnsi="宋体" w:eastAsia="宋体" w:cs="宋体"/>
          <w:color w:val="auto"/>
          <w:sz w:val="24"/>
          <w:highlight w:val="none"/>
        </w:rPr>
      </w:pPr>
    </w:p>
    <w:p>
      <w:pPr>
        <w:pStyle w:val="29"/>
        <w:ind w:firstLine="480"/>
        <w:rPr>
          <w:rFonts w:hint="eastAsia" w:ascii="宋体" w:hAnsi="宋体" w:eastAsia="宋体" w:cs="宋体"/>
          <w:color w:val="auto"/>
          <w:sz w:val="24"/>
          <w:highlight w:val="none"/>
        </w:rPr>
      </w:pPr>
    </w:p>
    <w:p>
      <w:pPr>
        <w:pStyle w:val="29"/>
        <w:ind w:firstLine="480"/>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pStyle w:val="29"/>
        <w:ind w:firstLine="480"/>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snapToGrid w:val="0"/>
        <w:jc w:val="left"/>
        <w:rPr>
          <w:rFonts w:hint="eastAsia" w:ascii="宋体" w:hAnsi="宋体" w:eastAsia="宋体" w:cs="宋体"/>
          <w:color w:val="auto"/>
          <w:sz w:val="24"/>
          <w:highlight w:val="none"/>
        </w:rPr>
      </w:pPr>
    </w:p>
    <w:p>
      <w:pPr>
        <w:pStyle w:val="2"/>
        <w:ind w:firstLine="210"/>
        <w:rPr>
          <w:color w:val="auto"/>
          <w:highlight w:val="none"/>
        </w:rPr>
      </w:pPr>
    </w:p>
    <w:p>
      <w:pPr>
        <w:autoSpaceDE w:val="0"/>
        <w:autoSpaceDN w:val="0"/>
        <w:spacing w:after="120"/>
        <w:ind w:firstLine="220" w:firstLineChars="100"/>
        <w:jc w:val="left"/>
        <w:rPr>
          <w:rFonts w:ascii="宋体" w:hAnsi="宋体" w:eastAsia="宋体" w:cs="宋体"/>
          <w:color w:val="auto"/>
          <w:sz w:val="22"/>
          <w:highlight w:val="none"/>
          <w:lang w:val="zh-CN" w:bidi="zh-CN"/>
        </w:rPr>
      </w:pPr>
    </w:p>
    <w:p>
      <w:pPr>
        <w:spacing w:line="480" w:lineRule="exact"/>
        <w:jc w:val="center"/>
        <w:rPr>
          <w:rFonts w:ascii="宋体" w:hAnsi="宋体" w:eastAsia="宋体" w:cs="宋体"/>
          <w:b/>
          <w:color w:val="auto"/>
          <w:kern w:val="2"/>
          <w:sz w:val="32"/>
          <w:szCs w:val="32"/>
          <w:highlight w:val="none"/>
          <w:u w:val="single"/>
        </w:rPr>
      </w:pPr>
      <w:r>
        <w:rPr>
          <w:rFonts w:hint="eastAsia" w:ascii="宋体" w:hAnsi="宋体" w:eastAsia="宋体" w:cs="宋体"/>
          <w:b/>
          <w:color w:val="auto"/>
          <w:kern w:val="2"/>
          <w:sz w:val="32"/>
          <w:szCs w:val="32"/>
          <w:highlight w:val="none"/>
          <w:u w:val="single"/>
        </w:rPr>
        <w:t xml:space="preserve">                            </w:t>
      </w:r>
      <w:r>
        <w:rPr>
          <w:rFonts w:hint="eastAsia" w:ascii="宋体" w:hAnsi="宋体" w:eastAsia="宋体" w:cs="宋体"/>
          <w:b/>
          <w:color w:val="auto"/>
          <w:kern w:val="2"/>
          <w:sz w:val="32"/>
          <w:szCs w:val="32"/>
          <w:highlight w:val="none"/>
        </w:rPr>
        <w:t>（项目名称）</w:t>
      </w:r>
    </w:p>
    <w:p>
      <w:pPr>
        <w:spacing w:line="480" w:lineRule="exact"/>
        <w:jc w:val="center"/>
        <w:rPr>
          <w:rFonts w:ascii="宋体" w:hAnsi="宋体" w:eastAsia="宋体" w:cs="宋体"/>
          <w:color w:val="auto"/>
          <w:kern w:val="2"/>
          <w:sz w:val="24"/>
          <w:szCs w:val="24"/>
          <w:highlight w:val="none"/>
        </w:rPr>
      </w:pPr>
    </w:p>
    <w:p>
      <w:pPr>
        <w:spacing w:line="480" w:lineRule="exact"/>
        <w:ind w:firstLine="3360" w:firstLineChars="1400"/>
        <w:jc w:val="left"/>
        <w:rPr>
          <w:rFonts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rPr>
        <w:t>项目编号：</w:t>
      </w:r>
      <w:r>
        <w:rPr>
          <w:rFonts w:hint="eastAsia" w:ascii="宋体" w:hAnsi="宋体" w:eastAsia="宋体" w:cs="宋体"/>
          <w:color w:val="auto"/>
          <w:kern w:val="2"/>
          <w:sz w:val="24"/>
          <w:szCs w:val="24"/>
          <w:highlight w:val="none"/>
          <w:u w:val="single"/>
        </w:rPr>
        <w:t xml:space="preserve"> </w:t>
      </w:r>
      <w:r>
        <w:rPr>
          <w:rFonts w:ascii="宋体" w:hAnsi="宋体" w:eastAsia="宋体" w:cs="宋体"/>
          <w:color w:val="auto"/>
          <w:kern w:val="2"/>
          <w:sz w:val="24"/>
          <w:szCs w:val="24"/>
          <w:highlight w:val="none"/>
          <w:u w:val="single"/>
        </w:rPr>
        <w:t xml:space="preserve">              </w:t>
      </w:r>
    </w:p>
    <w:p>
      <w:pPr>
        <w:spacing w:line="480" w:lineRule="exact"/>
        <w:jc w:val="center"/>
        <w:rPr>
          <w:rFonts w:ascii="宋体" w:hAnsi="宋体" w:eastAsia="宋体" w:cs="宋体"/>
          <w:color w:val="auto"/>
          <w:kern w:val="2"/>
          <w:sz w:val="24"/>
          <w:szCs w:val="24"/>
          <w:highlight w:val="none"/>
        </w:rPr>
      </w:pPr>
    </w:p>
    <w:p>
      <w:pPr>
        <w:spacing w:line="480" w:lineRule="exact"/>
        <w:jc w:val="center"/>
        <w:rPr>
          <w:rFonts w:ascii="宋体" w:hAnsi="宋体" w:eastAsia="宋体" w:cs="宋体"/>
          <w:color w:val="auto"/>
          <w:kern w:val="2"/>
          <w:sz w:val="24"/>
          <w:szCs w:val="24"/>
          <w:highlight w:val="none"/>
        </w:rPr>
      </w:pPr>
    </w:p>
    <w:p>
      <w:pPr>
        <w:spacing w:line="480" w:lineRule="exact"/>
        <w:jc w:val="center"/>
        <w:rPr>
          <w:rFonts w:ascii="宋体" w:hAnsi="宋体" w:eastAsia="宋体" w:cs="宋体"/>
          <w:color w:val="auto"/>
          <w:kern w:val="2"/>
          <w:sz w:val="24"/>
          <w:szCs w:val="24"/>
          <w:highlight w:val="none"/>
        </w:rPr>
      </w:pPr>
    </w:p>
    <w:p>
      <w:pPr>
        <w:spacing w:line="480" w:lineRule="exact"/>
        <w:jc w:val="center"/>
        <w:rPr>
          <w:rFonts w:ascii="宋体" w:hAnsi="宋体" w:eastAsia="宋体" w:cs="宋体"/>
          <w:color w:val="auto"/>
          <w:kern w:val="2"/>
          <w:sz w:val="24"/>
          <w:szCs w:val="24"/>
          <w:highlight w:val="none"/>
        </w:rPr>
      </w:pPr>
    </w:p>
    <w:p>
      <w:pPr>
        <w:spacing w:line="360" w:lineRule="auto"/>
        <w:jc w:val="center"/>
        <w:rPr>
          <w:rFonts w:ascii="宋体" w:hAnsi="宋体" w:eastAsia="宋体" w:cs="宋体"/>
          <w:color w:val="auto"/>
          <w:kern w:val="2"/>
          <w:sz w:val="24"/>
          <w:szCs w:val="24"/>
          <w:highlight w:val="none"/>
        </w:rPr>
      </w:pPr>
    </w:p>
    <w:p>
      <w:pPr>
        <w:spacing w:line="360" w:lineRule="auto"/>
        <w:jc w:val="center"/>
        <w:rPr>
          <w:rFonts w:ascii="宋体" w:hAnsi="宋体" w:eastAsia="宋体" w:cs="宋体"/>
          <w:color w:val="auto"/>
          <w:kern w:val="2"/>
          <w:sz w:val="24"/>
          <w:szCs w:val="24"/>
          <w:highlight w:val="none"/>
        </w:rPr>
      </w:pPr>
    </w:p>
    <w:p>
      <w:pPr>
        <w:spacing w:line="360" w:lineRule="auto"/>
        <w:jc w:val="center"/>
        <w:rPr>
          <w:rFonts w:ascii="宋体" w:hAnsi="宋体" w:eastAsia="宋体" w:cs="宋体"/>
          <w:b/>
          <w:color w:val="auto"/>
          <w:kern w:val="2"/>
          <w:sz w:val="52"/>
          <w:szCs w:val="40"/>
          <w:highlight w:val="none"/>
        </w:rPr>
      </w:pPr>
      <w:r>
        <w:rPr>
          <w:rFonts w:hint="eastAsia" w:ascii="宋体" w:hAnsi="宋体" w:eastAsia="宋体" w:cs="宋体"/>
          <w:b/>
          <w:color w:val="auto"/>
          <w:kern w:val="2"/>
          <w:sz w:val="72"/>
          <w:szCs w:val="48"/>
          <w:highlight w:val="none"/>
        </w:rPr>
        <w:t>磋商响应文件</w:t>
      </w: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rPr>
          <w:rFonts w:ascii="宋体" w:hAnsi="宋体" w:eastAsia="宋体" w:cs="宋体"/>
          <w:color w:val="auto"/>
          <w:kern w:val="2"/>
          <w:sz w:val="24"/>
          <w:szCs w:val="24"/>
          <w:highlight w:val="none"/>
        </w:rPr>
      </w:pPr>
    </w:p>
    <w:p>
      <w:pPr>
        <w:spacing w:line="480" w:lineRule="exact"/>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（盖单位章）</w:t>
      </w:r>
    </w:p>
    <w:p>
      <w:pPr>
        <w:spacing w:line="480" w:lineRule="exact"/>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法定代表人或其委托代理人：</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 xml:space="preserve"> （签字或盖章）</w:t>
      </w:r>
    </w:p>
    <w:p>
      <w:pPr>
        <w:spacing w:line="480" w:lineRule="exact"/>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年    月    日</w:t>
      </w:r>
    </w:p>
    <w:p>
      <w:pPr>
        <w:autoSpaceDE w:val="0"/>
        <w:autoSpaceDN w:val="0"/>
        <w:jc w:val="left"/>
        <w:rPr>
          <w:rFonts w:ascii="宋体" w:hAnsi="宋体" w:eastAsia="宋体" w:cs="宋体"/>
          <w:b/>
          <w:color w:val="auto"/>
          <w:sz w:val="20"/>
          <w:szCs w:val="24"/>
          <w:highlight w:val="none"/>
          <w:lang w:val="zh-CN" w:bidi="zh-CN"/>
        </w:rPr>
      </w:pPr>
    </w:p>
    <w:p>
      <w:pPr>
        <w:autoSpaceDE w:val="0"/>
        <w:autoSpaceDN w:val="0"/>
        <w:jc w:val="left"/>
        <w:rPr>
          <w:rFonts w:ascii="宋体" w:hAnsi="宋体" w:eastAsia="宋体" w:cs="宋体"/>
          <w:color w:val="auto"/>
          <w:sz w:val="22"/>
          <w:highlight w:val="none"/>
          <w:lang w:val="zh-CN" w:bidi="zh-CN"/>
        </w:rPr>
      </w:pPr>
    </w:p>
    <w:p>
      <w:pPr>
        <w:autoSpaceDE w:val="0"/>
        <w:autoSpaceDN w:val="0"/>
        <w:spacing w:after="120"/>
        <w:ind w:firstLine="220" w:firstLineChars="100"/>
        <w:jc w:val="left"/>
        <w:rPr>
          <w:rFonts w:ascii="宋体" w:hAnsi="宋体" w:eastAsia="宋体" w:cs="宋体"/>
          <w:color w:val="auto"/>
          <w:sz w:val="22"/>
          <w:highlight w:val="none"/>
          <w:lang w:val="zh-CN" w:bidi="zh-CN"/>
        </w:rPr>
      </w:pPr>
    </w:p>
    <w:p>
      <w:pPr>
        <w:autoSpaceDE w:val="0"/>
        <w:autoSpaceDN w:val="0"/>
        <w:spacing w:after="120"/>
        <w:ind w:firstLine="220" w:firstLineChars="100"/>
        <w:jc w:val="left"/>
        <w:rPr>
          <w:rFonts w:ascii="宋体" w:hAnsi="宋体" w:eastAsia="宋体" w:cs="宋体"/>
          <w:color w:val="auto"/>
          <w:sz w:val="22"/>
          <w:highlight w:val="none"/>
          <w:lang w:val="zh-CN" w:bidi="zh-CN"/>
        </w:rPr>
      </w:pPr>
    </w:p>
    <w:p>
      <w:pPr>
        <w:autoSpaceDE w:val="0"/>
        <w:autoSpaceDN w:val="0"/>
        <w:spacing w:before="7"/>
        <w:jc w:val="left"/>
        <w:rPr>
          <w:rFonts w:ascii="宋体" w:hAnsi="宋体" w:eastAsia="宋体" w:cs="宋体"/>
          <w:b/>
          <w:color w:val="auto"/>
          <w:sz w:val="19"/>
          <w:szCs w:val="24"/>
          <w:highlight w:val="none"/>
          <w:lang w:val="zh-CN" w:bidi="zh-CN"/>
        </w:rPr>
      </w:pPr>
    </w:p>
    <w:p>
      <w:pPr>
        <w:autoSpaceDE w:val="0"/>
        <w:autoSpaceDN w:val="0"/>
        <w:spacing w:after="120"/>
        <w:ind w:firstLine="321" w:firstLineChars="100"/>
        <w:jc w:val="center"/>
        <w:rPr>
          <w:rFonts w:ascii="宋体" w:hAnsi="宋体" w:eastAsia="宋体" w:cs="宋体"/>
          <w:b/>
          <w:color w:val="auto"/>
          <w:sz w:val="32"/>
          <w:highlight w:val="none"/>
          <w:lang w:bidi="zh-CN"/>
        </w:rPr>
      </w:pPr>
      <w:r>
        <w:rPr>
          <w:rFonts w:hint="eastAsia" w:ascii="宋体" w:hAnsi="宋体" w:eastAsia="宋体" w:cs="宋体"/>
          <w:b/>
          <w:color w:val="auto"/>
          <w:sz w:val="32"/>
          <w:highlight w:val="none"/>
          <w:lang w:bidi="zh-CN"/>
        </w:rPr>
        <w:t>目   录</w:t>
      </w:r>
    </w:p>
    <w:p>
      <w:pPr>
        <w:autoSpaceDE w:val="0"/>
        <w:autoSpaceDN w:val="0"/>
        <w:spacing w:after="120"/>
        <w:ind w:firstLine="190" w:firstLineChars="100"/>
        <w:jc w:val="center"/>
        <w:rPr>
          <w:rFonts w:ascii="宋体" w:hAnsi="宋体" w:eastAsia="宋体" w:cs="宋体"/>
          <w:color w:val="auto"/>
          <w:sz w:val="19"/>
          <w:highlight w:val="none"/>
          <w:lang w:bidi="zh-CN"/>
        </w:rPr>
      </w:pPr>
      <w:r>
        <w:rPr>
          <w:rFonts w:hint="eastAsia" w:ascii="宋体" w:hAnsi="宋体" w:eastAsia="宋体" w:cs="宋体"/>
          <w:color w:val="auto"/>
          <w:sz w:val="19"/>
          <w:highlight w:val="none"/>
          <w:lang w:bidi="zh-CN"/>
        </w:rPr>
        <w:t>（自拟定）</w:t>
      </w:r>
    </w:p>
    <w:p>
      <w:pPr>
        <w:pStyle w:val="29"/>
        <w:ind w:firstLine="480"/>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格式2-1</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法定代表人身份证明书</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（法定代表人参加竞争性磋商的，出具此证明书）</w:t>
      </w: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同志，系我单位法定代表人，任</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职务。</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附：联系地址：               </w:t>
      </w:r>
    </w:p>
    <w:p>
      <w:pPr>
        <w:spacing w:line="360" w:lineRule="auto"/>
        <w:ind w:firstLine="960" w:firstLineChars="400"/>
        <w:rPr>
          <w:rFonts w:hint="eastAsia" w:ascii="宋体" w:hAnsi="宋体" w:eastAsia="宋体" w:cs="宋体"/>
          <w:b/>
          <w:color w:val="auto"/>
          <w:sz w:val="24"/>
          <w:highlight w:val="none"/>
        </w:rPr>
      </w:pPr>
      <w:r>
        <w:rPr>
          <w:rFonts w:hint="eastAsia" w:ascii="宋体" w:hAnsi="宋体" w:eastAsia="宋体" w:cs="宋体"/>
          <w:color w:val="auto"/>
          <w:sz w:val="24"/>
          <w:highlight w:val="none"/>
        </w:rPr>
        <w:t>联系电话：</w:t>
      </w:r>
    </w:p>
    <w:tbl>
      <w:tblPr>
        <w:tblStyle w:val="30"/>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rPr>
                <w:rFonts w:hint="eastAsia" w:ascii="宋体" w:hAnsi="宋体" w:eastAsia="宋体" w:cs="宋体"/>
                <w:b/>
                <w:bCs/>
                <w:color w:val="auto"/>
                <w:sz w:val="24"/>
                <w:highlight w:val="none"/>
              </w:rPr>
            </w:pPr>
          </w:p>
          <w:p>
            <w:pPr>
              <w:spacing w:line="480" w:lineRule="exact"/>
              <w:rPr>
                <w:rFonts w:hint="eastAsia" w:ascii="宋体" w:hAnsi="宋体" w:eastAsia="宋体" w:cs="宋体"/>
                <w:b/>
                <w:bCs/>
                <w:color w:val="auto"/>
                <w:sz w:val="24"/>
                <w:highlight w:val="none"/>
              </w:rPr>
            </w:pPr>
          </w:p>
          <w:p>
            <w:pPr>
              <w:spacing w:line="48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（※附：法定代表人身份证复印件※）</w:t>
            </w:r>
          </w:p>
          <w:p>
            <w:pPr>
              <w:spacing w:line="480" w:lineRule="exact"/>
              <w:rPr>
                <w:rFonts w:hint="eastAsia" w:ascii="宋体" w:hAnsi="宋体" w:eastAsia="宋体" w:cs="宋体"/>
                <w:color w:val="auto"/>
                <w:sz w:val="24"/>
                <w:highlight w:val="none"/>
              </w:rPr>
            </w:pPr>
          </w:p>
          <w:p>
            <w:pPr>
              <w:spacing w:line="480" w:lineRule="exact"/>
              <w:rPr>
                <w:rFonts w:hint="eastAsia" w:ascii="宋体" w:hAnsi="宋体" w:eastAsia="宋体" w:cs="宋体"/>
                <w:color w:val="auto"/>
                <w:sz w:val="24"/>
                <w:highlight w:val="none"/>
              </w:rPr>
            </w:pPr>
          </w:p>
        </w:tc>
      </w:tr>
    </w:tbl>
    <w:p>
      <w:pPr>
        <w:spacing w:line="360" w:lineRule="auto"/>
        <w:ind w:firstLine="960" w:firstLineChars="400"/>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供应商电子公章： </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格式2-2</w:t>
      </w:r>
    </w:p>
    <w:p>
      <w:pPr>
        <w:spacing w:line="360" w:lineRule="auto"/>
        <w:ind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授权委托书</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（委托代理人参加竞争性磋商的，出具此证明书）</w:t>
      </w: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委托人授权（被委托人的姓名、职务）为委托人的委托代理人，就项目编号为的项目及合同的执行，以本单位名义处理一切与之有关的事务。</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本授权书于年月日签字生效，特此声明。</w:t>
      </w:r>
    </w:p>
    <w:p>
      <w:pPr>
        <w:spacing w:line="360" w:lineRule="auto"/>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供应商电子签章：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被委托人：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tbl>
      <w:tblPr>
        <w:tblStyle w:val="30"/>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hint="eastAsia" w:ascii="宋体" w:hAnsi="宋体" w:eastAsia="宋体" w:cs="宋体"/>
                <w:b/>
                <w:bCs/>
                <w:color w:val="auto"/>
                <w:sz w:val="24"/>
                <w:highlight w:val="none"/>
              </w:rPr>
            </w:pPr>
          </w:p>
          <w:p>
            <w:pPr>
              <w:spacing w:line="480" w:lineRule="exact"/>
              <w:rPr>
                <w:rFonts w:hint="eastAsia" w:ascii="宋体" w:hAnsi="宋体" w:eastAsia="宋体" w:cs="宋体"/>
                <w:b/>
                <w:bCs/>
                <w:color w:val="auto"/>
                <w:sz w:val="24"/>
                <w:highlight w:val="none"/>
              </w:rPr>
            </w:pPr>
          </w:p>
          <w:p>
            <w:pPr>
              <w:spacing w:line="480" w:lineRule="exact"/>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（※附：被委托人身份证复印件※）</w:t>
            </w:r>
          </w:p>
        </w:tc>
      </w:tr>
    </w:tbl>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spacing w:line="360" w:lineRule="auto"/>
        <w:ind w:firstLine="480" w:firstLineChars="200"/>
        <w:rPr>
          <w:rFonts w:hint="eastAsia" w:ascii="宋体" w:hAnsi="宋体" w:eastAsia="宋体" w:cs="宋体"/>
          <w:color w:val="auto"/>
          <w:sz w:val="24"/>
          <w:highlight w:val="none"/>
        </w:rPr>
      </w:pPr>
    </w:p>
    <w:p>
      <w:pPr>
        <w:spacing w:line="360" w:lineRule="auto"/>
        <w:ind w:firstLine="4920" w:firstLineChars="2050"/>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供应商电子公章：                                       </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spacing w:line="360" w:lineRule="auto"/>
        <w:jc w:val="center"/>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格式2-3</w:t>
      </w:r>
    </w:p>
    <w:p>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供应商资格其他资料</w:t>
      </w: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格式3</w:t>
      </w:r>
    </w:p>
    <w:p>
      <w:pPr>
        <w:spacing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pPr>
        <w:pStyle w:val="27"/>
        <w:shd w:val="clear" w:color="auto" w:fill="FFFFFF"/>
        <w:adjustRightInd w:val="0"/>
        <w:snapToGrid w:val="0"/>
        <w:spacing w:before="0" w:beforeAutospacing="0" w:after="0" w:afterAutospacing="0"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致：周口市公共资源交易中心（政府采购中心）</w:t>
      </w:r>
    </w:p>
    <w:p>
      <w:pPr>
        <w:rPr>
          <w:rFonts w:hint="eastAsia" w:ascii="宋体" w:hAnsi="宋体" w:eastAsia="宋体" w:cs="宋体"/>
          <w:color w:val="auto"/>
          <w:kern w:val="0"/>
          <w:sz w:val="24"/>
          <w:highlight w:val="none"/>
        </w:rPr>
      </w:pPr>
    </w:p>
    <w:p>
      <w:pPr>
        <w:pStyle w:val="64"/>
        <w:ind w:firstLine="600" w:firstLineChars="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              项目的竞争性磋商邀请（项目编号：          ），委托代理人      (全名、职务)代表              供应商名称、地址)提交投标文件，报价为</w:t>
      </w:r>
      <w:r>
        <w:rPr>
          <w:rFonts w:hint="eastAsia" w:ascii="宋体" w:hAnsi="宋体" w:eastAsia="宋体" w:cs="宋体"/>
          <w:color w:val="auto"/>
          <w:sz w:val="24"/>
          <w:szCs w:val="24"/>
          <w:highlight w:val="none"/>
          <w:u w:val="single"/>
        </w:rPr>
        <w:t>：    元，</w:t>
      </w:r>
      <w:r>
        <w:rPr>
          <w:rFonts w:hint="eastAsia" w:ascii="宋体" w:hAnsi="宋体" w:eastAsia="宋体" w:cs="宋体"/>
          <w:color w:val="auto"/>
          <w:sz w:val="24"/>
          <w:szCs w:val="24"/>
          <w:highlight w:val="none"/>
        </w:rPr>
        <w:t>并对之负法律责任。</w:t>
      </w:r>
    </w:p>
    <w:p>
      <w:pPr>
        <w:ind w:firstLine="568" w:firstLineChars="237"/>
        <w:rPr>
          <w:rFonts w:hint="eastAsia" w:ascii="宋体" w:hAnsi="宋体" w:eastAsia="宋体" w:cs="宋体"/>
          <w:color w:val="auto"/>
          <w:sz w:val="24"/>
          <w:highlight w:val="none"/>
        </w:rPr>
      </w:pPr>
      <w:r>
        <w:rPr>
          <w:rFonts w:hint="eastAsia" w:ascii="宋体" w:hAnsi="宋体" w:eastAsia="宋体" w:cs="宋体"/>
          <w:color w:val="auto"/>
          <w:sz w:val="24"/>
          <w:highlight w:val="none"/>
        </w:rPr>
        <w:t>据此函，宣布同意如下：</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(1)我们完全理解贵方不一定要接受最低报价，并同意本文件规定的响应性文件有效期。</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(2)我们已详细审核全部竞争性磋商文件，我们知道必须放弃提出含糊不清或误解的问题的权利。</w:t>
      </w:r>
    </w:p>
    <w:p>
      <w:pPr>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同意向贵方提供贵方可能另外要求的与其竞争性磋商有关的任何证据和资料。</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(4)一旦我们成交，我们将严格履行合同责任和义务。</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(5)我们完全理解不向未成交人解释未成交理由的义务。</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(6)与本次竞争性磋商有关的正式通讯地址为：</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                  邮 编：</w:t>
      </w:r>
    </w:p>
    <w:p>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                  传 真：</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我们保证：</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(1)不提供虚假材料谋取成交；</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(2)不以不正当手段抵毁、排挤其他供应商；</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(3)不与采购人和其它供应商恶意串通；</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(4)不向采购人和采购代理机构提供不正当利益；</w:t>
      </w:r>
    </w:p>
    <w:p>
      <w:pPr>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(5)不拒绝有关部门监督检查或提供虚假情况。</w:t>
      </w:r>
    </w:p>
    <w:p>
      <w:pPr>
        <w:spacing w:line="56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联系人：              联系电话：</w:t>
      </w: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jc w:val="left"/>
        <w:rPr>
          <w:rFonts w:hint="eastAsia" w:ascii="宋体" w:hAnsi="宋体" w:eastAsia="宋体" w:cs="宋体"/>
          <w:color w:val="auto"/>
          <w:sz w:val="24"/>
          <w:highlight w:val="none"/>
        </w:rPr>
      </w:pPr>
    </w:p>
    <w:p>
      <w:pPr>
        <w:spacing w:line="360" w:lineRule="auto"/>
        <w:ind w:firstLine="3360" w:firstLineChars="14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供应商电子公章：</w:t>
      </w:r>
    </w:p>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r>
        <w:rPr>
          <w:rFonts w:hint="eastAsia" w:ascii="宋体" w:hAnsi="宋体" w:eastAsia="宋体" w:cs="宋体"/>
          <w:color w:val="auto"/>
          <w:sz w:val="24"/>
          <w:highlight w:val="none"/>
        </w:rPr>
        <w:br w:type="page"/>
      </w:r>
      <w:r>
        <w:rPr>
          <w:rFonts w:hint="eastAsia" w:ascii="宋体" w:hAnsi="宋体" w:eastAsia="宋体" w:cs="宋体"/>
          <w:color w:val="auto"/>
          <w:sz w:val="24"/>
          <w:highlight w:val="none"/>
        </w:rPr>
        <w:t>格式4</w:t>
      </w:r>
    </w:p>
    <w:p>
      <w:pPr>
        <w:pStyle w:val="6"/>
        <w:jc w:val="center"/>
        <w:rPr>
          <w:rFonts w:hint="eastAsia" w:ascii="宋体" w:hAnsi="宋体" w:eastAsia="宋体" w:cs="宋体"/>
          <w:b w:val="0"/>
          <w:color w:val="auto"/>
          <w:sz w:val="24"/>
          <w:szCs w:val="24"/>
          <w:highlight w:val="none"/>
        </w:rPr>
      </w:pPr>
      <w:bookmarkStart w:id="37" w:name="_Toc197934561"/>
      <w:bookmarkStart w:id="38" w:name="_Toc495414231"/>
      <w:r>
        <w:rPr>
          <w:rFonts w:hint="eastAsia" w:ascii="宋体" w:hAnsi="宋体" w:eastAsia="宋体" w:cs="宋体"/>
          <w:b w:val="0"/>
          <w:color w:val="auto"/>
          <w:sz w:val="24"/>
          <w:szCs w:val="24"/>
          <w:highlight w:val="none"/>
        </w:rPr>
        <w:t>一．报价一览表</w:t>
      </w:r>
      <w:bookmarkEnd w:id="37"/>
      <w:bookmarkEnd w:id="38"/>
    </w:p>
    <w:tbl>
      <w:tblPr>
        <w:tblStyle w:val="30"/>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投标人全称</w:t>
            </w:r>
          </w:p>
        </w:tc>
        <w:tc>
          <w:tcPr>
            <w:tcW w:w="6667" w:type="dxa"/>
            <w:tcBorders>
              <w:top w:val="nil"/>
            </w:tcBorders>
            <w:vAlign w:val="center"/>
          </w:tcPr>
          <w:p>
            <w:pPr>
              <w:spacing w:line="360" w:lineRule="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最终投标报价（包：）</w:t>
            </w:r>
          </w:p>
          <w:p>
            <w:pPr>
              <w:spacing w:line="3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（人民币）</w:t>
            </w:r>
          </w:p>
        </w:tc>
        <w:tc>
          <w:tcPr>
            <w:tcW w:w="6667" w:type="dxa"/>
            <w:tcBorders>
              <w:top w:val="nil"/>
            </w:tcBorders>
            <w:vAlign w:val="center"/>
          </w:tcPr>
          <w:p>
            <w:pPr>
              <w:spacing w:line="360" w:lineRule="auto"/>
              <w:ind w:right="-6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投标总价：       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c>
          <w:tcPr>
            <w:tcW w:w="6667" w:type="dxa"/>
            <w:tcBorders>
              <w:top w:val="nil"/>
            </w:tcBorders>
            <w:vAlign w:val="center"/>
          </w:tcPr>
          <w:p>
            <w:pPr>
              <w:spacing w:line="360" w:lineRule="auto"/>
              <w:jc w:val="left"/>
              <w:rPr>
                <w:rFonts w:hint="eastAsia" w:ascii="宋体" w:hAnsi="宋体" w:eastAsia="宋体" w:cs="宋体"/>
                <w:color w:val="auto"/>
                <w:sz w:val="24"/>
                <w:highlight w:val="none"/>
              </w:rPr>
            </w:pPr>
          </w:p>
        </w:tc>
      </w:tr>
    </w:tbl>
    <w:p>
      <w:pPr>
        <w:spacing w:before="100" w:beforeAutospacing="1" w:after="100" w:afterAutospacing="1" w:line="360" w:lineRule="auto"/>
        <w:ind w:firstLine="4920" w:firstLineChars="20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供应商电子公章：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1、此表用于开标会唱标之用。</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2、表中最终投标报价即为优惠后报价，并作为评审及定标依据。任何有选择或有条件的最终投标报价，或者表中某一包填写多个报价，均为无效报价。</w:t>
      </w:r>
    </w:p>
    <w:p>
      <w:pPr>
        <w:spacing w:line="360" w:lineRule="auto"/>
        <w:jc w:val="left"/>
        <w:rPr>
          <w:rFonts w:hint="eastAsia" w:ascii="宋体" w:hAnsi="宋体" w:eastAsia="宋体" w:cs="宋体"/>
          <w:color w:val="auto"/>
          <w:sz w:val="24"/>
          <w:highlight w:val="none"/>
        </w:rPr>
      </w:pPr>
      <w:bookmarkStart w:id="39" w:name="_Toc495414234"/>
      <w:bookmarkStart w:id="40" w:name="_Toc220232409"/>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格式5</w:t>
      </w:r>
    </w:p>
    <w:bookmarkEnd w:id="39"/>
    <w:bookmarkEnd w:id="40"/>
    <w:p>
      <w:pPr>
        <w:pStyle w:val="12"/>
        <w:rPr>
          <w:rFonts w:hint="eastAsia" w:ascii="宋体" w:hAnsi="宋体" w:eastAsia="宋体" w:cs="宋体"/>
          <w:b/>
          <w:color w:val="auto"/>
          <w:sz w:val="20"/>
          <w:highlight w:val="none"/>
        </w:rPr>
      </w:pPr>
    </w:p>
    <w:p>
      <w:pPr>
        <w:pStyle w:val="12"/>
        <w:rPr>
          <w:rFonts w:hint="eastAsia" w:ascii="宋体" w:hAnsi="宋体" w:eastAsia="宋体" w:cs="宋体"/>
          <w:b/>
          <w:color w:val="auto"/>
          <w:sz w:val="20"/>
          <w:highlight w:val="none"/>
        </w:rPr>
      </w:pPr>
    </w:p>
    <w:p>
      <w:pPr>
        <w:spacing w:before="185"/>
        <w:ind w:left="592" w:right="985"/>
        <w:jc w:val="center"/>
        <w:rPr>
          <w:rFonts w:hint="eastAsia" w:ascii="宋体" w:hAnsi="宋体" w:eastAsia="宋体" w:cs="宋体"/>
          <w:b/>
          <w:color w:val="auto"/>
          <w:sz w:val="44"/>
          <w:highlight w:val="none"/>
        </w:rPr>
      </w:pPr>
      <w:r>
        <w:rPr>
          <w:rFonts w:hint="eastAsia" w:ascii="宋体" w:hAnsi="宋体" w:eastAsia="宋体" w:cs="宋体"/>
          <w:b/>
          <w:color w:val="auto"/>
          <w:sz w:val="44"/>
          <w:highlight w:val="none"/>
        </w:rPr>
        <w:t>施工图预算书</w:t>
      </w:r>
    </w:p>
    <w:p>
      <w:pPr>
        <w:pStyle w:val="12"/>
        <w:spacing w:before="4"/>
        <w:rPr>
          <w:rFonts w:hint="eastAsia" w:ascii="宋体" w:hAnsi="宋体" w:eastAsia="宋体" w:cs="宋体"/>
          <w:b/>
          <w:color w:val="auto"/>
          <w:sz w:val="47"/>
          <w:highlight w:val="none"/>
        </w:rPr>
      </w:pPr>
    </w:p>
    <w:p>
      <w:pPr>
        <w:ind w:left="592" w:right="987"/>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（其格式按定额管理部门的规定）</w:t>
      </w:r>
    </w:p>
    <w:p>
      <w:pPr>
        <w:pStyle w:val="18"/>
        <w:spacing w:line="360" w:lineRule="auto"/>
        <w:ind w:left="5250"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供应商电子公章：</w:t>
      </w:r>
    </w:p>
    <w:p>
      <w:pPr>
        <w:pStyle w:val="2"/>
        <w:ind w:firstLine="210"/>
        <w:rPr>
          <w:rFonts w:hint="eastAsia" w:ascii="宋体" w:hAnsi="宋体" w:eastAsia="宋体" w:cs="宋体"/>
          <w:color w:val="auto"/>
          <w:highlight w:val="none"/>
        </w:rPr>
      </w:pPr>
    </w:p>
    <w:p>
      <w:pPr>
        <w:spacing w:line="360" w:lineRule="auto"/>
        <w:jc w:val="center"/>
        <w:rPr>
          <w:rFonts w:hint="eastAsia" w:ascii="宋体" w:hAnsi="宋体" w:eastAsia="宋体" w:cs="宋体"/>
          <w:b/>
          <w:color w:val="auto"/>
          <w:sz w:val="24"/>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格式6          </w:t>
      </w:r>
    </w:p>
    <w:p>
      <w:pPr>
        <w:spacing w:line="360" w:lineRule="auto"/>
        <w:ind w:firstLine="2800" w:firstLineChars="1000"/>
        <w:jc w:val="left"/>
        <w:rPr>
          <w:rFonts w:hint="eastAsia" w:ascii="宋体" w:hAnsi="宋体" w:eastAsia="宋体" w:cs="宋体"/>
          <w:color w:val="auto"/>
          <w:sz w:val="24"/>
          <w:highlight w:val="none"/>
        </w:rPr>
      </w:pPr>
      <w:r>
        <w:rPr>
          <w:rFonts w:hint="eastAsia" w:ascii="宋体" w:hAnsi="宋体" w:eastAsia="宋体" w:cs="宋体"/>
          <w:color w:val="auto"/>
          <w:kern w:val="0"/>
          <w:sz w:val="28"/>
          <w:szCs w:val="28"/>
          <w:highlight w:val="none"/>
        </w:rPr>
        <w:t>施工组织设计</w:t>
      </w:r>
    </w:p>
    <w:p>
      <w:pPr>
        <w:autoSpaceDE w:val="0"/>
        <w:autoSpaceDN w:val="0"/>
        <w:adjustRightInd w:val="0"/>
        <w:spacing w:line="420" w:lineRule="exact"/>
        <w:ind w:firstLine="539" w:firstLineChars="257"/>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投标人编制施工组织设计的要求：编制时应采用文字并结合图表形式说明施工方法；拟投入本工程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autoSpaceDE w:val="0"/>
        <w:autoSpaceDN w:val="0"/>
        <w:adjustRightInd w:val="0"/>
        <w:spacing w:line="420" w:lineRule="exact"/>
        <w:ind w:firstLine="539" w:firstLineChars="257"/>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 施工组织设计除采用文字表述外可附下列图表，图表及格式要求附后。</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附表一拟投入本工程的主要施工设备表</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附表二拟配备本工程的试验和检测仪器设备表</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附表三劳动力计划表</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附表四计划开、竣工日期和施工进度网络图</w:t>
      </w: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附表一：拟投入本工程的主要施工设备表</w:t>
      </w:r>
    </w:p>
    <w:p>
      <w:pPr>
        <w:autoSpaceDE w:val="0"/>
        <w:autoSpaceDN w:val="0"/>
        <w:adjustRightInd w:val="0"/>
        <w:spacing w:line="420" w:lineRule="exact"/>
        <w:jc w:val="left"/>
        <w:rPr>
          <w:rFonts w:hint="eastAsia" w:ascii="宋体" w:hAnsi="宋体" w:eastAsia="宋体" w:cs="宋体"/>
          <w:color w:val="auto"/>
          <w:kern w:val="0"/>
          <w:sz w:val="24"/>
          <w:highlight w:val="none"/>
        </w:rPr>
      </w:pPr>
    </w:p>
    <w:tbl>
      <w:tblPr>
        <w:tblStyle w:val="30"/>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207"/>
        <w:gridCol w:w="927"/>
        <w:gridCol w:w="927"/>
        <w:gridCol w:w="928"/>
        <w:gridCol w:w="928"/>
        <w:gridCol w:w="1197"/>
        <w:gridCol w:w="659"/>
        <w:gridCol w:w="928"/>
        <w:gridCol w:w="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47"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序号</w:t>
            </w:r>
          </w:p>
        </w:tc>
        <w:tc>
          <w:tcPr>
            <w:tcW w:w="1207"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设备名称</w:t>
            </w:r>
          </w:p>
        </w:tc>
        <w:tc>
          <w:tcPr>
            <w:tcW w:w="927"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型号</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规格</w:t>
            </w:r>
          </w:p>
        </w:tc>
        <w:tc>
          <w:tcPr>
            <w:tcW w:w="927"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数量</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国别</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产地</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制造</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年份</w:t>
            </w:r>
          </w:p>
        </w:tc>
        <w:tc>
          <w:tcPr>
            <w:tcW w:w="1197"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额定功率</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w:t>
            </w:r>
            <w:r>
              <w:rPr>
                <w:rFonts w:hint="eastAsia" w:ascii="宋体" w:hAnsi="宋体" w:eastAsia="宋体" w:cs="宋体"/>
                <w:b/>
                <w:color w:val="auto"/>
                <w:kern w:val="0"/>
                <w:szCs w:val="21"/>
                <w:highlight w:val="none"/>
              </w:rPr>
              <w:t>KW</w:t>
            </w:r>
            <w:r>
              <w:rPr>
                <w:rFonts w:hint="eastAsia" w:ascii="宋体" w:hAnsi="宋体" w:eastAsia="宋体" w:cs="宋体"/>
                <w:color w:val="auto"/>
                <w:kern w:val="0"/>
                <w:szCs w:val="21"/>
                <w:highlight w:val="none"/>
              </w:rPr>
              <w:t>）</w:t>
            </w:r>
          </w:p>
        </w:tc>
        <w:tc>
          <w:tcPr>
            <w:tcW w:w="659"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生产</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能力</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用于施</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工部位</w:t>
            </w:r>
          </w:p>
        </w:tc>
        <w:tc>
          <w:tcPr>
            <w:tcW w:w="928"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0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97"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65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bl>
    <w:p>
      <w:pPr>
        <w:autoSpaceDE w:val="0"/>
        <w:autoSpaceDN w:val="0"/>
        <w:adjustRightInd w:val="0"/>
        <w:spacing w:line="42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附表二：拟配备本工程的试验和检测仪器设备表</w:t>
      </w:r>
    </w:p>
    <w:p>
      <w:pPr>
        <w:autoSpaceDE w:val="0"/>
        <w:autoSpaceDN w:val="0"/>
        <w:adjustRightInd w:val="0"/>
        <w:spacing w:line="420" w:lineRule="exact"/>
        <w:jc w:val="left"/>
        <w:rPr>
          <w:rFonts w:hint="eastAsia" w:ascii="宋体" w:hAnsi="宋体" w:eastAsia="宋体" w:cs="宋体"/>
          <w:color w:val="auto"/>
          <w:kern w:val="0"/>
          <w:sz w:val="24"/>
          <w:highlight w:val="none"/>
        </w:rPr>
      </w:pPr>
    </w:p>
    <w:tbl>
      <w:tblPr>
        <w:tblStyle w:val="30"/>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28"/>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24"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228"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仪器设备</w:t>
            </w:r>
          </w:p>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型号</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规格</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数量</w:t>
            </w:r>
          </w:p>
        </w:tc>
        <w:tc>
          <w:tcPr>
            <w:tcW w:w="1025"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国别</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产地</w:t>
            </w:r>
          </w:p>
        </w:tc>
        <w:tc>
          <w:tcPr>
            <w:tcW w:w="884"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制造</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年份</w:t>
            </w:r>
          </w:p>
        </w:tc>
        <w:tc>
          <w:tcPr>
            <w:tcW w:w="1166" w:type="dxa"/>
            <w:vAlign w:val="center"/>
          </w:tcPr>
          <w:p>
            <w:pPr>
              <w:autoSpaceDE w:val="0"/>
              <w:autoSpaceDN w:val="0"/>
              <w:adjustRightInd w:val="0"/>
              <w:spacing w:line="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已使用台</w:t>
            </w:r>
          </w:p>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时数</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用途</w:t>
            </w:r>
          </w:p>
        </w:tc>
        <w:tc>
          <w:tcPr>
            <w:tcW w:w="1026" w:type="dxa"/>
            <w:vAlign w:val="center"/>
          </w:tcPr>
          <w:p>
            <w:pPr>
              <w:autoSpaceDE w:val="0"/>
              <w:autoSpaceDN w:val="0"/>
              <w:adjustRightInd w:val="0"/>
              <w:spacing w:line="0" w:lineRule="atLeas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228"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5"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88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6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2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bl>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 w:val="28"/>
          <w:szCs w:val="28"/>
          <w:highlight w:val="none"/>
        </w:rPr>
        <w:t>附表三：劳动力计划表</w:t>
      </w:r>
    </w:p>
    <w:p>
      <w:pPr>
        <w:autoSpaceDE w:val="0"/>
        <w:autoSpaceDN w:val="0"/>
        <w:adjustRightInd w:val="0"/>
        <w:spacing w:line="420" w:lineRule="exact"/>
        <w:jc w:val="righ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单位：人</w:t>
      </w:r>
    </w:p>
    <w:tbl>
      <w:tblPr>
        <w:tblStyle w:val="30"/>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2"/>
        <w:gridCol w:w="1162"/>
        <w:gridCol w:w="1162"/>
        <w:gridCol w:w="1162"/>
        <w:gridCol w:w="1162"/>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工种</w:t>
            </w:r>
          </w:p>
        </w:tc>
        <w:tc>
          <w:tcPr>
            <w:tcW w:w="8136" w:type="dxa"/>
            <w:gridSpan w:val="7"/>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1"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2"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c>
          <w:tcPr>
            <w:tcW w:w="1165"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p>
        </w:tc>
      </w:tr>
    </w:tbl>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p>
    <w:p>
      <w:pPr>
        <w:autoSpaceDE w:val="0"/>
        <w:autoSpaceDN w:val="0"/>
        <w:adjustRightInd w:val="0"/>
        <w:spacing w:line="420" w:lineRule="exact"/>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附表四：计划开、竣工日期和施工进度网络图（或横道图）</w:t>
      </w:r>
    </w:p>
    <w:p>
      <w:pPr>
        <w:autoSpaceDE w:val="0"/>
        <w:autoSpaceDN w:val="0"/>
        <w:adjustRightInd w:val="0"/>
        <w:spacing w:line="4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投标人应递交施工进度网络图或施工进度表，说明按招标文件要求的计划工期进行施工的各个关键日期。</w:t>
      </w:r>
    </w:p>
    <w:p>
      <w:pPr>
        <w:autoSpaceDE w:val="0"/>
        <w:autoSpaceDN w:val="0"/>
        <w:adjustRightInd w:val="0"/>
        <w:spacing w:line="420" w:lineRule="exact"/>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2. 施工进度表可采用网络图（或横道图）表示。</w:t>
      </w:r>
    </w:p>
    <w:p>
      <w:pPr>
        <w:pStyle w:val="12"/>
        <w:rPr>
          <w:rFonts w:hint="eastAsia" w:ascii="宋体" w:hAnsi="宋体" w:eastAsia="宋体" w:cs="宋体"/>
          <w:color w:val="auto"/>
          <w:sz w:val="20"/>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color w:val="auto"/>
          <w:sz w:val="24"/>
          <w:highlight w:val="none"/>
        </w:rPr>
      </w:pPr>
    </w:p>
    <w:p>
      <w:pPr>
        <w:pStyle w:val="12"/>
        <w:spacing w:before="5"/>
        <w:rPr>
          <w:rFonts w:hint="eastAsia" w:ascii="宋体" w:hAnsi="宋体" w:eastAsia="宋体" w:cs="宋体"/>
          <w:b/>
          <w:color w:val="auto"/>
          <w:sz w:val="20"/>
          <w:highlight w:val="none"/>
        </w:rPr>
      </w:pPr>
      <w:r>
        <w:rPr>
          <w:rFonts w:hint="eastAsia" w:ascii="宋体" w:hAnsi="宋体" w:eastAsia="宋体" w:cs="宋体"/>
          <w:color w:val="auto"/>
          <w:sz w:val="24"/>
          <w:highlight w:val="none"/>
        </w:rPr>
        <w:t>格式7</w:t>
      </w:r>
    </w:p>
    <w:p>
      <w:pPr>
        <w:rPr>
          <w:rFonts w:hint="eastAsia" w:ascii="宋体" w:hAnsi="宋体" w:eastAsia="宋体" w:cs="宋体"/>
          <w:color w:val="auto"/>
          <w:sz w:val="24"/>
          <w:highlight w:val="none"/>
        </w:rPr>
      </w:pPr>
    </w:p>
    <w:p>
      <w:pPr>
        <w:pStyle w:val="7"/>
        <w:spacing w:before="120" w:after="120" w:line="240" w:lineRule="auto"/>
        <w:rPr>
          <w:rFonts w:hint="eastAsia" w:ascii="宋体" w:hAnsi="宋体" w:eastAsia="宋体" w:cs="宋体"/>
          <w:color w:val="auto"/>
          <w:highlight w:val="none"/>
        </w:rPr>
      </w:pPr>
      <w:r>
        <w:rPr>
          <w:rFonts w:hint="eastAsia" w:ascii="宋体" w:hAnsi="宋体" w:eastAsia="宋体" w:cs="宋体"/>
          <w:b w:val="0"/>
          <w:color w:val="auto"/>
          <w:sz w:val="24"/>
          <w:szCs w:val="24"/>
          <w:highlight w:val="none"/>
        </w:rPr>
        <w:t>（一）项目管理机构组成表</w:t>
      </w:r>
    </w:p>
    <w:tbl>
      <w:tblPr>
        <w:tblStyle w:val="30"/>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033"/>
        <w:gridCol w:w="1034"/>
        <w:gridCol w:w="1156"/>
        <w:gridCol w:w="912"/>
        <w:gridCol w:w="1324"/>
        <w:gridCol w:w="1399"/>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1033" w:type="dxa"/>
            <w:vMerge w:val="restart"/>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职务</w:t>
            </w:r>
          </w:p>
        </w:tc>
        <w:tc>
          <w:tcPr>
            <w:tcW w:w="1033" w:type="dxa"/>
            <w:vMerge w:val="restart"/>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姓名</w:t>
            </w:r>
          </w:p>
        </w:tc>
        <w:tc>
          <w:tcPr>
            <w:tcW w:w="1034" w:type="dxa"/>
            <w:vMerge w:val="restart"/>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职称</w:t>
            </w:r>
          </w:p>
        </w:tc>
        <w:tc>
          <w:tcPr>
            <w:tcW w:w="4791" w:type="dxa"/>
            <w:gridSpan w:val="4"/>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执业或职业资格证明</w:t>
            </w: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1033" w:type="dxa"/>
            <w:vMerge w:val="continue"/>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Merge w:val="continue"/>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Merge w:val="continue"/>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证书名称</w:t>
            </w: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级别</w:t>
            </w: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证号</w:t>
            </w: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Cs w:val="21"/>
                <w:highlight w:val="none"/>
              </w:rPr>
              <w:t>专业</w:t>
            </w: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3"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03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156"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12"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24"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1399"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c>
          <w:tcPr>
            <w:tcW w:w="900" w:type="dxa"/>
            <w:vAlign w:val="center"/>
          </w:tcPr>
          <w:p>
            <w:pPr>
              <w:autoSpaceDE w:val="0"/>
              <w:autoSpaceDN w:val="0"/>
              <w:adjustRightInd w:val="0"/>
              <w:spacing w:line="420" w:lineRule="exact"/>
              <w:jc w:val="center"/>
              <w:rPr>
                <w:rFonts w:hint="eastAsia" w:ascii="宋体" w:hAnsi="宋体" w:eastAsia="宋体" w:cs="宋体"/>
                <w:color w:val="auto"/>
                <w:kern w:val="0"/>
                <w:sz w:val="24"/>
                <w:highlight w:val="none"/>
              </w:rPr>
            </w:pPr>
          </w:p>
        </w:tc>
      </w:tr>
    </w:tbl>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7"/>
        <w:spacing w:before="120" w:after="120" w:line="240" w:lineRule="auto"/>
        <w:rPr>
          <w:rFonts w:hint="eastAsia" w:ascii="宋体" w:hAnsi="宋体" w:eastAsia="宋体" w:cs="宋体"/>
          <w:color w:val="auto"/>
          <w:sz w:val="24"/>
          <w:highlight w:val="none"/>
        </w:rPr>
      </w:pPr>
      <w:r>
        <w:rPr>
          <w:rFonts w:hint="eastAsia" w:ascii="宋体" w:hAnsi="宋体" w:eastAsia="宋体" w:cs="宋体"/>
          <w:b w:val="0"/>
          <w:color w:val="auto"/>
          <w:sz w:val="24"/>
          <w:szCs w:val="24"/>
          <w:highlight w:val="none"/>
        </w:rPr>
        <w:t>（二）主要人员简历表</w:t>
      </w:r>
    </w:p>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附1：项目经理简历表</w:t>
      </w:r>
    </w:p>
    <w:p>
      <w:pPr>
        <w:spacing w:line="420" w:lineRule="exact"/>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项目经理应附建造师注册证书、安全生产考核合格证书、身份证、养老保险复印件及未担任其他在施建设工程项目项目经理的承诺书，管理过的项目业绩须附合同协议书和竣工验收备案登记表复印件。</w:t>
      </w:r>
    </w:p>
    <w:tbl>
      <w:tblPr>
        <w:tblStyle w:val="30"/>
        <w:tblW w:w="902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58"/>
        <w:gridCol w:w="1098"/>
        <w:gridCol w:w="1203"/>
        <w:gridCol w:w="1352"/>
        <w:gridCol w:w="1954"/>
        <w:gridCol w:w="225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1098" w:type="dxa"/>
            <w:vAlign w:val="center"/>
          </w:tcPr>
          <w:p>
            <w:pPr>
              <w:jc w:val="center"/>
              <w:rPr>
                <w:rFonts w:hint="eastAsia" w:ascii="宋体" w:hAnsi="宋体" w:eastAsia="宋体" w:cs="宋体"/>
                <w:color w:val="auto"/>
                <w:szCs w:val="21"/>
                <w:highlight w:val="none"/>
              </w:rPr>
            </w:pPr>
          </w:p>
        </w:tc>
        <w:tc>
          <w:tcPr>
            <w:tcW w:w="1203"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p>
        </w:tc>
        <w:tc>
          <w:tcPr>
            <w:tcW w:w="1352" w:type="dxa"/>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称</w:t>
            </w:r>
          </w:p>
        </w:tc>
        <w:tc>
          <w:tcPr>
            <w:tcW w:w="1098" w:type="dxa"/>
            <w:vAlign w:val="center"/>
          </w:tcPr>
          <w:p>
            <w:pPr>
              <w:jc w:val="center"/>
              <w:rPr>
                <w:rFonts w:hint="eastAsia" w:ascii="宋体" w:hAnsi="宋体" w:eastAsia="宋体" w:cs="宋体"/>
                <w:color w:val="auto"/>
                <w:szCs w:val="21"/>
                <w:highlight w:val="none"/>
              </w:rPr>
            </w:pPr>
          </w:p>
        </w:tc>
        <w:tc>
          <w:tcPr>
            <w:tcW w:w="1203"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  务</w:t>
            </w:r>
          </w:p>
        </w:tc>
        <w:tc>
          <w:tcPr>
            <w:tcW w:w="1352" w:type="dxa"/>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拟在本工程任职</w:t>
            </w:r>
          </w:p>
        </w:tc>
        <w:tc>
          <w:tcPr>
            <w:tcW w:w="2255"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项目经理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3459"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注册建造师执业资格等级</w:t>
            </w:r>
          </w:p>
        </w:tc>
        <w:tc>
          <w:tcPr>
            <w:tcW w:w="1352"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级</w:t>
            </w: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建造师专业</w:t>
            </w: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3459"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安全生产考核合格证书</w:t>
            </w:r>
          </w:p>
        </w:tc>
        <w:tc>
          <w:tcPr>
            <w:tcW w:w="5561" w:type="dxa"/>
            <w:gridSpan w:val="3"/>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毕业学校</w:t>
            </w:r>
          </w:p>
        </w:tc>
        <w:tc>
          <w:tcPr>
            <w:tcW w:w="7862" w:type="dxa"/>
            <w:gridSpan w:val="5"/>
            <w:vAlign w:val="center"/>
          </w:tcPr>
          <w:p>
            <w:pPr>
              <w:ind w:firstLine="84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年毕业于                  学校            专业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9020" w:type="dxa"/>
            <w:gridSpan w:val="6"/>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主要工作经历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  间</w:t>
            </w:r>
          </w:p>
        </w:tc>
        <w:tc>
          <w:tcPr>
            <w:tcW w:w="3653" w:type="dxa"/>
            <w:gridSpan w:val="3"/>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参加过的类似项目名称</w:t>
            </w:r>
          </w:p>
        </w:tc>
        <w:tc>
          <w:tcPr>
            <w:tcW w:w="1954"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工程概况说明</w:t>
            </w:r>
          </w:p>
        </w:tc>
        <w:tc>
          <w:tcPr>
            <w:tcW w:w="2255"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发包人及联系电话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pPr>
              <w:jc w:val="center"/>
              <w:rPr>
                <w:rFonts w:hint="eastAsia" w:ascii="宋体" w:hAnsi="宋体" w:eastAsia="宋体" w:cs="宋体"/>
                <w:color w:val="auto"/>
                <w:szCs w:val="21"/>
                <w:highlight w:val="none"/>
              </w:rPr>
            </w:pPr>
          </w:p>
        </w:tc>
        <w:tc>
          <w:tcPr>
            <w:tcW w:w="3653" w:type="dxa"/>
            <w:gridSpan w:val="3"/>
            <w:vAlign w:val="center"/>
          </w:tcPr>
          <w:p>
            <w:pPr>
              <w:jc w:val="center"/>
              <w:rPr>
                <w:rFonts w:hint="eastAsia" w:ascii="宋体" w:hAnsi="宋体" w:eastAsia="宋体" w:cs="宋体"/>
                <w:color w:val="auto"/>
                <w:szCs w:val="21"/>
                <w:highlight w:val="none"/>
              </w:rPr>
            </w:pPr>
          </w:p>
        </w:tc>
        <w:tc>
          <w:tcPr>
            <w:tcW w:w="1954" w:type="dxa"/>
            <w:vAlign w:val="center"/>
          </w:tcPr>
          <w:p>
            <w:pPr>
              <w:jc w:val="center"/>
              <w:rPr>
                <w:rFonts w:hint="eastAsia" w:ascii="宋体" w:hAnsi="宋体" w:eastAsia="宋体" w:cs="宋体"/>
                <w:color w:val="auto"/>
                <w:szCs w:val="21"/>
                <w:highlight w:val="none"/>
              </w:rPr>
            </w:pPr>
          </w:p>
        </w:tc>
        <w:tc>
          <w:tcPr>
            <w:tcW w:w="2255" w:type="dxa"/>
            <w:vAlign w:val="center"/>
          </w:tcPr>
          <w:p>
            <w:pPr>
              <w:jc w:val="center"/>
              <w:rPr>
                <w:rFonts w:hint="eastAsia" w:ascii="宋体" w:hAnsi="宋体" w:eastAsia="宋体" w:cs="宋体"/>
                <w:color w:val="auto"/>
                <w:szCs w:val="21"/>
                <w:highlight w:val="none"/>
              </w:rPr>
            </w:pPr>
          </w:p>
        </w:tc>
      </w:tr>
    </w:tbl>
    <w:p>
      <w:pPr>
        <w:spacing w:line="420" w:lineRule="exact"/>
        <w:rPr>
          <w:rFonts w:hint="eastAsia" w:ascii="宋体" w:hAnsi="宋体" w:eastAsia="宋体" w:cs="宋体"/>
          <w:color w:val="auto"/>
          <w:szCs w:val="21"/>
          <w:highlight w:val="none"/>
        </w:rPr>
      </w:pPr>
    </w:p>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附2：主要项目管理人员简历表</w:t>
      </w:r>
    </w:p>
    <w:p>
      <w:pPr>
        <w:spacing w:line="420" w:lineRule="exact"/>
        <w:ind w:firstLine="359" w:firstLineChars="171"/>
        <w:rPr>
          <w:rFonts w:hint="eastAsia" w:ascii="宋体" w:hAnsi="宋体" w:eastAsia="宋体" w:cs="宋体"/>
          <w:color w:val="auto"/>
          <w:szCs w:val="21"/>
          <w:highlight w:val="none"/>
        </w:rPr>
      </w:pPr>
    </w:p>
    <w:p>
      <w:pPr>
        <w:spacing w:line="420" w:lineRule="exact"/>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主要项目管理人员指技术负责人、专职安全生产管理人员等岗位人员。</w:t>
      </w:r>
    </w:p>
    <w:tbl>
      <w:tblPr>
        <w:tblStyle w:val="30"/>
        <w:tblW w:w="88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20"/>
        <w:gridCol w:w="44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8840" w:type="dxa"/>
            <w:gridSpan w:val="2"/>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岗位名称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p>
        </w:tc>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性    别</w:t>
            </w:r>
          </w:p>
        </w:tc>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毕业学校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学历和专业</w:t>
            </w:r>
          </w:p>
        </w:tc>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毕业时间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拥有的执业资格</w:t>
            </w:r>
          </w:p>
        </w:tc>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专业职称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执业资格证书编号</w:t>
            </w:r>
          </w:p>
        </w:tc>
        <w:tc>
          <w:tcPr>
            <w:tcW w:w="4420" w:type="dxa"/>
          </w:tcPr>
          <w:p>
            <w:pPr>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工作年限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5" w:hRule="atLeast"/>
          <w:jc w:val="center"/>
        </w:trPr>
        <w:tc>
          <w:tcPr>
            <w:tcW w:w="8840" w:type="dxa"/>
            <w:gridSpan w:val="2"/>
            <w:vAlign w:val="center"/>
          </w:tcPr>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要</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作</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绩</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担</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任</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的</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要</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作</w:t>
            </w:r>
          </w:p>
        </w:tc>
      </w:tr>
    </w:tbl>
    <w:p>
      <w:pPr>
        <w:pStyle w:val="2"/>
        <w:ind w:firstLine="210"/>
        <w:rPr>
          <w:rFonts w:hint="eastAsia" w:ascii="宋体" w:hAnsi="宋体" w:eastAsia="宋体" w:cs="宋体"/>
          <w:color w:val="auto"/>
          <w:highlight w:val="none"/>
        </w:rPr>
        <w:sectPr>
          <w:pgSz w:w="11850" w:h="16790"/>
          <w:pgMar w:top="1417" w:right="1417" w:bottom="1417" w:left="1417" w:header="0" w:footer="721" w:gutter="0"/>
          <w:cols w:space="0" w:num="1"/>
          <w:rtlGutter w:val="0"/>
        </w:sectPr>
      </w:pPr>
    </w:p>
    <w:p>
      <w:pPr>
        <w:pStyle w:val="12"/>
        <w:rPr>
          <w:rFonts w:hint="eastAsia" w:ascii="宋体" w:hAnsi="宋体" w:eastAsia="宋体" w:cs="宋体"/>
          <w:b/>
          <w:color w:val="auto"/>
          <w:sz w:val="20"/>
          <w:highlight w:val="none"/>
        </w:rPr>
      </w:pPr>
      <w:r>
        <w:rPr>
          <w:rFonts w:hint="eastAsia" w:ascii="宋体" w:hAnsi="宋体" w:eastAsia="宋体" w:cs="宋体"/>
          <w:color w:val="auto"/>
          <w:sz w:val="24"/>
          <w:highlight w:val="none"/>
        </w:rPr>
        <w:t>格式8</w:t>
      </w:r>
    </w:p>
    <w:p>
      <w:pPr>
        <w:pStyle w:val="12"/>
        <w:rPr>
          <w:rFonts w:hint="eastAsia" w:ascii="宋体" w:hAnsi="宋体" w:eastAsia="宋体" w:cs="宋体"/>
          <w:b/>
          <w:color w:val="auto"/>
          <w:sz w:val="20"/>
          <w:highlight w:val="none"/>
        </w:rPr>
      </w:pPr>
    </w:p>
    <w:p>
      <w:pPr>
        <w:pStyle w:val="12"/>
        <w:spacing w:before="12"/>
        <w:rPr>
          <w:rFonts w:hint="eastAsia" w:ascii="宋体" w:hAnsi="宋体" w:eastAsia="宋体" w:cs="宋体"/>
          <w:b/>
          <w:color w:val="auto"/>
          <w:sz w:val="22"/>
          <w:highlight w:val="none"/>
        </w:rPr>
      </w:pPr>
    </w:p>
    <w:p>
      <w:pPr>
        <w:spacing w:before="55"/>
        <w:ind w:left="588" w:right="987"/>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项目管理机构配备情况辅助说明资料</w:t>
      </w:r>
    </w:p>
    <w:p>
      <w:pPr>
        <w:pStyle w:val="12"/>
        <w:spacing w:before="9"/>
        <w:rPr>
          <w:rFonts w:hint="eastAsia" w:ascii="宋体" w:hAnsi="宋体" w:eastAsia="宋体" w:cs="宋体"/>
          <w:b/>
          <w:color w:val="auto"/>
          <w:sz w:val="12"/>
          <w:highlight w:val="none"/>
        </w:rPr>
      </w:pPr>
    </w:p>
    <w:p>
      <w:pPr>
        <w:bidi w:val="0"/>
        <w:rPr>
          <w:rFonts w:hint="eastAsia" w:ascii="宋体" w:hAnsi="宋体" w:eastAsia="宋体" w:cs="宋体"/>
          <w:color w:val="auto"/>
          <w:highlight w:val="none"/>
        </w:rPr>
      </w:pPr>
      <w:r>
        <w:rPr>
          <w:rFonts w:hint="eastAsia" w:ascii="宋体" w:hAnsi="宋体" w:eastAsia="宋体" w:cs="宋体"/>
          <w:color w:val="auto"/>
          <w:highlight w:val="none"/>
        </w:rPr>
        <w:t>项目名称：</w:t>
      </w:r>
    </w:p>
    <w:tbl>
      <w:tblPr>
        <w:tblStyle w:val="31"/>
        <w:tblW w:w="9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8" w:hRule="atLeast"/>
        </w:trPr>
        <w:tc>
          <w:tcPr>
            <w:tcW w:w="9380" w:type="dxa"/>
          </w:tcPr>
          <w:p>
            <w:pPr>
              <w:pStyle w:val="12"/>
              <w:spacing w:before="10"/>
              <w:rPr>
                <w:rFonts w:hint="eastAsia" w:ascii="宋体" w:hAnsi="宋体" w:eastAsia="宋体" w:cs="宋体"/>
                <w:color w:val="auto"/>
                <w:sz w:val="8"/>
                <w:highlight w:val="none"/>
                <w:vertAlign w:val="baseline"/>
              </w:rPr>
            </w:pPr>
          </w:p>
        </w:tc>
      </w:tr>
    </w:tbl>
    <w:p>
      <w:pPr>
        <w:pStyle w:val="12"/>
        <w:spacing w:before="10"/>
        <w:rPr>
          <w:rFonts w:hint="eastAsia" w:ascii="宋体" w:hAnsi="宋体" w:eastAsia="宋体" w:cs="宋体"/>
          <w:color w:val="auto"/>
          <w:sz w:val="8"/>
          <w:highlight w:val="none"/>
        </w:rPr>
      </w:pPr>
    </w:p>
    <w:p>
      <w:pPr>
        <w:pStyle w:val="12"/>
        <w:spacing w:before="67" w:line="436" w:lineRule="auto"/>
        <w:ind w:left="218" w:right="611" w:firstLine="120"/>
        <w:rPr>
          <w:rFonts w:hint="eastAsia" w:ascii="宋体" w:hAnsi="宋体" w:eastAsia="宋体" w:cs="宋体"/>
          <w:color w:val="auto"/>
          <w:highlight w:val="none"/>
        </w:rPr>
      </w:pPr>
      <w:r>
        <w:rPr>
          <w:rFonts w:hint="eastAsia" w:ascii="宋体" w:hAnsi="宋体" w:eastAsia="宋体" w:cs="宋体"/>
          <w:color w:val="auto"/>
          <w:highlight w:val="none"/>
        </w:rPr>
        <w:t>注：1、辅助说明资料主要包括管理机构和机构设置、职责分工有关复印资料及投标人认为有必要提供的资料。格式不做统一规定。</w:t>
      </w:r>
    </w:p>
    <w:p>
      <w:pPr>
        <w:pStyle w:val="12"/>
        <w:spacing w:before="1"/>
        <w:ind w:left="818"/>
        <w:rPr>
          <w:rFonts w:hint="eastAsia" w:ascii="宋体" w:hAnsi="宋体" w:eastAsia="宋体" w:cs="宋体"/>
          <w:color w:val="auto"/>
          <w:highlight w:val="none"/>
        </w:rPr>
      </w:pPr>
      <w:r>
        <w:rPr>
          <w:rFonts w:hint="eastAsia" w:ascii="宋体" w:hAnsi="宋体" w:eastAsia="宋体" w:cs="宋体"/>
          <w:color w:val="auto"/>
          <w:highlight w:val="none"/>
        </w:rPr>
        <w:t>2、项目管理机构配备情况说明资料另附（与本投标文件一起装订）</w:t>
      </w:r>
    </w:p>
    <w:p>
      <w:pPr>
        <w:pStyle w:val="29"/>
        <w:ind w:firstLine="480"/>
        <w:rPr>
          <w:rFonts w:hint="eastAsia" w:ascii="宋体" w:hAnsi="宋体" w:eastAsia="宋体" w:cs="宋体"/>
          <w:color w:val="auto"/>
          <w:sz w:val="24"/>
          <w:highlight w:val="none"/>
        </w:rPr>
      </w:pPr>
    </w:p>
    <w:p>
      <w:pPr>
        <w:pStyle w:val="29"/>
        <w:ind w:firstLine="480"/>
        <w:rPr>
          <w:rFonts w:hint="eastAsia" w:ascii="宋体" w:hAnsi="宋体" w:eastAsia="宋体" w:cs="宋体"/>
          <w:color w:val="auto"/>
          <w:sz w:val="24"/>
          <w:highlight w:val="none"/>
        </w:rPr>
      </w:pPr>
    </w:p>
    <w:p>
      <w:pPr>
        <w:spacing w:line="380" w:lineRule="exact"/>
        <w:jc w:val="center"/>
        <w:rPr>
          <w:rFonts w:hint="eastAsia" w:ascii="宋体" w:hAnsi="宋体" w:eastAsia="宋体" w:cs="宋体"/>
          <w:color w:val="auto"/>
          <w:sz w:val="24"/>
          <w:highlight w:val="none"/>
        </w:rPr>
      </w:pPr>
    </w:p>
    <w:p>
      <w:pPr>
        <w:spacing w:line="380" w:lineRule="exact"/>
        <w:jc w:val="center"/>
        <w:rPr>
          <w:rFonts w:hint="eastAsia" w:ascii="宋体" w:hAnsi="宋体" w:eastAsia="宋体" w:cs="宋体"/>
          <w:color w:val="auto"/>
          <w:sz w:val="24"/>
          <w:highlight w:val="none"/>
        </w:rPr>
      </w:pPr>
    </w:p>
    <w:p>
      <w:pPr>
        <w:spacing w:line="380" w:lineRule="exact"/>
        <w:jc w:val="center"/>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格式9</w:t>
      </w:r>
    </w:p>
    <w:p>
      <w:pPr>
        <w:spacing w:line="360" w:lineRule="auto"/>
        <w:ind w:firstLine="1680" w:firstLineChars="700"/>
        <w:rPr>
          <w:rFonts w:hint="eastAsia" w:ascii="宋体" w:hAnsi="宋体" w:eastAsia="宋体" w:cs="宋体"/>
          <w:color w:val="auto"/>
          <w:kern w:val="1"/>
          <w:sz w:val="24"/>
          <w:highlight w:val="none"/>
        </w:rPr>
      </w:pPr>
    </w:p>
    <w:p>
      <w:pPr>
        <w:spacing w:line="360" w:lineRule="auto"/>
        <w:ind w:firstLine="1680" w:firstLineChars="700"/>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合格供应商的声明函和承诺书</w:t>
      </w:r>
    </w:p>
    <w:p>
      <w:pPr>
        <w:spacing w:line="360" w:lineRule="auto"/>
        <w:jc w:val="center"/>
        <w:rPr>
          <w:rFonts w:hint="eastAsia" w:ascii="宋体" w:hAnsi="宋体" w:eastAsia="宋体" w:cs="宋体"/>
          <w:b/>
          <w:bCs/>
          <w:color w:val="auto"/>
          <w:sz w:val="24"/>
          <w:highlight w:val="none"/>
        </w:rPr>
      </w:pPr>
    </w:p>
    <w:p>
      <w:pPr>
        <w:spacing w:line="360" w:lineRule="auto"/>
        <w:jc w:val="center"/>
        <w:rPr>
          <w:rFonts w:hint="eastAsia" w:ascii="宋体" w:hAnsi="宋体" w:eastAsia="宋体" w:cs="宋体"/>
          <w:b/>
          <w:bCs/>
          <w:color w:val="auto"/>
          <w:sz w:val="24"/>
          <w:highlight w:val="none"/>
        </w:rPr>
      </w:pPr>
    </w:p>
    <w:p>
      <w:pPr>
        <w:spacing w:line="360" w:lineRule="auto"/>
        <w:jc w:val="center"/>
        <w:rPr>
          <w:rFonts w:hint="eastAsia" w:ascii="宋体" w:hAnsi="宋体" w:eastAsia="宋体" w:cs="宋体"/>
          <w:b/>
          <w:bCs/>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80" w:lineRule="exact"/>
        <w:ind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供应商电子公章：</w:t>
      </w:r>
    </w:p>
    <w:p>
      <w:pPr>
        <w:spacing w:line="380" w:lineRule="exact"/>
        <w:ind w:right="640" w:firstLine="1560" w:firstLineChars="650"/>
        <w:rPr>
          <w:rFonts w:hint="eastAsia" w:ascii="宋体" w:hAnsi="宋体" w:eastAsia="宋体" w:cs="宋体"/>
          <w:color w:val="auto"/>
          <w:sz w:val="24"/>
          <w:highlight w:val="none"/>
        </w:rPr>
      </w:pPr>
    </w:p>
    <w:p>
      <w:pPr>
        <w:spacing w:line="360" w:lineRule="auto"/>
        <w:jc w:val="center"/>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年   月    日</w:t>
      </w:r>
    </w:p>
    <w:p>
      <w:pPr>
        <w:spacing w:line="380" w:lineRule="exact"/>
        <w:jc w:val="center"/>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格式10</w:t>
      </w:r>
    </w:p>
    <w:p>
      <w:pPr>
        <w:spacing w:line="3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售后服务承诺</w:t>
      </w:r>
    </w:p>
    <w:p>
      <w:pPr>
        <w:spacing w:line="380" w:lineRule="exact"/>
        <w:jc w:val="center"/>
        <w:rPr>
          <w:rFonts w:hint="eastAsia" w:ascii="宋体" w:hAnsi="宋体" w:eastAsia="宋体" w:cs="宋体"/>
          <w:color w:val="auto"/>
          <w:sz w:val="24"/>
          <w:highlight w:val="none"/>
        </w:rPr>
      </w:pPr>
    </w:p>
    <w:p>
      <w:pPr>
        <w:spacing w:line="380" w:lineRule="exact"/>
        <w:ind w:firstLine="360" w:firstLineChars="150"/>
        <w:rPr>
          <w:rFonts w:hint="eastAsia" w:ascii="宋体" w:hAnsi="宋体" w:eastAsia="宋体" w:cs="宋体"/>
          <w:color w:val="auto"/>
          <w:sz w:val="24"/>
          <w:highlight w:val="none"/>
        </w:rPr>
      </w:pPr>
    </w:p>
    <w:p>
      <w:pPr>
        <w:pStyle w:val="46"/>
        <w:rPr>
          <w:rFonts w:hint="eastAsia" w:ascii="宋体" w:hAnsi="宋体" w:eastAsia="宋体" w:cs="宋体"/>
          <w:color w:val="auto"/>
          <w:sz w:val="24"/>
          <w:szCs w:val="24"/>
          <w:highlight w:val="none"/>
        </w:rPr>
      </w:pPr>
    </w:p>
    <w:p>
      <w:pPr>
        <w:pStyle w:val="46"/>
        <w:rPr>
          <w:rFonts w:hint="eastAsia" w:ascii="宋体" w:hAnsi="宋体" w:eastAsia="宋体" w:cs="宋体"/>
          <w:color w:val="auto"/>
          <w:sz w:val="24"/>
          <w:szCs w:val="24"/>
          <w:highlight w:val="none"/>
        </w:rPr>
      </w:pPr>
    </w:p>
    <w:p>
      <w:pPr>
        <w:pStyle w:val="46"/>
        <w:rPr>
          <w:rFonts w:hint="eastAsia" w:ascii="宋体" w:hAnsi="宋体" w:eastAsia="宋体" w:cs="宋体"/>
          <w:color w:val="auto"/>
          <w:sz w:val="24"/>
          <w:szCs w:val="24"/>
          <w:highlight w:val="none"/>
        </w:rPr>
      </w:pPr>
    </w:p>
    <w:p>
      <w:pPr>
        <w:pStyle w:val="46"/>
        <w:rPr>
          <w:rFonts w:hint="eastAsia" w:ascii="宋体" w:hAnsi="宋体" w:eastAsia="宋体" w:cs="宋体"/>
          <w:color w:val="auto"/>
          <w:sz w:val="24"/>
          <w:szCs w:val="24"/>
          <w:highlight w:val="none"/>
        </w:rPr>
      </w:pPr>
    </w:p>
    <w:p>
      <w:pPr>
        <w:pStyle w:val="46"/>
        <w:rPr>
          <w:rFonts w:hint="eastAsia" w:ascii="宋体" w:hAnsi="宋体" w:eastAsia="宋体" w:cs="宋体"/>
          <w:color w:val="auto"/>
          <w:sz w:val="24"/>
          <w:szCs w:val="24"/>
          <w:highlight w:val="none"/>
        </w:rPr>
      </w:pPr>
    </w:p>
    <w:p>
      <w:pPr>
        <w:pStyle w:val="46"/>
        <w:rPr>
          <w:rFonts w:hint="eastAsia" w:ascii="宋体" w:hAnsi="宋体" w:eastAsia="宋体" w:cs="宋体"/>
          <w:color w:val="auto"/>
          <w:sz w:val="24"/>
          <w:szCs w:val="24"/>
          <w:highlight w:val="none"/>
        </w:rPr>
      </w:pPr>
    </w:p>
    <w:p>
      <w:pPr>
        <w:spacing w:line="380" w:lineRule="exact"/>
        <w:rPr>
          <w:rFonts w:hint="eastAsia" w:ascii="宋体" w:hAnsi="宋体" w:eastAsia="宋体" w:cs="宋体"/>
          <w:color w:val="auto"/>
          <w:sz w:val="24"/>
          <w:highlight w:val="none"/>
        </w:rPr>
      </w:pPr>
    </w:p>
    <w:p>
      <w:pPr>
        <w:spacing w:line="380" w:lineRule="exact"/>
        <w:ind w:firstLine="4008" w:firstLineChars="167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供应商电子公章：</w:t>
      </w:r>
    </w:p>
    <w:p>
      <w:pPr>
        <w:spacing w:line="380" w:lineRule="exact"/>
        <w:ind w:right="640" w:firstLine="1560" w:firstLineChars="650"/>
        <w:rPr>
          <w:rFonts w:hint="eastAsia" w:ascii="宋体" w:hAnsi="宋体" w:eastAsia="宋体" w:cs="宋体"/>
          <w:color w:val="auto"/>
          <w:sz w:val="24"/>
          <w:highlight w:val="none"/>
        </w:rPr>
      </w:pPr>
    </w:p>
    <w:p>
      <w:pPr>
        <w:spacing w:line="380" w:lineRule="exact"/>
        <w:ind w:right="640" w:firstLine="4680" w:firstLineChars="1950"/>
        <w:rPr>
          <w:rFonts w:hint="eastAsia" w:ascii="宋体" w:hAnsi="宋体" w:eastAsia="宋体" w:cs="宋体"/>
          <w:color w:val="auto"/>
          <w:sz w:val="24"/>
          <w:highlight w:val="none"/>
        </w:rPr>
      </w:pPr>
    </w:p>
    <w:p>
      <w:pPr>
        <w:spacing w:line="380" w:lineRule="exact"/>
        <w:jc w:val="center"/>
        <w:rPr>
          <w:rFonts w:hint="eastAsia" w:ascii="宋体" w:hAnsi="宋体" w:eastAsia="宋体" w:cs="宋体"/>
          <w:color w:val="auto"/>
          <w:sz w:val="24"/>
          <w:highlight w:val="none"/>
        </w:rPr>
      </w:pPr>
    </w:p>
    <w:p>
      <w:pPr>
        <w:spacing w:line="380" w:lineRule="exact"/>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pPr>
        <w:spacing w:line="3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格式11  中小企业声明函（工程、服务）</w:t>
      </w:r>
    </w:p>
    <w:p>
      <w:pPr>
        <w:spacing w:line="360" w:lineRule="auto"/>
        <w:rPr>
          <w:rFonts w:hint="eastAsia" w:ascii="宋体" w:hAnsi="宋体" w:eastAsia="宋体" w:cs="宋体"/>
          <w:b/>
          <w:bCs/>
          <w:color w:val="auto"/>
          <w:sz w:val="32"/>
          <w:szCs w:val="32"/>
          <w:highlight w:val="none"/>
        </w:rPr>
      </w:pP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本公司（联合体）郑重声明，根据《政府采购促进中小企业发展管理办法》（财库﹝2020﹞46号）的规定，本公司（联合体）参加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采购活动，工程的施工单位全部为符合政策要求的中小企业</w:t>
      </w:r>
      <w:r>
        <w:rPr>
          <w:rFonts w:hint="eastAsia" w:ascii="宋体" w:hAnsi="宋体" w:eastAsia="宋体" w:cs="宋体"/>
          <w:color w:val="auto"/>
          <w:sz w:val="24"/>
          <w:highlight w:val="none"/>
          <w:u w:val="single"/>
        </w:rPr>
        <w:t>（或者：服务全部由符合政策要求的中小企业承接）</w:t>
      </w:r>
      <w:r>
        <w:rPr>
          <w:rFonts w:hint="eastAsia" w:ascii="宋体" w:hAnsi="宋体" w:eastAsia="宋体" w:cs="宋体"/>
          <w:color w:val="auto"/>
          <w:sz w:val="24"/>
          <w:highlight w:val="none"/>
        </w:rPr>
        <w:t>。相关企业</w:t>
      </w:r>
      <w:r>
        <w:rPr>
          <w:rFonts w:hint="eastAsia" w:ascii="宋体" w:hAnsi="宋体" w:eastAsia="宋体" w:cs="宋体"/>
          <w:color w:val="auto"/>
          <w:sz w:val="24"/>
          <w:highlight w:val="none"/>
          <w:u w:val="single"/>
        </w:rPr>
        <w:t>（含联合 体中的中小企业、签订分包意向协议的中小企业）</w:t>
      </w:r>
      <w:r>
        <w:rPr>
          <w:rFonts w:hint="eastAsia" w:ascii="宋体" w:hAnsi="宋体" w:eastAsia="宋体" w:cs="宋体"/>
          <w:color w:val="auto"/>
          <w:sz w:val="24"/>
          <w:highlight w:val="none"/>
        </w:rPr>
        <w:t>的具体情 况如下：</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承建（承接）企业为（企业名称），从业人员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万元1，属于（中型企业、小型企业、微型企业）；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承建（承接）企业为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 小型企业、微型企业）</w:t>
      </w:r>
      <w:r>
        <w:rPr>
          <w:rFonts w:hint="eastAsia" w:ascii="宋体" w:hAnsi="宋体" w:eastAsia="宋体" w:cs="宋体"/>
          <w:color w:val="auto"/>
          <w:sz w:val="24"/>
          <w:highlight w:val="none"/>
        </w:rPr>
        <w:t>； ……</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 为大企业的情形，也不存在与大企业的负责人为同一人的情形。</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本企业对上述声明内容的真实性负责。如有虚假，将依 法承担相应责任。 </w:t>
      </w:r>
    </w:p>
    <w:p>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企业名称（盖章）： </w:t>
      </w:r>
    </w:p>
    <w:p>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 期： </w:t>
      </w:r>
    </w:p>
    <w:p>
      <w:pPr>
        <w:pStyle w:val="46"/>
        <w:rPr>
          <w:rFonts w:hint="eastAsia" w:ascii="宋体" w:hAnsi="宋体" w:eastAsia="宋体" w:cs="宋体"/>
          <w:color w:val="auto"/>
          <w:sz w:val="24"/>
          <w:szCs w:val="24"/>
          <w:highlight w:val="none"/>
        </w:rPr>
      </w:pPr>
    </w:p>
    <w:p>
      <w:pPr>
        <w:pStyle w:val="8"/>
        <w:rPr>
          <w:rFonts w:hint="eastAsia" w:ascii="宋体" w:hAnsi="宋体" w:eastAsia="宋体" w:cs="宋体"/>
          <w:color w:val="auto"/>
          <w:sz w:val="24"/>
          <w:highlight w:val="none"/>
        </w:rPr>
      </w:pPr>
    </w:p>
    <w:p>
      <w:pPr>
        <w:rPr>
          <w:rFonts w:hint="eastAsia" w:ascii="宋体" w:hAnsi="宋体" w:eastAsia="宋体" w:cs="宋体"/>
          <w:color w:val="auto"/>
          <w:sz w:val="24"/>
          <w:highlight w:val="none"/>
        </w:rPr>
      </w:pPr>
    </w:p>
    <w:p>
      <w:pPr>
        <w:pStyle w:val="46"/>
        <w:rPr>
          <w:rFonts w:hint="eastAsia" w:ascii="宋体" w:hAnsi="宋体" w:eastAsia="宋体" w:cs="宋体"/>
          <w:color w:val="auto"/>
          <w:sz w:val="24"/>
          <w:szCs w:val="24"/>
          <w:highlight w:val="none"/>
        </w:rPr>
      </w:pPr>
    </w:p>
    <w:p>
      <w:pPr>
        <w:pStyle w:val="8"/>
        <w:rPr>
          <w:rFonts w:hint="eastAsia" w:ascii="宋体" w:hAnsi="宋体" w:eastAsia="宋体" w:cs="宋体"/>
          <w:color w:val="auto"/>
          <w:highlight w:val="none"/>
        </w:rPr>
      </w:pPr>
    </w:p>
    <w:p>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注：1.从业人员、营业收入、资产总额填报上一年度数据，无上一年度数据的新成立企业可不填报。</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2.本项目如是只面向中小企业采购的应当必须提供。</w:t>
      </w:r>
    </w:p>
    <w:p>
      <w:pPr>
        <w:spacing w:line="360" w:lineRule="auto"/>
        <w:jc w:val="center"/>
        <w:rPr>
          <w:rFonts w:hint="eastAsia" w:ascii="宋体" w:hAnsi="宋体" w:eastAsia="宋体" w:cs="宋体"/>
          <w:b/>
          <w:color w:val="auto"/>
          <w:sz w:val="24"/>
          <w:highlight w:val="none"/>
        </w:rPr>
      </w:pPr>
    </w:p>
    <w:p>
      <w:pPr>
        <w:spacing w:line="360" w:lineRule="auto"/>
        <w:jc w:val="center"/>
        <w:rPr>
          <w:rFonts w:hint="eastAsia" w:ascii="宋体" w:hAnsi="宋体" w:eastAsia="宋体" w:cs="宋体"/>
          <w:b/>
          <w:color w:val="auto"/>
          <w:sz w:val="24"/>
          <w:highlight w:val="none"/>
        </w:rPr>
      </w:pPr>
    </w:p>
    <w:p>
      <w:pPr>
        <w:spacing w:line="360" w:lineRule="auto"/>
        <w:rPr>
          <w:rFonts w:hint="eastAsia" w:ascii="宋体" w:hAnsi="宋体" w:eastAsia="宋体" w:cs="宋体"/>
          <w:color w:val="auto"/>
          <w:sz w:val="24"/>
          <w:highlight w:val="none"/>
        </w:rPr>
      </w:pPr>
    </w:p>
    <w:p>
      <w:pPr>
        <w:pStyle w:val="46"/>
        <w:rPr>
          <w:rFonts w:hint="eastAsia" w:ascii="宋体" w:hAnsi="宋体" w:eastAsia="宋体" w:cs="宋体"/>
          <w:color w:val="auto"/>
          <w:sz w:val="24"/>
          <w:highlight w:val="none"/>
        </w:rPr>
      </w:pPr>
    </w:p>
    <w:p>
      <w:pPr>
        <w:pStyle w:val="8"/>
        <w:rPr>
          <w:rFonts w:hint="eastAsia" w:ascii="宋体" w:hAnsi="宋体" w:eastAsia="宋体" w:cs="宋体"/>
          <w:color w:val="auto"/>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格式12      其他资料</w:t>
      </w: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0" w:firstLineChars="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sz w:val="24"/>
          <w:highlight w:val="none"/>
        </w:rPr>
      </w:pPr>
    </w:p>
    <w:p>
      <w:pPr>
        <w:spacing w:line="360" w:lineRule="auto"/>
        <w:rPr>
          <w:rFonts w:hint="eastAsia" w:ascii="宋体" w:hAnsi="宋体" w:eastAsia="宋体" w:cs="宋体"/>
          <w:color w:val="auto"/>
          <w:highlight w:val="none"/>
        </w:rPr>
      </w:pPr>
      <w:r>
        <w:rPr>
          <w:rFonts w:hint="eastAsia" w:ascii="宋体" w:hAnsi="宋体" w:eastAsia="宋体" w:cs="宋体"/>
          <w:color w:val="auto"/>
          <w:sz w:val="24"/>
          <w:highlight w:val="none"/>
        </w:rPr>
        <w:t>格式13</w:t>
      </w:r>
    </w:p>
    <w:p>
      <w:pPr>
        <w:spacing w:line="380" w:lineRule="exact"/>
        <w:jc w:val="center"/>
        <w:rPr>
          <w:rStyle w:val="75"/>
          <w:rFonts w:hint="eastAsia" w:ascii="宋体" w:hAnsi="宋体" w:eastAsia="宋体" w:cs="宋体"/>
          <w:b/>
          <w:bCs/>
          <w:color w:val="auto"/>
          <w:sz w:val="28"/>
          <w:szCs w:val="28"/>
          <w:highlight w:val="none"/>
        </w:rPr>
      </w:pPr>
      <w:r>
        <w:rPr>
          <w:rStyle w:val="75"/>
          <w:rFonts w:hint="eastAsia" w:ascii="宋体" w:hAnsi="宋体" w:eastAsia="宋体" w:cs="宋体"/>
          <w:b/>
          <w:bCs/>
          <w:color w:val="auto"/>
          <w:sz w:val="28"/>
          <w:szCs w:val="28"/>
          <w:highlight w:val="none"/>
        </w:rPr>
        <w:t>政府采购供应商诚信承诺书</w:t>
      </w:r>
    </w:p>
    <w:p>
      <w:pPr>
        <w:spacing w:line="380" w:lineRule="exact"/>
        <w:jc w:val="center"/>
        <w:rPr>
          <w:rStyle w:val="75"/>
          <w:rFonts w:hint="eastAsia" w:ascii="宋体" w:hAnsi="宋体" w:eastAsia="宋体" w:cs="宋体"/>
          <w:b/>
          <w:bCs/>
          <w:color w:val="auto"/>
          <w:sz w:val="24"/>
          <w:highlight w:val="none"/>
        </w:rPr>
      </w:pPr>
    </w:p>
    <w:p>
      <w:pPr>
        <w:spacing w:line="38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（一）提供虚假材料谋取中标;</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（二）采取不正当手段诋毁、排挤其他供应商;</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（三）与招标采购单位、其他投标人恶意串通;</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（四）向招标采购单位或提供其他不正当利益;</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（五）在招标过程中与招标采购单位进行协商谈判、不按照招标文件和投标文件订立合同，或者与采购人另立背离合同实质性内容协议;</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（六）开标后擅自撤销投标，影响招标继续进行的或领取招标文件纳投标保证金后不投标导致废标;</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（七）中标后无正当理由，在规定时间内不与采购单位签订合同;</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（八）将中标项目转让给他人或非法分包他人;</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（九）无正当理由，拒绝履行合同义务;</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（十）无正当理由放弃中标（成交）项目;</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（十ー）撞自或与与采购人串通或接受采购人要求，在履约合同中通过减少质量和服务标准等，却仍按原合同进行虚假验收或终止政府采购合同;</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（十二）与采购人串通，对尚未履约完毕的采购项目出具虚假验收报告；</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（十三）无不可抗力因素，拒绝提供售后服务、售后服务态度恶劣、故意提高维修配件价格（高于市场平均价）；</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（十四）开标后对招标文件的相关内容再进行质疑；</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（十五）恶意投诉的行为：投诉经查无实据的、捏造事实或者提供虚假设诉材料；</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（十六）拒绝有关部门监督检查或者提供虚假情况；</w:t>
      </w:r>
    </w:p>
    <w:p>
      <w:pPr>
        <w:spacing w:line="38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（十七）政府采购监管部门认定的其他政府采购活动中的不诚信行为。</w:t>
      </w:r>
    </w:p>
    <w:p>
      <w:pPr>
        <w:spacing w:line="380" w:lineRule="exact"/>
        <w:ind w:firstLine="3360" w:firstLineChars="1400"/>
        <w:rPr>
          <w:rFonts w:hint="eastAsia" w:ascii="宋体" w:hAnsi="宋体" w:eastAsia="宋体" w:cs="宋体"/>
          <w:color w:val="auto"/>
          <w:sz w:val="24"/>
          <w:highlight w:val="none"/>
        </w:rPr>
      </w:pPr>
    </w:p>
    <w:p>
      <w:pPr>
        <w:spacing w:line="380" w:lineRule="exact"/>
        <w:ind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供应商名称：（盖章）</w:t>
      </w:r>
    </w:p>
    <w:p>
      <w:pPr>
        <w:spacing w:line="380" w:lineRule="exact"/>
        <w:ind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法人代表或授权委托人：（签字）</w:t>
      </w:r>
    </w:p>
    <w:p>
      <w:pPr>
        <w:spacing w:line="380" w:lineRule="exact"/>
        <w:ind w:firstLine="3360" w:firstLineChars="1400"/>
        <w:rPr>
          <w:rFonts w:hint="eastAsia" w:ascii="宋体" w:hAnsi="宋体" w:eastAsia="宋体" w:cs="宋体"/>
          <w:color w:val="auto"/>
          <w:sz w:val="24"/>
          <w:highlight w:val="none"/>
        </w:rPr>
      </w:pPr>
    </w:p>
    <w:p>
      <w:pPr>
        <w:spacing w:line="380" w:lineRule="exact"/>
        <w:ind w:firstLine="3360" w:firstLineChars="1400"/>
        <w:rPr>
          <w:rFonts w:hint="eastAsia" w:ascii="宋体" w:hAnsi="宋体" w:eastAsia="宋体" w:cs="宋体"/>
          <w:b/>
          <w:color w:val="auto"/>
          <w:sz w:val="24"/>
          <w:highlight w:val="none"/>
        </w:rPr>
      </w:pPr>
      <w:r>
        <w:rPr>
          <w:rFonts w:hint="eastAsia" w:ascii="宋体" w:hAnsi="宋体" w:eastAsia="宋体" w:cs="宋体"/>
          <w:color w:val="auto"/>
          <w:sz w:val="24"/>
          <w:highlight w:val="none"/>
        </w:rPr>
        <w:t>日期：年月日</w:t>
      </w:r>
    </w:p>
    <w:p>
      <w:pPr>
        <w:spacing w:line="360" w:lineRule="auto"/>
        <w:jc w:val="center"/>
        <w:rPr>
          <w:rFonts w:hint="eastAsia" w:ascii="宋体" w:hAnsi="宋体" w:eastAsia="宋体" w:cs="宋体"/>
          <w:b/>
          <w:color w:val="auto"/>
          <w:sz w:val="24"/>
          <w:highlight w:val="none"/>
        </w:rPr>
      </w:pPr>
    </w:p>
    <w:p>
      <w:pPr>
        <w:pStyle w:val="2"/>
        <w:ind w:firstLine="210"/>
        <w:rPr>
          <w:rFonts w:hint="eastAsia" w:ascii="宋体" w:hAnsi="宋体" w:eastAsia="宋体" w:cs="宋体"/>
          <w:color w:val="auto"/>
          <w:highlight w:val="none"/>
        </w:rPr>
      </w:pPr>
    </w:p>
    <w:p>
      <w:pPr>
        <w:pStyle w:val="2"/>
        <w:ind w:firstLine="210"/>
        <w:rPr>
          <w:rFonts w:hint="eastAsia" w:ascii="宋体" w:hAnsi="宋体" w:eastAsia="宋体" w:cs="宋体"/>
          <w:color w:val="auto"/>
          <w:highlight w:val="none"/>
        </w:rPr>
      </w:pPr>
    </w:p>
    <w:p>
      <w:pPr>
        <w:spacing w:line="360" w:lineRule="auto"/>
        <w:jc w:val="center"/>
        <w:rPr>
          <w:rFonts w:hint="eastAsia" w:ascii="宋体" w:hAnsi="宋体" w:eastAsia="宋体" w:cs="宋体"/>
          <w:b/>
          <w:color w:val="auto"/>
          <w:sz w:val="24"/>
          <w:highlight w:val="none"/>
        </w:rPr>
      </w:pPr>
    </w:p>
    <w:p>
      <w:pPr>
        <w:pStyle w:val="5"/>
        <w:spacing w:line="500" w:lineRule="exact"/>
        <w:rPr>
          <w:rFonts w:hint="eastAsia" w:ascii="宋体" w:hAnsi="宋体" w:eastAsia="宋体" w:cs="宋体"/>
          <w:b/>
          <w:color w:val="auto"/>
          <w:kern w:val="2"/>
          <w:szCs w:val="28"/>
          <w:highlight w:val="none"/>
        </w:rPr>
      </w:pPr>
      <w:r>
        <w:rPr>
          <w:rFonts w:hint="eastAsia" w:ascii="宋体" w:hAnsi="宋体" w:eastAsia="宋体" w:cs="宋体"/>
          <w:b/>
          <w:color w:val="auto"/>
          <w:kern w:val="2"/>
          <w:szCs w:val="28"/>
          <w:highlight w:val="none"/>
        </w:rPr>
        <w:t>第五章  周口市政府采购合同（工程类）标准文本</w:t>
      </w:r>
    </w:p>
    <w:p>
      <w:pPr>
        <w:ind w:firstLine="880" w:firstLineChars="200"/>
        <w:jc w:val="center"/>
        <w:rPr>
          <w:rFonts w:hint="eastAsia" w:ascii="宋体" w:hAnsi="宋体" w:eastAsia="宋体" w:cs="宋体"/>
          <w:color w:val="auto"/>
          <w:sz w:val="44"/>
          <w:szCs w:val="44"/>
          <w:highlight w:val="none"/>
        </w:rPr>
      </w:pPr>
    </w:p>
    <w:p>
      <w:pPr>
        <w:pStyle w:val="92"/>
        <w:spacing w:beforeLines="0" w:afterLines="0"/>
        <w:ind w:left="0" w:firstLine="640" w:firstLineChars="200"/>
        <w:rPr>
          <w:rFonts w:hint="eastAsia" w:ascii="宋体" w:hAnsi="宋体" w:eastAsia="宋体" w:cs="宋体"/>
          <w:color w:val="auto"/>
          <w:sz w:val="32"/>
          <w:szCs w:val="32"/>
          <w:highlight w:val="none"/>
        </w:rPr>
      </w:pPr>
    </w:p>
    <w:p>
      <w:pPr>
        <w:pStyle w:val="92"/>
        <w:spacing w:beforeLines="0" w:afterLines="0"/>
        <w:ind w:left="0" w:firstLine="640" w:firstLineChars="200"/>
        <w:rPr>
          <w:rFonts w:hint="eastAsia" w:ascii="宋体" w:hAnsi="宋体" w:eastAsia="宋体" w:cs="宋体"/>
          <w:color w:val="auto"/>
          <w:sz w:val="32"/>
          <w:szCs w:val="32"/>
          <w:highlight w:val="none"/>
        </w:rPr>
      </w:pPr>
    </w:p>
    <w:p>
      <w:pPr>
        <w:pStyle w:val="92"/>
        <w:spacing w:beforeLines="0" w:afterLines="0"/>
        <w:ind w:left="0" w:firstLine="640" w:firstLineChars="200"/>
        <w:rPr>
          <w:rFonts w:hint="eastAsia" w:ascii="宋体" w:hAnsi="宋体" w:eastAsia="宋体" w:cs="宋体"/>
          <w:color w:val="auto"/>
          <w:sz w:val="32"/>
          <w:szCs w:val="32"/>
          <w:highlight w:val="none"/>
        </w:rPr>
      </w:pP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firstLine="560" w:firstLineChars="200"/>
        <w:rPr>
          <w:rFonts w:hint="eastAsia" w:ascii="宋体" w:hAnsi="宋体" w:eastAsia="宋体" w:cs="宋体"/>
          <w:color w:val="auto"/>
          <w:sz w:val="28"/>
          <w:szCs w:val="28"/>
          <w:highlight w:val="none"/>
        </w:rPr>
      </w:pPr>
    </w:p>
    <w:p>
      <w:pPr>
        <w:pStyle w:val="92"/>
        <w:spacing w:beforeLines="0" w:afterLines="0"/>
        <w:ind w:left="0" w:firstLine="560" w:firstLineChars="200"/>
        <w:rPr>
          <w:rFonts w:hint="eastAsia" w:ascii="宋体" w:hAnsi="宋体" w:eastAsia="宋体" w:cs="宋体"/>
          <w:color w:val="auto"/>
          <w:sz w:val="28"/>
          <w:szCs w:val="28"/>
          <w:highlight w:val="none"/>
        </w:rPr>
      </w:pPr>
    </w:p>
    <w:p>
      <w:pPr>
        <w:pStyle w:val="92"/>
        <w:spacing w:beforeLines="0" w:afterLines="0"/>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政府采购项目名称：</w:t>
      </w:r>
    </w:p>
    <w:p>
      <w:pPr>
        <w:pStyle w:val="92"/>
        <w:spacing w:beforeLines="0" w:afterLines="0"/>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政府采购项目编号：</w:t>
      </w:r>
    </w:p>
    <w:p>
      <w:pPr>
        <w:pStyle w:val="92"/>
        <w:spacing w:beforeLines="0" w:afterLines="0"/>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      购    人：</w:t>
      </w:r>
    </w:p>
    <w:p>
      <w:pPr>
        <w:pStyle w:val="92"/>
        <w:spacing w:beforeLines="0" w:afterLines="0"/>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      应    商：</w:t>
      </w:r>
    </w:p>
    <w:p>
      <w:pPr>
        <w:pStyle w:val="92"/>
        <w:spacing w:beforeLines="0" w:afterLines="0"/>
        <w:ind w:left="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合  同  签 订 地：</w:t>
      </w:r>
    </w:p>
    <w:p>
      <w:pPr>
        <w:pStyle w:val="92"/>
        <w:spacing w:beforeLines="0" w:afterLines="0"/>
        <w:ind w:left="0" w:firstLine="560" w:firstLineChars="200"/>
        <w:rPr>
          <w:rFonts w:hint="eastAsia" w:ascii="宋体" w:hAnsi="宋体" w:eastAsia="宋体" w:cs="宋体"/>
          <w:color w:val="auto"/>
          <w:sz w:val="30"/>
          <w:szCs w:val="30"/>
          <w:highlight w:val="none"/>
        </w:rPr>
      </w:pPr>
      <w:r>
        <w:rPr>
          <w:rFonts w:hint="eastAsia" w:ascii="宋体" w:hAnsi="宋体" w:eastAsia="宋体" w:cs="宋体"/>
          <w:color w:val="auto"/>
          <w:sz w:val="28"/>
          <w:szCs w:val="28"/>
          <w:highlight w:val="none"/>
        </w:rPr>
        <w:t>合 同 签订 时 间：</w:t>
      </w: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firstLine="600" w:firstLineChars="200"/>
        <w:rPr>
          <w:rFonts w:hint="eastAsia" w:ascii="宋体" w:hAnsi="宋体" w:eastAsia="宋体" w:cs="宋体"/>
          <w:color w:val="auto"/>
          <w:sz w:val="30"/>
          <w:szCs w:val="30"/>
          <w:highlight w:val="none"/>
        </w:rPr>
      </w:pPr>
    </w:p>
    <w:p>
      <w:pPr>
        <w:pStyle w:val="92"/>
        <w:spacing w:beforeLines="0" w:afterLines="0"/>
        <w:ind w:left="0"/>
        <w:rPr>
          <w:rFonts w:hint="eastAsia" w:ascii="宋体" w:hAnsi="宋体" w:eastAsia="宋体" w:cs="宋体"/>
          <w:color w:val="auto"/>
          <w:sz w:val="30"/>
          <w:szCs w:val="30"/>
          <w:highlight w:val="none"/>
        </w:rPr>
      </w:pPr>
    </w:p>
    <w:p>
      <w:pPr>
        <w:pStyle w:val="92"/>
        <w:spacing w:beforeLines="0" w:afterLines="0" w:line="440" w:lineRule="exact"/>
        <w:ind w:left="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合同签订指引</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一、采购人在签订合同时应提供的资料：</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1、该政府采购项目的招标采购文件（以网上发布内容为准）；</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2、该政府采购项目招标文件的澄清和修改内容（公告内容）；</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3、该政府采购项目评审报告；</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4、采购单位法人授权委托书（法人到场并签字的除外）；</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5、采购单位被授权人身份证件（法人到场并签字的除外）；</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6、采购人和中标供应商（或服务商，下同）约定的其它内容（不得超出招标采购文件实质性内容）。</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二、供应商在签订合同时应提供的资料：</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1、该政府采购项目的投标文件（纸质或DPF格式的电子投标文件）；</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2、针对该项目评审时评审委员会提出的质询答复（纸质并签章）；</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3、该政府采购项目中标通知书；</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4、供应商法人授权委托书（法人到场并签字的除外）；</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5、供应商被授权人身份证件（法人到场并签字的除外）；</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6、供应商和采购人约定的其它内容（不得超出招标采购文件实质性内容）。</w:t>
      </w:r>
    </w:p>
    <w:p>
      <w:pPr>
        <w:pStyle w:val="92"/>
        <w:spacing w:beforeLines="0" w:afterLines="0" w:line="440" w:lineRule="exact"/>
        <w:ind w:left="0" w:firstLine="420" w:firstLineChars="200"/>
        <w:rPr>
          <w:rFonts w:hint="eastAsia" w:ascii="宋体" w:hAnsi="宋体" w:eastAsia="宋体" w:cs="宋体"/>
          <w:color w:val="auto"/>
          <w:sz w:val="30"/>
          <w:szCs w:val="30"/>
          <w:highlight w:val="none"/>
        </w:rPr>
      </w:pPr>
      <w:r>
        <w:rPr>
          <w:rFonts w:hint="eastAsia" w:ascii="宋体" w:hAnsi="宋体" w:eastAsia="宋体" w:cs="宋体"/>
          <w:color w:val="auto"/>
          <w:szCs w:val="21"/>
          <w:highlight w:val="none"/>
        </w:rPr>
        <w:t>三、本合同签订后二个工作日内有采购人在“周口市政府采购网”上进行合同公示。</w:t>
      </w:r>
    </w:p>
    <w:p>
      <w:pPr>
        <w:pStyle w:val="92"/>
        <w:spacing w:beforeLines="0" w:afterLines="0" w:line="440" w:lineRule="exact"/>
        <w:ind w:left="0"/>
        <w:jc w:val="center"/>
        <w:rPr>
          <w:rFonts w:hint="eastAsia"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供应商履约验收指引</w:t>
      </w:r>
    </w:p>
    <w:p>
      <w:pPr>
        <w:pStyle w:val="92"/>
        <w:spacing w:beforeLines="0" w:afterLines="0" w:line="440" w:lineRule="exact"/>
        <w:ind w:left="0" w:firstLine="420" w:firstLineChars="200"/>
        <w:rPr>
          <w:rFonts w:hint="eastAsia" w:ascii="宋体" w:hAnsi="宋体" w:eastAsia="宋体" w:cs="宋体"/>
          <w:color w:val="auto"/>
          <w:szCs w:val="27"/>
          <w:highlight w:val="none"/>
        </w:rPr>
      </w:pPr>
      <w:r>
        <w:rPr>
          <w:rFonts w:hint="eastAsia" w:ascii="宋体" w:hAnsi="宋体" w:eastAsia="宋体" w:cs="宋体"/>
          <w:color w:val="auto"/>
          <w:szCs w:val="21"/>
          <w:highlight w:val="none"/>
        </w:rPr>
        <w:t>1、供应商不得擅自变更合同标的服务内容；</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2、不得以次充优，随意降低服务标准和水平；</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3、对因客观上采购人采购需求发生变化造成的，应提供采、供双方的纸质备忘录材料；</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4、在满足验收条件5个工作日内通知采购人组织验收；</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5、供应商应提供需验收服务的清单、标准、达到的水平等量化资料；</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6、采、供双方约定的验收机构及相关人员组成情况。</w:t>
      </w:r>
    </w:p>
    <w:p>
      <w:pPr>
        <w:pStyle w:val="92"/>
        <w:spacing w:beforeLines="0" w:afterLines="0" w:line="440" w:lineRule="exact"/>
        <w:ind w:lef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7、督促采购人在项目验收结束并达到相关要求后一个工作日内，在“周口市政府采购网”上进行“履约验收”公示。</w:t>
      </w:r>
    </w:p>
    <w:p>
      <w:pPr>
        <w:pStyle w:val="92"/>
        <w:spacing w:beforeLines="0" w:afterLines="0" w:line="440" w:lineRule="exact"/>
        <w:ind w:left="0" w:firstLine="420" w:firstLineChars="200"/>
        <w:rPr>
          <w:rFonts w:hint="eastAsia" w:ascii="宋体" w:hAnsi="宋体" w:eastAsia="宋体" w:cs="宋体"/>
          <w:color w:val="auto"/>
          <w:szCs w:val="21"/>
          <w:highlight w:val="none"/>
        </w:rPr>
      </w:pPr>
    </w:p>
    <w:p>
      <w:pPr>
        <w:pStyle w:val="92"/>
        <w:spacing w:beforeLines="0" w:afterLines="0" w:line="60" w:lineRule="auto"/>
        <w:ind w:left="0" w:firstLine="420" w:firstLineChars="200"/>
        <w:rPr>
          <w:rFonts w:hint="eastAsia" w:ascii="宋体" w:hAnsi="宋体" w:eastAsia="宋体" w:cs="宋体"/>
          <w:color w:val="auto"/>
          <w:szCs w:val="21"/>
          <w:highlight w:val="none"/>
        </w:rPr>
      </w:pPr>
    </w:p>
    <w:p>
      <w:pPr>
        <w:pStyle w:val="5"/>
        <w:spacing w:line="360" w:lineRule="auto"/>
        <w:rPr>
          <w:rFonts w:hint="eastAsia" w:ascii="宋体" w:hAnsi="宋体" w:eastAsia="宋体" w:cs="宋体"/>
          <w:color w:val="auto"/>
          <w:sz w:val="36"/>
          <w:szCs w:val="36"/>
          <w:highlight w:val="none"/>
        </w:rPr>
      </w:pPr>
      <w:bookmarkStart w:id="41" w:name="_Toc48834555"/>
      <w:r>
        <w:rPr>
          <w:rFonts w:hint="eastAsia" w:ascii="宋体" w:hAnsi="宋体" w:eastAsia="宋体" w:cs="宋体"/>
          <w:color w:val="auto"/>
          <w:sz w:val="36"/>
          <w:szCs w:val="36"/>
          <w:highlight w:val="none"/>
        </w:rPr>
        <w:t>合同</w:t>
      </w:r>
      <w:bookmarkEnd w:id="41"/>
      <w:r>
        <w:rPr>
          <w:rFonts w:hint="eastAsia" w:ascii="宋体" w:hAnsi="宋体" w:eastAsia="宋体" w:cs="宋体"/>
          <w:color w:val="auto"/>
          <w:sz w:val="36"/>
          <w:szCs w:val="36"/>
          <w:highlight w:val="none"/>
        </w:rPr>
        <w:t>内容</w:t>
      </w:r>
    </w:p>
    <w:p>
      <w:pPr>
        <w:ind w:firstLine="420" w:firstLineChars="200"/>
        <w:rPr>
          <w:rFonts w:hint="eastAsia" w:ascii="宋体" w:hAnsi="宋体" w:eastAsia="宋体" w:cs="宋体"/>
          <w:color w:val="auto"/>
          <w:highlight w:val="none"/>
        </w:rPr>
      </w:pPr>
    </w:p>
    <w:p>
      <w:pPr>
        <w:spacing w:line="460" w:lineRule="exact"/>
        <w:jc w:val="center"/>
        <w:rPr>
          <w:rFonts w:hint="eastAsia" w:ascii="宋体" w:hAnsi="宋体" w:eastAsia="宋体" w:cs="宋体"/>
          <w:color w:val="auto"/>
          <w:sz w:val="32"/>
          <w:szCs w:val="32"/>
          <w:highlight w:val="none"/>
        </w:rPr>
      </w:pPr>
      <w:bookmarkStart w:id="42" w:name="_Toc351203494"/>
      <w:bookmarkStart w:id="43" w:name="_Toc428024701"/>
      <w:bookmarkStart w:id="44" w:name="_Toc427566452"/>
      <w:r>
        <w:rPr>
          <w:rFonts w:hint="eastAsia" w:ascii="宋体" w:hAnsi="宋体" w:eastAsia="宋体" w:cs="宋体"/>
          <w:color w:val="auto"/>
          <w:sz w:val="32"/>
          <w:szCs w:val="32"/>
          <w:highlight w:val="none"/>
        </w:rPr>
        <w:t>第一部分协议书</w:t>
      </w:r>
    </w:p>
    <w:p>
      <w:pPr>
        <w:spacing w:line="460" w:lineRule="exact"/>
        <w:ind w:firstLine="803" w:firstLineChars="200"/>
        <w:rPr>
          <w:rFonts w:hint="eastAsia" w:ascii="宋体" w:hAnsi="宋体" w:eastAsia="宋体" w:cs="宋体"/>
          <w:b/>
          <w:color w:val="auto"/>
          <w:sz w:val="40"/>
          <w:szCs w:val="32"/>
          <w:highlight w:val="none"/>
        </w:rPr>
      </w:pP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发包人（全称）：</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承包人（全称）：</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依照《中华人民共和国合同法》、《中华人民共和国采购法法》《中华人民共和国招标投标法》《中华人民共和国建筑法》及其他有关法律、行政法规，遵循平等、自愿、公平和诚实信用的原则，双方就本建设工程施工事项协商一致，订立本合同。</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一、工程概况</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工程名称：</w:t>
      </w:r>
    </w:p>
    <w:p>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工程地点：</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工程内容：</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工程立项批准文号：</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资金来源：</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二、工程承包范围</w:t>
      </w:r>
    </w:p>
    <w:p>
      <w:pPr>
        <w:spacing w:line="4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承包范围：</w:t>
      </w:r>
      <w:r>
        <w:rPr>
          <w:rFonts w:hint="eastAsia" w:ascii="宋体" w:hAnsi="宋体" w:eastAsia="宋体" w:cs="宋体"/>
          <w:color w:val="auto"/>
          <w:highlight w:val="none"/>
          <w:u w:val="single"/>
        </w:rPr>
        <w:t>工程量清单中包含的所有内容</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三、合同工期</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开工日期：年月日</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竣工日期：年月日</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合同工期总日历天数：</w:t>
      </w:r>
      <w:r>
        <w:rPr>
          <w:rFonts w:hint="eastAsia" w:ascii="宋体" w:hAnsi="宋体" w:eastAsia="宋体" w:cs="宋体"/>
          <w:color w:val="auto"/>
          <w:highlight w:val="none"/>
          <w:u w:val="single"/>
        </w:rPr>
        <w:t>日历</w:t>
      </w:r>
      <w:r>
        <w:rPr>
          <w:rFonts w:hint="eastAsia" w:ascii="宋体" w:hAnsi="宋体" w:eastAsia="宋体" w:cs="宋体"/>
          <w:color w:val="auto"/>
          <w:highlight w:val="none"/>
        </w:rPr>
        <w:t>天（有效工期）</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四、质量标准</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工程质量标准：</w:t>
      </w:r>
      <w:r>
        <w:rPr>
          <w:rFonts w:hint="eastAsia" w:ascii="宋体" w:hAnsi="宋体" w:eastAsia="宋体" w:cs="宋体"/>
          <w:color w:val="auto"/>
          <w:highlight w:val="none"/>
          <w:u w:val="single"/>
        </w:rPr>
        <w:t>合格</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五、合同价款</w:t>
      </w:r>
    </w:p>
    <w:p>
      <w:pPr>
        <w:spacing w:line="46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金额（大写）：(人民币)  </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￥：元(人民币)  </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六、组成合同的文件</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组成本合同的文件包括：</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1.本合同协议书</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2.中标通知书</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3.投标书及其附件</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4.本合同专用条款</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5.本合同通用条款</w:t>
      </w:r>
    </w:p>
    <w:p>
      <w:pPr>
        <w:tabs>
          <w:tab w:val="left" w:pos="6345"/>
        </w:tabs>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6.标准、规范及有关技术文件</w:t>
      </w:r>
      <w:r>
        <w:rPr>
          <w:rFonts w:hint="eastAsia" w:ascii="宋体" w:hAnsi="宋体" w:eastAsia="宋体" w:cs="宋体"/>
          <w:color w:val="auto"/>
          <w:highlight w:val="none"/>
        </w:rPr>
        <w:tab/>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7.图纸（含图纸会审纪要、路灯效果图及技术参数）</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8.工程量清单</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9.工程报价单或预算书</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双方有关工程的洽商、变更等书面协议或文件视为本合同的组成部分。</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七、本协议书中有关词语含义与本合同第二部分《通用条款》中分别赋予它们的定义相同。</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八、承包人向发包人承诺按照合同约定进行施工、竣工并在质量保修期内承担工程质量保修责任。</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九、发包人向承包人承诺按照合同约定的期限和支付方式支付合同价款及其他应当支付的款项。</w:t>
      </w:r>
    </w:p>
    <w:p>
      <w:pPr>
        <w:spacing w:line="46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十、合同生效</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合同订立时间：年月日</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合同订立地点：</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本合同双方约定：</w:t>
      </w:r>
      <w:r>
        <w:rPr>
          <w:rFonts w:hint="eastAsia" w:ascii="宋体" w:hAnsi="宋体" w:eastAsia="宋体" w:cs="宋体"/>
          <w:color w:val="auto"/>
          <w:highlight w:val="none"/>
          <w:u w:val="single"/>
        </w:rPr>
        <w:t>双方签字盖章后生效</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发包人：（公章）承包人：（公章）</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住所：住所：</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法定代表人：法定代表人：</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委托代理人：委托代理人：</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电话：电话：</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传真：传真：</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开户银行：开户银行：</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账号：账号：</w:t>
      </w:r>
    </w:p>
    <w:p>
      <w:pPr>
        <w:spacing w:line="4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邮政编码：邮政编码：</w:t>
      </w:r>
    </w:p>
    <w:p>
      <w:pPr>
        <w:pStyle w:val="6"/>
        <w:ind w:firstLine="643" w:firstLineChars="200"/>
        <w:rPr>
          <w:rFonts w:hint="eastAsia" w:ascii="宋体" w:hAnsi="宋体" w:eastAsia="宋体" w:cs="宋体"/>
          <w:color w:val="auto"/>
          <w:szCs w:val="24"/>
          <w:highlight w:val="none"/>
        </w:rPr>
      </w:pPr>
    </w:p>
    <w:p>
      <w:pPr>
        <w:pStyle w:val="6"/>
        <w:jc w:val="center"/>
        <w:rPr>
          <w:rFonts w:hint="eastAsia" w:ascii="宋体" w:hAnsi="宋体" w:eastAsia="宋体" w:cs="宋体"/>
          <w:color w:val="auto"/>
          <w:highlight w:val="none"/>
        </w:rPr>
      </w:pPr>
      <w:bookmarkStart w:id="45" w:name="_Toc48834557"/>
      <w:r>
        <w:rPr>
          <w:rFonts w:hint="eastAsia" w:ascii="宋体" w:hAnsi="宋体" w:eastAsia="宋体" w:cs="宋体"/>
          <w:color w:val="auto"/>
          <w:highlight w:val="none"/>
        </w:rPr>
        <w:t>第二部分 通用合同条款</w:t>
      </w:r>
      <w:bookmarkEnd w:id="42"/>
      <w:bookmarkEnd w:id="43"/>
      <w:bookmarkEnd w:id="44"/>
      <w:bookmarkEnd w:id="45"/>
    </w:p>
    <w:p>
      <w:pPr>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（根据国家相关示范文本）</w:t>
      </w:r>
    </w:p>
    <w:p>
      <w:pPr>
        <w:pStyle w:val="64"/>
        <w:spacing w:line="360" w:lineRule="auto"/>
        <w:ind w:firstLine="105" w:firstLineChars="50"/>
        <w:rPr>
          <w:rFonts w:hint="eastAsia" w:ascii="宋体" w:hAnsi="宋体" w:eastAsia="宋体" w:cs="宋体"/>
          <w:color w:val="auto"/>
          <w:highlight w:val="none"/>
        </w:rPr>
      </w:pPr>
    </w:p>
    <w:p>
      <w:pPr>
        <w:pStyle w:val="64"/>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参见建设工程施工合同</w:t>
      </w:r>
    </w:p>
    <w:p>
      <w:pPr>
        <w:pStyle w:val="64"/>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"http://www.mohurd.gov.cn/wjfb/201710/W020171030112646.doc" \t "_blank"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建设工程施工合同（示范文本）》（GF-2017-0201）</w:t>
      </w:r>
      <w:r>
        <w:rPr>
          <w:rFonts w:hint="eastAsia" w:ascii="宋体" w:hAnsi="宋体" w:eastAsia="宋体" w:cs="宋体"/>
          <w:color w:val="auto"/>
          <w:highlight w:val="none"/>
        </w:rPr>
        <w:fldChar w:fldCharType="end"/>
      </w:r>
    </w:p>
    <w:p>
      <w:pPr>
        <w:pStyle w:val="64"/>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通用合同条款内容。</w:t>
      </w:r>
    </w:p>
    <w:p>
      <w:pPr>
        <w:spacing w:line="360" w:lineRule="auto"/>
        <w:rPr>
          <w:rFonts w:hint="eastAsia" w:ascii="宋体" w:hAnsi="宋体" w:eastAsia="宋体" w:cs="宋体"/>
          <w:color w:val="auto"/>
          <w:highlight w:val="none"/>
        </w:rPr>
      </w:pPr>
    </w:p>
    <w:p>
      <w:pPr>
        <w:pStyle w:val="6"/>
        <w:jc w:val="center"/>
        <w:rPr>
          <w:rFonts w:hint="eastAsia" w:ascii="宋体" w:hAnsi="宋体" w:eastAsia="宋体" w:cs="宋体"/>
          <w:color w:val="auto"/>
          <w:highlight w:val="none"/>
        </w:rPr>
      </w:pPr>
      <w:bookmarkStart w:id="46" w:name="_Toc427566453"/>
      <w:bookmarkStart w:id="47" w:name="_Toc48834558"/>
      <w:bookmarkStart w:id="48" w:name="_Toc428024702"/>
      <w:r>
        <w:rPr>
          <w:rFonts w:hint="eastAsia" w:ascii="宋体" w:hAnsi="宋体" w:eastAsia="宋体" w:cs="宋体"/>
          <w:color w:val="auto"/>
          <w:highlight w:val="none"/>
        </w:rPr>
        <w:t>第三部分 专用合同条款</w:t>
      </w:r>
      <w:bookmarkEnd w:id="46"/>
      <w:bookmarkEnd w:id="47"/>
      <w:bookmarkEnd w:id="48"/>
    </w:p>
    <w:p>
      <w:pPr>
        <w:jc w:val="center"/>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（根据国家相关示范文本）</w:t>
      </w:r>
    </w:p>
    <w:p>
      <w:pPr>
        <w:spacing w:line="460" w:lineRule="exact"/>
        <w:rPr>
          <w:rFonts w:hint="eastAsia" w:ascii="宋体" w:hAnsi="宋体" w:eastAsia="宋体" w:cs="宋体"/>
          <w:b/>
          <w:bCs/>
          <w:color w:val="auto"/>
          <w:highlight w:val="none"/>
        </w:rPr>
      </w:pP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一、词语定义及合同文件</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 合同文件及解释顺序</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合同文件组成及解释顺序</w:t>
      </w:r>
      <w:r>
        <w:rPr>
          <w:rFonts w:hint="eastAsia" w:ascii="宋体" w:hAnsi="宋体" w:eastAsia="宋体" w:cs="宋体"/>
          <w:color w:val="auto"/>
          <w:highlight w:val="none"/>
          <w:u w:val="single"/>
        </w:rPr>
        <w:t>执行通用条款第2. 1、2.2条</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3．语言文字和适用法律、标准及规范</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3.1本合同除使用汉语外，还使用</w:t>
      </w:r>
      <w:r>
        <w:rPr>
          <w:rFonts w:hint="eastAsia" w:ascii="宋体" w:hAnsi="宋体" w:eastAsia="宋体" w:cs="宋体"/>
          <w:color w:val="auto"/>
          <w:highlight w:val="none"/>
          <w:u w:val="single"/>
        </w:rPr>
        <w:t>/</w:t>
      </w:r>
      <w:r>
        <w:rPr>
          <w:rFonts w:hint="eastAsia" w:ascii="宋体" w:hAnsi="宋体" w:eastAsia="宋体" w:cs="宋体"/>
          <w:color w:val="auto"/>
          <w:highlight w:val="none"/>
        </w:rPr>
        <w:t>语言文字。</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3.2适用法律和法规</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需要明示的法律、行政法规：</w:t>
      </w:r>
      <w:r>
        <w:rPr>
          <w:rFonts w:hint="eastAsia" w:ascii="宋体" w:hAnsi="宋体" w:eastAsia="宋体" w:cs="宋体"/>
          <w:color w:val="auto"/>
          <w:highlight w:val="none"/>
          <w:u w:val="single"/>
        </w:rPr>
        <w:t>现行的国家或地方有关市政工程的法律、法规。</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3.3适用标准、规范</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适用标准、规范的名称：</w:t>
      </w:r>
      <w:r>
        <w:rPr>
          <w:rFonts w:hint="eastAsia" w:ascii="宋体" w:hAnsi="宋体" w:eastAsia="宋体" w:cs="宋体"/>
          <w:color w:val="auto"/>
          <w:highlight w:val="none"/>
          <w:u w:val="single"/>
        </w:rPr>
        <w:t>除招标文件、工程设计罗列部分外，国家、河南省及周口市现行与本工程建设相关的标准和规范。</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发包人提供标准、规范的时间：</w:t>
      </w:r>
      <w:r>
        <w:rPr>
          <w:rFonts w:hint="eastAsia" w:ascii="宋体" w:hAnsi="宋体" w:eastAsia="宋体" w:cs="宋体"/>
          <w:color w:val="auto"/>
          <w:highlight w:val="none"/>
          <w:u w:val="single"/>
        </w:rPr>
        <w:t>/</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国内没有相应标准、规范时的约定：</w:t>
      </w:r>
      <w:r>
        <w:rPr>
          <w:rFonts w:hint="eastAsia" w:ascii="宋体" w:hAnsi="宋体" w:eastAsia="宋体" w:cs="宋体"/>
          <w:color w:val="auto"/>
          <w:highlight w:val="none"/>
          <w:u w:val="single"/>
        </w:rPr>
        <w:t>由发包人拟派工程师解决。</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4.图纸</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4.1发包人向承包人提供图纸日期和套数：</w:t>
      </w:r>
      <w:r>
        <w:rPr>
          <w:rFonts w:hint="eastAsia" w:ascii="宋体" w:hAnsi="宋体" w:eastAsia="宋体" w:cs="宋体"/>
          <w:color w:val="auto"/>
          <w:highlight w:val="none"/>
          <w:u w:val="single"/>
        </w:rPr>
        <w:t>合同签订后   天内提供施工图2套</w:t>
      </w:r>
      <w:r>
        <w:rPr>
          <w:rFonts w:hint="eastAsia" w:ascii="宋体" w:hAnsi="宋体" w:eastAsia="宋体" w:cs="宋体"/>
          <w:color w:val="auto"/>
          <w:highlight w:val="none"/>
        </w:rPr>
        <w:t>发包人对图纸的保密要求：</w:t>
      </w:r>
      <w:r>
        <w:rPr>
          <w:rFonts w:hint="eastAsia" w:ascii="宋体" w:hAnsi="宋体" w:eastAsia="宋体" w:cs="宋体"/>
          <w:color w:val="auto"/>
          <w:highlight w:val="none"/>
          <w:u w:val="single"/>
        </w:rPr>
        <w:t>不准向本工程外的工程提供图纸或图纸复印件</w:t>
      </w:r>
      <w:r>
        <w:rPr>
          <w:rFonts w:hint="eastAsia" w:ascii="宋体" w:hAnsi="宋体" w:eastAsia="宋体" w:cs="宋体"/>
          <w:color w:val="auto"/>
          <w:highlight w:val="none"/>
        </w:rPr>
        <w:t>使用国外图纸的要求及费用承担</w:t>
      </w:r>
      <w:r>
        <w:rPr>
          <w:rFonts w:hint="eastAsia" w:ascii="宋体" w:hAnsi="宋体" w:eastAsia="宋体" w:cs="宋体"/>
          <w:color w:val="auto"/>
          <w:highlight w:val="none"/>
          <w:u w:val="single"/>
        </w:rPr>
        <w:t xml:space="preserve">：    </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二、双方一般权利和义务</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5.工程师</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5.2监理单位委派的工程师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姓名：职务：</w:t>
      </w:r>
      <w:r>
        <w:rPr>
          <w:rFonts w:hint="eastAsia" w:ascii="宋体" w:hAnsi="宋体" w:eastAsia="宋体" w:cs="宋体"/>
          <w:color w:val="auto"/>
          <w:highlight w:val="none"/>
          <w:u w:val="single"/>
        </w:rPr>
        <w:t>总监理工程师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发包人委托的职权：</w:t>
      </w:r>
      <w:r>
        <w:rPr>
          <w:rFonts w:hint="eastAsia" w:ascii="宋体" w:hAnsi="宋体" w:eastAsia="宋体" w:cs="宋体"/>
          <w:color w:val="auto"/>
          <w:highlight w:val="none"/>
          <w:u w:val="single"/>
        </w:rPr>
        <w:t>施工组织设计及方案审批，质量监督权，工程量签认权，进出厂材料、设备检验及批准使用权，监理合同中赋予的职权。</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需要取得发包人批准才能行使的职权</w:t>
      </w:r>
      <w:r>
        <w:rPr>
          <w:rFonts w:hint="eastAsia" w:ascii="宋体" w:hAnsi="宋体" w:eastAsia="宋体" w:cs="宋体"/>
          <w:color w:val="auto"/>
          <w:highlight w:val="none"/>
          <w:u w:val="single"/>
        </w:rPr>
        <w:t>：发布开（停）工令，工期顺延签认，不称职人员撤换建议权。</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5.3发包人派驻的工程师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姓名：职务：</w:t>
      </w:r>
      <w:r>
        <w:rPr>
          <w:rFonts w:hint="eastAsia" w:ascii="宋体" w:hAnsi="宋体" w:eastAsia="宋体" w:cs="宋体"/>
          <w:color w:val="auto"/>
          <w:highlight w:val="none"/>
          <w:u w:val="single"/>
        </w:rPr>
        <w:t>工程师</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职权：</w:t>
      </w:r>
      <w:r>
        <w:rPr>
          <w:rFonts w:hint="eastAsia" w:ascii="宋体" w:hAnsi="宋体" w:eastAsia="宋体" w:cs="宋体"/>
          <w:color w:val="auto"/>
          <w:highlight w:val="none"/>
          <w:u w:val="single"/>
        </w:rPr>
        <w:t>作为发包方代表处理与本工程建设相关的一切事宜。</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5.6不实行监理的，工程师的职权：</w:t>
      </w:r>
      <w:r>
        <w:rPr>
          <w:rFonts w:hint="eastAsia" w:ascii="宋体" w:hAnsi="宋体" w:eastAsia="宋体" w:cs="宋体"/>
          <w:color w:val="auto"/>
          <w:highlight w:val="none"/>
          <w:u w:val="single"/>
        </w:rPr>
        <w:t xml:space="preserve">/    </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6.项目经理</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姓名：职务：</w:t>
      </w:r>
      <w:r>
        <w:rPr>
          <w:rFonts w:hint="eastAsia" w:ascii="宋体" w:hAnsi="宋体" w:eastAsia="宋体" w:cs="宋体"/>
          <w:color w:val="auto"/>
          <w:highlight w:val="none"/>
          <w:u w:val="single"/>
        </w:rPr>
        <w:t>项目经理</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7.发包人工作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7.1发包人应按约定的时间和要求完成以下工作：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（1）施工场地具备施工条件的要求及完成的时间：</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已具备开工条件</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（2）将施工所需的水、电、电讯线路接至施工场地的时间、地点和供应要求：</w:t>
      </w:r>
      <w:r>
        <w:rPr>
          <w:rFonts w:hint="eastAsia" w:ascii="宋体" w:hAnsi="宋体" w:eastAsia="宋体" w:cs="宋体"/>
          <w:color w:val="auto"/>
          <w:highlight w:val="none"/>
          <w:u w:val="single"/>
        </w:rPr>
        <w:t>已具备</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（3）施工场地与公共道路的开通时间和要求：</w:t>
      </w:r>
      <w:r>
        <w:rPr>
          <w:rFonts w:hint="eastAsia" w:ascii="宋体" w:hAnsi="宋体" w:eastAsia="宋体" w:cs="宋体"/>
          <w:color w:val="auto"/>
          <w:highlight w:val="none"/>
          <w:u w:val="single"/>
        </w:rPr>
        <w:t>已开通</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（4）工程地质和地下管线资料的提供时间：</w:t>
      </w:r>
      <w:r>
        <w:rPr>
          <w:rFonts w:hint="eastAsia" w:ascii="宋体" w:hAnsi="宋体" w:eastAsia="宋体" w:cs="宋体"/>
          <w:color w:val="auto"/>
          <w:highlight w:val="none"/>
          <w:u w:val="single"/>
        </w:rPr>
        <w:t>开工前 天</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（5）由发包人办理的施工所需证件、批件的名称和完成时间：</w:t>
      </w:r>
      <w:r>
        <w:rPr>
          <w:rFonts w:hint="eastAsia" w:ascii="宋体" w:hAnsi="宋体" w:eastAsia="宋体" w:cs="宋体"/>
          <w:color w:val="auto"/>
          <w:highlight w:val="none"/>
          <w:u w:val="single"/>
        </w:rPr>
        <w:t>开工前 天（因施工单位的原因导致所需证件不能及时办理的，施工单位不得因此要求顺延工期）</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（6）水准点与坐标控制点交验要求：</w:t>
      </w:r>
      <w:r>
        <w:rPr>
          <w:rFonts w:hint="eastAsia" w:ascii="宋体" w:hAnsi="宋体" w:eastAsia="宋体" w:cs="宋体"/>
          <w:color w:val="auto"/>
          <w:highlight w:val="none"/>
          <w:u w:val="single"/>
        </w:rPr>
        <w:t>按照发包方提供的资料及现场交点进行校验</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（7）图纸会审和设计交底时间：</w:t>
      </w:r>
      <w:r>
        <w:rPr>
          <w:rFonts w:hint="eastAsia" w:ascii="宋体" w:hAnsi="宋体" w:eastAsia="宋体" w:cs="宋体"/>
          <w:color w:val="auto"/>
          <w:highlight w:val="none"/>
          <w:u w:val="single"/>
        </w:rPr>
        <w:t>开工前 天</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（8）协调处理施工场地周围地下管线和邻近建筑物、构筑物（含文物保护建筑）、古树名木的保护：</w:t>
      </w:r>
      <w:r>
        <w:rPr>
          <w:rFonts w:hint="eastAsia" w:ascii="宋体" w:hAnsi="宋体" w:eastAsia="宋体" w:cs="宋体"/>
          <w:color w:val="auto"/>
          <w:highlight w:val="none"/>
          <w:u w:val="single"/>
        </w:rPr>
        <w:t>承包方按照发包方要求和有关规定做好保护工作</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（9）双方约定发包人应做的其他工作：</w:t>
      </w:r>
      <w:r>
        <w:rPr>
          <w:rFonts w:hint="eastAsia" w:ascii="宋体" w:hAnsi="宋体" w:eastAsia="宋体" w:cs="宋体"/>
          <w:color w:val="auto"/>
          <w:highlight w:val="none"/>
          <w:u w:val="single"/>
        </w:rPr>
        <w:t>双方协商</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7.2发包人委托承包人办理的工作：</w:t>
      </w:r>
      <w:r>
        <w:rPr>
          <w:rFonts w:hint="eastAsia" w:ascii="宋体" w:hAnsi="宋体" w:eastAsia="宋体" w:cs="宋体"/>
          <w:color w:val="auto"/>
          <w:highlight w:val="none"/>
          <w:u w:val="single"/>
        </w:rPr>
        <w:t>承包方协助发包方做好施工期间与周边关系的协调工作。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8.承包人工作</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8.1承包人应按约定时间和要求，完成以下工作：</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（1）需由设计资质等级和业务范围允许的承包人完成的设计文件提交时间：</w:t>
      </w:r>
      <w:r>
        <w:rPr>
          <w:rFonts w:hint="eastAsia" w:ascii="宋体" w:hAnsi="宋体" w:eastAsia="宋体" w:cs="宋体"/>
          <w:color w:val="auto"/>
          <w:highlight w:val="none"/>
          <w:u w:val="single"/>
        </w:rPr>
        <w:t>无</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（2）应提供计划、报表的名称及完成时间：</w:t>
      </w:r>
      <w:r>
        <w:rPr>
          <w:rFonts w:hint="eastAsia" w:ascii="宋体" w:hAnsi="宋体" w:eastAsia="宋体" w:cs="宋体"/>
          <w:color w:val="auto"/>
          <w:highlight w:val="none"/>
          <w:u w:val="single"/>
        </w:rPr>
        <w:t>开工前 日提供正式总进度计划表、详细的分部工程施工计划、资金使用计划等一式三份，每月 日提供当月实际完成工程量，报当月签证、变更和下月施工计划表。以上计划必须经过监理工程师签字认可后报发包人。</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（3）承担施工安全保卫工作及非夜间施工照明的责任和要求：</w:t>
      </w:r>
      <w:r>
        <w:rPr>
          <w:rFonts w:hint="eastAsia" w:ascii="宋体" w:hAnsi="宋体" w:eastAsia="宋体" w:cs="宋体"/>
          <w:color w:val="auto"/>
          <w:highlight w:val="none"/>
          <w:u w:val="single"/>
        </w:rPr>
        <w:t>负责施工现场的日夜值班保卫及夜间照明，对施工中的安全负全责。</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（4）向发包人提供的办公和生活房屋及设施的要求：</w:t>
      </w:r>
      <w:r>
        <w:rPr>
          <w:rFonts w:hint="eastAsia" w:ascii="宋体" w:hAnsi="宋体" w:eastAsia="宋体" w:cs="宋体"/>
          <w:color w:val="auto"/>
          <w:highlight w:val="none"/>
          <w:u w:val="single"/>
        </w:rPr>
        <w:t>双方协商。</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（5）需承包人办理的有关施工场地交通、环卫和施工噪音管理等手续：</w:t>
      </w:r>
      <w:r>
        <w:rPr>
          <w:rFonts w:hint="eastAsia" w:ascii="宋体" w:hAnsi="宋体" w:eastAsia="宋体" w:cs="宋体"/>
          <w:color w:val="auto"/>
          <w:highlight w:val="none"/>
          <w:u w:val="single"/>
        </w:rPr>
        <w:t>由施工单位掌握办理时间，以不影响施工正常进行为原则，并承担因此发生的费用。</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（6）已完工程成品保护的特殊要求及费用承担：</w:t>
      </w:r>
      <w:r>
        <w:rPr>
          <w:rFonts w:hint="eastAsia" w:ascii="宋体" w:hAnsi="宋体" w:eastAsia="宋体" w:cs="宋体"/>
          <w:color w:val="auto"/>
          <w:highlight w:val="none"/>
          <w:u w:val="single"/>
        </w:rPr>
        <w:t>施工期间的成品保护由承包方负责，质保期满、竣工综合移交验收后由发包方负责。</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（7）施工场地周围地下管线和邻近建筑物、构筑物（含文物保护建筑）、古树名木的保护要求及费用承担：</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（8）施工场地清洁卫生的要求：</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（9）双方约定承包人应做的其他工作：</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三、施工组织设计和工期</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9.进度计划</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9.1承包人提供施工组织设计（施工方案）和进度计划的时间：</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实施前 天提交施工组织设计（施工方案）和进度计划（含时标网络计划）</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工程师确认的时间</w:t>
      </w:r>
      <w:r>
        <w:rPr>
          <w:rFonts w:hint="eastAsia" w:ascii="宋体" w:hAnsi="宋体" w:eastAsia="宋体" w:cs="宋体"/>
          <w:color w:val="auto"/>
          <w:highlight w:val="none"/>
          <w:u w:val="single"/>
        </w:rPr>
        <w:t>：收到后 个工作日</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9.2群体工程中有关进度计划的要求：</w:t>
      </w:r>
      <w:r>
        <w:rPr>
          <w:rFonts w:hint="eastAsia" w:ascii="宋体" w:hAnsi="宋体" w:eastAsia="宋体" w:cs="宋体"/>
          <w:color w:val="auto"/>
          <w:highlight w:val="none"/>
          <w:u w:val="single"/>
        </w:rPr>
        <w:t>无</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13.工期延误</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13.1双方约定工期顺延的其他情况：</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四、质量与验收</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17.隐蔽工程和中间验收</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17.1双约定中间验收部位：</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19.工程试车</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19.5试车费用地承担：</w:t>
      </w:r>
      <w:r>
        <w:rPr>
          <w:rFonts w:hint="eastAsia" w:ascii="宋体" w:hAnsi="宋体" w:eastAsia="宋体" w:cs="宋体"/>
          <w:color w:val="auto"/>
          <w:highlight w:val="none"/>
          <w:u w:val="single"/>
        </w:rPr>
        <w:t>无</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五、安全施工：</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遵照国家、建设部、河南省及周口市现行有关规定执行。</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六、合同价款及调整</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23. 合同价款及调整</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23.2本合同价款采用</w:t>
      </w:r>
      <w:r>
        <w:rPr>
          <w:rFonts w:hint="eastAsia" w:ascii="宋体" w:hAnsi="宋体" w:eastAsia="宋体" w:cs="宋体"/>
          <w:color w:val="auto"/>
          <w:highlight w:val="none"/>
          <w:u w:val="single"/>
        </w:rPr>
        <w:t>（1）</w:t>
      </w:r>
      <w:r>
        <w:rPr>
          <w:rFonts w:hint="eastAsia" w:ascii="宋体" w:hAnsi="宋体" w:eastAsia="宋体" w:cs="宋体"/>
          <w:color w:val="auto"/>
          <w:highlight w:val="none"/>
        </w:rPr>
        <w:t>方式确定。</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（1）采用固定价格合同，合同价款中包括：</w:t>
      </w:r>
    </w:p>
    <w:p>
      <w:pPr>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除下列原因外合同的固定总价均不得改变：</w:t>
      </w:r>
    </w:p>
    <w:p>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①甲方有效签证确认的设计变更、现场签证；合同中已有适用于变更工程的价格，按合同已有的价格变更合同价款；合同中只有类似于变更工程的价格，可以参照类似价格变更合同价款。</w:t>
      </w:r>
    </w:p>
    <w:p>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②如果直接取消某分部分项工程量清单项目，则该项目价款不予支付。</w:t>
      </w:r>
    </w:p>
    <w:p>
      <w:pPr>
        <w:snapToGrid w:val="0"/>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③措施费均为税后的包干价，不因设计变更而调增。</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（2）采用可调价格合同，合同价款调整方法：</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（3）采用成本加酬金合同，有关成本和酬金的约定：</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23.3双方约定合同价款的其他调整因素：</w:t>
      </w:r>
    </w:p>
    <w:p>
      <w:pPr>
        <w:spacing w:line="40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24.工程预付款</w:t>
      </w:r>
    </w:p>
    <w:p>
      <w:pPr>
        <w:spacing w:line="40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发包人向承包人预付工程款的时间和金额或占合同价款总额的比例：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扣回工程款的时间、比例：</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25.工程量确认</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25.1承包人向工程师提交已完工程量报告的时间：</w:t>
      </w:r>
      <w:r>
        <w:rPr>
          <w:rFonts w:hint="eastAsia" w:ascii="宋体" w:hAnsi="宋体" w:eastAsia="宋体" w:cs="宋体"/>
          <w:color w:val="auto"/>
          <w:highlight w:val="none"/>
          <w:u w:val="single"/>
        </w:rPr>
        <w:t>每月 日前提供当月已完工程量报表三份，监理工程师在收到后 个工作日内审查完毕并报发包人审核，发包人在收到后 天内审核完毕。</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26. 工程款支付</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双方约定的工程款（进度款）支付的方式和时间：中标后双方协商。</w:t>
      </w:r>
    </w:p>
    <w:p>
      <w:pPr>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七、材料设备供应</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27.发包人供应材料设备</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27.4发包人供应的材料设备与一览表不符时，双方约定发包人承担责任如下：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（1）材料设备单价与一览表不符：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（2）材料设备的品种、规格、型号、质量等级与一览表不符：</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（3）承包人可代为调剂串换的材料：</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（4）到货地点与一览表不符：</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（5）供应数量与一览表不符：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（6）到货时间与一览表不符：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27.6发包人供应材料设备的结算方法：</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28.承包人采购材料设备</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28．1承包人采购材料设备的约定：</w:t>
      </w:r>
      <w:r>
        <w:rPr>
          <w:rFonts w:hint="eastAsia" w:ascii="宋体" w:hAnsi="宋体" w:eastAsia="宋体" w:cs="宋体"/>
          <w:color w:val="auto"/>
          <w:highlight w:val="none"/>
          <w:u w:val="single"/>
        </w:rPr>
        <w:t>执行通用条款</w:t>
      </w:r>
    </w:p>
    <w:p>
      <w:pPr>
        <w:spacing w:line="480" w:lineRule="exact"/>
        <w:ind w:firstLine="422" w:firstLineChars="200"/>
        <w:rPr>
          <w:rFonts w:hint="eastAsia" w:ascii="宋体" w:hAnsi="宋体" w:eastAsia="宋体" w:cs="宋体"/>
          <w:b/>
          <w:color w:val="auto"/>
          <w:highlight w:val="none"/>
          <w:u w:val="single"/>
        </w:rPr>
      </w:pPr>
      <w:r>
        <w:rPr>
          <w:rFonts w:hint="eastAsia" w:ascii="宋体" w:hAnsi="宋体" w:eastAsia="宋体" w:cs="宋体"/>
          <w:b/>
          <w:color w:val="auto"/>
          <w:highlight w:val="none"/>
        </w:rPr>
        <w:t>八、工程变更</w:t>
      </w:r>
      <w:r>
        <w:rPr>
          <w:rFonts w:hint="eastAsia" w:ascii="宋体" w:hAnsi="宋体" w:eastAsia="宋体" w:cs="宋体"/>
          <w:color w:val="auto"/>
          <w:highlight w:val="none"/>
          <w:u w:val="single"/>
        </w:rPr>
        <w:t>执行通用条款</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九、竣工验收与结算</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32.竣工验收</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32.1承包人提供竣工图的约定：</w:t>
      </w:r>
      <w:r>
        <w:rPr>
          <w:rFonts w:hint="eastAsia" w:ascii="宋体" w:hAnsi="宋体" w:eastAsia="宋体" w:cs="宋体"/>
          <w:color w:val="auto"/>
          <w:highlight w:val="none"/>
          <w:u w:val="single"/>
        </w:rPr>
        <w:t>提交竣工报告的同时提交竣工图 套</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32.6中间交工工程的范围和竣工时间：</w:t>
      </w:r>
      <w:r>
        <w:rPr>
          <w:rFonts w:hint="eastAsia" w:ascii="宋体" w:hAnsi="宋体" w:eastAsia="宋体" w:cs="宋体"/>
          <w:color w:val="auto"/>
          <w:highlight w:val="none"/>
          <w:u w:val="single"/>
        </w:rPr>
        <w:t>发包方和承包方协商</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十、违约、索赔和争议</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35.违约</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35.1本合同中关于发包人违约的具体责任如下：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本合同通用条款第24条约定发包人违约应承担的违约责任：</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本合同通用条款第26.4款约定发包人违约应承担的违约责任：</w:t>
      </w:r>
      <w:r>
        <w:rPr>
          <w:rFonts w:hint="eastAsia" w:ascii="宋体" w:hAnsi="宋体" w:eastAsia="宋体" w:cs="宋体"/>
          <w:color w:val="auto"/>
          <w:highlight w:val="none"/>
          <w:u w:val="single"/>
        </w:rPr>
        <w:t xml:space="preserve">    /                    </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本合同通用条款第33.3款约定发包人违约应承担的违约责任：</w:t>
      </w:r>
      <w:r>
        <w:rPr>
          <w:rFonts w:hint="eastAsia" w:ascii="宋体" w:hAnsi="宋体" w:eastAsia="宋体" w:cs="宋体"/>
          <w:color w:val="auto"/>
          <w:highlight w:val="none"/>
          <w:u w:val="single"/>
        </w:rPr>
        <w:t xml:space="preserve">          /                                      </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双方约定的发包人其他违约责任：</w:t>
      </w:r>
      <w:r>
        <w:rPr>
          <w:rFonts w:hint="eastAsia" w:ascii="宋体" w:hAnsi="宋体" w:eastAsia="宋体" w:cs="宋体"/>
          <w:color w:val="auto"/>
          <w:highlight w:val="none"/>
          <w:u w:val="single"/>
        </w:rPr>
        <w:t>双方协商解决</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35.2本合同中关于承包人违约的具体责任如下：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本合同通用条款第14.2款约定承包人违约应承担的违约责任：</w:t>
      </w:r>
      <w:r>
        <w:rPr>
          <w:rFonts w:hint="eastAsia" w:ascii="宋体" w:hAnsi="宋体" w:eastAsia="宋体" w:cs="宋体"/>
          <w:color w:val="auto"/>
          <w:highlight w:val="none"/>
          <w:u w:val="single"/>
        </w:rPr>
        <w:t>承包人不能按约定的竣工日期或监理工程师同意顺延的工期竣工的，每延期一天承包人应向发包人支付合同价款 ‰的违约金，并承担因此给发包方造成的其它经济损失。</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本合同通用条款第15.1条约定承包人违约应承担的违约责任：</w:t>
      </w:r>
      <w:r>
        <w:rPr>
          <w:rFonts w:hint="eastAsia" w:ascii="宋体" w:hAnsi="宋体" w:eastAsia="宋体" w:cs="宋体"/>
          <w:color w:val="auto"/>
          <w:highlight w:val="none"/>
          <w:u w:val="single"/>
        </w:rPr>
        <w:t>工程质量达不到约定的标准，承包人应承担因此导致的鉴定、检验及返工、拆除重建等费用，工期不予顺延，并向发包人支付合同总价 %的违约金</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双方约定的承包人其他违约责任：</w:t>
      </w:r>
      <w:r>
        <w:rPr>
          <w:rFonts w:hint="eastAsia" w:ascii="宋体" w:hAnsi="宋体" w:eastAsia="宋体" w:cs="宋体"/>
          <w:color w:val="auto"/>
          <w:highlight w:val="none"/>
          <w:u w:val="single"/>
        </w:rPr>
        <w:t>双方协商解决</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37.争议</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37.1双方约定，在履行合同过程中产生争议时：</w:t>
      </w:r>
    </w:p>
    <w:p>
      <w:pPr>
        <w:numPr>
          <w:ilvl w:val="0"/>
          <w:numId w:val="4"/>
        </w:num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按本合同规定应该偿付的违约金、赔偿金、保管保养费和各种经济损失，应当在明确责任后10天内，按银行规定的结算办法付清，否则按逾期付款处理。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color w:val="auto"/>
          <w:highlight w:val="none"/>
          <w:u w:val="single"/>
        </w:rPr>
        <w:t>周口仲裁委员会</w:t>
      </w:r>
      <w:r>
        <w:rPr>
          <w:rFonts w:hint="eastAsia" w:ascii="宋体" w:hAnsi="宋体" w:eastAsia="宋体" w:cs="宋体"/>
          <w:color w:val="auto"/>
          <w:highlight w:val="none"/>
        </w:rPr>
        <w:t>申请仲裁。②向合同签订地有级别管辖权的人民法院起诉。</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（3）甲、乙双方均有权利向本项目具有监管职能的政府采购监督管理部门举报反映对方在合同履约中的违法违纪行为。</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十一、其他</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38. 工程分包</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38.1本工程发包人同意承包人分包的工程：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分包施工单位为：</w:t>
      </w:r>
      <w:r>
        <w:rPr>
          <w:rFonts w:hint="eastAsia" w:ascii="宋体" w:hAnsi="宋体" w:eastAsia="宋体" w:cs="宋体"/>
          <w:color w:val="auto"/>
          <w:highlight w:val="none"/>
          <w:u w:val="single"/>
        </w:rPr>
        <w:t xml:space="preserve">                /                                                         </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39.不可抗力</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39.1双方关于不可抗力的约定：</w:t>
      </w:r>
      <w:r>
        <w:rPr>
          <w:rFonts w:hint="eastAsia" w:ascii="宋体" w:hAnsi="宋体" w:eastAsia="宋体" w:cs="宋体"/>
          <w:color w:val="auto"/>
          <w:highlight w:val="none"/>
          <w:u w:val="single"/>
        </w:rPr>
        <w:t>执行通用条款</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40.保险</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40.6本工程双方约定投保内容如下：</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（1）发包人投保内容：</w:t>
      </w:r>
      <w:r>
        <w:rPr>
          <w:rFonts w:hint="eastAsia" w:ascii="宋体" w:hAnsi="宋体" w:eastAsia="宋体" w:cs="宋体"/>
          <w:color w:val="auto"/>
          <w:highlight w:val="none"/>
          <w:u w:val="single"/>
        </w:rPr>
        <w:t>执行通用条款</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发包人委托承包人办理的保险事项：</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（2）承包人的投保内容：</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41.担保</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41.3本工程双方承包人提供履约担保，担保事项如下：</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（1）发包人向承包人提供履约担保，担保方式为：</w:t>
      </w:r>
      <w:r>
        <w:rPr>
          <w:rFonts w:hint="eastAsia" w:ascii="宋体" w:hAnsi="宋体" w:eastAsia="宋体" w:cs="宋体"/>
          <w:color w:val="auto"/>
          <w:highlight w:val="none"/>
          <w:u w:val="single"/>
        </w:rPr>
        <w:t>无</w:t>
      </w:r>
      <w:r>
        <w:rPr>
          <w:rFonts w:hint="eastAsia" w:ascii="宋体" w:hAnsi="宋体" w:eastAsia="宋体" w:cs="宋体"/>
          <w:color w:val="auto"/>
          <w:highlight w:val="none"/>
        </w:rPr>
        <w:t>担保合同作为本合同附件。</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（2）承包人向发包人提供履约担保，担保方式为：</w:t>
      </w:r>
      <w:r>
        <w:rPr>
          <w:rFonts w:hint="eastAsia" w:ascii="宋体" w:hAnsi="宋体" w:eastAsia="宋体" w:cs="宋体"/>
          <w:color w:val="auto"/>
          <w:highlight w:val="none"/>
          <w:u w:val="single"/>
        </w:rPr>
        <w:t>无</w:t>
      </w:r>
      <w:r>
        <w:rPr>
          <w:rFonts w:hint="eastAsia" w:ascii="宋体" w:hAnsi="宋体" w:eastAsia="宋体" w:cs="宋体"/>
          <w:color w:val="auto"/>
          <w:highlight w:val="none"/>
        </w:rPr>
        <w:t>担保合同作为本合同附件。</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（3）双方约定的其他担保事项：</w:t>
      </w:r>
    </w:p>
    <w:p>
      <w:pPr>
        <w:spacing w:line="480" w:lineRule="exact"/>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46.合同份数</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46.1双方约定合同份数：</w:t>
      </w:r>
      <w:r>
        <w:rPr>
          <w:rFonts w:hint="eastAsia" w:ascii="宋体" w:hAnsi="宋体" w:eastAsia="宋体" w:cs="宋体"/>
          <w:color w:val="auto"/>
          <w:highlight w:val="none"/>
          <w:u w:val="single"/>
        </w:rPr>
        <w:t>一式陆份，正本贰份，副本肆份。</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47.补充条款</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1、有关工程量清单缺漏项的处理方法：根据实际情况，视情节由发包人、监理人、承包人三方协商解决，并由发包人、监理人、承包人三方核实确定后据实调整。</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  元违约金，项目经理和技术负责人与投标文件不一致时，每发现一人，承包人应向发包人支付违约金 元。承包人必须在发包人指定的时间内安排原计划配备人员到场，否则，发包人有权终止合同，承包人赔偿因此给发包人带来的损失。</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3、承包人派驻施工现场的项目经理每周应有 个工作日在施工现场，特殊原因应向监理工程师及发包方派驻工地代表请假，无故不到施工现场或请假但未被批准仍不到施工现场按缺席处理，每发现项目经理或技术负责人一天不到施工现场的，承包方应向发包方支付 元违约金。</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4、因发包人拆迁等原因长期不能提供施工场地导致无法组织施工的工程，不影响已完工程的竣工验收和工程款的支付。</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5、人工费按国家和地方有关文件规定执行。</w:t>
      </w:r>
    </w:p>
    <w:p>
      <w:pPr>
        <w:spacing w:line="48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6、施工过程中如遇国家、地方等政策性调整，按规定执行。</w:t>
      </w:r>
    </w:p>
    <w:p>
      <w:pPr>
        <w:spacing w:line="440" w:lineRule="exact"/>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u w:val="single"/>
        </w:rPr>
        <w:t>7、在保修期内给水工程的维护和维修，由承包方负责并承担全部费用。</w:t>
      </w:r>
    </w:p>
    <w:p>
      <w:pPr>
        <w:spacing w:line="4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本合同未尽事宜，双方另行协商，协商内容作为本合同的附件，与本合同具有同等法律效力。</w:t>
      </w:r>
    </w:p>
    <w:p>
      <w:pPr>
        <w:spacing w:line="360" w:lineRule="auto"/>
        <w:ind w:firstLine="420" w:firstLineChars="200"/>
        <w:rPr>
          <w:rFonts w:hint="eastAsia" w:ascii="宋体" w:hAnsi="宋体" w:eastAsia="宋体" w:cs="宋体"/>
          <w:color w:val="auto"/>
          <w:szCs w:val="21"/>
          <w:highlight w:val="none"/>
          <w:u w:val="singl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ind w:firstLine="422" w:firstLineChars="200"/>
        <w:rPr>
          <w:rFonts w:hint="eastAsia" w:ascii="宋体" w:hAnsi="宋体" w:eastAsia="宋体" w:cs="宋体"/>
          <w:b/>
          <w:color w:val="auto"/>
          <w:szCs w:val="21"/>
          <w:highlight w:val="none"/>
        </w:rPr>
      </w:pPr>
    </w:p>
    <w:p>
      <w:pPr>
        <w:spacing w:line="360" w:lineRule="auto"/>
        <w:rPr>
          <w:rFonts w:hint="eastAsia" w:ascii="宋体" w:hAnsi="宋体" w:eastAsia="宋体" w:cs="宋体"/>
          <w:color w:val="auto"/>
          <w:sz w:val="44"/>
          <w:szCs w:val="44"/>
          <w:highlight w:val="none"/>
        </w:rPr>
      </w:pPr>
      <w:r>
        <w:rPr>
          <w:rFonts w:hint="eastAsia" w:ascii="宋体" w:hAnsi="宋体" w:eastAsia="宋体" w:cs="宋体"/>
          <w:color w:val="auto"/>
          <w:sz w:val="28"/>
          <w:szCs w:val="28"/>
          <w:highlight w:val="none"/>
        </w:rPr>
        <w:t>附件1：</w:t>
      </w:r>
    </w:p>
    <w:p>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承包人承揽工程项目一览表</w:t>
      </w:r>
    </w:p>
    <w:tbl>
      <w:tblPr>
        <w:tblStyle w:val="30"/>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单位工程名称</w:t>
            </w:r>
          </w:p>
        </w:tc>
        <w:tc>
          <w:tcPr>
            <w:tcW w:w="900"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建设</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规模</w:t>
            </w:r>
          </w:p>
        </w:tc>
        <w:tc>
          <w:tcPr>
            <w:tcW w:w="131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建筑面积（平方米）</w:t>
            </w:r>
          </w:p>
        </w:tc>
        <w:tc>
          <w:tcPr>
            <w:tcW w:w="682" w:type="dxa"/>
            <w:vAlign w:val="center"/>
          </w:tcPr>
          <w:p>
            <w:pPr>
              <w:spacing w:line="360" w:lineRule="auto"/>
              <w:ind w:right="-78" w:rightChars="-37"/>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结构</w:t>
            </w:r>
          </w:p>
        </w:tc>
        <w:tc>
          <w:tcPr>
            <w:tcW w:w="70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层数</w:t>
            </w:r>
          </w:p>
        </w:tc>
        <w:tc>
          <w:tcPr>
            <w:tcW w:w="877"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跨度</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（米）</w:t>
            </w:r>
          </w:p>
        </w:tc>
        <w:tc>
          <w:tcPr>
            <w:tcW w:w="800"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安装</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内容</w:t>
            </w:r>
          </w:p>
        </w:tc>
        <w:tc>
          <w:tcPr>
            <w:tcW w:w="850"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造价</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c>
          <w:tcPr>
            <w:tcW w:w="70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开工</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tc>
        <w:tc>
          <w:tcPr>
            <w:tcW w:w="709" w:type="dxa"/>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竣工</w:t>
            </w:r>
          </w:p>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hint="eastAsia" w:ascii="宋体" w:hAnsi="宋体" w:eastAsia="宋体" w:cs="宋体"/>
                <w:color w:val="auto"/>
                <w:szCs w:val="21"/>
                <w:highlight w:val="none"/>
              </w:rPr>
            </w:pPr>
          </w:p>
        </w:tc>
        <w:tc>
          <w:tcPr>
            <w:tcW w:w="900" w:type="dxa"/>
            <w:vAlign w:val="center"/>
          </w:tcPr>
          <w:p>
            <w:pPr>
              <w:spacing w:line="360" w:lineRule="auto"/>
              <w:ind w:firstLine="420" w:firstLineChars="200"/>
              <w:rPr>
                <w:rFonts w:hint="eastAsia" w:ascii="宋体" w:hAnsi="宋体" w:eastAsia="宋体" w:cs="宋体"/>
                <w:color w:val="auto"/>
                <w:szCs w:val="21"/>
                <w:highlight w:val="none"/>
              </w:rPr>
            </w:pPr>
          </w:p>
        </w:tc>
        <w:tc>
          <w:tcPr>
            <w:tcW w:w="1319" w:type="dxa"/>
            <w:vAlign w:val="center"/>
          </w:tcPr>
          <w:p>
            <w:pPr>
              <w:spacing w:line="360" w:lineRule="auto"/>
              <w:ind w:firstLine="420" w:firstLineChars="200"/>
              <w:rPr>
                <w:rFonts w:hint="eastAsia" w:ascii="宋体" w:hAnsi="宋体" w:eastAsia="宋体" w:cs="宋体"/>
                <w:color w:val="auto"/>
                <w:szCs w:val="21"/>
                <w:highlight w:val="none"/>
              </w:rPr>
            </w:pPr>
          </w:p>
        </w:tc>
        <w:tc>
          <w:tcPr>
            <w:tcW w:w="682"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877" w:type="dxa"/>
            <w:vAlign w:val="center"/>
          </w:tcPr>
          <w:p>
            <w:pPr>
              <w:spacing w:line="360" w:lineRule="auto"/>
              <w:ind w:firstLine="420" w:firstLineChars="200"/>
              <w:rPr>
                <w:rFonts w:hint="eastAsia" w:ascii="宋体" w:hAnsi="宋体" w:eastAsia="宋体" w:cs="宋体"/>
                <w:color w:val="auto"/>
                <w:szCs w:val="21"/>
                <w:highlight w:val="none"/>
              </w:rPr>
            </w:pPr>
          </w:p>
        </w:tc>
        <w:tc>
          <w:tcPr>
            <w:tcW w:w="800" w:type="dxa"/>
            <w:vAlign w:val="center"/>
          </w:tcPr>
          <w:p>
            <w:pPr>
              <w:spacing w:line="360" w:lineRule="auto"/>
              <w:ind w:firstLine="420" w:firstLineChars="200"/>
              <w:rPr>
                <w:rFonts w:hint="eastAsia" w:ascii="宋体" w:hAnsi="宋体" w:eastAsia="宋体" w:cs="宋体"/>
                <w:color w:val="auto"/>
                <w:szCs w:val="21"/>
                <w:highlight w:val="none"/>
              </w:rPr>
            </w:pPr>
          </w:p>
        </w:tc>
        <w:tc>
          <w:tcPr>
            <w:tcW w:w="850"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hint="eastAsia" w:ascii="宋体" w:hAnsi="宋体" w:eastAsia="宋体" w:cs="宋体"/>
                <w:color w:val="auto"/>
                <w:szCs w:val="21"/>
                <w:highlight w:val="none"/>
              </w:rPr>
            </w:pPr>
          </w:p>
        </w:tc>
        <w:tc>
          <w:tcPr>
            <w:tcW w:w="900" w:type="dxa"/>
            <w:vAlign w:val="center"/>
          </w:tcPr>
          <w:p>
            <w:pPr>
              <w:spacing w:line="360" w:lineRule="auto"/>
              <w:ind w:firstLine="420" w:firstLineChars="200"/>
              <w:rPr>
                <w:rFonts w:hint="eastAsia" w:ascii="宋体" w:hAnsi="宋体" w:eastAsia="宋体" w:cs="宋体"/>
                <w:color w:val="auto"/>
                <w:szCs w:val="21"/>
                <w:highlight w:val="none"/>
              </w:rPr>
            </w:pPr>
          </w:p>
        </w:tc>
        <w:tc>
          <w:tcPr>
            <w:tcW w:w="1319" w:type="dxa"/>
            <w:vAlign w:val="center"/>
          </w:tcPr>
          <w:p>
            <w:pPr>
              <w:spacing w:line="360" w:lineRule="auto"/>
              <w:ind w:firstLine="420" w:firstLineChars="200"/>
              <w:rPr>
                <w:rFonts w:hint="eastAsia" w:ascii="宋体" w:hAnsi="宋体" w:eastAsia="宋体" w:cs="宋体"/>
                <w:color w:val="auto"/>
                <w:szCs w:val="21"/>
                <w:highlight w:val="none"/>
              </w:rPr>
            </w:pPr>
          </w:p>
        </w:tc>
        <w:tc>
          <w:tcPr>
            <w:tcW w:w="682"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877" w:type="dxa"/>
            <w:vAlign w:val="center"/>
          </w:tcPr>
          <w:p>
            <w:pPr>
              <w:spacing w:line="360" w:lineRule="auto"/>
              <w:ind w:firstLine="420" w:firstLineChars="200"/>
              <w:rPr>
                <w:rFonts w:hint="eastAsia" w:ascii="宋体" w:hAnsi="宋体" w:eastAsia="宋体" w:cs="宋体"/>
                <w:color w:val="auto"/>
                <w:szCs w:val="21"/>
                <w:highlight w:val="none"/>
              </w:rPr>
            </w:pPr>
          </w:p>
        </w:tc>
        <w:tc>
          <w:tcPr>
            <w:tcW w:w="800" w:type="dxa"/>
            <w:vAlign w:val="center"/>
          </w:tcPr>
          <w:p>
            <w:pPr>
              <w:spacing w:line="360" w:lineRule="auto"/>
              <w:ind w:firstLine="420" w:firstLineChars="200"/>
              <w:rPr>
                <w:rFonts w:hint="eastAsia" w:ascii="宋体" w:hAnsi="宋体" w:eastAsia="宋体" w:cs="宋体"/>
                <w:color w:val="auto"/>
                <w:szCs w:val="21"/>
                <w:highlight w:val="none"/>
              </w:rPr>
            </w:pPr>
          </w:p>
        </w:tc>
        <w:tc>
          <w:tcPr>
            <w:tcW w:w="850"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420" w:firstLineChars="200"/>
              <w:rPr>
                <w:rFonts w:hint="eastAsia" w:ascii="宋体" w:hAnsi="宋体" w:eastAsia="宋体" w:cs="宋体"/>
                <w:color w:val="auto"/>
                <w:szCs w:val="21"/>
                <w:highlight w:val="none"/>
              </w:rPr>
            </w:pPr>
          </w:p>
        </w:tc>
        <w:tc>
          <w:tcPr>
            <w:tcW w:w="900" w:type="dxa"/>
            <w:vAlign w:val="center"/>
          </w:tcPr>
          <w:p>
            <w:pPr>
              <w:spacing w:line="360" w:lineRule="auto"/>
              <w:ind w:firstLine="420" w:firstLineChars="200"/>
              <w:rPr>
                <w:rFonts w:hint="eastAsia" w:ascii="宋体" w:hAnsi="宋体" w:eastAsia="宋体" w:cs="宋体"/>
                <w:color w:val="auto"/>
                <w:szCs w:val="21"/>
                <w:highlight w:val="none"/>
              </w:rPr>
            </w:pPr>
          </w:p>
        </w:tc>
        <w:tc>
          <w:tcPr>
            <w:tcW w:w="1319" w:type="dxa"/>
            <w:vAlign w:val="center"/>
          </w:tcPr>
          <w:p>
            <w:pPr>
              <w:spacing w:line="360" w:lineRule="auto"/>
              <w:ind w:firstLine="420" w:firstLineChars="200"/>
              <w:rPr>
                <w:rFonts w:hint="eastAsia" w:ascii="宋体" w:hAnsi="宋体" w:eastAsia="宋体" w:cs="宋体"/>
                <w:color w:val="auto"/>
                <w:szCs w:val="21"/>
                <w:highlight w:val="none"/>
              </w:rPr>
            </w:pPr>
          </w:p>
        </w:tc>
        <w:tc>
          <w:tcPr>
            <w:tcW w:w="682"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877" w:type="dxa"/>
            <w:vAlign w:val="center"/>
          </w:tcPr>
          <w:p>
            <w:pPr>
              <w:spacing w:line="360" w:lineRule="auto"/>
              <w:ind w:firstLine="420" w:firstLineChars="200"/>
              <w:rPr>
                <w:rFonts w:hint="eastAsia" w:ascii="宋体" w:hAnsi="宋体" w:eastAsia="宋体" w:cs="宋体"/>
                <w:color w:val="auto"/>
                <w:szCs w:val="21"/>
                <w:highlight w:val="none"/>
              </w:rPr>
            </w:pPr>
          </w:p>
        </w:tc>
        <w:tc>
          <w:tcPr>
            <w:tcW w:w="800" w:type="dxa"/>
            <w:vAlign w:val="center"/>
          </w:tcPr>
          <w:p>
            <w:pPr>
              <w:spacing w:line="360" w:lineRule="auto"/>
              <w:ind w:firstLine="420" w:firstLineChars="200"/>
              <w:rPr>
                <w:rFonts w:hint="eastAsia" w:ascii="宋体" w:hAnsi="宋体" w:eastAsia="宋体" w:cs="宋体"/>
                <w:color w:val="auto"/>
                <w:szCs w:val="21"/>
                <w:highlight w:val="none"/>
              </w:rPr>
            </w:pPr>
          </w:p>
        </w:tc>
        <w:tc>
          <w:tcPr>
            <w:tcW w:w="850"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c>
          <w:tcPr>
            <w:tcW w:w="709" w:type="dxa"/>
            <w:vAlign w:val="center"/>
          </w:tcPr>
          <w:p>
            <w:pPr>
              <w:spacing w:line="360" w:lineRule="auto"/>
              <w:ind w:firstLine="420" w:firstLineChars="200"/>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spacing w:line="360" w:lineRule="auto"/>
              <w:ind w:firstLine="640" w:firstLineChars="200"/>
              <w:rPr>
                <w:rFonts w:hint="eastAsia" w:ascii="宋体" w:hAnsi="宋体" w:eastAsia="宋体" w:cs="宋体"/>
                <w:color w:val="auto"/>
                <w:sz w:val="32"/>
                <w:highlight w:val="none"/>
              </w:rPr>
            </w:pPr>
          </w:p>
        </w:tc>
        <w:tc>
          <w:tcPr>
            <w:tcW w:w="900" w:type="dxa"/>
            <w:vAlign w:val="center"/>
          </w:tcPr>
          <w:p>
            <w:pPr>
              <w:spacing w:line="360" w:lineRule="auto"/>
              <w:ind w:firstLine="640" w:firstLineChars="200"/>
              <w:rPr>
                <w:rFonts w:hint="eastAsia" w:ascii="宋体" w:hAnsi="宋体" w:eastAsia="宋体" w:cs="宋体"/>
                <w:color w:val="auto"/>
                <w:sz w:val="32"/>
                <w:highlight w:val="none"/>
              </w:rPr>
            </w:pPr>
          </w:p>
        </w:tc>
        <w:tc>
          <w:tcPr>
            <w:tcW w:w="1319" w:type="dxa"/>
            <w:vAlign w:val="center"/>
          </w:tcPr>
          <w:p>
            <w:pPr>
              <w:spacing w:line="360" w:lineRule="auto"/>
              <w:ind w:firstLine="640" w:firstLineChars="200"/>
              <w:rPr>
                <w:rFonts w:hint="eastAsia" w:ascii="宋体" w:hAnsi="宋体" w:eastAsia="宋体" w:cs="宋体"/>
                <w:color w:val="auto"/>
                <w:sz w:val="32"/>
                <w:highlight w:val="none"/>
              </w:rPr>
            </w:pPr>
          </w:p>
        </w:tc>
        <w:tc>
          <w:tcPr>
            <w:tcW w:w="682"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877" w:type="dxa"/>
            <w:vAlign w:val="center"/>
          </w:tcPr>
          <w:p>
            <w:pPr>
              <w:spacing w:line="360" w:lineRule="auto"/>
              <w:ind w:firstLine="640" w:firstLineChars="200"/>
              <w:rPr>
                <w:rFonts w:hint="eastAsia" w:ascii="宋体" w:hAnsi="宋体" w:eastAsia="宋体" w:cs="宋体"/>
                <w:color w:val="auto"/>
                <w:sz w:val="32"/>
                <w:highlight w:val="none"/>
              </w:rPr>
            </w:pPr>
          </w:p>
        </w:tc>
        <w:tc>
          <w:tcPr>
            <w:tcW w:w="800" w:type="dxa"/>
            <w:vAlign w:val="center"/>
          </w:tcPr>
          <w:p>
            <w:pPr>
              <w:spacing w:line="360" w:lineRule="auto"/>
              <w:ind w:firstLine="640" w:firstLineChars="200"/>
              <w:rPr>
                <w:rFonts w:hint="eastAsia" w:ascii="宋体" w:hAnsi="宋体" w:eastAsia="宋体" w:cs="宋体"/>
                <w:color w:val="auto"/>
                <w:sz w:val="32"/>
                <w:highlight w:val="none"/>
              </w:rPr>
            </w:pPr>
          </w:p>
        </w:tc>
        <w:tc>
          <w:tcPr>
            <w:tcW w:w="850"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c>
          <w:tcPr>
            <w:tcW w:w="709" w:type="dxa"/>
            <w:vAlign w:val="center"/>
          </w:tcPr>
          <w:p>
            <w:pPr>
              <w:spacing w:line="360" w:lineRule="auto"/>
              <w:ind w:firstLine="640" w:firstLineChars="200"/>
              <w:rPr>
                <w:rFonts w:hint="eastAsia" w:ascii="宋体" w:hAnsi="宋体" w:eastAsia="宋体" w:cs="宋体"/>
                <w:color w:val="auto"/>
                <w:sz w:val="32"/>
                <w:highlight w:val="none"/>
              </w:rPr>
            </w:pPr>
          </w:p>
        </w:tc>
      </w:tr>
    </w:tbl>
    <w:p>
      <w:pPr>
        <w:spacing w:line="360" w:lineRule="auto"/>
        <w:ind w:firstLine="643" w:firstLineChars="200"/>
        <w:rPr>
          <w:rFonts w:hint="eastAsia" w:ascii="宋体" w:hAnsi="宋体" w:eastAsia="宋体" w:cs="宋体"/>
          <w:b/>
          <w:color w:val="auto"/>
          <w:sz w:val="32"/>
          <w:highlight w:val="none"/>
        </w:rPr>
      </w:pP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附件2：</w:t>
      </w:r>
    </w:p>
    <w:p>
      <w:pPr>
        <w:spacing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主要材料设备一览表</w:t>
      </w:r>
    </w:p>
    <w:tbl>
      <w:tblPr>
        <w:tblStyle w:val="30"/>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446"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品种</w:t>
            </w:r>
          </w:p>
        </w:tc>
        <w:tc>
          <w:tcPr>
            <w:tcW w:w="851"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tc>
        <w:tc>
          <w:tcPr>
            <w:tcW w:w="70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1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851"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p>
        </w:tc>
        <w:tc>
          <w:tcPr>
            <w:tcW w:w="736"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质量等级</w:t>
            </w:r>
          </w:p>
        </w:tc>
        <w:tc>
          <w:tcPr>
            <w:tcW w:w="910"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p>
        </w:tc>
        <w:tc>
          <w:tcPr>
            <w:tcW w:w="108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送达</w:t>
            </w:r>
          </w:p>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w:t>
            </w:r>
          </w:p>
        </w:tc>
        <w:tc>
          <w:tcPr>
            <w:tcW w:w="878" w:type="dxa"/>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44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0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51"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736"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910"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1088" w:type="dxa"/>
            <w:vAlign w:val="center"/>
          </w:tcPr>
          <w:p>
            <w:pPr>
              <w:spacing w:line="360" w:lineRule="auto"/>
              <w:ind w:firstLine="800" w:firstLineChars="200"/>
              <w:rPr>
                <w:rFonts w:hint="eastAsia" w:ascii="宋体" w:hAnsi="宋体" w:eastAsia="宋体" w:cs="宋体"/>
                <w:color w:val="auto"/>
                <w:sz w:val="40"/>
                <w:szCs w:val="32"/>
                <w:highlight w:val="none"/>
              </w:rPr>
            </w:pPr>
          </w:p>
        </w:tc>
        <w:tc>
          <w:tcPr>
            <w:tcW w:w="878" w:type="dxa"/>
            <w:vAlign w:val="center"/>
          </w:tcPr>
          <w:p>
            <w:pPr>
              <w:spacing w:line="360" w:lineRule="auto"/>
              <w:ind w:firstLine="800" w:firstLineChars="200"/>
              <w:rPr>
                <w:rFonts w:hint="eastAsia" w:ascii="宋体" w:hAnsi="宋体" w:eastAsia="宋体" w:cs="宋体"/>
                <w:color w:val="auto"/>
                <w:sz w:val="40"/>
                <w:szCs w:val="32"/>
                <w:highlight w:val="none"/>
              </w:rPr>
            </w:pPr>
          </w:p>
        </w:tc>
      </w:tr>
    </w:tbl>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附件3：</w:t>
      </w:r>
    </w:p>
    <w:p>
      <w:pPr>
        <w:spacing w:line="360" w:lineRule="auto"/>
        <w:rPr>
          <w:rFonts w:hint="eastAsia" w:ascii="宋体" w:hAnsi="宋体" w:eastAsia="宋体" w:cs="宋体"/>
          <w:b/>
          <w:bCs/>
          <w:color w:val="auto"/>
          <w:sz w:val="32"/>
          <w:highlight w:val="none"/>
        </w:rPr>
      </w:pPr>
    </w:p>
    <w:p>
      <w:pPr>
        <w:spacing w:line="360" w:lineRule="auto"/>
        <w:jc w:val="center"/>
        <w:rPr>
          <w:rFonts w:hint="eastAsia" w:ascii="宋体" w:hAnsi="宋体" w:eastAsia="宋体" w:cs="宋体"/>
          <w:bCs/>
          <w:color w:val="auto"/>
          <w:sz w:val="36"/>
          <w:szCs w:val="36"/>
          <w:highlight w:val="none"/>
        </w:rPr>
      </w:pPr>
      <w:r>
        <w:rPr>
          <w:rFonts w:hint="eastAsia" w:ascii="宋体" w:hAnsi="宋体" w:eastAsia="宋体" w:cs="宋体"/>
          <w:bCs/>
          <w:color w:val="auto"/>
          <w:sz w:val="36"/>
          <w:szCs w:val="36"/>
          <w:highlight w:val="none"/>
        </w:rPr>
        <w:t>工程质量保修书</w:t>
      </w:r>
    </w:p>
    <w:p>
      <w:pPr>
        <w:spacing w:line="360" w:lineRule="auto"/>
        <w:ind w:firstLine="361" w:firstLineChars="200"/>
        <w:rPr>
          <w:rFonts w:hint="eastAsia" w:ascii="宋体" w:hAnsi="宋体" w:eastAsia="宋体" w:cs="宋体"/>
          <w:b/>
          <w:bCs/>
          <w:color w:val="auto"/>
          <w:sz w:val="18"/>
          <w:szCs w:val="18"/>
          <w:highlight w:val="none"/>
        </w:rPr>
      </w:pP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发包人（全称）：</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承包人（全称）：</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为保证（工程名称）在合理使用期限内正常使用，发包人承包人协商一致签订工程质量保修书。承包人在质量保修期内按照有关管理规定及双方约定承担工程质量保修责任。</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一、工程质量保修范围和内容</w:t>
      </w:r>
    </w:p>
    <w:p>
      <w:pPr>
        <w:spacing w:line="44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二、质量保修期</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质量保修期从工程实际竣工之日算起。分单项竣工验收的工程，按单项工程分别计算质量保修期。</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质量保修期自竣工验收合格之日起计算。</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三、质量保修责任</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2、在保修期内，承包方未履行保修义务，或工程出现质量问题但短期无法修复，或因工程质量缺陷造成其他方面的损失，按有关规定，经发包方确认，由承包方承担工程整修全部费用。</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3、在保修期内，无论发包方是否进入、占用或使用本工程，承包方均应继续承担合同中规定的责任及义务，直到合同终止。</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4、承包方在保修期内，进行缺陷修复工作，应事先与有关管理单位取得联系，制定合理的整修方案，经发包方同意后实施；如需占用路面，应得到交通管理部门的同意，以确保公共交通的安全。</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5、监理单位在工程质量保修期内的工作</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①、执行监理合同的约定，监督、检查承包方的工作，发现承包方未履行保修义务，除书面通知承包方，还应书面上报发包方。</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②、审批承包方编制的工程质量缺陷修整方案。</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③、承包方完成工程质量缺陷的修整后，组织有关部门进行验收，并将结果书面上报发包方。</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6、质量保修完成后，由发包人组织验收。</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四、保修费用</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保修费用由造成质量缺陷的责任方承担。</w:t>
      </w:r>
    </w:p>
    <w:p>
      <w:pPr>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五、其他</w:t>
      </w:r>
    </w:p>
    <w:p>
      <w:pPr>
        <w:spacing w:line="44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双方约定的其他工程质量保修事项：</w:t>
      </w:r>
      <w:r>
        <w:rPr>
          <w:rFonts w:hint="eastAsia" w:ascii="宋体" w:hAnsi="宋体" w:eastAsia="宋体" w:cs="宋体"/>
          <w:color w:val="auto"/>
          <w:szCs w:val="21"/>
          <w:highlight w:val="none"/>
          <w:u w:val="single"/>
        </w:rPr>
        <w:t>若承包方不能按期约定期限内履行保修责任，发包方有权自行维修，所产生的费用从质量保证金中扣除。</w:t>
      </w:r>
    </w:p>
    <w:p>
      <w:pPr>
        <w:spacing w:line="44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本工程质量保修书，由施工合同发包人、承包人双方在竣工验收前共同签署，作为施工合同附件，其有效期限至保修期满。</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发包人（公章）：                       承包人（公章）：</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                           法定代表人或</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委托代理人（签字）：                    委托代理人（签字）：</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1785" w:firstLineChars="850"/>
        <w:rPr>
          <w:rFonts w:hint="eastAsia" w:ascii="宋体" w:hAnsi="宋体" w:eastAsia="宋体" w:cs="宋体"/>
          <w:color w:val="auto"/>
          <w:highlight w:val="none"/>
        </w:rPr>
      </w:pPr>
      <w:r>
        <w:rPr>
          <w:rFonts w:hint="eastAsia" w:ascii="宋体" w:hAnsi="宋体" w:eastAsia="宋体" w:cs="宋体"/>
          <w:color w:val="auto"/>
          <w:szCs w:val="21"/>
          <w:highlight w:val="none"/>
        </w:rPr>
        <w:t>年   月   日                         年   月   日</w:t>
      </w:r>
    </w:p>
    <w:p>
      <w:pPr>
        <w:ind w:firstLine="420" w:firstLineChars="200"/>
        <w:rPr>
          <w:rFonts w:hint="eastAsia" w:ascii="宋体" w:hAnsi="宋体" w:eastAsia="宋体" w:cs="宋体"/>
          <w:color w:val="auto"/>
          <w:highlight w:val="none"/>
        </w:rPr>
      </w:pPr>
    </w:p>
    <w:p>
      <w:pPr>
        <w:spacing w:line="500" w:lineRule="exact"/>
        <w:rPr>
          <w:rFonts w:hint="eastAsia" w:ascii="宋体" w:hAnsi="宋体" w:eastAsia="宋体" w:cs="宋体"/>
          <w:color w:val="auto"/>
          <w:sz w:val="24"/>
          <w:highlight w:val="none"/>
        </w:rPr>
      </w:pPr>
    </w:p>
    <w:p>
      <w:pPr>
        <w:pStyle w:val="2"/>
        <w:ind w:firstLine="32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周口市政府采购合同融资政策告知函</w:t>
      </w: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p>
    <w:p>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各供应商：</w:t>
      </w:r>
    </w:p>
    <w:p>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欢迎贵公司参与周口市政府采购活动！</w:t>
      </w:r>
    </w:p>
    <w:p>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hint="eastAsia" w:ascii="宋体" w:hAnsi="宋体" w:eastAsia="宋体" w:cs="宋体"/>
          <w:color w:val="auto"/>
          <w:sz w:val="24"/>
          <w:highlight w:val="none"/>
        </w:rPr>
      </w:pPr>
      <w:r>
        <w:rPr>
          <w:rFonts w:hint="eastAsia" w:ascii="宋体" w:hAnsi="宋体" w:eastAsia="宋体" w:cs="宋体"/>
          <w:color w:val="auto"/>
          <w:sz w:val="24"/>
          <w:highlight w:val="none"/>
        </w:rPr>
        <w:t>贷款渠道和提供贷款的金融机构，可在河南省政府采购网“河南省政府采购合同融资平台”查询联系。</w:t>
      </w: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pStyle w:val="27"/>
        <w:spacing w:before="0" w:beforeAutospacing="0" w:after="0" w:afterAutospacing="0" w:line="330" w:lineRule="atLeast"/>
        <w:rPr>
          <w:rFonts w:hint="eastAsia" w:ascii="宋体" w:hAnsi="宋体" w:eastAsia="宋体" w:cs="宋体"/>
          <w:b/>
          <w:bCs/>
          <w:color w:val="auto"/>
          <w:sz w:val="21"/>
          <w:szCs w:val="21"/>
          <w:highlight w:val="none"/>
        </w:rPr>
      </w:pPr>
    </w:p>
    <w:p>
      <w:pPr>
        <w:spacing w:line="500" w:lineRule="exact"/>
        <w:rPr>
          <w:rFonts w:hint="eastAsia" w:ascii="宋体" w:hAnsi="宋体" w:eastAsia="宋体" w:cs="宋体"/>
          <w:b/>
          <w:bCs/>
          <w:color w:val="auto"/>
          <w:sz w:val="24"/>
          <w:highlight w:val="none"/>
        </w:rPr>
      </w:pPr>
    </w:p>
    <w:sectPr>
      <w:pgSz w:w="11907" w:h="16840"/>
      <w:pgMar w:top="1417"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3B6761-9849-4AD8-AACC-E3F7C9EA25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B6D13AF5-F239-4C29-90F3-C1CC037E58FE}"/>
  </w:font>
  <w:font w:name="华文楷体">
    <w:panose1 w:val="02010600040101010101"/>
    <w:charset w:val="86"/>
    <w:family w:val="auto"/>
    <w:pitch w:val="default"/>
    <w:sig w:usb0="00000287" w:usb1="080F0000" w:usb2="00000000" w:usb3="00000000" w:csb0="0004009F" w:csb1="DFD7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auto"/>
    <w:pitch w:val="default"/>
    <w:sig w:usb0="A00002AF" w:usb1="400078FB" w:usb2="00000000" w:usb3="00000000" w:csb0="6000009F" w:csb1="DFD70000"/>
    <w:embedRegular r:id="rId3" w:fontKey="{BA3489C6-2B44-4688-918D-742EE19884D5}"/>
  </w:font>
  <w:font w:name="微软简标宋">
    <w:altName w:val="宋体"/>
    <w:panose1 w:val="00000000000000000000"/>
    <w:charset w:val="00"/>
    <w:family w:val="auto"/>
    <w:pitch w:val="default"/>
    <w:sig w:usb0="00000000" w:usb1="00000000" w:usb2="00000000" w:usb3="00000000" w:csb0="00000000" w:csb1="00000000"/>
    <w:embedRegular r:id="rId4" w:fontKey="{2B52D116-23C8-4384-91FD-F5D346A056A0}"/>
  </w:font>
  <w:font w:name="华文彩云">
    <w:panose1 w:val="02010800040101010101"/>
    <w:charset w:val="86"/>
    <w:family w:val="auto"/>
    <w:pitch w:val="default"/>
    <w:sig w:usb0="00000001" w:usb1="080F0000" w:usb2="00000000" w:usb3="00000000" w:csb0="00040000" w:csb1="00000000"/>
    <w:embedRegular r:id="rId5" w:fontKey="{306B43A9-A703-462A-8234-6DE6EC7BF91B}"/>
  </w:font>
  <w:font w:name="Segoe UI">
    <w:panose1 w:val="020B0502040204020203"/>
    <w:charset w:val="00"/>
    <w:family w:val="auto"/>
    <w:pitch w:val="default"/>
    <w:sig w:usb0="E4002EFF" w:usb1="C000E47F" w:usb2="00000009" w:usb3="00000000" w:csb0="200001FF" w:csb1="00000000"/>
    <w:embedRegular r:id="rId6" w:fontKey="{5207919D-925B-4A5D-8325-8DCE698F6C40}"/>
  </w:font>
  <w:font w:name="楷体_GB2312">
    <w:altName w:val="楷体"/>
    <w:panose1 w:val="00000000000000000000"/>
    <w:charset w:val="86"/>
    <w:family w:val="modern"/>
    <w:pitch w:val="default"/>
    <w:sig w:usb0="00000000" w:usb1="00000000" w:usb2="00000010" w:usb3="00000000" w:csb0="00040000" w:csb1="00000000"/>
    <w:embedRegular r:id="rId7" w:fontKey="{920B16D8-37B4-4BEF-9E26-9918A56B7AA9}"/>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rPr>
        <w:rFonts w:ascii="宋体" w:hAnsi="宋体"/>
        <w:kern w:val="0"/>
        <w:sz w:val="21"/>
        <w:szCs w:val="21"/>
      </w:rPr>
    </w:pPr>
    <w:r>
      <w:rPr>
        <w:rFonts w:hint="eastAsia" w:ascii="宋体" w:hAnsi="宋体"/>
        <w:kern w:val="0"/>
        <w:sz w:val="21"/>
        <w:szCs w:val="21"/>
      </w:rPr>
      <w:t>-------------------------------------</w:t>
    </w:r>
    <w:r>
      <w:rPr>
        <w:rFonts w:ascii="宋体" w:hAnsi="宋体"/>
        <w:kern w:val="0"/>
        <w:sz w:val="21"/>
        <w:szCs w:val="21"/>
      </w:rPr>
      <w:t xml:space="preserve">- </w:t>
    </w:r>
    <w:r>
      <w:rPr>
        <w:rFonts w:ascii="宋体" w:hAnsi="宋体"/>
        <w:kern w:val="0"/>
        <w:sz w:val="21"/>
        <w:szCs w:val="21"/>
      </w:rPr>
      <w:fldChar w:fldCharType="begin"/>
    </w:r>
    <w:r>
      <w:rPr>
        <w:rFonts w:ascii="宋体" w:hAnsi="宋体"/>
        <w:kern w:val="0"/>
        <w:sz w:val="21"/>
        <w:szCs w:val="21"/>
      </w:rPr>
      <w:instrText xml:space="preserve"> PAGE </w:instrText>
    </w:r>
    <w:r>
      <w:rPr>
        <w:rFonts w:ascii="宋体" w:hAnsi="宋体"/>
        <w:kern w:val="0"/>
        <w:sz w:val="21"/>
        <w:szCs w:val="21"/>
      </w:rPr>
      <w:fldChar w:fldCharType="separate"/>
    </w:r>
    <w:r>
      <w:rPr>
        <w:rFonts w:ascii="宋体" w:hAnsi="宋体"/>
        <w:kern w:val="0"/>
        <w:sz w:val="21"/>
        <w:szCs w:val="21"/>
      </w:rPr>
      <w:t>3</w:t>
    </w:r>
    <w:r>
      <w:rPr>
        <w:rFonts w:ascii="宋体" w:hAnsi="宋体"/>
        <w:kern w:val="0"/>
        <w:sz w:val="21"/>
        <w:szCs w:val="21"/>
      </w:rPr>
      <w:fldChar w:fldCharType="end"/>
    </w:r>
    <w:r>
      <w:rPr>
        <w:rFonts w:hint="eastAsia" w:ascii="宋体" w:hAnsi="宋体"/>
        <w:kern w:val="0"/>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spacing w:line="160" w:lineRule="atLeast"/>
      <w:jc w:val="both"/>
      <w:rPr>
        <w:rFonts w:ascii="楷体_GB2312" w:eastAsia="楷体_GB2312"/>
        <w:sz w:val="28"/>
        <w:u w:val="single"/>
      </w:rPr>
    </w:pPr>
  </w:p>
  <w:p>
    <w:pPr>
      <w:pStyle w:val="22"/>
      <w:pBdr>
        <w:bottom w:val="none" w:color="auto" w:sz="0" w:space="0"/>
      </w:pBdr>
      <w:spacing w:line="160" w:lineRule="atLeast"/>
      <w:jc w:val="both"/>
      <w:rPr>
        <w:rFonts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87F1C9"/>
    <w:multiLevelType w:val="singleLevel"/>
    <w:tmpl w:val="EA87F1C9"/>
    <w:lvl w:ilvl="0" w:tentative="0">
      <w:start w:val="1"/>
      <w:numFmt w:val="decimal"/>
      <w:suff w:val="nothing"/>
      <w:lvlText w:val="（%1）"/>
      <w:lvlJc w:val="left"/>
    </w:lvl>
  </w:abstractNum>
  <w:abstractNum w:abstractNumId="1">
    <w:nsid w:val="00000002"/>
    <w:multiLevelType w:val="singleLevel"/>
    <w:tmpl w:val="00000002"/>
    <w:lvl w:ilvl="0" w:tentative="0">
      <w:start w:val="3"/>
      <w:numFmt w:val="decimal"/>
      <w:suff w:val="nothing"/>
      <w:lvlText w:val="(%1)"/>
      <w:lvlJc w:val="left"/>
    </w:lvl>
  </w:abstractNum>
  <w:abstractNum w:abstractNumId="2">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gutterAtTop/>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OTQ5NGFmNGFjMTAwMjZiODlhMzA0ZTU0NWNjMTYifQ=="/>
  </w:docVars>
  <w:rsids>
    <w:rsidRoot w:val="00172A27"/>
    <w:rsid w:val="00000EB7"/>
    <w:rsid w:val="00003AB0"/>
    <w:rsid w:val="00006828"/>
    <w:rsid w:val="000102C8"/>
    <w:rsid w:val="00010D52"/>
    <w:rsid w:val="000129DA"/>
    <w:rsid w:val="00013396"/>
    <w:rsid w:val="00013D3C"/>
    <w:rsid w:val="00014E7F"/>
    <w:rsid w:val="000176E7"/>
    <w:rsid w:val="000213BA"/>
    <w:rsid w:val="00024C10"/>
    <w:rsid w:val="000353DA"/>
    <w:rsid w:val="0004275F"/>
    <w:rsid w:val="00044689"/>
    <w:rsid w:val="000449D3"/>
    <w:rsid w:val="00045FE3"/>
    <w:rsid w:val="00050196"/>
    <w:rsid w:val="000511E4"/>
    <w:rsid w:val="00052DCC"/>
    <w:rsid w:val="0005462A"/>
    <w:rsid w:val="00057BB8"/>
    <w:rsid w:val="00064DFD"/>
    <w:rsid w:val="00074405"/>
    <w:rsid w:val="0007452E"/>
    <w:rsid w:val="000829BC"/>
    <w:rsid w:val="00086641"/>
    <w:rsid w:val="00086B9C"/>
    <w:rsid w:val="00091B49"/>
    <w:rsid w:val="000928CD"/>
    <w:rsid w:val="00094BB5"/>
    <w:rsid w:val="000A26CA"/>
    <w:rsid w:val="000A44B1"/>
    <w:rsid w:val="000A5315"/>
    <w:rsid w:val="000B3B85"/>
    <w:rsid w:val="000B7098"/>
    <w:rsid w:val="000C0E0E"/>
    <w:rsid w:val="000D1060"/>
    <w:rsid w:val="000D13CD"/>
    <w:rsid w:val="000D2FDB"/>
    <w:rsid w:val="000D565E"/>
    <w:rsid w:val="000D5EE1"/>
    <w:rsid w:val="000E6816"/>
    <w:rsid w:val="000F00E0"/>
    <w:rsid w:val="000F1943"/>
    <w:rsid w:val="000F24C7"/>
    <w:rsid w:val="000F2895"/>
    <w:rsid w:val="000F7A85"/>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76151"/>
    <w:rsid w:val="0018079E"/>
    <w:rsid w:val="00186974"/>
    <w:rsid w:val="0019189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3F54"/>
    <w:rsid w:val="00206F03"/>
    <w:rsid w:val="00207987"/>
    <w:rsid w:val="00212001"/>
    <w:rsid w:val="00213E36"/>
    <w:rsid w:val="002156E9"/>
    <w:rsid w:val="002176AB"/>
    <w:rsid w:val="0022038E"/>
    <w:rsid w:val="0022145E"/>
    <w:rsid w:val="00222577"/>
    <w:rsid w:val="00224F94"/>
    <w:rsid w:val="00246082"/>
    <w:rsid w:val="00247A19"/>
    <w:rsid w:val="00251AE3"/>
    <w:rsid w:val="00260F31"/>
    <w:rsid w:val="00265B18"/>
    <w:rsid w:val="00270508"/>
    <w:rsid w:val="00270AB4"/>
    <w:rsid w:val="00280A38"/>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658"/>
    <w:rsid w:val="002D6811"/>
    <w:rsid w:val="002D7BB8"/>
    <w:rsid w:val="002E3325"/>
    <w:rsid w:val="002F3064"/>
    <w:rsid w:val="00300BC8"/>
    <w:rsid w:val="00304C09"/>
    <w:rsid w:val="00310CDB"/>
    <w:rsid w:val="00315AD3"/>
    <w:rsid w:val="00322F75"/>
    <w:rsid w:val="0032356A"/>
    <w:rsid w:val="00327B1D"/>
    <w:rsid w:val="00336C0C"/>
    <w:rsid w:val="003370FE"/>
    <w:rsid w:val="00341B57"/>
    <w:rsid w:val="0034239E"/>
    <w:rsid w:val="00342B36"/>
    <w:rsid w:val="00342B7F"/>
    <w:rsid w:val="00347673"/>
    <w:rsid w:val="00347F63"/>
    <w:rsid w:val="00350EC5"/>
    <w:rsid w:val="003611A2"/>
    <w:rsid w:val="0036629C"/>
    <w:rsid w:val="00367065"/>
    <w:rsid w:val="00381FD5"/>
    <w:rsid w:val="0038214C"/>
    <w:rsid w:val="00386520"/>
    <w:rsid w:val="00393621"/>
    <w:rsid w:val="00397A34"/>
    <w:rsid w:val="003A3D7E"/>
    <w:rsid w:val="003A4ABC"/>
    <w:rsid w:val="003B488B"/>
    <w:rsid w:val="003C0583"/>
    <w:rsid w:val="003C21D6"/>
    <w:rsid w:val="003C2A5C"/>
    <w:rsid w:val="003C4372"/>
    <w:rsid w:val="003C5B13"/>
    <w:rsid w:val="003D68C0"/>
    <w:rsid w:val="003D7330"/>
    <w:rsid w:val="003E7C35"/>
    <w:rsid w:val="003F0BE5"/>
    <w:rsid w:val="003F2257"/>
    <w:rsid w:val="004060DB"/>
    <w:rsid w:val="00412000"/>
    <w:rsid w:val="00412743"/>
    <w:rsid w:val="004144EF"/>
    <w:rsid w:val="00415E9C"/>
    <w:rsid w:val="00416396"/>
    <w:rsid w:val="00417D8B"/>
    <w:rsid w:val="00421E87"/>
    <w:rsid w:val="00427E1C"/>
    <w:rsid w:val="00430E50"/>
    <w:rsid w:val="00432C59"/>
    <w:rsid w:val="00436E1E"/>
    <w:rsid w:val="00436E32"/>
    <w:rsid w:val="00440598"/>
    <w:rsid w:val="004441AE"/>
    <w:rsid w:val="00451260"/>
    <w:rsid w:val="004546C0"/>
    <w:rsid w:val="0045493B"/>
    <w:rsid w:val="0045594A"/>
    <w:rsid w:val="004568D7"/>
    <w:rsid w:val="00467BD4"/>
    <w:rsid w:val="00475851"/>
    <w:rsid w:val="00480775"/>
    <w:rsid w:val="00480D31"/>
    <w:rsid w:val="00483975"/>
    <w:rsid w:val="00484B9E"/>
    <w:rsid w:val="00487991"/>
    <w:rsid w:val="00492A0C"/>
    <w:rsid w:val="00493EBA"/>
    <w:rsid w:val="00495DFE"/>
    <w:rsid w:val="004964AD"/>
    <w:rsid w:val="004A2891"/>
    <w:rsid w:val="004A35A6"/>
    <w:rsid w:val="004A669D"/>
    <w:rsid w:val="004B0282"/>
    <w:rsid w:val="004B253B"/>
    <w:rsid w:val="004B6352"/>
    <w:rsid w:val="004B7594"/>
    <w:rsid w:val="004C2474"/>
    <w:rsid w:val="004C4124"/>
    <w:rsid w:val="004C4A46"/>
    <w:rsid w:val="004C5947"/>
    <w:rsid w:val="004D63CD"/>
    <w:rsid w:val="004E01F6"/>
    <w:rsid w:val="004E0E11"/>
    <w:rsid w:val="004E29E2"/>
    <w:rsid w:val="004E3C63"/>
    <w:rsid w:val="004F400C"/>
    <w:rsid w:val="004F589F"/>
    <w:rsid w:val="004F613D"/>
    <w:rsid w:val="00503FE1"/>
    <w:rsid w:val="0050669F"/>
    <w:rsid w:val="00510C03"/>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6720"/>
    <w:rsid w:val="0058696C"/>
    <w:rsid w:val="00594DBC"/>
    <w:rsid w:val="005A0AEF"/>
    <w:rsid w:val="005A1487"/>
    <w:rsid w:val="005A5948"/>
    <w:rsid w:val="005A60F7"/>
    <w:rsid w:val="005B0990"/>
    <w:rsid w:val="005B3A63"/>
    <w:rsid w:val="005B7620"/>
    <w:rsid w:val="005C3659"/>
    <w:rsid w:val="005C4554"/>
    <w:rsid w:val="005C627C"/>
    <w:rsid w:val="005D1CE5"/>
    <w:rsid w:val="005D40FE"/>
    <w:rsid w:val="005D4762"/>
    <w:rsid w:val="005D69B1"/>
    <w:rsid w:val="005D6ACD"/>
    <w:rsid w:val="005D71B0"/>
    <w:rsid w:val="005E0004"/>
    <w:rsid w:val="005E260C"/>
    <w:rsid w:val="005E43B1"/>
    <w:rsid w:val="005F4D02"/>
    <w:rsid w:val="00601BF7"/>
    <w:rsid w:val="00607654"/>
    <w:rsid w:val="006113CF"/>
    <w:rsid w:val="006158DC"/>
    <w:rsid w:val="0061645A"/>
    <w:rsid w:val="0062126D"/>
    <w:rsid w:val="006227BE"/>
    <w:rsid w:val="00626882"/>
    <w:rsid w:val="0063018F"/>
    <w:rsid w:val="00632A25"/>
    <w:rsid w:val="006362B0"/>
    <w:rsid w:val="0064576F"/>
    <w:rsid w:val="00650ECD"/>
    <w:rsid w:val="006547BF"/>
    <w:rsid w:val="00664807"/>
    <w:rsid w:val="00665625"/>
    <w:rsid w:val="00666A24"/>
    <w:rsid w:val="00671CF7"/>
    <w:rsid w:val="0067790A"/>
    <w:rsid w:val="006828EF"/>
    <w:rsid w:val="00683330"/>
    <w:rsid w:val="00685DDD"/>
    <w:rsid w:val="00690481"/>
    <w:rsid w:val="00690661"/>
    <w:rsid w:val="0069638C"/>
    <w:rsid w:val="006A1EA6"/>
    <w:rsid w:val="006A3E62"/>
    <w:rsid w:val="006A4ACB"/>
    <w:rsid w:val="006A7C4C"/>
    <w:rsid w:val="006B09AC"/>
    <w:rsid w:val="006B3C32"/>
    <w:rsid w:val="006B41DC"/>
    <w:rsid w:val="006B70D2"/>
    <w:rsid w:val="006C1791"/>
    <w:rsid w:val="006C631F"/>
    <w:rsid w:val="006D09EA"/>
    <w:rsid w:val="006E430F"/>
    <w:rsid w:val="006F3DCD"/>
    <w:rsid w:val="006F66A7"/>
    <w:rsid w:val="006F68AD"/>
    <w:rsid w:val="00702C0E"/>
    <w:rsid w:val="00706198"/>
    <w:rsid w:val="00712DBF"/>
    <w:rsid w:val="00714C4C"/>
    <w:rsid w:val="00715BAF"/>
    <w:rsid w:val="00715F43"/>
    <w:rsid w:val="00726195"/>
    <w:rsid w:val="007268FD"/>
    <w:rsid w:val="00731000"/>
    <w:rsid w:val="00732671"/>
    <w:rsid w:val="007353E7"/>
    <w:rsid w:val="00741235"/>
    <w:rsid w:val="007635E7"/>
    <w:rsid w:val="00771B3B"/>
    <w:rsid w:val="00772250"/>
    <w:rsid w:val="0077769A"/>
    <w:rsid w:val="00777F77"/>
    <w:rsid w:val="00781022"/>
    <w:rsid w:val="00781772"/>
    <w:rsid w:val="00785043"/>
    <w:rsid w:val="007865D6"/>
    <w:rsid w:val="00787659"/>
    <w:rsid w:val="00794935"/>
    <w:rsid w:val="007A02D3"/>
    <w:rsid w:val="007A1F1A"/>
    <w:rsid w:val="007A6607"/>
    <w:rsid w:val="007B26AB"/>
    <w:rsid w:val="007C2E93"/>
    <w:rsid w:val="007C4817"/>
    <w:rsid w:val="007C5B30"/>
    <w:rsid w:val="007C66B3"/>
    <w:rsid w:val="007D4614"/>
    <w:rsid w:val="007D68B2"/>
    <w:rsid w:val="007E1DC9"/>
    <w:rsid w:val="007E4794"/>
    <w:rsid w:val="007E7BEB"/>
    <w:rsid w:val="007F0F99"/>
    <w:rsid w:val="007F7BCC"/>
    <w:rsid w:val="007F7E0C"/>
    <w:rsid w:val="0080554F"/>
    <w:rsid w:val="00806276"/>
    <w:rsid w:val="0081290A"/>
    <w:rsid w:val="008154F8"/>
    <w:rsid w:val="00820E85"/>
    <w:rsid w:val="008249A0"/>
    <w:rsid w:val="008256E0"/>
    <w:rsid w:val="008300B9"/>
    <w:rsid w:val="00834ADC"/>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4F0E"/>
    <w:rsid w:val="008A57B7"/>
    <w:rsid w:val="008B0347"/>
    <w:rsid w:val="008C0144"/>
    <w:rsid w:val="008C0B9D"/>
    <w:rsid w:val="008C6665"/>
    <w:rsid w:val="008C6860"/>
    <w:rsid w:val="008D14C4"/>
    <w:rsid w:val="008D2636"/>
    <w:rsid w:val="008D4262"/>
    <w:rsid w:val="008D565A"/>
    <w:rsid w:val="008E0610"/>
    <w:rsid w:val="008F025C"/>
    <w:rsid w:val="008F0C14"/>
    <w:rsid w:val="008F3065"/>
    <w:rsid w:val="009002BC"/>
    <w:rsid w:val="00905099"/>
    <w:rsid w:val="009141DA"/>
    <w:rsid w:val="0091594C"/>
    <w:rsid w:val="0091644E"/>
    <w:rsid w:val="009202CA"/>
    <w:rsid w:val="00923FD9"/>
    <w:rsid w:val="00925D64"/>
    <w:rsid w:val="009262A0"/>
    <w:rsid w:val="0093017D"/>
    <w:rsid w:val="00933328"/>
    <w:rsid w:val="00933FF5"/>
    <w:rsid w:val="0094012B"/>
    <w:rsid w:val="009405C8"/>
    <w:rsid w:val="00945398"/>
    <w:rsid w:val="00950DCC"/>
    <w:rsid w:val="0097211C"/>
    <w:rsid w:val="00972DC8"/>
    <w:rsid w:val="00973CFC"/>
    <w:rsid w:val="00981EA7"/>
    <w:rsid w:val="009826D9"/>
    <w:rsid w:val="009833E8"/>
    <w:rsid w:val="00985B87"/>
    <w:rsid w:val="00986993"/>
    <w:rsid w:val="00994E2B"/>
    <w:rsid w:val="0099617E"/>
    <w:rsid w:val="009B640D"/>
    <w:rsid w:val="009C1641"/>
    <w:rsid w:val="009C1815"/>
    <w:rsid w:val="009C1E45"/>
    <w:rsid w:val="009C4A93"/>
    <w:rsid w:val="009D02F1"/>
    <w:rsid w:val="009D1DF4"/>
    <w:rsid w:val="009D26B5"/>
    <w:rsid w:val="009D2780"/>
    <w:rsid w:val="009D43AA"/>
    <w:rsid w:val="009D5101"/>
    <w:rsid w:val="009D7296"/>
    <w:rsid w:val="009D7626"/>
    <w:rsid w:val="009E2358"/>
    <w:rsid w:val="00A05FC7"/>
    <w:rsid w:val="00A1483B"/>
    <w:rsid w:val="00A17A08"/>
    <w:rsid w:val="00A21FFC"/>
    <w:rsid w:val="00A248DE"/>
    <w:rsid w:val="00A37EC9"/>
    <w:rsid w:val="00A37FA9"/>
    <w:rsid w:val="00A51635"/>
    <w:rsid w:val="00A52293"/>
    <w:rsid w:val="00A54E30"/>
    <w:rsid w:val="00A71698"/>
    <w:rsid w:val="00A720FE"/>
    <w:rsid w:val="00A74266"/>
    <w:rsid w:val="00A82462"/>
    <w:rsid w:val="00A86E65"/>
    <w:rsid w:val="00A904CC"/>
    <w:rsid w:val="00A9111B"/>
    <w:rsid w:val="00A96B4F"/>
    <w:rsid w:val="00AA5AED"/>
    <w:rsid w:val="00AA68A2"/>
    <w:rsid w:val="00AA77DD"/>
    <w:rsid w:val="00AB1BAE"/>
    <w:rsid w:val="00AB3E61"/>
    <w:rsid w:val="00AB40DB"/>
    <w:rsid w:val="00AB7180"/>
    <w:rsid w:val="00AC28E3"/>
    <w:rsid w:val="00AC342B"/>
    <w:rsid w:val="00AC68FB"/>
    <w:rsid w:val="00AD1707"/>
    <w:rsid w:val="00AD4CA5"/>
    <w:rsid w:val="00AE0466"/>
    <w:rsid w:val="00AE701D"/>
    <w:rsid w:val="00AF7CA7"/>
    <w:rsid w:val="00B00A00"/>
    <w:rsid w:val="00B04FFA"/>
    <w:rsid w:val="00B14206"/>
    <w:rsid w:val="00B222CB"/>
    <w:rsid w:val="00B2244A"/>
    <w:rsid w:val="00B22C29"/>
    <w:rsid w:val="00B261F9"/>
    <w:rsid w:val="00B353DE"/>
    <w:rsid w:val="00B46D0E"/>
    <w:rsid w:val="00B50E69"/>
    <w:rsid w:val="00B61578"/>
    <w:rsid w:val="00B61F6A"/>
    <w:rsid w:val="00B63E2D"/>
    <w:rsid w:val="00B63E3B"/>
    <w:rsid w:val="00B65B2B"/>
    <w:rsid w:val="00B74DF6"/>
    <w:rsid w:val="00B75770"/>
    <w:rsid w:val="00B80066"/>
    <w:rsid w:val="00B810FF"/>
    <w:rsid w:val="00B813C9"/>
    <w:rsid w:val="00B819C0"/>
    <w:rsid w:val="00B832B4"/>
    <w:rsid w:val="00BA1264"/>
    <w:rsid w:val="00BA3F05"/>
    <w:rsid w:val="00BA4044"/>
    <w:rsid w:val="00BA7189"/>
    <w:rsid w:val="00BB16AB"/>
    <w:rsid w:val="00BC0324"/>
    <w:rsid w:val="00BD0FFD"/>
    <w:rsid w:val="00BE1722"/>
    <w:rsid w:val="00BE48BE"/>
    <w:rsid w:val="00BE627F"/>
    <w:rsid w:val="00BF01C3"/>
    <w:rsid w:val="00BF02C3"/>
    <w:rsid w:val="00BF0FC6"/>
    <w:rsid w:val="00BF2095"/>
    <w:rsid w:val="00BF4AE4"/>
    <w:rsid w:val="00BF5086"/>
    <w:rsid w:val="00BF5F55"/>
    <w:rsid w:val="00BF6296"/>
    <w:rsid w:val="00BF7F74"/>
    <w:rsid w:val="00C04B47"/>
    <w:rsid w:val="00C060D6"/>
    <w:rsid w:val="00C11BA9"/>
    <w:rsid w:val="00C11CE1"/>
    <w:rsid w:val="00C15294"/>
    <w:rsid w:val="00C163FF"/>
    <w:rsid w:val="00C2478C"/>
    <w:rsid w:val="00C25084"/>
    <w:rsid w:val="00C26042"/>
    <w:rsid w:val="00C31016"/>
    <w:rsid w:val="00C35ACF"/>
    <w:rsid w:val="00C4116C"/>
    <w:rsid w:val="00C4680C"/>
    <w:rsid w:val="00C46CF6"/>
    <w:rsid w:val="00C474B8"/>
    <w:rsid w:val="00C537EC"/>
    <w:rsid w:val="00C543C0"/>
    <w:rsid w:val="00C5522C"/>
    <w:rsid w:val="00C6454E"/>
    <w:rsid w:val="00C6787E"/>
    <w:rsid w:val="00C71746"/>
    <w:rsid w:val="00C74533"/>
    <w:rsid w:val="00C762CB"/>
    <w:rsid w:val="00C77074"/>
    <w:rsid w:val="00C82739"/>
    <w:rsid w:val="00C83BC9"/>
    <w:rsid w:val="00C83D2E"/>
    <w:rsid w:val="00C83F3D"/>
    <w:rsid w:val="00C86968"/>
    <w:rsid w:val="00C87F63"/>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7273"/>
    <w:rsid w:val="00CF7C4A"/>
    <w:rsid w:val="00D02838"/>
    <w:rsid w:val="00D02BC5"/>
    <w:rsid w:val="00D03761"/>
    <w:rsid w:val="00D075D0"/>
    <w:rsid w:val="00D11EED"/>
    <w:rsid w:val="00D156DA"/>
    <w:rsid w:val="00D23640"/>
    <w:rsid w:val="00D26C7D"/>
    <w:rsid w:val="00D27725"/>
    <w:rsid w:val="00D36A3A"/>
    <w:rsid w:val="00D514B2"/>
    <w:rsid w:val="00D52EE1"/>
    <w:rsid w:val="00D5419F"/>
    <w:rsid w:val="00D63A97"/>
    <w:rsid w:val="00D63B3F"/>
    <w:rsid w:val="00D64902"/>
    <w:rsid w:val="00D722E5"/>
    <w:rsid w:val="00D90069"/>
    <w:rsid w:val="00D90654"/>
    <w:rsid w:val="00D90954"/>
    <w:rsid w:val="00DB2611"/>
    <w:rsid w:val="00DB3311"/>
    <w:rsid w:val="00DB5086"/>
    <w:rsid w:val="00DB6E55"/>
    <w:rsid w:val="00DB7C7E"/>
    <w:rsid w:val="00DC178C"/>
    <w:rsid w:val="00DC4C8F"/>
    <w:rsid w:val="00DD0C58"/>
    <w:rsid w:val="00DD4886"/>
    <w:rsid w:val="00DD4AFD"/>
    <w:rsid w:val="00DE0F00"/>
    <w:rsid w:val="00DE2836"/>
    <w:rsid w:val="00DF2BF0"/>
    <w:rsid w:val="00DF50DE"/>
    <w:rsid w:val="00DF6901"/>
    <w:rsid w:val="00DF7061"/>
    <w:rsid w:val="00E061E2"/>
    <w:rsid w:val="00E10368"/>
    <w:rsid w:val="00E10BED"/>
    <w:rsid w:val="00E14B1F"/>
    <w:rsid w:val="00E20C65"/>
    <w:rsid w:val="00E23C7A"/>
    <w:rsid w:val="00E34F1B"/>
    <w:rsid w:val="00E37B8C"/>
    <w:rsid w:val="00E4462C"/>
    <w:rsid w:val="00E46EEB"/>
    <w:rsid w:val="00E50376"/>
    <w:rsid w:val="00E70704"/>
    <w:rsid w:val="00E73041"/>
    <w:rsid w:val="00E85EA8"/>
    <w:rsid w:val="00E91F2D"/>
    <w:rsid w:val="00E94E14"/>
    <w:rsid w:val="00EB0ADA"/>
    <w:rsid w:val="00EB10E5"/>
    <w:rsid w:val="00EB48A6"/>
    <w:rsid w:val="00EB7E8A"/>
    <w:rsid w:val="00EC1F8A"/>
    <w:rsid w:val="00EC5DB1"/>
    <w:rsid w:val="00ED32AA"/>
    <w:rsid w:val="00EE287D"/>
    <w:rsid w:val="00EE2AA0"/>
    <w:rsid w:val="00EE44DC"/>
    <w:rsid w:val="00F06E68"/>
    <w:rsid w:val="00F15662"/>
    <w:rsid w:val="00F15FAA"/>
    <w:rsid w:val="00F249A7"/>
    <w:rsid w:val="00F26376"/>
    <w:rsid w:val="00F30298"/>
    <w:rsid w:val="00F3029E"/>
    <w:rsid w:val="00F32031"/>
    <w:rsid w:val="00F373CB"/>
    <w:rsid w:val="00F37939"/>
    <w:rsid w:val="00F400A4"/>
    <w:rsid w:val="00F52EE4"/>
    <w:rsid w:val="00F61537"/>
    <w:rsid w:val="00F66FB2"/>
    <w:rsid w:val="00F72E61"/>
    <w:rsid w:val="00F816B6"/>
    <w:rsid w:val="00F8251B"/>
    <w:rsid w:val="00F8641B"/>
    <w:rsid w:val="00F907E3"/>
    <w:rsid w:val="00FA1603"/>
    <w:rsid w:val="00FA27DC"/>
    <w:rsid w:val="00FA2AB7"/>
    <w:rsid w:val="00FB185F"/>
    <w:rsid w:val="00FB1D44"/>
    <w:rsid w:val="00FB21C7"/>
    <w:rsid w:val="00FB5C5D"/>
    <w:rsid w:val="00FB7BB8"/>
    <w:rsid w:val="00FD440F"/>
    <w:rsid w:val="00FD52EF"/>
    <w:rsid w:val="00FD7284"/>
    <w:rsid w:val="00FE6ED6"/>
    <w:rsid w:val="00FF26A5"/>
    <w:rsid w:val="00FF309F"/>
    <w:rsid w:val="017C3055"/>
    <w:rsid w:val="03733BDF"/>
    <w:rsid w:val="03C719F5"/>
    <w:rsid w:val="04176582"/>
    <w:rsid w:val="0421786C"/>
    <w:rsid w:val="042A5B37"/>
    <w:rsid w:val="051259ED"/>
    <w:rsid w:val="05244B1A"/>
    <w:rsid w:val="053F077B"/>
    <w:rsid w:val="06D52B07"/>
    <w:rsid w:val="07041580"/>
    <w:rsid w:val="078B22FB"/>
    <w:rsid w:val="08762705"/>
    <w:rsid w:val="096604A5"/>
    <w:rsid w:val="0A9E30AD"/>
    <w:rsid w:val="0B240D77"/>
    <w:rsid w:val="0B5807E8"/>
    <w:rsid w:val="0B6E4153"/>
    <w:rsid w:val="0BEB3B44"/>
    <w:rsid w:val="0BF03CE8"/>
    <w:rsid w:val="0C0644C0"/>
    <w:rsid w:val="0D166265"/>
    <w:rsid w:val="0DC661FE"/>
    <w:rsid w:val="0EFE122B"/>
    <w:rsid w:val="0F8E6912"/>
    <w:rsid w:val="0FE946E9"/>
    <w:rsid w:val="113475B7"/>
    <w:rsid w:val="114D3928"/>
    <w:rsid w:val="11F572B7"/>
    <w:rsid w:val="12166770"/>
    <w:rsid w:val="13793DF7"/>
    <w:rsid w:val="13D455A0"/>
    <w:rsid w:val="14677422"/>
    <w:rsid w:val="15EB0A05"/>
    <w:rsid w:val="16BB13C7"/>
    <w:rsid w:val="16D11EEB"/>
    <w:rsid w:val="18AB7EF6"/>
    <w:rsid w:val="18D74DC1"/>
    <w:rsid w:val="193A152D"/>
    <w:rsid w:val="1A0B1C7C"/>
    <w:rsid w:val="1A2A7B93"/>
    <w:rsid w:val="1AED58EF"/>
    <w:rsid w:val="1DDF7282"/>
    <w:rsid w:val="1DE96C7D"/>
    <w:rsid w:val="1F3A0BB5"/>
    <w:rsid w:val="1FA92FCB"/>
    <w:rsid w:val="1FD222ED"/>
    <w:rsid w:val="200745B4"/>
    <w:rsid w:val="20193BC8"/>
    <w:rsid w:val="207E09A3"/>
    <w:rsid w:val="21E64A07"/>
    <w:rsid w:val="220D398C"/>
    <w:rsid w:val="2301566F"/>
    <w:rsid w:val="237E2DED"/>
    <w:rsid w:val="24D70B68"/>
    <w:rsid w:val="26E36D60"/>
    <w:rsid w:val="288B76AF"/>
    <w:rsid w:val="28996FC7"/>
    <w:rsid w:val="29B427C7"/>
    <w:rsid w:val="29EC6874"/>
    <w:rsid w:val="29EE4308"/>
    <w:rsid w:val="2A397C18"/>
    <w:rsid w:val="2A5015D5"/>
    <w:rsid w:val="2AEF2177"/>
    <w:rsid w:val="2BC55D30"/>
    <w:rsid w:val="2C37607E"/>
    <w:rsid w:val="2D7A3266"/>
    <w:rsid w:val="2DAA4424"/>
    <w:rsid w:val="2E8157DC"/>
    <w:rsid w:val="2ED40484"/>
    <w:rsid w:val="2F2509F5"/>
    <w:rsid w:val="2F446299"/>
    <w:rsid w:val="2F967DEC"/>
    <w:rsid w:val="2FC43CAF"/>
    <w:rsid w:val="303008F8"/>
    <w:rsid w:val="310E5321"/>
    <w:rsid w:val="312513B2"/>
    <w:rsid w:val="3187194F"/>
    <w:rsid w:val="31A43590"/>
    <w:rsid w:val="31B042BF"/>
    <w:rsid w:val="31DD3FAB"/>
    <w:rsid w:val="32035D60"/>
    <w:rsid w:val="330244FA"/>
    <w:rsid w:val="33523A32"/>
    <w:rsid w:val="34090EDB"/>
    <w:rsid w:val="36C721FA"/>
    <w:rsid w:val="370D6292"/>
    <w:rsid w:val="376940D0"/>
    <w:rsid w:val="37FC73E0"/>
    <w:rsid w:val="382F44FB"/>
    <w:rsid w:val="39361939"/>
    <w:rsid w:val="39DE542D"/>
    <w:rsid w:val="3AE2323F"/>
    <w:rsid w:val="3BE034BB"/>
    <w:rsid w:val="3C3000ED"/>
    <w:rsid w:val="3D31181A"/>
    <w:rsid w:val="3DC87CB2"/>
    <w:rsid w:val="3DCA5548"/>
    <w:rsid w:val="3F4F365B"/>
    <w:rsid w:val="3F677982"/>
    <w:rsid w:val="3F9D7D88"/>
    <w:rsid w:val="40475E6A"/>
    <w:rsid w:val="408E3045"/>
    <w:rsid w:val="40E5588E"/>
    <w:rsid w:val="41415EFF"/>
    <w:rsid w:val="416430E7"/>
    <w:rsid w:val="41A21618"/>
    <w:rsid w:val="41BE7528"/>
    <w:rsid w:val="41D026B4"/>
    <w:rsid w:val="434712A7"/>
    <w:rsid w:val="447339C1"/>
    <w:rsid w:val="46606BAD"/>
    <w:rsid w:val="46ED73EE"/>
    <w:rsid w:val="47FA0404"/>
    <w:rsid w:val="4962072E"/>
    <w:rsid w:val="498D1081"/>
    <w:rsid w:val="49DD005B"/>
    <w:rsid w:val="4B027C79"/>
    <w:rsid w:val="4B6460B2"/>
    <w:rsid w:val="4CF96D62"/>
    <w:rsid w:val="4EE96D5A"/>
    <w:rsid w:val="4F6D091D"/>
    <w:rsid w:val="4F723AF3"/>
    <w:rsid w:val="4FA9041D"/>
    <w:rsid w:val="4FD9221C"/>
    <w:rsid w:val="4FE51E76"/>
    <w:rsid w:val="510D00CB"/>
    <w:rsid w:val="52F60A58"/>
    <w:rsid w:val="5385101B"/>
    <w:rsid w:val="542F765C"/>
    <w:rsid w:val="554D13F6"/>
    <w:rsid w:val="5682509A"/>
    <w:rsid w:val="56C53D76"/>
    <w:rsid w:val="56D660FF"/>
    <w:rsid w:val="57C03270"/>
    <w:rsid w:val="59DA41E0"/>
    <w:rsid w:val="5A0138DC"/>
    <w:rsid w:val="5A1C10F1"/>
    <w:rsid w:val="5A3906A0"/>
    <w:rsid w:val="5A9919E3"/>
    <w:rsid w:val="5AB60DB0"/>
    <w:rsid w:val="5B183FE2"/>
    <w:rsid w:val="5B2A7B0A"/>
    <w:rsid w:val="5B54373E"/>
    <w:rsid w:val="5E847CE0"/>
    <w:rsid w:val="5EE21916"/>
    <w:rsid w:val="5F4417E0"/>
    <w:rsid w:val="5F88669E"/>
    <w:rsid w:val="5FB143B2"/>
    <w:rsid w:val="60262BCA"/>
    <w:rsid w:val="6155425E"/>
    <w:rsid w:val="622C0430"/>
    <w:rsid w:val="622F04A1"/>
    <w:rsid w:val="623C31ED"/>
    <w:rsid w:val="626B09AB"/>
    <w:rsid w:val="62AC0373"/>
    <w:rsid w:val="64741C1C"/>
    <w:rsid w:val="648C064A"/>
    <w:rsid w:val="65042EDD"/>
    <w:rsid w:val="65554D27"/>
    <w:rsid w:val="656B3097"/>
    <w:rsid w:val="661C75BD"/>
    <w:rsid w:val="66424F96"/>
    <w:rsid w:val="687951D6"/>
    <w:rsid w:val="6AE60717"/>
    <w:rsid w:val="6C6135BF"/>
    <w:rsid w:val="6D02099A"/>
    <w:rsid w:val="6D3654A5"/>
    <w:rsid w:val="708B1655"/>
    <w:rsid w:val="708B4D52"/>
    <w:rsid w:val="70AE3296"/>
    <w:rsid w:val="70B412F1"/>
    <w:rsid w:val="70DF3E54"/>
    <w:rsid w:val="72B24F75"/>
    <w:rsid w:val="72D548F7"/>
    <w:rsid w:val="735C549D"/>
    <w:rsid w:val="73F60AE0"/>
    <w:rsid w:val="74170E85"/>
    <w:rsid w:val="75DC35E9"/>
    <w:rsid w:val="761371F1"/>
    <w:rsid w:val="762D425C"/>
    <w:rsid w:val="76513F3F"/>
    <w:rsid w:val="77C66D83"/>
    <w:rsid w:val="77CA0A7C"/>
    <w:rsid w:val="789E6834"/>
    <w:rsid w:val="79D044EF"/>
    <w:rsid w:val="7A101DEC"/>
    <w:rsid w:val="7B404E72"/>
    <w:rsid w:val="7CB31FD6"/>
    <w:rsid w:val="7E0D1D04"/>
    <w:rsid w:val="7E543E84"/>
    <w:rsid w:val="7EAE75AD"/>
    <w:rsid w:val="7EC90255"/>
    <w:rsid w:val="7FA960A8"/>
    <w:rsid w:val="7FB04AA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spacing w:line="0" w:lineRule="atLeast"/>
      <w:jc w:val="center"/>
      <w:outlineLvl w:val="1"/>
    </w:pPr>
    <w:rPr>
      <w:kern w:val="0"/>
      <w:sz w:val="28"/>
    </w:rPr>
  </w:style>
  <w:style w:type="paragraph" w:styleId="6">
    <w:name w:val="heading 3"/>
    <w:basedOn w:val="1"/>
    <w:next w:val="1"/>
    <w:link w:val="47"/>
    <w:autoRedefine/>
    <w:qFormat/>
    <w:uiPriority w:val="0"/>
    <w:pPr>
      <w:keepNext/>
      <w:keepLines/>
      <w:spacing w:before="260" w:after="260" w:line="416" w:lineRule="auto"/>
      <w:outlineLvl w:val="2"/>
    </w:pPr>
    <w:rPr>
      <w:b/>
      <w:bCs/>
      <w:sz w:val="32"/>
      <w:szCs w:val="32"/>
    </w:rPr>
  </w:style>
  <w:style w:type="paragraph" w:styleId="7">
    <w:name w:val="heading 4"/>
    <w:basedOn w:val="1"/>
    <w:next w:val="1"/>
    <w:link w:val="89"/>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2">
    <w:name w:val="Default Paragraph Font"/>
    <w:autoRedefine/>
    <w:semiHidden/>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
    <w:basedOn w:val="3"/>
    <w:autoRedefine/>
    <w:qFormat/>
    <w:uiPriority w:val="99"/>
    <w:pPr>
      <w:ind w:firstLine="420" w:firstLineChars="100"/>
    </w:pPr>
  </w:style>
  <w:style w:type="paragraph" w:customStyle="1" w:styleId="3">
    <w:name w:val="BodyText"/>
    <w:basedOn w:val="1"/>
    <w:autoRedefine/>
    <w:qFormat/>
    <w:uiPriority w:val="99"/>
    <w:pPr>
      <w:spacing w:after="120"/>
    </w:pPr>
  </w:style>
  <w:style w:type="paragraph" w:styleId="8">
    <w:name w:val="caption"/>
    <w:basedOn w:val="1"/>
    <w:next w:val="1"/>
    <w:autoRedefine/>
    <w:qFormat/>
    <w:uiPriority w:val="0"/>
    <w:rPr>
      <w:rFonts w:ascii="Cambria" w:hAnsi="Cambria" w:eastAsia="黑体"/>
      <w:sz w:val="20"/>
    </w:rPr>
  </w:style>
  <w:style w:type="paragraph" w:styleId="9">
    <w:name w:val="Document Map"/>
    <w:basedOn w:val="1"/>
    <w:link w:val="55"/>
    <w:autoRedefine/>
    <w:qFormat/>
    <w:uiPriority w:val="0"/>
    <w:rPr>
      <w:rFonts w:ascii="宋体"/>
      <w:sz w:val="18"/>
      <w:szCs w:val="18"/>
    </w:rPr>
  </w:style>
  <w:style w:type="paragraph" w:styleId="10">
    <w:name w:val="annotation text"/>
    <w:basedOn w:val="1"/>
    <w:link w:val="54"/>
    <w:autoRedefine/>
    <w:qFormat/>
    <w:uiPriority w:val="0"/>
    <w:pPr>
      <w:jc w:val="left"/>
    </w:pPr>
  </w:style>
  <w:style w:type="paragraph" w:styleId="11">
    <w:name w:val="Body Text 3"/>
    <w:basedOn w:val="1"/>
    <w:autoRedefine/>
    <w:qFormat/>
    <w:uiPriority w:val="0"/>
    <w:pPr>
      <w:spacing w:after="120"/>
    </w:pPr>
    <w:rPr>
      <w:sz w:val="16"/>
      <w:szCs w:val="16"/>
    </w:rPr>
  </w:style>
  <w:style w:type="paragraph" w:styleId="12">
    <w:name w:val="Body Text"/>
    <w:basedOn w:val="1"/>
    <w:next w:val="13"/>
    <w:link w:val="52"/>
    <w:autoRedefine/>
    <w:qFormat/>
    <w:uiPriority w:val="0"/>
    <w:pPr>
      <w:spacing w:after="120"/>
    </w:pPr>
  </w:style>
  <w:style w:type="paragraph" w:customStyle="1" w:styleId="13">
    <w:name w:val="Default"/>
    <w:next w:val="1"/>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styleId="14">
    <w:name w:val="Body Text Indent"/>
    <w:basedOn w:val="1"/>
    <w:next w:val="15"/>
    <w:autoRedefine/>
    <w:qFormat/>
    <w:uiPriority w:val="0"/>
    <w:pPr>
      <w:ind w:firstLine="632" w:firstLineChars="200"/>
    </w:pPr>
    <w:rPr>
      <w:rFonts w:ascii="仿宋_GB2312" w:hAnsi="华文楷体" w:eastAsia="仿宋_GB2312"/>
      <w:sz w:val="32"/>
    </w:rPr>
  </w:style>
  <w:style w:type="paragraph" w:styleId="15">
    <w:name w:val="envelope return"/>
    <w:basedOn w:val="1"/>
    <w:autoRedefine/>
    <w:qFormat/>
    <w:uiPriority w:val="99"/>
    <w:pPr>
      <w:snapToGrid w:val="0"/>
    </w:pPr>
    <w:rPr>
      <w:rFonts w:ascii="Arial" w:hAnsi="Arial"/>
    </w:rPr>
  </w:style>
  <w:style w:type="paragraph" w:styleId="16">
    <w:name w:val="List 2"/>
    <w:basedOn w:val="1"/>
    <w:autoRedefine/>
    <w:qFormat/>
    <w:uiPriority w:val="0"/>
    <w:pPr>
      <w:ind w:left="400" w:leftChars="200" w:hanging="200" w:hangingChars="200"/>
    </w:pPr>
  </w:style>
  <w:style w:type="paragraph" w:styleId="17">
    <w:name w:val="Plain Text"/>
    <w:basedOn w:val="1"/>
    <w:link w:val="60"/>
    <w:autoRedefine/>
    <w:qFormat/>
    <w:uiPriority w:val="99"/>
    <w:rPr>
      <w:rFonts w:ascii="宋体" w:hAnsi="Courier New"/>
      <w:szCs w:val="20"/>
    </w:rPr>
  </w:style>
  <w:style w:type="paragraph" w:styleId="18">
    <w:name w:val="Date"/>
    <w:basedOn w:val="1"/>
    <w:next w:val="1"/>
    <w:link w:val="56"/>
    <w:autoRedefine/>
    <w:qFormat/>
    <w:uiPriority w:val="0"/>
    <w:pPr>
      <w:ind w:left="100" w:leftChars="2500"/>
    </w:pPr>
  </w:style>
  <w:style w:type="paragraph" w:styleId="19">
    <w:name w:val="Body Text Indent 2"/>
    <w:basedOn w:val="1"/>
    <w:autoRedefine/>
    <w:qFormat/>
    <w:uiPriority w:val="0"/>
    <w:pPr>
      <w:spacing w:after="120" w:line="480" w:lineRule="auto"/>
      <w:ind w:left="420" w:leftChars="200"/>
    </w:pPr>
  </w:style>
  <w:style w:type="paragraph" w:styleId="20">
    <w:name w:val="Balloon Text"/>
    <w:basedOn w:val="1"/>
    <w:autoRedefine/>
    <w:qFormat/>
    <w:uiPriority w:val="0"/>
    <w:rPr>
      <w:sz w:val="18"/>
      <w:szCs w:val="18"/>
    </w:rPr>
  </w:style>
  <w:style w:type="paragraph" w:styleId="21">
    <w:name w:val="footer"/>
    <w:basedOn w:val="1"/>
    <w:link w:val="77"/>
    <w:autoRedefine/>
    <w:qFormat/>
    <w:uiPriority w:val="99"/>
    <w:pPr>
      <w:tabs>
        <w:tab w:val="center" w:pos="4153"/>
        <w:tab w:val="right" w:pos="8306"/>
      </w:tabs>
      <w:snapToGrid w:val="0"/>
      <w:jc w:val="left"/>
    </w:pPr>
    <w:rPr>
      <w:sz w:val="18"/>
      <w:szCs w:val="18"/>
    </w:rPr>
  </w:style>
  <w:style w:type="paragraph" w:styleId="22">
    <w:name w:val="header"/>
    <w:basedOn w:val="1"/>
    <w:link w:val="76"/>
    <w:autoRedefine/>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39"/>
    <w:pPr>
      <w:spacing w:before="120" w:after="120"/>
      <w:jc w:val="left"/>
    </w:pPr>
    <w:rPr>
      <w:caps/>
    </w:rPr>
  </w:style>
  <w:style w:type="paragraph" w:styleId="24">
    <w:name w:val="footnote text"/>
    <w:basedOn w:val="1"/>
    <w:autoRedefine/>
    <w:qFormat/>
    <w:uiPriority w:val="99"/>
    <w:pPr>
      <w:snapToGrid w:val="0"/>
      <w:jc w:val="left"/>
    </w:pPr>
    <w:rPr>
      <w:sz w:val="18"/>
      <w:szCs w:val="18"/>
    </w:rPr>
  </w:style>
  <w:style w:type="paragraph" w:styleId="25">
    <w:name w:val="Body Text 2"/>
    <w:basedOn w:val="1"/>
    <w:link w:val="74"/>
    <w:autoRedefine/>
    <w:qFormat/>
    <w:uiPriority w:val="0"/>
    <w:pPr>
      <w:spacing w:after="120" w:line="480" w:lineRule="auto"/>
    </w:pPr>
  </w:style>
  <w:style w:type="paragraph" w:styleId="26">
    <w:name w:val="Message Header"/>
    <w:basedOn w:val="1"/>
    <w:autoRedefine/>
    <w:qFormat/>
    <w:uiPriority w:val="0"/>
    <w:pPr>
      <w:widowControl/>
      <w:shd w:val="pct20" w:color="000000" w:fill="auto"/>
      <w:ind w:left="1080" w:hanging="1080"/>
    </w:pPr>
    <w:rPr>
      <w:rFonts w:ascii="Cambria" w:hAnsi="Cambria" w:eastAsia="Cambria"/>
      <w:sz w:val="24"/>
    </w:rPr>
  </w:style>
  <w:style w:type="paragraph" w:styleId="27">
    <w:name w:val="Normal (Web)"/>
    <w:basedOn w:val="1"/>
    <w:autoRedefine/>
    <w:unhideWhenUsed/>
    <w:qFormat/>
    <w:uiPriority w:val="99"/>
    <w:pPr>
      <w:widowControl/>
      <w:spacing w:before="100" w:beforeAutospacing="1" w:after="100" w:afterAutospacing="1"/>
      <w:jc w:val="left"/>
    </w:pPr>
    <w:rPr>
      <w:rFonts w:ascii="宋体" w:hAnsi="宋体"/>
      <w:kern w:val="0"/>
      <w:sz w:val="24"/>
      <w:szCs w:val="20"/>
    </w:rPr>
  </w:style>
  <w:style w:type="paragraph" w:styleId="28">
    <w:name w:val="Body Text First Indent"/>
    <w:basedOn w:val="12"/>
    <w:next w:val="29"/>
    <w:link w:val="51"/>
    <w:autoRedefine/>
    <w:qFormat/>
    <w:uiPriority w:val="0"/>
    <w:pPr>
      <w:ind w:firstLine="420" w:firstLineChars="100"/>
    </w:pPr>
  </w:style>
  <w:style w:type="paragraph" w:styleId="29">
    <w:name w:val="Body Text First Indent 2"/>
    <w:basedOn w:val="14"/>
    <w:next w:val="1"/>
    <w:link w:val="90"/>
    <w:autoRedefine/>
    <w:qFormat/>
    <w:uiPriority w:val="99"/>
    <w:pPr>
      <w:tabs>
        <w:tab w:val="left" w:pos="0"/>
        <w:tab w:val="left" w:pos="993"/>
        <w:tab w:val="left" w:pos="1134"/>
      </w:tabs>
      <w:ind w:firstLine="420"/>
    </w:pPr>
  </w:style>
  <w:style w:type="table" w:styleId="31">
    <w:name w:val="Table Grid"/>
    <w:basedOn w:val="30"/>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autoRedefine/>
    <w:qFormat/>
    <w:uiPriority w:val="22"/>
    <w:rPr>
      <w:b/>
      <w:bCs/>
    </w:rPr>
  </w:style>
  <w:style w:type="character" w:styleId="34">
    <w:name w:val="page number"/>
    <w:basedOn w:val="32"/>
    <w:autoRedefine/>
    <w:qFormat/>
    <w:uiPriority w:val="0"/>
  </w:style>
  <w:style w:type="character" w:styleId="35">
    <w:name w:val="FollowedHyperlink"/>
    <w:basedOn w:val="32"/>
    <w:autoRedefine/>
    <w:qFormat/>
    <w:uiPriority w:val="0"/>
    <w:rPr>
      <w:color w:val="000000"/>
      <w:u w:val="none"/>
    </w:rPr>
  </w:style>
  <w:style w:type="character" w:styleId="36">
    <w:name w:val="HTML Definition"/>
    <w:basedOn w:val="32"/>
    <w:qFormat/>
    <w:uiPriority w:val="0"/>
  </w:style>
  <w:style w:type="character" w:styleId="37">
    <w:name w:val="HTML Typewriter"/>
    <w:basedOn w:val="32"/>
    <w:qFormat/>
    <w:uiPriority w:val="0"/>
    <w:rPr>
      <w:rFonts w:hint="default" w:ascii="monospace" w:hAnsi="monospace" w:eastAsia="monospace" w:cs="monospace"/>
      <w:sz w:val="20"/>
    </w:rPr>
  </w:style>
  <w:style w:type="character" w:styleId="38">
    <w:name w:val="HTML Acronym"/>
    <w:basedOn w:val="32"/>
    <w:qFormat/>
    <w:uiPriority w:val="0"/>
  </w:style>
  <w:style w:type="character" w:styleId="39">
    <w:name w:val="HTML Variable"/>
    <w:basedOn w:val="32"/>
    <w:autoRedefine/>
    <w:qFormat/>
    <w:uiPriority w:val="0"/>
  </w:style>
  <w:style w:type="character" w:styleId="40">
    <w:name w:val="Hyperlink"/>
    <w:autoRedefine/>
    <w:qFormat/>
    <w:uiPriority w:val="0"/>
    <w:rPr>
      <w:color w:val="333333"/>
      <w:u w:val="none"/>
    </w:rPr>
  </w:style>
  <w:style w:type="character" w:styleId="41">
    <w:name w:val="HTML Code"/>
    <w:basedOn w:val="32"/>
    <w:qFormat/>
    <w:uiPriority w:val="0"/>
    <w:rPr>
      <w:rFonts w:hint="default" w:ascii="monospace" w:hAnsi="monospace" w:eastAsia="monospace" w:cs="monospace"/>
      <w:sz w:val="20"/>
    </w:rPr>
  </w:style>
  <w:style w:type="character" w:styleId="42">
    <w:name w:val="annotation reference"/>
    <w:autoRedefine/>
    <w:qFormat/>
    <w:uiPriority w:val="99"/>
    <w:rPr>
      <w:sz w:val="21"/>
    </w:rPr>
  </w:style>
  <w:style w:type="character" w:styleId="43">
    <w:name w:val="HTML Cite"/>
    <w:basedOn w:val="32"/>
    <w:qFormat/>
    <w:uiPriority w:val="0"/>
  </w:style>
  <w:style w:type="character" w:styleId="44">
    <w:name w:val="HTML Keyboard"/>
    <w:basedOn w:val="32"/>
    <w:qFormat/>
    <w:uiPriority w:val="0"/>
    <w:rPr>
      <w:rFonts w:ascii="monospace" w:hAnsi="monospace" w:eastAsia="monospace" w:cs="monospace"/>
      <w:sz w:val="20"/>
    </w:rPr>
  </w:style>
  <w:style w:type="character" w:styleId="45">
    <w:name w:val="HTML Sample"/>
    <w:basedOn w:val="32"/>
    <w:qFormat/>
    <w:uiPriority w:val="0"/>
    <w:rPr>
      <w:rFonts w:hint="default" w:ascii="monospace" w:hAnsi="monospace" w:eastAsia="monospace" w:cs="monospace"/>
    </w:rPr>
  </w:style>
  <w:style w:type="paragraph" w:customStyle="1" w:styleId="46">
    <w:name w:val="无间隔1"/>
    <w:next w:val="8"/>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47">
    <w:name w:val="标题 3 字符"/>
    <w:link w:val="6"/>
    <w:autoRedefine/>
    <w:semiHidden/>
    <w:qFormat/>
    <w:uiPriority w:val="0"/>
    <w:rPr>
      <w:b/>
      <w:bCs/>
      <w:kern w:val="2"/>
      <w:sz w:val="32"/>
      <w:szCs w:val="32"/>
    </w:rPr>
  </w:style>
  <w:style w:type="character" w:customStyle="1" w:styleId="48">
    <w:name w:val="font231"/>
    <w:autoRedefine/>
    <w:qFormat/>
    <w:uiPriority w:val="0"/>
    <w:rPr>
      <w:rFonts w:hint="eastAsia" w:ascii="宋体" w:hAnsi="宋体" w:eastAsia="宋体" w:cs="宋体"/>
      <w:color w:val="000000"/>
      <w:sz w:val="22"/>
      <w:szCs w:val="22"/>
      <w:u w:val="none"/>
    </w:rPr>
  </w:style>
  <w:style w:type="character" w:customStyle="1" w:styleId="49">
    <w:name w:val="font11"/>
    <w:autoRedefine/>
    <w:qFormat/>
    <w:uiPriority w:val="0"/>
    <w:rPr>
      <w:rFonts w:hint="default" w:ascii="Times New Roman" w:hAnsi="Times New Roman" w:cs="Times New Roman"/>
      <w:color w:val="000000"/>
      <w:sz w:val="18"/>
      <w:szCs w:val="18"/>
      <w:u w:val="none"/>
    </w:rPr>
  </w:style>
  <w:style w:type="character" w:customStyle="1" w:styleId="50">
    <w:name w:val="font191"/>
    <w:autoRedefine/>
    <w:qFormat/>
    <w:uiPriority w:val="0"/>
    <w:rPr>
      <w:rFonts w:hint="default" w:ascii="Calibri" w:hAnsi="Calibri" w:cs="Calibri"/>
      <w:color w:val="000000"/>
      <w:sz w:val="22"/>
      <w:szCs w:val="22"/>
      <w:u w:val="none"/>
    </w:rPr>
  </w:style>
  <w:style w:type="character" w:customStyle="1" w:styleId="51">
    <w:name w:val="正文文本首行缩进 字符"/>
    <w:link w:val="28"/>
    <w:autoRedefine/>
    <w:qFormat/>
    <w:uiPriority w:val="0"/>
    <w:rPr>
      <w:kern w:val="2"/>
      <w:sz w:val="21"/>
      <w:szCs w:val="24"/>
    </w:rPr>
  </w:style>
  <w:style w:type="character" w:customStyle="1" w:styleId="52">
    <w:name w:val="正文文本 字符"/>
    <w:link w:val="12"/>
    <w:autoRedefine/>
    <w:qFormat/>
    <w:uiPriority w:val="0"/>
    <w:rPr>
      <w:kern w:val="2"/>
      <w:sz w:val="21"/>
      <w:szCs w:val="24"/>
    </w:rPr>
  </w:style>
  <w:style w:type="character" w:customStyle="1" w:styleId="53">
    <w:name w:val="font151"/>
    <w:autoRedefine/>
    <w:qFormat/>
    <w:uiPriority w:val="0"/>
    <w:rPr>
      <w:rFonts w:hint="default" w:ascii="Calibri" w:hAnsi="Calibri" w:cs="Calibri"/>
      <w:color w:val="000000"/>
      <w:sz w:val="22"/>
      <w:szCs w:val="22"/>
      <w:u w:val="none"/>
    </w:rPr>
  </w:style>
  <w:style w:type="character" w:customStyle="1" w:styleId="54">
    <w:name w:val="批注文字 字符"/>
    <w:link w:val="10"/>
    <w:autoRedefine/>
    <w:qFormat/>
    <w:uiPriority w:val="0"/>
    <w:rPr>
      <w:kern w:val="2"/>
      <w:sz w:val="21"/>
      <w:szCs w:val="24"/>
    </w:rPr>
  </w:style>
  <w:style w:type="character" w:customStyle="1" w:styleId="55">
    <w:name w:val="文档结构图 字符"/>
    <w:link w:val="9"/>
    <w:autoRedefine/>
    <w:qFormat/>
    <w:uiPriority w:val="0"/>
    <w:rPr>
      <w:rFonts w:ascii="宋体"/>
      <w:kern w:val="2"/>
      <w:sz w:val="18"/>
      <w:szCs w:val="18"/>
    </w:rPr>
  </w:style>
  <w:style w:type="character" w:customStyle="1" w:styleId="56">
    <w:name w:val="日期 字符"/>
    <w:link w:val="18"/>
    <w:autoRedefine/>
    <w:qFormat/>
    <w:uiPriority w:val="0"/>
    <w:rPr>
      <w:kern w:val="2"/>
      <w:sz w:val="21"/>
      <w:szCs w:val="24"/>
    </w:rPr>
  </w:style>
  <w:style w:type="character" w:customStyle="1" w:styleId="57">
    <w:name w:val="font221"/>
    <w:autoRedefine/>
    <w:qFormat/>
    <w:uiPriority w:val="0"/>
    <w:rPr>
      <w:rFonts w:hint="eastAsia" w:ascii="宋体" w:hAnsi="宋体" w:eastAsia="宋体" w:cs="宋体"/>
      <w:color w:val="000000"/>
      <w:sz w:val="20"/>
      <w:szCs w:val="20"/>
      <w:u w:val="none"/>
    </w:rPr>
  </w:style>
  <w:style w:type="character" w:customStyle="1" w:styleId="58">
    <w:name w:val="font61"/>
    <w:autoRedefine/>
    <w:qFormat/>
    <w:uiPriority w:val="0"/>
    <w:rPr>
      <w:rFonts w:hint="eastAsia" w:ascii="宋体" w:hAnsi="宋体" w:eastAsia="宋体" w:cs="宋体"/>
      <w:color w:val="FF0000"/>
      <w:sz w:val="22"/>
      <w:szCs w:val="22"/>
      <w:u w:val="none"/>
    </w:rPr>
  </w:style>
  <w:style w:type="character" w:customStyle="1" w:styleId="59">
    <w:name w:val="font31"/>
    <w:autoRedefine/>
    <w:qFormat/>
    <w:uiPriority w:val="0"/>
    <w:rPr>
      <w:rFonts w:hint="eastAsia" w:ascii="宋体" w:hAnsi="宋体" w:eastAsia="宋体" w:cs="宋体"/>
      <w:color w:val="000000"/>
      <w:sz w:val="18"/>
      <w:szCs w:val="18"/>
      <w:u w:val="none"/>
    </w:rPr>
  </w:style>
  <w:style w:type="character" w:customStyle="1" w:styleId="60">
    <w:name w:val="纯文本 字符"/>
    <w:link w:val="17"/>
    <w:autoRedefine/>
    <w:qFormat/>
    <w:uiPriority w:val="99"/>
    <w:rPr>
      <w:rFonts w:ascii="宋体" w:hAnsi="Courier New"/>
      <w:kern w:val="2"/>
      <w:sz w:val="21"/>
    </w:rPr>
  </w:style>
  <w:style w:type="character" w:customStyle="1" w:styleId="61">
    <w:name w:val="访问过的超链接1"/>
    <w:autoRedefine/>
    <w:qFormat/>
    <w:uiPriority w:val="0"/>
    <w:rPr>
      <w:color w:val="333333"/>
      <w:u w:val="none"/>
    </w:rPr>
  </w:style>
  <w:style w:type="character" w:customStyle="1" w:styleId="62">
    <w:name w:val="font01"/>
    <w:autoRedefine/>
    <w:qFormat/>
    <w:uiPriority w:val="0"/>
    <w:rPr>
      <w:rFonts w:hint="eastAsia" w:ascii="宋体" w:hAnsi="宋体" w:eastAsia="宋体" w:cs="宋体"/>
      <w:color w:val="000000"/>
      <w:sz w:val="22"/>
      <w:szCs w:val="22"/>
      <w:u w:val="none"/>
    </w:rPr>
  </w:style>
  <w:style w:type="character" w:customStyle="1" w:styleId="63">
    <w:name w:val="font21"/>
    <w:autoRedefine/>
    <w:qFormat/>
    <w:uiPriority w:val="0"/>
    <w:rPr>
      <w:rFonts w:hint="default" w:ascii="Times New Roman" w:hAnsi="Times New Roman" w:cs="Times New Roman"/>
      <w:color w:val="000000"/>
      <w:sz w:val="18"/>
      <w:szCs w:val="18"/>
      <w:u w:val="none"/>
    </w:rPr>
  </w:style>
  <w:style w:type="paragraph" w:customStyle="1" w:styleId="64">
    <w:name w:val="p0"/>
    <w:basedOn w:val="1"/>
    <w:autoRedefine/>
    <w:qFormat/>
    <w:uiPriority w:val="0"/>
    <w:pPr>
      <w:widowControl/>
    </w:pPr>
    <w:rPr>
      <w:rFonts w:ascii="Calibri" w:hAnsi="Calibri" w:cs="宋体"/>
      <w:kern w:val="0"/>
      <w:szCs w:val="21"/>
    </w:rPr>
  </w:style>
  <w:style w:type="paragraph" w:customStyle="1" w:styleId="65">
    <w:name w:val="List Paragraph1"/>
    <w:basedOn w:val="1"/>
    <w:autoRedefine/>
    <w:qFormat/>
    <w:uiPriority w:val="0"/>
    <w:pPr>
      <w:ind w:firstLine="420" w:firstLineChars="200"/>
    </w:pPr>
  </w:style>
  <w:style w:type="paragraph" w:customStyle="1" w:styleId="66">
    <w:name w:val="样式1"/>
    <w:basedOn w:val="1"/>
    <w:autoRedefine/>
    <w:qFormat/>
    <w:uiPriority w:val="0"/>
    <w:pPr>
      <w:tabs>
        <w:tab w:val="left" w:pos="709"/>
      </w:tabs>
      <w:adjustRightInd w:val="0"/>
      <w:ind w:left="709" w:hanging="709"/>
      <w:textAlignment w:val="baseline"/>
    </w:pPr>
    <w:rPr>
      <w:rFonts w:ascii="宋体" w:hAnsi="宋体"/>
      <w:kern w:val="0"/>
    </w:rPr>
  </w:style>
  <w:style w:type="paragraph" w:customStyle="1" w:styleId="67">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68">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69">
    <w:name w:val="Char Char Char Char Char Char Char1 Char"/>
    <w:basedOn w:val="1"/>
    <w:autoRedefine/>
    <w:qFormat/>
    <w:uiPriority w:val="0"/>
    <w:rPr>
      <w:rFonts w:ascii="Tahoma" w:hAnsi="Tahoma"/>
      <w:sz w:val="24"/>
      <w:szCs w:val="20"/>
    </w:rPr>
  </w:style>
  <w:style w:type="paragraph" w:styleId="70">
    <w:name w:val="List Paragraph"/>
    <w:basedOn w:val="1"/>
    <w:autoRedefine/>
    <w:qFormat/>
    <w:uiPriority w:val="1"/>
    <w:pPr>
      <w:ind w:firstLine="420" w:firstLineChars="200"/>
    </w:pPr>
  </w:style>
  <w:style w:type="paragraph" w:customStyle="1" w:styleId="71">
    <w:name w:val="Char Char Char1 Char"/>
    <w:basedOn w:val="1"/>
    <w:autoRedefine/>
    <w:qFormat/>
    <w:uiPriority w:val="0"/>
    <w:pPr>
      <w:spacing w:line="360" w:lineRule="auto"/>
      <w:ind w:firstLine="200" w:firstLineChars="200"/>
    </w:pPr>
    <w:rPr>
      <w:rFonts w:ascii="宋体" w:hAnsi="宋体" w:cs="宋体"/>
      <w:sz w:val="24"/>
    </w:rPr>
  </w:style>
  <w:style w:type="paragraph" w:customStyle="1" w:styleId="72">
    <w:name w:val="默认段落字体 Para Char Char Char Char Char Char Char Char Char Char"/>
    <w:basedOn w:val="1"/>
    <w:autoRedefine/>
    <w:qFormat/>
    <w:uiPriority w:val="0"/>
    <w:pPr>
      <w:tabs>
        <w:tab w:val="right" w:pos="-2120"/>
      </w:tabs>
      <w:snapToGrid w:val="0"/>
    </w:pPr>
  </w:style>
  <w:style w:type="character" w:customStyle="1" w:styleId="73">
    <w:name w:val="generalinfo-address-text"/>
    <w:basedOn w:val="32"/>
    <w:autoRedefine/>
    <w:qFormat/>
    <w:uiPriority w:val="0"/>
  </w:style>
  <w:style w:type="character" w:customStyle="1" w:styleId="74">
    <w:name w:val="正文文本 2 字符"/>
    <w:link w:val="25"/>
    <w:autoRedefine/>
    <w:qFormat/>
    <w:uiPriority w:val="0"/>
    <w:rPr>
      <w:kern w:val="2"/>
      <w:sz w:val="21"/>
      <w:szCs w:val="24"/>
    </w:rPr>
  </w:style>
  <w:style w:type="character" w:customStyle="1" w:styleId="75">
    <w:name w:val="NormalCharacter"/>
    <w:autoRedefine/>
    <w:qFormat/>
    <w:uiPriority w:val="0"/>
  </w:style>
  <w:style w:type="character" w:customStyle="1" w:styleId="76">
    <w:name w:val="页眉 字符"/>
    <w:link w:val="22"/>
    <w:autoRedefine/>
    <w:qFormat/>
    <w:uiPriority w:val="99"/>
    <w:rPr>
      <w:kern w:val="2"/>
      <w:sz w:val="18"/>
      <w:szCs w:val="18"/>
    </w:rPr>
  </w:style>
  <w:style w:type="character" w:customStyle="1" w:styleId="77">
    <w:name w:val="页脚 字符"/>
    <w:link w:val="21"/>
    <w:autoRedefine/>
    <w:qFormat/>
    <w:uiPriority w:val="99"/>
    <w:rPr>
      <w:kern w:val="2"/>
      <w:sz w:val="18"/>
      <w:szCs w:val="18"/>
    </w:rPr>
  </w:style>
  <w:style w:type="paragraph" w:customStyle="1" w:styleId="78">
    <w:name w:val="普通(网站)1"/>
    <w:basedOn w:val="1"/>
    <w:autoRedefine/>
    <w:qFormat/>
    <w:uiPriority w:val="0"/>
    <w:pPr>
      <w:widowControl/>
      <w:spacing w:before="100" w:beforeAutospacing="1" w:after="100" w:afterAutospacing="1"/>
      <w:jc w:val="left"/>
    </w:pPr>
    <w:rPr>
      <w:rFonts w:ascii="宋体" w:hAnsi="宋体"/>
      <w:kern w:val="0"/>
      <w:sz w:val="24"/>
    </w:rPr>
  </w:style>
  <w:style w:type="character" w:customStyle="1" w:styleId="79">
    <w:name w:val="contentlabel"/>
    <w:autoRedefine/>
    <w:qFormat/>
    <w:uiPriority w:val="0"/>
  </w:style>
  <w:style w:type="paragraph" w:customStyle="1" w:styleId="80">
    <w:name w:val="Body Text First Indent1"/>
    <w:basedOn w:val="12"/>
    <w:autoRedefine/>
    <w:qFormat/>
    <w:uiPriority w:val="0"/>
    <w:pPr>
      <w:autoSpaceDE w:val="0"/>
      <w:autoSpaceDN w:val="0"/>
      <w:ind w:firstLine="420" w:firstLineChars="100"/>
      <w:jc w:val="left"/>
    </w:pPr>
    <w:rPr>
      <w:rFonts w:ascii="宋体" w:hAnsi="等线" w:eastAsia="等线" w:cs="宋体"/>
      <w:kern w:val="0"/>
      <w:lang w:val="zh-CN"/>
    </w:rPr>
  </w:style>
  <w:style w:type="paragraph" w:customStyle="1" w:styleId="81">
    <w:name w:val="D&amp;L"/>
    <w:basedOn w:val="22"/>
    <w:autoRedefine/>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82">
    <w:name w:val="first-child"/>
    <w:basedOn w:val="32"/>
    <w:autoRedefine/>
    <w:qFormat/>
    <w:uiPriority w:val="0"/>
    <w:rPr>
      <w:color w:val="1F3149"/>
      <w:sz w:val="24"/>
      <w:szCs w:val="24"/>
    </w:rPr>
  </w:style>
  <w:style w:type="character" w:customStyle="1" w:styleId="83">
    <w:name w:val="first-child1"/>
    <w:basedOn w:val="32"/>
    <w:autoRedefine/>
    <w:qFormat/>
    <w:uiPriority w:val="0"/>
    <w:rPr>
      <w:color w:val="1F3149"/>
      <w:sz w:val="24"/>
      <w:szCs w:val="24"/>
    </w:rPr>
  </w:style>
  <w:style w:type="character" w:customStyle="1" w:styleId="84">
    <w:name w:val="icon_ds"/>
    <w:basedOn w:val="32"/>
    <w:autoRedefine/>
    <w:qFormat/>
    <w:uiPriority w:val="0"/>
  </w:style>
  <w:style w:type="character" w:customStyle="1" w:styleId="85">
    <w:name w:val="icon_ds1"/>
    <w:basedOn w:val="32"/>
    <w:autoRedefine/>
    <w:qFormat/>
    <w:uiPriority w:val="0"/>
    <w:rPr>
      <w:sz w:val="21"/>
      <w:szCs w:val="21"/>
    </w:rPr>
  </w:style>
  <w:style w:type="character" w:customStyle="1" w:styleId="86">
    <w:name w:val="icon_gys"/>
    <w:basedOn w:val="32"/>
    <w:autoRedefine/>
    <w:qFormat/>
    <w:uiPriority w:val="0"/>
    <w:rPr>
      <w:sz w:val="21"/>
      <w:szCs w:val="21"/>
    </w:rPr>
  </w:style>
  <w:style w:type="character" w:customStyle="1" w:styleId="87">
    <w:name w:val="xiadan"/>
    <w:basedOn w:val="32"/>
    <w:autoRedefine/>
    <w:qFormat/>
    <w:uiPriority w:val="0"/>
    <w:rPr>
      <w:shd w:val="clear" w:color="auto" w:fill="E4393C"/>
    </w:rPr>
  </w:style>
  <w:style w:type="character" w:customStyle="1" w:styleId="88">
    <w:name w:val="fr"/>
    <w:basedOn w:val="32"/>
    <w:autoRedefine/>
    <w:qFormat/>
    <w:uiPriority w:val="0"/>
  </w:style>
  <w:style w:type="character" w:customStyle="1" w:styleId="89">
    <w:name w:val="标题 4 字符"/>
    <w:basedOn w:val="32"/>
    <w:link w:val="7"/>
    <w:autoRedefine/>
    <w:semiHidden/>
    <w:qFormat/>
    <w:uiPriority w:val="0"/>
    <w:rPr>
      <w:rFonts w:asciiTheme="majorHAnsi" w:hAnsiTheme="majorHAnsi" w:eastAsiaTheme="majorEastAsia" w:cstheme="majorBidi"/>
      <w:b/>
      <w:bCs/>
      <w:kern w:val="2"/>
      <w:sz w:val="28"/>
      <w:szCs w:val="28"/>
    </w:rPr>
  </w:style>
  <w:style w:type="character" w:customStyle="1" w:styleId="90">
    <w:name w:val="正文文本首行缩进 2 字符"/>
    <w:basedOn w:val="32"/>
    <w:link w:val="29"/>
    <w:autoRedefine/>
    <w:qFormat/>
    <w:uiPriority w:val="99"/>
    <w:rPr>
      <w:rFonts w:ascii="仿宋_GB2312" w:hAnsi="华文楷体" w:eastAsia="仿宋_GB2312"/>
      <w:kern w:val="2"/>
      <w:sz w:val="32"/>
      <w:szCs w:val="24"/>
    </w:rPr>
  </w:style>
  <w:style w:type="character" w:customStyle="1" w:styleId="91">
    <w:name w:val="正文文本 Char1"/>
    <w:basedOn w:val="32"/>
    <w:autoRedefine/>
    <w:semiHidden/>
    <w:qFormat/>
    <w:locked/>
    <w:uiPriority w:val="0"/>
    <w:rPr>
      <w:kern w:val="2"/>
      <w:sz w:val="21"/>
      <w:szCs w:val="24"/>
    </w:rPr>
  </w:style>
  <w:style w:type="paragraph" w:customStyle="1" w:styleId="92">
    <w:name w:val="正文1"/>
    <w:basedOn w:val="1"/>
    <w:autoRedefine/>
    <w:qFormat/>
    <w:uiPriority w:val="0"/>
    <w:pPr>
      <w:widowControl/>
      <w:topLinePunct/>
      <w:spacing w:beforeLines="50" w:afterLines="50" w:line="300" w:lineRule="auto"/>
      <w:ind w:left="420"/>
    </w:pPr>
  </w:style>
  <w:style w:type="paragraph" w:customStyle="1" w:styleId="93">
    <w:name w:val="No Spacing1"/>
    <w:basedOn w:val="1"/>
    <w:autoRedefine/>
    <w:qFormat/>
    <w:uiPriority w:val="1"/>
    <w:pPr>
      <w:spacing w:line="400" w:lineRule="exact"/>
    </w:pPr>
  </w:style>
  <w:style w:type="character" w:customStyle="1" w:styleId="94">
    <w:name w:val="nth-child(3)"/>
    <w:basedOn w:val="32"/>
    <w:autoRedefine/>
    <w:qFormat/>
    <w:uiPriority w:val="0"/>
  </w:style>
  <w:style w:type="character" w:customStyle="1" w:styleId="95">
    <w:name w:val="nth-child(2)"/>
    <w:basedOn w:val="32"/>
    <w:autoRedefine/>
    <w:qFormat/>
    <w:uiPriority w:val="0"/>
  </w:style>
  <w:style w:type="character" w:customStyle="1" w:styleId="96">
    <w:name w:val="nth-child(2)1"/>
    <w:basedOn w:val="32"/>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889F62-DC44-404B-AA9E-4FABB5742B01}">
  <ds:schemaRefs/>
</ds:datastoreItem>
</file>

<file path=docProps/app.xml><?xml version="1.0" encoding="utf-8"?>
<Properties xmlns="http://schemas.openxmlformats.org/officeDocument/2006/extended-properties" xmlns:vt="http://schemas.openxmlformats.org/officeDocument/2006/docPropsVTypes">
  <Template>Normal</Template>
  <Pages>61</Pages>
  <Words>21601</Words>
  <Characters>22731</Characters>
  <Lines>182</Lines>
  <Paragraphs>51</Paragraphs>
  <TotalTime>2</TotalTime>
  <ScaleCrop>false</ScaleCrop>
  <LinksUpToDate>false</LinksUpToDate>
  <CharactersWithSpaces>23695</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2020-09-11T03:28:00Z</dcterms:created>
  <dc:creator>gg1</dc:creator>
  <cp:lastModifiedBy>大海里的糖醋鱼</cp:lastModifiedBy>
  <cp:lastPrinted>2020-09-11T07:29:00Z</cp:lastPrinted>
  <dcterms:modified xsi:type="dcterms:W3CDTF">2024-04-28T07:15:16Z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C8B97D3FDA2C40EDA53369A5938FED99_13</vt:lpwstr>
  </property>
</Properties>
</file>