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hint="eastAsia" w:ascii="宋体" w:hAnsi="宋体" w:cs="宋体"/>
          <w:b/>
          <w:color w:val="auto"/>
          <w:spacing w:val="36"/>
          <w:sz w:val="72"/>
          <w:szCs w:val="72"/>
          <w:highlight w:val="none"/>
          <w14:shadow w14:blurRad="50800" w14:dist="38100" w14:dir="2700000" w14:sx="100000" w14:sy="100000" w14:kx="0" w14:ky="0" w14:algn="tl">
            <w14:srgbClr w14:val="000000">
              <w14:alpha w14:val="60000"/>
            </w14:srgbClr>
          </w14:shadow>
        </w:rPr>
      </w:pPr>
      <w:r>
        <w:rPr>
          <w:rFonts w:hint="eastAsia" w:ascii="宋体" w:hAnsi="宋体" w:cs="宋体"/>
          <w:b/>
          <w:bCs/>
          <w:color w:val="auto"/>
          <w:kern w:val="0"/>
          <w:sz w:val="72"/>
          <w:szCs w:val="72"/>
          <w:highlight w:val="none"/>
          <w14:shadow w14:blurRad="50800" w14:dist="38100" w14:dir="2700000" w14:sx="100000" w14:sy="100000" w14:kx="0" w14:ky="0" w14:algn="tl">
            <w14:srgbClr w14:val="000000">
              <w14:alpha w14:val="60000"/>
            </w14:srgbClr>
          </w14:shadow>
        </w:rPr>
        <w:t>周口市公共资源交易中心</w:t>
      </w:r>
    </w:p>
    <w:p>
      <w:pPr>
        <w:tabs>
          <w:tab w:val="left" w:pos="315"/>
          <w:tab w:val="left" w:pos="8820"/>
        </w:tabs>
        <w:spacing w:line="500" w:lineRule="exact"/>
        <w:ind w:right="267" w:rightChars="127"/>
        <w:jc w:val="center"/>
        <w:rPr>
          <w:rFonts w:hint="eastAsia" w:ascii="宋体" w:hAnsi="宋体" w:cs="宋体"/>
          <w:b/>
          <w:bCs/>
          <w:color w:val="auto"/>
          <w:sz w:val="48"/>
          <w:highlight w:val="none"/>
        </w:rPr>
      </w:pPr>
    </w:p>
    <w:p>
      <w:pPr>
        <w:tabs>
          <w:tab w:val="left" w:pos="315"/>
          <w:tab w:val="left" w:pos="8820"/>
        </w:tabs>
        <w:spacing w:line="500" w:lineRule="exact"/>
        <w:ind w:right="267" w:rightChars="127"/>
        <w:jc w:val="center"/>
        <w:rPr>
          <w:rFonts w:hint="eastAsia" w:ascii="宋体" w:hAnsi="宋体" w:cs="宋体"/>
          <w:b/>
          <w:bCs/>
          <w:color w:val="auto"/>
          <w:sz w:val="52"/>
          <w:highlight w:val="none"/>
        </w:rPr>
      </w:pPr>
    </w:p>
    <w:p>
      <w:pPr>
        <w:tabs>
          <w:tab w:val="left" w:pos="315"/>
          <w:tab w:val="left" w:pos="8820"/>
        </w:tabs>
        <w:spacing w:line="500" w:lineRule="exact"/>
        <w:ind w:right="267" w:rightChars="127"/>
        <w:jc w:val="center"/>
        <w:rPr>
          <w:rFonts w:hint="eastAsia" w:ascii="宋体" w:hAnsi="宋体" w:cs="宋体"/>
          <w:b/>
          <w:bCs/>
          <w:color w:val="auto"/>
          <w:sz w:val="52"/>
          <w:highlight w:val="none"/>
        </w:rPr>
      </w:pPr>
    </w:p>
    <w:p>
      <w:pPr>
        <w:tabs>
          <w:tab w:val="left" w:pos="315"/>
          <w:tab w:val="left" w:pos="8820"/>
        </w:tabs>
        <w:spacing w:line="500" w:lineRule="exact"/>
        <w:ind w:right="267" w:rightChars="127"/>
        <w:jc w:val="center"/>
        <w:rPr>
          <w:rFonts w:hint="eastAsia" w:ascii="宋体" w:hAnsi="宋体" w:cs="宋体"/>
          <w:b/>
          <w:bCs/>
          <w:color w:val="auto"/>
          <w:sz w:val="52"/>
          <w:highlight w:val="none"/>
        </w:rPr>
      </w:pPr>
    </w:p>
    <w:p>
      <w:pPr>
        <w:tabs>
          <w:tab w:val="left" w:pos="315"/>
          <w:tab w:val="left" w:pos="8820"/>
        </w:tabs>
        <w:spacing w:line="500" w:lineRule="exact"/>
        <w:ind w:right="267" w:rightChars="127"/>
        <w:jc w:val="center"/>
        <w:rPr>
          <w:rFonts w:hint="eastAsia" w:ascii="宋体" w:hAnsi="宋体" w:cs="宋体"/>
          <w:b/>
          <w:bCs/>
          <w:color w:val="auto"/>
          <w:sz w:val="52"/>
          <w:highlight w:val="none"/>
        </w:rPr>
      </w:pPr>
    </w:p>
    <w:p>
      <w:pPr>
        <w:tabs>
          <w:tab w:val="left" w:pos="315"/>
          <w:tab w:val="left" w:pos="8820"/>
        </w:tabs>
        <w:spacing w:line="500" w:lineRule="exact"/>
        <w:ind w:right="267" w:rightChars="127"/>
        <w:jc w:val="center"/>
        <w:rPr>
          <w:rFonts w:hint="eastAsia" w:ascii="宋体" w:hAnsi="宋体" w:cs="宋体"/>
          <w:b/>
          <w:bCs/>
          <w:color w:val="auto"/>
          <w:sz w:val="52"/>
          <w:highlight w:val="none"/>
        </w:rPr>
      </w:pPr>
    </w:p>
    <w:p>
      <w:pPr>
        <w:tabs>
          <w:tab w:val="left" w:pos="315"/>
          <w:tab w:val="left" w:pos="8820"/>
        </w:tabs>
        <w:spacing w:line="240" w:lineRule="auto"/>
        <w:ind w:right="267" w:rightChars="127"/>
        <w:jc w:val="center"/>
        <w:rPr>
          <w:rFonts w:hint="eastAsia" w:ascii="宋体" w:hAnsi="宋体" w:cs="宋体"/>
          <w:b/>
          <w:bCs/>
          <w:color w:val="auto"/>
          <w:sz w:val="52"/>
          <w:highlight w:val="none"/>
        </w:rPr>
      </w:pPr>
    </w:p>
    <w:p>
      <w:pPr>
        <w:tabs>
          <w:tab w:val="left" w:pos="315"/>
          <w:tab w:val="left" w:pos="8820"/>
        </w:tabs>
        <w:spacing w:line="240" w:lineRule="auto"/>
        <w:ind w:right="267" w:rightChars="127"/>
        <w:jc w:val="center"/>
        <w:rPr>
          <w:rFonts w:hint="eastAsia" w:ascii="宋体" w:hAnsi="宋体" w:cs="宋体"/>
          <w:b/>
          <w:bCs/>
          <w:color w:val="auto"/>
          <w:sz w:val="52"/>
          <w:highlight w:val="none"/>
        </w:rPr>
      </w:pPr>
      <w:r>
        <w:rPr>
          <w:rFonts w:hint="eastAsia" w:ascii="宋体" w:hAnsi="宋体" w:cs="宋体"/>
          <w:b/>
          <w:bCs/>
          <w:color w:val="auto"/>
          <w:sz w:val="52"/>
          <w:highlight w:val="none"/>
        </w:rPr>
        <w:t>政 府 采 购 招 标 文 件</w:t>
      </w:r>
    </w:p>
    <w:p>
      <w:pPr>
        <w:tabs>
          <w:tab w:val="left" w:pos="315"/>
          <w:tab w:val="left" w:pos="8820"/>
        </w:tabs>
        <w:spacing w:line="500" w:lineRule="exact"/>
        <w:ind w:right="267" w:rightChars="127"/>
        <w:jc w:val="center"/>
        <w:rPr>
          <w:rFonts w:hint="eastAsia" w:ascii="宋体" w:hAnsi="宋体" w:cs="宋体"/>
          <w:color w:val="auto"/>
          <w:sz w:val="44"/>
          <w:highlight w:val="none"/>
        </w:rPr>
      </w:pPr>
    </w:p>
    <w:p>
      <w:pPr>
        <w:tabs>
          <w:tab w:val="left" w:pos="315"/>
          <w:tab w:val="left" w:pos="8820"/>
        </w:tabs>
        <w:ind w:right="267" w:rightChars="127"/>
        <w:rPr>
          <w:rFonts w:hint="eastAsia" w:ascii="宋体" w:hAnsi="宋体" w:cs="宋体"/>
          <w:color w:val="auto"/>
          <w:sz w:val="44"/>
          <w:highlight w:val="none"/>
        </w:rPr>
      </w:pPr>
    </w:p>
    <w:p>
      <w:pPr>
        <w:tabs>
          <w:tab w:val="left" w:pos="315"/>
          <w:tab w:val="left" w:pos="8820"/>
        </w:tabs>
        <w:ind w:right="267" w:rightChars="127"/>
        <w:rPr>
          <w:rFonts w:hint="eastAsia" w:ascii="宋体" w:hAnsi="宋体" w:cs="宋体"/>
          <w:color w:val="auto"/>
          <w:sz w:val="44"/>
          <w:highlight w:val="none"/>
        </w:rPr>
      </w:pPr>
    </w:p>
    <w:p>
      <w:pPr>
        <w:tabs>
          <w:tab w:val="left" w:pos="315"/>
          <w:tab w:val="left" w:pos="8820"/>
        </w:tabs>
        <w:ind w:right="267" w:rightChars="127"/>
        <w:rPr>
          <w:rFonts w:hint="eastAsia" w:ascii="宋体" w:hAnsi="宋体" w:cs="宋体"/>
          <w:color w:val="auto"/>
          <w:sz w:val="44"/>
          <w:highlight w:val="none"/>
        </w:rPr>
      </w:pPr>
    </w:p>
    <w:p>
      <w:pPr>
        <w:tabs>
          <w:tab w:val="left" w:pos="315"/>
          <w:tab w:val="left" w:pos="8820"/>
        </w:tabs>
        <w:ind w:right="267" w:rightChars="127"/>
        <w:rPr>
          <w:rFonts w:hint="eastAsia" w:ascii="宋体" w:hAnsi="宋体" w:cs="宋体"/>
          <w:color w:val="auto"/>
          <w:sz w:val="44"/>
          <w:highlight w:val="none"/>
        </w:rPr>
      </w:pPr>
    </w:p>
    <w:p>
      <w:pPr>
        <w:tabs>
          <w:tab w:val="left" w:pos="315"/>
          <w:tab w:val="left" w:pos="8820"/>
        </w:tabs>
        <w:spacing w:line="500" w:lineRule="exact"/>
        <w:ind w:right="267" w:rightChars="127"/>
        <w:rPr>
          <w:rFonts w:hint="eastAsia" w:ascii="宋体" w:hAnsi="宋体" w:cs="宋体"/>
          <w:color w:val="auto"/>
          <w:sz w:val="36"/>
          <w:highlight w:val="none"/>
        </w:rPr>
      </w:pPr>
    </w:p>
    <w:p>
      <w:pPr>
        <w:pStyle w:val="7"/>
        <w:spacing w:line="360" w:lineRule="auto"/>
        <w:rPr>
          <w:rFonts w:hint="eastAsia" w:ascii="宋体" w:hAnsi="宋体" w:eastAsia="宋体" w:cs="宋体"/>
          <w:color w:val="auto"/>
          <w:sz w:val="32"/>
          <w:szCs w:val="32"/>
          <w:highlight w:val="none"/>
        </w:rPr>
      </w:pPr>
    </w:p>
    <w:p>
      <w:pPr>
        <w:pStyle w:val="7"/>
        <w:spacing w:line="360" w:lineRule="auto"/>
        <w:rPr>
          <w:rFonts w:hint="eastAsia" w:ascii="宋体" w:hAnsi="宋体" w:eastAsia="宋体" w:cs="宋体"/>
          <w:color w:val="auto"/>
          <w:sz w:val="32"/>
          <w:szCs w:val="32"/>
          <w:highlight w:val="none"/>
        </w:rPr>
      </w:pPr>
    </w:p>
    <w:p>
      <w:pPr>
        <w:pStyle w:val="7"/>
        <w:spacing w:line="360" w:lineRule="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郸城县民政局敬老院春季生活物资采购项目</w:t>
      </w:r>
    </w:p>
    <w:p>
      <w:pPr>
        <w:pStyle w:val="7"/>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项目编号：郸财招标采购-2024-18</w:t>
      </w:r>
    </w:p>
    <w:p>
      <w:pPr>
        <w:pStyle w:val="7"/>
        <w:rPr>
          <w:rFonts w:hint="eastAsia" w:ascii="宋体" w:hAnsi="宋体" w:eastAsia="宋体" w:cs="宋体"/>
          <w:color w:val="auto"/>
          <w:sz w:val="32"/>
          <w:highlight w:val="none"/>
        </w:rPr>
      </w:pPr>
    </w:p>
    <w:p>
      <w:pPr>
        <w:spacing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 xml:space="preserve">2024 </w:t>
      </w:r>
      <w:r>
        <w:rPr>
          <w:rFonts w:hint="eastAsia" w:ascii="宋体" w:hAnsi="宋体" w:eastAsia="宋体" w:cs="宋体"/>
          <w:b/>
          <w:color w:val="auto"/>
          <w:kern w:val="2"/>
          <w:sz w:val="28"/>
          <w:szCs w:val="28"/>
          <w:highlight w:val="none"/>
          <w:lang w:val="en-US" w:eastAsia="zh-CN" w:bidi="ar-SA"/>
        </w:rPr>
        <w:t>年</w:t>
      </w:r>
      <w:r>
        <w:rPr>
          <w:rFonts w:hint="eastAsia" w:ascii="宋体" w:hAnsi="宋体" w:cs="宋体"/>
          <w:b/>
          <w:color w:val="auto"/>
          <w:kern w:val="2"/>
          <w:sz w:val="28"/>
          <w:szCs w:val="28"/>
          <w:highlight w:val="none"/>
          <w:lang w:val="en-US" w:eastAsia="zh-CN" w:bidi="ar-SA"/>
        </w:rPr>
        <w:t>5</w:t>
      </w:r>
      <w:r>
        <w:rPr>
          <w:rFonts w:hint="eastAsia" w:ascii="宋体" w:hAnsi="宋体" w:eastAsia="宋体" w:cs="宋体"/>
          <w:b/>
          <w:color w:val="auto"/>
          <w:kern w:val="2"/>
          <w:sz w:val="28"/>
          <w:szCs w:val="28"/>
          <w:highlight w:val="none"/>
          <w:lang w:val="en-US" w:eastAsia="zh-CN" w:bidi="ar-SA"/>
        </w:rPr>
        <w:t>月</w:t>
      </w:r>
    </w:p>
    <w:p>
      <w:pPr>
        <w:spacing w:line="360" w:lineRule="auto"/>
        <w:jc w:val="left"/>
        <w:rPr>
          <w:rFonts w:hint="eastAsia" w:ascii="宋体" w:hAnsi="宋体"/>
          <w:bCs/>
          <w:color w:val="auto"/>
          <w:spacing w:val="-4"/>
          <w:sz w:val="44"/>
          <w:highlight w:val="none"/>
        </w:rPr>
      </w:pPr>
    </w:p>
    <w:p>
      <w:pPr>
        <w:tabs>
          <w:tab w:val="left" w:pos="4620"/>
        </w:tabs>
        <w:spacing w:line="500" w:lineRule="exact"/>
        <w:jc w:val="center"/>
        <w:rPr>
          <w:rFonts w:hint="eastAsia" w:ascii="宋体" w:hAnsi="宋体" w:cs="宋体"/>
          <w:b/>
          <w:color w:val="auto"/>
          <w:sz w:val="32"/>
          <w:highlight w:val="none"/>
        </w:rPr>
      </w:pPr>
      <w:r>
        <w:rPr>
          <w:rFonts w:hint="eastAsia" w:ascii="宋体" w:hAnsi="宋体" w:cs="宋体"/>
          <w:b/>
          <w:color w:val="auto"/>
          <w:sz w:val="32"/>
          <w:highlight w:val="none"/>
        </w:rPr>
        <w:t>目  录</w:t>
      </w:r>
    </w:p>
    <w:p>
      <w:pPr>
        <w:pStyle w:val="20"/>
        <w:tabs>
          <w:tab w:val="right" w:leader="dot" w:pos="8380"/>
        </w:tabs>
        <w:spacing w:line="360" w:lineRule="auto"/>
        <w:rPr>
          <w:rFonts w:hint="eastAsia" w:ascii="Times New Roman" w:hAnsi="Times New Roman" w:eastAsia="宋体" w:cs="Times New Roman"/>
          <w:b/>
          <w:smallCaps/>
          <w:color w:val="auto"/>
          <w:sz w:val="24"/>
          <w:szCs w:val="22"/>
          <w:highlight w:val="none"/>
        </w:rPr>
      </w:pPr>
      <w:bookmarkStart w:id="0" w:name="_Hlt533241375"/>
      <w:bookmarkEnd w:id="0"/>
      <w:bookmarkStart w:id="1" w:name="_Hlt526418134"/>
      <w:bookmarkEnd w:id="1"/>
      <w:bookmarkStart w:id="2" w:name="_Hlt519045295"/>
      <w:bookmarkEnd w:id="2"/>
    </w:p>
    <w:p>
      <w:pPr>
        <w:pStyle w:val="17"/>
        <w:tabs>
          <w:tab w:val="right" w:leader="dot" w:pos="8390"/>
        </w:tabs>
      </w:pPr>
      <w:r>
        <w:rPr>
          <w:rFonts w:hint="eastAsia" w:ascii="Times New Roman" w:hAnsi="Times New Roman" w:eastAsia="宋体" w:cs="Times New Roman"/>
          <w:b/>
          <w:smallCaps/>
          <w:color w:val="auto"/>
          <w:sz w:val="24"/>
          <w:szCs w:val="22"/>
          <w:highlight w:val="none"/>
        </w:rPr>
        <w:fldChar w:fldCharType="begin"/>
      </w:r>
      <w:r>
        <w:rPr>
          <w:rFonts w:hint="eastAsia" w:ascii="Times New Roman" w:hAnsi="Times New Roman" w:eastAsia="宋体" w:cs="Times New Roman"/>
          <w:b/>
          <w:smallCaps/>
          <w:color w:val="auto"/>
          <w:sz w:val="24"/>
          <w:szCs w:val="22"/>
          <w:highlight w:val="none"/>
        </w:rPr>
        <w:instrText xml:space="preserve"> TOC \o "1-3" \h \z </w:instrText>
      </w:r>
      <w:r>
        <w:rPr>
          <w:rFonts w:hint="eastAsia" w:ascii="Times New Roman" w:hAnsi="Times New Roman" w:eastAsia="宋体" w:cs="Times New Roman"/>
          <w:b/>
          <w:smallCaps/>
          <w:color w:val="auto"/>
          <w:sz w:val="24"/>
          <w:szCs w:val="22"/>
          <w:highlight w:val="none"/>
        </w:rPr>
        <w:fldChar w:fldCharType="separate"/>
      </w:r>
      <w:r>
        <w:rPr>
          <w:rFonts w:hint="eastAsia" w:ascii="Times New Roman" w:hAnsi="Times New Roman" w:eastAsia="宋体" w:cs="Times New Roman"/>
          <w:smallCaps/>
          <w:color w:val="auto"/>
          <w:szCs w:val="22"/>
          <w:highlight w:val="none"/>
        </w:rPr>
        <w:fldChar w:fldCharType="begin"/>
      </w:r>
      <w:r>
        <w:rPr>
          <w:rFonts w:hint="eastAsia" w:ascii="Times New Roman" w:hAnsi="Times New Roman" w:eastAsia="宋体" w:cs="Times New Roman"/>
          <w:smallCaps/>
          <w:szCs w:val="22"/>
          <w:highlight w:val="none"/>
        </w:rPr>
        <w:instrText xml:space="preserve"> HYPERLINK \l _Toc9487 </w:instrText>
      </w:r>
      <w:r>
        <w:rPr>
          <w:rFonts w:hint="eastAsia" w:ascii="Times New Roman" w:hAnsi="Times New Roman" w:eastAsia="宋体" w:cs="Times New Roman"/>
          <w:smallCaps/>
          <w:szCs w:val="22"/>
          <w:highlight w:val="none"/>
        </w:rPr>
        <w:fldChar w:fldCharType="separate"/>
      </w:r>
      <w:r>
        <w:rPr>
          <w:rFonts w:hint="eastAsia"/>
          <w:szCs w:val="44"/>
        </w:rPr>
        <w:t>第一章 招标公告</w:t>
      </w:r>
      <w:r>
        <w:tab/>
      </w:r>
      <w:r>
        <w:fldChar w:fldCharType="begin"/>
      </w:r>
      <w:r>
        <w:instrText xml:space="preserve"> PAGEREF _Toc9487 \h </w:instrText>
      </w:r>
      <w:r>
        <w:fldChar w:fldCharType="separate"/>
      </w:r>
      <w:r>
        <w:t>3</w:t>
      </w:r>
      <w:r>
        <w:fldChar w:fldCharType="end"/>
      </w:r>
      <w:r>
        <w:rPr>
          <w:rFonts w:hint="eastAsia" w:ascii="Times New Roman" w:hAnsi="Times New Roman" w:eastAsia="宋体" w:cs="Times New Roman"/>
          <w:smallCaps/>
          <w:color w:val="auto"/>
          <w:szCs w:val="22"/>
          <w:highlight w:val="none"/>
        </w:rPr>
        <w:fldChar w:fldCharType="end"/>
      </w:r>
    </w:p>
    <w:p>
      <w:pPr>
        <w:pStyle w:val="17"/>
        <w:tabs>
          <w:tab w:val="right" w:leader="dot" w:pos="8390"/>
        </w:tabs>
      </w:pPr>
      <w:r>
        <w:rPr>
          <w:rFonts w:hint="eastAsia" w:ascii="Times New Roman" w:hAnsi="Times New Roman" w:eastAsia="宋体" w:cs="Times New Roman"/>
          <w:smallCaps/>
          <w:color w:val="auto"/>
          <w:szCs w:val="22"/>
          <w:highlight w:val="none"/>
        </w:rPr>
        <w:fldChar w:fldCharType="begin"/>
      </w:r>
      <w:r>
        <w:rPr>
          <w:rFonts w:hint="eastAsia" w:ascii="Times New Roman" w:hAnsi="Times New Roman" w:eastAsia="宋体" w:cs="Times New Roman"/>
          <w:smallCaps/>
          <w:szCs w:val="22"/>
          <w:highlight w:val="none"/>
        </w:rPr>
        <w:instrText xml:space="preserve"> HYPERLINK \l _Toc7965 </w:instrText>
      </w:r>
      <w:r>
        <w:rPr>
          <w:rFonts w:hint="eastAsia" w:ascii="Times New Roman" w:hAnsi="Times New Roman" w:eastAsia="宋体" w:cs="Times New Roman"/>
          <w:smallCaps/>
          <w:szCs w:val="22"/>
          <w:highlight w:val="none"/>
        </w:rPr>
        <w:fldChar w:fldCharType="separate"/>
      </w:r>
      <w:r>
        <w:rPr>
          <w:rFonts w:hint="eastAsia"/>
        </w:rPr>
        <w:t>第二章 投标人须知前附表</w:t>
      </w:r>
      <w:r>
        <w:tab/>
      </w:r>
      <w:r>
        <w:fldChar w:fldCharType="begin"/>
      </w:r>
      <w:r>
        <w:instrText xml:space="preserve"> PAGEREF _Toc7965 \h </w:instrText>
      </w:r>
      <w:r>
        <w:fldChar w:fldCharType="separate"/>
      </w:r>
      <w:r>
        <w:t>6</w:t>
      </w:r>
      <w:r>
        <w:fldChar w:fldCharType="end"/>
      </w:r>
      <w:r>
        <w:rPr>
          <w:rFonts w:hint="eastAsia" w:ascii="Times New Roman" w:hAnsi="Times New Roman" w:eastAsia="宋体" w:cs="Times New Roman"/>
          <w:smallCaps/>
          <w:color w:val="auto"/>
          <w:szCs w:val="22"/>
          <w:highlight w:val="none"/>
        </w:rPr>
        <w:fldChar w:fldCharType="end"/>
      </w:r>
    </w:p>
    <w:p>
      <w:pPr>
        <w:pStyle w:val="17"/>
        <w:tabs>
          <w:tab w:val="right" w:leader="dot" w:pos="8390"/>
        </w:tabs>
      </w:pPr>
      <w:r>
        <w:rPr>
          <w:rFonts w:hint="eastAsia" w:ascii="Times New Roman" w:hAnsi="Times New Roman" w:eastAsia="宋体" w:cs="Times New Roman"/>
          <w:smallCaps/>
          <w:color w:val="auto"/>
          <w:szCs w:val="22"/>
          <w:highlight w:val="none"/>
        </w:rPr>
        <w:fldChar w:fldCharType="begin"/>
      </w:r>
      <w:r>
        <w:rPr>
          <w:rFonts w:hint="eastAsia" w:ascii="Times New Roman" w:hAnsi="Times New Roman" w:eastAsia="宋体" w:cs="Times New Roman"/>
          <w:smallCaps/>
          <w:szCs w:val="22"/>
          <w:highlight w:val="none"/>
        </w:rPr>
        <w:instrText xml:space="preserve"> HYPERLINK \l _Toc21357 </w:instrText>
      </w:r>
      <w:r>
        <w:rPr>
          <w:rFonts w:hint="eastAsia" w:ascii="Times New Roman" w:hAnsi="Times New Roman" w:eastAsia="宋体" w:cs="Times New Roman"/>
          <w:smallCaps/>
          <w:szCs w:val="22"/>
          <w:highlight w:val="none"/>
        </w:rPr>
        <w:fldChar w:fldCharType="separate"/>
      </w:r>
      <w:r>
        <w:rPr>
          <w:rFonts w:hint="eastAsia"/>
        </w:rPr>
        <w:t>第三章 货物需求一览表</w:t>
      </w:r>
      <w:r>
        <w:tab/>
      </w:r>
      <w:r>
        <w:fldChar w:fldCharType="begin"/>
      </w:r>
      <w:r>
        <w:instrText xml:space="preserve"> PAGEREF _Toc21357 \h </w:instrText>
      </w:r>
      <w:r>
        <w:fldChar w:fldCharType="separate"/>
      </w:r>
      <w:r>
        <w:t>8</w:t>
      </w:r>
      <w:r>
        <w:fldChar w:fldCharType="end"/>
      </w:r>
      <w:r>
        <w:rPr>
          <w:rFonts w:hint="eastAsia" w:ascii="Times New Roman" w:hAnsi="Times New Roman" w:eastAsia="宋体" w:cs="Times New Roman"/>
          <w:smallCaps/>
          <w:color w:val="auto"/>
          <w:szCs w:val="22"/>
          <w:highlight w:val="none"/>
        </w:rPr>
        <w:fldChar w:fldCharType="end"/>
      </w:r>
    </w:p>
    <w:p>
      <w:pPr>
        <w:pStyle w:val="17"/>
        <w:tabs>
          <w:tab w:val="right" w:leader="dot" w:pos="8390"/>
        </w:tabs>
      </w:pPr>
      <w:r>
        <w:rPr>
          <w:rFonts w:hint="eastAsia" w:ascii="Times New Roman" w:hAnsi="Times New Roman" w:eastAsia="宋体" w:cs="Times New Roman"/>
          <w:smallCaps/>
          <w:color w:val="auto"/>
          <w:szCs w:val="22"/>
          <w:highlight w:val="none"/>
        </w:rPr>
        <w:fldChar w:fldCharType="begin"/>
      </w:r>
      <w:r>
        <w:rPr>
          <w:rFonts w:hint="eastAsia" w:ascii="Times New Roman" w:hAnsi="Times New Roman" w:eastAsia="宋体" w:cs="Times New Roman"/>
          <w:smallCaps/>
          <w:szCs w:val="22"/>
          <w:highlight w:val="none"/>
        </w:rPr>
        <w:instrText xml:space="preserve"> HYPERLINK \l _Toc18111 </w:instrText>
      </w:r>
      <w:r>
        <w:rPr>
          <w:rFonts w:hint="eastAsia" w:ascii="Times New Roman" w:hAnsi="Times New Roman" w:eastAsia="宋体" w:cs="Times New Roman"/>
          <w:smallCaps/>
          <w:szCs w:val="22"/>
          <w:highlight w:val="none"/>
        </w:rPr>
        <w:fldChar w:fldCharType="separate"/>
      </w:r>
      <w:r>
        <w:rPr>
          <w:rFonts w:hint="eastAsia"/>
        </w:rPr>
        <w:t>第四章 评标办法</w:t>
      </w:r>
      <w:r>
        <w:tab/>
      </w:r>
      <w:r>
        <w:fldChar w:fldCharType="begin"/>
      </w:r>
      <w:r>
        <w:instrText xml:space="preserve"> PAGEREF _Toc18111 \h </w:instrText>
      </w:r>
      <w:r>
        <w:fldChar w:fldCharType="separate"/>
      </w:r>
      <w:r>
        <w:t>410</w:t>
      </w:r>
      <w:r>
        <w:fldChar w:fldCharType="end"/>
      </w:r>
      <w:r>
        <w:rPr>
          <w:rFonts w:hint="eastAsia" w:ascii="Times New Roman" w:hAnsi="Times New Roman" w:eastAsia="宋体" w:cs="Times New Roman"/>
          <w:smallCaps/>
          <w:color w:val="auto"/>
          <w:szCs w:val="22"/>
          <w:highlight w:val="none"/>
        </w:rPr>
        <w:fldChar w:fldCharType="end"/>
      </w:r>
    </w:p>
    <w:p>
      <w:pPr>
        <w:pStyle w:val="17"/>
        <w:tabs>
          <w:tab w:val="right" w:leader="dot" w:pos="8390"/>
        </w:tabs>
      </w:pPr>
      <w:r>
        <w:rPr>
          <w:rFonts w:hint="eastAsia" w:ascii="Times New Roman" w:hAnsi="Times New Roman" w:eastAsia="宋体" w:cs="Times New Roman"/>
          <w:smallCaps/>
          <w:color w:val="auto"/>
          <w:szCs w:val="22"/>
          <w:highlight w:val="none"/>
        </w:rPr>
        <w:fldChar w:fldCharType="begin"/>
      </w:r>
      <w:r>
        <w:rPr>
          <w:rFonts w:hint="eastAsia" w:ascii="Times New Roman" w:hAnsi="Times New Roman" w:eastAsia="宋体" w:cs="Times New Roman"/>
          <w:smallCaps/>
          <w:szCs w:val="22"/>
          <w:highlight w:val="none"/>
        </w:rPr>
        <w:instrText xml:space="preserve"> HYPERLINK \l _Toc26370 </w:instrText>
      </w:r>
      <w:r>
        <w:rPr>
          <w:rFonts w:hint="eastAsia" w:ascii="Times New Roman" w:hAnsi="Times New Roman" w:eastAsia="宋体" w:cs="Times New Roman"/>
          <w:smallCaps/>
          <w:szCs w:val="22"/>
          <w:highlight w:val="none"/>
        </w:rPr>
        <w:fldChar w:fldCharType="separate"/>
      </w:r>
      <w:r>
        <w:rPr>
          <w:rFonts w:hint="eastAsia"/>
        </w:rPr>
        <w:t>第五章 投标人须知</w:t>
      </w:r>
      <w:r>
        <w:tab/>
      </w:r>
      <w:r>
        <w:fldChar w:fldCharType="begin"/>
      </w:r>
      <w:r>
        <w:instrText xml:space="preserve"> PAGEREF _Toc26370 \h </w:instrText>
      </w:r>
      <w:r>
        <w:fldChar w:fldCharType="separate"/>
      </w:r>
      <w:r>
        <w:t>417</w:t>
      </w:r>
      <w:r>
        <w:fldChar w:fldCharType="end"/>
      </w:r>
      <w:r>
        <w:rPr>
          <w:rFonts w:hint="eastAsia" w:ascii="Times New Roman" w:hAnsi="Times New Roman" w:eastAsia="宋体" w:cs="Times New Roman"/>
          <w:smallCaps/>
          <w:color w:val="auto"/>
          <w:szCs w:val="22"/>
          <w:highlight w:val="none"/>
        </w:rPr>
        <w:fldChar w:fldCharType="end"/>
      </w:r>
    </w:p>
    <w:p>
      <w:pPr>
        <w:pStyle w:val="17"/>
        <w:tabs>
          <w:tab w:val="right" w:leader="dot" w:pos="8390"/>
        </w:tabs>
      </w:pPr>
      <w:r>
        <w:rPr>
          <w:rFonts w:hint="eastAsia" w:ascii="Times New Roman" w:hAnsi="Times New Roman" w:eastAsia="宋体" w:cs="Times New Roman"/>
          <w:smallCaps/>
          <w:color w:val="auto"/>
          <w:szCs w:val="22"/>
          <w:highlight w:val="none"/>
        </w:rPr>
        <w:fldChar w:fldCharType="begin"/>
      </w:r>
      <w:r>
        <w:rPr>
          <w:rFonts w:hint="eastAsia" w:ascii="Times New Roman" w:hAnsi="Times New Roman" w:eastAsia="宋体" w:cs="Times New Roman"/>
          <w:smallCaps/>
          <w:szCs w:val="22"/>
          <w:highlight w:val="none"/>
        </w:rPr>
        <w:instrText xml:space="preserve"> HYPERLINK \l _Toc8962 </w:instrText>
      </w:r>
      <w:r>
        <w:rPr>
          <w:rFonts w:hint="eastAsia" w:ascii="Times New Roman" w:hAnsi="Times New Roman" w:eastAsia="宋体" w:cs="Times New Roman"/>
          <w:smallCaps/>
          <w:szCs w:val="22"/>
          <w:highlight w:val="none"/>
        </w:rPr>
        <w:fldChar w:fldCharType="separate"/>
      </w:r>
      <w:r>
        <w:rPr>
          <w:rFonts w:hint="eastAsia"/>
        </w:rPr>
        <w:t xml:space="preserve">第六章 </w:t>
      </w:r>
      <w:r>
        <w:rPr>
          <w:rFonts w:hint="eastAsia"/>
          <w:lang w:val="en-US"/>
        </w:rPr>
        <w:t>周口市政府采购合同（货物类）标准文本</w:t>
      </w:r>
      <w:r>
        <w:tab/>
      </w:r>
      <w:r>
        <w:fldChar w:fldCharType="begin"/>
      </w:r>
      <w:r>
        <w:instrText xml:space="preserve"> PAGEREF _Toc8962 \h </w:instrText>
      </w:r>
      <w:r>
        <w:fldChar w:fldCharType="separate"/>
      </w:r>
      <w:r>
        <w:t>432</w:t>
      </w:r>
      <w:r>
        <w:fldChar w:fldCharType="end"/>
      </w:r>
      <w:r>
        <w:rPr>
          <w:rFonts w:hint="eastAsia" w:ascii="Times New Roman" w:hAnsi="Times New Roman" w:eastAsia="宋体" w:cs="Times New Roman"/>
          <w:smallCaps/>
          <w:color w:val="auto"/>
          <w:szCs w:val="22"/>
          <w:highlight w:val="none"/>
        </w:rPr>
        <w:fldChar w:fldCharType="end"/>
      </w:r>
    </w:p>
    <w:p>
      <w:pPr>
        <w:pStyle w:val="17"/>
        <w:tabs>
          <w:tab w:val="right" w:leader="dot" w:pos="8390"/>
        </w:tabs>
      </w:pPr>
      <w:r>
        <w:rPr>
          <w:rFonts w:hint="eastAsia" w:ascii="Times New Roman" w:hAnsi="Times New Roman" w:eastAsia="宋体" w:cs="Times New Roman"/>
          <w:smallCaps/>
          <w:color w:val="auto"/>
          <w:szCs w:val="22"/>
          <w:highlight w:val="none"/>
        </w:rPr>
        <w:fldChar w:fldCharType="begin"/>
      </w:r>
      <w:r>
        <w:rPr>
          <w:rFonts w:hint="eastAsia" w:ascii="Times New Roman" w:hAnsi="Times New Roman" w:eastAsia="宋体" w:cs="Times New Roman"/>
          <w:smallCaps/>
          <w:szCs w:val="22"/>
          <w:highlight w:val="none"/>
        </w:rPr>
        <w:instrText xml:space="preserve"> HYPERLINK \l _Toc16474 </w:instrText>
      </w:r>
      <w:r>
        <w:rPr>
          <w:rFonts w:hint="eastAsia" w:ascii="Times New Roman" w:hAnsi="Times New Roman" w:eastAsia="宋体" w:cs="Times New Roman"/>
          <w:smallCaps/>
          <w:szCs w:val="22"/>
          <w:highlight w:val="none"/>
        </w:rPr>
        <w:fldChar w:fldCharType="separate"/>
      </w:r>
      <w:r>
        <w:rPr>
          <w:rFonts w:hint="eastAsia"/>
        </w:rPr>
        <w:t>第七章 投标文件格式</w:t>
      </w:r>
      <w:r>
        <w:tab/>
      </w:r>
      <w:r>
        <w:fldChar w:fldCharType="begin"/>
      </w:r>
      <w:r>
        <w:instrText xml:space="preserve"> PAGEREF _Toc16474 \h </w:instrText>
      </w:r>
      <w:r>
        <w:fldChar w:fldCharType="separate"/>
      </w:r>
      <w:r>
        <w:t>440</w:t>
      </w:r>
      <w:r>
        <w:fldChar w:fldCharType="end"/>
      </w:r>
      <w:r>
        <w:rPr>
          <w:rFonts w:hint="eastAsia" w:ascii="Times New Roman" w:hAnsi="Times New Roman" w:eastAsia="宋体" w:cs="Times New Roman"/>
          <w:smallCaps/>
          <w:color w:val="auto"/>
          <w:szCs w:val="22"/>
          <w:highlight w:val="none"/>
        </w:rPr>
        <w:fldChar w:fldCharType="end"/>
      </w:r>
    </w:p>
    <w:p>
      <w:pPr>
        <w:pStyle w:val="11"/>
        <w:tabs>
          <w:tab w:val="right" w:leader="dot" w:pos="8390"/>
        </w:tabs>
      </w:pPr>
    </w:p>
    <w:p>
      <w:pPr>
        <w:pStyle w:val="20"/>
        <w:tabs>
          <w:tab w:val="right" w:leader="dot" w:pos="8380"/>
        </w:tabs>
        <w:spacing w:line="360" w:lineRule="auto"/>
        <w:rPr>
          <w:rFonts w:hint="eastAsia" w:ascii="Times New Roman" w:hAnsi="Times New Roman" w:eastAsia="宋体" w:cs="Times New Roman"/>
          <w:b/>
          <w:smallCaps/>
          <w:color w:val="auto"/>
          <w:sz w:val="24"/>
          <w:szCs w:val="22"/>
          <w:highlight w:val="none"/>
        </w:rPr>
      </w:pPr>
      <w:r>
        <w:rPr>
          <w:rFonts w:hint="eastAsia" w:ascii="Times New Roman" w:hAnsi="Times New Roman" w:eastAsia="宋体" w:cs="Times New Roman"/>
          <w:smallCaps/>
          <w:color w:val="auto"/>
          <w:szCs w:val="22"/>
          <w:highlight w:val="none"/>
        </w:rPr>
        <w:fldChar w:fldCharType="end"/>
      </w:r>
    </w:p>
    <w:p>
      <w:pPr>
        <w:rPr>
          <w:rFonts w:hint="eastAsia" w:ascii="宋体" w:hAnsi="宋体" w:cs="宋体"/>
          <w:b/>
          <w:bCs/>
          <w:caps/>
          <w:color w:val="auto"/>
          <w:sz w:val="24"/>
          <w:szCs w:val="24"/>
          <w:highlight w:val="none"/>
        </w:rPr>
      </w:pPr>
    </w:p>
    <w:p>
      <w:pPr>
        <w:rPr>
          <w:rFonts w:hint="eastAsia" w:ascii="宋体" w:hAnsi="宋体" w:cs="宋体"/>
          <w:b/>
          <w:bCs/>
          <w:caps/>
          <w:color w:val="auto"/>
          <w:sz w:val="24"/>
          <w:szCs w:val="24"/>
          <w:highlight w:val="none"/>
        </w:rPr>
      </w:pPr>
    </w:p>
    <w:p>
      <w:pPr>
        <w:rPr>
          <w:rFonts w:hint="eastAsia" w:ascii="宋体" w:hAnsi="宋体" w:cs="宋体"/>
          <w:b/>
          <w:bCs/>
          <w:caps/>
          <w:color w:val="auto"/>
          <w:sz w:val="24"/>
          <w:szCs w:val="24"/>
          <w:highlight w:val="none"/>
        </w:rPr>
      </w:pPr>
    </w:p>
    <w:p>
      <w:pPr>
        <w:rPr>
          <w:rFonts w:hint="eastAsia" w:ascii="宋体" w:hAnsi="宋体" w:cs="宋体"/>
          <w:b/>
          <w:bCs/>
          <w:caps/>
          <w:color w:val="auto"/>
          <w:sz w:val="24"/>
          <w:szCs w:val="24"/>
          <w:highlight w:val="none"/>
        </w:rPr>
      </w:pPr>
    </w:p>
    <w:p>
      <w:pPr>
        <w:rPr>
          <w:rFonts w:hint="eastAsia" w:ascii="宋体" w:hAnsi="宋体" w:cs="宋体"/>
          <w:b/>
          <w:bCs/>
          <w:caps/>
          <w:color w:val="auto"/>
          <w:sz w:val="24"/>
          <w:szCs w:val="24"/>
          <w:highlight w:val="none"/>
        </w:rPr>
      </w:pPr>
    </w:p>
    <w:p>
      <w:pPr>
        <w:rPr>
          <w:rFonts w:hint="eastAsia" w:ascii="宋体" w:hAnsi="宋体" w:cs="宋体"/>
          <w:b/>
          <w:bCs/>
          <w:caps/>
          <w:color w:val="auto"/>
          <w:sz w:val="24"/>
          <w:szCs w:val="24"/>
          <w:highlight w:val="none"/>
        </w:rPr>
      </w:pPr>
    </w:p>
    <w:p>
      <w:pPr>
        <w:rPr>
          <w:rFonts w:hint="eastAsia" w:ascii="宋体" w:hAnsi="宋体" w:cs="宋体"/>
          <w:b/>
          <w:bCs/>
          <w:caps/>
          <w:color w:val="auto"/>
          <w:sz w:val="24"/>
          <w:szCs w:val="24"/>
          <w:highlight w:val="none"/>
        </w:rPr>
      </w:pPr>
    </w:p>
    <w:p>
      <w:pPr>
        <w:rPr>
          <w:rFonts w:hint="eastAsia" w:ascii="宋体" w:hAnsi="宋体" w:cs="宋体"/>
          <w:b/>
          <w:bCs/>
          <w:caps/>
          <w:color w:val="auto"/>
          <w:sz w:val="24"/>
          <w:szCs w:val="24"/>
          <w:highlight w:val="none"/>
        </w:rPr>
      </w:pPr>
    </w:p>
    <w:p>
      <w:pPr>
        <w:rPr>
          <w:rFonts w:hint="eastAsia" w:ascii="宋体" w:hAnsi="宋体" w:cs="宋体"/>
          <w:b/>
          <w:bCs/>
          <w:caps/>
          <w:color w:val="auto"/>
          <w:sz w:val="24"/>
          <w:szCs w:val="24"/>
          <w:highlight w:val="none"/>
        </w:rPr>
      </w:pPr>
    </w:p>
    <w:p>
      <w:pPr>
        <w:jc w:val="center"/>
        <w:rPr>
          <w:rFonts w:hint="eastAsia" w:ascii="宋体" w:hAnsi="宋体" w:cs="宋体"/>
          <w:b/>
          <w:bCs/>
          <w:caps/>
          <w:color w:val="auto"/>
          <w:sz w:val="24"/>
          <w:szCs w:val="24"/>
          <w:highlight w:val="none"/>
        </w:rPr>
      </w:pPr>
      <w:r>
        <w:rPr>
          <w:rFonts w:ascii="宋体" w:hAnsi="宋体" w:cs="宋体"/>
          <w:b/>
          <w:bCs/>
          <w:caps/>
          <w:color w:val="auto"/>
          <w:sz w:val="24"/>
          <w:szCs w:val="24"/>
          <w:highlight w:val="none"/>
        </w:rPr>
        <w:br w:type="page"/>
      </w:r>
    </w:p>
    <w:p>
      <w:pPr>
        <w:pStyle w:val="3"/>
        <w:bidi w:val="0"/>
        <w:spacing w:line="240" w:lineRule="auto"/>
        <w:jc w:val="center"/>
        <w:rPr>
          <w:rFonts w:hint="eastAsia" w:ascii="宋体" w:hAnsi="宋体" w:eastAsia="宋体" w:cs="宋体"/>
          <w:i w:val="0"/>
          <w:iCs w:val="0"/>
          <w:color w:val="auto"/>
          <w:kern w:val="2"/>
          <w:sz w:val="24"/>
          <w:szCs w:val="24"/>
          <w:highlight w:val="none"/>
          <w:lang w:val="en-US" w:eastAsia="zh-CN" w:bidi="ar-SA"/>
        </w:rPr>
      </w:pPr>
      <w:bookmarkStart w:id="3" w:name="_Toc28426_WPSOffice_Level1"/>
      <w:bookmarkStart w:id="4" w:name="_Toc9487"/>
      <w:bookmarkStart w:id="5" w:name="_Toc40975436"/>
      <w:r>
        <w:rPr>
          <w:rFonts w:hint="eastAsia"/>
          <w:color w:val="auto"/>
          <w:sz w:val="32"/>
          <w:szCs w:val="44"/>
          <w:highlight w:val="none"/>
        </w:rPr>
        <w:t>第一章  招标公告</w:t>
      </w:r>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2"/>
          <w:sz w:val="24"/>
          <w:szCs w:val="24"/>
          <w:highlight w:val="none"/>
          <w:lang w:val="en-US" w:eastAsia="zh-CN" w:bidi="ar-SA"/>
        </w:rPr>
      </w:pPr>
      <w:bookmarkStart w:id="6" w:name="_Toc35393790"/>
      <w:bookmarkStart w:id="7" w:name="_Toc35393621"/>
      <w:bookmarkStart w:id="8" w:name="_Toc28359079"/>
      <w:bookmarkStart w:id="9" w:name="_Toc28359002"/>
      <w:bookmarkStart w:id="10" w:name="_Hlk24379207"/>
      <w:bookmarkStart w:id="11" w:name="_Hlt510343011"/>
      <w:bookmarkStart w:id="12" w:name="_Hlt510342998"/>
      <w:bookmarkStart w:id="13" w:name="_Toc7329_WPSOffice_Level1"/>
      <w:r>
        <w:rPr>
          <w:rFonts w:hint="eastAsia" w:ascii="宋体" w:hAnsi="宋体" w:eastAsia="宋体" w:cs="宋体"/>
          <w:i w:val="0"/>
          <w:iCs w:val="0"/>
          <w:color w:val="auto"/>
          <w:kern w:val="2"/>
          <w:sz w:val="24"/>
          <w:szCs w:val="24"/>
          <w:highlight w:val="none"/>
          <w:lang w:val="en-US" w:eastAsia="zh-CN" w:bidi="ar-SA"/>
        </w:rPr>
        <w:t>一、项目基本情况</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项目编号：</w:t>
      </w:r>
      <w:r>
        <w:rPr>
          <w:rFonts w:hint="eastAsia" w:ascii="宋体" w:hAnsi="宋体" w:cs="宋体"/>
          <w:i w:val="0"/>
          <w:iCs w:val="0"/>
          <w:color w:val="auto"/>
          <w:kern w:val="2"/>
          <w:sz w:val="24"/>
          <w:szCs w:val="24"/>
          <w:highlight w:val="none"/>
          <w:lang w:val="en-US" w:eastAsia="zh-CN" w:bidi="ar-SA"/>
        </w:rPr>
        <w:t>郸财招标采购-2024-18</w:t>
      </w:r>
    </w:p>
    <w:p>
      <w:p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bidi="ar-SA"/>
        </w:rPr>
        <w:t>项目名称</w:t>
      </w:r>
      <w:r>
        <w:rPr>
          <w:rFonts w:hint="eastAsia" w:ascii="Times New Roman" w:hAnsi="Times New Roman" w:eastAsia="宋体" w:cs="Times New Roman"/>
          <w:color w:val="auto"/>
          <w:sz w:val="24"/>
          <w:szCs w:val="24"/>
          <w:highlight w:val="none"/>
          <w:lang w:val="en-US" w:eastAsia="zh-CN"/>
        </w:rPr>
        <w:t>：</w:t>
      </w:r>
      <w:bookmarkEnd w:id="10"/>
      <w:r>
        <w:rPr>
          <w:rFonts w:hint="eastAsia" w:cs="Times New Roman"/>
          <w:color w:val="auto"/>
          <w:sz w:val="24"/>
          <w:szCs w:val="24"/>
          <w:highlight w:val="none"/>
          <w:lang w:val="en-US" w:eastAsia="zh-CN"/>
        </w:rPr>
        <w:t>郸城县民政局敬老院春季生活物资采购项目</w:t>
      </w:r>
    </w:p>
    <w:p>
      <w:pPr>
        <w:spacing w:line="360" w:lineRule="auto"/>
        <w:ind w:firstLine="480" w:firstLineChars="200"/>
        <w:rPr>
          <w:rFonts w:hint="default" w:ascii="宋体" w:hAnsi="宋体" w:eastAsia="宋体" w:cs="宋体"/>
          <w:i w:val="0"/>
          <w:iCs w:val="0"/>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预</w:t>
      </w:r>
      <w:r>
        <w:rPr>
          <w:rFonts w:hint="eastAsia" w:ascii="宋体" w:hAnsi="宋体" w:eastAsia="宋体" w:cs="宋体"/>
          <w:i w:val="0"/>
          <w:iCs w:val="0"/>
          <w:color w:val="auto"/>
          <w:kern w:val="2"/>
          <w:sz w:val="24"/>
          <w:szCs w:val="24"/>
          <w:highlight w:val="none"/>
          <w:lang w:val="en-US" w:eastAsia="zh-CN" w:bidi="ar-SA"/>
        </w:rPr>
        <w:t>算金额：</w:t>
      </w:r>
      <w:r>
        <w:rPr>
          <w:rFonts w:hint="eastAsia" w:ascii="宋体" w:hAnsi="宋体" w:cs="宋体"/>
          <w:i w:val="0"/>
          <w:iCs w:val="0"/>
          <w:color w:val="auto"/>
          <w:kern w:val="2"/>
          <w:sz w:val="24"/>
          <w:szCs w:val="24"/>
          <w:highlight w:val="none"/>
          <w:lang w:val="en-US" w:eastAsia="zh-CN" w:bidi="ar-SA"/>
        </w:rPr>
        <w:t>2192500.00元</w:t>
      </w:r>
    </w:p>
    <w:p>
      <w:pPr>
        <w:spacing w:line="360" w:lineRule="auto"/>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最高限价（如有）：</w:t>
      </w:r>
      <w:r>
        <w:rPr>
          <w:rFonts w:hint="eastAsia" w:ascii="宋体" w:hAnsi="宋体" w:cs="宋体"/>
          <w:i w:val="0"/>
          <w:iCs w:val="0"/>
          <w:color w:val="auto"/>
          <w:kern w:val="2"/>
          <w:sz w:val="24"/>
          <w:szCs w:val="24"/>
          <w:highlight w:val="none"/>
          <w:lang w:val="en-US" w:eastAsia="zh-CN" w:bidi="ar-SA"/>
        </w:rPr>
        <w:t>2192500.00元</w:t>
      </w:r>
    </w:p>
    <w:p>
      <w:pPr>
        <w:spacing w:line="360" w:lineRule="auto"/>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包别划分：</w:t>
      </w:r>
      <w:r>
        <w:rPr>
          <w:rFonts w:hint="eastAsia" w:ascii="宋体" w:hAnsi="宋体" w:cs="宋体"/>
          <w:i w:val="0"/>
          <w:iCs w:val="0"/>
          <w:color w:val="auto"/>
          <w:kern w:val="2"/>
          <w:sz w:val="24"/>
          <w:szCs w:val="24"/>
          <w:highlight w:val="none"/>
          <w:lang w:val="en-US" w:eastAsia="zh-CN" w:bidi="ar-SA"/>
        </w:rPr>
        <w:t>1</w:t>
      </w:r>
      <w:r>
        <w:rPr>
          <w:rFonts w:hint="eastAsia"/>
          <w:color w:val="auto"/>
          <w:sz w:val="24"/>
          <w:szCs w:val="24"/>
          <w:highlight w:val="none"/>
          <w:lang w:val="en-US" w:eastAsia="zh-CN"/>
        </w:rPr>
        <w:t>个包</w:t>
      </w:r>
    </w:p>
    <w:tbl>
      <w:tblPr>
        <w:tblStyle w:val="25"/>
        <w:tblpPr w:leftFromText="180" w:rightFromText="180" w:vertAnchor="text" w:horzAnchor="margin" w:tblpXSpec="center" w:tblpY="154"/>
        <w:tblW w:w="9418"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6379"/>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包号</w:t>
            </w:r>
          </w:p>
        </w:tc>
        <w:tc>
          <w:tcPr>
            <w:tcW w:w="63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包名称</w:t>
            </w:r>
          </w:p>
        </w:tc>
        <w:tc>
          <w:tcPr>
            <w:tcW w:w="21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包最高限价</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元</w:t>
            </w:r>
            <w:r>
              <w:rPr>
                <w:rFonts w:hint="eastAsia" w:ascii="宋体" w:hAnsi="宋体" w:cs="宋体"/>
                <w:i w:val="0"/>
                <w:iCs w:val="0"/>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w:t>
            </w:r>
          </w:p>
        </w:tc>
        <w:tc>
          <w:tcPr>
            <w:tcW w:w="6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郸城县民政局敬老院春季生活物资采购项目</w:t>
            </w:r>
          </w:p>
        </w:tc>
        <w:tc>
          <w:tcPr>
            <w:tcW w:w="21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2192500.00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采购需求：</w:t>
      </w:r>
      <w:r>
        <w:rPr>
          <w:rFonts w:hint="eastAsia" w:ascii="宋体" w:hAnsi="宋体" w:cs="宋体"/>
          <w:i w:val="0"/>
          <w:iCs w:val="0"/>
          <w:color w:val="auto"/>
          <w:kern w:val="2"/>
          <w:sz w:val="24"/>
          <w:szCs w:val="24"/>
          <w:highlight w:val="none"/>
          <w:lang w:val="en-US" w:eastAsia="zh-CN" w:bidi="ar-SA"/>
        </w:rPr>
        <w:t>（包括但不限于标的的名称、数量、简要技术需求或服务要求等）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合同履行期限：</w:t>
      </w:r>
      <w:r>
        <w:rPr>
          <w:rFonts w:hint="eastAsia" w:ascii="宋体" w:hAnsi="宋体" w:cs="宋体"/>
          <w:color w:val="auto"/>
          <w:sz w:val="24"/>
          <w:highlight w:val="none"/>
          <w:lang w:eastAsia="zh-CN"/>
        </w:rPr>
        <w:t>合同签订后7日历天内</w:t>
      </w:r>
      <w:r>
        <w:rPr>
          <w:rFonts w:hint="eastAsia" w:ascii="宋体" w:hAnsi="宋体" w:eastAsia="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val="en-US" w:eastAsia="zh-CN"/>
        </w:rPr>
      </w:pPr>
      <w:bookmarkStart w:id="14" w:name="_Toc35393791"/>
      <w:bookmarkStart w:id="15" w:name="_Toc35393622"/>
      <w:bookmarkStart w:id="16" w:name="_Toc28359003"/>
      <w:bookmarkStart w:id="17" w:name="_Toc28359080"/>
      <w:r>
        <w:rPr>
          <w:rFonts w:hint="eastAsia" w:ascii="宋体" w:hAnsi="宋体" w:eastAsia="宋体" w:cs="宋体"/>
          <w:i w:val="0"/>
          <w:iCs w:val="0"/>
          <w:color w:val="auto"/>
          <w:sz w:val="24"/>
          <w:szCs w:val="24"/>
          <w:highlight w:val="none"/>
        </w:rPr>
        <w:t>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本项目是否接受联合体投标</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rPr>
        <w:t>本项目</w:t>
      </w:r>
      <w:r>
        <w:rPr>
          <w:rFonts w:hint="eastAsia" w:ascii="宋体" w:hAnsi="宋体" w:eastAsia="宋体" w:cs="宋体"/>
          <w:b w:val="0"/>
          <w:bCs w:val="0"/>
          <w:i w:val="0"/>
          <w:iCs w:val="0"/>
          <w:color w:val="auto"/>
          <w:sz w:val="24"/>
          <w:szCs w:val="24"/>
          <w:highlight w:val="none"/>
          <w:lang w:val="en-US" w:eastAsia="zh-CN"/>
        </w:rPr>
        <w:t>是否为只面向中小企业采购：</w:t>
      </w:r>
      <w:r>
        <w:rPr>
          <w:rFonts w:hint="eastAsia" w:ascii="宋体" w:hAnsi="宋体" w:cs="宋体"/>
          <w:b w:val="0"/>
          <w:bCs w:val="0"/>
          <w:i w:val="0"/>
          <w:iCs w:val="0"/>
          <w:color w:val="auto"/>
          <w:sz w:val="24"/>
          <w:szCs w:val="24"/>
          <w:highlight w:val="none"/>
          <w:lang w:val="en-US" w:eastAsia="zh-CN"/>
        </w:rPr>
        <w:t>是，</w:t>
      </w:r>
      <w:r>
        <w:rPr>
          <w:rFonts w:hint="eastAsia" w:ascii="宋体" w:hAnsi="宋体" w:eastAsia="宋体" w:cs="宋体"/>
          <w:i w:val="0"/>
          <w:iCs w:val="0"/>
          <w:color w:val="auto"/>
          <w:sz w:val="24"/>
          <w:szCs w:val="24"/>
          <w:highlight w:val="none"/>
          <w:lang w:val="en-US" w:eastAsia="zh-CN"/>
        </w:rPr>
        <w:t>采购预留金额</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u w:val="single"/>
          <w:lang w:val="en-US" w:eastAsia="zh-CN"/>
        </w:rPr>
        <w:t xml:space="preserve">  2192500.00 </w:t>
      </w:r>
      <w:r>
        <w:rPr>
          <w:rFonts w:hint="eastAsia" w:cs="宋体"/>
          <w:i w:val="0"/>
          <w:iCs w:val="0"/>
          <w:color w:val="auto"/>
          <w:sz w:val="24"/>
          <w:szCs w:val="24"/>
          <w:highlight w:val="none"/>
          <w:u w:val="single"/>
          <w:lang w:val="en-US" w:eastAsia="zh-CN"/>
        </w:rPr>
        <w:t>元</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color w:val="auto"/>
          <w:highlight w:val="none"/>
          <w:lang w:val="en-US" w:eastAsia="zh-CN"/>
        </w:rPr>
      </w:pPr>
      <w:r>
        <w:rPr>
          <w:rFonts w:hint="eastAsia" w:ascii="宋体" w:hAnsi="宋体" w:eastAsia="宋体" w:cs="宋体"/>
          <w:i w:val="0"/>
          <w:iCs w:val="0"/>
          <w:color w:val="auto"/>
          <w:sz w:val="24"/>
          <w:szCs w:val="24"/>
          <w:highlight w:val="none"/>
          <w:u w:val="none"/>
          <w:lang w:val="en-US" w:eastAsia="zh-CN"/>
        </w:rPr>
        <w:t>必须提供中小企业声明函</w:t>
      </w:r>
      <w:r>
        <w:rPr>
          <w:rFonts w:hint="eastAsia" w:cs="宋体"/>
          <w:i w:val="0"/>
          <w:iCs w:val="0"/>
          <w:color w:val="auto"/>
          <w:sz w:val="24"/>
          <w:szCs w:val="24"/>
          <w:highlight w:val="none"/>
          <w:u w:val="none"/>
          <w:lang w:val="en-US" w:eastAsia="zh-CN"/>
        </w:rPr>
        <w:t>：是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二、申请人的资格要求：</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1.满足《中华人民共和国政府采购法》第二十二条规定；</w:t>
      </w:r>
    </w:p>
    <w:p>
      <w:pPr>
        <w:pStyle w:val="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（1）具有独立承担民事责任的能力（企业营业执照等证明文件）；</w:t>
      </w:r>
    </w:p>
    <w:p>
      <w:pPr>
        <w:pStyle w:val="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Style w:val="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Style w:val="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（4）有依法缴纳税收和社会保障资金的良好记录（缴纳的税收凭据、社会保险凭据，依法免税或不需要缴纳社会保障资金的供应商应提供相应的证明文件）；</w:t>
      </w:r>
    </w:p>
    <w:p>
      <w:pPr>
        <w:pStyle w:val="8"/>
        <w:adjustRightInd w:val="0"/>
        <w:snapToGrid w:val="0"/>
        <w:spacing w:line="360" w:lineRule="auto"/>
        <w:ind w:firstLine="480" w:firstLineChars="200"/>
        <w:rPr>
          <w:rFonts w:hint="eastAsia"/>
          <w:color w:val="auto"/>
          <w:highlight w:val="none"/>
        </w:rPr>
      </w:pPr>
      <w:r>
        <w:rPr>
          <w:rFonts w:hint="eastAsia" w:ascii="宋体" w:hAnsi="宋体" w:eastAsia="宋体" w:cs="宋体"/>
          <w:color w:val="auto"/>
          <w:sz w:val="24"/>
          <w:szCs w:val="24"/>
          <w:highlight w:val="none"/>
        </w:rPr>
        <w:t>（5）参加政府采购活动前三年内，在经营活动中没有重大违法记录（提供没有重大违法记录的书面声明函，格式自拟）；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bookmarkStart w:id="18" w:name="_Toc28359004"/>
      <w:bookmarkStart w:id="19" w:name="_Toc28359081"/>
      <w:r>
        <w:rPr>
          <w:rFonts w:hint="eastAsia" w:ascii="宋体" w:hAnsi="宋体" w:eastAsia="宋体" w:cs="宋体"/>
          <w:i w:val="0"/>
          <w:iCs w:val="0"/>
          <w:color w:val="auto"/>
          <w:sz w:val="24"/>
          <w:szCs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rPr>
      </w:pPr>
      <w:r>
        <w:rPr>
          <w:rFonts w:hint="eastAsia" w:ascii="宋体" w:hAnsi="宋体" w:eastAsia="宋体" w:cs="宋体"/>
          <w:i w:val="0"/>
          <w:iCs w:val="0"/>
          <w:color w:val="auto"/>
          <w:sz w:val="24"/>
          <w:szCs w:val="24"/>
          <w:highlight w:val="none"/>
        </w:rPr>
        <w:t>3.本项目的特定资格要求：</w:t>
      </w:r>
      <w:r>
        <w:rPr>
          <w:rFonts w:hint="eastAsia"/>
          <w:color w:val="auto"/>
          <w:sz w:val="24"/>
          <w:szCs w:val="24"/>
          <w:highlight w:val="none"/>
        </w:rPr>
        <w:t>（1）根据《关于在政府采购活动中查询及使用信用记录有关问题的通知》(财库[2016]125号)和豫财购【2016】15号的规定，对列入“信用中国”网站（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4"/>
          <w:szCs w:val="24"/>
          <w:highlight w:val="none"/>
        </w:rPr>
        <w:t>www.creditchina.gov.cn</w:t>
      </w:r>
      <w:r>
        <w:rPr>
          <w:rFonts w:hint="eastAsia"/>
          <w:color w:val="auto"/>
          <w:sz w:val="24"/>
          <w:szCs w:val="24"/>
          <w:highlight w:val="none"/>
        </w:rPr>
        <w:fldChar w:fldCharType="end"/>
      </w:r>
      <w:r>
        <w:rPr>
          <w:rFonts w:hint="eastAsia"/>
          <w:color w:val="auto"/>
          <w:sz w:val="24"/>
          <w:szCs w:val="24"/>
          <w:highlight w:val="none"/>
        </w:rPr>
        <w:t>）的“失信被执行人”、“重大税收违法案件当事人名单（</w:t>
      </w:r>
      <w:r>
        <w:rPr>
          <w:rFonts w:hint="eastAsia"/>
          <w:color w:val="auto"/>
          <w:sz w:val="24"/>
          <w:szCs w:val="24"/>
          <w:highlight w:val="none"/>
          <w:lang w:val="en-US"/>
        </w:rPr>
        <w:t>重大税收违法失信主体</w:t>
      </w:r>
      <w:r>
        <w:rPr>
          <w:rFonts w:hint="eastAsia"/>
          <w:color w:val="auto"/>
          <w:sz w:val="24"/>
          <w:szCs w:val="24"/>
          <w:highlight w:val="none"/>
        </w:rPr>
        <w:t>）”和“中国政府采购”网站(</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color w:val="auto"/>
          <w:sz w:val="24"/>
          <w:szCs w:val="24"/>
          <w:highlight w:val="none"/>
        </w:rPr>
        <w:t>www.ccgp.gov.cn</w:t>
      </w:r>
      <w:r>
        <w:rPr>
          <w:rFonts w:hint="eastAsia"/>
          <w:color w:val="auto"/>
          <w:sz w:val="24"/>
          <w:szCs w:val="24"/>
          <w:highlight w:val="none"/>
        </w:rPr>
        <w:fldChar w:fldCharType="end"/>
      </w:r>
      <w:r>
        <w:rPr>
          <w:rFonts w:hint="eastAsia"/>
          <w:color w:val="auto"/>
          <w:sz w:val="24"/>
          <w:szCs w:val="24"/>
          <w:highlight w:val="none"/>
        </w:rPr>
        <w:t>)的“政府采购严重违法失信行为记录名单”的供应商</w:t>
      </w:r>
      <w:r>
        <w:rPr>
          <w:rFonts w:hint="eastAsia"/>
          <w:color w:val="auto"/>
          <w:sz w:val="24"/>
          <w:szCs w:val="24"/>
          <w:highlight w:val="none"/>
          <w:lang w:val="en-US"/>
        </w:rPr>
        <w:t>和法定代表人</w:t>
      </w:r>
      <w:r>
        <w:rPr>
          <w:rFonts w:hint="eastAsia"/>
          <w:color w:val="auto"/>
          <w:sz w:val="24"/>
          <w:szCs w:val="24"/>
          <w:highlight w:val="none"/>
        </w:rPr>
        <w:t>，将拒绝其参加政府采购活动；在标书中附加盖公章的网页查询扫描件，查询日期为公告发布之日起至投标截止之日止。</w:t>
      </w:r>
    </w:p>
    <w:p>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注：由于“信用中国”网站更新，“失信被执行人”查询窗口转跳至“中国执行信息公开网”，故本项目</w:t>
      </w:r>
      <w:r>
        <w:rPr>
          <w:rFonts w:hint="eastAsia" w:cs="宋体"/>
          <w:color w:val="auto"/>
          <w:sz w:val="24"/>
          <w:szCs w:val="24"/>
          <w:highlight w:val="none"/>
          <w:lang w:val="en-US" w:eastAsia="zh-CN"/>
        </w:rPr>
        <w:t>供应商</w:t>
      </w:r>
      <w:r>
        <w:rPr>
          <w:rFonts w:hint="eastAsia" w:cs="宋体"/>
          <w:color w:val="auto"/>
          <w:sz w:val="24"/>
          <w:szCs w:val="24"/>
          <w:highlight w:val="none"/>
        </w:rPr>
        <w:t>查询提供“中国执行信息公开网”网站失信被执行人查询结果</w:t>
      </w:r>
      <w:r>
        <w:rPr>
          <w:rFonts w:hint="eastAsia" w:cs="宋体"/>
          <w:color w:val="auto"/>
          <w:sz w:val="24"/>
          <w:szCs w:val="24"/>
          <w:highlight w:val="none"/>
          <w:lang w:val="en-US" w:eastAsia="zh-CN"/>
        </w:rPr>
        <w:t>即可</w:t>
      </w:r>
      <w:r>
        <w:rPr>
          <w:rFonts w:hint="eastAsia" w:cs="宋体"/>
          <w:color w:val="auto"/>
          <w:sz w:val="24"/>
          <w:szCs w:val="24"/>
          <w:highlight w:val="none"/>
        </w:rPr>
        <w:t>。</w:t>
      </w:r>
    </w:p>
    <w:p>
      <w:pPr>
        <w:spacing w:line="360" w:lineRule="auto"/>
        <w:ind w:firstLine="480" w:firstLineChars="200"/>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（2）查询投标企业在“</w:t>
      </w:r>
      <w:r>
        <w:rPr>
          <w:rFonts w:hint="eastAsia" w:ascii="宋体" w:hAnsi="宋体" w:cs="宋体"/>
          <w:i w:val="0"/>
          <w:iCs w:val="0"/>
          <w:color w:val="auto"/>
          <w:sz w:val="24"/>
          <w:szCs w:val="24"/>
          <w:highlight w:val="none"/>
          <w:lang w:val="en-US" w:eastAsia="zh-CN"/>
        </w:rPr>
        <w:t>国家</w:t>
      </w:r>
      <w:r>
        <w:rPr>
          <w:rFonts w:hint="eastAsia" w:ascii="宋体" w:hAnsi="宋体" w:eastAsia="宋体" w:cs="宋体"/>
          <w:i w:val="0"/>
          <w:iCs w:val="0"/>
          <w:color w:val="auto"/>
          <w:sz w:val="24"/>
          <w:szCs w:val="24"/>
          <w:highlight w:val="none"/>
          <w:lang w:val="en-US" w:eastAsia="zh-CN"/>
        </w:rPr>
        <w:t>企业信用信息公示系统”中公示的公司信息，所有提供信用信息网络查询结果加盖单位公章和法定代表人签章后扫描件附入</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bookmarkStart w:id="20" w:name="_Toc35393792"/>
      <w:bookmarkStart w:id="21" w:name="_Toc35393623"/>
      <w:r>
        <w:rPr>
          <w:rFonts w:hint="eastAsia" w:ascii="宋体" w:hAnsi="宋体" w:eastAsia="宋体" w:cs="宋体"/>
          <w:i w:val="0"/>
          <w:iCs w:val="0"/>
          <w:color w:val="auto"/>
          <w:sz w:val="24"/>
          <w:szCs w:val="24"/>
          <w:highlight w:val="none"/>
        </w:rPr>
        <w:t>三、获取招标文件</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cs="宋体"/>
          <w:sz w:val="24"/>
          <w:lang w:val="en-US" w:eastAsia="zh-CN"/>
        </w:rPr>
        <w:t>2024</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日至</w:t>
      </w:r>
      <w:r>
        <w:rPr>
          <w:rFonts w:hint="eastAsia" w:ascii="宋体" w:hAnsi="宋体" w:cs="宋体"/>
          <w:sz w:val="24"/>
          <w:lang w:val="en-US" w:eastAsia="zh-CN"/>
        </w:rPr>
        <w:t>2024</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w:t>
      </w:r>
      <w:r>
        <w:rPr>
          <w:rFonts w:hint="eastAsia" w:ascii="宋体" w:hAnsi="宋体" w:eastAsia="宋体" w:cs="宋体"/>
          <w:i w:val="0"/>
          <w:iCs w:val="0"/>
          <w:color w:val="auto"/>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地点：周口市公共资源交易</w:t>
      </w:r>
      <w:r>
        <w:rPr>
          <w:rFonts w:hint="eastAsia" w:ascii="宋体" w:hAnsi="宋体" w:eastAsia="宋体" w:cs="宋体"/>
          <w:i w:val="0"/>
          <w:iCs w:val="0"/>
          <w:color w:val="auto"/>
          <w:sz w:val="24"/>
          <w:szCs w:val="24"/>
          <w:highlight w:val="none"/>
          <w:lang w:eastAsia="zh-CN"/>
        </w:rPr>
        <w:t>中心网</w:t>
      </w:r>
      <w:r>
        <w:rPr>
          <w:rFonts w:hint="eastAsia" w:ascii="宋体" w:hAnsi="宋体" w:eastAsia="宋体" w:cs="宋体"/>
          <w:i w:val="0"/>
          <w:iCs w:val="0"/>
          <w:color w:val="auto"/>
          <w:sz w:val="24"/>
          <w:szCs w:val="24"/>
          <w:highlight w:val="none"/>
        </w:rPr>
        <w:t>（http://jyzx.zhoukou.gov.cn）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方式：供应商</w:t>
      </w:r>
      <w:r>
        <w:rPr>
          <w:rFonts w:hint="eastAsia" w:ascii="宋体" w:hAnsi="宋体" w:eastAsia="宋体" w:cs="宋体"/>
          <w:i w:val="0"/>
          <w:iCs w:val="0"/>
          <w:color w:val="auto"/>
          <w:sz w:val="24"/>
          <w:szCs w:val="24"/>
          <w:highlight w:val="none"/>
          <w:lang w:val="en-US" w:eastAsia="zh-CN"/>
        </w:rPr>
        <w:t>请在网站自主注册后</w:t>
      </w:r>
      <w:r>
        <w:rPr>
          <w:rFonts w:hint="eastAsia" w:ascii="宋体" w:hAnsi="宋体" w:eastAsia="宋体" w:cs="宋体"/>
          <w:i w:val="0"/>
          <w:iCs w:val="0"/>
          <w:color w:val="auto"/>
          <w:sz w:val="24"/>
          <w:szCs w:val="24"/>
          <w:highlight w:val="none"/>
        </w:rPr>
        <w:t>下载采购文件（zkzf格式）及资料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需</w:t>
      </w:r>
      <w:r>
        <w:rPr>
          <w:rFonts w:hint="eastAsia" w:ascii="宋体" w:hAnsi="宋体" w:eastAsia="宋体" w:cs="宋体"/>
          <w:i w:val="0"/>
          <w:iCs w:val="0"/>
          <w:color w:val="auto"/>
          <w:sz w:val="24"/>
          <w:szCs w:val="24"/>
          <w:highlight w:val="none"/>
          <w:lang w:val="en-US" w:eastAsia="zh-CN"/>
        </w:rPr>
        <w:t>办理</w:t>
      </w:r>
      <w:r>
        <w:rPr>
          <w:rFonts w:hint="eastAsia" w:ascii="宋体" w:hAnsi="宋体" w:eastAsia="宋体" w:cs="宋体"/>
          <w:i w:val="0"/>
          <w:iCs w:val="0"/>
          <w:color w:val="auto"/>
          <w:sz w:val="24"/>
          <w:szCs w:val="24"/>
          <w:highlight w:val="none"/>
        </w:rPr>
        <w:t>CA数字证书</w:t>
      </w:r>
      <w:r>
        <w:rPr>
          <w:rFonts w:hint="eastAsia" w:ascii="宋体" w:hAnsi="宋体" w:eastAsia="宋体" w:cs="宋体"/>
          <w:i w:val="0"/>
          <w:iCs w:val="0"/>
          <w:color w:val="auto"/>
          <w:sz w:val="24"/>
          <w:szCs w:val="24"/>
          <w:highlight w:val="none"/>
          <w:lang w:val="en-US" w:eastAsia="zh-CN"/>
        </w:rPr>
        <w:t>后方可提交响应文件</w:t>
      </w:r>
      <w:r>
        <w:rPr>
          <w:rFonts w:hint="eastAsia" w:ascii="宋体" w:hAnsi="宋体" w:eastAsia="宋体" w:cs="宋体"/>
          <w:i w:val="0"/>
          <w:iCs w:val="0"/>
          <w:color w:val="auto"/>
          <w:sz w:val="24"/>
          <w:szCs w:val="24"/>
          <w:highlight w:val="none"/>
        </w:rPr>
        <w:t>，具体办理事宜请查阅周口市公共资源</w:t>
      </w:r>
      <w:r>
        <w:rPr>
          <w:rFonts w:hint="eastAsia" w:ascii="宋体" w:hAnsi="宋体" w:eastAsia="宋体" w:cs="宋体"/>
          <w:i w:val="0"/>
          <w:iCs w:val="0"/>
          <w:color w:val="auto"/>
          <w:sz w:val="24"/>
          <w:szCs w:val="24"/>
          <w:highlight w:val="none"/>
          <w:lang w:eastAsia="zh-CN"/>
        </w:rPr>
        <w:t>交易中心</w:t>
      </w:r>
      <w:r>
        <w:rPr>
          <w:rFonts w:hint="eastAsia" w:ascii="宋体" w:hAnsi="宋体" w:eastAsia="宋体" w:cs="宋体"/>
          <w:i w:val="0"/>
          <w:iCs w:val="0"/>
          <w:color w:val="auto"/>
          <w:sz w:val="24"/>
          <w:szCs w:val="24"/>
          <w:highlight w:val="none"/>
        </w:rPr>
        <w:t>网站。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售价：</w:t>
      </w:r>
      <w:r>
        <w:rPr>
          <w:rFonts w:hint="eastAsia" w:ascii="宋体" w:hAnsi="宋体" w:eastAsia="宋体" w:cs="宋体"/>
          <w:i w:val="0"/>
          <w:iCs w:val="0"/>
          <w:color w:val="auto"/>
          <w:sz w:val="24"/>
          <w:szCs w:val="24"/>
          <w:highlight w:val="none"/>
          <w:lang w:val="en-US" w:eastAsia="zh-CN"/>
        </w:rPr>
        <w:t>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bookmarkStart w:id="22" w:name="_Toc28359082"/>
      <w:bookmarkStart w:id="23" w:name="_Toc28359005"/>
      <w:bookmarkStart w:id="24" w:name="_Toc35393793"/>
      <w:bookmarkStart w:id="25" w:name="_Toc35393624"/>
      <w:r>
        <w:rPr>
          <w:rFonts w:hint="eastAsia" w:ascii="宋体" w:hAnsi="宋体" w:eastAsia="宋体" w:cs="宋体"/>
          <w:i w:val="0"/>
          <w:iCs w:val="0"/>
          <w:color w:val="auto"/>
          <w:sz w:val="24"/>
          <w:szCs w:val="24"/>
          <w:highlight w:val="none"/>
        </w:rPr>
        <w:t>四、提交投标文件</w:t>
      </w:r>
      <w:bookmarkEnd w:id="22"/>
      <w:bookmarkEnd w:id="23"/>
      <w:r>
        <w:rPr>
          <w:rFonts w:hint="eastAsia" w:ascii="宋体" w:hAnsi="宋体" w:eastAsia="宋体" w:cs="宋体"/>
          <w:i w:val="0"/>
          <w:iCs w:val="0"/>
          <w:color w:val="auto"/>
          <w:sz w:val="24"/>
          <w:szCs w:val="24"/>
          <w:highlight w:val="none"/>
        </w:rPr>
        <w:t>截止时间、开标时间和地点</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时间：</w:t>
      </w:r>
      <w:r>
        <w:rPr>
          <w:rFonts w:hint="eastAsia" w:ascii="宋体" w:hAnsi="宋体" w:cs="宋体"/>
          <w:i w:val="0"/>
          <w:iCs w:val="0"/>
          <w:color w:val="auto"/>
          <w:sz w:val="24"/>
          <w:szCs w:val="24"/>
          <w:highlight w:val="none"/>
          <w:lang w:val="en-US" w:eastAsia="zh-CN"/>
        </w:rPr>
        <w:t>2024</w:t>
      </w:r>
      <w:r>
        <w:rPr>
          <w:rFonts w:hint="eastAsia" w:ascii="宋体" w:hAnsi="宋体" w:eastAsia="宋体" w:cs="宋体"/>
          <w:i w:val="0"/>
          <w:iCs w:val="0"/>
          <w:color w:val="auto"/>
          <w:sz w:val="24"/>
          <w:szCs w:val="24"/>
          <w:highlight w:val="none"/>
        </w:rPr>
        <w:t>年</w:t>
      </w:r>
      <w:r>
        <w:rPr>
          <w:rFonts w:hint="eastAsia" w:ascii="宋体" w:hAnsi="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月</w:t>
      </w:r>
      <w:r>
        <w:rPr>
          <w:rFonts w:hint="eastAsia" w:ascii="宋体" w:hAnsi="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rPr>
        <w:t>日</w:t>
      </w:r>
      <w:r>
        <w:rPr>
          <w:rFonts w:hint="eastAsia" w:ascii="宋体" w:hAnsi="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点</w:t>
      </w:r>
      <w:r>
        <w:rPr>
          <w:rFonts w:hint="eastAsia" w:ascii="宋体" w:hAnsi="宋体" w:cs="宋体"/>
          <w:i w:val="0"/>
          <w:iCs w:val="0"/>
          <w:color w:val="auto"/>
          <w:sz w:val="24"/>
          <w:szCs w:val="24"/>
          <w:highlight w:val="none"/>
          <w:lang w:val="en-US" w:eastAsia="zh-CN"/>
        </w:rPr>
        <w:t>00</w:t>
      </w:r>
      <w:r>
        <w:rPr>
          <w:rFonts w:hint="eastAsia" w:ascii="宋体" w:hAnsi="宋体" w:eastAsia="宋体" w:cs="宋体"/>
          <w:i w:val="0"/>
          <w:iCs w:val="0"/>
          <w:color w:val="auto"/>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auto"/>
          <w:sz w:val="24"/>
          <w:szCs w:val="24"/>
          <w:highlight w:val="none"/>
          <w:lang w:val="en-US"/>
        </w:rPr>
      </w:pPr>
      <w:r>
        <w:rPr>
          <w:rFonts w:hint="eastAsia" w:ascii="宋体" w:hAnsi="宋体" w:eastAsia="宋体" w:cs="宋体"/>
          <w:i w:val="0"/>
          <w:iCs w:val="0"/>
          <w:color w:val="auto"/>
          <w:sz w:val="24"/>
          <w:szCs w:val="24"/>
          <w:highlight w:val="none"/>
        </w:rPr>
        <w:t>地点：周口市公共资源</w:t>
      </w:r>
      <w:r>
        <w:rPr>
          <w:rFonts w:hint="eastAsia" w:ascii="宋体" w:hAnsi="宋体" w:eastAsia="宋体" w:cs="宋体"/>
          <w:i w:val="0"/>
          <w:iCs w:val="0"/>
          <w:color w:val="auto"/>
          <w:sz w:val="24"/>
          <w:szCs w:val="24"/>
          <w:highlight w:val="none"/>
          <w:lang w:eastAsia="zh-CN"/>
        </w:rPr>
        <w:t>交易中心</w:t>
      </w:r>
      <w:r>
        <w:rPr>
          <w:rFonts w:hint="eastAsia" w:ascii="宋体" w:hAnsi="宋体" w:eastAsia="宋体" w:cs="宋体"/>
          <w:i w:val="0"/>
          <w:iCs w:val="0"/>
          <w:color w:val="auto"/>
          <w:sz w:val="24"/>
          <w:szCs w:val="24"/>
          <w:highlight w:val="none"/>
          <w:lang w:val="en-US" w:eastAsia="zh-CN"/>
        </w:rPr>
        <w:t>开标室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bookmarkStart w:id="26" w:name="_Toc35393625"/>
      <w:bookmarkStart w:id="27" w:name="_Toc28359007"/>
      <w:bookmarkStart w:id="28" w:name="_Toc28359084"/>
      <w:bookmarkStart w:id="29" w:name="_Toc35393794"/>
      <w:r>
        <w:rPr>
          <w:rFonts w:hint="eastAsia" w:ascii="宋体" w:hAnsi="宋体" w:eastAsia="宋体" w:cs="宋体"/>
          <w:i w:val="0"/>
          <w:iCs w:val="0"/>
          <w:color w:val="auto"/>
          <w:sz w:val="24"/>
          <w:szCs w:val="24"/>
          <w:highlight w:val="none"/>
        </w:rPr>
        <w:t>五、公告期限</w:t>
      </w:r>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bookmarkStart w:id="30" w:name="_Toc35393795"/>
      <w:bookmarkStart w:id="31" w:name="_Toc35393626"/>
      <w:r>
        <w:rPr>
          <w:rFonts w:hint="eastAsia" w:ascii="宋体" w:hAnsi="宋体" w:eastAsia="宋体" w:cs="宋体"/>
          <w:i w:val="0"/>
          <w:iCs w:val="0"/>
          <w:color w:val="auto"/>
          <w:sz w:val="24"/>
          <w:szCs w:val="24"/>
          <w:highlight w:val="none"/>
        </w:rPr>
        <w:t>六、其他补充事宜</w:t>
      </w:r>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val="en-US" w:eastAsia="zh-CN"/>
        </w:rPr>
      </w:pPr>
      <w:bookmarkStart w:id="32" w:name="_Toc28359085"/>
      <w:bookmarkStart w:id="33" w:name="_Toc28359008"/>
      <w:bookmarkStart w:id="34" w:name="_Toc35393627"/>
      <w:bookmarkStart w:id="35" w:name="_Toc35393796"/>
      <w:r>
        <w:rPr>
          <w:rFonts w:hint="eastAsia" w:ascii="宋体" w:hAnsi="宋体" w:eastAsia="宋体" w:cs="宋体"/>
          <w:i w:val="0"/>
          <w:iCs w:val="0"/>
          <w:color w:val="auto"/>
          <w:sz w:val="24"/>
          <w:szCs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七、对本次招标提出询问，请按以下方式联系。</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 称：</w:t>
      </w:r>
      <w:r>
        <w:rPr>
          <w:rFonts w:hint="eastAsia" w:ascii="宋体" w:hAnsi="宋体" w:cs="宋体"/>
          <w:i w:val="0"/>
          <w:iCs w:val="0"/>
          <w:color w:val="auto"/>
          <w:sz w:val="24"/>
          <w:szCs w:val="24"/>
          <w:highlight w:val="none"/>
          <w:lang w:eastAsia="zh-CN"/>
        </w:rPr>
        <w:t>郸城县民政局</w:t>
      </w:r>
      <w:r>
        <w:rPr>
          <w:rFonts w:hint="eastAsia" w:ascii="宋体" w:hAnsi="宋体" w:eastAsia="宋体" w:cs="宋体"/>
          <w:i w:val="0"/>
          <w:iCs w:val="0"/>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地址：</w:t>
      </w:r>
      <w:r>
        <w:rPr>
          <w:rFonts w:hint="eastAsia" w:ascii="宋体" w:hAnsi="宋体" w:cs="宋体"/>
          <w:i w:val="0"/>
          <w:iCs w:val="0"/>
          <w:color w:val="auto"/>
          <w:sz w:val="24"/>
          <w:szCs w:val="24"/>
          <w:highlight w:val="none"/>
          <w:lang w:eastAsia="zh-CN"/>
        </w:rPr>
        <w:t>郸城县</w:t>
      </w:r>
      <w:r>
        <w:rPr>
          <w:rFonts w:hint="eastAsia" w:ascii="宋体" w:hAnsi="宋体" w:eastAsia="宋体" w:cs="宋体"/>
          <w:i w:val="0"/>
          <w:iCs w:val="0"/>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项目联系人：</w:t>
      </w:r>
      <w:r>
        <w:rPr>
          <w:rFonts w:hint="eastAsia" w:ascii="宋体" w:hAnsi="宋体" w:cs="宋体"/>
          <w:i w:val="0"/>
          <w:iCs w:val="0"/>
          <w:color w:val="auto"/>
          <w:sz w:val="24"/>
          <w:szCs w:val="24"/>
          <w:highlight w:val="none"/>
          <w:lang w:eastAsia="zh-CN"/>
        </w:rPr>
        <w:t>韩伟</w:t>
      </w:r>
      <w:r>
        <w:rPr>
          <w:rFonts w:hint="eastAsia" w:ascii="宋体" w:hAnsi="宋体" w:eastAsia="宋体" w:cs="宋体"/>
          <w:i w:val="0"/>
          <w:iCs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联系方式：</w:t>
      </w:r>
      <w:r>
        <w:rPr>
          <w:rFonts w:hint="eastAsia" w:ascii="宋体" w:hAnsi="宋体" w:cs="宋体"/>
          <w:i w:val="0"/>
          <w:iCs w:val="0"/>
          <w:color w:val="auto"/>
          <w:sz w:val="24"/>
          <w:szCs w:val="24"/>
          <w:highlight w:val="none"/>
          <w:lang w:val="en-US" w:eastAsia="zh-CN"/>
        </w:rPr>
        <w:t>13033953333</w:t>
      </w:r>
      <w:r>
        <w:rPr>
          <w:rFonts w:hint="eastAsia" w:ascii="宋体" w:hAnsi="宋体" w:eastAsia="宋体" w:cs="宋体"/>
          <w:i w:val="0"/>
          <w:iCs w:val="0"/>
          <w:color w:val="auto"/>
          <w:sz w:val="24"/>
          <w:szCs w:val="24"/>
          <w:highlight w:val="none"/>
        </w:rPr>
        <w:t xml:space="preserve">　　　　　　　　　　 </w:t>
      </w:r>
      <w:bookmarkStart w:id="36" w:name="_Toc28359086"/>
      <w:bookmarkStart w:id="37" w:name="_Toc2835900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2.采购代理机构信息</w:t>
      </w:r>
      <w:bookmarkEnd w:id="36"/>
      <w:bookmarkEnd w:id="37"/>
    </w:p>
    <w:p>
      <w:pPr>
        <w:pStyle w:val="8"/>
        <w:adjustRightInd w:val="0"/>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 称：</w:t>
      </w:r>
      <w:r>
        <w:rPr>
          <w:rFonts w:hint="eastAsia" w:ascii="宋体" w:hAnsi="宋体" w:eastAsia="宋体" w:cs="宋体"/>
          <w:color w:val="auto"/>
          <w:sz w:val="24"/>
          <w:szCs w:val="24"/>
          <w:highlight w:val="none"/>
        </w:rPr>
        <w:t>周口市公共资源交易中心政府采购中心</w:t>
      </w:r>
      <w:r>
        <w:rPr>
          <w:rFonts w:hint="eastAsia" w:ascii="宋体" w:hAnsi="宋体" w:eastAsia="宋体" w:cs="宋体"/>
          <w:i w:val="0"/>
          <w:iCs w:val="0"/>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址：周口市光明路与政通路交叉口</w:t>
      </w:r>
      <w:r>
        <w:rPr>
          <w:rFonts w:hint="eastAsia" w:ascii="宋体" w:hAnsi="宋体" w:eastAsia="宋体" w:cs="宋体"/>
          <w:i w:val="0"/>
          <w:iCs w:val="0"/>
          <w:color w:val="auto"/>
          <w:sz w:val="24"/>
          <w:szCs w:val="24"/>
          <w:highlight w:val="none"/>
          <w:lang w:val="en-US" w:eastAsia="zh-CN"/>
        </w:rPr>
        <w:t>向北100米路东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项目联系人：</w:t>
      </w:r>
      <w:r>
        <w:rPr>
          <w:rFonts w:hint="eastAsia" w:ascii="宋体" w:hAnsi="宋体" w:cs="宋体"/>
          <w:i w:val="0"/>
          <w:iCs w:val="0"/>
          <w:color w:val="auto"/>
          <w:sz w:val="24"/>
          <w:szCs w:val="24"/>
          <w:highlight w:val="none"/>
          <w:lang w:val="en-US" w:eastAsia="zh-CN"/>
        </w:rPr>
        <w:t xml:space="preserve"> 张光    </w:t>
      </w:r>
      <w:r>
        <w:rPr>
          <w:rFonts w:hint="eastAsia" w:ascii="宋体" w:hAnsi="宋体" w:eastAsia="宋体" w:cs="宋体"/>
          <w:i w:val="0"/>
          <w:iCs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联系方式：</w:t>
      </w:r>
      <w:bookmarkStart w:id="38" w:name="_Toc28359087"/>
      <w:bookmarkStart w:id="39" w:name="_Toc28359010"/>
      <w:r>
        <w:rPr>
          <w:rFonts w:hint="eastAsia" w:ascii="宋体" w:hAnsi="宋体" w:cs="宋体"/>
          <w:i w:val="0"/>
          <w:iCs w:val="0"/>
          <w:color w:val="auto"/>
          <w:sz w:val="24"/>
          <w:szCs w:val="24"/>
          <w:highlight w:val="none"/>
          <w:lang w:val="en-US" w:eastAsia="zh-CN"/>
        </w:rPr>
        <w:t xml:space="preserve">0394-8106517      </w:t>
      </w:r>
      <w:r>
        <w:rPr>
          <w:rFonts w:hint="eastAsia" w:ascii="宋体" w:hAnsi="宋体" w:eastAsia="宋体" w:cs="宋体"/>
          <w:i w:val="0"/>
          <w:iCs w:val="0"/>
          <w:color w:val="auto"/>
          <w:sz w:val="24"/>
          <w:szCs w:val="24"/>
          <w:highlight w:val="none"/>
        </w:rPr>
        <w:t>　　　　　　</w:t>
      </w:r>
    </w:p>
    <w:bookmarkEnd w:id="38"/>
    <w:bookmarkEnd w:id="39"/>
    <w:p>
      <w:pPr>
        <w:spacing w:line="360" w:lineRule="auto"/>
        <w:ind w:firstLine="480" w:firstLineChars="200"/>
        <w:jc w:val="left"/>
        <w:rPr>
          <w:rFonts w:hint="eastAsia" w:ascii="宋体" w:hAnsi="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cs="宋体"/>
          <w:i w:val="0"/>
          <w:iCs w:val="0"/>
          <w:color w:val="auto"/>
          <w:sz w:val="24"/>
          <w:szCs w:val="24"/>
          <w:highlight w:val="none"/>
          <w:lang w:val="en-US" w:eastAsia="zh-CN"/>
        </w:rPr>
        <w:t>监督单位：郸城县政府采购办</w:t>
      </w:r>
    </w:p>
    <w:p>
      <w:pPr>
        <w:pStyle w:val="39"/>
        <w:ind w:firstLine="480" w:firstLineChars="200"/>
        <w:rPr>
          <w:rFonts w:hint="eastAsia" w:eastAsia="宋体"/>
          <w:color w:val="auto"/>
          <w:highlight w:val="none"/>
          <w:lang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eastAsia="zh-CN"/>
        </w:rPr>
        <w:t>0394-3298829</w:t>
      </w:r>
    </w:p>
    <w:p>
      <w:pPr>
        <w:pStyle w:val="39"/>
        <w:ind w:firstLine="480" w:firstLineChars="200"/>
        <w:rPr>
          <w:rFonts w:hint="default"/>
          <w:color w:val="auto"/>
          <w:highlight w:val="none"/>
          <w:lang w:val="en-US" w:eastAsia="zh-CN"/>
        </w:rPr>
      </w:pPr>
      <w:r>
        <w:rPr>
          <w:rFonts w:hint="eastAsia" w:ascii="宋体" w:hAnsi="宋体" w:eastAsia="宋体" w:cs="宋体"/>
          <w:i w:val="0"/>
          <w:iCs w:val="0"/>
          <w:color w:val="auto"/>
          <w:sz w:val="24"/>
          <w:szCs w:val="24"/>
          <w:highlight w:val="none"/>
          <w:lang w:val="en-US" w:eastAsia="zh-CN"/>
        </w:rPr>
        <w:t xml:space="preserve"> </w:t>
      </w:r>
    </w:p>
    <w:p>
      <w:pPr>
        <w:pStyle w:val="39"/>
        <w:numPr>
          <w:ilvl w:val="0"/>
          <w:numId w:val="0"/>
        </w:numPr>
        <w:rPr>
          <w:rFonts w:hint="default"/>
          <w:color w:val="auto"/>
          <w:highlight w:val="none"/>
          <w:lang w:val="en-US" w:eastAsia="zh-CN"/>
        </w:rPr>
      </w:pPr>
    </w:p>
    <w:p>
      <w:pPr>
        <w:pStyle w:val="8"/>
        <w:adjustRightInd w:val="0"/>
        <w:snapToGrid w:val="0"/>
        <w:spacing w:line="360" w:lineRule="auto"/>
        <w:ind w:firstLine="2040" w:firstLineChars="8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周口市公共资源交易中心政府采购中心</w:t>
      </w:r>
    </w:p>
    <w:p>
      <w:pPr>
        <w:pStyle w:val="19"/>
        <w:adjustRightInd w:val="0"/>
        <w:spacing w:line="360" w:lineRule="auto"/>
        <w:ind w:firstLine="3360" w:firstLineChars="1400"/>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日</w:t>
      </w:r>
      <w:r>
        <w:rPr>
          <w:rFonts w:hint="eastAsia" w:ascii="宋体" w:hAnsi="宋体" w:eastAsia="宋体" w:cs="宋体"/>
          <w:i w:val="0"/>
          <w:iCs w:val="0"/>
          <w:color w:val="auto"/>
          <w:sz w:val="24"/>
          <w:szCs w:val="24"/>
          <w:highlight w:val="none"/>
        </w:rPr>
        <w:t>　　</w:t>
      </w:r>
    </w:p>
    <w:p>
      <w:pPr>
        <w:pStyle w:val="19"/>
        <w:adjustRightInd w:val="0"/>
        <w:spacing w:line="360" w:lineRule="auto"/>
        <w:rPr>
          <w:rFonts w:hint="eastAsia"/>
          <w:color w:val="auto"/>
          <w:highlight w:val="none"/>
        </w:rPr>
      </w:pPr>
    </w:p>
    <w:p>
      <w:pPr>
        <w:pStyle w:val="19"/>
        <w:adjustRightInd w:val="0"/>
        <w:spacing w:line="360" w:lineRule="auto"/>
        <w:rPr>
          <w:rFonts w:hint="eastAsia"/>
          <w:color w:val="auto"/>
          <w:highlight w:val="none"/>
        </w:rPr>
      </w:pPr>
    </w:p>
    <w:p>
      <w:pPr>
        <w:pStyle w:val="19"/>
        <w:adjustRightInd w:val="0"/>
        <w:spacing w:line="360" w:lineRule="auto"/>
        <w:rPr>
          <w:rFonts w:hint="eastAsia"/>
          <w:color w:val="auto"/>
          <w:highlight w:val="none"/>
        </w:rPr>
      </w:pPr>
    </w:p>
    <w:p>
      <w:pPr>
        <w:pStyle w:val="19"/>
        <w:adjustRightInd w:val="0"/>
        <w:spacing w:line="360" w:lineRule="auto"/>
        <w:rPr>
          <w:rFonts w:hint="eastAsia"/>
          <w:color w:val="auto"/>
          <w:highlight w:val="none"/>
        </w:rPr>
      </w:pPr>
    </w:p>
    <w:p>
      <w:pPr>
        <w:pStyle w:val="19"/>
        <w:adjustRightInd w:val="0"/>
        <w:spacing w:line="360" w:lineRule="auto"/>
        <w:rPr>
          <w:rFonts w:hint="eastAsia"/>
          <w:color w:val="auto"/>
          <w:highlight w:val="none"/>
        </w:rPr>
      </w:pPr>
    </w:p>
    <w:p>
      <w:pPr>
        <w:pStyle w:val="19"/>
        <w:adjustRightInd w:val="0"/>
        <w:spacing w:line="360" w:lineRule="auto"/>
        <w:rPr>
          <w:rFonts w:hint="eastAsia"/>
          <w:color w:val="auto"/>
          <w:highlight w:val="none"/>
        </w:rPr>
      </w:pPr>
    </w:p>
    <w:p>
      <w:pPr>
        <w:pStyle w:val="19"/>
        <w:adjustRightInd w:val="0"/>
        <w:spacing w:line="360" w:lineRule="auto"/>
        <w:rPr>
          <w:rFonts w:hint="eastAsia"/>
          <w:color w:val="auto"/>
          <w:highlight w:val="none"/>
        </w:rPr>
      </w:pPr>
    </w:p>
    <w:p>
      <w:pPr>
        <w:pStyle w:val="19"/>
        <w:adjustRightInd w:val="0"/>
        <w:spacing w:line="360" w:lineRule="auto"/>
        <w:rPr>
          <w:rFonts w:hint="eastAsia"/>
          <w:color w:val="auto"/>
          <w:highlight w:val="none"/>
        </w:rPr>
      </w:pPr>
    </w:p>
    <w:p>
      <w:pPr>
        <w:pStyle w:val="19"/>
        <w:adjustRightInd w:val="0"/>
        <w:spacing w:line="360" w:lineRule="auto"/>
        <w:rPr>
          <w:rFonts w:hint="eastAsia"/>
          <w:color w:val="auto"/>
          <w:highlight w:val="none"/>
        </w:rPr>
      </w:pPr>
    </w:p>
    <w:p>
      <w:pPr>
        <w:pStyle w:val="19"/>
        <w:adjustRightInd w:val="0"/>
        <w:spacing w:line="360" w:lineRule="auto"/>
        <w:rPr>
          <w:rFonts w:hint="eastAsia"/>
          <w:color w:val="auto"/>
          <w:highlight w:val="none"/>
        </w:rPr>
      </w:pPr>
    </w:p>
    <w:p>
      <w:pPr>
        <w:pStyle w:val="19"/>
        <w:adjustRightInd w:val="0"/>
        <w:spacing w:line="360" w:lineRule="auto"/>
        <w:rPr>
          <w:rFonts w:hint="eastAsia"/>
          <w:color w:val="auto"/>
          <w:highlight w:val="none"/>
        </w:rPr>
      </w:pPr>
    </w:p>
    <w:p>
      <w:pPr>
        <w:pStyle w:val="19"/>
        <w:adjustRightInd w:val="0"/>
        <w:spacing w:line="360" w:lineRule="auto"/>
        <w:rPr>
          <w:rFonts w:hint="eastAsia"/>
          <w:color w:val="auto"/>
          <w:highlight w:val="none"/>
        </w:rPr>
      </w:pPr>
    </w:p>
    <w:p>
      <w:pPr>
        <w:pStyle w:val="19"/>
        <w:adjustRightInd w:val="0"/>
        <w:spacing w:line="360" w:lineRule="auto"/>
        <w:rPr>
          <w:rFonts w:hint="eastAsia"/>
          <w:color w:val="auto"/>
          <w:highlight w:val="none"/>
        </w:rPr>
        <w:sectPr>
          <w:footerReference r:id="rId3" w:type="default"/>
          <w:pgSz w:w="11906" w:h="16838"/>
          <w:pgMar w:top="1440" w:right="1528" w:bottom="1440" w:left="1558" w:header="851" w:footer="992" w:gutter="0"/>
          <w:cols w:space="720" w:num="1"/>
          <w:docGrid w:linePitch="312" w:charSpace="0"/>
        </w:sectPr>
      </w:pPr>
    </w:p>
    <w:p>
      <w:pPr>
        <w:pStyle w:val="3"/>
        <w:bidi w:val="0"/>
        <w:spacing w:line="240" w:lineRule="auto"/>
        <w:jc w:val="center"/>
        <w:rPr>
          <w:rFonts w:hint="eastAsia" w:ascii="宋体" w:hAnsi="宋体" w:eastAsia="宋体" w:cs="宋体"/>
          <w:color w:val="auto"/>
          <w:highlight w:val="none"/>
        </w:rPr>
      </w:pPr>
      <w:bookmarkStart w:id="40" w:name="_Toc7965"/>
      <w:bookmarkStart w:id="41" w:name="_Toc40975437"/>
      <w:r>
        <w:rPr>
          <w:rFonts w:hint="eastAsia"/>
          <w:color w:val="auto"/>
          <w:highlight w:val="none"/>
        </w:rPr>
        <w:t>第二章 投标人须</w:t>
      </w:r>
      <w:bookmarkEnd w:id="11"/>
      <w:r>
        <w:rPr>
          <w:rFonts w:hint="eastAsia"/>
          <w:color w:val="auto"/>
          <w:highlight w:val="none"/>
        </w:rPr>
        <w:t>知前</w:t>
      </w:r>
      <w:bookmarkEnd w:id="12"/>
      <w:r>
        <w:rPr>
          <w:rFonts w:hint="eastAsia"/>
          <w:color w:val="auto"/>
          <w:highlight w:val="none"/>
        </w:rPr>
        <w:t>附表</w:t>
      </w:r>
      <w:bookmarkEnd w:id="13"/>
      <w:bookmarkEnd w:id="40"/>
      <w:bookmarkEnd w:id="41"/>
    </w:p>
    <w:tbl>
      <w:tblPr>
        <w:tblStyle w:val="25"/>
        <w:tblW w:w="9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421"/>
        <w:gridCol w:w="6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37" w:type="dxa"/>
            <w:noWrap w:val="0"/>
            <w:vAlign w:val="center"/>
          </w:tcPr>
          <w:p>
            <w:pPr>
              <w:jc w:val="center"/>
              <w:rPr>
                <w:rFonts w:hint="eastAsia" w:ascii="宋体" w:hAnsi="宋体" w:eastAsia="宋体" w:cs="宋体"/>
                <w:color w:val="auto"/>
                <w:sz w:val="24"/>
                <w:szCs w:val="24"/>
                <w:highlight w:val="none"/>
              </w:rPr>
            </w:pPr>
            <w:bookmarkStart w:id="42" w:name="_Hlt519045778"/>
            <w:bookmarkEnd w:id="42"/>
            <w:bookmarkStart w:id="43" w:name="_Hlt509650027"/>
            <w:bookmarkEnd w:id="43"/>
            <w:bookmarkStart w:id="44" w:name="_Hlt516969057"/>
            <w:bookmarkEnd w:id="44"/>
            <w:bookmarkStart w:id="45" w:name="_Hlt509650351"/>
            <w:bookmarkEnd w:id="45"/>
            <w:bookmarkStart w:id="46" w:name="_Toc220232390"/>
            <w:bookmarkStart w:id="47" w:name="_Toc450_WPSOffice_Level1"/>
            <w:r>
              <w:rPr>
                <w:rFonts w:hint="eastAsia" w:ascii="宋体" w:hAnsi="宋体" w:eastAsia="宋体" w:cs="宋体"/>
                <w:color w:val="auto"/>
                <w:sz w:val="24"/>
                <w:szCs w:val="24"/>
                <w:highlight w:val="none"/>
              </w:rPr>
              <w:t>序号</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658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580" w:type="dxa"/>
            <w:noWrap w:val="0"/>
            <w:vAlign w:val="center"/>
          </w:tcPr>
          <w:p>
            <w:pPr>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郸城县民政局</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郸城县</w:t>
            </w:r>
            <w:r>
              <w:rPr>
                <w:rFonts w:hint="eastAsia" w:ascii="宋体" w:hAnsi="宋体" w:eastAsia="宋体" w:cs="宋体"/>
                <w:color w:val="auto"/>
                <w:sz w:val="24"/>
                <w:szCs w:val="24"/>
                <w:highlight w:val="none"/>
              </w:rPr>
              <w:t>　　　　　　　　　　　</w:t>
            </w:r>
          </w:p>
          <w:p>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韩伟</w:t>
            </w:r>
            <w:r>
              <w:rPr>
                <w:rFonts w:hint="eastAsia" w:ascii="宋体" w:hAnsi="宋体" w:eastAsia="宋体" w:cs="宋体"/>
                <w:color w:val="auto"/>
                <w:sz w:val="24"/>
                <w:szCs w:val="24"/>
                <w:highlight w:val="none"/>
                <w:lang w:val="en-US" w:eastAsia="zh-CN"/>
              </w:rPr>
              <w:t xml:space="preserve">     </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13033953333</w:t>
            </w:r>
            <w:r>
              <w:rPr>
                <w:rFonts w:hint="eastAsia" w:ascii="宋体" w:hAnsi="宋体" w:eastAsia="宋体" w:cs="宋体"/>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w:t>
            </w:r>
          </w:p>
        </w:tc>
        <w:tc>
          <w:tcPr>
            <w:tcW w:w="6580" w:type="dxa"/>
            <w:noWrap w:val="0"/>
            <w:vAlign w:val="center"/>
          </w:tcPr>
          <w:p>
            <w:pPr>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郸城县民政局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称：周口市公共资源交易中心政府采购中心</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址：周口市光明路与政通路交叉口</w:t>
            </w:r>
            <w:r>
              <w:rPr>
                <w:rFonts w:hint="eastAsia" w:ascii="宋体" w:hAnsi="宋体" w:eastAsia="宋体" w:cs="宋体"/>
                <w:color w:val="auto"/>
                <w:sz w:val="24"/>
                <w:szCs w:val="24"/>
                <w:highlight w:val="none"/>
                <w:lang w:val="en-US" w:eastAsia="zh-CN"/>
              </w:rPr>
              <w:t>向北100米路东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80" w:type="dxa"/>
            <w:noWrap w:val="0"/>
            <w:vAlign w:val="center"/>
          </w:tcPr>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郸城县民政局敬老院春季生活物资采购项目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580" w:type="dxa"/>
            <w:noWrap w:val="0"/>
            <w:vAlign w:val="center"/>
          </w:tcPr>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郸财招标采购-2024-18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580" w:type="dxa"/>
            <w:noWrap w:val="0"/>
            <w:vAlign w:val="center"/>
          </w:tcPr>
          <w:p>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国库集中</w:t>
            </w:r>
            <w:r>
              <w:rPr>
                <w:rFonts w:hint="eastAsia" w:ascii="宋体" w:hAnsi="宋体" w:eastAsia="宋体" w:cs="宋体"/>
                <w:color w:val="auto"/>
                <w:sz w:val="24"/>
                <w:szCs w:val="24"/>
                <w:highlight w:val="none"/>
                <w:lang w:val="en-US" w:eastAsia="zh-CN"/>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包别划分</w:t>
            </w:r>
          </w:p>
        </w:tc>
        <w:tc>
          <w:tcPr>
            <w:tcW w:w="6580" w:type="dxa"/>
            <w:noWrap w:val="0"/>
            <w:vAlign w:val="center"/>
          </w:tcPr>
          <w:p>
            <w:pPr>
              <w:jc w:val="left"/>
              <w:rPr>
                <w:rFonts w:hint="eastAsia"/>
                <w:color w:val="auto"/>
                <w:highlight w:val="none"/>
              </w:rPr>
            </w:pPr>
            <w:r>
              <w:rPr>
                <w:rFonts w:hint="eastAsia" w:ascii="宋体" w:hAnsi="宋体" w:eastAsia="宋体" w:cs="宋体"/>
                <w:color w:val="auto"/>
                <w:sz w:val="24"/>
                <w:szCs w:val="24"/>
                <w:highlight w:val="none"/>
              </w:rPr>
              <w:t>本次招标为</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580" w:type="dxa"/>
            <w:noWrap w:val="0"/>
            <w:vAlign w:val="center"/>
          </w:tcPr>
          <w:p>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货到验收合格后</w:t>
            </w:r>
            <w:r>
              <w:rPr>
                <w:rFonts w:hint="eastAsia" w:ascii="宋体" w:hAnsi="宋体" w:cs="宋体"/>
                <w:color w:val="auto"/>
                <w:sz w:val="24"/>
                <w:szCs w:val="24"/>
                <w:highlight w:val="none"/>
                <w:lang w:val="en-US" w:eastAsia="zh-CN"/>
              </w:rPr>
              <w:t>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开标后60天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供货地点</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供货期限</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合同签订后7日历天内</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421"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投标保证金金额</w:t>
            </w:r>
          </w:p>
        </w:tc>
        <w:tc>
          <w:tcPr>
            <w:tcW w:w="6580" w:type="dxa"/>
            <w:noWrap w:val="0"/>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不需要缴纳投标保证金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疑问的提出与答疑获取详见招标文件第二部分第五章投标人须知第36条。</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口市公共资源交易中心政府采购中心对招标文件进行的澄清、更正或更改，将在网站上及时发布，该公告内容为招标文件的组成部分，对投标人具有同样约束力效力。投标人应主动上网查询。周口市公共资源交易中心政府采购中心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勘察现场</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为使用周口市公共资源交易中心提供的电子标书制作工具软件（http://jyzx.zhoukou.gov.cn网上下载）制作生成的电子加密文件，应在投标截止时间前通过周口市公共资源交易中心会员系统上传。投标截止时间前不上传电子投标文件或者在开标时间不进行电子投标文件解密，均视为自动放弃投标。</w:t>
            </w:r>
          </w:p>
          <w:p>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2、本项目实行网上远程开标无须到现场提交响应文件，未加密的电子投标文件和纸质文件不再提交。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投标时间及地点</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r>
              <w:rPr>
                <w:rFonts w:hint="eastAsia" w:ascii="宋体" w:hAnsi="宋体" w:eastAsia="宋体" w:cs="宋体"/>
                <w:color w:val="auto"/>
                <w:sz w:val="24"/>
                <w:szCs w:val="24"/>
                <w:highlight w:val="none"/>
                <w:lang w:eastAsia="zh-CN"/>
              </w:rPr>
              <w:t>：</w:t>
            </w:r>
            <w:r>
              <w:rPr>
                <w:rFonts w:hint="eastAsia" w:ascii="宋体" w:hAnsi="宋体" w:cs="宋体"/>
                <w:i w:val="0"/>
                <w:iCs w:val="0"/>
                <w:color w:val="auto"/>
                <w:sz w:val="24"/>
                <w:szCs w:val="24"/>
                <w:highlight w:val="none"/>
                <w:lang w:val="en-US" w:eastAsia="zh-CN"/>
              </w:rPr>
              <w:t>2024</w:t>
            </w:r>
            <w:r>
              <w:rPr>
                <w:rFonts w:hint="eastAsia" w:ascii="宋体" w:hAnsi="宋体" w:eastAsia="宋体" w:cs="宋体"/>
                <w:i w:val="0"/>
                <w:iCs w:val="0"/>
                <w:color w:val="auto"/>
                <w:sz w:val="24"/>
                <w:szCs w:val="24"/>
                <w:highlight w:val="none"/>
              </w:rPr>
              <w:t>年</w:t>
            </w:r>
            <w:r>
              <w:rPr>
                <w:rFonts w:hint="eastAsia" w:ascii="宋体" w:hAnsi="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月</w:t>
            </w:r>
            <w:r>
              <w:rPr>
                <w:rFonts w:hint="eastAsia" w:ascii="宋体" w:hAnsi="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rPr>
              <w:t>日</w:t>
            </w:r>
            <w:r>
              <w:rPr>
                <w:rFonts w:hint="eastAsia" w:ascii="宋体" w:hAnsi="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点</w:t>
            </w:r>
            <w:r>
              <w:rPr>
                <w:rFonts w:hint="eastAsia" w:ascii="宋体" w:hAnsi="宋体" w:cs="宋体"/>
                <w:i w:val="0"/>
                <w:iCs w:val="0"/>
                <w:color w:val="auto"/>
                <w:sz w:val="24"/>
                <w:szCs w:val="24"/>
                <w:highlight w:val="none"/>
                <w:lang w:val="en-US" w:eastAsia="zh-CN"/>
              </w:rPr>
              <w:t>00</w:t>
            </w:r>
            <w:r>
              <w:rPr>
                <w:rFonts w:hint="eastAsia" w:ascii="宋体" w:hAnsi="宋体" w:eastAsia="宋体" w:cs="宋体"/>
                <w:i w:val="0"/>
                <w:iCs w:val="0"/>
                <w:color w:val="auto"/>
                <w:sz w:val="24"/>
                <w:szCs w:val="24"/>
                <w:highlight w:val="none"/>
              </w:rPr>
              <w:t>分</w:t>
            </w:r>
            <w:r>
              <w:rPr>
                <w:rFonts w:hint="eastAsia" w:ascii="宋体" w:hAnsi="宋体" w:eastAsia="宋体" w:cs="宋体"/>
                <w:color w:val="auto"/>
                <w:sz w:val="24"/>
                <w:szCs w:val="24"/>
                <w:highlight w:val="none"/>
              </w:rPr>
              <w:t xml:space="preserve">（见招标公告）      </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标书递交地点：周口市公共资源交易中心</w:t>
            </w:r>
            <w:r>
              <w:rPr>
                <w:rFonts w:hint="eastAsia" w:ascii="宋体" w:hAnsi="宋体" w:eastAsia="宋体" w:cs="宋体"/>
                <w:color w:val="auto"/>
                <w:sz w:val="24"/>
                <w:szCs w:val="24"/>
                <w:highlight w:val="none"/>
                <w:lang w:val="en-US" w:eastAsia="zh-CN"/>
              </w:rPr>
              <w:t>网</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网址：周口市公共资源电子交易服务平台会员系统（网址http://jyzx.zhoukou.gov.cn</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（本项目实行网上远程开标无须到现场提交响应文件）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开标时间及地点</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cs="宋体"/>
                <w:i w:val="0"/>
                <w:iCs w:val="0"/>
                <w:color w:val="auto"/>
                <w:sz w:val="24"/>
                <w:szCs w:val="24"/>
                <w:highlight w:val="none"/>
                <w:lang w:val="en-US" w:eastAsia="zh-CN"/>
              </w:rPr>
              <w:t>2024</w:t>
            </w:r>
            <w:r>
              <w:rPr>
                <w:rFonts w:hint="eastAsia" w:ascii="宋体" w:hAnsi="宋体" w:eastAsia="宋体" w:cs="宋体"/>
                <w:i w:val="0"/>
                <w:iCs w:val="0"/>
                <w:color w:val="auto"/>
                <w:sz w:val="24"/>
                <w:szCs w:val="24"/>
                <w:highlight w:val="none"/>
              </w:rPr>
              <w:t>年</w:t>
            </w:r>
            <w:r>
              <w:rPr>
                <w:rFonts w:hint="eastAsia" w:ascii="宋体" w:hAnsi="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月</w:t>
            </w:r>
            <w:r>
              <w:rPr>
                <w:rFonts w:hint="eastAsia" w:ascii="宋体" w:hAnsi="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rPr>
              <w:t>日</w:t>
            </w:r>
            <w:r>
              <w:rPr>
                <w:rFonts w:hint="eastAsia" w:ascii="宋体" w:hAnsi="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点</w:t>
            </w:r>
            <w:r>
              <w:rPr>
                <w:rFonts w:hint="eastAsia" w:ascii="宋体" w:hAnsi="宋体" w:cs="宋体"/>
                <w:i w:val="0"/>
                <w:iCs w:val="0"/>
                <w:color w:val="auto"/>
                <w:sz w:val="24"/>
                <w:szCs w:val="24"/>
                <w:highlight w:val="none"/>
                <w:lang w:val="en-US" w:eastAsia="zh-CN"/>
              </w:rPr>
              <w:t>00</w:t>
            </w:r>
            <w:r>
              <w:rPr>
                <w:rFonts w:hint="eastAsia" w:ascii="宋体" w:hAnsi="宋体" w:eastAsia="宋体" w:cs="宋体"/>
                <w:i w:val="0"/>
                <w:iCs w:val="0"/>
                <w:color w:val="auto"/>
                <w:sz w:val="24"/>
                <w:szCs w:val="24"/>
                <w:highlight w:val="none"/>
              </w:rPr>
              <w:t>分</w:t>
            </w:r>
            <w:bookmarkStart w:id="205" w:name="_GoBack"/>
            <w:bookmarkEnd w:id="205"/>
            <w:r>
              <w:rPr>
                <w:rFonts w:hint="eastAsia" w:ascii="宋体" w:hAnsi="宋体" w:eastAsia="宋体" w:cs="宋体"/>
                <w:color w:val="auto"/>
                <w:sz w:val="24"/>
                <w:szCs w:val="24"/>
                <w:highlight w:val="none"/>
              </w:rPr>
              <w:t xml:space="preserve">（见招标公告）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开标地点：周口市东新区光明路市行政中心西侧南楼房间（本项目实行网上远程开标无须到现场提交响应文件）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 详见招标文件第一部分第四章评标办法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3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421" w:type="dxa"/>
            <w:noWrap w:val="0"/>
            <w:vAlign w:val="center"/>
          </w:tcPr>
          <w:p>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财务审计报告</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提供2022年度财务审计报告或2023年度财务审计报告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37"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2421"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其它</w:t>
            </w:r>
          </w:p>
        </w:tc>
        <w:tc>
          <w:tcPr>
            <w:tcW w:w="6580" w:type="dxa"/>
            <w:noWrap w:val="0"/>
            <w:vAlign w:val="center"/>
          </w:tcPr>
          <w:p>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采购人验收如需第三方质检部门介入，第三方质检验收所需费用由中标人负担。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37" w:type="dxa"/>
            <w:noWrap w:val="0"/>
            <w:vAlign w:val="center"/>
          </w:tcPr>
          <w:p>
            <w:pPr>
              <w:jc w:val="center"/>
              <w:rPr>
                <w:rFonts w:hint="default" w:ascii="宋体" w:hAnsi="宋体" w:cs="宋体"/>
                <w:color w:val="auto"/>
                <w:sz w:val="24"/>
                <w:szCs w:val="24"/>
                <w:highlight w:val="none"/>
                <w:lang w:val="en-US" w:eastAsia="zh-CN"/>
              </w:rPr>
            </w:pPr>
            <w:bookmarkStart w:id="48" w:name="_Toc40975438"/>
            <w:r>
              <w:rPr>
                <w:rFonts w:hint="eastAsia" w:ascii="宋体" w:hAnsi="宋体" w:cs="宋体"/>
                <w:color w:val="auto"/>
                <w:sz w:val="24"/>
                <w:szCs w:val="24"/>
                <w:highlight w:val="none"/>
                <w:lang w:val="en-US" w:eastAsia="zh-CN"/>
              </w:rPr>
              <w:t>23</w:t>
            </w:r>
          </w:p>
        </w:tc>
        <w:tc>
          <w:tcPr>
            <w:tcW w:w="2421" w:type="dxa"/>
            <w:noWrap w:val="0"/>
            <w:vAlign w:val="center"/>
          </w:tcPr>
          <w:p>
            <w:pPr>
              <w:ind w:firstLine="480" w:firstLineChars="200"/>
              <w:rPr>
                <w:rFonts w:hint="eastAsia" w:ascii="宋体" w:hAnsi="宋体" w:eastAsia="宋体" w:cs="宋体"/>
                <w:color w:val="auto"/>
                <w:sz w:val="24"/>
                <w:szCs w:val="24"/>
                <w:highlight w:val="none"/>
              </w:rPr>
            </w:pPr>
            <w:r>
              <w:rPr>
                <w:rFonts w:hint="eastAsia" w:ascii="宋体" w:hAnsi="宋体"/>
                <w:color w:val="auto"/>
                <w:sz w:val="24"/>
                <w:szCs w:val="24"/>
                <w:highlight w:val="none"/>
              </w:rPr>
              <w:t>免费质保期</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37"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2421"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所属行业</w:t>
            </w:r>
          </w:p>
        </w:tc>
        <w:tc>
          <w:tcPr>
            <w:tcW w:w="658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批发业</w:t>
            </w:r>
          </w:p>
        </w:tc>
      </w:tr>
    </w:tbl>
    <w:p>
      <w:pPr>
        <w:bidi w:val="0"/>
        <w:rPr>
          <w:rFonts w:hint="eastAsia"/>
          <w:color w:val="auto"/>
          <w:highlight w:val="none"/>
        </w:rPr>
      </w:pPr>
    </w:p>
    <w:p>
      <w:pPr>
        <w:pStyle w:val="4"/>
        <w:ind w:firstLine="0"/>
        <w:rPr>
          <w:rFonts w:hint="eastAsia" w:ascii="宋体" w:hAnsi="宋体" w:eastAsia="宋体" w:cs="宋体"/>
          <w:color w:val="auto"/>
          <w:highlight w:val="none"/>
        </w:rPr>
        <w:sectPr>
          <w:pgSz w:w="11906" w:h="16838"/>
          <w:pgMar w:top="1440" w:right="1080" w:bottom="1440" w:left="1080" w:header="851" w:footer="992" w:gutter="0"/>
          <w:cols w:space="720" w:num="1"/>
          <w:docGrid w:linePitch="312" w:charSpace="0"/>
        </w:sectPr>
      </w:pPr>
    </w:p>
    <w:p>
      <w:pPr>
        <w:pStyle w:val="3"/>
        <w:bidi w:val="0"/>
        <w:spacing w:line="240" w:lineRule="auto"/>
        <w:jc w:val="center"/>
        <w:rPr>
          <w:rFonts w:hint="eastAsia"/>
          <w:color w:val="auto"/>
          <w:highlight w:val="none"/>
        </w:rPr>
      </w:pPr>
      <w:bookmarkStart w:id="49" w:name="_Toc21357"/>
      <w:r>
        <w:rPr>
          <w:rFonts w:hint="eastAsia"/>
          <w:color w:val="auto"/>
          <w:highlight w:val="none"/>
        </w:rPr>
        <w:t>第三章 货物需求一览表</w:t>
      </w:r>
      <w:bookmarkEnd w:id="46"/>
      <w:bookmarkEnd w:id="47"/>
      <w:bookmarkEnd w:id="48"/>
      <w:bookmarkEnd w:id="49"/>
    </w:p>
    <w:p>
      <w:pPr>
        <w:spacing w:line="360" w:lineRule="auto"/>
        <w:ind w:firstLine="480" w:firstLineChars="200"/>
        <w:rPr>
          <w:rFonts w:hint="eastAsia" w:ascii="宋体" w:hAnsi="宋体" w:cs="宋体"/>
          <w:color w:val="auto"/>
          <w:sz w:val="24"/>
          <w:szCs w:val="28"/>
          <w:highlight w:val="none"/>
        </w:rPr>
      </w:pPr>
      <w:bookmarkStart w:id="50" w:name="_Hlt509716920"/>
      <w:bookmarkEnd w:id="50"/>
      <w:r>
        <w:rPr>
          <w:rFonts w:hint="eastAsia" w:ascii="宋体" w:hAnsi="宋体" w:cs="宋体"/>
          <w:color w:val="auto"/>
          <w:sz w:val="24"/>
          <w:szCs w:val="28"/>
          <w:highlight w:val="none"/>
        </w:rPr>
        <w:t>前注：1）本需求中提出的技术方案仅为参考，如无明确限制，投标人可以进行优化，提供满足用户实际需要的更优（或者性能实质上不低于的）</w:t>
      </w:r>
      <w:r>
        <w:rPr>
          <w:rFonts w:hint="eastAsia" w:ascii="宋体" w:hAnsi="宋体" w:cs="宋体"/>
          <w:color w:val="auto"/>
          <w:sz w:val="24"/>
          <w:szCs w:val="24"/>
          <w:highlight w:val="none"/>
        </w:rPr>
        <w:t>技术方案或者设备配置，且此方案或配置须经评委会审核认可；</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2）为鼓励不同品牌的充分竞争，如某设备的某技术参数或要求属于个别品牌专有，则该技术参数及要求不具有限制性，投标人可对该参数或要求进行适当调整，并应当说明调整的理由，且此调整须经评委会审核认可；</w:t>
      </w:r>
    </w:p>
    <w:p>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r>
        <w:rPr>
          <w:rFonts w:hint="eastAsia" w:ascii="宋体" w:hAnsi="宋体" w:cs="宋体"/>
          <w:color w:val="auto"/>
          <w:sz w:val="24"/>
          <w:szCs w:val="28"/>
          <w:highlight w:val="none"/>
        </w:rPr>
        <w:cr/>
      </w:r>
      <w:r>
        <w:rPr>
          <w:rFonts w:hint="eastAsia" w:ascii="宋体" w:hAnsi="宋体" w:cs="宋体"/>
          <w:color w:val="auto"/>
          <w:sz w:val="24"/>
          <w:szCs w:val="28"/>
          <w:highlight w:val="none"/>
        </w:rPr>
        <w:t xml:space="preserve">    4）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r>
        <w:rPr>
          <w:rFonts w:hint="eastAsia" w:ascii="宋体" w:hAnsi="宋体" w:cs="宋体"/>
          <w:color w:val="auto"/>
          <w:sz w:val="24"/>
          <w:szCs w:val="28"/>
          <w:highlight w:val="none"/>
        </w:rPr>
        <w:cr/>
      </w:r>
      <w:r>
        <w:rPr>
          <w:rFonts w:hint="eastAsia" w:ascii="宋体" w:hAnsi="宋体" w:cs="宋体"/>
          <w:color w:val="auto"/>
          <w:sz w:val="24"/>
          <w:szCs w:val="28"/>
          <w:highlight w:val="none"/>
        </w:rPr>
        <w:t xml:space="preserve">    5）如对本招标文件有任何疑问或澄清要求，请按本招标文件“投标人须知前附表”中约定联系周口市公共交资源交易中心政府采购中心，或接受答疑截止时间前联系采购人。否则视同理解和接受。</w:t>
      </w:r>
      <w:bookmarkStart w:id="51" w:name="_Toc6821_WPSOffice_Level2"/>
    </w:p>
    <w:p>
      <w:pPr>
        <w:spacing w:line="360" w:lineRule="auto"/>
        <w:ind w:firstLine="643" w:firstLineChars="200"/>
        <w:rPr>
          <w:rFonts w:hint="eastAsia" w:ascii="宋体" w:hAnsi="宋体" w:cs="宋体"/>
          <w:b/>
          <w:color w:val="auto"/>
          <w:sz w:val="32"/>
          <w:szCs w:val="32"/>
          <w:highlight w:val="none"/>
        </w:rPr>
      </w:pPr>
    </w:p>
    <w:p>
      <w:pPr>
        <w:spacing w:line="360" w:lineRule="auto"/>
        <w:ind w:firstLine="643" w:firstLineChars="200"/>
        <w:rPr>
          <w:rFonts w:hint="eastAsia" w:ascii="宋体" w:hAnsi="宋体" w:cs="宋体"/>
          <w:b/>
          <w:color w:val="auto"/>
          <w:sz w:val="32"/>
          <w:szCs w:val="32"/>
          <w:highlight w:val="none"/>
        </w:rPr>
      </w:pPr>
    </w:p>
    <w:bookmarkEnd w:id="51"/>
    <w:p>
      <w:pPr>
        <w:pStyle w:val="21"/>
        <w:spacing w:before="0" w:beforeAutospacing="0" w:after="0" w:afterAutospacing="0"/>
        <w:contextualSpacing/>
        <w:jc w:val="both"/>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color w:val="auto"/>
          <w:highlight w:val="none"/>
        </w:rPr>
        <w:br w:type="page"/>
      </w:r>
    </w:p>
    <w:p>
      <w:pPr>
        <w:rPr>
          <w:rFonts w:hint="eastAsia" w:ascii="宋体" w:hAnsi="宋体" w:cs="宋体"/>
          <w:color w:val="auto"/>
          <w:highlight w:val="none"/>
        </w:rPr>
        <w:sectPr>
          <w:pgSz w:w="11906" w:h="16838"/>
          <w:pgMar w:top="1440" w:right="1758" w:bottom="1440" w:left="1758" w:header="851" w:footer="992" w:gutter="0"/>
          <w:cols w:space="720" w:num="1"/>
          <w:docGrid w:linePitch="312" w:charSpace="0"/>
        </w:sectPr>
      </w:pPr>
    </w:p>
    <w:p>
      <w:pPr>
        <w:jc w:val="center"/>
        <w:rPr>
          <w:rFonts w:hint="eastAsia" w:ascii="宋体" w:hAnsi="宋体" w:cs="宋体"/>
          <w:b/>
          <w:bCs/>
          <w:color w:val="auto"/>
          <w:sz w:val="32"/>
          <w:szCs w:val="22"/>
          <w:highlight w:val="none"/>
          <w:lang w:val="en-US" w:eastAsia="zh-CN"/>
        </w:rPr>
      </w:pPr>
      <w:r>
        <w:rPr>
          <w:rFonts w:hint="eastAsia" w:ascii="宋体" w:hAnsi="宋体" w:eastAsia="宋体" w:cs="宋体"/>
          <w:b/>
          <w:bCs/>
          <w:color w:val="auto"/>
          <w:sz w:val="32"/>
          <w:szCs w:val="22"/>
          <w:highlight w:val="none"/>
        </w:rPr>
        <w:t>郸城县民政局敬老院春季生活物资项目的采购</w:t>
      </w:r>
      <w:r>
        <w:rPr>
          <w:rFonts w:hint="eastAsia" w:ascii="宋体" w:hAnsi="宋体" w:cs="宋体"/>
          <w:b/>
          <w:bCs/>
          <w:color w:val="auto"/>
          <w:sz w:val="32"/>
          <w:szCs w:val="22"/>
          <w:highlight w:val="none"/>
          <w:lang w:val="en-US" w:eastAsia="zh-CN"/>
        </w:rPr>
        <w:t>清单</w:t>
      </w:r>
    </w:p>
    <w:p>
      <w:pPr>
        <w:rPr>
          <w:rFonts w:hint="eastAsia" w:ascii="宋体" w:hAnsi="宋体" w:cs="宋体"/>
          <w:color w:val="auto"/>
          <w:sz w:val="24"/>
          <w:highlight w:val="none"/>
          <w:lang w:val="en-US" w:eastAsia="zh-CN"/>
        </w:rPr>
      </w:pPr>
    </w:p>
    <w:p>
      <w:pPr>
        <w:rPr>
          <w:rFonts w:hint="eastAsia" w:ascii="宋体" w:hAnsi="宋体" w:cs="宋体"/>
          <w:color w:val="auto"/>
          <w:sz w:val="24"/>
          <w:highlight w:val="none"/>
          <w:lang w:val="en-US"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633"/>
        <w:gridCol w:w="3167"/>
        <w:gridCol w:w="1233"/>
        <w:gridCol w:w="800"/>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pPr>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项目名称</w:t>
            </w:r>
          </w:p>
        </w:tc>
        <w:tc>
          <w:tcPr>
            <w:tcW w:w="2633" w:type="dxa"/>
            <w:vAlign w:val="center"/>
          </w:tcPr>
          <w:p>
            <w:pPr>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规格型号</w:t>
            </w:r>
          </w:p>
        </w:tc>
        <w:tc>
          <w:tcPr>
            <w:tcW w:w="3167" w:type="dxa"/>
            <w:vAlign w:val="center"/>
          </w:tcPr>
          <w:p>
            <w:pPr>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技术参数</w:t>
            </w:r>
          </w:p>
        </w:tc>
        <w:tc>
          <w:tcPr>
            <w:tcW w:w="1233" w:type="dxa"/>
            <w:vAlign w:val="center"/>
          </w:tcPr>
          <w:p>
            <w:pPr>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数量（套）</w:t>
            </w:r>
          </w:p>
        </w:tc>
        <w:tc>
          <w:tcPr>
            <w:tcW w:w="800" w:type="dxa"/>
            <w:vAlign w:val="center"/>
          </w:tcPr>
          <w:p>
            <w:pPr>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单价（元）</w:t>
            </w:r>
          </w:p>
        </w:tc>
        <w:tc>
          <w:tcPr>
            <w:tcW w:w="1037" w:type="dxa"/>
            <w:vAlign w:val="center"/>
          </w:tcPr>
          <w:p>
            <w:pPr>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pPr>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三件套</w:t>
            </w:r>
          </w:p>
        </w:tc>
        <w:tc>
          <w:tcPr>
            <w:tcW w:w="2633" w:type="dxa"/>
            <w:vAlign w:val="center"/>
          </w:tcPr>
          <w:p>
            <w:pPr>
              <w:jc w:val="center"/>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被套</w:t>
            </w:r>
            <w:r>
              <w:rPr>
                <w:rFonts w:hint="eastAsia" w:ascii="宋体" w:hAnsi="宋体" w:eastAsia="宋体" w:cs="宋体"/>
                <w:color w:val="auto"/>
                <w:sz w:val="24"/>
                <w:highlight w:val="none"/>
                <w:vertAlign w:val="baseline"/>
              </w:rPr>
              <w:t>;</w:t>
            </w:r>
            <w:r>
              <w:rPr>
                <w:rFonts w:hint="eastAsia" w:ascii="宋体" w:hAnsi="宋体" w:cs="宋体"/>
                <w:color w:val="auto"/>
                <w:sz w:val="24"/>
                <w:highlight w:val="none"/>
                <w:vertAlign w:val="baseline"/>
                <w:lang w:val="en-US" w:eastAsia="zh-CN"/>
              </w:rPr>
              <w:t>1.55米</w:t>
            </w:r>
            <w:r>
              <w:rPr>
                <w:rFonts w:hint="default" w:ascii="Arial" w:hAnsi="Arial" w:cs="Arial"/>
                <w:color w:val="auto"/>
                <w:sz w:val="24"/>
                <w:highlight w:val="none"/>
                <w:vertAlign w:val="baseline"/>
                <w:lang w:val="en-US" w:eastAsia="zh-CN"/>
              </w:rPr>
              <w:t>×</w:t>
            </w:r>
            <w:r>
              <w:rPr>
                <w:rFonts w:hint="eastAsia" w:ascii="宋体" w:hAnsi="宋体" w:cs="宋体"/>
                <w:color w:val="auto"/>
                <w:sz w:val="24"/>
                <w:highlight w:val="none"/>
                <w:vertAlign w:val="baseline"/>
                <w:lang w:val="en-US" w:eastAsia="zh-CN"/>
              </w:rPr>
              <w:t>2.2米</w:t>
            </w:r>
          </w:p>
          <w:p>
            <w:pPr>
              <w:pStyle w:val="2"/>
              <w:jc w:val="center"/>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床单：1.55米</w:t>
            </w:r>
            <w:r>
              <w:rPr>
                <w:rFonts w:hint="default" w:ascii="Arial" w:hAnsi="Arial" w:cs="Arial"/>
                <w:color w:val="auto"/>
                <w:sz w:val="24"/>
                <w:highlight w:val="none"/>
                <w:vertAlign w:val="baseline"/>
                <w:lang w:val="en-US" w:eastAsia="zh-CN"/>
              </w:rPr>
              <w:t>×</w:t>
            </w:r>
            <w:r>
              <w:rPr>
                <w:rFonts w:hint="eastAsia" w:ascii="宋体" w:hAnsi="宋体" w:cs="宋体"/>
                <w:color w:val="auto"/>
                <w:sz w:val="24"/>
                <w:highlight w:val="none"/>
                <w:vertAlign w:val="baseline"/>
                <w:lang w:val="en-US" w:eastAsia="zh-CN"/>
              </w:rPr>
              <w:t>2.2米</w:t>
            </w:r>
          </w:p>
          <w:p>
            <w:pPr>
              <w:pStyle w:val="2"/>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枕套：0.75米</w:t>
            </w:r>
            <w:r>
              <w:rPr>
                <w:rFonts w:hint="default" w:ascii="Arial" w:hAnsi="Arial" w:cs="Arial"/>
                <w:color w:val="auto"/>
                <w:sz w:val="24"/>
                <w:highlight w:val="none"/>
                <w:vertAlign w:val="baseline"/>
                <w:lang w:val="en-US" w:eastAsia="zh-CN"/>
              </w:rPr>
              <w:t>×</w:t>
            </w:r>
            <w:r>
              <w:rPr>
                <w:rFonts w:hint="eastAsia" w:ascii="Arial" w:hAnsi="Arial" w:cs="Arial"/>
                <w:color w:val="auto"/>
                <w:sz w:val="24"/>
                <w:highlight w:val="none"/>
                <w:vertAlign w:val="baseline"/>
                <w:lang w:val="en-US" w:eastAsia="zh-CN"/>
              </w:rPr>
              <w:t>0.48米</w:t>
            </w:r>
          </w:p>
        </w:tc>
        <w:tc>
          <w:tcPr>
            <w:tcW w:w="3167" w:type="dxa"/>
            <w:vAlign w:val="center"/>
          </w:tcPr>
          <w:p>
            <w:pPr>
              <w:jc w:val="center"/>
              <w:rPr>
                <w:rFonts w:hint="eastAsia" w:ascii="宋体" w:hAnsi="宋体" w:eastAsia="宋体" w:cs="宋体"/>
                <w:color w:val="auto"/>
                <w:sz w:val="22"/>
                <w:szCs w:val="18"/>
                <w:highlight w:val="none"/>
                <w:vertAlign w:val="baseline"/>
              </w:rPr>
            </w:pPr>
            <w:r>
              <w:rPr>
                <w:rFonts w:hint="eastAsia" w:ascii="宋体" w:hAnsi="宋体" w:cs="宋体"/>
                <w:color w:val="auto"/>
                <w:sz w:val="22"/>
                <w:szCs w:val="18"/>
                <w:highlight w:val="none"/>
                <w:vertAlign w:val="baseline"/>
                <w:lang w:val="en-US" w:eastAsia="zh-CN"/>
              </w:rPr>
              <w:t>型</w:t>
            </w:r>
            <w:r>
              <w:rPr>
                <w:rFonts w:hint="eastAsia" w:ascii="宋体" w:hAnsi="宋体" w:eastAsia="宋体" w:cs="宋体"/>
                <w:color w:val="auto"/>
                <w:sz w:val="22"/>
                <w:szCs w:val="18"/>
                <w:highlight w:val="none"/>
                <w:vertAlign w:val="baseline"/>
              </w:rPr>
              <w:t>号:植物羊</w:t>
            </w:r>
            <w:r>
              <w:rPr>
                <w:rFonts w:hint="eastAsia" w:ascii="宋体" w:hAnsi="宋体" w:cs="宋体"/>
                <w:color w:val="auto"/>
                <w:sz w:val="22"/>
                <w:szCs w:val="18"/>
                <w:highlight w:val="none"/>
                <w:vertAlign w:val="baseline"/>
                <w:lang w:val="en-US" w:eastAsia="zh-CN"/>
              </w:rPr>
              <w:t>绒</w:t>
            </w:r>
            <w:r>
              <w:rPr>
                <w:rFonts w:hint="eastAsia" w:ascii="宋体" w:hAnsi="宋体" w:eastAsia="宋体" w:cs="宋体"/>
                <w:color w:val="auto"/>
                <w:sz w:val="22"/>
                <w:szCs w:val="18"/>
                <w:highlight w:val="none"/>
                <w:vertAlign w:val="baseline"/>
              </w:rPr>
              <w:t>三件套</w:t>
            </w:r>
          </w:p>
          <w:p>
            <w:pPr>
              <w:jc w:val="center"/>
              <w:rPr>
                <w:rFonts w:hint="eastAsia" w:ascii="宋体" w:hAnsi="宋体" w:eastAsia="宋体" w:cs="宋体"/>
                <w:color w:val="auto"/>
                <w:sz w:val="22"/>
                <w:szCs w:val="18"/>
                <w:highlight w:val="none"/>
                <w:vertAlign w:val="baseline"/>
              </w:rPr>
            </w:pPr>
            <w:r>
              <w:rPr>
                <w:rFonts w:hint="eastAsia" w:ascii="宋体" w:hAnsi="宋体" w:eastAsia="宋体" w:cs="宋体"/>
                <w:color w:val="auto"/>
                <w:sz w:val="22"/>
                <w:szCs w:val="18"/>
                <w:highlight w:val="none"/>
                <w:vertAlign w:val="baseline"/>
              </w:rPr>
              <w:t>执行标准:GB/T22844-2010</w:t>
            </w:r>
          </w:p>
          <w:p>
            <w:pPr>
              <w:jc w:val="center"/>
              <w:rPr>
                <w:rFonts w:hint="eastAsia" w:ascii="宋体" w:hAnsi="宋体" w:eastAsia="宋体" w:cs="宋体"/>
                <w:color w:val="auto"/>
                <w:sz w:val="22"/>
                <w:szCs w:val="18"/>
                <w:highlight w:val="none"/>
                <w:vertAlign w:val="baseline"/>
              </w:rPr>
            </w:pPr>
            <w:r>
              <w:rPr>
                <w:rFonts w:hint="eastAsia" w:ascii="宋体" w:hAnsi="宋体" w:cs="宋体"/>
                <w:color w:val="auto"/>
                <w:sz w:val="22"/>
                <w:szCs w:val="18"/>
                <w:highlight w:val="none"/>
                <w:vertAlign w:val="baseline"/>
                <w:lang w:val="en-US" w:eastAsia="zh-CN"/>
              </w:rPr>
              <w:t>安</w:t>
            </w:r>
            <w:r>
              <w:rPr>
                <w:rFonts w:hint="eastAsia" w:ascii="宋体" w:hAnsi="宋体" w:eastAsia="宋体" w:cs="宋体"/>
                <w:color w:val="auto"/>
                <w:sz w:val="22"/>
                <w:szCs w:val="18"/>
                <w:highlight w:val="none"/>
                <w:vertAlign w:val="baseline"/>
              </w:rPr>
              <w:t>全类别:GB/18401-2010B类</w:t>
            </w:r>
          </w:p>
          <w:p>
            <w:pPr>
              <w:jc w:val="center"/>
              <w:rPr>
                <w:rFonts w:hint="eastAsia" w:ascii="宋体" w:hAnsi="宋体" w:eastAsia="宋体" w:cs="宋体"/>
                <w:color w:val="auto"/>
                <w:sz w:val="22"/>
                <w:szCs w:val="18"/>
                <w:highlight w:val="none"/>
                <w:vertAlign w:val="baseline"/>
              </w:rPr>
            </w:pPr>
            <w:r>
              <w:rPr>
                <w:rFonts w:hint="eastAsia" w:ascii="宋体" w:hAnsi="宋体" w:cs="宋体"/>
                <w:color w:val="auto"/>
                <w:sz w:val="22"/>
                <w:szCs w:val="18"/>
                <w:highlight w:val="none"/>
                <w:vertAlign w:val="baseline"/>
                <w:lang w:val="en-US" w:eastAsia="zh-CN"/>
              </w:rPr>
              <w:t>面料：</w:t>
            </w:r>
            <w:r>
              <w:rPr>
                <w:rFonts w:hint="eastAsia" w:ascii="宋体" w:hAnsi="宋体" w:eastAsia="宋体" w:cs="宋体"/>
                <w:color w:val="auto"/>
                <w:sz w:val="22"/>
                <w:szCs w:val="18"/>
                <w:highlight w:val="none"/>
                <w:vertAlign w:val="baseline"/>
              </w:rPr>
              <w:t>100%聚</w:t>
            </w:r>
            <w:r>
              <w:rPr>
                <w:rFonts w:hint="eastAsia" w:ascii="宋体" w:hAnsi="宋体" w:cs="宋体"/>
                <w:color w:val="auto"/>
                <w:sz w:val="22"/>
                <w:szCs w:val="18"/>
                <w:highlight w:val="none"/>
                <w:vertAlign w:val="baseline"/>
                <w:lang w:val="en-US" w:eastAsia="zh-CN"/>
              </w:rPr>
              <w:t>酯</w:t>
            </w:r>
            <w:r>
              <w:rPr>
                <w:rFonts w:hint="eastAsia" w:ascii="宋体" w:hAnsi="宋体" w:eastAsia="宋体" w:cs="宋体"/>
                <w:color w:val="auto"/>
                <w:sz w:val="22"/>
                <w:szCs w:val="18"/>
                <w:highlight w:val="none"/>
                <w:vertAlign w:val="baseline"/>
              </w:rPr>
              <w:t>纤维</w:t>
            </w:r>
          </w:p>
          <w:p>
            <w:pPr>
              <w:jc w:val="center"/>
              <w:rPr>
                <w:rFonts w:ascii="宋体" w:hAnsi="宋体" w:eastAsia="宋体" w:cs="宋体"/>
                <w:color w:val="auto"/>
                <w:sz w:val="24"/>
                <w:highlight w:val="none"/>
                <w:vertAlign w:val="baseline"/>
              </w:rPr>
            </w:pPr>
            <w:r>
              <w:rPr>
                <w:rFonts w:hint="eastAsia" w:ascii="宋体" w:hAnsi="宋体" w:cs="宋体"/>
                <w:color w:val="auto"/>
                <w:sz w:val="22"/>
                <w:szCs w:val="18"/>
                <w:highlight w:val="none"/>
                <w:vertAlign w:val="baseline"/>
                <w:lang w:val="en-US" w:eastAsia="zh-CN"/>
              </w:rPr>
              <w:t>重</w:t>
            </w:r>
            <w:r>
              <w:rPr>
                <w:rFonts w:hint="eastAsia" w:ascii="宋体" w:hAnsi="宋体" w:eastAsia="宋体" w:cs="宋体"/>
                <w:color w:val="auto"/>
                <w:sz w:val="22"/>
                <w:szCs w:val="18"/>
                <w:highlight w:val="none"/>
                <w:vertAlign w:val="baseline"/>
              </w:rPr>
              <w:t>量:不低于1.3kg</w:t>
            </w:r>
          </w:p>
        </w:tc>
        <w:tc>
          <w:tcPr>
            <w:tcW w:w="1233" w:type="dxa"/>
            <w:vAlign w:val="center"/>
          </w:tcPr>
          <w:p>
            <w:pPr>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10000</w:t>
            </w:r>
          </w:p>
        </w:tc>
        <w:tc>
          <w:tcPr>
            <w:tcW w:w="800" w:type="dxa"/>
            <w:vAlign w:val="center"/>
          </w:tcPr>
          <w:p>
            <w:pPr>
              <w:jc w:val="center"/>
              <w:rPr>
                <w:rFonts w:ascii="宋体" w:hAnsi="宋体" w:eastAsia="宋体" w:cs="宋体"/>
                <w:color w:val="auto"/>
                <w:sz w:val="24"/>
                <w:highlight w:val="none"/>
                <w:vertAlign w:val="baseline"/>
              </w:rPr>
            </w:pPr>
          </w:p>
        </w:tc>
        <w:tc>
          <w:tcPr>
            <w:tcW w:w="1037" w:type="dxa"/>
            <w:vAlign w:val="center"/>
          </w:tcPr>
          <w:p>
            <w:pPr>
              <w:jc w:val="center"/>
              <w:rPr>
                <w:rFonts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pPr>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透气网鞋</w:t>
            </w:r>
          </w:p>
        </w:tc>
        <w:tc>
          <w:tcPr>
            <w:tcW w:w="2633" w:type="dxa"/>
            <w:vAlign w:val="center"/>
          </w:tcPr>
          <w:p>
            <w:pPr>
              <w:jc w:val="center"/>
              <w:rPr>
                <w:rFonts w:ascii="宋体" w:hAnsi="宋体" w:eastAsia="宋体" w:cs="宋体"/>
                <w:color w:val="auto"/>
                <w:sz w:val="24"/>
                <w:highlight w:val="none"/>
                <w:vertAlign w:val="baseline"/>
              </w:rPr>
            </w:pPr>
            <w:r>
              <w:rPr>
                <w:rFonts w:hint="eastAsia" w:ascii="宋体" w:hAnsi="宋体" w:eastAsia="宋体" w:cs="宋体"/>
                <w:color w:val="auto"/>
                <w:sz w:val="24"/>
                <w:highlight w:val="none"/>
                <w:vertAlign w:val="baseline"/>
              </w:rPr>
              <w:t>男女</w:t>
            </w:r>
            <w:r>
              <w:rPr>
                <w:rFonts w:hint="eastAsia" w:ascii="宋体" w:hAnsi="宋体" w:cs="宋体"/>
                <w:color w:val="auto"/>
                <w:sz w:val="24"/>
                <w:highlight w:val="none"/>
                <w:vertAlign w:val="baseline"/>
                <w:lang w:val="en-US" w:eastAsia="zh-CN"/>
              </w:rPr>
              <w:t>同</w:t>
            </w:r>
            <w:r>
              <w:rPr>
                <w:rFonts w:hint="eastAsia" w:ascii="宋体" w:hAnsi="宋体" w:eastAsia="宋体" w:cs="宋体"/>
                <w:color w:val="auto"/>
                <w:sz w:val="24"/>
                <w:highlight w:val="none"/>
                <w:vertAlign w:val="baseline"/>
              </w:rPr>
              <w:t>款 37、38、39、</w:t>
            </w:r>
            <w:r>
              <w:rPr>
                <w:rFonts w:hint="eastAsia" w:ascii="宋体" w:hAnsi="宋体" w:cs="宋体"/>
                <w:color w:val="auto"/>
                <w:sz w:val="24"/>
                <w:highlight w:val="none"/>
                <w:vertAlign w:val="baseline"/>
                <w:lang w:val="en-US" w:eastAsia="zh-CN"/>
              </w:rPr>
              <w:t>40</w:t>
            </w:r>
            <w:r>
              <w:rPr>
                <w:rFonts w:hint="eastAsia" w:ascii="宋体" w:hAnsi="宋体" w:eastAsia="宋体" w:cs="宋体"/>
                <w:color w:val="auto"/>
                <w:sz w:val="24"/>
                <w:highlight w:val="none"/>
                <w:vertAlign w:val="baseline"/>
              </w:rPr>
              <w:t>、41、42、43、44、45</w:t>
            </w:r>
          </w:p>
        </w:tc>
        <w:tc>
          <w:tcPr>
            <w:tcW w:w="3167" w:type="dxa"/>
            <w:vAlign w:val="center"/>
          </w:tcPr>
          <w:p>
            <w:pPr>
              <w:jc w:val="center"/>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vertAlign w:val="baseline"/>
              </w:rPr>
              <w:t>一等品</w:t>
            </w:r>
          </w:p>
          <w:p>
            <w:pPr>
              <w:jc w:val="center"/>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vertAlign w:val="baseline"/>
              </w:rPr>
              <w:t>鞋面:</w:t>
            </w:r>
            <w:r>
              <w:rPr>
                <w:rFonts w:hint="eastAsia" w:ascii="宋体" w:hAnsi="宋体" w:eastAsia="宋体" w:cs="宋体"/>
                <w:color w:val="auto"/>
                <w:sz w:val="22"/>
                <w:szCs w:val="18"/>
                <w:highlight w:val="none"/>
                <w:vertAlign w:val="baseline"/>
              </w:rPr>
              <w:t>聚</w:t>
            </w:r>
            <w:r>
              <w:rPr>
                <w:rFonts w:hint="eastAsia" w:ascii="宋体" w:hAnsi="宋体" w:cs="宋体"/>
                <w:color w:val="auto"/>
                <w:sz w:val="22"/>
                <w:szCs w:val="18"/>
                <w:highlight w:val="none"/>
                <w:vertAlign w:val="baseline"/>
                <w:lang w:val="en-US" w:eastAsia="zh-CN"/>
              </w:rPr>
              <w:t>酯</w:t>
            </w:r>
            <w:r>
              <w:rPr>
                <w:rFonts w:hint="eastAsia" w:ascii="宋体" w:hAnsi="宋体" w:eastAsia="宋体" w:cs="宋体"/>
                <w:color w:val="auto"/>
                <w:sz w:val="22"/>
                <w:szCs w:val="18"/>
                <w:highlight w:val="none"/>
                <w:vertAlign w:val="baseline"/>
              </w:rPr>
              <w:t>纤维</w:t>
            </w:r>
          </w:p>
          <w:p>
            <w:pPr>
              <w:jc w:val="center"/>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vertAlign w:val="baseline"/>
              </w:rPr>
              <w:t>鞋垫:海玻璃</w:t>
            </w:r>
          </w:p>
          <w:p>
            <w:pPr>
              <w:jc w:val="center"/>
              <w:rPr>
                <w:rFonts w:hint="eastAsia" w:ascii="宋体" w:hAnsi="宋体" w:eastAsia="宋体" w:cs="宋体"/>
                <w:color w:val="auto"/>
                <w:sz w:val="24"/>
                <w:highlight w:val="none"/>
                <w:vertAlign w:val="baseline"/>
              </w:rPr>
            </w:pPr>
            <w:r>
              <w:rPr>
                <w:rFonts w:hint="eastAsia" w:ascii="宋体" w:hAnsi="宋体" w:cs="宋体"/>
                <w:color w:val="auto"/>
                <w:sz w:val="24"/>
                <w:highlight w:val="none"/>
                <w:vertAlign w:val="baseline"/>
                <w:lang w:val="en-US" w:eastAsia="zh-CN"/>
              </w:rPr>
              <w:t>鞋</w:t>
            </w:r>
            <w:r>
              <w:rPr>
                <w:rFonts w:hint="eastAsia" w:ascii="宋体" w:hAnsi="宋体" w:eastAsia="宋体" w:cs="宋体"/>
                <w:color w:val="auto"/>
                <w:sz w:val="24"/>
                <w:highlight w:val="none"/>
                <w:vertAlign w:val="baseline"/>
              </w:rPr>
              <w:t>底:PU聚氨酯发泡工艺</w:t>
            </w:r>
          </w:p>
          <w:p>
            <w:pPr>
              <w:jc w:val="center"/>
              <w:rPr>
                <w:rFonts w:hint="eastAsia" w:ascii="宋体" w:hAnsi="宋体" w:eastAsia="宋体" w:cs="宋体"/>
                <w:color w:val="auto"/>
                <w:sz w:val="22"/>
                <w:szCs w:val="18"/>
                <w:highlight w:val="none"/>
                <w:vertAlign w:val="baseline"/>
              </w:rPr>
            </w:pPr>
            <w:r>
              <w:rPr>
                <w:rFonts w:hint="eastAsia" w:ascii="宋体" w:hAnsi="宋体" w:eastAsia="宋体" w:cs="宋体"/>
                <w:color w:val="auto"/>
                <w:sz w:val="24"/>
                <w:highlight w:val="none"/>
                <w:vertAlign w:val="baseline"/>
              </w:rPr>
              <w:t>鞋层:</w:t>
            </w:r>
            <w:r>
              <w:rPr>
                <w:rFonts w:hint="eastAsia" w:ascii="宋体" w:hAnsi="宋体" w:eastAsia="宋体" w:cs="宋体"/>
                <w:color w:val="auto"/>
                <w:sz w:val="22"/>
                <w:szCs w:val="18"/>
                <w:highlight w:val="none"/>
                <w:vertAlign w:val="baseline"/>
              </w:rPr>
              <w:t>聚</w:t>
            </w:r>
            <w:r>
              <w:rPr>
                <w:rFonts w:hint="eastAsia" w:ascii="宋体" w:hAnsi="宋体" w:cs="宋体"/>
                <w:color w:val="auto"/>
                <w:sz w:val="22"/>
                <w:szCs w:val="18"/>
                <w:highlight w:val="none"/>
                <w:vertAlign w:val="baseline"/>
                <w:lang w:val="en-US" w:eastAsia="zh-CN"/>
              </w:rPr>
              <w:t>酯</w:t>
            </w:r>
            <w:r>
              <w:rPr>
                <w:rFonts w:hint="eastAsia" w:ascii="宋体" w:hAnsi="宋体" w:eastAsia="宋体" w:cs="宋体"/>
                <w:color w:val="auto"/>
                <w:sz w:val="22"/>
                <w:szCs w:val="18"/>
                <w:highlight w:val="none"/>
                <w:vertAlign w:val="baseline"/>
              </w:rPr>
              <w:t>纤维</w:t>
            </w:r>
          </w:p>
          <w:p>
            <w:pPr>
              <w:jc w:val="center"/>
              <w:rPr>
                <w:rFonts w:hint="eastAsia" w:ascii="宋体" w:hAnsi="宋体" w:eastAsia="宋体" w:cs="宋体"/>
                <w:color w:val="auto"/>
                <w:sz w:val="22"/>
                <w:szCs w:val="18"/>
                <w:highlight w:val="none"/>
                <w:vertAlign w:val="baseline"/>
              </w:rPr>
            </w:pPr>
            <w:r>
              <w:rPr>
                <w:rFonts w:hint="eastAsia" w:ascii="宋体" w:hAnsi="宋体" w:eastAsia="宋体" w:cs="宋体"/>
                <w:color w:val="auto"/>
                <w:sz w:val="24"/>
                <w:highlight w:val="none"/>
                <w:vertAlign w:val="baseline"/>
                <w:lang w:val="en-US" w:eastAsia="zh-CN"/>
              </w:rPr>
              <w:t>鞋带</w:t>
            </w:r>
            <w:r>
              <w:rPr>
                <w:rFonts w:hint="eastAsia" w:ascii="宋体" w:hAnsi="宋体" w:eastAsia="宋体" w:cs="宋体"/>
                <w:color w:val="auto"/>
                <w:sz w:val="24"/>
                <w:highlight w:val="none"/>
                <w:vertAlign w:val="baseline"/>
              </w:rPr>
              <w:t>:</w:t>
            </w:r>
            <w:r>
              <w:rPr>
                <w:rFonts w:hint="eastAsia" w:ascii="宋体" w:hAnsi="宋体" w:eastAsia="宋体" w:cs="宋体"/>
                <w:color w:val="auto"/>
                <w:sz w:val="22"/>
                <w:szCs w:val="18"/>
                <w:highlight w:val="none"/>
                <w:vertAlign w:val="baseline"/>
              </w:rPr>
              <w:t>聚</w:t>
            </w:r>
            <w:r>
              <w:rPr>
                <w:rFonts w:hint="eastAsia" w:ascii="宋体" w:hAnsi="宋体" w:cs="宋体"/>
                <w:color w:val="auto"/>
                <w:sz w:val="22"/>
                <w:szCs w:val="18"/>
                <w:highlight w:val="none"/>
                <w:vertAlign w:val="baseline"/>
                <w:lang w:val="en-US" w:eastAsia="zh-CN"/>
              </w:rPr>
              <w:t>酯</w:t>
            </w:r>
            <w:r>
              <w:rPr>
                <w:rFonts w:hint="eastAsia" w:ascii="宋体" w:hAnsi="宋体" w:eastAsia="宋体" w:cs="宋体"/>
                <w:color w:val="auto"/>
                <w:sz w:val="22"/>
                <w:szCs w:val="18"/>
                <w:highlight w:val="none"/>
                <w:vertAlign w:val="baseline"/>
              </w:rPr>
              <w:t>纤维</w:t>
            </w:r>
          </w:p>
          <w:p>
            <w:pPr>
              <w:jc w:val="center"/>
              <w:rPr>
                <w:rFonts w:hint="eastAsia" w:ascii="宋体" w:hAnsi="宋体" w:cs="宋体"/>
                <w:color w:val="auto"/>
                <w:sz w:val="24"/>
                <w:highlight w:val="none"/>
                <w:vertAlign w:val="baseline"/>
                <w:lang w:eastAsia="zh-CN"/>
              </w:rPr>
            </w:pPr>
            <w:r>
              <w:rPr>
                <w:rFonts w:hint="eastAsia" w:ascii="宋体" w:hAnsi="宋体" w:cs="宋体"/>
                <w:color w:val="auto"/>
                <w:sz w:val="24"/>
                <w:highlight w:val="none"/>
                <w:vertAlign w:val="baseline"/>
                <w:lang w:val="en-US" w:eastAsia="zh-CN"/>
              </w:rPr>
              <w:t>缝</w:t>
            </w:r>
            <w:r>
              <w:rPr>
                <w:rFonts w:hint="eastAsia" w:ascii="宋体" w:hAnsi="宋体" w:eastAsia="宋体" w:cs="宋体"/>
                <w:color w:val="auto"/>
                <w:sz w:val="24"/>
                <w:highlight w:val="none"/>
                <w:vertAlign w:val="baseline"/>
              </w:rPr>
              <w:t>线:线道整齐，针码均匀。底面线松紧致</w:t>
            </w:r>
            <w:r>
              <w:rPr>
                <w:rFonts w:hint="eastAsia" w:ascii="宋体" w:hAnsi="宋体" w:cs="宋体"/>
                <w:color w:val="auto"/>
                <w:sz w:val="24"/>
                <w:highlight w:val="none"/>
                <w:vertAlign w:val="baseline"/>
                <w:lang w:eastAsia="zh-CN"/>
              </w:rPr>
              <w:t>。</w:t>
            </w:r>
          </w:p>
          <w:p>
            <w:pPr>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rPr>
              <w:t>主要部位不允许有跳线、重针(工艺设计上的回针除外)、</w:t>
            </w:r>
            <w:r>
              <w:rPr>
                <w:rFonts w:hint="eastAsia" w:ascii="宋体" w:hAnsi="宋体" w:cs="宋体"/>
                <w:color w:val="auto"/>
                <w:sz w:val="24"/>
                <w:highlight w:val="none"/>
                <w:vertAlign w:val="baseline"/>
                <w:lang w:val="en-US" w:eastAsia="zh-CN"/>
              </w:rPr>
              <w:t>断</w:t>
            </w:r>
            <w:r>
              <w:rPr>
                <w:rFonts w:hint="eastAsia" w:ascii="宋体" w:hAnsi="宋体" w:eastAsia="宋体" w:cs="宋体"/>
                <w:color w:val="auto"/>
                <w:sz w:val="24"/>
                <w:highlight w:val="none"/>
                <w:vertAlign w:val="baseline"/>
              </w:rPr>
              <w:t>线、</w:t>
            </w:r>
            <w:r>
              <w:rPr>
                <w:rFonts w:hint="eastAsia" w:ascii="宋体" w:hAnsi="宋体" w:cs="宋体"/>
                <w:color w:val="auto"/>
                <w:sz w:val="24"/>
                <w:highlight w:val="none"/>
                <w:vertAlign w:val="baseline"/>
                <w:lang w:val="en-US" w:eastAsia="zh-CN"/>
              </w:rPr>
              <w:t>删</w:t>
            </w:r>
            <w:r>
              <w:rPr>
                <w:rFonts w:hint="eastAsia" w:ascii="宋体" w:hAnsi="宋体" w:eastAsia="宋体" w:cs="宋体"/>
                <w:color w:val="auto"/>
                <w:sz w:val="24"/>
                <w:highlight w:val="none"/>
                <w:vertAlign w:val="baseline"/>
              </w:rPr>
              <w:t>线、开线及</w:t>
            </w:r>
            <w:r>
              <w:rPr>
                <w:rFonts w:hint="eastAsia" w:ascii="宋体" w:hAnsi="宋体" w:cs="宋体"/>
                <w:color w:val="auto"/>
                <w:sz w:val="24"/>
                <w:highlight w:val="none"/>
                <w:vertAlign w:val="baseline"/>
                <w:lang w:val="en-US" w:eastAsia="zh-CN"/>
              </w:rPr>
              <w:t>缝</w:t>
            </w:r>
            <w:r>
              <w:rPr>
                <w:rFonts w:hint="eastAsia" w:ascii="宋体" w:hAnsi="宋体" w:eastAsia="宋体" w:cs="宋体"/>
                <w:color w:val="auto"/>
                <w:sz w:val="24"/>
                <w:highlight w:val="none"/>
                <w:vertAlign w:val="baseline"/>
              </w:rPr>
              <w:t>线</w:t>
            </w:r>
            <w:r>
              <w:rPr>
                <w:rFonts w:hint="eastAsia" w:ascii="宋体" w:hAnsi="宋体" w:cs="宋体"/>
                <w:color w:val="auto"/>
                <w:sz w:val="24"/>
                <w:highlight w:val="none"/>
                <w:vertAlign w:val="baseline"/>
                <w:lang w:val="en-US" w:eastAsia="zh-CN"/>
              </w:rPr>
              <w:t>趱轨等。</w:t>
            </w:r>
          </w:p>
          <w:p>
            <w:pPr>
              <w:jc w:val="center"/>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vertAlign w:val="baseline"/>
              </w:rPr>
              <w:t>配件:PVC材质</w:t>
            </w:r>
          </w:p>
          <w:p>
            <w:pPr>
              <w:jc w:val="center"/>
              <w:rPr>
                <w:rFonts w:ascii="宋体" w:hAnsi="宋体" w:eastAsia="宋体" w:cs="宋体"/>
                <w:color w:val="auto"/>
                <w:sz w:val="24"/>
                <w:highlight w:val="none"/>
                <w:vertAlign w:val="baseline"/>
              </w:rPr>
            </w:pPr>
            <w:r>
              <w:rPr>
                <w:rFonts w:hint="eastAsia" w:ascii="宋体" w:hAnsi="宋体" w:eastAsia="宋体" w:cs="宋体"/>
                <w:color w:val="auto"/>
                <w:sz w:val="24"/>
                <w:highlight w:val="none"/>
                <w:vertAlign w:val="baseline"/>
              </w:rPr>
              <w:t>符合QB/T</w:t>
            </w:r>
            <w:r>
              <w:rPr>
                <w:rFonts w:hint="eastAsia" w:ascii="宋体" w:hAnsi="宋体" w:cs="宋体"/>
                <w:color w:val="auto"/>
                <w:sz w:val="24"/>
                <w:highlight w:val="none"/>
                <w:vertAlign w:val="baseline"/>
                <w:lang w:val="en-US" w:eastAsia="zh-CN"/>
              </w:rPr>
              <w:t xml:space="preserve"> </w:t>
            </w:r>
            <w:r>
              <w:rPr>
                <w:rFonts w:hint="eastAsia" w:ascii="宋体" w:hAnsi="宋体" w:eastAsia="宋体" w:cs="宋体"/>
                <w:color w:val="auto"/>
                <w:sz w:val="24"/>
                <w:highlight w:val="none"/>
                <w:vertAlign w:val="baseline"/>
              </w:rPr>
              <w:t>2955-2017标准</w:t>
            </w:r>
          </w:p>
        </w:tc>
        <w:tc>
          <w:tcPr>
            <w:tcW w:w="1233" w:type="dxa"/>
            <w:vAlign w:val="center"/>
          </w:tcPr>
          <w:p>
            <w:pPr>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7500</w:t>
            </w:r>
          </w:p>
        </w:tc>
        <w:tc>
          <w:tcPr>
            <w:tcW w:w="800" w:type="dxa"/>
            <w:vAlign w:val="center"/>
          </w:tcPr>
          <w:p>
            <w:pPr>
              <w:jc w:val="center"/>
              <w:rPr>
                <w:rFonts w:ascii="宋体" w:hAnsi="宋体" w:eastAsia="宋体" w:cs="宋体"/>
                <w:color w:val="auto"/>
                <w:sz w:val="24"/>
                <w:highlight w:val="none"/>
                <w:vertAlign w:val="baseline"/>
              </w:rPr>
            </w:pPr>
          </w:p>
        </w:tc>
        <w:tc>
          <w:tcPr>
            <w:tcW w:w="1037" w:type="dxa"/>
            <w:vAlign w:val="center"/>
          </w:tcPr>
          <w:p>
            <w:pPr>
              <w:jc w:val="center"/>
              <w:rPr>
                <w:rFonts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pPr>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合计</w:t>
            </w:r>
          </w:p>
        </w:tc>
        <w:tc>
          <w:tcPr>
            <w:tcW w:w="8870" w:type="dxa"/>
            <w:gridSpan w:val="5"/>
            <w:vAlign w:val="center"/>
          </w:tcPr>
          <w:p>
            <w:pPr>
              <w:jc w:val="center"/>
              <w:rPr>
                <w:rFonts w:ascii="宋体" w:hAnsi="宋体" w:eastAsia="宋体" w:cs="宋体"/>
                <w:color w:val="auto"/>
                <w:sz w:val="24"/>
                <w:highlight w:val="none"/>
                <w:vertAlign w:val="baseline"/>
              </w:rPr>
            </w:pPr>
          </w:p>
        </w:tc>
      </w:tr>
    </w:tbl>
    <w:p>
      <w:pPr>
        <w:rPr>
          <w:rFonts w:ascii="宋体" w:hAnsi="宋体" w:eastAsia="宋体" w:cs="宋体"/>
          <w:color w:val="auto"/>
          <w:sz w:val="24"/>
          <w:highlight w:val="none"/>
        </w:rPr>
      </w:pPr>
      <w:r>
        <w:rPr>
          <w:rFonts w:ascii="宋体" w:hAnsi="宋体" w:eastAsia="宋体" w:cs="宋体"/>
          <w:color w:val="auto"/>
          <w:sz w:val="24"/>
          <w:highlight w:val="none"/>
        </w:rPr>
        <w:br w:type="page"/>
      </w:r>
    </w:p>
    <w:p>
      <w:pPr>
        <w:rPr>
          <w:rFonts w:ascii="宋体" w:hAnsi="宋体" w:eastAsia="宋体" w:cs="宋体"/>
          <w:color w:val="auto"/>
          <w:sz w:val="24"/>
          <w:highlight w:val="none"/>
        </w:rPr>
        <w:sectPr>
          <w:pgSz w:w="11906" w:h="16838"/>
          <w:pgMar w:top="1440" w:right="1080" w:bottom="1440" w:left="1080" w:header="851" w:footer="992" w:gutter="0"/>
          <w:cols w:space="720" w:num="1"/>
          <w:rtlGutter w:val="0"/>
          <w:docGrid w:linePitch="312" w:charSpace="0"/>
        </w:sectPr>
      </w:pPr>
    </w:p>
    <w:p>
      <w:pPr>
        <w:rPr>
          <w:rFonts w:ascii="宋体" w:hAnsi="宋体" w:eastAsia="宋体" w:cs="宋体"/>
          <w:color w:val="auto"/>
          <w:sz w:val="24"/>
          <w:highlight w:val="none"/>
        </w:rPr>
      </w:pPr>
      <w:r>
        <w:rPr>
          <w:rFonts w:ascii="宋体" w:hAnsi="宋体" w:eastAsia="宋体" w:cs="宋体"/>
          <w:color w:val="auto"/>
          <w:sz w:val="24"/>
          <w:highlight w:val="none"/>
        </w:rPr>
        <w:t>2、售后服务内容及要求：</w:t>
      </w:r>
    </w:p>
    <w:p>
      <w:pPr>
        <w:spacing w:line="420" w:lineRule="auto"/>
        <w:ind w:firstLine="480"/>
        <w:rPr>
          <w:rFonts w:hint="eastAsia" w:ascii="宋体" w:hAnsi="宋体" w:eastAsia="宋体" w:cs="宋体"/>
          <w:color w:val="auto"/>
          <w:sz w:val="24"/>
          <w:highlight w:val="none"/>
          <w:lang w:eastAsia="zh-CN"/>
        </w:rPr>
      </w:pPr>
      <w:r>
        <w:rPr>
          <w:rFonts w:ascii="宋体" w:hAnsi="宋体" w:eastAsia="宋体" w:cs="宋体"/>
          <w:color w:val="auto"/>
          <w:sz w:val="24"/>
          <w:highlight w:val="none"/>
        </w:rPr>
        <w:t>2.1质量保证：按本项目的行业规则或双方签订合同时的约定执行。质保期内如果出现质量问题，成交供应商应当无条件更换，由于质量问题造成的损失由成交供应商负全部责任</w:t>
      </w:r>
      <w:r>
        <w:rPr>
          <w:rFonts w:hint="eastAsia" w:ascii="宋体" w:hAnsi="宋体" w:eastAsia="宋体" w:cs="宋体"/>
          <w:color w:val="auto"/>
          <w:sz w:val="24"/>
          <w:highlight w:val="none"/>
          <w:lang w:eastAsia="zh-CN"/>
        </w:rPr>
        <w:t>。</w:t>
      </w:r>
    </w:p>
    <w:p>
      <w:pPr>
        <w:spacing w:line="42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2.2售后服务：免费质保</w:t>
      </w:r>
      <w:r>
        <w:rPr>
          <w:rFonts w:hint="eastAsia" w:ascii="宋体" w:hAnsi="宋体" w:eastAsia="宋体" w:cs="宋体"/>
          <w:color w:val="auto"/>
          <w:sz w:val="24"/>
          <w:highlight w:val="none"/>
          <w:lang w:val="en-US" w:eastAsia="zh-CN"/>
        </w:rPr>
        <w:t>12个月</w:t>
      </w:r>
      <w:r>
        <w:rPr>
          <w:rFonts w:ascii="宋体" w:hAnsi="宋体" w:eastAsia="宋体" w:cs="宋体"/>
          <w:color w:val="auto"/>
          <w:sz w:val="24"/>
          <w:highlight w:val="none"/>
        </w:rPr>
        <w:t>,质保期内提供免费上门服务，质保期外的收费按相关行业规则或由双方协商收取。</w:t>
      </w:r>
    </w:p>
    <w:p>
      <w:pPr>
        <w:spacing w:line="42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2.3交货地点：采购人指定地点。</w:t>
      </w:r>
    </w:p>
    <w:p>
      <w:pPr>
        <w:spacing w:line="42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2.4交货日期：双方签订合同后</w:t>
      </w:r>
      <w:r>
        <w:rPr>
          <w:rFonts w:hint="eastAsia" w:ascii="宋体" w:hAnsi="宋体" w:cs="宋体"/>
          <w:color w:val="auto"/>
          <w:sz w:val="24"/>
          <w:highlight w:val="none"/>
          <w:u w:val="single"/>
          <w:lang w:val="en-US" w:eastAsia="zh-CN"/>
        </w:rPr>
        <w:t xml:space="preserve"> 7</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日内。</w:t>
      </w:r>
    </w:p>
    <w:p>
      <w:pPr>
        <w:spacing w:line="360" w:lineRule="auto"/>
        <w:ind w:firstLine="480" w:firstLineChars="200"/>
        <w:rPr>
          <w:rStyle w:val="43"/>
          <w:rFonts w:ascii="宋体" w:hAnsi="宋体" w:cs="宋体"/>
          <w:color w:val="auto"/>
          <w:sz w:val="24"/>
          <w:highlight w:val="none"/>
          <w:lang w:val="zh-CN"/>
        </w:rPr>
      </w:pPr>
      <w:r>
        <w:rPr>
          <w:rStyle w:val="43"/>
          <w:rFonts w:hint="eastAsia" w:ascii="宋体" w:hAnsi="宋体" w:cs="宋体"/>
          <w:color w:val="auto"/>
          <w:sz w:val="24"/>
          <w:highlight w:val="none"/>
          <w:lang w:val="zh-CN"/>
        </w:rPr>
        <w:t>2.5 质量标准：符合相关要求，合格。</w:t>
      </w:r>
    </w:p>
    <w:p>
      <w:pPr>
        <w:spacing w:line="360" w:lineRule="auto"/>
        <w:ind w:firstLine="480" w:firstLineChars="200"/>
        <w:rPr>
          <w:rStyle w:val="43"/>
          <w:rFonts w:ascii="宋体" w:hAnsi="宋体" w:cs="宋体"/>
          <w:color w:val="auto"/>
          <w:sz w:val="24"/>
          <w:highlight w:val="none"/>
          <w:lang w:val="zh-CN"/>
        </w:rPr>
      </w:pPr>
      <w:r>
        <w:rPr>
          <w:rStyle w:val="43"/>
          <w:rFonts w:hint="eastAsia" w:ascii="宋体" w:hAnsi="宋体" w:cs="宋体"/>
          <w:color w:val="auto"/>
          <w:sz w:val="24"/>
          <w:highlight w:val="none"/>
          <w:lang w:val="zh-CN"/>
        </w:rPr>
        <w:t>2.6 验收：由最终用户组织验收。</w:t>
      </w:r>
    </w:p>
    <w:p>
      <w:pPr>
        <w:bidi w:val="0"/>
        <w:rPr>
          <w:rFonts w:hint="eastAsia"/>
          <w:color w:val="auto"/>
          <w:highlight w:val="none"/>
        </w:rPr>
      </w:pPr>
    </w:p>
    <w:p>
      <w:pPr>
        <w:pStyle w:val="4"/>
        <w:ind w:firstLine="0"/>
        <w:rPr>
          <w:rFonts w:hint="eastAsia" w:ascii="宋体" w:hAnsi="宋体" w:eastAsia="宋体" w:cs="宋体"/>
          <w:color w:val="auto"/>
          <w:highlight w:val="none"/>
        </w:rPr>
        <w:sectPr>
          <w:pgSz w:w="11906" w:h="16838"/>
          <w:pgMar w:top="1389" w:right="1304" w:bottom="1440" w:left="1304" w:header="851" w:footer="992" w:gutter="0"/>
          <w:cols w:space="720" w:num="1"/>
          <w:rtlGutter w:val="0"/>
          <w:docGrid w:linePitch="312" w:charSpace="0"/>
        </w:sectPr>
      </w:pPr>
    </w:p>
    <w:p>
      <w:pPr>
        <w:pStyle w:val="3"/>
        <w:bidi w:val="0"/>
        <w:spacing w:line="240" w:lineRule="auto"/>
        <w:jc w:val="center"/>
        <w:rPr>
          <w:rFonts w:hint="eastAsia" w:ascii="宋体" w:hAnsi="宋体" w:eastAsia="宋体" w:cs="宋体"/>
          <w:color w:val="auto"/>
          <w:highlight w:val="none"/>
        </w:rPr>
      </w:pPr>
      <w:bookmarkStart w:id="52" w:name="_Toc18111"/>
      <w:r>
        <w:rPr>
          <w:rFonts w:hint="eastAsia"/>
          <w:color w:val="auto"/>
          <w:highlight w:val="none"/>
        </w:rPr>
        <w:t>第</w:t>
      </w:r>
      <w:bookmarkStart w:id="53" w:name="_Hlt240110027"/>
      <w:bookmarkEnd w:id="53"/>
      <w:r>
        <w:rPr>
          <w:rFonts w:hint="eastAsia"/>
          <w:color w:val="auto"/>
          <w:highlight w:val="none"/>
        </w:rPr>
        <w:t>四章 评标办法</w:t>
      </w:r>
      <w:bookmarkEnd w:id="52"/>
    </w:p>
    <w:p>
      <w:pPr>
        <w:tabs>
          <w:tab w:val="left" w:pos="360"/>
          <w:tab w:val="left" w:pos="540"/>
          <w:tab w:val="left" w:pos="3600"/>
          <w:tab w:val="left" w:pos="3780"/>
          <w:tab w:val="left" w:pos="8460"/>
          <w:tab w:val="left" w:pos="9180"/>
        </w:tabs>
        <w:adjustRightInd w:val="0"/>
        <w:snapToGrid w:val="0"/>
        <w:spacing w:line="360" w:lineRule="auto"/>
        <w:ind w:firstLine="3313" w:firstLineChars="1375"/>
        <w:rPr>
          <w:rFonts w:hint="eastAsia" w:ascii="宋体" w:hAnsi="宋体" w:cs="宋体"/>
          <w:b/>
          <w:color w:val="auto"/>
          <w:sz w:val="24"/>
          <w:highlight w:val="none"/>
        </w:rPr>
      </w:pPr>
      <w:bookmarkStart w:id="54" w:name="_Toc10750_WPSOffice_Level2"/>
      <w:r>
        <w:rPr>
          <w:rFonts w:hint="eastAsia" w:ascii="宋体" w:hAnsi="宋体" w:cs="宋体"/>
          <w:b/>
          <w:color w:val="auto"/>
          <w:sz w:val="24"/>
          <w:highlight w:val="none"/>
        </w:rPr>
        <w:t>一．总  则</w:t>
      </w:r>
      <w:bookmarkEnd w:id="54"/>
    </w:p>
    <w:p>
      <w:pPr>
        <w:adjustRightInd w:val="0"/>
        <w:snapToGrid w:val="0"/>
        <w:spacing w:line="360" w:lineRule="auto"/>
        <w:ind w:right="-10"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 xml:space="preserve">第一条 </w:t>
      </w:r>
      <w:r>
        <w:rPr>
          <w:rFonts w:hint="eastAsia" w:ascii="宋体" w:hAnsi="宋体" w:cs="宋体"/>
          <w:color w:val="auto"/>
          <w:sz w:val="24"/>
          <w:highlight w:val="none"/>
        </w:rPr>
        <w:t>为了做好</w:t>
      </w:r>
      <w:r>
        <w:rPr>
          <w:rFonts w:hint="eastAsia" w:ascii="宋体" w:hAnsi="宋体" w:eastAsia="宋体" w:cs="宋体"/>
          <w:color w:val="auto"/>
          <w:sz w:val="24"/>
          <w:highlight w:val="none"/>
        </w:rPr>
        <w:t>本项目（项目编号:</w:t>
      </w:r>
      <w:r>
        <w:rPr>
          <w:rFonts w:hint="eastAsia" w:ascii="宋体" w:hAnsi="宋体" w:cs="宋体"/>
          <w:color w:val="auto"/>
          <w:sz w:val="24"/>
          <w:highlight w:val="none"/>
          <w:lang w:eastAsia="zh-CN"/>
        </w:rPr>
        <w:t>郸财招标采购-2024-18</w:t>
      </w:r>
      <w:r>
        <w:rPr>
          <w:rFonts w:hint="eastAsia" w:ascii="宋体" w:hAnsi="宋体" w:eastAsia="宋体" w:cs="宋体"/>
          <w:color w:val="auto"/>
          <w:sz w:val="24"/>
          <w:highlight w:val="none"/>
        </w:rPr>
        <w:t>）的招标评</w:t>
      </w:r>
      <w:r>
        <w:rPr>
          <w:rFonts w:hint="eastAsia" w:ascii="宋体" w:hAnsi="宋体" w:cs="宋体"/>
          <w:color w:val="auto"/>
          <w:sz w:val="24"/>
          <w:highlight w:val="none"/>
        </w:rPr>
        <w:t>标工作，保证项目评审工作的正常有序进行，维护采购人、投标人的合法权益，依据《中华人民共和国政府采购法》及其它相关法律法规，本着公开、公平、公正的原则，制定评标办法。</w:t>
      </w:r>
    </w:p>
    <w:p>
      <w:pPr>
        <w:adjustRightInd w:val="0"/>
        <w:snapToGrid w:val="0"/>
        <w:spacing w:line="360" w:lineRule="auto"/>
        <w:ind w:right="-10" w:firstLine="422" w:firstLineChars="175"/>
        <w:rPr>
          <w:rFonts w:hint="eastAsia" w:ascii="宋体" w:hAnsi="宋体" w:cs="宋体"/>
          <w:color w:val="auto"/>
          <w:sz w:val="24"/>
          <w:highlight w:val="none"/>
        </w:rPr>
      </w:pPr>
      <w:r>
        <w:rPr>
          <w:rFonts w:hint="eastAsia" w:ascii="宋体" w:hAnsi="宋体" w:cs="宋体"/>
          <w:b/>
          <w:bCs/>
          <w:color w:val="auto"/>
          <w:sz w:val="24"/>
          <w:highlight w:val="none"/>
        </w:rPr>
        <w:t xml:space="preserve">第二条 </w:t>
      </w:r>
      <w:r>
        <w:rPr>
          <w:rFonts w:hint="eastAsia" w:ascii="宋体" w:hAnsi="宋体" w:cs="宋体"/>
          <w:color w:val="auto"/>
          <w:sz w:val="24"/>
          <w:highlight w:val="none"/>
        </w:rPr>
        <w:t>本次项目评标采用</w:t>
      </w:r>
      <w:r>
        <w:rPr>
          <w:rFonts w:hint="eastAsia" w:ascii="宋体" w:hAnsi="宋体" w:eastAsia="宋体" w:cs="宋体"/>
          <w:color w:val="auto"/>
          <w:sz w:val="24"/>
          <w:highlight w:val="none"/>
        </w:rPr>
        <w:t>综合评分法作</w:t>
      </w:r>
      <w:r>
        <w:rPr>
          <w:rFonts w:hint="eastAsia" w:ascii="宋体" w:hAnsi="宋体" w:cs="宋体"/>
          <w:color w:val="auto"/>
          <w:sz w:val="24"/>
          <w:highlight w:val="none"/>
        </w:rPr>
        <w:t>为对投标人标书的比较方法。</w:t>
      </w:r>
    </w:p>
    <w:p>
      <w:pPr>
        <w:adjustRightInd w:val="0"/>
        <w:snapToGrid w:val="0"/>
        <w:spacing w:line="360" w:lineRule="auto"/>
        <w:ind w:left="-61" w:leftChars="-29" w:right="-10" w:firstLine="482" w:firstLineChars="200"/>
        <w:rPr>
          <w:rFonts w:hint="eastAsia" w:ascii="宋体" w:hAnsi="宋体" w:cs="宋体"/>
          <w:color w:val="auto"/>
          <w:sz w:val="24"/>
          <w:highlight w:val="none"/>
        </w:rPr>
      </w:pPr>
      <w:r>
        <w:rPr>
          <w:rFonts w:hint="eastAsia" w:ascii="宋体" w:hAnsi="宋体" w:cs="宋体"/>
          <w:b/>
          <w:color w:val="auto"/>
          <w:sz w:val="24"/>
          <w:highlight w:val="none"/>
        </w:rPr>
        <w:t xml:space="preserve">第三条 </w:t>
      </w:r>
      <w:r>
        <w:rPr>
          <w:rFonts w:hint="eastAsia" w:ascii="宋体" w:hAnsi="宋体" w:cs="宋体"/>
          <w:color w:val="auto"/>
          <w:sz w:val="24"/>
          <w:highlight w:val="none"/>
        </w:rPr>
        <w:t>按照《中华人民共和国政府采购法》及其相关规定组成评标委员会负责本项目的评审工作。评标委员会</w:t>
      </w:r>
      <w:r>
        <w:rPr>
          <w:rFonts w:hint="eastAsia" w:ascii="宋体" w:hAnsi="宋体" w:cs="宋体"/>
          <w:color w:val="auto"/>
          <w:sz w:val="24"/>
          <w:szCs w:val="22"/>
          <w:highlight w:val="none"/>
        </w:rPr>
        <w:t>在政府采购专家库中随机抽取。</w:t>
      </w:r>
    </w:p>
    <w:p>
      <w:pPr>
        <w:adjustRightInd w:val="0"/>
        <w:snapToGrid w:val="0"/>
        <w:spacing w:line="360" w:lineRule="auto"/>
        <w:ind w:right="-10" w:firstLine="482" w:firstLineChars="200"/>
        <w:rPr>
          <w:rFonts w:hint="eastAsia" w:ascii="宋体" w:hAnsi="宋体" w:cs="宋体"/>
          <w:color w:val="auto"/>
          <w:sz w:val="24"/>
          <w:highlight w:val="none"/>
        </w:rPr>
      </w:pPr>
      <w:r>
        <w:rPr>
          <w:rFonts w:hint="eastAsia" w:ascii="宋体" w:hAnsi="宋体" w:cs="宋体"/>
          <w:b/>
          <w:color w:val="auto"/>
          <w:sz w:val="24"/>
          <w:highlight w:val="none"/>
        </w:rPr>
        <w:t xml:space="preserve">第四条 </w:t>
      </w:r>
      <w:r>
        <w:rPr>
          <w:rFonts w:hint="eastAsia" w:ascii="宋体" w:hAnsi="宋体" w:cs="宋体"/>
          <w:color w:val="auto"/>
          <w:sz w:val="24"/>
          <w:highlight w:val="none"/>
        </w:rPr>
        <w:t>评委会按照“客观公正，实事求是”的原则，评价参加本次招标的投标人所提供的产品价格、性能、质量、服务及对招标文件的符合性及响应性。</w:t>
      </w:r>
    </w:p>
    <w:p>
      <w:pPr>
        <w:adjustRightInd w:val="0"/>
        <w:snapToGrid w:val="0"/>
        <w:spacing w:line="360" w:lineRule="auto"/>
        <w:jc w:val="center"/>
        <w:rPr>
          <w:rFonts w:hint="eastAsia" w:ascii="宋体" w:hAnsi="宋体" w:cs="宋体"/>
          <w:color w:val="auto"/>
          <w:sz w:val="24"/>
          <w:highlight w:val="none"/>
        </w:rPr>
      </w:pPr>
      <w:bookmarkStart w:id="55" w:name="_Toc31922_WPSOffice_Level2"/>
      <w:r>
        <w:rPr>
          <w:rFonts w:hint="eastAsia" w:ascii="宋体" w:hAnsi="宋体" w:cs="宋体"/>
          <w:b/>
          <w:color w:val="auto"/>
          <w:sz w:val="24"/>
          <w:highlight w:val="none"/>
        </w:rPr>
        <w:t>二．评标程序及评审细则</w:t>
      </w:r>
      <w:bookmarkEnd w:id="55"/>
    </w:p>
    <w:p>
      <w:pPr>
        <w:adjustRightInd w:val="0"/>
        <w:snapToGrid w:val="0"/>
        <w:spacing w:line="360" w:lineRule="auto"/>
        <w:ind w:right="-10" w:firstLine="422" w:firstLineChars="175"/>
        <w:rPr>
          <w:rFonts w:hint="eastAsia" w:ascii="宋体" w:hAnsi="宋体" w:cs="宋体"/>
          <w:bCs/>
          <w:color w:val="auto"/>
          <w:sz w:val="24"/>
          <w:highlight w:val="none"/>
        </w:rPr>
      </w:pPr>
      <w:r>
        <w:rPr>
          <w:rFonts w:hint="eastAsia" w:ascii="宋体" w:hAnsi="宋体" w:cs="宋体"/>
          <w:b/>
          <w:bCs/>
          <w:color w:val="auto"/>
          <w:sz w:val="24"/>
          <w:highlight w:val="none"/>
        </w:rPr>
        <w:t>第五条</w:t>
      </w:r>
      <w:r>
        <w:rPr>
          <w:rFonts w:hint="eastAsia" w:ascii="宋体" w:hAnsi="宋体" w:cs="宋体"/>
          <w:bCs/>
          <w:color w:val="auto"/>
          <w:sz w:val="24"/>
          <w:highlight w:val="none"/>
        </w:rPr>
        <w:t xml:space="preserve"> 评标工作于开标后进行。评委会应认真研究招标文件，至少应了解和熟悉以下内容：</w:t>
      </w:r>
    </w:p>
    <w:p>
      <w:pPr>
        <w:adjustRightInd w:val="0"/>
        <w:snapToGrid w:val="0"/>
        <w:spacing w:line="360" w:lineRule="auto"/>
        <w:ind w:right="-10"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（一）招标的目标；</w:t>
      </w:r>
    </w:p>
    <w:p>
      <w:pPr>
        <w:adjustRightInd w:val="0"/>
        <w:snapToGrid w:val="0"/>
        <w:spacing w:line="360" w:lineRule="auto"/>
        <w:ind w:right="-10"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（二）招标项目的范围和性质；</w:t>
      </w:r>
    </w:p>
    <w:p>
      <w:pPr>
        <w:adjustRightInd w:val="0"/>
        <w:snapToGrid w:val="0"/>
        <w:spacing w:line="360" w:lineRule="auto"/>
        <w:ind w:right="-10"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（三）招标文件中规定的主要技术要求、标准和商务条款；</w:t>
      </w:r>
    </w:p>
    <w:p>
      <w:pPr>
        <w:adjustRightInd w:val="0"/>
        <w:snapToGrid w:val="0"/>
        <w:spacing w:line="360" w:lineRule="auto"/>
        <w:ind w:right="-10"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（四）招标文件规定的评标标准、评标方法和在评标过程中考虑的相关因素。</w:t>
      </w:r>
    </w:p>
    <w:p>
      <w:pPr>
        <w:adjustRightInd w:val="0"/>
        <w:snapToGrid w:val="0"/>
        <w:spacing w:line="360" w:lineRule="auto"/>
        <w:ind w:right="-10" w:firstLine="422" w:firstLineChars="175"/>
        <w:rPr>
          <w:rFonts w:hint="eastAsia" w:ascii="宋体" w:hAnsi="宋体" w:cs="宋体"/>
          <w:bCs/>
          <w:color w:val="auto"/>
          <w:sz w:val="24"/>
          <w:highlight w:val="none"/>
        </w:rPr>
      </w:pPr>
      <w:r>
        <w:rPr>
          <w:rFonts w:hint="eastAsia" w:ascii="宋体" w:hAnsi="宋体" w:cs="宋体"/>
          <w:b/>
          <w:bCs/>
          <w:color w:val="auto"/>
          <w:sz w:val="24"/>
          <w:highlight w:val="none"/>
        </w:rPr>
        <w:t>第六条</w:t>
      </w:r>
      <w:r>
        <w:rPr>
          <w:rFonts w:hint="eastAsia" w:ascii="宋体" w:hAnsi="宋体" w:cs="宋体"/>
          <w:bCs/>
          <w:color w:val="auto"/>
          <w:sz w:val="24"/>
          <w:highlight w:val="none"/>
        </w:rPr>
        <w:t xml:space="preserve"> 有效投标应符合以下原则：</w:t>
      </w:r>
    </w:p>
    <w:p>
      <w:pPr>
        <w:adjustRightInd w:val="0"/>
        <w:snapToGrid w:val="0"/>
        <w:spacing w:line="360" w:lineRule="auto"/>
        <w:ind w:right="-10"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（一）满足招标文件的实质性要求；</w:t>
      </w:r>
    </w:p>
    <w:p>
      <w:pPr>
        <w:adjustRightInd w:val="0"/>
        <w:snapToGrid w:val="0"/>
        <w:spacing w:line="360" w:lineRule="auto"/>
        <w:ind w:right="-10"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（二）无重大偏离、保留或采购人不能接受的附加条件；</w:t>
      </w:r>
    </w:p>
    <w:p>
      <w:pPr>
        <w:adjustRightInd w:val="0"/>
        <w:snapToGrid w:val="0"/>
        <w:spacing w:line="360" w:lineRule="auto"/>
        <w:ind w:right="-10"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（三）通过投标符合性审查；</w:t>
      </w:r>
    </w:p>
    <w:p>
      <w:pPr>
        <w:adjustRightInd w:val="0"/>
        <w:snapToGrid w:val="0"/>
        <w:spacing w:line="360" w:lineRule="auto"/>
        <w:ind w:right="-10"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（四）评委会依据招标文件认定的其他原则；</w:t>
      </w:r>
    </w:p>
    <w:p>
      <w:pPr>
        <w:adjustRightInd w:val="0"/>
        <w:snapToGrid w:val="0"/>
        <w:spacing w:line="360" w:lineRule="auto"/>
        <w:ind w:right="-10"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（五）商务偏差表或技术偏差表数据不存在弄虚作假现象；</w:t>
      </w:r>
    </w:p>
    <w:p>
      <w:pPr>
        <w:adjustRightInd w:val="0"/>
        <w:snapToGrid w:val="0"/>
        <w:spacing w:line="360" w:lineRule="auto"/>
        <w:ind w:right="-10"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（六）投标人报价未超过采购人的采购预算；</w:t>
      </w:r>
    </w:p>
    <w:p>
      <w:pPr>
        <w:adjustRightInd w:val="0"/>
        <w:snapToGrid w:val="0"/>
        <w:spacing w:line="360" w:lineRule="auto"/>
        <w:ind w:right="-10" w:firstLine="482" w:firstLineChars="200"/>
        <w:rPr>
          <w:rFonts w:hint="eastAsia" w:ascii="宋体" w:hAnsi="宋体" w:cs="宋体"/>
          <w:bCs/>
          <w:color w:val="auto"/>
          <w:sz w:val="24"/>
          <w:szCs w:val="22"/>
          <w:highlight w:val="none"/>
        </w:rPr>
      </w:pPr>
      <w:r>
        <w:rPr>
          <w:rFonts w:hint="eastAsia" w:ascii="宋体" w:hAnsi="宋体" w:cs="宋体"/>
          <w:b/>
          <w:color w:val="auto"/>
          <w:sz w:val="24"/>
          <w:highlight w:val="none"/>
        </w:rPr>
        <w:t xml:space="preserve">第七条 </w:t>
      </w:r>
      <w:r>
        <w:rPr>
          <w:rFonts w:hint="eastAsia" w:ascii="宋体" w:hAnsi="宋体" w:cs="宋体"/>
          <w:color w:val="auto"/>
          <w:sz w:val="24"/>
          <w:highlight w:val="none"/>
        </w:rPr>
        <w:t>评委会从每个投标人的投标文件开始独立评审，对开标后投标人所提出的优惠条件不予以考虑。按</w:t>
      </w:r>
      <w:r>
        <w:rPr>
          <w:rFonts w:hint="eastAsia" w:ascii="宋体" w:hAnsi="宋体" w:cs="宋体"/>
          <w:bCs/>
          <w:color w:val="auto"/>
          <w:sz w:val="24"/>
          <w:szCs w:val="22"/>
          <w:highlight w:val="none"/>
        </w:rPr>
        <w:t>综合得分从高到低的顺序评出中标候选人。</w:t>
      </w:r>
    </w:p>
    <w:p>
      <w:pPr>
        <w:adjustRightInd w:val="0"/>
        <w:snapToGrid w:val="0"/>
        <w:spacing w:line="360" w:lineRule="auto"/>
        <w:ind w:right="-10" w:firstLine="482" w:firstLineChars="200"/>
        <w:rPr>
          <w:rFonts w:hint="eastAsia" w:ascii="宋体" w:hAnsi="宋体" w:cs="宋体"/>
          <w:color w:val="auto"/>
          <w:sz w:val="24"/>
          <w:highlight w:val="none"/>
        </w:rPr>
      </w:pPr>
      <w:r>
        <w:rPr>
          <w:rFonts w:hint="eastAsia" w:ascii="宋体" w:hAnsi="宋体" w:cs="宋体"/>
          <w:b/>
          <w:color w:val="auto"/>
          <w:sz w:val="24"/>
          <w:highlight w:val="none"/>
        </w:rPr>
        <w:t xml:space="preserve">第八条 </w:t>
      </w:r>
      <w:r>
        <w:rPr>
          <w:rFonts w:hint="eastAsia" w:ascii="宋体" w:hAnsi="宋体" w:cs="宋体"/>
          <w:color w:val="auto"/>
          <w:sz w:val="24"/>
          <w:highlight w:val="none"/>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w:t>
      </w:r>
    </w:p>
    <w:p>
      <w:pPr>
        <w:adjustRightInd w:val="0"/>
        <w:snapToGrid w:val="0"/>
        <w:spacing w:line="360" w:lineRule="auto"/>
        <w:ind w:right="-10"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第九条</w:t>
      </w:r>
      <w:r>
        <w:rPr>
          <w:rFonts w:hint="eastAsia" w:ascii="宋体" w:hAnsi="宋体" w:cs="宋体"/>
          <w:color w:val="auto"/>
          <w:sz w:val="24"/>
          <w:highlight w:val="none"/>
        </w:rPr>
        <w:t xml:space="preserve"> 评委会首先对各投标人进行符合性审查，通过符合性审查的投标人为有效投标人，有效投标人进入综合评分环节，按招标文件约定由评委会推荐中标候选人；没有通过符合性审查的投标人为无效投标。</w:t>
      </w:r>
    </w:p>
    <w:tbl>
      <w:tblPr>
        <w:tblStyle w:val="25"/>
        <w:tblW w:w="95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401"/>
        <w:gridCol w:w="2430"/>
        <w:gridCol w:w="132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9581" w:type="dxa"/>
            <w:gridSpan w:val="5"/>
            <w:noWrap w:val="0"/>
            <w:vAlign w:val="center"/>
          </w:tcPr>
          <w:p>
            <w:pPr>
              <w:pStyle w:val="44"/>
              <w:pBdr>
                <w:bottom w:val="none" w:color="auto" w:sz="0" w:space="0"/>
              </w:pBdr>
              <w:tabs>
                <w:tab w:val="clear" w:pos="4153"/>
                <w:tab w:val="clear" w:pos="8306"/>
              </w:tabs>
              <w:snapToGrid w:val="0"/>
              <w:spacing w:line="360" w:lineRule="auto"/>
              <w:ind w:right="-10"/>
              <w:textAlignment w:val="auto"/>
              <w:rPr>
                <w:rFonts w:hint="eastAsia" w:ascii="宋体" w:hAnsi="宋体" w:cs="宋体"/>
                <w:b/>
                <w:color w:val="auto"/>
                <w:kern w:val="2"/>
                <w:highlight w:val="none"/>
                <w:lang w:val="en-US" w:eastAsia="zh-CN"/>
              </w:rPr>
            </w:pPr>
            <w:r>
              <w:rPr>
                <w:rFonts w:hint="eastAsia" w:ascii="宋体" w:hAnsi="宋体" w:cs="宋体"/>
                <w:b/>
                <w:color w:val="auto"/>
                <w:kern w:val="2"/>
                <w:highlight w:val="none"/>
                <w:lang w:val="en-US" w:eastAsia="zh-CN"/>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6" w:hRule="atLeast"/>
        </w:trPr>
        <w:tc>
          <w:tcPr>
            <w:tcW w:w="730" w:type="dxa"/>
            <w:tcBorders>
              <w:bottom w:val="single" w:color="auto" w:sz="4" w:space="0"/>
            </w:tcBorders>
            <w:noWrap w:val="0"/>
            <w:vAlign w:val="center"/>
          </w:tcPr>
          <w:p>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401" w:type="dxa"/>
            <w:tcBorders>
              <w:bottom w:val="single" w:color="auto" w:sz="4" w:space="0"/>
            </w:tcBorders>
            <w:noWrap w:val="0"/>
            <w:vAlign w:val="center"/>
          </w:tcPr>
          <w:p>
            <w:pPr>
              <w:pStyle w:val="44"/>
              <w:pBdr>
                <w:bottom w:val="none" w:color="auto" w:sz="0" w:space="0"/>
              </w:pBdr>
              <w:tabs>
                <w:tab w:val="clear" w:pos="4153"/>
                <w:tab w:val="clear" w:pos="8306"/>
              </w:tabs>
              <w:snapToGrid w:val="0"/>
              <w:spacing w:line="360" w:lineRule="auto"/>
              <w:ind w:right="-10"/>
              <w:textAlignment w:val="auto"/>
              <w:rPr>
                <w:rFonts w:hint="eastAsia" w:ascii="宋体" w:hAnsi="宋体" w:cs="宋体"/>
                <w:color w:val="auto"/>
                <w:kern w:val="2"/>
                <w:szCs w:val="24"/>
                <w:highlight w:val="none"/>
                <w:lang w:val="en-US" w:eastAsia="zh-CN"/>
              </w:rPr>
            </w:pPr>
            <w:r>
              <w:rPr>
                <w:rFonts w:hint="eastAsia" w:ascii="宋体" w:hAnsi="宋体" w:cs="宋体"/>
                <w:color w:val="auto"/>
                <w:kern w:val="2"/>
                <w:szCs w:val="24"/>
                <w:highlight w:val="none"/>
                <w:lang w:val="en-US" w:eastAsia="zh-CN"/>
              </w:rPr>
              <w:t>指标名称</w:t>
            </w:r>
          </w:p>
        </w:tc>
        <w:tc>
          <w:tcPr>
            <w:tcW w:w="2430" w:type="dxa"/>
            <w:tcBorders>
              <w:bottom w:val="single" w:color="auto" w:sz="4" w:space="0"/>
            </w:tcBorders>
            <w:noWrap w:val="0"/>
            <w:vAlign w:val="center"/>
          </w:tcPr>
          <w:p>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指标要求</w:t>
            </w:r>
          </w:p>
        </w:tc>
        <w:tc>
          <w:tcPr>
            <w:tcW w:w="1320" w:type="dxa"/>
            <w:tcBorders>
              <w:bottom w:val="single" w:color="auto" w:sz="4" w:space="0"/>
            </w:tcBorders>
            <w:noWrap w:val="0"/>
            <w:vAlign w:val="center"/>
          </w:tcPr>
          <w:p>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是否</w:t>
            </w:r>
          </w:p>
          <w:p>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通过</w:t>
            </w:r>
          </w:p>
        </w:tc>
        <w:tc>
          <w:tcPr>
            <w:tcW w:w="2700" w:type="dxa"/>
            <w:tcBorders>
              <w:bottom w:val="single" w:color="auto" w:sz="4" w:space="0"/>
            </w:tcBorders>
            <w:noWrap w:val="0"/>
            <w:vAlign w:val="center"/>
          </w:tcPr>
          <w:p>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投标文件格式及</w:t>
            </w:r>
          </w:p>
          <w:p>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730" w:type="dxa"/>
            <w:noWrap w:val="0"/>
            <w:vAlign w:val="center"/>
          </w:tcPr>
          <w:p>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401" w:type="dxa"/>
            <w:noWrap w:val="0"/>
            <w:vAlign w:val="center"/>
          </w:tcPr>
          <w:p>
            <w:pPr>
              <w:spacing w:after="50" w:line="360" w:lineRule="auto"/>
              <w:ind w:right="-10"/>
              <w:jc w:val="center"/>
              <w:rPr>
                <w:rFonts w:hint="eastAsia" w:ascii="宋体" w:hAnsi="宋体" w:cs="宋体"/>
                <w:color w:val="auto"/>
                <w:sz w:val="24"/>
                <w:szCs w:val="28"/>
                <w:highlight w:val="none"/>
              </w:rPr>
            </w:pPr>
            <w:r>
              <w:rPr>
                <w:rFonts w:hint="eastAsia" w:ascii="宋体" w:hAnsi="宋体" w:cs="宋体"/>
                <w:color w:val="auto"/>
                <w:sz w:val="24"/>
                <w:szCs w:val="28"/>
                <w:highlight w:val="none"/>
              </w:rPr>
              <w:t>投标人资格</w:t>
            </w:r>
          </w:p>
        </w:tc>
        <w:tc>
          <w:tcPr>
            <w:tcW w:w="2430" w:type="dxa"/>
            <w:noWrap w:val="0"/>
            <w:vAlign w:val="center"/>
          </w:tcPr>
          <w:p>
            <w:pPr>
              <w:spacing w:after="50" w:line="360" w:lineRule="auto"/>
              <w:ind w:right="-10"/>
              <w:jc w:val="center"/>
              <w:rPr>
                <w:rFonts w:hint="eastAsia" w:ascii="宋体" w:hAnsi="宋体" w:cs="宋体"/>
                <w:color w:val="auto"/>
                <w:sz w:val="24"/>
                <w:szCs w:val="28"/>
                <w:highlight w:val="none"/>
              </w:rPr>
            </w:pPr>
            <w:r>
              <w:rPr>
                <w:rFonts w:hint="eastAsia" w:ascii="宋体" w:hAnsi="宋体" w:cs="宋体"/>
                <w:color w:val="auto"/>
                <w:sz w:val="24"/>
                <w:szCs w:val="28"/>
                <w:highlight w:val="none"/>
              </w:rPr>
              <w:t>见招标文件</w:t>
            </w:r>
          </w:p>
        </w:tc>
        <w:tc>
          <w:tcPr>
            <w:tcW w:w="1320" w:type="dxa"/>
            <w:noWrap w:val="0"/>
            <w:vAlign w:val="center"/>
          </w:tcPr>
          <w:p>
            <w:pPr>
              <w:adjustRightInd w:val="0"/>
              <w:snapToGrid w:val="0"/>
              <w:spacing w:line="360" w:lineRule="auto"/>
              <w:ind w:right="-10"/>
              <w:rPr>
                <w:rFonts w:hint="eastAsia" w:ascii="宋体" w:hAnsi="宋体" w:cs="宋体"/>
                <w:color w:val="auto"/>
                <w:sz w:val="24"/>
                <w:highlight w:val="none"/>
              </w:rPr>
            </w:pPr>
          </w:p>
        </w:tc>
        <w:tc>
          <w:tcPr>
            <w:tcW w:w="2700" w:type="dxa"/>
            <w:noWrap w:val="0"/>
            <w:vAlign w:val="center"/>
          </w:tcPr>
          <w:p>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730" w:type="dxa"/>
            <w:noWrap w:val="0"/>
            <w:vAlign w:val="center"/>
          </w:tcPr>
          <w:p>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401" w:type="dxa"/>
            <w:noWrap w:val="0"/>
            <w:vAlign w:val="center"/>
          </w:tcPr>
          <w:p>
            <w:pPr>
              <w:spacing w:after="50" w:line="360" w:lineRule="auto"/>
              <w:ind w:right="-10"/>
              <w:jc w:val="center"/>
              <w:rPr>
                <w:rFonts w:hint="eastAsia" w:ascii="宋体" w:hAnsi="宋体" w:cs="宋体"/>
                <w:color w:val="auto"/>
                <w:sz w:val="24"/>
                <w:szCs w:val="28"/>
                <w:highlight w:val="none"/>
              </w:rPr>
            </w:pPr>
            <w:r>
              <w:rPr>
                <w:rFonts w:hint="eastAsia" w:ascii="宋体" w:hAnsi="宋体" w:cs="宋体"/>
                <w:color w:val="auto"/>
                <w:sz w:val="24"/>
                <w:szCs w:val="28"/>
                <w:highlight w:val="none"/>
              </w:rPr>
              <w:t>货物技术要求</w:t>
            </w:r>
          </w:p>
        </w:tc>
        <w:tc>
          <w:tcPr>
            <w:tcW w:w="2430" w:type="dxa"/>
            <w:noWrap w:val="0"/>
            <w:vAlign w:val="center"/>
          </w:tcPr>
          <w:p>
            <w:pPr>
              <w:spacing w:after="50" w:line="360" w:lineRule="auto"/>
              <w:ind w:right="-10"/>
              <w:jc w:val="center"/>
              <w:rPr>
                <w:rFonts w:hint="eastAsia" w:ascii="宋体" w:hAnsi="宋体" w:cs="宋体"/>
                <w:color w:val="auto"/>
                <w:sz w:val="24"/>
                <w:szCs w:val="28"/>
                <w:highlight w:val="none"/>
              </w:rPr>
            </w:pPr>
            <w:r>
              <w:rPr>
                <w:rFonts w:hint="eastAsia" w:ascii="宋体" w:hAnsi="宋体" w:cs="宋体"/>
                <w:color w:val="auto"/>
                <w:sz w:val="24"/>
                <w:szCs w:val="28"/>
                <w:highlight w:val="none"/>
              </w:rPr>
              <w:t>按评标办法</w:t>
            </w:r>
          </w:p>
        </w:tc>
        <w:tc>
          <w:tcPr>
            <w:tcW w:w="1320" w:type="dxa"/>
            <w:noWrap w:val="0"/>
            <w:vAlign w:val="center"/>
          </w:tcPr>
          <w:p>
            <w:pPr>
              <w:adjustRightInd w:val="0"/>
              <w:snapToGrid w:val="0"/>
              <w:spacing w:line="360" w:lineRule="auto"/>
              <w:ind w:right="-10"/>
              <w:rPr>
                <w:rFonts w:hint="eastAsia" w:ascii="宋体" w:hAnsi="宋体" w:cs="宋体"/>
                <w:color w:val="auto"/>
                <w:sz w:val="24"/>
                <w:highlight w:val="none"/>
              </w:rPr>
            </w:pPr>
          </w:p>
        </w:tc>
        <w:tc>
          <w:tcPr>
            <w:tcW w:w="2700" w:type="dxa"/>
            <w:noWrap w:val="0"/>
            <w:vAlign w:val="center"/>
          </w:tcPr>
          <w:p>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730" w:type="dxa"/>
            <w:noWrap w:val="0"/>
            <w:vAlign w:val="center"/>
          </w:tcPr>
          <w:p>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401" w:type="dxa"/>
            <w:noWrap w:val="0"/>
            <w:vAlign w:val="center"/>
          </w:tcPr>
          <w:p>
            <w:pPr>
              <w:spacing w:after="50" w:line="360" w:lineRule="auto"/>
              <w:ind w:right="-10"/>
              <w:jc w:val="center"/>
              <w:rPr>
                <w:rFonts w:hint="eastAsia" w:ascii="宋体" w:hAnsi="宋体" w:cs="宋体"/>
                <w:color w:val="auto"/>
                <w:sz w:val="24"/>
                <w:szCs w:val="28"/>
                <w:highlight w:val="none"/>
              </w:rPr>
            </w:pPr>
            <w:r>
              <w:rPr>
                <w:rFonts w:hint="eastAsia" w:ascii="宋体" w:hAnsi="宋体" w:cs="宋体"/>
                <w:color w:val="auto"/>
                <w:sz w:val="24"/>
                <w:szCs w:val="28"/>
                <w:highlight w:val="none"/>
              </w:rPr>
              <w:t>质保及售后等</w:t>
            </w:r>
          </w:p>
        </w:tc>
        <w:tc>
          <w:tcPr>
            <w:tcW w:w="2430" w:type="dxa"/>
            <w:noWrap w:val="0"/>
            <w:vAlign w:val="center"/>
          </w:tcPr>
          <w:p>
            <w:pPr>
              <w:spacing w:after="50" w:line="360" w:lineRule="auto"/>
              <w:ind w:right="-10"/>
              <w:jc w:val="center"/>
              <w:rPr>
                <w:rFonts w:hint="eastAsia" w:ascii="宋体" w:hAnsi="宋体" w:cs="宋体"/>
                <w:color w:val="auto"/>
                <w:sz w:val="24"/>
                <w:szCs w:val="28"/>
                <w:highlight w:val="none"/>
              </w:rPr>
            </w:pPr>
            <w:r>
              <w:rPr>
                <w:rFonts w:hint="eastAsia" w:ascii="宋体" w:hAnsi="宋体" w:cs="宋体"/>
                <w:color w:val="auto"/>
                <w:sz w:val="24"/>
                <w:szCs w:val="28"/>
                <w:highlight w:val="none"/>
              </w:rPr>
              <w:t>见招标文件</w:t>
            </w:r>
          </w:p>
        </w:tc>
        <w:tc>
          <w:tcPr>
            <w:tcW w:w="1320" w:type="dxa"/>
            <w:noWrap w:val="0"/>
            <w:vAlign w:val="center"/>
          </w:tcPr>
          <w:p>
            <w:pPr>
              <w:adjustRightInd w:val="0"/>
              <w:snapToGrid w:val="0"/>
              <w:spacing w:line="360" w:lineRule="auto"/>
              <w:ind w:right="-10"/>
              <w:rPr>
                <w:rFonts w:hint="eastAsia" w:ascii="宋体" w:hAnsi="宋体" w:cs="宋体"/>
                <w:color w:val="auto"/>
                <w:sz w:val="24"/>
                <w:highlight w:val="none"/>
              </w:rPr>
            </w:pPr>
          </w:p>
        </w:tc>
        <w:tc>
          <w:tcPr>
            <w:tcW w:w="2700" w:type="dxa"/>
            <w:noWrap w:val="0"/>
            <w:vAlign w:val="center"/>
          </w:tcPr>
          <w:p>
            <w:pPr>
              <w:adjustRightInd w:val="0"/>
              <w:snapToGrid w:val="0"/>
              <w:spacing w:line="360" w:lineRule="auto"/>
              <w:ind w:right="-10"/>
              <w:jc w:val="center"/>
              <w:rPr>
                <w:rFonts w:hint="eastAsia" w:ascii="宋体" w:hAnsi="宋体" w:cs="宋体"/>
                <w:color w:val="auto"/>
                <w:sz w:val="24"/>
                <w:highlight w:val="none"/>
              </w:rPr>
            </w:pPr>
            <w:r>
              <w:rPr>
                <w:rFonts w:hint="eastAsia" w:ascii="宋体" w:hAnsi="宋体" w:cs="宋体"/>
                <w:color w:val="auto"/>
                <w:sz w:val="24"/>
                <w:highlight w:val="none"/>
              </w:rPr>
              <w:t>见投标文件</w:t>
            </w:r>
          </w:p>
        </w:tc>
      </w:tr>
    </w:tbl>
    <w:p>
      <w:pPr>
        <w:spacing w:line="360" w:lineRule="auto"/>
        <w:ind w:firstLine="482" w:firstLineChars="200"/>
        <w:rPr>
          <w:rFonts w:hint="eastAsia" w:ascii="宋体" w:hAnsi="宋体" w:cs="Arial"/>
          <w:color w:val="auto"/>
          <w:sz w:val="24"/>
          <w:szCs w:val="24"/>
          <w:highlight w:val="none"/>
        </w:rPr>
      </w:pPr>
      <w:r>
        <w:rPr>
          <w:rFonts w:hint="eastAsia" w:ascii="宋体" w:hAnsi="宋体"/>
          <w:b/>
          <w:bCs/>
          <w:color w:val="auto"/>
          <w:sz w:val="24"/>
          <w:highlight w:val="none"/>
        </w:rPr>
        <w:t>评分标准（满分为100分）</w:t>
      </w:r>
      <w:r>
        <w:rPr>
          <w:rFonts w:hint="eastAsia" w:ascii="宋体" w:hAnsi="宋体"/>
          <w:color w:val="auto"/>
          <w:sz w:val="24"/>
          <w:highlight w:val="none"/>
        </w:rPr>
        <w:t>说明:</w:t>
      </w:r>
      <w:r>
        <w:rPr>
          <w:rFonts w:hint="eastAsia" w:ascii="宋体" w:hAnsi="宋体" w:cs="Arial"/>
          <w:color w:val="auto"/>
          <w:sz w:val="24"/>
          <w:szCs w:val="24"/>
          <w:highlight w:val="none"/>
        </w:rPr>
        <w:t>各投标人的最终得分为各评委得分的算术平均值；评分分值计算保留小数点后两位，小数点后第三位“四舍五入”。</w:t>
      </w:r>
    </w:p>
    <w:p>
      <w:pPr>
        <w:pBdr>
          <w:bottom w:val="dotted" w:color="auto" w:sz="24" w:space="1"/>
        </w:pBdr>
        <w:spacing w:line="240" w:lineRule="auto"/>
        <w:jc w:val="both"/>
        <w:rPr>
          <w:rFonts w:hint="default"/>
          <w:color w:val="auto"/>
          <w:sz w:val="32"/>
          <w:szCs w:val="32"/>
          <w:highlight w:val="none"/>
          <w:lang w:val="en-US" w:eastAsia="zh-CN"/>
        </w:rPr>
        <w:sectPr>
          <w:pgSz w:w="11906" w:h="16838"/>
          <w:pgMar w:top="1389" w:right="1304" w:bottom="1440" w:left="1304" w:header="851" w:footer="992" w:gutter="0"/>
          <w:cols w:space="720" w:num="1"/>
          <w:rtlGutter w:val="0"/>
          <w:docGrid w:linePitch="312" w:charSpace="0"/>
        </w:sectPr>
      </w:pPr>
      <w:r>
        <w:rPr>
          <w:rFonts w:hint="eastAsia"/>
          <w:color w:val="auto"/>
          <w:sz w:val="32"/>
          <w:szCs w:val="32"/>
          <w:highlight w:val="none"/>
        </w:rPr>
        <w:br w:type="page"/>
      </w:r>
      <w:bookmarkStart w:id="56" w:name="_Toc14806_WPSOffice_Level2"/>
    </w:p>
    <w:bookmarkEnd w:id="56"/>
    <w:p>
      <w:pPr>
        <w:pStyle w:val="9"/>
        <w:spacing w:line="360" w:lineRule="auto"/>
        <w:ind w:left="0" w:leftChars="0" w:right="-10" w:firstLine="0" w:firstLineChars="0"/>
        <w:rPr>
          <w:rFonts w:hint="default" w:ascii="宋体" w:hAnsi="宋体" w:eastAsia="宋体" w:cs="宋体"/>
          <w:b/>
          <w:color w:val="auto"/>
          <w:kern w:val="1"/>
          <w:sz w:val="24"/>
          <w:highlight w:val="none"/>
          <w:lang w:val="en-US"/>
        </w:rPr>
      </w:pPr>
      <w:r>
        <w:rPr>
          <w:rFonts w:hint="eastAsia"/>
          <w:b/>
          <w:bCs/>
          <w:color w:val="auto"/>
          <w:sz w:val="32"/>
          <w:szCs w:val="32"/>
          <w:highlight w:val="none"/>
          <w:lang w:val="en-US" w:eastAsia="zh-CN"/>
        </w:rPr>
        <w:t>评标办法</w:t>
      </w:r>
    </w:p>
    <w:tbl>
      <w:tblPr>
        <w:tblStyle w:val="25"/>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377"/>
        <w:gridCol w:w="1789"/>
        <w:gridCol w:w="493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1" w:type="dxa"/>
            <w:gridSpan w:val="2"/>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条款号</w:t>
            </w:r>
          </w:p>
        </w:tc>
        <w:tc>
          <w:tcPr>
            <w:tcW w:w="6724" w:type="dxa"/>
            <w:gridSpan w:val="2"/>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评分因素</w:t>
            </w:r>
          </w:p>
        </w:tc>
        <w:tc>
          <w:tcPr>
            <w:tcW w:w="1177"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4"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377"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投标报价</w:t>
            </w:r>
          </w:p>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（满分30分）</w:t>
            </w:r>
          </w:p>
        </w:tc>
        <w:tc>
          <w:tcPr>
            <w:tcW w:w="6724" w:type="dxa"/>
            <w:gridSpan w:val="2"/>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1）价格分采用低价优先法计算，即通过资格性和符合性审查且投标价格最低的投标报价为评标基准价，其价格得分为满分30分。</w:t>
            </w:r>
          </w:p>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2）其他投标人的价格分统一按照下列</w:t>
            </w:r>
            <w:r>
              <w:rPr>
                <w:rFonts w:hint="eastAsia" w:ascii="宋体" w:hAnsi="宋体" w:eastAsia="宋体" w:cs="宋体"/>
                <w:bCs/>
                <w:color w:val="auto"/>
                <w:kern w:val="2"/>
                <w:sz w:val="21"/>
                <w:szCs w:val="21"/>
                <w:highlight w:val="none"/>
                <w:lang w:val="en-US" w:eastAsia="zh-CN"/>
              </w:rPr>
              <w:t>公式</w:t>
            </w:r>
            <w:r>
              <w:rPr>
                <w:rFonts w:hint="eastAsia" w:ascii="宋体" w:hAnsi="宋体" w:eastAsia="宋体" w:cs="宋体"/>
                <w:bCs/>
                <w:color w:val="auto"/>
                <w:kern w:val="2"/>
                <w:sz w:val="21"/>
                <w:szCs w:val="21"/>
                <w:highlight w:val="none"/>
              </w:rPr>
              <w:t>计算：</w:t>
            </w:r>
          </w:p>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投标报价得分=(评标基准价／投标报价)×30</w:t>
            </w:r>
          </w:p>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备注：价格分计算保留小数点后二位。</w:t>
            </w:r>
          </w:p>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根据财政部、工信部关于印发《政府采购促进中小企业发展管理办法》的通知（财库〔2020〕46号）文件规定：</w:t>
            </w:r>
          </w:p>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（1）对小微企业报价给予</w:t>
            </w: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%扣除，请按照《政府采购促进中小企业发展管理办法》要求提供中小企业声明函。</w:t>
            </w:r>
          </w:p>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（2）关于监狱企业：视同小微企业。须提供由省级以上监狱管理局、戒毒管理局（含新疆生产建设兵团）出具的属于监狱企业的证明文件，否则不考虑价格扣除。</w:t>
            </w:r>
          </w:p>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（3）关于残疾人福利性单位：视同小微企业。须提供完整的“残疾人福利性单位声明函”，否则在价格评审时不予考虑价格扣除。残疾人福利性单位属于小型、微型企业的，不重复享受政策。</w:t>
            </w:r>
          </w:p>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（4）没有提供有效证明材料的供应商将被视为不接受投标总价的扣除，用原投标总价参与评审。</w:t>
            </w:r>
          </w:p>
        </w:tc>
        <w:tc>
          <w:tcPr>
            <w:tcW w:w="1177"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914" w:type="dxa"/>
            <w:vMerge w:val="restart"/>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w:t>
            </w:r>
          </w:p>
        </w:tc>
        <w:tc>
          <w:tcPr>
            <w:tcW w:w="1377" w:type="dxa"/>
            <w:vMerge w:val="restart"/>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技术部分</w:t>
            </w:r>
          </w:p>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50</w:t>
            </w:r>
            <w:r>
              <w:rPr>
                <w:rFonts w:hint="eastAsia" w:ascii="宋体" w:hAnsi="宋体" w:eastAsia="宋体" w:cs="宋体"/>
                <w:bCs/>
                <w:color w:val="auto"/>
                <w:kern w:val="2"/>
                <w:sz w:val="21"/>
                <w:szCs w:val="21"/>
                <w:highlight w:val="none"/>
              </w:rPr>
              <w:t>分）</w:t>
            </w:r>
          </w:p>
        </w:tc>
        <w:tc>
          <w:tcPr>
            <w:tcW w:w="1789"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所投货物技术参数</w:t>
            </w:r>
            <w:r>
              <w:rPr>
                <w:rFonts w:hint="eastAsia" w:ascii="宋体" w:hAnsi="宋体" w:eastAsia="宋体" w:cs="宋体"/>
                <w:bCs/>
                <w:color w:val="auto"/>
                <w:kern w:val="2"/>
                <w:sz w:val="21"/>
                <w:szCs w:val="21"/>
                <w:highlight w:val="none"/>
                <w:lang w:val="en-US" w:eastAsia="zh-CN"/>
              </w:rPr>
              <w:t>20</w:t>
            </w:r>
            <w:r>
              <w:rPr>
                <w:rFonts w:hint="eastAsia" w:ascii="宋体" w:hAnsi="宋体" w:eastAsia="宋体" w:cs="宋体"/>
                <w:bCs/>
                <w:color w:val="auto"/>
                <w:kern w:val="2"/>
                <w:sz w:val="21"/>
                <w:szCs w:val="21"/>
                <w:highlight w:val="none"/>
              </w:rPr>
              <w:t>分</w:t>
            </w:r>
          </w:p>
        </w:tc>
        <w:tc>
          <w:tcPr>
            <w:tcW w:w="4935"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default" w:ascii="宋体" w:hAnsi="宋体" w:eastAsia="宋体" w:cs="宋体"/>
                <w:bCs/>
                <w:color w:val="auto"/>
                <w:kern w:val="2"/>
                <w:sz w:val="21"/>
                <w:szCs w:val="21"/>
                <w:highlight w:val="none"/>
                <w:lang w:val="en-US" w:eastAsia="zh-CN"/>
              </w:rPr>
            </w:pPr>
            <w:r>
              <w:rPr>
                <w:rFonts w:hint="default" w:ascii="宋体" w:hAnsi="宋体" w:eastAsia="宋体" w:cs="宋体"/>
                <w:bCs/>
                <w:color w:val="auto"/>
                <w:kern w:val="2"/>
                <w:sz w:val="21"/>
                <w:szCs w:val="21"/>
                <w:highlight w:val="none"/>
                <w:lang w:val="en-US" w:eastAsia="zh-CN"/>
              </w:rPr>
              <w:t>根据</w:t>
            </w:r>
            <w:r>
              <w:rPr>
                <w:rFonts w:hint="eastAsia" w:ascii="宋体" w:hAnsi="宋体" w:eastAsia="宋体" w:cs="宋体"/>
                <w:bCs/>
                <w:color w:val="auto"/>
                <w:kern w:val="2"/>
                <w:sz w:val="21"/>
                <w:szCs w:val="21"/>
                <w:highlight w:val="none"/>
                <w:lang w:val="en-US" w:eastAsia="zh-CN"/>
              </w:rPr>
              <w:t>供应商</w:t>
            </w:r>
            <w:r>
              <w:rPr>
                <w:rFonts w:hint="default" w:ascii="宋体" w:hAnsi="宋体" w:eastAsia="宋体" w:cs="宋体"/>
                <w:bCs/>
                <w:color w:val="auto"/>
                <w:kern w:val="2"/>
                <w:sz w:val="21"/>
                <w:szCs w:val="21"/>
                <w:highlight w:val="none"/>
                <w:lang w:val="en-US" w:eastAsia="zh-CN"/>
              </w:rPr>
              <w:t>对招标文件“货物需求及技术规格参数</w:t>
            </w:r>
          </w:p>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default" w:ascii="宋体" w:hAnsi="宋体" w:eastAsia="宋体" w:cs="宋体"/>
                <w:bCs/>
                <w:color w:val="auto"/>
                <w:kern w:val="2"/>
                <w:sz w:val="21"/>
                <w:szCs w:val="21"/>
                <w:highlight w:val="none"/>
                <w:lang w:val="en-US" w:eastAsia="zh-CN"/>
              </w:rPr>
            </w:pPr>
            <w:r>
              <w:rPr>
                <w:rFonts w:hint="default" w:ascii="宋体" w:hAnsi="宋体" w:eastAsia="宋体" w:cs="宋体"/>
                <w:bCs/>
                <w:color w:val="auto"/>
                <w:kern w:val="2"/>
                <w:sz w:val="21"/>
                <w:szCs w:val="21"/>
                <w:highlight w:val="none"/>
                <w:lang w:val="en-US" w:eastAsia="zh-CN"/>
              </w:rPr>
              <w:t>”的响应情况进行评分,所有条款全部满足或优于招标文件技术规格要求的得基本分</w:t>
            </w:r>
            <w:r>
              <w:rPr>
                <w:rFonts w:hint="eastAsia" w:ascii="宋体" w:hAnsi="宋体" w:eastAsia="宋体" w:cs="宋体"/>
                <w:bCs/>
                <w:color w:val="auto"/>
                <w:kern w:val="2"/>
                <w:sz w:val="21"/>
                <w:szCs w:val="21"/>
                <w:highlight w:val="none"/>
                <w:lang w:val="en-US" w:eastAsia="zh-CN"/>
              </w:rPr>
              <w:t>20</w:t>
            </w:r>
            <w:r>
              <w:rPr>
                <w:rFonts w:hint="default" w:ascii="宋体" w:hAnsi="宋体" w:eastAsia="宋体" w:cs="宋体"/>
                <w:bCs/>
                <w:color w:val="auto"/>
                <w:kern w:val="2"/>
                <w:sz w:val="21"/>
                <w:szCs w:val="21"/>
                <w:highlight w:val="none"/>
                <w:lang w:val="en-US" w:eastAsia="zh-CN"/>
              </w:rPr>
              <w:t>分；</w:t>
            </w:r>
          </w:p>
        </w:tc>
        <w:tc>
          <w:tcPr>
            <w:tcW w:w="1177"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20</w:t>
            </w:r>
            <w:r>
              <w:rPr>
                <w:rFonts w:hint="eastAsia" w:ascii="宋体" w:hAnsi="宋体" w:eastAsia="宋体" w:cs="宋体"/>
                <w:bCs/>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4" w:type="dxa"/>
            <w:vMerge w:val="continue"/>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p>
        </w:tc>
        <w:tc>
          <w:tcPr>
            <w:tcW w:w="1377" w:type="dxa"/>
            <w:vMerge w:val="continue"/>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p>
        </w:tc>
        <w:tc>
          <w:tcPr>
            <w:tcW w:w="178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项目实施方案</w:t>
            </w:r>
          </w:p>
          <w:p>
            <w:pPr>
              <w:jc w:val="center"/>
              <w:rPr>
                <w:rFonts w:hint="eastAsia" w:ascii="宋体" w:hAnsi="宋体" w:eastAsia="宋体" w:cs="宋体"/>
                <w:bCs/>
                <w:color w:val="auto"/>
                <w:kern w:val="2"/>
                <w:sz w:val="21"/>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c>
          <w:tcPr>
            <w:tcW w:w="4935" w:type="dxa"/>
            <w:noWrap w:val="0"/>
            <w:vAlign w:val="center"/>
          </w:tcPr>
          <w:p>
            <w:pPr>
              <w:autoSpaceDE w:val="0"/>
              <w:autoSpaceDN w:val="0"/>
              <w:adjustRightInd w:val="0"/>
              <w:ind w:right="210"/>
              <w:rPr>
                <w:rFonts w:hint="eastAsia" w:ascii="宋体" w:hAnsi="宋体" w:cs="宋体"/>
                <w:color w:val="auto"/>
                <w:szCs w:val="21"/>
                <w:highlight w:val="none"/>
              </w:rPr>
            </w:pPr>
            <w:r>
              <w:rPr>
                <w:rFonts w:hint="eastAsia" w:ascii="宋体" w:hAnsi="宋体" w:cs="宋体"/>
                <w:color w:val="auto"/>
                <w:szCs w:val="21"/>
                <w:highlight w:val="none"/>
              </w:rPr>
              <w:t>（1）根据供应商针对本项目生产计划、材料及产品质量控制、工艺控制</w:t>
            </w:r>
            <w:r>
              <w:rPr>
                <w:rFonts w:hint="eastAsia" w:ascii="宋体" w:hAnsi="宋体" w:cs="宋体"/>
                <w:color w:val="auto"/>
                <w:szCs w:val="21"/>
                <w:highlight w:val="none"/>
                <w:lang w:eastAsia="zh-CN"/>
              </w:rPr>
              <w:t>的实施</w:t>
            </w:r>
            <w:r>
              <w:rPr>
                <w:rFonts w:hint="eastAsia" w:ascii="宋体" w:hAnsi="宋体" w:cs="宋体"/>
                <w:color w:val="auto"/>
                <w:szCs w:val="21"/>
                <w:highlight w:val="none"/>
              </w:rPr>
              <w:t>方案，得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缺一项扣3分，扣完为止</w:t>
            </w:r>
            <w:r>
              <w:rPr>
                <w:rFonts w:hint="eastAsia" w:ascii="宋体" w:hAnsi="宋体" w:cs="宋体"/>
                <w:color w:val="auto"/>
                <w:szCs w:val="21"/>
                <w:highlight w:val="none"/>
              </w:rPr>
              <w:t>。</w:t>
            </w:r>
          </w:p>
          <w:p>
            <w:pPr>
              <w:autoSpaceDE w:val="0"/>
              <w:autoSpaceDN w:val="0"/>
              <w:adjustRightInd w:val="0"/>
              <w:ind w:right="210" w:rightChars="0"/>
              <w:rPr>
                <w:rFonts w:hint="eastAsia" w:ascii="宋体" w:hAnsi="宋体" w:eastAsia="宋体" w:cs="宋体"/>
                <w:bCs/>
                <w:color w:val="auto"/>
                <w:kern w:val="2"/>
                <w:sz w:val="21"/>
                <w:szCs w:val="21"/>
                <w:highlight w:val="none"/>
                <w:lang w:val="en-US" w:eastAsia="zh-CN"/>
              </w:rPr>
            </w:pPr>
            <w:r>
              <w:rPr>
                <w:rFonts w:hint="eastAsia" w:ascii="宋体" w:hAnsi="宋体" w:cs="宋体"/>
                <w:color w:val="auto"/>
                <w:szCs w:val="21"/>
                <w:highlight w:val="none"/>
              </w:rPr>
              <w:t>（2）根据供应商供货服务方案的可操作性：包括物品供货、以及确保按时交付、正常运行的措施，得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不提供不得分</w:t>
            </w:r>
            <w:r>
              <w:rPr>
                <w:rFonts w:hint="eastAsia" w:ascii="宋体" w:hAnsi="宋体" w:cs="宋体"/>
                <w:color w:val="auto"/>
                <w:szCs w:val="21"/>
                <w:highlight w:val="none"/>
              </w:rPr>
              <w:t>。</w:t>
            </w:r>
          </w:p>
        </w:tc>
        <w:tc>
          <w:tcPr>
            <w:tcW w:w="1177"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914" w:type="dxa"/>
            <w:vMerge w:val="continue"/>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p>
        </w:tc>
        <w:tc>
          <w:tcPr>
            <w:tcW w:w="1377" w:type="dxa"/>
            <w:vMerge w:val="continue"/>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p>
        </w:tc>
        <w:tc>
          <w:tcPr>
            <w:tcW w:w="1789"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货物质量保证措施（</w:t>
            </w:r>
            <w:r>
              <w:rPr>
                <w:rFonts w:hint="eastAsia" w:ascii="宋体" w:hAnsi="宋体" w:eastAsia="宋体" w:cs="宋体"/>
                <w:bCs/>
                <w:color w:val="auto"/>
                <w:kern w:val="2"/>
                <w:sz w:val="21"/>
                <w:szCs w:val="21"/>
                <w:highlight w:val="none"/>
                <w:lang w:val="en-US" w:eastAsia="zh-CN"/>
              </w:rPr>
              <w:t>7</w:t>
            </w:r>
            <w:r>
              <w:rPr>
                <w:rFonts w:hint="eastAsia" w:ascii="宋体" w:hAnsi="宋体" w:eastAsia="宋体" w:cs="宋体"/>
                <w:bCs/>
                <w:color w:val="auto"/>
                <w:kern w:val="2"/>
                <w:sz w:val="21"/>
                <w:szCs w:val="21"/>
                <w:highlight w:val="none"/>
              </w:rPr>
              <w:t>分）</w:t>
            </w:r>
          </w:p>
        </w:tc>
        <w:tc>
          <w:tcPr>
            <w:tcW w:w="4935"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供应商提供货物质量保证措施，包括货物选定、包装、运输、装卸全过程的整体质量控制措施，能完全保证货物不变质和配送过程中包装及产品无损坏的得</w:t>
            </w:r>
            <w:r>
              <w:rPr>
                <w:rFonts w:hint="eastAsia" w:ascii="宋体" w:hAnsi="宋体" w:eastAsia="宋体" w:cs="宋体"/>
                <w:bCs/>
                <w:color w:val="auto"/>
                <w:kern w:val="2"/>
                <w:sz w:val="21"/>
                <w:szCs w:val="21"/>
                <w:highlight w:val="none"/>
                <w:lang w:val="en-US" w:eastAsia="zh-CN"/>
              </w:rPr>
              <w:t>7</w:t>
            </w:r>
            <w:r>
              <w:rPr>
                <w:rFonts w:hint="eastAsia" w:ascii="宋体" w:hAnsi="宋体" w:eastAsia="宋体" w:cs="宋体"/>
                <w:bCs/>
                <w:color w:val="auto"/>
                <w:kern w:val="2"/>
                <w:sz w:val="21"/>
                <w:szCs w:val="21"/>
                <w:highlight w:val="none"/>
              </w:rPr>
              <w:t>分，不提供货物质量保证措施的不得分。（供应商需要对货物的选定、包装、运输、装卸全过程的整体质量控制措施进行说明）</w:t>
            </w:r>
          </w:p>
        </w:tc>
        <w:tc>
          <w:tcPr>
            <w:tcW w:w="1177"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7</w:t>
            </w:r>
            <w:r>
              <w:rPr>
                <w:rFonts w:hint="eastAsia" w:ascii="宋体" w:hAnsi="宋体" w:eastAsia="宋体" w:cs="宋体"/>
                <w:bCs/>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914" w:type="dxa"/>
            <w:vMerge w:val="continue"/>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p>
        </w:tc>
        <w:tc>
          <w:tcPr>
            <w:tcW w:w="1377" w:type="dxa"/>
            <w:vMerge w:val="continue"/>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p>
        </w:tc>
        <w:tc>
          <w:tcPr>
            <w:tcW w:w="1789"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应急方案（</w:t>
            </w:r>
            <w:r>
              <w:rPr>
                <w:rFonts w:hint="eastAsia" w:ascii="宋体" w:hAnsi="宋体" w:eastAsia="宋体" w:cs="宋体"/>
                <w:bCs/>
                <w:color w:val="auto"/>
                <w:kern w:val="2"/>
                <w:sz w:val="21"/>
                <w:szCs w:val="21"/>
                <w:highlight w:val="none"/>
                <w:lang w:val="en-US" w:eastAsia="zh-CN"/>
              </w:rPr>
              <w:t>11</w:t>
            </w:r>
            <w:r>
              <w:rPr>
                <w:rFonts w:hint="eastAsia" w:ascii="宋体" w:hAnsi="宋体" w:eastAsia="宋体" w:cs="宋体"/>
                <w:bCs/>
                <w:color w:val="auto"/>
                <w:kern w:val="2"/>
                <w:sz w:val="21"/>
                <w:szCs w:val="21"/>
                <w:highlight w:val="none"/>
              </w:rPr>
              <w:t>分</w:t>
            </w:r>
            <w:r>
              <w:rPr>
                <w:rFonts w:hint="eastAsia" w:ascii="宋体" w:hAnsi="宋体" w:eastAsia="宋体" w:cs="宋体"/>
                <w:bCs/>
                <w:color w:val="auto"/>
                <w:kern w:val="2"/>
                <w:sz w:val="21"/>
                <w:szCs w:val="21"/>
                <w:highlight w:val="none"/>
                <w:lang w:eastAsia="zh-CN"/>
              </w:rPr>
              <w:t>）</w:t>
            </w:r>
          </w:p>
        </w:tc>
        <w:tc>
          <w:tcPr>
            <w:tcW w:w="4935"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供应商对货物配送到后能够配合采购人的验收、能够完全应对突发情况（如产品质量事故处理、重大节假日及采购人紧急情况需求的配送、缺货补货、车辆故障等）的情况做出应急方案；供应商需对以上逐条进行承诺并有相应的措施得</w:t>
            </w:r>
            <w:r>
              <w:rPr>
                <w:rFonts w:hint="eastAsia" w:ascii="宋体" w:hAnsi="宋体" w:eastAsia="宋体" w:cs="宋体"/>
                <w:bCs/>
                <w:color w:val="auto"/>
                <w:kern w:val="2"/>
                <w:sz w:val="21"/>
                <w:szCs w:val="21"/>
                <w:highlight w:val="none"/>
                <w:lang w:val="en-US" w:eastAsia="zh-CN"/>
              </w:rPr>
              <w:t>11</w:t>
            </w:r>
            <w:r>
              <w:rPr>
                <w:rFonts w:hint="eastAsia" w:ascii="宋体" w:hAnsi="宋体" w:eastAsia="宋体" w:cs="宋体"/>
                <w:bCs/>
                <w:color w:val="auto"/>
                <w:kern w:val="2"/>
                <w:sz w:val="21"/>
                <w:szCs w:val="21"/>
                <w:highlight w:val="none"/>
              </w:rPr>
              <w:t>分，若有一项不响应</w:t>
            </w:r>
            <w:r>
              <w:rPr>
                <w:rFonts w:hint="eastAsia" w:ascii="宋体" w:hAnsi="宋体" w:eastAsia="宋体" w:cs="宋体"/>
                <w:bCs/>
                <w:color w:val="auto"/>
                <w:kern w:val="2"/>
                <w:sz w:val="21"/>
                <w:szCs w:val="21"/>
                <w:highlight w:val="none"/>
                <w:lang w:eastAsia="zh-CN"/>
              </w:rPr>
              <w:t>的</w:t>
            </w:r>
            <w:r>
              <w:rPr>
                <w:rFonts w:hint="eastAsia" w:ascii="宋体" w:hAnsi="宋体" w:eastAsia="宋体" w:cs="宋体"/>
                <w:bCs/>
                <w:color w:val="auto"/>
                <w:kern w:val="2"/>
                <w:sz w:val="21"/>
                <w:szCs w:val="21"/>
                <w:highlight w:val="none"/>
              </w:rPr>
              <w:t>扣</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分，扣完为止。</w:t>
            </w:r>
          </w:p>
        </w:tc>
        <w:tc>
          <w:tcPr>
            <w:tcW w:w="1177"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11</w:t>
            </w:r>
            <w:r>
              <w:rPr>
                <w:rFonts w:hint="eastAsia" w:ascii="宋体" w:hAnsi="宋体" w:eastAsia="宋体" w:cs="宋体"/>
                <w:bCs/>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14" w:type="dxa"/>
            <w:vMerge w:val="restart"/>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w:t>
            </w:r>
          </w:p>
        </w:tc>
        <w:tc>
          <w:tcPr>
            <w:tcW w:w="1377" w:type="dxa"/>
            <w:vMerge w:val="restart"/>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商务部分</w:t>
            </w:r>
          </w:p>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20</w:t>
            </w:r>
            <w:r>
              <w:rPr>
                <w:rFonts w:hint="eastAsia" w:ascii="宋体" w:hAnsi="宋体" w:eastAsia="宋体" w:cs="宋体"/>
                <w:bCs/>
                <w:color w:val="auto"/>
                <w:kern w:val="2"/>
                <w:sz w:val="21"/>
                <w:szCs w:val="21"/>
                <w:highlight w:val="none"/>
              </w:rPr>
              <w:t>分）</w:t>
            </w:r>
          </w:p>
        </w:tc>
        <w:tc>
          <w:tcPr>
            <w:tcW w:w="1789" w:type="dxa"/>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4"/>
                <w:szCs w:val="24"/>
                <w:highlight w:val="none"/>
                <w:lang w:val="zh-CN" w:eastAsia="zh-CN"/>
              </w:rPr>
              <w:t>业绩（</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分）</w:t>
            </w:r>
          </w:p>
        </w:tc>
        <w:tc>
          <w:tcPr>
            <w:tcW w:w="4935" w:type="dxa"/>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kern w:val="2"/>
                <w:sz w:val="21"/>
                <w:szCs w:val="21"/>
                <w:highlight w:val="none"/>
                <w:lang w:val="zh-CN" w:eastAsia="zh-CN" w:bidi="ar-SA"/>
              </w:rPr>
              <w:t>所投产品的投标人或制造商提供</w:t>
            </w:r>
            <w:r>
              <w:rPr>
                <w:rFonts w:hint="eastAsia" w:ascii="宋体" w:hAnsi="宋体" w:eastAsia="宋体" w:cs="宋体"/>
                <w:bCs/>
                <w:color w:val="auto"/>
                <w:kern w:val="2"/>
                <w:sz w:val="21"/>
                <w:szCs w:val="21"/>
                <w:highlight w:val="none"/>
                <w:lang w:val="en-US" w:eastAsia="zh-CN" w:bidi="ar-SA"/>
              </w:rPr>
              <w:t>2020年01月01日以来</w:t>
            </w:r>
            <w:r>
              <w:rPr>
                <w:rFonts w:hint="eastAsia" w:ascii="宋体" w:hAnsi="宋体" w:eastAsia="宋体" w:cs="宋体"/>
                <w:bCs/>
                <w:color w:val="auto"/>
                <w:kern w:val="2"/>
                <w:sz w:val="21"/>
                <w:szCs w:val="21"/>
                <w:highlight w:val="none"/>
                <w:lang w:val="zh-CN" w:eastAsia="zh-CN" w:bidi="ar-SA"/>
              </w:rPr>
              <w:t>完成的的业绩须提供合同扫描件），每项</w:t>
            </w:r>
            <w:r>
              <w:rPr>
                <w:rFonts w:hint="eastAsia" w:ascii="宋体" w:hAnsi="宋体" w:eastAsia="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zh-CN" w:eastAsia="zh-CN" w:bidi="ar-SA"/>
              </w:rPr>
              <w:t>分，</w:t>
            </w:r>
            <w:r>
              <w:rPr>
                <w:rFonts w:hint="eastAsia" w:ascii="宋体" w:hAnsi="宋体" w:eastAsia="宋体" w:cs="宋体"/>
                <w:bCs/>
                <w:color w:val="auto"/>
                <w:kern w:val="2"/>
                <w:sz w:val="21"/>
                <w:szCs w:val="21"/>
                <w:highlight w:val="none"/>
                <w:lang w:val="en-US" w:eastAsia="zh-CN" w:bidi="ar-SA"/>
              </w:rPr>
              <w:t>最多3分</w:t>
            </w:r>
            <w:r>
              <w:rPr>
                <w:rFonts w:hint="eastAsia" w:ascii="宋体" w:hAnsi="宋体" w:eastAsia="宋体" w:cs="宋体"/>
                <w:bCs/>
                <w:color w:val="auto"/>
                <w:kern w:val="2"/>
                <w:sz w:val="21"/>
                <w:szCs w:val="21"/>
                <w:highlight w:val="none"/>
                <w:lang w:val="zh-CN" w:eastAsia="zh-CN" w:bidi="ar-SA"/>
              </w:rPr>
              <w:t>；</w:t>
            </w:r>
          </w:p>
          <w:p>
            <w:pPr>
              <w:keepNext w:val="0"/>
              <w:keepLines w:val="0"/>
              <w:pageBreakBefore w:val="0"/>
              <w:kinsoku/>
              <w:wordWrap/>
              <w:overflowPunct/>
              <w:topLinePunct w:val="0"/>
              <w:bidi w:val="0"/>
              <w:adjustRightInd w:val="0"/>
              <w:snapToGrid w:val="0"/>
              <w:spacing w:line="240" w:lineRule="auto"/>
              <w:jc w:val="left"/>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zh-CN" w:eastAsia="zh-CN" w:bidi="ar-SA"/>
              </w:rPr>
              <w:t>注：每份有效业绩需提供合同，且不得遮挡涂黑，否则，不予认定加分；</w:t>
            </w:r>
          </w:p>
        </w:tc>
        <w:tc>
          <w:tcPr>
            <w:tcW w:w="1177"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914" w:type="dxa"/>
            <w:vMerge w:val="continue"/>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p>
        </w:tc>
        <w:tc>
          <w:tcPr>
            <w:tcW w:w="1377" w:type="dxa"/>
            <w:vMerge w:val="continue"/>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p>
        </w:tc>
        <w:tc>
          <w:tcPr>
            <w:tcW w:w="1789" w:type="dxa"/>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Cs/>
                <w:color w:val="auto"/>
                <w:kern w:val="2"/>
                <w:sz w:val="21"/>
                <w:szCs w:val="21"/>
                <w:highlight w:val="none"/>
                <w:lang w:eastAsia="zh-CN"/>
              </w:rPr>
            </w:pPr>
            <w:r>
              <w:rPr>
                <w:rFonts w:hint="eastAsia" w:asciiTheme="minorEastAsia" w:hAnsiTheme="minorEastAsia" w:eastAsiaTheme="minorEastAsia" w:cstheme="minorEastAsia"/>
                <w:color w:val="auto"/>
                <w:sz w:val="24"/>
                <w:highlight w:val="none"/>
                <w:lang w:eastAsia="zh-CN"/>
              </w:rPr>
              <w:t>企业能力（</w:t>
            </w:r>
            <w:r>
              <w:rPr>
                <w:rFonts w:hint="eastAsia" w:asciiTheme="minorEastAsia" w:hAnsiTheme="minorEastAsia" w:cstheme="minorEastAsia"/>
                <w:color w:val="auto"/>
                <w:sz w:val="24"/>
                <w:highlight w:val="none"/>
                <w:lang w:val="en-US" w:eastAsia="zh-CN"/>
              </w:rPr>
              <w:t>12</w:t>
            </w:r>
            <w:r>
              <w:rPr>
                <w:rFonts w:hint="eastAsia" w:asciiTheme="minorEastAsia" w:hAnsiTheme="minorEastAsia" w:eastAsiaTheme="minorEastAsia" w:cstheme="minorEastAsia"/>
                <w:color w:val="auto"/>
                <w:sz w:val="24"/>
                <w:highlight w:val="none"/>
                <w:lang w:val="en-US" w:eastAsia="zh-CN"/>
              </w:rPr>
              <w:t>分</w:t>
            </w:r>
            <w:r>
              <w:rPr>
                <w:rFonts w:hint="eastAsia" w:asciiTheme="minorEastAsia" w:hAnsiTheme="minorEastAsia" w:eastAsiaTheme="minorEastAsia" w:cstheme="minorEastAsia"/>
                <w:color w:val="auto"/>
                <w:sz w:val="24"/>
                <w:highlight w:val="none"/>
                <w:lang w:eastAsia="zh-CN"/>
              </w:rPr>
              <w:t>）</w:t>
            </w:r>
          </w:p>
        </w:tc>
        <w:tc>
          <w:tcPr>
            <w:tcW w:w="4935" w:type="dxa"/>
            <w:noWrap w:val="0"/>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auto"/>
              <w:ind w:right="0" w:righ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供应商或生产厂家具有商标注册证</w:t>
            </w:r>
            <w:r>
              <w:rPr>
                <w:rFonts w:hint="eastAsia" w:ascii="宋体" w:hAnsi="宋体" w:cs="宋体"/>
                <w:color w:val="auto"/>
                <w:sz w:val="24"/>
                <w:highlight w:val="none"/>
                <w:lang w:val="en-US" w:eastAsia="zh-CN"/>
              </w:rPr>
              <w:t>或国家域名注册证书</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最多得4分。</w:t>
            </w:r>
          </w:p>
          <w:p>
            <w:pPr>
              <w:pStyle w:val="2"/>
              <w:numPr>
                <w:ilvl w:val="0"/>
                <w:numId w:val="0"/>
              </w:numPr>
              <w:rPr>
                <w:rFonts w:hint="default"/>
                <w:color w:val="auto"/>
                <w:highlight w:val="none"/>
                <w:lang w:val="en-US" w:eastAsia="zh-CN"/>
              </w:rPr>
            </w:pPr>
            <w:r>
              <w:rPr>
                <w:rFonts w:hint="eastAsia" w:ascii="宋体" w:hAnsi="宋体" w:eastAsia="宋体" w:cs="宋体"/>
                <w:color w:val="auto"/>
                <w:kern w:val="2"/>
                <w:sz w:val="24"/>
                <w:szCs w:val="20"/>
                <w:highlight w:val="none"/>
                <w:lang w:val="en-US" w:eastAsia="zh-CN" w:bidi="ar-SA"/>
              </w:rPr>
              <w:t>2.提供检测机构出具的所投产品合格检测报告，每提供一项得4分，最多得8分；不提供不得分。</w:t>
            </w:r>
          </w:p>
        </w:tc>
        <w:tc>
          <w:tcPr>
            <w:tcW w:w="1177"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914"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p>
        </w:tc>
        <w:tc>
          <w:tcPr>
            <w:tcW w:w="1377"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jc w:val="center"/>
              <w:textAlignment w:val="auto"/>
              <w:rPr>
                <w:rFonts w:hint="eastAsia" w:ascii="宋体" w:hAnsi="宋体" w:eastAsia="宋体" w:cs="宋体"/>
                <w:bCs/>
                <w:color w:val="auto"/>
                <w:kern w:val="2"/>
                <w:sz w:val="21"/>
                <w:szCs w:val="21"/>
                <w:highlight w:val="none"/>
              </w:rPr>
            </w:pPr>
          </w:p>
        </w:tc>
        <w:tc>
          <w:tcPr>
            <w:tcW w:w="1789"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rightChars="-10"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售后服务（</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分）</w:t>
            </w:r>
          </w:p>
        </w:tc>
        <w:tc>
          <w:tcPr>
            <w:tcW w:w="4935"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1.供应商有对项目做出售后服务管理机制、售后服务流程、售后服务管理、质保期内外售后服务</w:t>
            </w:r>
            <w:r>
              <w:rPr>
                <w:rFonts w:hint="eastAsia" w:ascii="宋体" w:hAnsi="宋体" w:eastAsia="宋体" w:cs="宋体"/>
                <w:bCs/>
                <w:color w:val="auto"/>
                <w:kern w:val="2"/>
                <w:sz w:val="21"/>
                <w:szCs w:val="21"/>
                <w:highlight w:val="none"/>
                <w:lang w:eastAsia="zh-CN"/>
              </w:rPr>
              <w:t>的</w:t>
            </w:r>
            <w:r>
              <w:rPr>
                <w:rFonts w:hint="eastAsia" w:ascii="宋体" w:hAnsi="宋体" w:eastAsia="宋体" w:cs="宋体"/>
                <w:bCs/>
                <w:color w:val="auto"/>
                <w:kern w:val="2"/>
                <w:sz w:val="21"/>
                <w:szCs w:val="21"/>
                <w:highlight w:val="none"/>
                <w:lang w:val="en-US" w:eastAsia="zh-CN"/>
              </w:rPr>
              <w:t>措施</w:t>
            </w:r>
            <w:r>
              <w:rPr>
                <w:rFonts w:hint="eastAsia" w:ascii="宋体" w:hAnsi="宋体" w:eastAsia="宋体" w:cs="宋体"/>
                <w:bCs/>
                <w:color w:val="auto"/>
                <w:kern w:val="2"/>
                <w:sz w:val="21"/>
                <w:szCs w:val="21"/>
                <w:highlight w:val="none"/>
              </w:rPr>
              <w:t>（包含但不限于以上内容）得</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rPr>
              <w:t>分；缺项或者不提供不得分。</w:t>
            </w:r>
          </w:p>
          <w:p>
            <w:pPr>
              <w:pStyle w:val="22"/>
              <w:keepNext w:val="0"/>
              <w:keepLines w:val="0"/>
              <w:pageBreakBefore w:val="0"/>
              <w:widowControl w:val="0"/>
              <w:kinsoku/>
              <w:wordWrap/>
              <w:overflowPunct/>
              <w:topLinePunct w:val="0"/>
              <w:bidi w:val="0"/>
              <w:adjustRightInd w:val="0"/>
              <w:snapToGrid w:val="0"/>
              <w:spacing w:line="240" w:lineRule="auto"/>
              <w:ind w:right="-21" w:rightChars="-10" w:firstLine="0" w:firstLineChars="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2、投标人有承诺一旦成为中标供应商，售后服务做到0.5小时内响应，在接到采购人指令后，2小时之内到达采购人指定地点开展工作，并在4小时之内排除故障的得1分（不提供不得分）。</w:t>
            </w:r>
          </w:p>
        </w:tc>
        <w:tc>
          <w:tcPr>
            <w:tcW w:w="1177" w:type="dxa"/>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rightChars="-10" w:firstLine="0" w:firstLineChars="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2" w:type="dxa"/>
            <w:gridSpan w:val="5"/>
            <w:noWrap w:val="0"/>
            <w:vAlign w:val="center"/>
          </w:tcPr>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备注：</w:t>
            </w:r>
          </w:p>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供应商综合得分等于以上五项的汇总得分。</w:t>
            </w:r>
          </w:p>
          <w:p>
            <w:pPr>
              <w:pStyle w:val="22"/>
              <w:keepNext w:val="0"/>
              <w:keepLines w:val="0"/>
              <w:pageBreakBefore w:val="0"/>
              <w:widowControl w:val="0"/>
              <w:kinsoku/>
              <w:wordWrap/>
              <w:overflowPunct/>
              <w:topLinePunct w:val="0"/>
              <w:bidi w:val="0"/>
              <w:adjustRightInd w:val="0"/>
              <w:snapToGrid w:val="0"/>
              <w:spacing w:line="240" w:lineRule="auto"/>
              <w:ind w:right="-21" w:firstLine="0" w:firstLineChars="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评标委员会对各供应商的得分进行汇总，计算过程中评委个人分值按四舍五入保留两位小数，最终结果按四舍五入保留两位小数。以各评标委员会打分的算术平均值作为该供应商的最终得分</w:t>
            </w:r>
            <w:r>
              <w:rPr>
                <w:rFonts w:hint="eastAsia" w:ascii="宋体" w:hAnsi="宋体" w:eastAsia="宋体" w:cs="宋体"/>
                <w:bCs/>
                <w:color w:val="auto"/>
                <w:kern w:val="2"/>
                <w:sz w:val="21"/>
                <w:szCs w:val="21"/>
                <w:highlight w:val="none"/>
                <w:lang w:val="en-US" w:eastAsia="zh-CN"/>
              </w:rPr>
              <w:t>.</w:t>
            </w:r>
          </w:p>
        </w:tc>
      </w:tr>
    </w:tbl>
    <w:p>
      <w:pPr>
        <w:pStyle w:val="9"/>
        <w:spacing w:line="360" w:lineRule="auto"/>
        <w:ind w:right="-10" w:firstLine="482" w:firstLineChars="200"/>
        <w:rPr>
          <w:rFonts w:hint="eastAsia" w:ascii="宋体" w:hAnsi="宋体" w:eastAsia="宋体" w:cs="宋体"/>
          <w:b/>
          <w:color w:val="auto"/>
          <w:kern w:val="1"/>
          <w:sz w:val="24"/>
          <w:highlight w:val="none"/>
        </w:rPr>
        <w:sectPr>
          <w:pgSz w:w="11906" w:h="16838"/>
          <w:pgMar w:top="1389" w:right="1304" w:bottom="1440" w:left="1304" w:header="851" w:footer="992" w:gutter="0"/>
          <w:cols w:space="720" w:num="1"/>
          <w:rtlGutter w:val="0"/>
          <w:docGrid w:linePitch="312" w:charSpace="0"/>
        </w:sectPr>
      </w:pPr>
    </w:p>
    <w:p>
      <w:pPr>
        <w:pStyle w:val="9"/>
        <w:spacing w:line="360" w:lineRule="auto"/>
        <w:ind w:right="-10" w:firstLine="482" w:firstLineChars="200"/>
        <w:rPr>
          <w:rFonts w:hint="eastAsia" w:ascii="宋体" w:hAnsi="宋体" w:eastAsia="宋体" w:cs="宋体"/>
          <w:b/>
          <w:color w:val="auto"/>
          <w:kern w:val="1"/>
          <w:sz w:val="24"/>
          <w:highlight w:val="none"/>
        </w:rPr>
      </w:pPr>
      <w:r>
        <w:rPr>
          <w:rFonts w:hint="eastAsia" w:ascii="宋体" w:hAnsi="宋体" w:eastAsia="宋体" w:cs="宋体"/>
          <w:b/>
          <w:color w:val="auto"/>
          <w:kern w:val="1"/>
          <w:sz w:val="24"/>
          <w:highlight w:val="none"/>
        </w:rPr>
        <w:t>注：评标结束后，由采购人对评审结果及响应文件等进行复核，并在法定的时间内确定中标人。</w:t>
      </w:r>
    </w:p>
    <w:p>
      <w:pPr>
        <w:adjustRightInd w:val="0"/>
        <w:snapToGrid w:val="0"/>
        <w:spacing w:line="360" w:lineRule="auto"/>
        <w:ind w:right="-10"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1、依据中华人民共和国财政部令第87号令《政府采购货物和服务招标投标管理办法》第三十一条要求，不同投标人所投核心产品对应品牌完全相同且通过资格审查、符合性审查的，将按照一家投标人计算。审后得分最高的同品牌投标人获得中标人推荐资格；评审得分相同的，按照除价格分外得分最高（商务+技术参数）的同品牌投标人获得中标人推荐资格，其他同品牌投标人不作为中标候选人</w:t>
      </w:r>
      <w:r>
        <w:rPr>
          <w:rFonts w:hint="eastAsia" w:ascii="宋体" w:hAnsi="宋体" w:cs="宋体"/>
          <w:bCs/>
          <w:color w:val="auto"/>
          <w:sz w:val="24"/>
          <w:highlight w:val="none"/>
          <w:lang w:eastAsia="zh-CN"/>
        </w:rPr>
        <w:t>。</w:t>
      </w:r>
    </w:p>
    <w:p>
      <w:pPr>
        <w:adjustRightInd w:val="0"/>
        <w:snapToGrid w:val="0"/>
        <w:spacing w:line="360" w:lineRule="auto"/>
        <w:ind w:right="-10"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2、按照周口市交易中心规定，本项目投标人所需提供原件在评标时无需提供，仅作为采购单位核实时使用，评审委员会评审时仅以投标人投标文件中扫描件为准。</w:t>
      </w:r>
    </w:p>
    <w:p>
      <w:pPr>
        <w:pStyle w:val="41"/>
        <w:spacing w:line="360" w:lineRule="auto"/>
        <w:ind w:firstLine="480" w:firstLineChars="200"/>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3、采购单位有权要求供应商提供原件备查。</w:t>
      </w:r>
    </w:p>
    <w:p>
      <w:pPr>
        <w:pStyle w:val="9"/>
        <w:spacing w:line="360" w:lineRule="auto"/>
        <w:ind w:right="-10" w:firstLine="482" w:firstLineChars="200"/>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第十条</w:t>
      </w:r>
      <w:r>
        <w:rPr>
          <w:rFonts w:hint="eastAsia" w:ascii="宋体" w:hAnsi="宋体" w:eastAsia="宋体" w:cs="宋体"/>
          <w:bCs/>
          <w:color w:val="auto"/>
          <w:sz w:val="24"/>
          <w:highlight w:val="none"/>
        </w:rPr>
        <w:t xml:space="preserve"> 评委独立评审后，评委会对投标人某项指标如有不同意见，按照少数服从多数的原则，确定该项指标是否通过。</w:t>
      </w:r>
    </w:p>
    <w:p>
      <w:pPr>
        <w:spacing w:line="360" w:lineRule="auto"/>
        <w:ind w:firstLine="482" w:firstLineChars="200"/>
        <w:rPr>
          <w:rFonts w:hint="eastAsia" w:ascii="宋体" w:hAnsi="宋体" w:cs="宋体"/>
          <w:bCs/>
          <w:color w:val="auto"/>
          <w:sz w:val="24"/>
          <w:highlight w:val="none"/>
        </w:rPr>
      </w:pPr>
      <w:r>
        <w:rPr>
          <w:rFonts w:hint="eastAsia" w:ascii="宋体" w:hAnsi="宋体" w:cs="宋体"/>
          <w:b/>
          <w:bCs/>
          <w:color w:val="auto"/>
          <w:sz w:val="24"/>
          <w:highlight w:val="none"/>
        </w:rPr>
        <w:t>第十一条</w:t>
      </w:r>
      <w:r>
        <w:rPr>
          <w:rFonts w:hint="eastAsia" w:ascii="宋体" w:hAnsi="宋体" w:cs="宋体"/>
          <w:bCs/>
          <w:color w:val="auto"/>
          <w:sz w:val="24"/>
          <w:highlight w:val="none"/>
        </w:rPr>
        <w:t xml:space="preserve"> 商务、技术满足招标文件要求，综合得分最高的投标人将作为中标候选人。如果综合得分中出现两家或两家以上相同者，投标报价较低者优先中标，报价也相同的，由采购人自行确定。</w:t>
      </w:r>
    </w:p>
    <w:p>
      <w:pPr>
        <w:pStyle w:val="9"/>
        <w:spacing w:line="360" w:lineRule="auto"/>
        <w:ind w:right="-10" w:firstLine="482"/>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第十二条</w:t>
      </w:r>
      <w:r>
        <w:rPr>
          <w:rFonts w:hint="eastAsia" w:ascii="宋体" w:hAnsi="宋体" w:eastAsia="宋体" w:cs="宋体"/>
          <w:bCs/>
          <w:color w:val="auto"/>
          <w:sz w:val="24"/>
          <w:highlight w:val="none"/>
        </w:rPr>
        <w:t xml:space="preserve"> 评委会在评标过程中发现的问题，应当及时作出处理或者向采购人提出处理建议，并作书面记录。</w:t>
      </w:r>
    </w:p>
    <w:p>
      <w:pPr>
        <w:adjustRightInd w:val="0"/>
        <w:snapToGrid w:val="0"/>
        <w:spacing w:line="360" w:lineRule="auto"/>
        <w:ind w:right="-10" w:firstLine="482" w:firstLineChars="200"/>
        <w:rPr>
          <w:rFonts w:hint="eastAsia" w:ascii="宋体" w:hAnsi="宋体" w:cs="宋体"/>
          <w:bCs/>
          <w:color w:val="auto"/>
          <w:sz w:val="24"/>
          <w:highlight w:val="none"/>
        </w:rPr>
      </w:pPr>
      <w:r>
        <w:rPr>
          <w:rFonts w:hint="eastAsia" w:ascii="宋体" w:hAnsi="宋体" w:cs="宋体"/>
          <w:b/>
          <w:bCs/>
          <w:color w:val="auto"/>
          <w:sz w:val="24"/>
          <w:highlight w:val="none"/>
        </w:rPr>
        <w:t>第十三条</w:t>
      </w:r>
      <w:r>
        <w:rPr>
          <w:rFonts w:hint="eastAsia" w:ascii="宋体" w:hAnsi="宋体" w:cs="宋体"/>
          <w:bCs/>
          <w:color w:val="auto"/>
          <w:sz w:val="24"/>
          <w:highlight w:val="none"/>
        </w:rPr>
        <w:t xml:space="preserve"> 评标后，评委会应填写评审记录并签字。评审记录是评委会根据全体评标成员电子签字的原始评标记录和评标结果编制的报告，评委会全体成员均须在评审纪要上电子签字。评审记录应如实记录本次评标的主要过程，全面反映评标过程中的各种不同的意见，以及其他澄清、说明、补正事项。</w:t>
      </w:r>
    </w:p>
    <w:p>
      <w:pPr>
        <w:rPr>
          <w:rFonts w:hint="eastAsia" w:ascii="宋体" w:hAnsi="宋体" w:cs="宋体"/>
          <w:color w:val="auto"/>
          <w:highlight w:val="none"/>
        </w:rPr>
      </w:pPr>
    </w:p>
    <w:p>
      <w:pPr>
        <w:adjustRightInd w:val="0"/>
        <w:snapToGrid w:val="0"/>
        <w:spacing w:line="360" w:lineRule="auto"/>
        <w:jc w:val="center"/>
        <w:rPr>
          <w:rFonts w:hint="eastAsia" w:ascii="宋体" w:hAnsi="宋体" w:cs="宋体"/>
          <w:b/>
          <w:bCs/>
          <w:color w:val="auto"/>
          <w:sz w:val="24"/>
          <w:highlight w:val="none"/>
        </w:rPr>
      </w:pPr>
      <w:bookmarkStart w:id="57" w:name="_Toc40_WPSOffice_Level2"/>
      <w:r>
        <w:rPr>
          <w:rFonts w:hint="eastAsia" w:ascii="宋体" w:hAnsi="宋体" w:cs="宋体"/>
          <w:b/>
          <w:bCs/>
          <w:color w:val="auto"/>
          <w:sz w:val="24"/>
          <w:highlight w:val="none"/>
        </w:rPr>
        <w:t>三．评标纪律</w:t>
      </w:r>
      <w:bookmarkEnd w:id="57"/>
    </w:p>
    <w:p>
      <w:pPr>
        <w:adjustRightInd w:val="0"/>
        <w:snapToGrid w:val="0"/>
        <w:spacing w:line="360" w:lineRule="auto"/>
        <w:ind w:right="-10"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第十四条</w:t>
      </w:r>
      <w:r>
        <w:rPr>
          <w:rFonts w:hint="eastAsia" w:ascii="宋体" w:hAnsi="宋体" w:cs="宋体"/>
          <w:bCs/>
          <w:color w:val="auto"/>
          <w:sz w:val="24"/>
          <w:highlight w:val="none"/>
        </w:rPr>
        <w:t xml:space="preserve"> 评委会和评标工作人员应严格遵守国家的法律、法规和规章制度；</w:t>
      </w:r>
      <w:r>
        <w:rPr>
          <w:rFonts w:hint="eastAsia" w:ascii="宋体" w:hAnsi="宋体" w:cs="宋体"/>
          <w:color w:val="auto"/>
          <w:sz w:val="24"/>
          <w:highlight w:val="none"/>
        </w:rPr>
        <w:t>严格按照本次招标文件进行评标；公正廉洁、不徇私情，不得损害国家利益；保护招、投标人的合法权益。</w:t>
      </w:r>
    </w:p>
    <w:p>
      <w:pPr>
        <w:adjustRightInd w:val="0"/>
        <w:snapToGrid w:val="0"/>
        <w:spacing w:line="360" w:lineRule="auto"/>
        <w:ind w:right="-10"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 xml:space="preserve">第十五条 </w:t>
      </w:r>
      <w:r>
        <w:rPr>
          <w:rFonts w:hint="eastAsia" w:ascii="宋体" w:hAnsi="宋体" w:cs="宋体"/>
          <w:color w:val="auto"/>
          <w:sz w:val="24"/>
          <w:highlight w:val="none"/>
        </w:rPr>
        <w:t>在评标过程中，评委必须对评标情况严格保密，任何人不得将评标情况透露给与投标人有关的单位和个人。如有违反评标纪律的情况发生，将依据《中华人民共和国政府采购法》及其他有关法律法规的规定，追究有关当事人的责任。</w:t>
      </w:r>
    </w:p>
    <w:p>
      <w:pPr>
        <w:spacing w:line="360" w:lineRule="auto"/>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第十六条</w:t>
      </w:r>
      <w:r>
        <w:rPr>
          <w:rFonts w:hint="eastAsia" w:ascii="宋体" w:hAnsi="宋体" w:cs="宋体"/>
          <w:color w:val="auto"/>
          <w:sz w:val="24"/>
          <w:highlight w:val="none"/>
        </w:rPr>
        <w:t xml:space="preserve"> 在招标采购中，出现下列情形之一的，应予废标：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1.出现影响采购公正的违法、违规行为的。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2.投标时有弄虚作假的行为。</w:t>
      </w:r>
    </w:p>
    <w:p>
      <w:pPr>
        <w:spacing w:line="360" w:lineRule="auto"/>
        <w:ind w:firstLine="475" w:firstLineChars="197"/>
        <w:rPr>
          <w:rFonts w:hint="eastAsia" w:ascii="宋体" w:hAnsi="宋体" w:cs="宋体"/>
          <w:color w:val="auto"/>
          <w:sz w:val="24"/>
          <w:highlight w:val="none"/>
        </w:rPr>
      </w:pPr>
      <w:r>
        <w:rPr>
          <w:rFonts w:hint="eastAsia" w:ascii="宋体" w:hAnsi="宋体" w:cs="宋体"/>
          <w:b/>
          <w:color w:val="auto"/>
          <w:sz w:val="24"/>
          <w:highlight w:val="none"/>
        </w:rPr>
        <w:t xml:space="preserve">第十七条 </w:t>
      </w:r>
      <w:r>
        <w:rPr>
          <w:rFonts w:hint="eastAsia" w:ascii="宋体" w:hAnsi="宋体" w:cs="宋体"/>
          <w:color w:val="auto"/>
          <w:sz w:val="24"/>
          <w:highlight w:val="none"/>
        </w:rPr>
        <w:t>在投标过程中，出现下列情况之一的，按照无效投标处理：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1.未按照招标文件规定要求签署、签章的</w:t>
      </w:r>
      <w:r>
        <w:rPr>
          <w:rFonts w:hint="eastAsia" w:ascii="宋体" w:hAnsi="宋体" w:cs="宋体"/>
          <w:b/>
          <w:color w:val="auto"/>
          <w:sz w:val="24"/>
          <w:highlight w:val="none"/>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授权代表的名字直接打印在签章处即可）；</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2.不具备招标文件中规定资格要求的；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3.不符合法律、法规和招标文件中规定的其他实质性要求的。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4.投标人的报价超过了采购预算，采购人不能支付的；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5.投标文件附有招标人不能接受的条件；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6.投标文件中对同一货物或标段提供选择性报价的；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7.商务偏差表或技术偏差表存在弄虚作假的；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8.不同供应商的电子投标（响应）文件上传计算机的网卡 MAC 地址、CPU 序列号和硬盘序列号等硬件信息相同的;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不同供应商的投标（响应）文件由同一电子设备编制，打印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加密或者上传</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不同供应商的投标（响应）文件的内容存在两处以上细节错误</w:t>
      </w:r>
      <w:r>
        <w:rPr>
          <w:rFonts w:hint="eastAsia" w:ascii="宋体" w:hAnsi="宋体" w:cs="宋体"/>
          <w:color w:val="auto"/>
          <w:sz w:val="24"/>
          <w:highlight w:val="none"/>
          <w:lang w:eastAsia="zh-CN"/>
        </w:rPr>
        <w:t>的</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不同供应商的法定代表人、委托代理人、项目经理、项目负责人等由同一个单位缴纳社会保险或者领取报酬的；</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w:t>
      </w:r>
      <w:r>
        <w:rPr>
          <w:rFonts w:hint="eastAsia" w:ascii="宋体" w:hAnsi="宋体" w:cs="宋体"/>
          <w:b w:val="0"/>
          <w:bCs w:val="0"/>
          <w:color w:val="auto"/>
          <w:sz w:val="24"/>
          <w:highlight w:val="none"/>
        </w:rPr>
        <w:t>法定代表人和委托代理人未提供养老保险证明和劳动合同的；</w:t>
      </w:r>
    </w:p>
    <w:p>
      <w:pPr>
        <w:spacing w:line="360" w:lineRule="auto"/>
        <w:ind w:firstLine="480" w:firstLineChars="200"/>
        <w:rPr>
          <w:rFonts w:hint="eastAsia" w:eastAsia="宋体"/>
          <w:color w:val="auto"/>
          <w:highlight w:val="none"/>
          <w:lang w:eastAsia="zh-CN"/>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不同供应商投标（响应）文件中法定代表人或者负责人签字出自同一人之手</w:t>
      </w:r>
      <w:r>
        <w:rPr>
          <w:rFonts w:hint="eastAsia" w:ascii="宋体" w:hAnsi="宋体" w:eastAsia="宋体" w:cs="宋体"/>
          <w:color w:val="auto"/>
          <w:sz w:val="24"/>
          <w:highlight w:val="none"/>
          <w:lang w:eastAsia="zh-CN"/>
        </w:rPr>
        <w:t>。</w:t>
      </w:r>
    </w:p>
    <w:p>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bCs/>
          <w:color w:val="auto"/>
          <w:sz w:val="24"/>
          <w:highlight w:val="none"/>
        </w:rPr>
        <w:t>八</w:t>
      </w:r>
      <w:r>
        <w:rPr>
          <w:rFonts w:hint="eastAsia" w:ascii="宋体" w:hAnsi="宋体" w:cs="宋体"/>
          <w:b/>
          <w:color w:val="auto"/>
          <w:sz w:val="24"/>
          <w:highlight w:val="none"/>
        </w:rPr>
        <w:t xml:space="preserve">条 </w:t>
      </w:r>
      <w:r>
        <w:rPr>
          <w:rFonts w:hint="eastAsia" w:ascii="宋体" w:hAnsi="宋体" w:cs="宋体"/>
          <w:color w:val="auto"/>
          <w:sz w:val="24"/>
          <w:highlight w:val="none"/>
        </w:rPr>
        <w:t>在投标文件中，出现下列情形之一的，其投标有可能被拒绝：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1.交货完工期不确切、不肯定的投标；供应商的投标质量无承诺的；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pacing w:val="0"/>
          <w:position w:val="0"/>
          <w:sz w:val="24"/>
          <w:highlight w:val="none"/>
          <w:shd w:val="clear" w:color="auto" w:fill="auto"/>
        </w:rPr>
        <w:t>对投标质量、付款方式无承诺的；</w:t>
      </w:r>
      <w:r>
        <w:rPr>
          <w:rFonts w:hint="eastAsia" w:ascii="宋体" w:hAnsi="宋体" w:eastAsia="宋体" w:cs="宋体"/>
          <w:color w:val="auto"/>
          <w:sz w:val="24"/>
          <w:highlight w:val="none"/>
        </w:rPr>
        <w:t>售后服务不满足招标文件要求的</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3.投标人没有实质性响应招标文件的要求和条件的；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w:t>
      </w:r>
      <w:r>
        <w:rPr>
          <w:rFonts w:hint="eastAsia" w:ascii="宋体" w:hAnsi="宋体" w:eastAsia="宋体" w:cs="宋体"/>
          <w:color w:val="auto"/>
          <w:sz w:val="24"/>
          <w:highlight w:val="none"/>
          <w:lang w:val="en-US" w:eastAsia="zh-CN"/>
        </w:rPr>
        <w:t>且</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书面说明</w:t>
      </w:r>
      <w:r>
        <w:rPr>
          <w:rFonts w:hint="eastAsia" w:ascii="宋体" w:hAnsi="宋体" w:eastAsia="宋体" w:cs="宋体"/>
          <w:color w:val="auto"/>
          <w:sz w:val="24"/>
          <w:highlight w:val="none"/>
          <w:lang w:val="en-US" w:eastAsia="zh-CN"/>
        </w:rPr>
        <w:t>和</w:t>
      </w:r>
      <w:r>
        <w:rPr>
          <w:rFonts w:hint="eastAsia" w:ascii="宋体" w:hAnsi="宋体" w:eastAsia="宋体" w:cs="宋体"/>
          <w:color w:val="auto"/>
          <w:sz w:val="24"/>
          <w:highlight w:val="none"/>
        </w:rPr>
        <w:t>相关证明材料；投标人不能证明其报价合理性的，评标委员会应当将其作为无效投标处理</w:t>
      </w:r>
      <w:r>
        <w:rPr>
          <w:rFonts w:hint="eastAsia" w:ascii="宋体" w:hAnsi="宋体" w:eastAsia="宋体" w:cs="宋体"/>
          <w:color w:val="auto"/>
          <w:sz w:val="24"/>
          <w:highlight w:val="none"/>
          <w:lang w:eastAsia="zh-CN"/>
        </w:rPr>
        <w:t>。</w:t>
      </w:r>
    </w:p>
    <w:p>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第十九条</w:t>
      </w:r>
      <w:r>
        <w:rPr>
          <w:rFonts w:hint="eastAsia" w:ascii="宋体" w:hAnsi="宋体" w:cs="宋体"/>
          <w:color w:val="auto"/>
          <w:sz w:val="24"/>
          <w:highlight w:val="none"/>
        </w:rPr>
        <w:t xml:space="preserve"> 本评标办法的解释权属于采购人。</w:t>
      </w:r>
    </w:p>
    <w:p>
      <w:pPr>
        <w:pStyle w:val="3"/>
        <w:spacing w:before="0" w:after="0" w:line="400" w:lineRule="exact"/>
        <w:jc w:val="both"/>
        <w:rPr>
          <w:rFonts w:hint="eastAsia" w:ascii="宋体" w:hAnsi="宋体" w:eastAsia="宋体" w:cs="宋体"/>
          <w:color w:val="auto"/>
          <w:highlight w:val="none"/>
        </w:rPr>
      </w:pPr>
      <w:bookmarkStart w:id="58" w:name="_Toc527725920"/>
      <w:r>
        <w:rPr>
          <w:rFonts w:ascii="宋体" w:hAnsi="宋体" w:cs="宋体"/>
          <w:color w:val="auto"/>
          <w:sz w:val="32"/>
          <w:highlight w:val="none"/>
        </w:rPr>
        <w:br w:type="page"/>
      </w:r>
      <w:bookmarkStart w:id="59" w:name="_Toc5365"/>
      <w:bookmarkStart w:id="60" w:name="_Toc40975440"/>
      <w:r>
        <w:rPr>
          <w:rFonts w:hint="eastAsia" w:ascii="宋体" w:hAnsi="宋体" w:cs="宋体"/>
          <w:color w:val="auto"/>
          <w:sz w:val="32"/>
          <w:highlight w:val="none"/>
        </w:rPr>
        <w:t>招标文件第二部分</w:t>
      </w:r>
      <w:bookmarkEnd w:id="58"/>
      <w:bookmarkEnd w:id="59"/>
      <w:bookmarkEnd w:id="60"/>
      <w:bookmarkStart w:id="61" w:name="_Toc527725921"/>
      <w:bookmarkStart w:id="62" w:name="_Toc40975441"/>
    </w:p>
    <w:p>
      <w:pPr>
        <w:pStyle w:val="3"/>
        <w:bidi w:val="0"/>
        <w:spacing w:line="240" w:lineRule="auto"/>
        <w:jc w:val="center"/>
        <w:rPr>
          <w:rFonts w:hint="eastAsia"/>
          <w:color w:val="auto"/>
          <w:highlight w:val="none"/>
        </w:rPr>
      </w:pPr>
      <w:bookmarkStart w:id="63" w:name="_Toc26370"/>
      <w:r>
        <w:rPr>
          <w:rFonts w:hint="eastAsia"/>
          <w:color w:val="auto"/>
          <w:highlight w:val="none"/>
        </w:rPr>
        <w:t>第五章 投标人须知</w:t>
      </w:r>
      <w:bookmarkEnd w:id="61"/>
      <w:bookmarkEnd w:id="62"/>
      <w:bookmarkEnd w:id="63"/>
    </w:p>
    <w:p>
      <w:pPr>
        <w:pStyle w:val="5"/>
        <w:spacing w:line="500" w:lineRule="exact"/>
        <w:rPr>
          <w:rFonts w:hint="eastAsia" w:hAnsi="宋体" w:cs="宋体"/>
          <w:color w:val="auto"/>
          <w:sz w:val="28"/>
          <w:highlight w:val="none"/>
        </w:rPr>
      </w:pPr>
      <w:bookmarkStart w:id="64" w:name="_Hlt509650126"/>
      <w:bookmarkEnd w:id="64"/>
      <w:bookmarkStart w:id="65" w:name="_Hlt509649998"/>
      <w:bookmarkEnd w:id="65"/>
      <w:bookmarkStart w:id="66" w:name="_Hlt509650955"/>
      <w:bookmarkEnd w:id="66"/>
      <w:bookmarkStart w:id="67" w:name="_Hlt526418143"/>
      <w:bookmarkEnd w:id="67"/>
      <w:bookmarkStart w:id="68" w:name="_Hlt509649722"/>
      <w:bookmarkEnd w:id="68"/>
      <w:bookmarkStart w:id="69" w:name="_Hlt509650686"/>
      <w:bookmarkEnd w:id="69"/>
      <w:bookmarkStart w:id="70" w:name="_Toc40975442"/>
      <w:bookmarkStart w:id="71" w:name="_Toc527725922"/>
      <w:bookmarkStart w:id="72" w:name="_Toc23361"/>
      <w:r>
        <w:rPr>
          <w:rFonts w:hint="eastAsia" w:hAnsi="宋体" w:cs="宋体"/>
          <w:color w:val="auto"/>
          <w:sz w:val="28"/>
          <w:highlight w:val="none"/>
        </w:rPr>
        <w:t>一．总    则</w:t>
      </w:r>
      <w:bookmarkEnd w:id="70"/>
      <w:bookmarkEnd w:id="71"/>
      <w:bookmarkEnd w:id="72"/>
    </w:p>
    <w:p>
      <w:pPr>
        <w:spacing w:line="360" w:lineRule="auto"/>
        <w:ind w:firstLine="550"/>
        <w:rPr>
          <w:rFonts w:hint="eastAsia" w:ascii="宋体" w:hAnsi="宋体" w:cs="宋体"/>
          <w:b/>
          <w:color w:val="auto"/>
          <w:sz w:val="24"/>
          <w:highlight w:val="none"/>
        </w:rPr>
      </w:pPr>
      <w:r>
        <w:rPr>
          <w:rFonts w:hint="eastAsia" w:ascii="宋体" w:hAnsi="宋体" w:cs="宋体"/>
          <w:b/>
          <w:color w:val="auto"/>
          <w:sz w:val="24"/>
          <w:highlight w:val="none"/>
        </w:rPr>
        <w:t>1.适用范围</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1.1本招标文件仅适用于本次公开招标所述的货物项目采购。</w:t>
      </w:r>
    </w:p>
    <w:p>
      <w:pPr>
        <w:spacing w:line="360" w:lineRule="auto"/>
        <w:ind w:firstLine="550"/>
        <w:rPr>
          <w:rFonts w:hint="eastAsia" w:ascii="宋体" w:hAnsi="宋体" w:cs="宋体"/>
          <w:b/>
          <w:color w:val="auto"/>
          <w:sz w:val="24"/>
          <w:highlight w:val="none"/>
        </w:rPr>
      </w:pPr>
      <w:r>
        <w:rPr>
          <w:rFonts w:hint="eastAsia" w:ascii="宋体" w:hAnsi="宋体" w:cs="宋体"/>
          <w:b/>
          <w:color w:val="auto"/>
          <w:sz w:val="24"/>
          <w:highlight w:val="none"/>
        </w:rPr>
        <w:t>2.有关定义</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2.1招标人（采购人）：</w:t>
      </w:r>
      <w:r>
        <w:rPr>
          <w:rFonts w:hint="eastAsia" w:ascii="宋体" w:hAnsi="宋体" w:cs="宋体"/>
          <w:i w:val="0"/>
          <w:iCs w:val="0"/>
          <w:color w:val="auto"/>
          <w:sz w:val="24"/>
          <w:szCs w:val="24"/>
          <w:highlight w:val="none"/>
          <w:lang w:eastAsia="zh-CN"/>
        </w:rPr>
        <w:t>郸城县民政局</w:t>
      </w:r>
      <w:r>
        <w:rPr>
          <w:rFonts w:hint="eastAsia" w:ascii="宋体" w:hAnsi="宋体" w:cs="宋体"/>
          <w:color w:val="auto"/>
          <w:sz w:val="24"/>
          <w:highlight w:val="none"/>
        </w:rPr>
        <w:t>。</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2.2招标代理机构（集中采购机构）：系指周口市公共资源交易中心政府采购中心，以下简称“采购中心”。</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2.3政府采购监督管理部门：系指</w:t>
      </w:r>
      <w:r>
        <w:rPr>
          <w:rFonts w:hint="eastAsia" w:ascii="宋体" w:hAnsi="宋体" w:cs="宋体"/>
          <w:color w:val="auto"/>
          <w:sz w:val="24"/>
          <w:highlight w:val="none"/>
          <w:lang w:eastAsia="zh-CN"/>
        </w:rPr>
        <w:t>郸城县</w:t>
      </w:r>
      <w:r>
        <w:rPr>
          <w:rFonts w:hint="eastAsia" w:ascii="宋体" w:hAnsi="宋体" w:cs="宋体"/>
          <w:color w:val="auto"/>
          <w:sz w:val="24"/>
          <w:highlight w:val="none"/>
          <w:lang w:val="en-US" w:eastAsia="zh-CN"/>
        </w:rPr>
        <w:t>财政局</w:t>
      </w:r>
      <w:r>
        <w:rPr>
          <w:rFonts w:hint="eastAsia" w:ascii="宋体" w:hAnsi="宋体" w:cs="宋体"/>
          <w:color w:val="auto"/>
          <w:sz w:val="24"/>
          <w:highlight w:val="none"/>
        </w:rPr>
        <w:t>。</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2.4投标人：系指已经在周口市公共资源交易中心网上报名，且已经提交或准备提交本次投标文件的制造商、供应商或服务商。</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2.5货物：系指各种形态和种类的物品，包括原材料、燃料、设备、产品等，包括与之相关的备品备件、工具、手册及安装、调试、技术协助、校准、培训、售后服务等。</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2.6业绩：系指符合本招标文件规定且已供货（安装）完毕的合同</w:t>
      </w:r>
      <w:r>
        <w:rPr>
          <w:rFonts w:hint="eastAsia" w:ascii="宋体" w:hAnsi="宋体" w:cs="宋体"/>
          <w:color w:val="auto"/>
          <w:sz w:val="24"/>
          <w:highlight w:val="none"/>
          <w:lang w:eastAsia="zh-CN"/>
        </w:rPr>
        <w:t>、中标通知书、验收报告</w:t>
      </w:r>
      <w:r>
        <w:rPr>
          <w:rFonts w:hint="eastAsia" w:ascii="宋体" w:hAnsi="宋体" w:cs="宋体"/>
          <w:color w:val="auto"/>
          <w:sz w:val="24"/>
          <w:highlight w:val="none"/>
        </w:rPr>
        <w:t>及相关证明。</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2.7投标人公章：在电子投标文件中系指投标人电子签章。</w:t>
      </w:r>
    </w:p>
    <w:p>
      <w:pPr>
        <w:pStyle w:val="3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2.8供应商应在响应文件中承诺未被纳入重大税收违法失信主体名单且未存在不诚信记录，如若实际情况与供应商承诺内容不一致，一经查实将取消其中标资格。</w:t>
      </w:r>
    </w:p>
    <w:p>
      <w:pPr>
        <w:spacing w:line="360" w:lineRule="auto"/>
        <w:ind w:firstLine="550"/>
        <w:rPr>
          <w:rFonts w:hint="eastAsia" w:ascii="宋体" w:hAnsi="宋体" w:cs="宋体"/>
          <w:b/>
          <w:color w:val="auto"/>
          <w:sz w:val="24"/>
          <w:highlight w:val="none"/>
        </w:rPr>
      </w:pPr>
      <w:r>
        <w:rPr>
          <w:rFonts w:hint="eastAsia" w:ascii="宋体" w:hAnsi="宋体" w:cs="宋体"/>
          <w:b/>
          <w:color w:val="auto"/>
          <w:sz w:val="24"/>
          <w:highlight w:val="none"/>
        </w:rPr>
        <w:t>3.投标费用</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3.1无论投标结果如何，投标人应自行承担其编制与递交投标文件所涉及的一切费用。</w:t>
      </w:r>
      <w:r>
        <w:rPr>
          <w:rFonts w:hint="eastAsia" w:ascii="宋体" w:hAnsi="宋体" w:cs="宋体"/>
          <w:b/>
          <w:color w:val="auto"/>
          <w:sz w:val="24"/>
          <w:highlight w:val="none"/>
        </w:rPr>
        <w:t>评标费用由采购人自行解决。</w:t>
      </w:r>
    </w:p>
    <w:p>
      <w:pPr>
        <w:spacing w:line="360" w:lineRule="auto"/>
        <w:ind w:firstLine="550"/>
        <w:rPr>
          <w:rFonts w:hint="eastAsia" w:ascii="宋体" w:hAnsi="宋体" w:cs="宋体"/>
          <w:b/>
          <w:bCs/>
          <w:color w:val="auto"/>
          <w:sz w:val="24"/>
          <w:highlight w:val="none"/>
        </w:rPr>
      </w:pPr>
      <w:r>
        <w:rPr>
          <w:rFonts w:hint="eastAsia" w:ascii="宋体" w:hAnsi="宋体" w:cs="宋体"/>
          <w:b/>
          <w:bCs/>
          <w:color w:val="auto"/>
          <w:sz w:val="24"/>
          <w:highlight w:val="none"/>
        </w:rPr>
        <w:t>4.合格的投标人</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4.1合格的投标人应符合招标文件载明的投标资格。</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4.2投标人之间如果存在下列情形之一的，不得同时参加同一标段（包别）或者不分标段（包别）的同一项目投标：</w:t>
      </w:r>
    </w:p>
    <w:p>
      <w:pPr>
        <w:spacing w:line="360" w:lineRule="auto"/>
        <w:ind w:left="420" w:leftChars="200" w:firstLine="88" w:firstLineChars="37"/>
        <w:rPr>
          <w:rFonts w:hint="eastAsia" w:ascii="宋体" w:hAnsi="宋体" w:cs="宋体"/>
          <w:color w:val="auto"/>
          <w:sz w:val="24"/>
          <w:highlight w:val="none"/>
        </w:rPr>
      </w:pPr>
      <w:r>
        <w:rPr>
          <w:rFonts w:hint="eastAsia" w:ascii="宋体" w:hAnsi="宋体" w:cs="宋体"/>
          <w:color w:val="auto"/>
          <w:sz w:val="24"/>
          <w:highlight w:val="none"/>
        </w:rPr>
        <w:t>4.2.1法定代表人为同一个人的两个及两个以上法人；</w:t>
      </w:r>
    </w:p>
    <w:p>
      <w:pPr>
        <w:spacing w:line="360" w:lineRule="auto"/>
        <w:ind w:left="420" w:leftChars="200" w:firstLine="88" w:firstLineChars="37"/>
        <w:rPr>
          <w:rFonts w:hint="eastAsia" w:ascii="宋体" w:hAnsi="宋体" w:cs="宋体"/>
          <w:color w:val="auto"/>
          <w:sz w:val="24"/>
          <w:highlight w:val="none"/>
        </w:rPr>
      </w:pPr>
      <w:r>
        <w:rPr>
          <w:rFonts w:hint="eastAsia" w:ascii="宋体" w:hAnsi="宋体" w:cs="宋体"/>
          <w:color w:val="auto"/>
          <w:sz w:val="24"/>
          <w:highlight w:val="none"/>
        </w:rPr>
        <w:t>4.2.2母公司、全资子公司及其控股公司；</w:t>
      </w:r>
    </w:p>
    <w:p>
      <w:pPr>
        <w:pStyle w:val="6"/>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4.2.3参加投标的其他组织之间存在特殊的利害关系的；</w:t>
      </w:r>
    </w:p>
    <w:p>
      <w:pPr>
        <w:spacing w:line="360" w:lineRule="auto"/>
        <w:ind w:left="420" w:leftChars="200" w:firstLine="88" w:firstLineChars="37"/>
        <w:rPr>
          <w:rFonts w:hint="eastAsia" w:ascii="宋体" w:hAnsi="宋体" w:cs="宋体"/>
          <w:color w:val="auto"/>
          <w:sz w:val="24"/>
          <w:highlight w:val="none"/>
        </w:rPr>
      </w:pPr>
      <w:r>
        <w:rPr>
          <w:rFonts w:hint="eastAsia" w:ascii="宋体" w:hAnsi="宋体" w:cs="宋体"/>
          <w:color w:val="auto"/>
          <w:sz w:val="24"/>
          <w:highlight w:val="none"/>
        </w:rPr>
        <w:t>4.2.4法律和行政法规规定的其他情形。</w:t>
      </w:r>
    </w:p>
    <w:p>
      <w:pPr>
        <w:spacing w:line="360" w:lineRule="auto"/>
        <w:ind w:firstLine="550"/>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4.2.5</w:t>
      </w:r>
      <w:r>
        <w:rPr>
          <w:rFonts w:hint="eastAsia" w:ascii="宋体" w:hAnsi="宋体" w:cs="宋体"/>
          <w:b w:val="0"/>
          <w:bCs/>
          <w:color w:val="auto"/>
          <w:sz w:val="24"/>
          <w:highlight w:val="none"/>
        </w:rPr>
        <w:t>投标人</w:t>
      </w:r>
      <w:r>
        <w:rPr>
          <w:rFonts w:hint="eastAsia" w:ascii="宋体" w:hAnsi="宋体" w:eastAsia="宋体" w:cs="宋体"/>
          <w:b w:val="0"/>
          <w:bCs/>
          <w:color w:val="auto"/>
          <w:sz w:val="24"/>
          <w:highlight w:val="none"/>
          <w:lang w:val="en-US" w:eastAsia="zh-CN"/>
        </w:rPr>
        <w:t>有依法缴纳税收和社会保障资金的良好记录（</w:t>
      </w:r>
      <w:r>
        <w:rPr>
          <w:rFonts w:hint="eastAsia" w:ascii="宋体" w:hAnsi="宋体" w:eastAsia="宋体" w:cs="宋体"/>
          <w:color w:val="auto"/>
          <w:sz w:val="24"/>
          <w:szCs w:val="24"/>
          <w:highlight w:val="none"/>
        </w:rPr>
        <w:t>缴纳的税收凭据、社会保险凭据，依法免税或不需要缴纳社会保障资金的供应商应提供相应的证明文件</w:t>
      </w:r>
      <w:r>
        <w:rPr>
          <w:rFonts w:hint="eastAsia" w:ascii="宋体" w:hAnsi="宋体" w:eastAsia="宋体" w:cs="宋体"/>
          <w:b w:val="0"/>
          <w:bCs/>
          <w:color w:val="auto"/>
          <w:sz w:val="24"/>
          <w:highlight w:val="none"/>
          <w:lang w:val="en-US" w:eastAsia="zh-CN"/>
        </w:rPr>
        <w:t>）；</w:t>
      </w:r>
    </w:p>
    <w:p>
      <w:pPr>
        <w:spacing w:line="360" w:lineRule="auto"/>
        <w:ind w:firstLine="480" w:firstLineChars="200"/>
        <w:rPr>
          <w:rFonts w:hint="default"/>
          <w:color w:val="auto"/>
          <w:highlight w:val="none"/>
          <w:lang w:val="en-US" w:eastAsia="zh-CN"/>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 “近年财务状况表”应附经会计师事务所或审计机构审计的财务会计报表，包括资产负债表、现金流量表、利润表和财务情况说明书，具体年份要求见投标人须知前附表。</w:t>
      </w:r>
    </w:p>
    <w:p>
      <w:pPr>
        <w:spacing w:line="360" w:lineRule="auto"/>
        <w:ind w:firstLine="550"/>
        <w:rPr>
          <w:rFonts w:hint="eastAsia" w:ascii="宋体" w:hAnsi="宋体" w:cs="宋体"/>
          <w:b/>
          <w:color w:val="auto"/>
          <w:sz w:val="24"/>
          <w:highlight w:val="none"/>
          <w:lang w:val="en-US" w:eastAsia="zh-CN"/>
        </w:rPr>
      </w:pPr>
      <w:r>
        <w:rPr>
          <w:rFonts w:hint="eastAsia" w:ascii="宋体" w:hAnsi="宋体" w:cs="宋体"/>
          <w:b w:val="0"/>
          <w:bCs/>
          <w:color w:val="auto"/>
          <w:sz w:val="24"/>
          <w:highlight w:val="none"/>
          <w:lang w:val="en-US" w:eastAsia="zh-CN"/>
        </w:rPr>
        <w:t>4.2.7供应商或制造商需提供售后服务体系与承诺。</w:t>
      </w:r>
    </w:p>
    <w:p>
      <w:pPr>
        <w:spacing w:line="360" w:lineRule="auto"/>
        <w:ind w:firstLine="550"/>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4.2.8.合格供应商的声明函.</w:t>
      </w:r>
    </w:p>
    <w:p>
      <w:pPr>
        <w:spacing w:line="360" w:lineRule="auto"/>
        <w:ind w:firstLine="550"/>
        <w:rPr>
          <w:rFonts w:hint="eastAsia" w:ascii="宋体" w:hAnsi="宋体" w:cs="宋体"/>
          <w:b/>
          <w:color w:val="auto"/>
          <w:sz w:val="24"/>
          <w:highlight w:val="none"/>
        </w:rPr>
      </w:pPr>
      <w:r>
        <w:rPr>
          <w:rFonts w:hint="eastAsia" w:ascii="宋体" w:hAnsi="宋体" w:cs="宋体"/>
          <w:b/>
          <w:color w:val="auto"/>
          <w:sz w:val="24"/>
          <w:highlight w:val="none"/>
        </w:rPr>
        <w:t>5.勘察现场</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5.1投标人应自行对供货现场和周围环境进行勘察，以获取编制投标文件和签署合同所需的资料。勘察现场的方式、地址及联系方式见投标人须知前附表。</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5.2勘察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5.3除非有特殊要求，招标文件不单独提供供货使用地的自然环境、气候条件、公用设施等情况，投标人被视为熟悉上述与履行合同有关的一切情况。</w:t>
      </w:r>
    </w:p>
    <w:p>
      <w:pPr>
        <w:spacing w:line="360" w:lineRule="auto"/>
        <w:ind w:firstLine="550"/>
        <w:rPr>
          <w:rFonts w:hint="eastAsia" w:ascii="宋体" w:hAnsi="宋体" w:cs="宋体"/>
          <w:bCs/>
          <w:color w:val="auto"/>
          <w:sz w:val="24"/>
          <w:highlight w:val="none"/>
        </w:rPr>
      </w:pPr>
      <w:r>
        <w:rPr>
          <w:rFonts w:hint="eastAsia" w:ascii="宋体" w:hAnsi="宋体" w:cs="宋体"/>
          <w:b/>
          <w:color w:val="auto"/>
          <w:sz w:val="24"/>
          <w:highlight w:val="none"/>
        </w:rPr>
        <w:t>6.知识产权</w:t>
      </w:r>
    </w:p>
    <w:p>
      <w:pPr>
        <w:spacing w:line="360" w:lineRule="auto"/>
        <w:ind w:firstLine="549"/>
        <w:rPr>
          <w:rFonts w:hint="eastAsia" w:ascii="宋体" w:hAnsi="宋体" w:cs="宋体"/>
          <w:bCs/>
          <w:color w:val="auto"/>
          <w:sz w:val="24"/>
          <w:highlight w:val="none"/>
        </w:rPr>
      </w:pPr>
      <w:r>
        <w:rPr>
          <w:rFonts w:hint="eastAsia" w:ascii="宋体" w:hAnsi="宋体" w:cs="宋体"/>
          <w:color w:val="auto"/>
          <w:sz w:val="24"/>
          <w:highlight w:val="none"/>
        </w:rPr>
        <w:t>6.1</w:t>
      </w:r>
      <w:r>
        <w:rPr>
          <w:rFonts w:hint="eastAsia" w:ascii="宋体" w:hAnsi="宋体" w:cs="宋体"/>
          <w:bCs/>
          <w:color w:val="auto"/>
          <w:sz w:val="24"/>
          <w:highlight w:val="none"/>
        </w:rPr>
        <w:t>投标人另须书面承诺，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6.2投标人如欲在项目实施过程中采用自有知识成果，须在投标文件中声明，并提供相关知识产权证明文件。使用该知识成果后，投标人须提供开发接口和开发手册等技术文档。投标人应书面保证所提供的服务或其任何一部分均不会侵犯任何第三方的专利权、商标枳或著作权。</w:t>
      </w:r>
    </w:p>
    <w:p>
      <w:pPr>
        <w:spacing w:line="360" w:lineRule="auto"/>
        <w:ind w:firstLine="549"/>
        <w:rPr>
          <w:rFonts w:hint="eastAsia" w:ascii="宋体" w:hAnsi="宋体" w:cs="宋体"/>
          <w:b/>
          <w:color w:val="auto"/>
          <w:sz w:val="24"/>
          <w:highlight w:val="none"/>
        </w:rPr>
      </w:pPr>
      <w:r>
        <w:rPr>
          <w:rFonts w:hint="eastAsia" w:ascii="宋体" w:hAnsi="宋体" w:cs="宋体"/>
          <w:b/>
          <w:color w:val="auto"/>
          <w:sz w:val="24"/>
          <w:highlight w:val="none"/>
        </w:rPr>
        <w:t>7.纪律与保密</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7.1投标人的投标行为应遵守中国的有关法律、法规和规章。</w:t>
      </w:r>
    </w:p>
    <w:p>
      <w:pPr>
        <w:spacing w:line="360" w:lineRule="auto"/>
        <w:ind w:firstLine="549"/>
        <w:rPr>
          <w:rFonts w:hint="default" w:ascii="宋体" w:hAnsi="宋体" w:cs="宋体"/>
          <w:color w:val="auto"/>
          <w:sz w:val="24"/>
          <w:highlight w:val="none"/>
          <w:lang w:val="en-US" w:eastAsia="zh-CN"/>
        </w:rPr>
      </w:pPr>
      <w:r>
        <w:rPr>
          <w:rFonts w:hint="eastAsia" w:ascii="宋体" w:hAnsi="宋体" w:cs="宋体"/>
          <w:color w:val="auto"/>
          <w:sz w:val="24"/>
          <w:highlight w:val="none"/>
        </w:rPr>
        <w:t>7.2投标人不得相互串通投标报价，不得妨碍其他投标人的公平竞争，不得损害采购人或其他投标人的合法权益，投标人不得以向采购人、评委会成员行贿或者采取其他不正当手段谋取中标</w:t>
      </w:r>
      <w:r>
        <w:rPr>
          <w:rFonts w:hint="eastAsia" w:ascii="宋体" w:hAnsi="宋体" w:cs="宋体"/>
          <w:color w:val="auto"/>
          <w:sz w:val="24"/>
          <w:highlight w:val="none"/>
          <w:lang w:eastAsia="zh-CN"/>
        </w:rPr>
        <w:t>，对上述作出保证并附投标文件中，否则视为不响应招标文件要求。</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7.2.1有下列情形之一的，属于投标人相互串通投标：</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7.2.1.1投标人之间协商投标报价等投标文件的实质性内容；</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7.2.1.2投标人之间约定中标人；</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7.2.1.3投标人之间约定部分投标人放弃投标或者中标；</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7.2.1.4属于同一集团、协会、商会等组织成员的投标人按照该组织要求协同投标；</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7.2.1.5投标人之间为谋取中标或者排斥特定投标人而采取的其他联合行动。</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7.2.2 有下列情形之一的，视为投标人相互串通投标：</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7.2.2.1不同投标人的投标文件由同一单位或者个人编制；</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7.2.2.2不同投标人委托同一单位或者个人办理投标事宜，或提交电子投标文件的网卡地址一致；</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7.2.2.3不同投标人的投标文件载明的项目管理成员为同一人；</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7.2.2.4不同投标人的投标文件异常一致或者投标报价呈规律性差异；</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7.2.2.5不同投标人的投标文件相互混装；</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7.2.2.6不同投标人的投标保证金从同一单位或者个人的账户转出。</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7.3在确定中标人之前，投标人不得与采购人就投标价格、投标方案等实质性内容进行谈判，也不得私下接触评委会成员。</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7.4在确定中标人之前，投标人试图在投标文件审查、澄清、比较和评价时对评委会、采购人和采购中心施加任何影响都可能导致其投标无效。</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7.5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spacing w:line="360" w:lineRule="auto"/>
        <w:ind w:firstLine="549"/>
        <w:rPr>
          <w:rFonts w:hint="eastAsia" w:ascii="宋体" w:hAnsi="宋体" w:cs="宋体"/>
          <w:b/>
          <w:bCs/>
          <w:color w:val="auto"/>
          <w:sz w:val="24"/>
          <w:highlight w:val="none"/>
        </w:rPr>
      </w:pPr>
      <w:r>
        <w:rPr>
          <w:rFonts w:hint="eastAsia" w:ascii="宋体" w:hAnsi="宋体" w:cs="宋体"/>
          <w:color w:val="auto"/>
          <w:sz w:val="24"/>
          <w:highlight w:val="none"/>
          <w:lang w:val="en-US" w:eastAsia="zh-CN"/>
        </w:rPr>
        <w:t>7.6</w:t>
      </w:r>
      <w:r>
        <w:rPr>
          <w:rFonts w:hint="eastAsia" w:ascii="宋体" w:hAnsi="宋体" w:cs="宋体"/>
          <w:color w:val="auto"/>
          <w:sz w:val="24"/>
          <w:highlight w:val="none"/>
        </w:rPr>
        <w:t>参与采购竞标活动的各方应对投标文件的商业和技术等秘密保密，违者应对由此造成的后果承担法律责任。对上述作出书面保证并附投标文件中，否则视为不响应谈判文件要求。</w:t>
      </w:r>
    </w:p>
    <w:p>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8.联合体投标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不接受联合体投标</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9.投标品牌</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9.1招标文件中提供的参考商标、品牌或标准（包括工艺、材料、设备、样本目录号码、标准等），是采购人为了方便投标人更准确、更清楚说明拟采购货物的技术规格和标准，并无限制性。投标人在投标中若选用替代商标、品牌或标准，应优于或相当于参考商标、品牌或标准。</w:t>
      </w:r>
    </w:p>
    <w:p>
      <w:pPr>
        <w:spacing w:line="360" w:lineRule="auto"/>
        <w:ind w:firstLine="525"/>
        <w:rPr>
          <w:rFonts w:hint="eastAsia" w:ascii="宋体" w:hAnsi="宋体" w:cs="宋体"/>
          <w:b/>
          <w:bCs/>
          <w:color w:val="auto"/>
          <w:sz w:val="24"/>
          <w:highlight w:val="none"/>
        </w:rPr>
      </w:pPr>
      <w:r>
        <w:rPr>
          <w:rFonts w:hint="eastAsia" w:ascii="宋体" w:hAnsi="宋体" w:cs="宋体"/>
          <w:b/>
          <w:bCs/>
          <w:color w:val="auto"/>
          <w:sz w:val="24"/>
          <w:highlight w:val="none"/>
        </w:rPr>
        <w:t>10.投标专用章的效力</w:t>
      </w:r>
    </w:p>
    <w:p>
      <w:pPr>
        <w:spacing w:line="360" w:lineRule="auto"/>
        <w:ind w:firstLine="525"/>
        <w:rPr>
          <w:rFonts w:hint="eastAsia" w:ascii="宋体" w:hAnsi="宋体" w:cs="宋体"/>
          <w:color w:val="auto"/>
          <w:sz w:val="24"/>
          <w:highlight w:val="none"/>
        </w:rPr>
      </w:pPr>
      <w:r>
        <w:rPr>
          <w:rFonts w:hint="eastAsia" w:ascii="宋体" w:hAnsi="宋体" w:cs="宋体"/>
          <w:color w:val="auto"/>
          <w:sz w:val="24"/>
          <w:highlight w:val="none"/>
        </w:rPr>
        <w:t>10.1招标文件中明确要求加盖电子签章的，投标人必须加盖投标人电子签章</w:t>
      </w:r>
      <w:r>
        <w:rPr>
          <w:rFonts w:hint="eastAsia" w:ascii="宋体" w:hAnsi="宋体" w:cs="宋体"/>
          <w:color w:val="auto"/>
          <w:sz w:val="24"/>
          <w:highlight w:val="none"/>
          <w:lang w:eastAsia="zh-CN"/>
        </w:rPr>
        <w:t>，并加盖供应商骑缝章</w:t>
      </w:r>
      <w:r>
        <w:rPr>
          <w:rFonts w:hint="eastAsia" w:ascii="宋体" w:hAnsi="宋体" w:cs="宋体"/>
          <w:color w:val="auto"/>
          <w:sz w:val="24"/>
          <w:highlight w:val="none"/>
        </w:rPr>
        <w:t>。</w:t>
      </w:r>
    </w:p>
    <w:p>
      <w:pPr>
        <w:spacing w:line="360" w:lineRule="auto"/>
        <w:ind w:firstLine="550"/>
        <w:rPr>
          <w:rFonts w:hint="eastAsia" w:ascii="宋体" w:hAnsi="宋体" w:cs="宋体"/>
          <w:b/>
          <w:bCs/>
          <w:color w:val="auto"/>
          <w:sz w:val="24"/>
          <w:highlight w:val="none"/>
        </w:rPr>
      </w:pPr>
      <w:r>
        <w:rPr>
          <w:rFonts w:hint="eastAsia" w:ascii="宋体" w:hAnsi="宋体" w:cs="宋体"/>
          <w:b/>
          <w:bCs/>
          <w:color w:val="auto"/>
          <w:sz w:val="24"/>
          <w:highlight w:val="none"/>
        </w:rPr>
        <w:t>11.合同标的转让</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 xml:space="preserve">11.1合同未约定或者未经采购人同意，中标人书面承诺并附投标文件中不得向他人转让中标项目，也不得将中标项目肢解后分别向他人转让。 </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11.2合同约定或者经采购人同意，中标人可以将中标项目的部分非主体、非关键性工作分包给他人完成。接受分包的人应当具备相应的资格条件，并不得再次分包。如果本项目允许分包，采购人根据采购项目的实际情况，拟在中标后将中标项目的非主体、非关键性工作交由他人完成的，应在投标文件中载明。</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11.3中标人应当就分包项目向采购人负责，接受分包的人就分包项目承担连带责任。</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11.4未经政府采购管理部门批准，进口设备不得转包。</w:t>
      </w:r>
    </w:p>
    <w:p>
      <w:pPr>
        <w:spacing w:line="360" w:lineRule="auto"/>
        <w:ind w:firstLine="525" w:firstLineChars="218"/>
        <w:rPr>
          <w:rFonts w:hint="eastAsia" w:ascii="宋体" w:hAnsi="宋体" w:cs="宋体"/>
          <w:color w:val="auto"/>
          <w:sz w:val="24"/>
          <w:highlight w:val="none"/>
        </w:rPr>
      </w:pPr>
      <w:r>
        <w:rPr>
          <w:rFonts w:hint="eastAsia" w:ascii="宋体" w:hAnsi="宋体" w:cs="宋体"/>
          <w:b/>
          <w:bCs/>
          <w:color w:val="auto"/>
          <w:sz w:val="24"/>
          <w:highlight w:val="none"/>
        </w:rPr>
        <w:t>12.会员信息库</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12.1为进一步规范招投标行为，提高招投标工作效率，降低投标成本，加强对投标人诚信信息的管理，加快周口市招投标工作电子化、信息化建设，为周口市公共资源交易中心实行网上招投标奠定基础，经周口市公共资源交易管理办公室研究决定，周口市公共资源交易中心实行投标人会员信息库制度，并面向全国免费征集注册投标企业会员。</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12.2入库资料的真实性、有效性、完整性、准确性、合法性及清晰度由投标人负责。周口市公共资源交易中心只负责对投标人所提供的入库资料原件与上传扫描件进行比对；本项目所需会员库资料有效性由本项目评委会负责审核。</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为确保投标文件通过评审，投标人应及时对入库资料进行补充、更新。</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如因前款原因未通过本项目评委会评审，由投标人承担全部责任。</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12.3网上会员库中文字资料与扫描件资料不一致时，以扫描件资料为准。</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12.4有关会员库的更多信息，请登陆周口市公共资源交易中心网查询。</w:t>
      </w:r>
    </w:p>
    <w:p>
      <w:pPr>
        <w:spacing w:line="360" w:lineRule="auto"/>
        <w:ind w:firstLine="550"/>
        <w:rPr>
          <w:rFonts w:hint="eastAsia" w:ascii="宋体" w:hAnsi="宋体" w:cs="宋体"/>
          <w:b/>
          <w:bCs/>
          <w:color w:val="auto"/>
          <w:sz w:val="24"/>
          <w:highlight w:val="none"/>
        </w:rPr>
      </w:pPr>
      <w:r>
        <w:rPr>
          <w:rFonts w:hint="eastAsia" w:ascii="宋体" w:hAnsi="宋体" w:cs="宋体"/>
          <w:b/>
          <w:bCs/>
          <w:color w:val="auto"/>
          <w:sz w:val="24"/>
          <w:highlight w:val="none"/>
        </w:rPr>
        <w:t>13.采购信息的发布</w:t>
      </w:r>
    </w:p>
    <w:p>
      <w:pPr>
        <w:spacing w:line="360" w:lineRule="auto"/>
        <w:ind w:firstLine="550"/>
        <w:rPr>
          <w:rFonts w:hint="eastAsia" w:ascii="宋体" w:hAnsi="宋体" w:eastAsia="宋体" w:cs="宋体"/>
          <w:color w:val="auto"/>
          <w:sz w:val="24"/>
          <w:highlight w:val="none"/>
        </w:rPr>
      </w:pPr>
      <w:r>
        <w:rPr>
          <w:rFonts w:hint="eastAsia" w:ascii="宋体" w:hAnsi="宋体" w:eastAsia="宋体" w:cs="宋体"/>
          <w:color w:val="auto"/>
          <w:sz w:val="24"/>
          <w:highlight w:val="none"/>
        </w:rPr>
        <w:t>13.1与本次采购活动相关的信息，将发布在周口市公共资源交易中心网(</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"http://jyzx.zhoukou.gov.cn"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http://jyzx.zhoukou.gov.cn</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)及河南省政府采购网（www.hngp.gov.cn），以下简称“网站”。</w:t>
      </w:r>
    </w:p>
    <w:p>
      <w:pPr>
        <w:pStyle w:val="5"/>
        <w:spacing w:line="360" w:lineRule="auto"/>
        <w:ind w:firstLine="3418" w:firstLineChars="1216"/>
        <w:jc w:val="both"/>
        <w:rPr>
          <w:rFonts w:hint="eastAsia" w:hAnsi="宋体" w:cs="宋体"/>
          <w:color w:val="auto"/>
          <w:sz w:val="28"/>
          <w:highlight w:val="none"/>
        </w:rPr>
      </w:pPr>
      <w:bookmarkStart w:id="73" w:name="_Hlt509650936"/>
      <w:bookmarkEnd w:id="73"/>
      <w:bookmarkStart w:id="74" w:name="_Hlt509650690"/>
      <w:bookmarkEnd w:id="74"/>
      <w:bookmarkStart w:id="75" w:name="_Hlt509650103"/>
      <w:bookmarkEnd w:id="75"/>
      <w:bookmarkStart w:id="76" w:name="_Hlt526418153"/>
      <w:bookmarkEnd w:id="76"/>
      <w:bookmarkStart w:id="77" w:name="_Hlt509649795"/>
      <w:bookmarkEnd w:id="77"/>
      <w:bookmarkStart w:id="78" w:name="_Hlt509650932"/>
      <w:bookmarkEnd w:id="78"/>
      <w:bookmarkStart w:id="79" w:name="_Hlt509650961"/>
      <w:bookmarkEnd w:id="79"/>
      <w:bookmarkStart w:id="80" w:name="_Hlt509650929"/>
      <w:bookmarkEnd w:id="80"/>
      <w:bookmarkStart w:id="81" w:name="_Hlt509649678"/>
      <w:bookmarkEnd w:id="81"/>
      <w:bookmarkStart w:id="82" w:name="_Hlt509649669"/>
      <w:bookmarkEnd w:id="82"/>
      <w:bookmarkStart w:id="83" w:name="_Hlt509649330"/>
      <w:bookmarkEnd w:id="83"/>
      <w:bookmarkStart w:id="84" w:name="_Hlt509650116"/>
      <w:bookmarkEnd w:id="84"/>
      <w:bookmarkStart w:id="85" w:name="_Hlt509649645"/>
      <w:bookmarkEnd w:id="85"/>
      <w:bookmarkStart w:id="86" w:name="_Hlt509650333"/>
      <w:bookmarkEnd w:id="86"/>
      <w:bookmarkStart w:id="87" w:name="_Toc7677"/>
      <w:bookmarkStart w:id="88" w:name="_Toc527725923"/>
      <w:bookmarkStart w:id="89" w:name="_Toc40975443"/>
      <w:r>
        <w:rPr>
          <w:rFonts w:hint="eastAsia" w:hAnsi="宋体" w:cs="宋体"/>
          <w:color w:val="auto"/>
          <w:sz w:val="28"/>
          <w:highlight w:val="none"/>
        </w:rPr>
        <w:t>二．招标文件</w:t>
      </w:r>
      <w:bookmarkEnd w:id="87"/>
      <w:bookmarkEnd w:id="88"/>
      <w:bookmarkEnd w:id="89"/>
      <w:bookmarkStart w:id="90" w:name="_Hlt509649791"/>
      <w:bookmarkEnd w:id="90"/>
      <w:bookmarkStart w:id="91" w:name="_Hlt509650361"/>
      <w:bookmarkEnd w:id="91"/>
      <w:bookmarkStart w:id="92" w:name="_Hlt509649930"/>
      <w:bookmarkEnd w:id="92"/>
    </w:p>
    <w:p>
      <w:pPr>
        <w:spacing w:line="360" w:lineRule="auto"/>
        <w:ind w:firstLine="549"/>
        <w:rPr>
          <w:rFonts w:hint="eastAsia" w:ascii="宋体" w:hAnsi="宋体" w:cs="宋体"/>
          <w:b/>
          <w:color w:val="auto"/>
          <w:sz w:val="24"/>
          <w:highlight w:val="none"/>
        </w:rPr>
      </w:pPr>
      <w:bookmarkStart w:id="93" w:name="_Hlt509650734"/>
      <w:bookmarkEnd w:id="93"/>
      <w:r>
        <w:rPr>
          <w:rFonts w:hint="eastAsia" w:ascii="宋体" w:hAnsi="宋体" w:cs="宋体"/>
          <w:b/>
          <w:color w:val="auto"/>
          <w:sz w:val="24"/>
          <w:highlight w:val="none"/>
        </w:rPr>
        <w:t>14.招标文件构成</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14.1招标文件包括以下部分：</w:t>
      </w:r>
    </w:p>
    <w:p>
      <w:pPr>
        <w:spacing w:line="360" w:lineRule="auto"/>
        <w:ind w:firstLine="523" w:firstLineChars="218"/>
        <w:rPr>
          <w:rFonts w:hint="eastAsia" w:ascii="宋体" w:hAnsi="宋体" w:cs="宋体"/>
          <w:bCs/>
          <w:color w:val="auto"/>
          <w:sz w:val="24"/>
          <w:highlight w:val="none"/>
        </w:rPr>
      </w:pPr>
      <w:r>
        <w:rPr>
          <w:rFonts w:hint="eastAsia" w:ascii="宋体" w:hAnsi="宋体" w:cs="宋体"/>
          <w:color w:val="auto"/>
          <w:sz w:val="24"/>
          <w:highlight w:val="none"/>
        </w:rPr>
        <w:t>14.1.1第一章：</w:t>
      </w:r>
      <w:r>
        <w:rPr>
          <w:rFonts w:hint="eastAsia" w:ascii="宋体" w:hAnsi="宋体" w:cs="宋体"/>
          <w:bCs/>
          <w:color w:val="auto"/>
          <w:sz w:val="24"/>
          <w:highlight w:val="none"/>
        </w:rPr>
        <w:t>投标邀请（招标公告）；</w:t>
      </w:r>
    </w:p>
    <w:p>
      <w:pPr>
        <w:spacing w:line="360" w:lineRule="auto"/>
        <w:ind w:firstLine="523" w:firstLineChars="218"/>
        <w:rPr>
          <w:rFonts w:hint="eastAsia" w:ascii="宋体" w:hAnsi="宋体" w:cs="宋体"/>
          <w:bCs/>
          <w:color w:val="auto"/>
          <w:sz w:val="24"/>
          <w:highlight w:val="none"/>
        </w:rPr>
      </w:pPr>
      <w:r>
        <w:rPr>
          <w:rFonts w:hint="eastAsia" w:ascii="宋体" w:hAnsi="宋体" w:cs="宋体"/>
          <w:color w:val="auto"/>
          <w:sz w:val="24"/>
          <w:highlight w:val="none"/>
        </w:rPr>
        <w:t>14.1.2第二章：</w:t>
      </w:r>
      <w:bookmarkStart w:id="94" w:name="_Hlt509650925"/>
      <w:bookmarkEnd w:id="94"/>
      <w:r>
        <w:rPr>
          <w:rFonts w:hint="eastAsia" w:ascii="宋体" w:hAnsi="宋体" w:cs="宋体"/>
          <w:bCs/>
          <w:color w:val="auto"/>
          <w:sz w:val="24"/>
          <w:highlight w:val="none"/>
        </w:rPr>
        <w:t>投标人须知前附表；</w:t>
      </w:r>
    </w:p>
    <w:p>
      <w:pPr>
        <w:spacing w:line="360" w:lineRule="auto"/>
        <w:ind w:firstLine="523" w:firstLineChars="218"/>
        <w:rPr>
          <w:rFonts w:hint="eastAsia" w:ascii="宋体" w:hAnsi="宋体" w:cs="宋体"/>
          <w:bCs/>
          <w:color w:val="auto"/>
          <w:sz w:val="24"/>
          <w:highlight w:val="none"/>
        </w:rPr>
      </w:pPr>
      <w:r>
        <w:rPr>
          <w:rFonts w:hint="eastAsia" w:ascii="宋体" w:hAnsi="宋体" w:cs="宋体"/>
          <w:color w:val="auto"/>
          <w:sz w:val="24"/>
          <w:highlight w:val="none"/>
        </w:rPr>
        <w:t>14.1.3第三章：</w:t>
      </w:r>
      <w:r>
        <w:rPr>
          <w:rFonts w:hint="eastAsia" w:ascii="宋体" w:hAnsi="宋体" w:cs="宋体"/>
          <w:bCs/>
          <w:color w:val="auto"/>
          <w:sz w:val="24"/>
          <w:highlight w:val="none"/>
        </w:rPr>
        <w:t>货物需求一览表；</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14.1.4第四章：</w:t>
      </w:r>
      <w:r>
        <w:rPr>
          <w:rFonts w:hint="eastAsia" w:ascii="宋体" w:hAnsi="宋体" w:cs="宋体"/>
          <w:bCs/>
          <w:color w:val="auto"/>
          <w:sz w:val="24"/>
          <w:highlight w:val="none"/>
        </w:rPr>
        <w:t>评标办法；</w:t>
      </w:r>
    </w:p>
    <w:p>
      <w:pPr>
        <w:spacing w:line="360" w:lineRule="auto"/>
        <w:ind w:firstLine="523" w:firstLineChars="218"/>
        <w:rPr>
          <w:rFonts w:hint="eastAsia" w:ascii="宋体" w:hAnsi="宋体" w:cs="宋体"/>
          <w:bCs/>
          <w:color w:val="auto"/>
          <w:sz w:val="24"/>
          <w:highlight w:val="none"/>
        </w:rPr>
      </w:pPr>
      <w:r>
        <w:rPr>
          <w:rFonts w:hint="eastAsia" w:ascii="宋体" w:hAnsi="宋体" w:cs="宋体"/>
          <w:color w:val="auto"/>
          <w:sz w:val="24"/>
          <w:highlight w:val="none"/>
        </w:rPr>
        <w:t>14.1.5第五章：</w:t>
      </w:r>
      <w:r>
        <w:rPr>
          <w:rFonts w:hint="eastAsia" w:ascii="宋体" w:hAnsi="宋体" w:cs="宋体"/>
          <w:bCs/>
          <w:color w:val="auto"/>
          <w:sz w:val="24"/>
          <w:highlight w:val="none"/>
        </w:rPr>
        <w:t>投标人须知；</w:t>
      </w:r>
    </w:p>
    <w:p>
      <w:pPr>
        <w:spacing w:line="360" w:lineRule="auto"/>
        <w:ind w:firstLine="523" w:firstLineChars="218"/>
        <w:rPr>
          <w:rFonts w:hint="eastAsia" w:ascii="宋体" w:hAnsi="宋体" w:cs="宋体"/>
          <w:bCs/>
          <w:color w:val="auto"/>
          <w:sz w:val="24"/>
          <w:highlight w:val="none"/>
        </w:rPr>
      </w:pPr>
      <w:r>
        <w:rPr>
          <w:rFonts w:hint="eastAsia" w:ascii="宋体" w:hAnsi="宋体" w:cs="宋体"/>
          <w:color w:val="auto"/>
          <w:sz w:val="24"/>
          <w:highlight w:val="none"/>
        </w:rPr>
        <w:t>14.1.6第六章：</w:t>
      </w:r>
      <w:r>
        <w:rPr>
          <w:rFonts w:hint="eastAsia" w:ascii="宋体" w:hAnsi="宋体" w:cs="宋体"/>
          <w:bCs/>
          <w:color w:val="auto"/>
          <w:sz w:val="24"/>
          <w:highlight w:val="none"/>
        </w:rPr>
        <w:t>采购合同；</w:t>
      </w:r>
    </w:p>
    <w:p>
      <w:pPr>
        <w:spacing w:line="360" w:lineRule="auto"/>
        <w:ind w:firstLine="523" w:firstLineChars="218"/>
        <w:rPr>
          <w:rFonts w:hint="eastAsia" w:ascii="宋体" w:hAnsi="宋体" w:cs="宋体"/>
          <w:bCs/>
          <w:color w:val="auto"/>
          <w:sz w:val="24"/>
          <w:highlight w:val="none"/>
        </w:rPr>
      </w:pPr>
      <w:r>
        <w:rPr>
          <w:rFonts w:hint="eastAsia" w:ascii="宋体" w:hAnsi="宋体" w:cs="宋体"/>
          <w:color w:val="auto"/>
          <w:sz w:val="24"/>
          <w:highlight w:val="none"/>
        </w:rPr>
        <w:t>14.1.7第七章：</w:t>
      </w:r>
      <w:r>
        <w:rPr>
          <w:rFonts w:hint="eastAsia" w:ascii="宋体" w:hAnsi="宋体" w:cs="宋体"/>
          <w:bCs/>
          <w:color w:val="auto"/>
          <w:sz w:val="24"/>
          <w:highlight w:val="none"/>
        </w:rPr>
        <w:t>投标文件格式；</w:t>
      </w:r>
    </w:p>
    <w:p>
      <w:pPr>
        <w:spacing w:line="360" w:lineRule="auto"/>
        <w:ind w:firstLine="523" w:firstLineChars="218"/>
        <w:rPr>
          <w:rFonts w:hint="eastAsia" w:ascii="宋体" w:hAnsi="宋体" w:cs="宋体"/>
          <w:color w:val="auto"/>
          <w:sz w:val="24"/>
          <w:highlight w:val="none"/>
        </w:rPr>
      </w:pPr>
      <w:r>
        <w:rPr>
          <w:rFonts w:hint="eastAsia" w:ascii="宋体" w:hAnsi="宋体" w:cs="宋体"/>
          <w:bCs/>
          <w:color w:val="auto"/>
          <w:sz w:val="24"/>
          <w:highlight w:val="none"/>
        </w:rPr>
        <w:t>14.1.8周口市公共资源交易中心政府采购中心发布的</w:t>
      </w:r>
      <w:r>
        <w:rPr>
          <w:rFonts w:hint="eastAsia" w:ascii="宋体" w:hAnsi="宋体" w:cs="宋体"/>
          <w:color w:val="auto"/>
          <w:sz w:val="24"/>
          <w:highlight w:val="none"/>
        </w:rPr>
        <w:t>图纸、答疑、补遗、补充通知等。</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14.2 投标人应认真阅读招标文件中所有的事项、格式、条件、条款和规范等要求。</w:t>
      </w:r>
      <w:r>
        <w:rPr>
          <w:rFonts w:hint="eastAsia" w:ascii="宋体" w:hAnsi="宋体"/>
          <w:color w:val="auto"/>
          <w:sz w:val="24"/>
          <w:highlight w:val="none"/>
        </w:rPr>
        <w:t>如果有异议在规定的时间内提出，没有异议需做出“无异议”承诺书，承诺书作为响应文件的组织部分，否则为无效响应文件。</w:t>
      </w:r>
    </w:p>
    <w:p>
      <w:pPr>
        <w:pStyle w:val="45"/>
        <w:keepNext w:val="0"/>
        <w:keepLines w:val="0"/>
        <w:pageBreakBefore w:val="0"/>
        <w:widowControl/>
        <w:tabs>
          <w:tab w:val="left" w:pos="819"/>
        </w:tabs>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cs="宋体"/>
          <w:color w:val="auto"/>
          <w:sz w:val="24"/>
          <w:highlight w:val="none"/>
        </w:rPr>
        <w:t>14.3投标人应当按照招标文件的要求编制投标文件。投标文件应对招标文件提出的要求和条件作出实质性响应。</w:t>
      </w:r>
      <w:r>
        <w:rPr>
          <w:rFonts w:hint="eastAsia" w:ascii="宋体" w:hAnsi="宋体" w:eastAsia="宋体" w:cs="宋体"/>
          <w:color w:val="auto"/>
          <w:sz w:val="24"/>
          <w:szCs w:val="22"/>
          <w:highlight w:val="none"/>
          <w:lang w:val="en-US" w:eastAsia="zh-CN" w:bidi="zh-CN"/>
        </w:rPr>
        <w:t>供应商应具备完善的管理制度，并根据制度制定合理可行的</w:t>
      </w:r>
      <w:r>
        <w:rPr>
          <w:rFonts w:hint="eastAsia" w:ascii="宋体" w:hAnsi="宋体" w:eastAsia="宋体" w:cs="宋体"/>
          <w:color w:val="auto"/>
          <w:kern w:val="2"/>
          <w:sz w:val="24"/>
          <w:szCs w:val="20"/>
          <w:highlight w:val="none"/>
          <w:lang w:val="en-US" w:eastAsia="zh-CN" w:bidi="ar-SA"/>
        </w:rPr>
        <w:t>服务方案。按文件要求和规定顺序编制投标文件，并保证所提供全部资料的真实性，并在投标文件中附承诺书,否则视为不响应招标文件。</w:t>
      </w:r>
    </w:p>
    <w:p>
      <w:pPr>
        <w:spacing w:line="360" w:lineRule="auto"/>
        <w:ind w:firstLine="550"/>
        <w:rPr>
          <w:rFonts w:hint="eastAsia" w:ascii="宋体" w:hAnsi="宋体" w:eastAsia="宋体" w:cs="宋体"/>
          <w:color w:val="auto"/>
          <w:sz w:val="24"/>
          <w:highlight w:val="none"/>
        </w:rPr>
      </w:pPr>
      <w:r>
        <w:rPr>
          <w:rFonts w:hint="eastAsia" w:ascii="宋体" w:hAnsi="宋体" w:cs="宋体"/>
          <w:color w:val="auto"/>
          <w:sz w:val="24"/>
          <w:highlight w:val="none"/>
        </w:rPr>
        <w:t>14.4投标人获取招标文件后，应仔细检查招标文件的所有内容，如有残缺等问题应在获得招标文件3日内向</w:t>
      </w:r>
      <w:r>
        <w:rPr>
          <w:rFonts w:hint="eastAsia" w:ascii="宋体" w:hAnsi="宋体" w:cs="宋体"/>
          <w:bCs/>
          <w:color w:val="auto"/>
          <w:sz w:val="24"/>
          <w:highlight w:val="none"/>
        </w:rPr>
        <w:t>周口市公共资源交易中心政府采购中心或采购人</w:t>
      </w:r>
      <w:r>
        <w:rPr>
          <w:rFonts w:hint="eastAsia" w:ascii="宋体" w:hAnsi="宋体" w:cs="宋体"/>
          <w:color w:val="auto"/>
          <w:sz w:val="24"/>
          <w:highlight w:val="none"/>
        </w:rPr>
        <w:t>提出，否则，由</w:t>
      </w:r>
      <w:r>
        <w:rPr>
          <w:rFonts w:hint="eastAsia" w:ascii="宋体" w:hAnsi="宋体" w:eastAsia="宋体" w:cs="宋体"/>
          <w:color w:val="auto"/>
          <w:sz w:val="24"/>
          <w:highlight w:val="none"/>
        </w:rPr>
        <w:t>此引起的损失由投标人自行承担。</w:t>
      </w:r>
    </w:p>
    <w:p>
      <w:pPr>
        <w:spacing w:line="360" w:lineRule="auto"/>
        <w:ind w:firstLine="5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14.5资格审查资料 </w:t>
      </w:r>
    </w:p>
    <w:p>
      <w:pPr>
        <w:spacing w:line="360" w:lineRule="auto"/>
        <w:ind w:firstLine="550"/>
        <w:rPr>
          <w:rFonts w:hint="eastAsia" w:ascii="宋体" w:hAnsi="宋体" w:eastAsia="宋体" w:cs="宋体"/>
          <w:color w:val="auto"/>
          <w:sz w:val="24"/>
          <w:highlight w:val="none"/>
        </w:rPr>
      </w:pPr>
      <w:r>
        <w:rPr>
          <w:rFonts w:hint="eastAsia" w:ascii="宋体" w:hAnsi="宋体" w:eastAsia="宋体" w:cs="宋体"/>
          <w:color w:val="auto"/>
          <w:sz w:val="24"/>
          <w:highlight w:val="none"/>
        </w:rPr>
        <w:t>14.5.1 “投标人基本情况表”应附投标人营业执照副本、资质证书副本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等材料。</w:t>
      </w:r>
    </w:p>
    <w:p>
      <w:pPr>
        <w:spacing w:line="360" w:lineRule="auto"/>
        <w:ind w:firstLine="550"/>
        <w:rPr>
          <w:rFonts w:hint="eastAsia" w:ascii="宋体" w:hAnsi="宋体" w:eastAsia="宋体" w:cs="宋体"/>
          <w:color w:val="auto"/>
          <w:sz w:val="24"/>
          <w:highlight w:val="none"/>
        </w:rPr>
      </w:pPr>
      <w:r>
        <w:rPr>
          <w:rFonts w:hint="eastAsia" w:ascii="宋体" w:hAnsi="宋体" w:eastAsia="宋体" w:cs="宋体"/>
          <w:color w:val="auto"/>
          <w:sz w:val="24"/>
          <w:highlight w:val="none"/>
        </w:rPr>
        <w:t>14.5.2 “近年财务状况表”应附经会计师事务所或审计机构审计的财务会计报表，包括资产负债表、现金流量表、利润表和财务情况说明书，具体年份要求见投标人须知前附表。</w:t>
      </w:r>
    </w:p>
    <w:p>
      <w:pPr>
        <w:spacing w:line="360" w:lineRule="auto"/>
        <w:ind w:firstLine="550"/>
        <w:rPr>
          <w:rFonts w:hint="eastAsia" w:ascii="宋体" w:hAnsi="宋体" w:eastAsia="宋体" w:cs="宋体"/>
          <w:color w:val="auto"/>
          <w:sz w:val="24"/>
          <w:highlight w:val="none"/>
        </w:rPr>
      </w:pPr>
      <w:r>
        <w:rPr>
          <w:rFonts w:hint="eastAsia" w:ascii="宋体" w:hAnsi="宋体" w:eastAsia="宋体" w:cs="宋体"/>
          <w:color w:val="auto"/>
          <w:sz w:val="24"/>
          <w:highlight w:val="none"/>
        </w:rPr>
        <w:t>14.5.3 “近年完成的类似项目情况表”应附合同协议书等，具体年份要求见投标人须知前附表。每张表格只填写一个项目，并标明序号。</w:t>
      </w:r>
    </w:p>
    <w:p>
      <w:pPr>
        <w:spacing w:line="360" w:lineRule="auto"/>
        <w:ind w:firstLine="550"/>
        <w:rPr>
          <w:rFonts w:hint="eastAsia" w:ascii="宋体" w:hAnsi="宋体" w:eastAsia="宋体" w:cs="宋体"/>
          <w:color w:val="auto"/>
          <w:sz w:val="24"/>
          <w:highlight w:val="none"/>
        </w:rPr>
      </w:pPr>
      <w:r>
        <w:rPr>
          <w:rFonts w:hint="eastAsia" w:ascii="宋体" w:hAnsi="宋体" w:eastAsia="宋体" w:cs="宋体"/>
          <w:color w:val="auto"/>
          <w:sz w:val="24"/>
          <w:highlight w:val="none"/>
        </w:rPr>
        <w:t>15.招标文件的澄清与修改</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15.1</w:t>
      </w:r>
      <w:r>
        <w:rPr>
          <w:rFonts w:hint="eastAsia" w:ascii="宋体" w:hAnsi="宋体" w:cs="宋体"/>
          <w:bCs/>
          <w:color w:val="auto"/>
          <w:sz w:val="24"/>
          <w:highlight w:val="none"/>
        </w:rPr>
        <w:t>周口市公共资源交易中心政府采购中心或采购人</w:t>
      </w:r>
      <w:r>
        <w:rPr>
          <w:rFonts w:hint="eastAsia" w:ascii="宋体" w:hAnsi="宋体" w:cs="宋体"/>
          <w:color w:val="auto"/>
          <w:sz w:val="24"/>
          <w:highlight w:val="none"/>
        </w:rPr>
        <w:t>对招标文件进行的澄清、更正或更改，将在网站上及时发布，该公告内容为招标文件的组成部分，对投标人具有同样约束力。投标人应主动上网查询。</w:t>
      </w:r>
      <w:r>
        <w:rPr>
          <w:rFonts w:hint="eastAsia" w:ascii="宋体" w:hAnsi="宋体" w:cs="宋体"/>
          <w:bCs/>
          <w:color w:val="auto"/>
          <w:sz w:val="24"/>
          <w:highlight w:val="none"/>
        </w:rPr>
        <w:t>周口市公共资源交易中心政府采购中心或采购人</w:t>
      </w:r>
      <w:r>
        <w:rPr>
          <w:rFonts w:hint="eastAsia" w:ascii="宋体" w:hAnsi="宋体" w:cs="宋体"/>
          <w:color w:val="auto"/>
          <w:sz w:val="24"/>
          <w:highlight w:val="none"/>
        </w:rPr>
        <w:t>不承担投标人未及时关注相关信息引发的相关责任。澄清或者修改的内容可能影响投标文件编制的，采购人或者采购代理机构在投标截止时间至少15日前，将在网站上及时发布通知所有获取招标文件的潜在投标人；不足15日的，采购人或者采购代理机构顺延提交投标文件的截止时间。</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15.2在投标截止时间前，</w:t>
      </w:r>
      <w:r>
        <w:rPr>
          <w:rFonts w:hint="eastAsia" w:ascii="宋体" w:hAnsi="宋体" w:cs="宋体"/>
          <w:bCs/>
          <w:color w:val="auto"/>
          <w:sz w:val="24"/>
          <w:highlight w:val="none"/>
        </w:rPr>
        <w:t>采购人</w:t>
      </w:r>
      <w:r>
        <w:rPr>
          <w:rFonts w:hint="eastAsia" w:ascii="宋体" w:hAnsi="宋体" w:cs="宋体"/>
          <w:color w:val="auto"/>
          <w:sz w:val="24"/>
          <w:highlight w:val="none"/>
        </w:rPr>
        <w:t>可以视采购具体情况，延长投标截止时间和开标时间，在网站上发布变更公告。在上述情况下，</w:t>
      </w:r>
      <w:r>
        <w:rPr>
          <w:rFonts w:hint="eastAsia" w:ascii="宋体" w:hAnsi="宋体" w:cs="宋体"/>
          <w:bCs/>
          <w:color w:val="auto"/>
          <w:sz w:val="24"/>
          <w:highlight w:val="none"/>
        </w:rPr>
        <w:t>采购人</w:t>
      </w:r>
      <w:r>
        <w:rPr>
          <w:rFonts w:hint="eastAsia" w:ascii="宋体" w:hAnsi="宋体" w:cs="宋体"/>
          <w:color w:val="auto"/>
          <w:sz w:val="24"/>
          <w:highlight w:val="none"/>
        </w:rPr>
        <w:t>和投标人在投标截止期方面的全部权力、责任和义务，将适用于延长后新的投标截止期。</w:t>
      </w:r>
    </w:p>
    <w:p>
      <w:pPr>
        <w:spacing w:line="360" w:lineRule="auto"/>
        <w:ind w:firstLine="550"/>
        <w:rPr>
          <w:rFonts w:hint="eastAsia" w:ascii="宋体" w:hAnsi="宋体" w:cs="宋体"/>
          <w:color w:val="auto"/>
          <w:sz w:val="28"/>
          <w:highlight w:val="none"/>
        </w:rPr>
      </w:pPr>
      <w:r>
        <w:rPr>
          <w:rFonts w:hint="eastAsia" w:ascii="宋体" w:hAnsi="宋体" w:cs="宋体"/>
          <w:color w:val="auto"/>
          <w:sz w:val="24"/>
          <w:highlight w:val="none"/>
        </w:rPr>
        <w:t>15.3特殊情况下，</w:t>
      </w:r>
      <w:r>
        <w:rPr>
          <w:rFonts w:hint="eastAsia" w:ascii="宋体" w:hAnsi="宋体" w:cs="宋体"/>
          <w:bCs/>
          <w:color w:val="auto"/>
          <w:sz w:val="24"/>
          <w:highlight w:val="none"/>
        </w:rPr>
        <w:t>采购人</w:t>
      </w:r>
      <w:r>
        <w:rPr>
          <w:rFonts w:hint="eastAsia" w:ascii="宋体" w:hAnsi="宋体" w:cs="宋体"/>
          <w:color w:val="auto"/>
          <w:sz w:val="24"/>
          <w:highlight w:val="none"/>
        </w:rPr>
        <w:t>发布澄清、更正或更改公告后，可不改变投标截止时间和开标时间。</w:t>
      </w:r>
    </w:p>
    <w:p>
      <w:pPr>
        <w:pStyle w:val="5"/>
        <w:spacing w:line="360" w:lineRule="auto"/>
        <w:ind w:firstLine="2715" w:firstLineChars="966"/>
        <w:jc w:val="both"/>
        <w:rPr>
          <w:rFonts w:hint="eastAsia" w:hAnsi="宋体" w:cs="宋体"/>
          <w:color w:val="auto"/>
          <w:sz w:val="28"/>
          <w:highlight w:val="none"/>
        </w:rPr>
      </w:pPr>
      <w:bookmarkStart w:id="95" w:name="_Hlt510342861"/>
      <w:bookmarkEnd w:id="95"/>
      <w:bookmarkStart w:id="96" w:name="_Hlt509649724"/>
      <w:bookmarkEnd w:id="96"/>
      <w:bookmarkStart w:id="97" w:name="_Hlt509650697"/>
      <w:bookmarkEnd w:id="97"/>
      <w:bookmarkStart w:id="98" w:name="_Toc6992"/>
      <w:bookmarkStart w:id="99" w:name="_Toc527725924"/>
      <w:bookmarkStart w:id="100" w:name="_Toc40975444"/>
      <w:r>
        <w:rPr>
          <w:rFonts w:hint="eastAsia" w:hAnsi="宋体" w:cs="宋体"/>
          <w:color w:val="auto"/>
          <w:sz w:val="28"/>
          <w:highlight w:val="none"/>
        </w:rPr>
        <w:t>三．投标文件的编制</w:t>
      </w:r>
      <w:bookmarkEnd w:id="98"/>
      <w:bookmarkEnd w:id="99"/>
      <w:bookmarkEnd w:id="100"/>
    </w:p>
    <w:p>
      <w:pPr>
        <w:spacing w:line="360" w:lineRule="auto"/>
        <w:ind w:firstLine="550"/>
        <w:rPr>
          <w:rFonts w:hint="eastAsia" w:ascii="宋体" w:hAnsi="宋体" w:cs="宋体"/>
          <w:b/>
          <w:color w:val="auto"/>
          <w:sz w:val="24"/>
          <w:highlight w:val="none"/>
        </w:rPr>
      </w:pPr>
      <w:r>
        <w:rPr>
          <w:rFonts w:hint="eastAsia" w:ascii="宋体" w:hAnsi="宋体" w:cs="宋体"/>
          <w:b/>
          <w:color w:val="auto"/>
          <w:sz w:val="24"/>
          <w:highlight w:val="none"/>
        </w:rPr>
        <w:t>16.投标文件构成与格式</w:t>
      </w:r>
    </w:p>
    <w:p>
      <w:pPr>
        <w:spacing w:line="360" w:lineRule="auto"/>
        <w:ind w:firstLine="550"/>
        <w:rPr>
          <w:rFonts w:hint="eastAsia" w:ascii="宋体" w:hAnsi="宋体" w:cs="宋体"/>
          <w:color w:val="auto"/>
          <w:sz w:val="24"/>
          <w:highlight w:val="none"/>
        </w:rPr>
      </w:pPr>
      <w:bookmarkStart w:id="101" w:name="_Hlt509650345"/>
      <w:bookmarkEnd w:id="101"/>
      <w:r>
        <w:rPr>
          <w:rFonts w:hint="eastAsia" w:ascii="宋体" w:hAnsi="宋体" w:cs="宋体"/>
          <w:color w:val="auto"/>
          <w:sz w:val="24"/>
          <w:highlight w:val="none"/>
        </w:rPr>
        <w:t>16.1投标文件是对招标文件的实质性响应及承诺文件。</w:t>
      </w:r>
    </w:p>
    <w:p>
      <w:pPr>
        <w:widowControl/>
        <w:shd w:val="clear" w:color="auto"/>
        <w:spacing w:line="460" w:lineRule="atLeast"/>
        <w:ind w:firstLine="480"/>
        <w:rPr>
          <w:rFonts w:hint="eastAsia" w:ascii="宋体" w:hAnsi="宋体" w:eastAsia="宋体" w:cs="宋体"/>
          <w:color w:val="auto"/>
          <w:sz w:val="24"/>
          <w:highlight w:val="none"/>
        </w:rPr>
      </w:pPr>
      <w:r>
        <w:rPr>
          <w:rFonts w:hint="eastAsia" w:ascii="宋体" w:hAnsi="宋体" w:cs="宋体"/>
          <w:color w:val="auto"/>
          <w:sz w:val="24"/>
          <w:highlight w:val="none"/>
        </w:rPr>
        <w:t>16.2</w:t>
      </w:r>
      <w:r>
        <w:rPr>
          <w:rFonts w:hint="eastAsia" w:ascii="宋体" w:hAnsi="宋体" w:cs="宋体"/>
          <w:bCs/>
          <w:color w:val="auto"/>
          <w:sz w:val="24"/>
          <w:highlight w:val="none"/>
        </w:rPr>
        <w:t>除非注明“投标人可自行制作格式”，投标文件应使用招标文件提供的格式。</w:t>
      </w:r>
      <w:r>
        <w:rPr>
          <w:rFonts w:hint="eastAsia" w:ascii="宋体" w:hAnsi="宋体" w:eastAsia="宋体" w:cs="宋体"/>
          <w:color w:val="auto"/>
          <w:kern w:val="0"/>
          <w:sz w:val="24"/>
          <w:highlight w:val="none"/>
          <w:lang w:eastAsia="zh-CN"/>
        </w:rPr>
        <w:t>投标</w:t>
      </w:r>
      <w:r>
        <w:rPr>
          <w:rFonts w:hint="eastAsia" w:ascii="宋体" w:hAnsi="宋体" w:eastAsia="宋体" w:cs="宋体"/>
          <w:color w:val="auto"/>
          <w:kern w:val="0"/>
          <w:sz w:val="24"/>
          <w:highlight w:val="none"/>
        </w:rPr>
        <w:t>文件中“致”均须针对采购人及采购代理机构，否则按无效响应文件处理。</w:t>
      </w:r>
      <w:r>
        <w:rPr>
          <w:rFonts w:hint="eastAsia" w:ascii="宋体" w:hAnsi="宋体" w:eastAsia="宋体" w:cs="宋体"/>
          <w:bCs/>
          <w:color w:val="auto"/>
          <w:sz w:val="24"/>
          <w:highlight w:val="none"/>
        </w:rPr>
        <w:t>供应商应按照招标文件提供的格式编写响应性文件，不得缺少、留空或私自更改任何文件要求填写的表格或提交的资料。</w:t>
      </w:r>
    </w:p>
    <w:p>
      <w:pPr>
        <w:spacing w:line="360" w:lineRule="auto"/>
        <w:ind w:firstLine="550"/>
        <w:rPr>
          <w:rFonts w:hint="eastAsia" w:ascii="宋体" w:hAnsi="宋体" w:cs="宋体"/>
          <w:color w:val="auto"/>
          <w:sz w:val="24"/>
          <w:highlight w:val="none"/>
        </w:rPr>
      </w:pPr>
      <w:r>
        <w:rPr>
          <w:rFonts w:hint="eastAsia" w:ascii="宋体" w:hAnsi="宋体" w:cs="宋体"/>
          <w:bCs/>
          <w:color w:val="auto"/>
          <w:sz w:val="24"/>
          <w:highlight w:val="none"/>
        </w:rPr>
        <w:t>16.3除专用术语外，投标文件以及投标人与采购人就有关投标的往来函电均应使用中文。投标人提交的支持性文件和印制的文件可以用另一种语言，但相应内容应翻译成中文，对不同文字文本投标文件的解释发生异议的，以中文文本为准。</w:t>
      </w:r>
      <w:r>
        <w:rPr>
          <w:rFonts w:hint="eastAsia" w:ascii="宋体" w:hAnsi="宋体" w:eastAsia="宋体" w:cs="宋体"/>
          <w:color w:val="auto"/>
          <w:kern w:val="0"/>
          <w:sz w:val="24"/>
          <w:highlight w:val="none"/>
        </w:rPr>
        <w:t>原版为外文的证书类文件，以及由外国人做出的本人签名、外国公司的名称或外国印章等可以是外文，但应当提供中文翻译文件并加盖供应商公章。必要时</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小组可以要求供应商提供附有公证书的中文翻译文件或者与原版文件签章相一致的中文翻译文件。</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16.4除非招标文件另有规定，投标文件应使用中华人民共和国法定计量单位。</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16.5除非招标文件另有规定，投标文件应使用人民币填报所有报价。允许以多种货币报价的，应当按照中国银行在开标日公布的汇率中间价换算成人民币。</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16.6投标文件应编制连续页码，除特殊规格的图纸或方案、图片资料等外，均应按A4规格制作。</w:t>
      </w:r>
      <w:r>
        <w:rPr>
          <w:rFonts w:hint="eastAsia" w:ascii="宋体" w:hAnsi="宋体" w:eastAsia="宋体" w:cs="宋体"/>
          <w:color w:val="auto"/>
          <w:kern w:val="0"/>
          <w:sz w:val="24"/>
          <w:highlight w:val="none"/>
        </w:rPr>
        <w:t>供应商应按文件规定的格式和顺序制作响应文件。除了响应文件封面以外，每个页面应在明显位置编制页码，由法定代表人逐页签字，并加盖单位公章，按流水顺序填写，字迹必须清晰可认，响应文件的目录应编序。响应文件内容不完整、编排混乱导致被误读、漏读或者查找不到相关内容的，由供应商负责。</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16.7电报、电话、传真形式的投标概不接受。</w:t>
      </w:r>
    </w:p>
    <w:p>
      <w:pPr>
        <w:spacing w:line="360" w:lineRule="auto"/>
        <w:ind w:firstLine="550"/>
        <w:rPr>
          <w:rFonts w:hint="eastAsia" w:ascii="宋体" w:hAnsi="宋体" w:eastAsia="宋体" w:cs="宋体"/>
          <w:color w:val="auto"/>
          <w:sz w:val="24"/>
          <w:highlight w:val="none"/>
        </w:rPr>
      </w:pPr>
      <w:r>
        <w:rPr>
          <w:rFonts w:hint="eastAsia" w:ascii="宋体" w:hAnsi="宋体" w:eastAsia="宋体" w:cs="宋体"/>
          <w:color w:val="auto"/>
          <w:sz w:val="24"/>
          <w:highlight w:val="none"/>
        </w:rPr>
        <w:t>16.8法定代表人授权委托书须在法人和被授权人身份证正面签名确认</w:t>
      </w:r>
      <w:r>
        <w:rPr>
          <w:rFonts w:hint="eastAsia" w:ascii="宋体" w:hAnsi="宋体" w:eastAsia="宋体" w:cs="宋体"/>
          <w:color w:val="auto"/>
          <w:sz w:val="24"/>
          <w:highlight w:val="none"/>
          <w:lang w:eastAsia="zh-CN"/>
        </w:rPr>
        <w:t>。</w:t>
      </w:r>
    </w:p>
    <w:p>
      <w:pPr>
        <w:spacing w:line="360" w:lineRule="auto"/>
        <w:ind w:firstLine="550"/>
        <w:rPr>
          <w:rFonts w:hint="eastAsia" w:ascii="宋体" w:hAnsi="宋体" w:eastAsia="宋体" w:cs="宋体"/>
          <w:color w:val="auto"/>
          <w:highlight w:val="none"/>
          <w:lang w:val="en-US" w:eastAsia="zh-CN"/>
        </w:rPr>
      </w:pPr>
      <w:r>
        <w:rPr>
          <w:rFonts w:hint="eastAsia" w:ascii="宋体" w:hAnsi="宋体" w:eastAsia="宋体" w:cs="宋体"/>
          <w:color w:val="auto"/>
          <w:kern w:val="2"/>
          <w:sz w:val="24"/>
          <w:highlight w:val="none"/>
          <w:lang w:val="en-US" w:eastAsia="zh-CN" w:bidi="ar-SA"/>
        </w:rPr>
        <w:t>16.9电子投标文件制作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见周口市公共资源交易中心</w:t>
      </w:r>
      <w:r>
        <w:rPr>
          <w:rFonts w:hint="eastAsia" w:ascii="宋体" w:hAnsi="宋体" w:eastAsia="宋体" w:cs="宋体"/>
          <w:color w:val="auto"/>
          <w:sz w:val="24"/>
          <w:highlight w:val="none"/>
          <w:lang w:val="en-US" w:eastAsia="zh-CN"/>
        </w:rPr>
        <w:t>网站下载中心版块</w:t>
      </w:r>
      <w:r>
        <w:rPr>
          <w:rFonts w:hint="eastAsia" w:ascii="宋体" w:hAnsi="宋体" w:eastAsia="宋体" w:cs="宋体"/>
          <w:color w:val="auto"/>
          <w:sz w:val="24"/>
          <w:highlight w:val="none"/>
        </w:rPr>
        <w:t>《投标单位-电子投标文件视频制作手册》的相关规定。</w:t>
      </w:r>
    </w:p>
    <w:p>
      <w:pPr>
        <w:spacing w:line="360" w:lineRule="auto"/>
        <w:ind w:firstLine="550"/>
        <w:rPr>
          <w:rFonts w:hint="default" w:eastAsia="宋体"/>
          <w:color w:val="auto"/>
          <w:highlight w:val="none"/>
          <w:lang w:val="en-US" w:eastAsia="zh-CN"/>
        </w:rPr>
      </w:pPr>
    </w:p>
    <w:p>
      <w:pPr>
        <w:spacing w:line="360" w:lineRule="auto"/>
        <w:ind w:firstLine="550"/>
        <w:rPr>
          <w:rFonts w:hint="eastAsia" w:ascii="宋体" w:hAnsi="宋体" w:cs="宋体"/>
          <w:color w:val="auto"/>
          <w:sz w:val="24"/>
          <w:highlight w:val="none"/>
        </w:rPr>
      </w:pPr>
      <w:r>
        <w:rPr>
          <w:rFonts w:hint="eastAsia" w:ascii="宋体" w:hAnsi="宋体" w:cs="宋体"/>
          <w:b/>
          <w:color w:val="auto"/>
          <w:sz w:val="24"/>
          <w:highlight w:val="none"/>
        </w:rPr>
        <w:t>17.报价</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17.1投标人应以“包”为报价的基本单位。若整个需求分为若干包，则投标人可选择其中的部分或所有包报价。包内所有项目均应报价（免费赠送的除外），否则将导致投标无效。</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17.2投标人的报价应包含所投货物、保险、税费、包装、加工及加工损耗、运输、现场落地、安装及安装损耗、调试、检测验收和交付后约定期限内免费维保等工作所发生的一切应有费用。投标报价为签订合同的依据。</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17.3投标人应在投标文件中注明拟提供货物的单价明细和总价。</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17.4除非招标文件另有规定，每一包只允许有一个最终报价，任何有选择的报价或替代方案将导致投标无效。</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17.5采购人不建议投标人采用总价优惠或以总价百分比优惠的方式进行投标报价，其优惠可直接计算并体现在各项投标报价的单价中。</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17.6除政策性文件规定以外，投标人所报价格在合同实施期间不因市场变化因素而变动。</w:t>
      </w:r>
    </w:p>
    <w:p>
      <w:pPr>
        <w:spacing w:line="360" w:lineRule="auto"/>
        <w:ind w:firstLine="549"/>
        <w:rPr>
          <w:rFonts w:hint="eastAsia" w:ascii="宋体" w:hAnsi="宋体" w:cs="宋体"/>
          <w:b/>
          <w:bCs/>
          <w:color w:val="auto"/>
          <w:sz w:val="24"/>
          <w:highlight w:val="none"/>
        </w:rPr>
      </w:pPr>
      <w:r>
        <w:rPr>
          <w:rFonts w:hint="eastAsia" w:ascii="宋体" w:hAnsi="宋体" w:cs="宋体"/>
          <w:b/>
          <w:bCs/>
          <w:color w:val="auto"/>
          <w:sz w:val="24"/>
          <w:highlight w:val="none"/>
        </w:rPr>
        <w:t>18.投标内容填写及说明</w:t>
      </w:r>
    </w:p>
    <w:p>
      <w:pPr>
        <w:spacing w:line="360" w:lineRule="auto"/>
        <w:ind w:firstLine="549"/>
        <w:rPr>
          <w:rFonts w:hint="eastAsia" w:ascii="宋体" w:hAnsi="宋体" w:cs="宋体"/>
          <w:color w:val="auto"/>
          <w:sz w:val="24"/>
          <w:highlight w:val="none"/>
          <w:u w:val="single"/>
        </w:rPr>
      </w:pPr>
      <w:r>
        <w:rPr>
          <w:rFonts w:hint="eastAsia" w:ascii="宋体" w:hAnsi="宋体" w:cs="宋体"/>
          <w:color w:val="auto"/>
          <w:sz w:val="24"/>
          <w:highlight w:val="none"/>
        </w:rPr>
        <w:t>18.1投标文件须</w:t>
      </w:r>
      <w:r>
        <w:rPr>
          <w:rFonts w:hint="eastAsia" w:ascii="宋体" w:hAnsi="宋体" w:cs="宋体"/>
          <w:color w:val="auto"/>
          <w:sz w:val="24"/>
          <w:highlight w:val="none"/>
          <w:lang w:eastAsia="zh-CN"/>
        </w:rPr>
        <w:t>书面保证</w:t>
      </w:r>
      <w:r>
        <w:rPr>
          <w:rFonts w:hint="eastAsia" w:ascii="宋体" w:hAnsi="宋体" w:cs="宋体"/>
          <w:color w:val="auto"/>
          <w:sz w:val="24"/>
          <w:highlight w:val="none"/>
        </w:rPr>
        <w:t>对招标文件载明的投标资格、技术、资信、服务、报价等全部要求和条件做出实质性和完整的响应，如果投标文件填报的内容资料不详，或没有提供招标文件中所要求的全部资料、证明及数据，将导致投标无效。</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18.2投标人应在投标文件中提交招标文件要求的有关证明文件（扫描或影印件上传），作为其投标文件的一部分。</w:t>
      </w:r>
      <w:r>
        <w:rPr>
          <w:rFonts w:hint="eastAsia" w:ascii="宋体" w:hAnsi="宋体" w:eastAsia="宋体" w:cs="宋体"/>
          <w:color w:val="auto"/>
          <w:kern w:val="0"/>
          <w:sz w:val="24"/>
          <w:highlight w:val="none"/>
        </w:rPr>
        <w:t>供应商所使用的资格、信誉、荣誉、业绩与企业认证必须为本法人所拥有。供应商需出具书面承诺，作为资格审查的一项。</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18.3投标人应在投标文件中提交（以扫描件或影印件上传）招标文件要求的所有货物的合格性以及符合招标文件规定的证明文件（可以是手册、图纸和资料）等，并作为其投标文件的一部分。包括：</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18.3.1货物主要性能（内容）的详细描述；</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18.3.2保证所投货物正常、安全、连续运行期间所需的所有备品、备件及专用工具的清单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18.4投标文件应编排有序、内容齐全、不得任意涂改或增删。如有错漏处必须修改，应在修改处加盖投标人电子公章。</w:t>
      </w:r>
    </w:p>
    <w:p>
      <w:pPr>
        <w:spacing w:line="360" w:lineRule="auto"/>
        <w:ind w:firstLine="523" w:firstLineChars="218"/>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18.5</w:t>
      </w:r>
      <w:r>
        <w:rPr>
          <w:rFonts w:hint="eastAsia" w:ascii="宋体" w:hAnsi="宋体" w:eastAsia="宋体" w:cs="宋体"/>
          <w:color w:val="auto"/>
          <w:sz w:val="24"/>
          <w:szCs w:val="24"/>
          <w:highlight w:val="none"/>
          <w:lang w:val="en-US" w:eastAsia="zh-CN"/>
        </w:rPr>
        <w:t>供应商需承诺自行承担参加采购活动有关的全部费用，公开招标组织人在任何情况下均无义务和责任承担上述费用。</w:t>
      </w:r>
    </w:p>
    <w:p>
      <w:pPr>
        <w:pStyle w:val="39"/>
        <w:rPr>
          <w:rFonts w:hint="eastAsia"/>
          <w:color w:val="auto"/>
          <w:highlight w:val="none"/>
        </w:rPr>
      </w:pPr>
    </w:p>
    <w:p>
      <w:pPr>
        <w:spacing w:line="360" w:lineRule="auto"/>
        <w:ind w:firstLine="549"/>
        <w:rPr>
          <w:rFonts w:hint="eastAsia" w:ascii="宋体" w:hAnsi="宋体" w:cs="宋体"/>
          <w:b/>
          <w:color w:val="auto"/>
          <w:sz w:val="24"/>
          <w:highlight w:val="none"/>
        </w:rPr>
      </w:pPr>
      <w:r>
        <w:rPr>
          <w:rFonts w:hint="eastAsia" w:ascii="宋体" w:hAnsi="宋体" w:cs="宋体"/>
          <w:b/>
          <w:color w:val="auto"/>
          <w:sz w:val="24"/>
          <w:highlight w:val="none"/>
        </w:rPr>
        <w:t>19.投标保证金（免收）</w:t>
      </w:r>
    </w:p>
    <w:p>
      <w:pPr>
        <w:spacing w:line="360" w:lineRule="auto"/>
        <w:ind w:firstLine="550"/>
        <w:rPr>
          <w:rFonts w:hint="eastAsia" w:ascii="宋体" w:hAnsi="宋体" w:cs="宋体"/>
          <w:b/>
          <w:color w:val="auto"/>
          <w:sz w:val="24"/>
          <w:highlight w:val="none"/>
        </w:rPr>
      </w:pPr>
      <w:r>
        <w:rPr>
          <w:rFonts w:hint="eastAsia" w:ascii="宋体" w:hAnsi="宋体" w:cs="宋体"/>
          <w:b/>
          <w:color w:val="auto"/>
          <w:sz w:val="24"/>
          <w:highlight w:val="none"/>
        </w:rPr>
        <w:t>20.投标有效期</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20.1为保证采购人有足够的时间完成评标和与中标人签订合同，规定投标有效期。投标有效期期限见投标人须知前附表。</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20.2在投标有效期内，投标人的投标保持有效，投标人不得要求撤销或修改其投标文件。</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20.3投标有效期从投标截止日起计算。</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20.4在原定投标有效期满之前，如果出现特殊情况，</w:t>
      </w:r>
      <w:r>
        <w:rPr>
          <w:rFonts w:hint="eastAsia" w:ascii="宋体" w:hAnsi="宋体" w:cs="宋体"/>
          <w:bCs/>
          <w:color w:val="auto"/>
          <w:sz w:val="24"/>
          <w:highlight w:val="none"/>
        </w:rPr>
        <w:t>采购人</w:t>
      </w:r>
      <w:r>
        <w:rPr>
          <w:rFonts w:hint="eastAsia" w:ascii="宋体" w:hAnsi="宋体" w:cs="宋体"/>
          <w:color w:val="auto"/>
          <w:sz w:val="24"/>
          <w:highlight w:val="none"/>
        </w:rPr>
        <w:t>可以书面形式提出延长投标有效期的要求。投标人以书面形式予以答复，投标人可以拒绝这种要求而不被没收投标保证金。同意延长投标有效期的投标人不允许修改其投标文件的实质性内容，且需要相应地延长投标保证金的有效期。</w:t>
      </w:r>
    </w:p>
    <w:p>
      <w:pPr>
        <w:spacing w:line="360" w:lineRule="auto"/>
        <w:ind w:firstLine="550"/>
        <w:rPr>
          <w:rFonts w:hint="eastAsia" w:ascii="宋体" w:hAnsi="宋体" w:cs="宋体"/>
          <w:b/>
          <w:color w:val="auto"/>
          <w:sz w:val="24"/>
          <w:highlight w:val="none"/>
        </w:rPr>
      </w:pPr>
      <w:r>
        <w:rPr>
          <w:rFonts w:hint="eastAsia" w:ascii="宋体" w:hAnsi="宋体" w:cs="宋体"/>
          <w:b/>
          <w:color w:val="auto"/>
          <w:sz w:val="24"/>
          <w:highlight w:val="none"/>
        </w:rPr>
        <w:t>21.投标文件份数和签署</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21.1 投标人应按照投标人须知前附表的要求准备投标文件。</w:t>
      </w:r>
    </w:p>
    <w:p>
      <w:pPr>
        <w:spacing w:line="360" w:lineRule="auto"/>
        <w:ind w:firstLine="550"/>
        <w:rPr>
          <w:rFonts w:hint="eastAsia" w:ascii="宋体" w:hAnsi="宋体" w:cs="宋体"/>
          <w:b/>
          <w:color w:val="auto"/>
          <w:sz w:val="24"/>
          <w:highlight w:val="none"/>
        </w:rPr>
      </w:pPr>
      <w:r>
        <w:rPr>
          <w:rFonts w:hint="eastAsia" w:ascii="宋体" w:hAnsi="宋体" w:cs="宋体"/>
          <w:color w:val="auto"/>
          <w:sz w:val="24"/>
          <w:highlight w:val="none"/>
        </w:rPr>
        <w:t>21.2投标文件均应依招标文件要求加盖投标人电子签章</w:t>
      </w:r>
      <w:r>
        <w:rPr>
          <w:rFonts w:hint="eastAsia" w:ascii="宋体" w:hAnsi="宋体" w:cs="宋体"/>
          <w:b/>
          <w:color w:val="auto"/>
          <w:sz w:val="24"/>
          <w:highlight w:val="none"/>
        </w:rPr>
        <w:t>。</w:t>
      </w:r>
    </w:p>
    <w:p>
      <w:pPr>
        <w:pStyle w:val="5"/>
        <w:spacing w:line="360" w:lineRule="auto"/>
        <w:ind w:firstLine="2715" w:firstLineChars="966"/>
        <w:jc w:val="both"/>
        <w:rPr>
          <w:rFonts w:hint="eastAsia" w:hAnsi="宋体" w:cs="宋体"/>
          <w:color w:val="auto"/>
          <w:sz w:val="28"/>
          <w:highlight w:val="none"/>
        </w:rPr>
      </w:pPr>
      <w:bookmarkStart w:id="102" w:name="_Hlt509650572"/>
      <w:bookmarkEnd w:id="102"/>
      <w:bookmarkStart w:id="103" w:name="_Toc9970"/>
      <w:bookmarkStart w:id="104" w:name="_Toc40975445"/>
      <w:bookmarkStart w:id="105" w:name="_Toc527725925"/>
      <w:r>
        <w:rPr>
          <w:rFonts w:hint="eastAsia" w:hAnsi="宋体" w:cs="宋体"/>
          <w:color w:val="auto"/>
          <w:sz w:val="28"/>
          <w:highlight w:val="none"/>
        </w:rPr>
        <w:t>四．投标文件的递交</w:t>
      </w:r>
      <w:bookmarkEnd w:id="103"/>
      <w:bookmarkEnd w:id="104"/>
      <w:bookmarkEnd w:id="105"/>
      <w:bookmarkStart w:id="106" w:name="_Hlt509649414"/>
      <w:bookmarkEnd w:id="106"/>
    </w:p>
    <w:p>
      <w:pPr>
        <w:spacing w:line="360" w:lineRule="auto"/>
        <w:ind w:firstLine="550"/>
        <w:rPr>
          <w:rFonts w:hint="eastAsia" w:ascii="宋体" w:hAnsi="宋体" w:cs="宋体"/>
          <w:b/>
          <w:color w:val="auto"/>
          <w:sz w:val="24"/>
          <w:highlight w:val="none"/>
        </w:rPr>
      </w:pPr>
      <w:r>
        <w:rPr>
          <w:rFonts w:hint="eastAsia" w:ascii="宋体" w:hAnsi="宋体" w:cs="宋体"/>
          <w:b/>
          <w:color w:val="auto"/>
          <w:sz w:val="24"/>
          <w:highlight w:val="none"/>
        </w:rPr>
        <w:t>22.投标文件的密封和标记</w:t>
      </w:r>
    </w:p>
    <w:p>
      <w:pPr>
        <w:spacing w:line="360" w:lineRule="auto"/>
        <w:ind w:firstLine="550"/>
        <w:rPr>
          <w:rFonts w:hint="eastAsia" w:ascii="宋体" w:hAnsi="宋体" w:eastAsia="宋体" w:cs="宋体"/>
          <w:color w:val="auto"/>
          <w:sz w:val="24"/>
          <w:highlight w:val="none"/>
        </w:rPr>
      </w:pPr>
      <w:r>
        <w:rPr>
          <w:rFonts w:hint="eastAsia" w:ascii="宋体" w:hAnsi="宋体" w:eastAsia="宋体" w:cs="宋体"/>
          <w:color w:val="auto"/>
          <w:sz w:val="24"/>
          <w:highlight w:val="none"/>
        </w:rPr>
        <w:t>加密的电子投标文件的递交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见周口市公共资源交易中心</w:t>
      </w:r>
      <w:r>
        <w:rPr>
          <w:rFonts w:hint="eastAsia" w:ascii="宋体" w:hAnsi="宋体" w:eastAsia="宋体" w:cs="宋体"/>
          <w:color w:val="auto"/>
          <w:sz w:val="24"/>
          <w:highlight w:val="none"/>
          <w:lang w:val="en-US" w:eastAsia="zh-CN"/>
        </w:rPr>
        <w:t>网站下载中心版块</w:t>
      </w:r>
      <w:r>
        <w:rPr>
          <w:rFonts w:hint="eastAsia" w:ascii="宋体" w:hAnsi="宋体" w:eastAsia="宋体" w:cs="宋体"/>
          <w:color w:val="auto"/>
          <w:sz w:val="24"/>
          <w:highlight w:val="none"/>
        </w:rPr>
        <w:t>《投标单位-电子投标文件视频制作手册》的相关规定。</w:t>
      </w:r>
    </w:p>
    <w:p>
      <w:pPr>
        <w:spacing w:line="360" w:lineRule="auto"/>
        <w:ind w:firstLine="550"/>
        <w:rPr>
          <w:rFonts w:hint="eastAsia" w:ascii="宋体" w:hAnsi="宋体" w:cs="宋体"/>
          <w:b/>
          <w:color w:val="auto"/>
          <w:sz w:val="24"/>
          <w:highlight w:val="none"/>
        </w:rPr>
      </w:pPr>
      <w:r>
        <w:rPr>
          <w:rFonts w:hint="eastAsia" w:ascii="宋体" w:hAnsi="宋体" w:cs="宋体"/>
          <w:b/>
          <w:color w:val="auto"/>
          <w:sz w:val="24"/>
          <w:highlight w:val="none"/>
        </w:rPr>
        <w:t xml:space="preserve">23.投标文件的递交 </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23.1投标人应当在招标文件要求提交投标文件的截止时间前网上投标。</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23.2在招标文件要求提交投标文件的截止时间之后制作上传的投标文件为无效投标文件，</w:t>
      </w:r>
      <w:r>
        <w:rPr>
          <w:rFonts w:hint="eastAsia" w:ascii="宋体" w:hAnsi="宋体" w:cs="宋体"/>
          <w:bCs/>
          <w:color w:val="auto"/>
          <w:sz w:val="24"/>
          <w:highlight w:val="none"/>
        </w:rPr>
        <w:t>采购人</w:t>
      </w:r>
      <w:r>
        <w:rPr>
          <w:rFonts w:hint="eastAsia" w:ascii="宋体" w:hAnsi="宋体" w:cs="宋体"/>
          <w:color w:val="auto"/>
          <w:sz w:val="24"/>
          <w:highlight w:val="none"/>
        </w:rPr>
        <w:t>将拒绝接收。</w:t>
      </w:r>
    </w:p>
    <w:p>
      <w:pPr>
        <w:spacing w:line="360" w:lineRule="auto"/>
        <w:ind w:firstLine="550"/>
        <w:rPr>
          <w:rFonts w:hint="eastAsia" w:ascii="宋体" w:hAnsi="宋体" w:cs="宋体"/>
          <w:b/>
          <w:color w:val="auto"/>
          <w:sz w:val="24"/>
          <w:highlight w:val="none"/>
        </w:rPr>
      </w:pPr>
      <w:r>
        <w:rPr>
          <w:rFonts w:hint="eastAsia" w:ascii="宋体" w:hAnsi="宋体" w:cs="宋体"/>
          <w:b/>
          <w:color w:val="auto"/>
          <w:sz w:val="24"/>
          <w:highlight w:val="none"/>
        </w:rPr>
        <w:t>24.投标文件的修改和撤回</w:t>
      </w:r>
    </w:p>
    <w:p>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投标截止日期前，投标人可以修改或撤回其投标文件；在投标截止时间后，投标人不得再要求修改或撤回其投标文件。</w:t>
      </w:r>
    </w:p>
    <w:p>
      <w:pPr>
        <w:pStyle w:val="5"/>
        <w:spacing w:line="360" w:lineRule="auto"/>
        <w:ind w:firstLine="2996" w:firstLineChars="1066"/>
        <w:jc w:val="both"/>
        <w:rPr>
          <w:rFonts w:hint="eastAsia" w:hAnsi="宋体" w:cs="宋体"/>
          <w:color w:val="auto"/>
          <w:sz w:val="28"/>
          <w:highlight w:val="none"/>
        </w:rPr>
      </w:pPr>
      <w:bookmarkStart w:id="107" w:name="_Hlt509649294"/>
      <w:bookmarkEnd w:id="107"/>
      <w:bookmarkStart w:id="108" w:name="_Toc15532"/>
      <w:bookmarkStart w:id="109" w:name="_Toc40975446"/>
      <w:bookmarkStart w:id="110" w:name="_Toc527725926"/>
      <w:r>
        <w:rPr>
          <w:rFonts w:hint="eastAsia" w:hAnsi="宋体" w:cs="宋体"/>
          <w:color w:val="auto"/>
          <w:sz w:val="28"/>
          <w:highlight w:val="none"/>
        </w:rPr>
        <w:t>五．开标与评标</w:t>
      </w:r>
      <w:bookmarkEnd w:id="108"/>
      <w:bookmarkEnd w:id="109"/>
      <w:bookmarkEnd w:id="110"/>
    </w:p>
    <w:p>
      <w:pPr>
        <w:snapToGrid w:val="0"/>
        <w:spacing w:line="300" w:lineRule="auto"/>
        <w:ind w:firstLine="550"/>
        <w:rPr>
          <w:rFonts w:hint="eastAsia" w:ascii="宋体" w:hAnsi="宋体" w:cs="宋体"/>
          <w:b/>
          <w:color w:val="auto"/>
          <w:sz w:val="24"/>
          <w:szCs w:val="24"/>
          <w:highlight w:val="none"/>
        </w:rPr>
      </w:pPr>
      <w:r>
        <w:rPr>
          <w:rFonts w:hint="eastAsia" w:ascii="宋体" w:hAnsi="宋体" w:cs="宋体"/>
          <w:b/>
          <w:color w:val="auto"/>
          <w:sz w:val="24"/>
          <w:szCs w:val="24"/>
          <w:highlight w:val="none"/>
        </w:rPr>
        <w:t>25.开标</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25.1本项目实行网上远程开标无须到现场提交投标文件。投标文件提交及解密详见周口市公共资源交易中心网</w:t>
      </w:r>
      <w:r>
        <w:rPr>
          <w:rFonts w:hint="eastAsia" w:ascii="宋体" w:hAnsi="宋体" w:eastAsia="宋体" w:cs="宋体"/>
          <w:color w:val="auto"/>
          <w:sz w:val="24"/>
          <w:szCs w:val="24"/>
          <w:highlight w:val="none"/>
          <w:lang w:val="en-US" w:eastAsia="zh-CN"/>
        </w:rPr>
        <w:t>办事指南《</w:t>
      </w:r>
      <w:r>
        <w:rPr>
          <w:rFonts w:hint="eastAsia" w:ascii="宋体" w:hAnsi="宋体" w:eastAsia="宋体" w:cs="宋体"/>
          <w:color w:val="auto"/>
          <w:sz w:val="24"/>
          <w:szCs w:val="24"/>
          <w:highlight w:val="none"/>
        </w:rPr>
        <w:t>不见面开标远程在线解密会员端操作手册操作指南</w:t>
      </w:r>
      <w:r>
        <w:rPr>
          <w:rFonts w:hint="eastAsia" w:ascii="宋体" w:hAnsi="宋体" w:eastAsia="宋体" w:cs="宋体"/>
          <w:color w:val="auto"/>
          <w:sz w:val="24"/>
          <w:szCs w:val="24"/>
          <w:highlight w:val="none"/>
          <w:lang w:val="en-US" w:eastAsia="zh-CN"/>
        </w:rPr>
        <w:t>》</w:t>
      </w:r>
    </w:p>
    <w:p>
      <w:pPr>
        <w:spacing w:line="360" w:lineRule="auto"/>
        <w:ind w:firstLine="549"/>
        <w:jc w:val="left"/>
        <w:rPr>
          <w:rFonts w:hint="eastAsia" w:ascii="宋体" w:hAnsi="宋体" w:cs="宋体"/>
          <w:bCs/>
          <w:color w:val="auto"/>
          <w:sz w:val="24"/>
          <w:highlight w:val="none"/>
        </w:rPr>
      </w:pPr>
      <w:r>
        <w:rPr>
          <w:rFonts w:hint="eastAsia" w:ascii="宋体" w:hAnsi="宋体" w:cs="宋体"/>
          <w:bCs/>
          <w:color w:val="auto"/>
          <w:sz w:val="24"/>
          <w:highlight w:val="none"/>
        </w:rPr>
        <w:t>25.2开标时，各投标单位应在规定时间内对本单位的投标文件现场解密，项目负责人在监督员或公证员监督下解密所</w:t>
      </w:r>
      <w:r>
        <w:rPr>
          <w:rFonts w:hint="eastAsia" w:ascii="宋体" w:hAnsi="宋体" w:eastAsia="宋体" w:cs="宋体"/>
          <w:bCs/>
          <w:color w:val="auto"/>
          <w:sz w:val="24"/>
          <w:highlight w:val="none"/>
        </w:rPr>
        <w:t>有投标文件。在解密投标文件开始时30分钟内进行解密，超时视为放弃递交投标文件。</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25.3投标资格及投标文件的法律文本将由评审委员会在评标前进行审查。资格不符合招标文件要求和相关法律规定的，投标无效。</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25.4开标时，周口市公共资源交易中心政府采购中心将通过网上开标系统公布投标人名称、投标价格，以及周口市公共资源交易中心政府采购中心认为合适的其它详细内容。</w:t>
      </w:r>
    </w:p>
    <w:p>
      <w:pPr>
        <w:pStyle w:val="39"/>
        <w:ind w:firstLine="480" w:firstLineChars="200"/>
        <w:rPr>
          <w:rFonts w:hint="eastAsia"/>
          <w:color w:val="auto"/>
          <w:highlight w:val="none"/>
        </w:rPr>
      </w:pPr>
      <w:r>
        <w:rPr>
          <w:rFonts w:hint="eastAsia" w:ascii="宋体" w:hAnsi="宋体" w:eastAsia="宋体" w:cs="宋体"/>
          <w:bCs/>
          <w:color w:val="auto"/>
          <w:kern w:val="2"/>
          <w:sz w:val="24"/>
          <w:highlight w:val="none"/>
          <w:lang w:val="en-US" w:eastAsia="zh-CN" w:bidi="ar-SA"/>
        </w:rPr>
        <w:t>25.5投标人不得以任何方式干扰、影响评标工作，投标人对上述做出书面保证，否则视为不响应招标文件实质性内容。</w:t>
      </w:r>
    </w:p>
    <w:p>
      <w:pPr>
        <w:spacing w:line="360" w:lineRule="auto"/>
        <w:ind w:firstLine="549"/>
        <w:rPr>
          <w:rFonts w:hint="eastAsia" w:ascii="宋体" w:hAnsi="宋体" w:cs="宋体"/>
          <w:b/>
          <w:color w:val="auto"/>
          <w:sz w:val="24"/>
          <w:highlight w:val="none"/>
        </w:rPr>
      </w:pPr>
      <w:r>
        <w:rPr>
          <w:rFonts w:hint="eastAsia" w:ascii="宋体" w:hAnsi="宋体" w:cs="宋体"/>
          <w:b/>
          <w:color w:val="auto"/>
          <w:sz w:val="24"/>
          <w:highlight w:val="none"/>
        </w:rPr>
        <w:t>26.投标文件的澄清、说明或补正</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26.1为有助于投标的审查、评价和比较，评标委员会可以书面方式要求投标人对投标文件中含义不明确、对同类问题表述不一致或者有明显文字和计算错误的内容作必要的澄清、说明或补正。澄清、说明或补正不得超出投标文件的范围或改变投标文件的实质性内容。</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26.2投标文件中大写金额和小写金额不一致的，以大写金额为准；总价金额与按单价汇总金额不一致的，以单价金额计算结果为准；单价金额小数点有明显错位的，应以总价为准，并修改单价。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hint="eastAsia" w:ascii="宋体" w:hAnsi="宋体" w:cs="宋体"/>
          <w:bCs/>
          <w:color w:val="auto"/>
          <w:sz w:val="24"/>
          <w:highlight w:val="none"/>
        </w:rPr>
      </w:pPr>
      <w:r>
        <w:rPr>
          <w:rFonts w:hint="eastAsia" w:ascii="宋体" w:hAnsi="宋体" w:cs="宋体"/>
          <w:color w:val="auto"/>
          <w:sz w:val="24"/>
          <w:highlight w:val="none"/>
        </w:rPr>
        <w:t>26.3</w:t>
      </w:r>
      <w:r>
        <w:rPr>
          <w:rFonts w:hint="eastAsia" w:ascii="宋体" w:hAnsi="宋体" w:cs="宋体"/>
          <w:bCs/>
          <w:color w:val="auto"/>
          <w:sz w:val="24"/>
          <w:highlight w:val="none"/>
        </w:rPr>
        <w:t>开标一览表内容与投标文件中明细表内容不一致的，以开标一览表为准。</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26.4 如同时出现26.2条和26.3条所述的不一致情况，以开标一览表为准。</w:t>
      </w:r>
    </w:p>
    <w:p>
      <w:pPr>
        <w:spacing w:line="360" w:lineRule="auto"/>
        <w:ind w:firstLine="549"/>
        <w:rPr>
          <w:rFonts w:hint="eastAsia" w:ascii="宋体" w:hAnsi="宋体" w:cs="宋体"/>
          <w:b/>
          <w:color w:val="auto"/>
          <w:sz w:val="24"/>
          <w:highlight w:val="none"/>
        </w:rPr>
      </w:pPr>
      <w:r>
        <w:rPr>
          <w:rFonts w:hint="eastAsia" w:ascii="宋体" w:hAnsi="宋体" w:cs="宋体"/>
          <w:b/>
          <w:color w:val="auto"/>
          <w:sz w:val="24"/>
          <w:highlight w:val="none"/>
        </w:rPr>
        <w:t>27.评标</w:t>
      </w:r>
    </w:p>
    <w:p>
      <w:pPr>
        <w:spacing w:line="360" w:lineRule="auto"/>
        <w:ind w:firstLine="523" w:firstLineChars="218"/>
        <w:rPr>
          <w:rFonts w:hint="eastAsia" w:ascii="宋体" w:hAnsi="宋体" w:cs="宋体"/>
          <w:b/>
          <w:color w:val="auto"/>
          <w:sz w:val="24"/>
          <w:highlight w:val="none"/>
        </w:rPr>
      </w:pPr>
      <w:r>
        <w:rPr>
          <w:rFonts w:hint="eastAsia" w:ascii="宋体" w:hAnsi="宋体" w:cs="宋体"/>
          <w:color w:val="auto"/>
          <w:sz w:val="24"/>
          <w:highlight w:val="none"/>
        </w:rPr>
        <w:t>27.1 评委会将按照招标文件规定的评标办法对投标人独立进行投标评审。投标评审分为符合性审查和综合评分。</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27.2符合性审查时，评委会将首先审查投标文件是否实质上响应招标文件的各项指标要求。实质上响应的投标应与招标文件的全部条款、条件和规格相符，没有重大偏离或保留。所谓重大偏离或保留是指影响合同的供货范围、质量和性能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有下列情形之一的，评标委员会应当否决其投标：</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27.2.1投标文件未经投标单位电子签章的；</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27.2.2投标联合体没有提交共同投标协议；</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27.2.3投标人不符合国家或者招标文件规定的资格条件；</w:t>
      </w:r>
    </w:p>
    <w:p>
      <w:pPr>
        <w:spacing w:line="360" w:lineRule="auto"/>
        <w:ind w:firstLine="54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27.2.4被授权人和法定代表人未附劳动合同和个人社保的；</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27.2.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同一投标人提交两个以上不同的投标文件或者投标报价，但招标文件要求提交备选投标的除外；</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27.2.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投标报价或者某些分项报价明显不合理或者低于成本，有可能影响商品质量和不能诚信履约；</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27.2.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投标报价高于招标文件设定的最高投标限价；</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27.2.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投标文件没有对招标文件的实质性要求和条件作出响应；</w:t>
      </w:r>
    </w:p>
    <w:p>
      <w:pPr>
        <w:pStyle w:val="39"/>
        <w:ind w:firstLine="480" w:firstLineChars="20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27.2.9供应商没有在投标（响应）文件附“廉洁自律承诺书”。</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27.2.</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投标人有串通投标、弄虚作假、行贿等违法行为。</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27.3如果投标文件未通过投标符合性审查，投标无效。</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27.4评委会决定投标文件的响应性及符合性只根据投标文件本身的内容，不寻求其他外部证据。</w:t>
      </w:r>
    </w:p>
    <w:p>
      <w:pPr>
        <w:spacing w:line="360" w:lineRule="auto"/>
        <w:ind w:firstLine="549"/>
        <w:rPr>
          <w:rFonts w:hint="eastAsia" w:ascii="宋体" w:hAnsi="宋体" w:cs="宋体"/>
          <w:color w:val="auto"/>
          <w:sz w:val="24"/>
          <w:highlight w:val="none"/>
          <w:lang w:eastAsia="zh-CN"/>
        </w:rPr>
      </w:pPr>
      <w:r>
        <w:rPr>
          <w:rFonts w:hint="eastAsia" w:ascii="宋体" w:hAnsi="宋体" w:cs="宋体"/>
          <w:color w:val="auto"/>
          <w:sz w:val="24"/>
          <w:highlight w:val="none"/>
        </w:rPr>
        <w:t>27.</w:t>
      </w:r>
      <w:r>
        <w:rPr>
          <w:rFonts w:hint="eastAsia" w:ascii="宋体" w:hAnsi="宋体" w:cs="宋体"/>
          <w:color w:val="auto"/>
          <w:sz w:val="24"/>
          <w:highlight w:val="none"/>
          <w:lang w:val="en-US" w:eastAsia="zh-CN"/>
        </w:rPr>
        <w:t>4.1</w:t>
      </w:r>
      <w:r>
        <w:rPr>
          <w:rFonts w:hint="eastAsia" w:ascii="宋体" w:hAnsi="宋体" w:cs="宋体"/>
          <w:color w:val="auto"/>
          <w:sz w:val="24"/>
          <w:highlight w:val="none"/>
        </w:rPr>
        <w:t>投标人有串通投标、弄虚作假、行贿等违法行为</w:t>
      </w:r>
      <w:r>
        <w:rPr>
          <w:rFonts w:hint="eastAsia" w:ascii="宋体" w:hAnsi="宋体" w:cs="宋体"/>
          <w:color w:val="auto"/>
          <w:sz w:val="24"/>
          <w:highlight w:val="none"/>
          <w:lang w:eastAsia="zh-CN"/>
        </w:rPr>
        <w:t>；</w:t>
      </w:r>
    </w:p>
    <w:p>
      <w:pPr>
        <w:spacing w:line="360" w:lineRule="auto"/>
        <w:ind w:firstLine="54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27.4.2投标文件未编制目录的；</w:t>
      </w:r>
    </w:p>
    <w:p>
      <w:pPr>
        <w:spacing w:line="360" w:lineRule="auto"/>
        <w:ind w:firstLine="54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27.4.3授权委托书中法定代表人和委托代理人未在身份证扫描件正面签字的；</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27.</w:t>
      </w:r>
      <w:r>
        <w:rPr>
          <w:rFonts w:hint="eastAsia" w:ascii="宋体" w:hAnsi="宋体" w:cs="宋体"/>
          <w:color w:val="auto"/>
          <w:sz w:val="24"/>
          <w:highlight w:val="none"/>
          <w:lang w:val="en-US" w:eastAsia="zh-CN"/>
        </w:rPr>
        <w:t>4.4</w:t>
      </w:r>
      <w:r>
        <w:rPr>
          <w:rFonts w:hint="eastAsia" w:ascii="宋体" w:hAnsi="宋体" w:cs="宋体"/>
          <w:color w:val="auto"/>
          <w:sz w:val="24"/>
          <w:highlight w:val="none"/>
        </w:rPr>
        <w:t>如果投标文件未通过投标符合性审查，投标无效。</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27.4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评委会决定投标文件的响应性及符合性只根据投标文件本身的内容，不寻求其他外部证据。</w:t>
      </w:r>
    </w:p>
    <w:p>
      <w:pPr>
        <w:spacing w:line="360" w:lineRule="auto"/>
        <w:ind w:firstLine="549"/>
        <w:rPr>
          <w:rFonts w:hint="eastAsia" w:ascii="宋体" w:hAnsi="宋体" w:cs="宋体"/>
          <w:b/>
          <w:bCs/>
          <w:color w:val="auto"/>
          <w:sz w:val="24"/>
          <w:highlight w:val="none"/>
        </w:rPr>
      </w:pPr>
      <w:r>
        <w:rPr>
          <w:rFonts w:hint="eastAsia" w:ascii="宋体" w:hAnsi="宋体" w:cs="宋体"/>
          <w:b/>
          <w:bCs/>
          <w:color w:val="auto"/>
          <w:sz w:val="24"/>
          <w:highlight w:val="none"/>
        </w:rPr>
        <w:t>28</w:t>
      </w:r>
      <w:r>
        <w:rPr>
          <w:rFonts w:hint="eastAsia" w:ascii="宋体" w:hAnsi="宋体" w:cs="宋体"/>
          <w:b/>
          <w:color w:val="auto"/>
          <w:sz w:val="24"/>
          <w:highlight w:val="none"/>
        </w:rPr>
        <w:t>.</w:t>
      </w:r>
      <w:r>
        <w:rPr>
          <w:rFonts w:hint="eastAsia" w:ascii="宋体" w:hAnsi="宋体" w:cs="宋体"/>
          <w:b/>
          <w:bCs/>
          <w:color w:val="auto"/>
          <w:sz w:val="24"/>
          <w:highlight w:val="none"/>
        </w:rPr>
        <w:t>废标处理</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28.1在招标采购中，出现下列情形之一的，周口市公共资源交易中心政府采购中心有权宣布废标：</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28.1.1符合专业条件的投标人或对招标文件作实质响应的投标人不足三家的；</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28.1.2投标人的报价均超过采购预算，采购人不能支付的；</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28.1.3出现影响采购公正的违法、违规行为的；</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28.1.4因重大变故，采购任务取消的。</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废标后，周口市公共资源交易中心政府采购中心会把废标理由通知所有投标人。</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28.2 因上条第一款、第二款规定情形导致废标的，若采购人提出申请，报经政府采购监督管理部门批准，可现场改为竞争性谈判，投标人有下列情形之一的，不得参加谈判：</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28.2.1放弃参加投标的；</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28.2.2未经周口市公共资源交易中心政府采购中心允许，离开开标现场通知不上的；</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28.2.3不符合招标文件列明的专业条件的；</w:t>
      </w:r>
    </w:p>
    <w:p>
      <w:pPr>
        <w:spacing w:line="360" w:lineRule="auto"/>
        <w:ind w:firstLine="523" w:firstLineChars="218"/>
        <w:rPr>
          <w:rFonts w:hint="eastAsia" w:ascii="宋体" w:hAnsi="宋体" w:eastAsia="宋体" w:cs="宋体"/>
          <w:color w:val="auto"/>
          <w:sz w:val="24"/>
          <w:highlight w:val="none"/>
          <w:lang w:eastAsia="zh-CN"/>
        </w:rPr>
      </w:pPr>
      <w:r>
        <w:rPr>
          <w:rFonts w:hint="eastAsia" w:ascii="宋体" w:hAnsi="宋体" w:cs="宋体"/>
          <w:color w:val="auto"/>
          <w:sz w:val="24"/>
          <w:highlight w:val="none"/>
        </w:rPr>
        <w:t>28.2.4未按规定交纳谈判保证金的；</w:t>
      </w:r>
      <w:r>
        <w:rPr>
          <w:rFonts w:hint="eastAsia" w:ascii="宋体" w:hAnsi="宋体" w:cs="宋体"/>
          <w:color w:val="auto"/>
          <w:sz w:val="24"/>
          <w:highlight w:val="none"/>
          <w:lang w:eastAsia="zh-CN"/>
        </w:rPr>
        <w:t>对付款方式</w:t>
      </w:r>
      <w:r>
        <w:rPr>
          <w:rFonts w:hint="eastAsia" w:ascii="宋体" w:hAnsi="宋体" w:cs="宋体"/>
          <w:color w:val="auto"/>
          <w:sz w:val="24"/>
          <w:highlight w:val="none"/>
          <w:lang w:val="en-US" w:eastAsia="zh-CN"/>
        </w:rPr>
        <w:t>不认可</w:t>
      </w:r>
      <w:r>
        <w:rPr>
          <w:rFonts w:hint="eastAsia" w:ascii="宋体" w:hAnsi="宋体" w:cs="宋体"/>
          <w:color w:val="auto"/>
          <w:sz w:val="24"/>
          <w:highlight w:val="none"/>
          <w:lang w:eastAsia="zh-CN"/>
        </w:rPr>
        <w:t>的；</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28.2.5有影响采购公正的违法、违规行为造成项目废标的；</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28.2.6其他不符合竞争性谈判条件的情况。</w:t>
      </w:r>
    </w:p>
    <w:p>
      <w:pPr>
        <w:spacing w:line="360" w:lineRule="auto"/>
        <w:ind w:firstLine="549"/>
        <w:rPr>
          <w:rFonts w:hint="eastAsia" w:ascii="宋体" w:hAnsi="宋体" w:cs="宋体"/>
          <w:color w:val="auto"/>
          <w:sz w:val="24"/>
          <w:szCs w:val="24"/>
          <w:highlight w:val="none"/>
        </w:rPr>
      </w:pPr>
      <w:r>
        <w:rPr>
          <w:rFonts w:hint="eastAsia" w:ascii="宋体" w:hAnsi="宋体" w:cs="宋体"/>
          <w:color w:val="auto"/>
          <w:sz w:val="24"/>
          <w:szCs w:val="24"/>
          <w:highlight w:val="none"/>
        </w:rPr>
        <w:t>28.3采购方式现场改为竞争性谈判时，</w:t>
      </w:r>
      <w:r>
        <w:rPr>
          <w:rFonts w:hint="eastAsia" w:ascii="宋体" w:hAnsi="宋体" w:cs="宋体"/>
          <w:color w:val="auto"/>
          <w:sz w:val="24"/>
          <w:highlight w:val="none"/>
        </w:rPr>
        <w:t>周口市公共资源交易中心政府采购中心</w:t>
      </w:r>
      <w:r>
        <w:rPr>
          <w:rFonts w:hint="eastAsia" w:ascii="宋体" w:hAnsi="宋体" w:cs="宋体"/>
          <w:color w:val="auto"/>
          <w:sz w:val="24"/>
          <w:szCs w:val="24"/>
          <w:highlight w:val="none"/>
        </w:rPr>
        <w:t>以《招标流标现场转谈判邀请函》方式函告投标现场各投标人，投标人授权代表签字确认参加谈判。放弃谈判的视同自动放弃本项目的投标资格。竞争性谈判应当至少有两家及以上投标人参加。如参加谈判的投标人少于两家，谈判做流标处理。</w:t>
      </w:r>
    </w:p>
    <w:p>
      <w:pPr>
        <w:spacing w:line="360" w:lineRule="auto"/>
        <w:ind w:firstLine="549"/>
        <w:rPr>
          <w:rFonts w:hint="eastAsia" w:ascii="宋体" w:hAnsi="宋体" w:cs="宋体"/>
          <w:color w:val="auto"/>
          <w:sz w:val="24"/>
          <w:szCs w:val="24"/>
          <w:highlight w:val="none"/>
        </w:rPr>
      </w:pPr>
      <w:r>
        <w:rPr>
          <w:rFonts w:hint="eastAsia" w:ascii="宋体" w:hAnsi="宋体" w:cs="宋体"/>
          <w:color w:val="auto"/>
          <w:sz w:val="24"/>
          <w:szCs w:val="24"/>
          <w:highlight w:val="none"/>
        </w:rPr>
        <w:t>28.3.1谈判时，若投标人未能在评委会指定时间内（原则上不超过60分钟）提交符合要求的补充资料或未作出实质性响应的，投标无效。经过审查符合谈判要求的有效投标人少于两家的，谈判做流标处理。</w:t>
      </w:r>
    </w:p>
    <w:p>
      <w:pPr>
        <w:spacing w:line="360" w:lineRule="auto"/>
        <w:ind w:firstLine="549"/>
        <w:rPr>
          <w:rFonts w:hint="eastAsia" w:ascii="宋体" w:hAnsi="宋体" w:cs="宋体"/>
          <w:color w:val="auto"/>
          <w:sz w:val="24"/>
          <w:szCs w:val="24"/>
          <w:highlight w:val="none"/>
        </w:rPr>
      </w:pPr>
      <w:r>
        <w:rPr>
          <w:rFonts w:hint="eastAsia" w:ascii="宋体" w:hAnsi="宋体" w:cs="宋体"/>
          <w:color w:val="auto"/>
          <w:sz w:val="24"/>
          <w:szCs w:val="24"/>
          <w:highlight w:val="none"/>
        </w:rPr>
        <w:t>28.3.2投标文件的报价视为谈判时的首次报价，未唱标转谈判的，谈判时不公开投标人各轮报价。已经唱标而转谈判的，谈判前公布各参与谈判的投标人首轮报价。</w:t>
      </w:r>
    </w:p>
    <w:p>
      <w:pPr>
        <w:spacing w:line="360" w:lineRule="auto"/>
        <w:ind w:firstLine="549"/>
        <w:rPr>
          <w:rFonts w:hint="eastAsia" w:ascii="宋体" w:hAnsi="宋体" w:cs="宋体"/>
          <w:color w:val="auto"/>
          <w:sz w:val="24"/>
          <w:szCs w:val="24"/>
          <w:highlight w:val="none"/>
        </w:rPr>
      </w:pPr>
      <w:r>
        <w:rPr>
          <w:rFonts w:hint="eastAsia" w:ascii="宋体" w:hAnsi="宋体" w:cs="宋体"/>
          <w:color w:val="auto"/>
          <w:sz w:val="24"/>
          <w:szCs w:val="24"/>
          <w:highlight w:val="none"/>
        </w:rPr>
        <w:t>28.3.3在谈判内容不作实质性变更及重大调整的前提下，投标人次轮报价不得高于上一轮报价。</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w:t>
      </w:r>
      <w:r>
        <w:rPr>
          <w:rFonts w:hint="eastAsia" w:ascii="宋体" w:hAnsi="宋体" w:cs="宋体"/>
          <w:b/>
          <w:color w:val="auto"/>
          <w:sz w:val="24"/>
          <w:highlight w:val="none"/>
        </w:rPr>
        <w:t>.</w:t>
      </w:r>
      <w:r>
        <w:rPr>
          <w:rFonts w:hint="eastAsia" w:ascii="宋体" w:hAnsi="宋体" w:cs="宋体"/>
          <w:b/>
          <w:bCs/>
          <w:color w:val="auto"/>
          <w:sz w:val="24"/>
          <w:highlight w:val="none"/>
        </w:rPr>
        <w:t>二次采购</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项目废标后，周口市公共资源交易中心政府采购中心可能发布二次公告（投标邀请），进行二次采购。</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前款所述“二次”，系指项目废标后的重新公告及采购，并不仅限于项目的第二次公告及采购。</w:t>
      </w:r>
    </w:p>
    <w:p>
      <w:pPr>
        <w:pStyle w:val="5"/>
        <w:spacing w:line="360" w:lineRule="auto"/>
        <w:ind w:firstLine="2715" w:firstLineChars="966"/>
        <w:jc w:val="both"/>
        <w:rPr>
          <w:rFonts w:hint="eastAsia" w:hAnsi="宋体" w:cs="宋体"/>
          <w:color w:val="auto"/>
          <w:sz w:val="28"/>
          <w:highlight w:val="none"/>
        </w:rPr>
      </w:pPr>
      <w:bookmarkStart w:id="111" w:name="_Toc18249"/>
      <w:bookmarkStart w:id="112" w:name="_Toc527725927"/>
      <w:bookmarkStart w:id="113" w:name="_Toc40975447"/>
      <w:bookmarkStart w:id="114" w:name="_Toc516969091"/>
      <w:r>
        <w:rPr>
          <w:rFonts w:hint="eastAsia" w:hAnsi="宋体" w:cs="宋体"/>
          <w:color w:val="auto"/>
          <w:sz w:val="28"/>
          <w:highlight w:val="none"/>
        </w:rPr>
        <w:t>六．定标与签订合同</w:t>
      </w:r>
      <w:bookmarkEnd w:id="111"/>
      <w:bookmarkEnd w:id="112"/>
      <w:bookmarkEnd w:id="113"/>
      <w:bookmarkEnd w:id="114"/>
    </w:p>
    <w:p>
      <w:pPr>
        <w:spacing w:line="360" w:lineRule="auto"/>
        <w:ind w:firstLine="549"/>
        <w:rPr>
          <w:rFonts w:hint="eastAsia" w:ascii="宋体" w:hAnsi="宋体" w:cs="宋体"/>
          <w:b/>
          <w:color w:val="auto"/>
          <w:sz w:val="24"/>
          <w:highlight w:val="none"/>
        </w:rPr>
      </w:pPr>
      <w:r>
        <w:rPr>
          <w:rFonts w:hint="eastAsia" w:ascii="宋体" w:hAnsi="宋体" w:cs="宋体"/>
          <w:b/>
          <w:color w:val="auto"/>
          <w:sz w:val="24"/>
          <w:highlight w:val="none"/>
        </w:rPr>
        <w:t>30.定标</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30.1 投标符合性审查后，评委会应当按招标文件规定的综合评分办法提出独立评审意见，推荐中标候选人。</w:t>
      </w:r>
    </w:p>
    <w:p>
      <w:pPr>
        <w:pStyle w:val="22"/>
        <w:ind w:right="-21" w:firstLine="540"/>
        <w:rPr>
          <w:rFonts w:hint="eastAsia" w:ascii="宋体" w:hAnsi="宋体" w:eastAsia="宋体" w:cs="宋体"/>
          <w:color w:val="auto"/>
          <w:kern w:val="2"/>
          <w:szCs w:val="20"/>
          <w:highlight w:val="none"/>
          <w:lang w:val="en-US" w:eastAsia="zh-CN"/>
        </w:rPr>
      </w:pPr>
      <w:r>
        <w:rPr>
          <w:rFonts w:hint="eastAsia" w:ascii="宋体" w:hAnsi="宋体" w:eastAsia="宋体" w:cs="宋体"/>
          <w:color w:val="auto"/>
          <w:kern w:val="2"/>
          <w:szCs w:val="20"/>
          <w:highlight w:val="none"/>
          <w:lang w:val="en-US" w:eastAsia="zh-CN"/>
        </w:rPr>
        <w:t>30.2采购人应当自收到评审报告之日起5个工作日内在评审报告推荐的中标或者成交候选人中按顺序确定中标或者成交供应商。</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30.3如评委会认为有必要，首先对第一中标候选人就投标文件所提供的内容是否符合招标文件的要求进行资格后审。资格后审视为本项目采购活动的延续，以书面报告作为最终审查的结果。如果确定第一中标候选人无法履行合同，将按排名依次对其余中标候选人进行类似的审查。</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排名第一的中标候选人放弃中标、因不可抗力不能履行合同、不按照合同约定提交履约保证金，或者被查实存在影响中标结果的违法行为等情形，不符合中标条件的，采购人可以按照评标委员会提出的中标候选人名单排序依次确定其他中标候选人为中标人，也可以重新招标。</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30.4原则上把合同授予实质上响应招标文件要求的排名最前的中标候选人或通过上条资格审查的中标候选人。</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30.5 最低报价并不是中标的保证。</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30.6凡发现中标候选人有下列行为之一的，其中标无效，并移交政府采购监督管理部门依法处理：</w:t>
      </w:r>
    </w:p>
    <w:p>
      <w:pPr>
        <w:spacing w:line="360" w:lineRule="auto"/>
        <w:ind w:left="549"/>
        <w:rPr>
          <w:rFonts w:hint="eastAsia" w:ascii="宋体" w:hAnsi="宋体" w:cs="宋体"/>
          <w:color w:val="auto"/>
          <w:sz w:val="24"/>
          <w:highlight w:val="none"/>
        </w:rPr>
      </w:pPr>
      <w:r>
        <w:rPr>
          <w:rFonts w:hint="eastAsia" w:ascii="宋体" w:hAnsi="宋体" w:cs="宋体"/>
          <w:color w:val="auto"/>
          <w:sz w:val="24"/>
          <w:highlight w:val="none"/>
        </w:rPr>
        <w:t>30.6.1 以他人名义投标、或提供虚假材料弄虚作假谋取中标的；</w:t>
      </w:r>
    </w:p>
    <w:p>
      <w:pPr>
        <w:spacing w:line="360" w:lineRule="auto"/>
        <w:ind w:left="549"/>
        <w:rPr>
          <w:rFonts w:hint="eastAsia" w:ascii="宋体" w:hAnsi="宋体" w:cs="宋体"/>
          <w:color w:val="auto"/>
          <w:sz w:val="24"/>
          <w:highlight w:val="none"/>
        </w:rPr>
      </w:pPr>
      <w:r>
        <w:rPr>
          <w:rFonts w:hint="eastAsia" w:ascii="宋体" w:hAnsi="宋体" w:cs="宋体"/>
          <w:color w:val="auto"/>
          <w:sz w:val="24"/>
          <w:highlight w:val="none"/>
        </w:rPr>
        <w:t>30.6.1.1以他人名义投标，是指使用通过受让或者租借等方式获取的资格、资质证书投标。</w:t>
      </w:r>
    </w:p>
    <w:p>
      <w:pPr>
        <w:spacing w:line="360" w:lineRule="auto"/>
        <w:ind w:left="549"/>
        <w:rPr>
          <w:rFonts w:hint="eastAsia" w:ascii="宋体" w:hAnsi="宋体" w:cs="宋体"/>
          <w:color w:val="auto"/>
          <w:sz w:val="24"/>
          <w:highlight w:val="none"/>
        </w:rPr>
      </w:pPr>
      <w:r>
        <w:rPr>
          <w:rFonts w:hint="eastAsia" w:ascii="宋体" w:hAnsi="宋体" w:cs="宋体"/>
          <w:color w:val="auto"/>
          <w:sz w:val="24"/>
          <w:highlight w:val="none"/>
        </w:rPr>
        <w:t>30.6.1.2有投标人有下列情形之一的，属于弄虚作假的行为：</w:t>
      </w:r>
    </w:p>
    <w:p>
      <w:pPr>
        <w:spacing w:line="360" w:lineRule="auto"/>
        <w:ind w:left="549"/>
        <w:rPr>
          <w:rFonts w:hint="eastAsia" w:ascii="宋体" w:hAnsi="宋体" w:cs="宋体"/>
          <w:color w:val="auto"/>
          <w:sz w:val="24"/>
          <w:highlight w:val="none"/>
        </w:rPr>
      </w:pPr>
      <w:r>
        <w:rPr>
          <w:rFonts w:hint="eastAsia" w:ascii="宋体" w:hAnsi="宋体" w:cs="宋体"/>
          <w:color w:val="auto"/>
          <w:sz w:val="24"/>
          <w:highlight w:val="none"/>
        </w:rPr>
        <w:t>30.6.1.2.1使用伪造、变造的许可证件；</w:t>
      </w:r>
    </w:p>
    <w:p>
      <w:pPr>
        <w:spacing w:line="360" w:lineRule="auto"/>
        <w:ind w:left="549"/>
        <w:rPr>
          <w:rFonts w:hint="eastAsia" w:ascii="宋体" w:hAnsi="宋体" w:cs="宋体"/>
          <w:color w:val="auto"/>
          <w:sz w:val="24"/>
          <w:highlight w:val="none"/>
        </w:rPr>
      </w:pPr>
      <w:r>
        <w:rPr>
          <w:rFonts w:hint="eastAsia" w:ascii="宋体" w:hAnsi="宋体" w:cs="宋体"/>
          <w:color w:val="auto"/>
          <w:sz w:val="24"/>
          <w:highlight w:val="none"/>
        </w:rPr>
        <w:t>30.6.1.2.2提供虚假的财务状况或者业绩；</w:t>
      </w:r>
    </w:p>
    <w:p>
      <w:pPr>
        <w:spacing w:line="360" w:lineRule="auto"/>
        <w:ind w:left="549"/>
        <w:rPr>
          <w:rFonts w:hint="eastAsia" w:ascii="宋体" w:hAnsi="宋体" w:cs="宋体"/>
          <w:color w:val="auto"/>
          <w:sz w:val="24"/>
          <w:highlight w:val="none"/>
        </w:rPr>
      </w:pPr>
      <w:r>
        <w:rPr>
          <w:rFonts w:hint="eastAsia" w:ascii="宋体" w:hAnsi="宋体" w:cs="宋体"/>
          <w:color w:val="auto"/>
          <w:sz w:val="24"/>
          <w:highlight w:val="none"/>
        </w:rPr>
        <w:t>30.6.1.2.3提供虚假的项目负责人或者主要技术人员简历、劳动关系证明；</w:t>
      </w:r>
    </w:p>
    <w:p>
      <w:pPr>
        <w:spacing w:line="360" w:lineRule="auto"/>
        <w:ind w:left="549"/>
        <w:rPr>
          <w:rFonts w:hint="eastAsia" w:ascii="宋体" w:hAnsi="宋体" w:cs="宋体"/>
          <w:color w:val="auto"/>
          <w:sz w:val="24"/>
          <w:highlight w:val="none"/>
        </w:rPr>
      </w:pPr>
      <w:r>
        <w:rPr>
          <w:rFonts w:hint="eastAsia" w:ascii="宋体" w:hAnsi="宋体" w:cs="宋体"/>
          <w:color w:val="auto"/>
          <w:sz w:val="24"/>
          <w:highlight w:val="none"/>
        </w:rPr>
        <w:t>30.6.1.2.4提供虚假的信用状况；</w:t>
      </w:r>
    </w:p>
    <w:p>
      <w:pPr>
        <w:spacing w:line="360" w:lineRule="auto"/>
        <w:ind w:left="549"/>
        <w:rPr>
          <w:rFonts w:hint="eastAsia" w:ascii="宋体" w:hAnsi="宋体" w:cs="宋体"/>
          <w:color w:val="auto"/>
          <w:sz w:val="24"/>
          <w:highlight w:val="none"/>
        </w:rPr>
      </w:pPr>
      <w:r>
        <w:rPr>
          <w:rFonts w:hint="eastAsia" w:ascii="宋体" w:hAnsi="宋体" w:cs="宋体"/>
          <w:color w:val="auto"/>
          <w:sz w:val="24"/>
          <w:highlight w:val="none"/>
        </w:rPr>
        <w:t>30.6.1.2.5其他弄虚作假的行为。</w:t>
      </w:r>
    </w:p>
    <w:p>
      <w:pPr>
        <w:spacing w:line="360" w:lineRule="auto"/>
        <w:ind w:left="549"/>
        <w:rPr>
          <w:rFonts w:hint="eastAsia" w:ascii="宋体" w:hAnsi="宋体" w:cs="宋体"/>
          <w:color w:val="auto"/>
          <w:sz w:val="24"/>
          <w:highlight w:val="none"/>
        </w:rPr>
      </w:pPr>
      <w:r>
        <w:rPr>
          <w:rFonts w:hint="eastAsia" w:ascii="宋体" w:hAnsi="宋体" w:cs="宋体"/>
          <w:color w:val="auto"/>
          <w:sz w:val="24"/>
          <w:highlight w:val="none"/>
        </w:rPr>
        <w:t>30.6.2与采购人、其他供应商或者采购代理机构名称工作人员恶意串通的；</w:t>
      </w:r>
    </w:p>
    <w:p>
      <w:pPr>
        <w:spacing w:line="360" w:lineRule="auto"/>
        <w:ind w:left="549"/>
        <w:rPr>
          <w:rFonts w:hint="eastAsia" w:ascii="宋体" w:hAnsi="宋体" w:cs="宋体"/>
          <w:color w:val="auto"/>
          <w:sz w:val="24"/>
          <w:highlight w:val="none"/>
        </w:rPr>
      </w:pPr>
      <w:r>
        <w:rPr>
          <w:rFonts w:hint="eastAsia" w:ascii="宋体" w:hAnsi="宋体" w:cs="宋体"/>
          <w:color w:val="auto"/>
          <w:sz w:val="24"/>
          <w:highlight w:val="none"/>
        </w:rPr>
        <w:t>30.6.3向采购人、评审专家、采购代理机构工作人员行贿或者提供其他不正当利益的；</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30.6.4有法律、法规规定的其他损害采购人利益和社会公共利益情形的；</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30.6.5其他违反招投标法律、法规和规章强制性规定的行为。</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30.7周口市公共资源交易中心政府采购中心将在政府采购相关网站上发布评审结果公告。</w:t>
      </w:r>
    </w:p>
    <w:p>
      <w:pPr>
        <w:spacing w:line="360" w:lineRule="auto"/>
        <w:ind w:firstLine="549"/>
        <w:rPr>
          <w:rFonts w:hint="eastAsia" w:ascii="宋体" w:hAnsi="宋体" w:cs="宋体"/>
          <w:b/>
          <w:color w:val="auto"/>
          <w:sz w:val="24"/>
          <w:highlight w:val="none"/>
        </w:rPr>
      </w:pPr>
      <w:r>
        <w:rPr>
          <w:rFonts w:hint="eastAsia" w:ascii="宋体" w:hAnsi="宋体" w:cs="宋体"/>
          <w:b/>
          <w:color w:val="auto"/>
          <w:sz w:val="24"/>
          <w:highlight w:val="none"/>
        </w:rPr>
        <w:t>31.中标通知书</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31.1</w:t>
      </w:r>
      <w:r>
        <w:rPr>
          <w:rFonts w:hint="eastAsia" w:ascii="宋体" w:hAnsi="宋体" w:cs="宋体"/>
          <w:color w:val="auto"/>
          <w:sz w:val="24"/>
          <w:highlight w:val="none"/>
          <w:lang w:val="en-US" w:eastAsia="zh-CN"/>
        </w:rPr>
        <w:t>在发出中标公告后</w:t>
      </w:r>
      <w:r>
        <w:rPr>
          <w:rFonts w:hint="eastAsia" w:ascii="宋体" w:hAnsi="宋体" w:eastAsia="宋体" w:cs="宋体"/>
          <w:color w:val="auto"/>
          <w:sz w:val="24"/>
          <w:highlight w:val="none"/>
          <w:lang w:val="en-US" w:eastAsia="zh-CN"/>
        </w:rPr>
        <w:t>请采购人、中标人登录</w:t>
      </w:r>
      <w:r>
        <w:rPr>
          <w:rFonts w:hint="eastAsia" w:ascii="宋体" w:hAnsi="宋体" w:eastAsia="宋体" w:cs="宋体"/>
          <w:color w:val="auto"/>
          <w:sz w:val="24"/>
          <w:highlight w:val="none"/>
        </w:rPr>
        <w:t>周口市公共资源</w:t>
      </w:r>
      <w:r>
        <w:rPr>
          <w:rFonts w:hint="eastAsia" w:ascii="宋体" w:hAnsi="宋体" w:eastAsia="宋体" w:cs="宋体"/>
          <w:color w:val="auto"/>
          <w:sz w:val="24"/>
          <w:szCs w:val="24"/>
          <w:highlight w:val="none"/>
        </w:rPr>
        <w:t>交易</w:t>
      </w:r>
      <w:r>
        <w:rPr>
          <w:rFonts w:hint="eastAsia" w:ascii="宋体" w:hAnsi="宋体" w:eastAsia="宋体" w:cs="宋体"/>
          <w:color w:val="auto"/>
          <w:sz w:val="24"/>
          <w:highlight w:val="none"/>
          <w:lang w:eastAsia="zh-CN"/>
        </w:rPr>
        <w:t>中心网</w:t>
      </w:r>
      <w:r>
        <w:rPr>
          <w:rFonts w:hint="eastAsia" w:ascii="宋体" w:hAnsi="宋体" w:eastAsia="宋体" w:cs="宋体"/>
          <w:color w:val="auto"/>
          <w:sz w:val="24"/>
          <w:szCs w:val="24"/>
          <w:highlight w:val="none"/>
        </w:rPr>
        <w:t>（http://jyzx.zhoukou.gov.cn）</w:t>
      </w:r>
      <w:r>
        <w:rPr>
          <w:rFonts w:hint="eastAsia" w:ascii="宋体" w:hAnsi="宋体" w:eastAsia="宋体" w:cs="宋体"/>
          <w:color w:val="auto"/>
          <w:sz w:val="24"/>
          <w:szCs w:val="24"/>
          <w:highlight w:val="none"/>
          <w:lang w:val="en-US" w:eastAsia="zh-CN"/>
        </w:rPr>
        <w:t>自行下载</w:t>
      </w:r>
      <w:r>
        <w:rPr>
          <w:rFonts w:hint="eastAsia" w:ascii="宋体" w:hAnsi="宋体" w:eastAsia="宋体" w:cs="宋体"/>
          <w:color w:val="auto"/>
          <w:sz w:val="24"/>
          <w:highlight w:val="none"/>
        </w:rPr>
        <w:t>中标通知书。</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31.2周口市公共资源交易中心政府采购中心对未中标的投标人不做未中标原因的解释。</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31.3评审结果确定后，中标人请及时到周口市公共资源交易中心政府采购中心领取中标通知书。</w:t>
      </w:r>
    </w:p>
    <w:p>
      <w:pPr>
        <w:spacing w:line="360" w:lineRule="auto"/>
        <w:ind w:firstLine="549"/>
        <w:rPr>
          <w:rFonts w:hint="eastAsia" w:ascii="宋体" w:hAnsi="宋体" w:cs="宋体"/>
          <w:color w:val="auto"/>
          <w:sz w:val="24"/>
          <w:szCs w:val="22"/>
          <w:highlight w:val="none"/>
        </w:rPr>
      </w:pPr>
      <w:r>
        <w:rPr>
          <w:rFonts w:hint="eastAsia" w:ascii="宋体" w:hAnsi="宋体" w:cs="宋体"/>
          <w:color w:val="auto"/>
          <w:sz w:val="24"/>
          <w:szCs w:val="22"/>
          <w:highlight w:val="none"/>
        </w:rPr>
        <w:t>32.中标服务费</w:t>
      </w:r>
    </w:p>
    <w:p>
      <w:pPr>
        <w:spacing w:line="360" w:lineRule="auto"/>
        <w:rPr>
          <w:rFonts w:hint="eastAsia" w:ascii="宋体" w:hAnsi="宋体" w:cs="宋体"/>
          <w:bCs/>
          <w:color w:val="auto"/>
          <w:sz w:val="24"/>
          <w:highlight w:val="none"/>
        </w:rPr>
      </w:pPr>
      <w:r>
        <w:rPr>
          <w:rFonts w:hint="eastAsia" w:ascii="宋体" w:hAnsi="宋体" w:cs="宋体"/>
          <w:b/>
          <w:color w:val="auto"/>
          <w:sz w:val="24"/>
          <w:highlight w:val="none"/>
        </w:rPr>
        <w:t xml:space="preserve">    </w:t>
      </w:r>
      <w:r>
        <w:rPr>
          <w:rFonts w:hint="eastAsia" w:ascii="宋体" w:hAnsi="宋体" w:cs="宋体"/>
          <w:bCs/>
          <w:color w:val="auto"/>
          <w:sz w:val="24"/>
          <w:highlight w:val="none"/>
        </w:rPr>
        <w:t>本项目免收中标服务费</w:t>
      </w:r>
    </w:p>
    <w:p>
      <w:pPr>
        <w:spacing w:line="360" w:lineRule="auto"/>
        <w:ind w:firstLine="549"/>
        <w:rPr>
          <w:rFonts w:hint="eastAsia" w:ascii="宋体" w:hAnsi="宋体" w:cs="宋体"/>
          <w:b/>
          <w:color w:val="auto"/>
          <w:sz w:val="24"/>
          <w:highlight w:val="none"/>
        </w:rPr>
      </w:pPr>
      <w:r>
        <w:rPr>
          <w:rFonts w:hint="eastAsia" w:ascii="宋体" w:hAnsi="宋体" w:cs="宋体"/>
          <w:b/>
          <w:color w:val="auto"/>
          <w:sz w:val="24"/>
          <w:highlight w:val="none"/>
        </w:rPr>
        <w:t>33.履约保证金</w:t>
      </w:r>
    </w:p>
    <w:p>
      <w:pPr>
        <w:spacing w:line="360" w:lineRule="auto"/>
        <w:ind w:firstLine="54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无</w:t>
      </w:r>
    </w:p>
    <w:p>
      <w:pPr>
        <w:spacing w:line="360" w:lineRule="auto"/>
        <w:ind w:firstLine="549"/>
        <w:rPr>
          <w:rFonts w:hint="eastAsia" w:ascii="宋体" w:hAnsi="宋体" w:cs="宋体"/>
          <w:b/>
          <w:color w:val="auto"/>
          <w:sz w:val="24"/>
          <w:highlight w:val="none"/>
        </w:rPr>
      </w:pPr>
      <w:r>
        <w:rPr>
          <w:rFonts w:hint="eastAsia" w:ascii="宋体" w:hAnsi="宋体" w:cs="宋体"/>
          <w:b/>
          <w:color w:val="auto"/>
          <w:sz w:val="24"/>
          <w:highlight w:val="none"/>
        </w:rPr>
        <w:t>34.签订合同</w:t>
      </w:r>
    </w:p>
    <w:p>
      <w:pPr>
        <w:pStyle w:val="2"/>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34.1中标人应在中标通知书发出之日起七日历日内（具体时间、地点见中标通知书）与采购人签订合同。招标文件、中标人的投标文件及澄清文件等，均作为合同的附件。</w:t>
      </w:r>
      <w:r>
        <w:rPr>
          <w:rFonts w:hint="eastAsia" w:ascii="宋体" w:hAnsi="宋体" w:eastAsia="宋体" w:cs="宋体"/>
          <w:color w:val="auto"/>
          <w:sz w:val="24"/>
          <w:szCs w:val="24"/>
          <w:highlight w:val="none"/>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34.2 采购双方必须严格按照招标文件、投标文件及有关承诺签订采购合同，不得擅自变更。</w:t>
      </w:r>
      <w:r>
        <w:rPr>
          <w:rFonts w:hint="eastAsia" w:ascii="宋体" w:hAnsi="宋体" w:cs="宋体"/>
          <w:color w:val="auto"/>
          <w:sz w:val="24"/>
          <w:highlight w:val="none"/>
          <w:lang w:eastAsia="zh-CN"/>
        </w:rPr>
        <w:t>供应商需在投标文件中书面声明</w:t>
      </w:r>
      <w:r>
        <w:rPr>
          <w:rFonts w:hint="eastAsia" w:ascii="宋体" w:hAnsi="宋体" w:cs="宋体"/>
          <w:color w:val="auto"/>
          <w:sz w:val="24"/>
          <w:highlight w:val="none"/>
        </w:rPr>
        <w:t>合同的标的、价款、质量、履行期限等主要条款应当与招标文件和中标人的投标文件的内容一致，招标人和中标人不得再行订立背离合同实质性内容的其他协议。对任何因双方擅自变更合同引起的问题周口市公共资源交易中心政府采购中心概不负责，合同风险由双方自行承担。</w:t>
      </w:r>
    </w:p>
    <w:p>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34.3采购人保留以书面形式要求合同的卖方对其所投货物的装运方式、交货地点及服务细则等作适当调整的权利。</w:t>
      </w:r>
    </w:p>
    <w:p>
      <w:pPr>
        <w:spacing w:line="360" w:lineRule="auto"/>
        <w:ind w:firstLine="549"/>
        <w:rPr>
          <w:rFonts w:hint="eastAsia" w:ascii="宋体" w:hAnsi="宋体" w:cs="宋体"/>
          <w:color w:val="auto"/>
          <w:sz w:val="24"/>
          <w:highlight w:val="none"/>
        </w:rPr>
      </w:pPr>
      <w:r>
        <w:rPr>
          <w:rFonts w:hint="eastAsia" w:ascii="宋体" w:hAnsi="宋体" w:cs="宋体"/>
          <w:b/>
          <w:color w:val="auto"/>
          <w:sz w:val="24"/>
          <w:highlight w:val="none"/>
        </w:rPr>
        <w:t>35.验收</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由采购人自行组织对供应商的履约验收。</w:t>
      </w:r>
    </w:p>
    <w:p>
      <w:pPr>
        <w:spacing w:line="360" w:lineRule="auto"/>
        <w:ind w:firstLine="549"/>
        <w:rPr>
          <w:rFonts w:hint="eastAsia" w:ascii="宋体" w:hAnsi="宋体" w:cs="宋体"/>
          <w:b/>
          <w:bCs/>
          <w:color w:val="auto"/>
          <w:sz w:val="24"/>
          <w:highlight w:val="none"/>
        </w:rPr>
      </w:pPr>
      <w:r>
        <w:rPr>
          <w:rFonts w:hint="eastAsia" w:ascii="宋体" w:hAnsi="宋体" w:cs="宋体"/>
          <w:b/>
          <w:bCs/>
          <w:color w:val="auto"/>
          <w:sz w:val="24"/>
          <w:highlight w:val="none"/>
        </w:rPr>
        <w:t>36</w:t>
      </w:r>
      <w:r>
        <w:rPr>
          <w:rFonts w:hint="eastAsia" w:ascii="宋体" w:hAnsi="宋体" w:cs="宋体"/>
          <w:b/>
          <w:color w:val="auto"/>
          <w:sz w:val="24"/>
          <w:highlight w:val="none"/>
        </w:rPr>
        <w:t>.</w:t>
      </w:r>
      <w:r>
        <w:rPr>
          <w:rFonts w:hint="eastAsia" w:ascii="宋体" w:hAnsi="宋体" w:cs="宋体"/>
          <w:b/>
          <w:bCs/>
          <w:color w:val="auto"/>
          <w:sz w:val="24"/>
          <w:highlight w:val="none"/>
        </w:rPr>
        <w:t>质疑</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36.1</w:t>
      </w:r>
      <w:r>
        <w:rPr>
          <w:rFonts w:hint="eastAsia" w:ascii="宋体" w:hAnsi="宋体" w:eastAsia="宋体" w:cs="宋体"/>
          <w:bCs/>
          <w:color w:val="auto"/>
          <w:sz w:val="24"/>
          <w:highlight w:val="none"/>
        </w:rPr>
        <w:t>投标人认为采购过程、中标结果使自己的合法权益受到损害的，可以在知道或应当知道自己的权益受到损害之日起7个工作日内，由投标人授权代表（或法人代表）按照相关规定，向采购人提出质疑，逾期不予受理。</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36.2质疑书内容应包括质疑的详细理由和依据，并提供有关证明资料。</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36.3 有以下情形之一的，视为无效质疑：</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36.3.1 未按规定时间或规定手续提交质疑的；</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36.3.2 质疑内容含糊不清、没有提供详细理由和依据，无法进行核查的；</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36.3.3 其他不符合质疑程序和有关规定的。</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被判定无效质疑的，采购人将书面回复投标单位其质疑无效的理由，并记录无效质疑一次。</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36.4</w:t>
      </w:r>
      <w:r>
        <w:rPr>
          <w:rFonts w:hint="eastAsia" w:ascii="宋体" w:hAnsi="宋体" w:cs="宋体"/>
          <w:color w:val="auto"/>
          <w:sz w:val="24"/>
          <w:highlight w:val="none"/>
        </w:rPr>
        <w:t>采购人</w:t>
      </w:r>
      <w:r>
        <w:rPr>
          <w:rFonts w:hint="eastAsia" w:ascii="宋体" w:hAnsi="宋体" w:cs="宋体"/>
          <w:bCs/>
          <w:color w:val="auto"/>
          <w:sz w:val="24"/>
          <w:highlight w:val="none"/>
        </w:rPr>
        <w:t>将在受到书面质疑后7个工作日内审查质疑事项，作出答复或相关处理决定，并以书面形式通知质疑人，但答复的内容不涉及商业秘密。</w:t>
      </w:r>
    </w:p>
    <w:p>
      <w:pPr>
        <w:spacing w:line="360" w:lineRule="auto"/>
        <w:ind w:firstLine="549"/>
        <w:rPr>
          <w:rFonts w:hint="eastAsia" w:ascii="宋体" w:hAnsi="宋体" w:cs="宋体"/>
          <w:bCs/>
          <w:color w:val="auto"/>
          <w:sz w:val="24"/>
          <w:highlight w:val="none"/>
        </w:rPr>
      </w:pPr>
      <w:r>
        <w:rPr>
          <w:rFonts w:hint="eastAsia" w:ascii="宋体" w:hAnsi="宋体" w:cs="宋体"/>
          <w:color w:val="auto"/>
          <w:sz w:val="24"/>
          <w:highlight w:val="none"/>
        </w:rPr>
        <w:t>36.5</w:t>
      </w:r>
      <w:r>
        <w:rPr>
          <w:rFonts w:hint="eastAsia" w:ascii="宋体" w:hAnsi="宋体" w:cs="宋体"/>
          <w:bCs/>
          <w:color w:val="auto"/>
          <w:sz w:val="24"/>
          <w:highlight w:val="none"/>
        </w:rPr>
        <w:t>投诉人有下列情形之一的，属于虚假、恶意投诉，</w:t>
      </w:r>
      <w:r>
        <w:rPr>
          <w:rFonts w:hint="eastAsia" w:ascii="宋体" w:hAnsi="宋体" w:cs="宋体"/>
          <w:color w:val="auto"/>
          <w:sz w:val="24"/>
          <w:highlight w:val="none"/>
        </w:rPr>
        <w:t>政府采购监督管理部门</w:t>
      </w:r>
      <w:r>
        <w:rPr>
          <w:rFonts w:hint="eastAsia" w:ascii="宋体" w:hAnsi="宋体" w:cs="宋体"/>
          <w:bCs/>
          <w:color w:val="auto"/>
          <w:sz w:val="24"/>
          <w:highlight w:val="none"/>
        </w:rPr>
        <w:t>将驳回投诉，将其列入不良行为记录名单，并依法予以处罚：</w:t>
      </w:r>
    </w:p>
    <w:p>
      <w:pPr>
        <w:spacing w:line="360" w:lineRule="auto"/>
        <w:ind w:firstLine="523" w:firstLineChars="218"/>
        <w:rPr>
          <w:rFonts w:hint="eastAsia" w:ascii="宋体" w:hAnsi="宋体" w:cs="宋体"/>
          <w:bCs/>
          <w:color w:val="auto"/>
          <w:sz w:val="24"/>
          <w:highlight w:val="none"/>
        </w:rPr>
      </w:pPr>
      <w:r>
        <w:rPr>
          <w:rFonts w:hint="eastAsia" w:ascii="宋体" w:hAnsi="宋体" w:cs="宋体"/>
          <w:bCs/>
          <w:color w:val="auto"/>
          <w:sz w:val="24"/>
          <w:highlight w:val="none"/>
        </w:rPr>
        <w:t>36.5.1一年内三次以上投诉均查无实据的；</w:t>
      </w:r>
    </w:p>
    <w:p>
      <w:pPr>
        <w:spacing w:line="360" w:lineRule="auto"/>
        <w:ind w:firstLine="523" w:firstLineChars="218"/>
        <w:rPr>
          <w:rFonts w:hint="eastAsia" w:ascii="宋体" w:hAnsi="宋体" w:cs="宋体"/>
          <w:bCs/>
          <w:color w:val="auto"/>
          <w:sz w:val="24"/>
          <w:highlight w:val="none"/>
        </w:rPr>
      </w:pPr>
      <w:r>
        <w:rPr>
          <w:rFonts w:hint="eastAsia" w:ascii="宋体" w:hAnsi="宋体" w:cs="宋体"/>
          <w:bCs/>
          <w:color w:val="auto"/>
          <w:sz w:val="24"/>
          <w:highlight w:val="none"/>
        </w:rPr>
        <w:t>36.5.2捏造事实、提供虚假投诉材料或提供以非法手段取得的证明材料质疑的；</w:t>
      </w:r>
    </w:p>
    <w:p>
      <w:pPr>
        <w:spacing w:line="360" w:lineRule="auto"/>
        <w:ind w:firstLine="523" w:firstLineChars="218"/>
        <w:rPr>
          <w:rFonts w:hint="eastAsia" w:ascii="宋体" w:hAnsi="宋体" w:cs="宋体"/>
          <w:bCs/>
          <w:color w:val="auto"/>
          <w:sz w:val="24"/>
          <w:highlight w:val="none"/>
        </w:rPr>
      </w:pPr>
      <w:r>
        <w:rPr>
          <w:rFonts w:hint="eastAsia" w:ascii="宋体" w:hAnsi="宋体" w:cs="宋体"/>
          <w:color w:val="auto"/>
          <w:sz w:val="24"/>
          <w:highlight w:val="none"/>
        </w:rPr>
        <w:t>36.5.3其他经认定属于虚假、恶意投诉的行为</w:t>
      </w:r>
      <w:r>
        <w:rPr>
          <w:rFonts w:hint="eastAsia" w:ascii="宋体" w:hAnsi="宋体" w:cs="宋体"/>
          <w:bCs/>
          <w:color w:val="auto"/>
          <w:sz w:val="24"/>
          <w:highlight w:val="none"/>
        </w:rPr>
        <w:t>。</w:t>
      </w:r>
    </w:p>
    <w:p>
      <w:pPr>
        <w:spacing w:line="360" w:lineRule="auto"/>
        <w:ind w:firstLine="549"/>
        <w:rPr>
          <w:rFonts w:hint="eastAsia" w:ascii="宋体" w:hAnsi="宋体" w:cs="宋体"/>
          <w:b/>
          <w:color w:val="auto"/>
          <w:sz w:val="24"/>
          <w:highlight w:val="none"/>
        </w:rPr>
      </w:pPr>
      <w:r>
        <w:rPr>
          <w:rFonts w:hint="eastAsia" w:ascii="宋体" w:hAnsi="宋体" w:cs="宋体"/>
          <w:b/>
          <w:color w:val="auto"/>
          <w:sz w:val="24"/>
          <w:highlight w:val="none"/>
        </w:rPr>
        <w:t>37.未尽事宜</w:t>
      </w:r>
    </w:p>
    <w:p>
      <w:pPr>
        <w:spacing w:line="360" w:lineRule="auto"/>
        <w:ind w:firstLine="549"/>
        <w:rPr>
          <w:rFonts w:hint="eastAsia" w:ascii="宋体" w:hAnsi="宋体" w:cs="宋体"/>
          <w:color w:val="auto"/>
          <w:sz w:val="24"/>
          <w:highlight w:val="none"/>
        </w:rPr>
      </w:pPr>
      <w:r>
        <w:rPr>
          <w:rFonts w:hint="eastAsia" w:ascii="宋体" w:hAnsi="宋体" w:cs="宋体"/>
          <w:color w:val="auto"/>
          <w:sz w:val="24"/>
          <w:highlight w:val="none"/>
        </w:rPr>
        <w:t>37.1按《中华人民共和国政府采购法》及其他有关法律法规的规定执行。</w:t>
      </w:r>
    </w:p>
    <w:p>
      <w:pPr>
        <w:spacing w:line="360" w:lineRule="auto"/>
        <w:ind w:firstLine="549"/>
        <w:rPr>
          <w:rFonts w:hint="eastAsia" w:ascii="宋体" w:hAnsi="宋体" w:cs="宋体"/>
          <w:bCs/>
          <w:color w:val="auto"/>
          <w:sz w:val="24"/>
          <w:highlight w:val="none"/>
        </w:rPr>
      </w:pPr>
      <w:r>
        <w:rPr>
          <w:rFonts w:hint="eastAsia" w:ascii="宋体" w:hAnsi="宋体" w:cs="宋体"/>
          <w:b/>
          <w:color w:val="auto"/>
          <w:sz w:val="24"/>
          <w:highlight w:val="none"/>
        </w:rPr>
        <w:t>38.解释权</w:t>
      </w:r>
    </w:p>
    <w:p>
      <w:pPr>
        <w:spacing w:line="360" w:lineRule="auto"/>
        <w:ind w:firstLine="549"/>
        <w:rPr>
          <w:rFonts w:hint="eastAsia" w:ascii="宋体" w:hAnsi="宋体" w:cs="宋体"/>
          <w:bCs/>
          <w:color w:val="auto"/>
          <w:sz w:val="24"/>
          <w:highlight w:val="none"/>
        </w:rPr>
      </w:pPr>
      <w:r>
        <w:rPr>
          <w:rFonts w:hint="eastAsia" w:ascii="宋体" w:hAnsi="宋体" w:cs="宋体"/>
          <w:bCs/>
          <w:color w:val="auto"/>
          <w:sz w:val="24"/>
          <w:highlight w:val="none"/>
        </w:rPr>
        <w:t>38.1本招标文件的解释权属于采购人。</w:t>
      </w:r>
    </w:p>
    <w:p>
      <w:pPr>
        <w:spacing w:line="360" w:lineRule="auto"/>
        <w:rPr>
          <w:rFonts w:hint="eastAsia" w:ascii="宋体" w:hAnsi="宋体" w:cs="宋体"/>
          <w:bCs/>
          <w:color w:val="auto"/>
          <w:sz w:val="24"/>
          <w:highlight w:val="none"/>
        </w:rPr>
      </w:pPr>
    </w:p>
    <w:p>
      <w:pPr>
        <w:bidi w:val="0"/>
        <w:rPr>
          <w:color w:val="auto"/>
          <w:highlight w:val="none"/>
        </w:rPr>
      </w:pPr>
      <w:bookmarkStart w:id="115" w:name="_Toc220232391"/>
      <w:bookmarkStart w:id="116" w:name="_Toc26087_WPSOffice_Level1"/>
      <w:r>
        <w:rPr>
          <w:color w:val="auto"/>
          <w:highlight w:val="none"/>
        </w:rPr>
        <w:br w:type="page"/>
      </w:r>
      <w:bookmarkStart w:id="117" w:name="_Toc40975448"/>
    </w:p>
    <w:p>
      <w:pPr>
        <w:bidi w:val="0"/>
        <w:rPr>
          <w:color w:val="auto"/>
          <w:highlight w:val="none"/>
        </w:rPr>
      </w:pPr>
    </w:p>
    <w:p>
      <w:pPr>
        <w:pStyle w:val="3"/>
        <w:bidi w:val="0"/>
        <w:spacing w:line="240" w:lineRule="auto"/>
        <w:jc w:val="center"/>
        <w:rPr>
          <w:rFonts w:hint="eastAsia"/>
          <w:color w:val="auto"/>
          <w:highlight w:val="none"/>
          <w:lang w:val="en-US"/>
        </w:rPr>
      </w:pPr>
      <w:bookmarkStart w:id="118" w:name="_Toc8962"/>
      <w:r>
        <w:rPr>
          <w:rFonts w:hint="eastAsia"/>
          <w:color w:val="auto"/>
          <w:highlight w:val="none"/>
        </w:rPr>
        <w:t>第六章</w:t>
      </w:r>
      <w:bookmarkEnd w:id="115"/>
      <w:bookmarkStart w:id="119" w:name="_Toc220232392"/>
      <w:r>
        <w:rPr>
          <w:rFonts w:hint="eastAsia"/>
          <w:color w:val="auto"/>
          <w:highlight w:val="none"/>
        </w:rPr>
        <w:t xml:space="preserve"> </w:t>
      </w:r>
      <w:bookmarkEnd w:id="116"/>
      <w:bookmarkEnd w:id="117"/>
      <w:bookmarkEnd w:id="119"/>
      <w:r>
        <w:rPr>
          <w:rFonts w:hint="eastAsia"/>
          <w:color w:val="auto"/>
          <w:highlight w:val="none"/>
          <w:lang w:val="en-US"/>
        </w:rPr>
        <w:t>周口市政府采购合同（货物类）标准文本</w:t>
      </w:r>
      <w:bookmarkEnd w:id="118"/>
    </w:p>
    <w:p>
      <w:pPr>
        <w:rPr>
          <w:rFonts w:ascii="黑体" w:hAnsi="黑体" w:eastAsia="黑体" w:cs="黑体"/>
          <w:color w:val="auto"/>
          <w:sz w:val="28"/>
          <w:szCs w:val="28"/>
          <w:highlight w:val="none"/>
          <w:lang w:val="en-US"/>
        </w:rPr>
      </w:pPr>
    </w:p>
    <w:p>
      <w:pPr>
        <w:pStyle w:val="46"/>
        <w:spacing w:beforeLines="0" w:afterLines="0"/>
        <w:ind w:left="0"/>
        <w:rPr>
          <w:rFonts w:ascii="黑体" w:hAnsi="黑体" w:eastAsia="黑体" w:cs="黑体"/>
          <w:color w:val="auto"/>
          <w:sz w:val="32"/>
          <w:szCs w:val="32"/>
          <w:highlight w:val="none"/>
          <w:lang w:val="en-US"/>
        </w:rPr>
      </w:pPr>
    </w:p>
    <w:p>
      <w:pPr>
        <w:pStyle w:val="46"/>
        <w:spacing w:beforeLines="0" w:afterLines="0"/>
        <w:ind w:left="0"/>
        <w:rPr>
          <w:rFonts w:ascii="黑体" w:hAnsi="黑体" w:eastAsia="黑体" w:cs="黑体"/>
          <w:color w:val="auto"/>
          <w:sz w:val="32"/>
          <w:szCs w:val="32"/>
          <w:highlight w:val="none"/>
          <w:lang w:val="en-US"/>
        </w:rPr>
      </w:pPr>
    </w:p>
    <w:p>
      <w:pPr>
        <w:pStyle w:val="46"/>
        <w:spacing w:beforeLines="0" w:afterLines="0"/>
        <w:ind w:left="0"/>
        <w:rPr>
          <w:rFonts w:ascii="黑体" w:hAnsi="黑体" w:eastAsia="黑体" w:cs="黑体"/>
          <w:color w:val="auto"/>
          <w:sz w:val="30"/>
          <w:szCs w:val="30"/>
          <w:highlight w:val="none"/>
          <w:lang w:val="en-US"/>
        </w:rPr>
      </w:pPr>
    </w:p>
    <w:p>
      <w:pPr>
        <w:pStyle w:val="46"/>
        <w:spacing w:beforeLines="0" w:afterLines="0"/>
        <w:ind w:left="0"/>
        <w:rPr>
          <w:rFonts w:hint="eastAsia" w:ascii="黑体" w:hAnsi="黑体" w:eastAsia="黑体" w:cs="黑体"/>
          <w:color w:val="auto"/>
          <w:sz w:val="30"/>
          <w:szCs w:val="30"/>
          <w:highlight w:val="none"/>
          <w:lang w:val="en-US"/>
        </w:rPr>
      </w:pPr>
    </w:p>
    <w:p>
      <w:pPr>
        <w:pStyle w:val="46"/>
        <w:spacing w:beforeLines="0" w:afterLines="0"/>
        <w:ind w:left="0"/>
        <w:rPr>
          <w:rFonts w:hint="eastAsia" w:ascii="黑体" w:hAnsi="黑体" w:eastAsia="黑体" w:cs="黑体"/>
          <w:color w:val="auto"/>
          <w:sz w:val="30"/>
          <w:szCs w:val="30"/>
          <w:highlight w:val="none"/>
          <w:lang w:val="en-US"/>
        </w:rPr>
      </w:pPr>
    </w:p>
    <w:p>
      <w:pPr>
        <w:pStyle w:val="46"/>
        <w:spacing w:beforeLines="0" w:afterLines="0"/>
        <w:ind w:left="0"/>
        <w:rPr>
          <w:rFonts w:ascii="黑体" w:hAnsi="黑体" w:eastAsia="黑体" w:cs="黑体"/>
          <w:color w:val="auto"/>
          <w:sz w:val="30"/>
          <w:szCs w:val="30"/>
          <w:highlight w:val="none"/>
          <w:lang w:val="en-US"/>
        </w:rPr>
      </w:pPr>
    </w:p>
    <w:p>
      <w:pPr>
        <w:pStyle w:val="46"/>
        <w:spacing w:beforeLines="0" w:afterLines="0"/>
        <w:ind w:left="0"/>
        <w:rPr>
          <w:rFonts w:ascii="黑体" w:hAnsi="黑体" w:eastAsia="黑体" w:cs="黑体"/>
          <w:color w:val="auto"/>
          <w:sz w:val="30"/>
          <w:szCs w:val="30"/>
          <w:highlight w:val="none"/>
          <w:lang w:val="en-US"/>
        </w:rPr>
      </w:pPr>
    </w:p>
    <w:p>
      <w:pPr>
        <w:pStyle w:val="46"/>
        <w:spacing w:beforeLines="0" w:afterLines="0"/>
        <w:ind w:left="0"/>
        <w:rPr>
          <w:rFonts w:ascii="黑体" w:hAnsi="黑体" w:eastAsia="黑体" w:cs="黑体"/>
          <w:color w:val="auto"/>
          <w:sz w:val="30"/>
          <w:szCs w:val="30"/>
          <w:highlight w:val="none"/>
          <w:lang w:val="en-US"/>
        </w:rPr>
      </w:pPr>
    </w:p>
    <w:p>
      <w:pPr>
        <w:pStyle w:val="46"/>
        <w:spacing w:beforeLines="0" w:afterLines="0"/>
        <w:ind w:left="0" w:firstLine="900" w:firstLineChars="300"/>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政府采购项目名称：</w:t>
      </w:r>
    </w:p>
    <w:p>
      <w:pPr>
        <w:pStyle w:val="46"/>
        <w:spacing w:beforeLines="0" w:afterLines="0"/>
        <w:ind w:left="0" w:firstLine="900" w:firstLineChars="300"/>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政府采购项目编号：</w:t>
      </w:r>
    </w:p>
    <w:p>
      <w:pPr>
        <w:pStyle w:val="46"/>
        <w:spacing w:beforeLines="0" w:afterLines="0"/>
        <w:ind w:left="0" w:firstLine="900" w:firstLineChars="300"/>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采      购    人：</w:t>
      </w:r>
    </w:p>
    <w:p>
      <w:pPr>
        <w:pStyle w:val="46"/>
        <w:spacing w:beforeLines="0" w:afterLines="0"/>
        <w:ind w:left="0" w:firstLine="900" w:firstLineChars="300"/>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供      应    商：</w:t>
      </w:r>
    </w:p>
    <w:p>
      <w:pPr>
        <w:pStyle w:val="46"/>
        <w:spacing w:beforeLines="0" w:afterLines="0"/>
        <w:ind w:left="0" w:firstLine="900" w:firstLineChars="300"/>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合  同  签 订 地：</w:t>
      </w:r>
    </w:p>
    <w:p>
      <w:pPr>
        <w:pStyle w:val="46"/>
        <w:spacing w:beforeLines="0" w:afterLines="0"/>
        <w:ind w:left="0" w:firstLine="900" w:firstLineChars="300"/>
        <w:rPr>
          <w:rFonts w:hint="eastAsia"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合 同 签订 时 间：</w:t>
      </w:r>
    </w:p>
    <w:p>
      <w:pPr>
        <w:pStyle w:val="46"/>
        <w:spacing w:beforeLines="0" w:afterLines="0"/>
        <w:ind w:left="0"/>
        <w:rPr>
          <w:rFonts w:hint="eastAsia" w:ascii="黑体" w:hAnsi="黑体" w:eastAsia="黑体" w:cs="黑体"/>
          <w:color w:val="auto"/>
          <w:sz w:val="30"/>
          <w:szCs w:val="30"/>
          <w:highlight w:val="none"/>
          <w:lang w:val="en-US"/>
        </w:rPr>
      </w:pPr>
    </w:p>
    <w:p>
      <w:pPr>
        <w:pStyle w:val="46"/>
        <w:spacing w:beforeLines="0" w:afterLines="0"/>
        <w:ind w:left="0"/>
        <w:rPr>
          <w:rFonts w:ascii="黑体" w:hAnsi="黑体" w:eastAsia="黑体" w:cs="黑体"/>
          <w:color w:val="auto"/>
          <w:sz w:val="30"/>
          <w:szCs w:val="30"/>
          <w:highlight w:val="none"/>
          <w:lang w:val="en-US"/>
        </w:rPr>
      </w:pPr>
    </w:p>
    <w:p>
      <w:pPr>
        <w:pStyle w:val="46"/>
        <w:spacing w:beforeLines="0" w:afterLines="0"/>
        <w:ind w:left="0"/>
        <w:rPr>
          <w:rFonts w:ascii="黑体" w:hAnsi="黑体" w:eastAsia="黑体" w:cs="黑体"/>
          <w:color w:val="auto"/>
          <w:sz w:val="30"/>
          <w:szCs w:val="30"/>
          <w:highlight w:val="none"/>
          <w:lang w:val="en-US"/>
        </w:rPr>
      </w:pPr>
    </w:p>
    <w:p>
      <w:pPr>
        <w:pStyle w:val="46"/>
        <w:spacing w:beforeLines="0" w:afterLines="0"/>
        <w:ind w:left="0"/>
        <w:rPr>
          <w:rFonts w:ascii="黑体" w:hAnsi="黑体" w:eastAsia="黑体" w:cs="黑体"/>
          <w:color w:val="auto"/>
          <w:sz w:val="30"/>
          <w:szCs w:val="30"/>
          <w:highlight w:val="none"/>
          <w:lang w:val="en-US"/>
        </w:rPr>
      </w:pPr>
    </w:p>
    <w:p>
      <w:pPr>
        <w:pStyle w:val="46"/>
        <w:spacing w:beforeLines="0" w:afterLines="0"/>
        <w:ind w:left="0"/>
        <w:rPr>
          <w:rFonts w:ascii="黑体" w:hAnsi="黑体" w:eastAsia="黑体" w:cs="黑体"/>
          <w:color w:val="auto"/>
          <w:sz w:val="30"/>
          <w:szCs w:val="30"/>
          <w:highlight w:val="none"/>
          <w:lang w:val="en-US"/>
        </w:rPr>
      </w:pPr>
    </w:p>
    <w:p>
      <w:pPr>
        <w:pStyle w:val="46"/>
        <w:spacing w:beforeLines="0" w:afterLines="0"/>
        <w:ind w:left="0"/>
        <w:jc w:val="center"/>
        <w:rPr>
          <w:rFonts w:hint="eastAsia" w:ascii="方正小标宋简体" w:eastAsia="方正小标宋简体"/>
          <w:color w:val="auto"/>
          <w:sz w:val="32"/>
          <w:szCs w:val="32"/>
          <w:highlight w:val="none"/>
        </w:rPr>
      </w:pPr>
    </w:p>
    <w:p>
      <w:pPr>
        <w:pStyle w:val="46"/>
        <w:spacing w:beforeLines="0" w:afterLines="0" w:line="460" w:lineRule="exact"/>
        <w:ind w:left="0"/>
        <w:jc w:val="center"/>
        <w:rPr>
          <w:rFonts w:hint="eastAsia" w:ascii="方正小标宋简体" w:eastAsia="方正小标宋简体"/>
          <w:color w:val="auto"/>
          <w:sz w:val="32"/>
          <w:szCs w:val="32"/>
          <w:highlight w:val="none"/>
        </w:rPr>
      </w:pPr>
      <w:r>
        <w:rPr>
          <w:rFonts w:hint="eastAsia" w:ascii="方正小标宋简体" w:eastAsia="方正小标宋简体"/>
          <w:color w:val="auto"/>
          <w:sz w:val="32"/>
          <w:szCs w:val="32"/>
          <w:highlight w:val="none"/>
        </w:rPr>
        <w:t>合同签订指引</w:t>
      </w:r>
    </w:p>
    <w:p>
      <w:pPr>
        <w:pStyle w:val="46"/>
        <w:spacing w:beforeLines="0" w:afterLines="0" w:line="460" w:lineRule="exact"/>
        <w:ind w:left="0" w:firstLine="420" w:firstLineChars="200"/>
        <w:jc w:val="both"/>
        <w:rPr>
          <w:rFonts w:hint="eastAsia"/>
          <w:color w:val="auto"/>
          <w:sz w:val="21"/>
          <w:szCs w:val="21"/>
          <w:highlight w:val="none"/>
        </w:rPr>
      </w:pPr>
    </w:p>
    <w:p>
      <w:pPr>
        <w:pStyle w:val="46"/>
        <w:spacing w:beforeLines="0" w:afterLines="0" w:line="460" w:lineRule="exact"/>
        <w:ind w:left="0" w:firstLine="420" w:firstLineChars="200"/>
        <w:jc w:val="both"/>
        <w:rPr>
          <w:color w:val="auto"/>
          <w:sz w:val="21"/>
          <w:szCs w:val="21"/>
          <w:highlight w:val="none"/>
        </w:rPr>
      </w:pPr>
      <w:r>
        <w:rPr>
          <w:rFonts w:hint="eastAsia"/>
          <w:color w:val="auto"/>
          <w:sz w:val="21"/>
          <w:szCs w:val="21"/>
          <w:highlight w:val="none"/>
        </w:rPr>
        <w:t>一、采购人在签订合同时应提供的资料：</w:t>
      </w:r>
    </w:p>
    <w:p>
      <w:pPr>
        <w:pStyle w:val="46"/>
        <w:spacing w:beforeLines="0" w:afterLines="0" w:line="460" w:lineRule="exact"/>
        <w:ind w:left="0" w:firstLine="420" w:firstLineChars="200"/>
        <w:jc w:val="both"/>
        <w:rPr>
          <w:color w:val="auto"/>
          <w:sz w:val="21"/>
          <w:szCs w:val="21"/>
          <w:highlight w:val="none"/>
        </w:rPr>
      </w:pPr>
      <w:r>
        <w:rPr>
          <w:rFonts w:hint="eastAsia"/>
          <w:color w:val="auto"/>
          <w:sz w:val="21"/>
          <w:szCs w:val="21"/>
          <w:highlight w:val="none"/>
          <w:lang w:val="en-US"/>
        </w:rPr>
        <w:t>1、该政府采购项目的</w:t>
      </w:r>
      <w:r>
        <w:rPr>
          <w:rFonts w:hint="eastAsia"/>
          <w:color w:val="auto"/>
          <w:sz w:val="21"/>
          <w:szCs w:val="21"/>
          <w:highlight w:val="none"/>
        </w:rPr>
        <w:t>招标采购文件（以网上发布内容为准）；</w:t>
      </w:r>
    </w:p>
    <w:p>
      <w:pPr>
        <w:pStyle w:val="46"/>
        <w:spacing w:beforeLines="0" w:afterLines="0" w:line="460" w:lineRule="exact"/>
        <w:ind w:left="0" w:firstLine="420" w:firstLineChars="200"/>
        <w:jc w:val="both"/>
        <w:rPr>
          <w:color w:val="auto"/>
          <w:sz w:val="21"/>
          <w:szCs w:val="21"/>
          <w:highlight w:val="none"/>
        </w:rPr>
      </w:pPr>
      <w:r>
        <w:rPr>
          <w:rFonts w:hint="eastAsia"/>
          <w:color w:val="auto"/>
          <w:sz w:val="21"/>
          <w:szCs w:val="21"/>
          <w:highlight w:val="none"/>
          <w:lang w:val="en-US"/>
        </w:rPr>
        <w:t>2、该政府采购项目</w:t>
      </w:r>
      <w:r>
        <w:rPr>
          <w:rFonts w:hint="eastAsia"/>
          <w:color w:val="auto"/>
          <w:sz w:val="21"/>
          <w:szCs w:val="21"/>
          <w:highlight w:val="none"/>
        </w:rPr>
        <w:t>招标文件的澄清和修改内容（公告内容）；</w:t>
      </w:r>
    </w:p>
    <w:p>
      <w:pPr>
        <w:pStyle w:val="46"/>
        <w:spacing w:beforeLines="0" w:afterLines="0" w:line="460" w:lineRule="exact"/>
        <w:ind w:left="0" w:firstLine="420" w:firstLineChars="200"/>
        <w:jc w:val="both"/>
        <w:rPr>
          <w:color w:val="auto"/>
          <w:sz w:val="21"/>
          <w:szCs w:val="21"/>
          <w:highlight w:val="none"/>
          <w:lang w:val="en-US"/>
        </w:rPr>
      </w:pPr>
      <w:r>
        <w:rPr>
          <w:rFonts w:hint="eastAsia"/>
          <w:color w:val="auto"/>
          <w:sz w:val="21"/>
          <w:szCs w:val="21"/>
          <w:highlight w:val="none"/>
          <w:lang w:val="en-US"/>
        </w:rPr>
        <w:t>3、该政府采购项目评审报告；</w:t>
      </w:r>
    </w:p>
    <w:p>
      <w:pPr>
        <w:pStyle w:val="46"/>
        <w:spacing w:beforeLines="0" w:afterLines="0" w:line="460" w:lineRule="exact"/>
        <w:ind w:left="0" w:firstLine="420" w:firstLineChars="200"/>
        <w:jc w:val="both"/>
        <w:rPr>
          <w:color w:val="auto"/>
          <w:sz w:val="21"/>
          <w:szCs w:val="21"/>
          <w:highlight w:val="none"/>
          <w:lang w:val="en-US"/>
        </w:rPr>
      </w:pPr>
      <w:r>
        <w:rPr>
          <w:rFonts w:hint="eastAsia"/>
          <w:color w:val="auto"/>
          <w:sz w:val="21"/>
          <w:szCs w:val="21"/>
          <w:highlight w:val="none"/>
          <w:lang w:val="en-US"/>
        </w:rPr>
        <w:t>4、采购单位法人授权委托书（法人到场并签字的除外）；</w:t>
      </w:r>
    </w:p>
    <w:p>
      <w:pPr>
        <w:pStyle w:val="46"/>
        <w:spacing w:beforeLines="0" w:afterLines="0" w:line="460" w:lineRule="exact"/>
        <w:ind w:left="0" w:firstLine="420" w:firstLineChars="200"/>
        <w:jc w:val="both"/>
        <w:rPr>
          <w:color w:val="auto"/>
          <w:sz w:val="21"/>
          <w:szCs w:val="21"/>
          <w:highlight w:val="none"/>
          <w:lang w:val="en-US"/>
        </w:rPr>
      </w:pPr>
      <w:r>
        <w:rPr>
          <w:rFonts w:hint="eastAsia"/>
          <w:color w:val="auto"/>
          <w:sz w:val="21"/>
          <w:szCs w:val="21"/>
          <w:highlight w:val="none"/>
          <w:lang w:val="en-US"/>
        </w:rPr>
        <w:t>5、采购单位被授权人身份证件（法人到场并签字的除外）；</w:t>
      </w:r>
    </w:p>
    <w:p>
      <w:pPr>
        <w:pStyle w:val="46"/>
        <w:spacing w:beforeLines="0" w:afterLines="0" w:line="460" w:lineRule="exact"/>
        <w:ind w:left="0" w:firstLine="420" w:firstLineChars="200"/>
        <w:jc w:val="both"/>
        <w:rPr>
          <w:color w:val="auto"/>
          <w:sz w:val="21"/>
          <w:szCs w:val="21"/>
          <w:highlight w:val="none"/>
          <w:lang w:val="en-US"/>
        </w:rPr>
      </w:pPr>
      <w:r>
        <w:rPr>
          <w:rFonts w:hint="eastAsia"/>
          <w:color w:val="auto"/>
          <w:sz w:val="21"/>
          <w:szCs w:val="21"/>
          <w:highlight w:val="none"/>
          <w:lang w:val="en-US"/>
        </w:rPr>
        <w:t>6、采购人和中标供应商约定的其它内容（不得超出</w:t>
      </w:r>
      <w:r>
        <w:rPr>
          <w:rFonts w:hint="eastAsia"/>
          <w:color w:val="auto"/>
          <w:sz w:val="21"/>
          <w:szCs w:val="21"/>
          <w:highlight w:val="none"/>
        </w:rPr>
        <w:t>招标采购文件实质性内容</w:t>
      </w:r>
      <w:r>
        <w:rPr>
          <w:rFonts w:hint="eastAsia"/>
          <w:color w:val="auto"/>
          <w:sz w:val="21"/>
          <w:szCs w:val="21"/>
          <w:highlight w:val="none"/>
          <w:lang w:val="en-US"/>
        </w:rPr>
        <w:t>）。</w:t>
      </w:r>
    </w:p>
    <w:p>
      <w:pPr>
        <w:pStyle w:val="46"/>
        <w:spacing w:beforeLines="0" w:afterLines="0" w:line="460" w:lineRule="exact"/>
        <w:ind w:left="0" w:firstLine="420" w:firstLineChars="200"/>
        <w:jc w:val="both"/>
        <w:rPr>
          <w:color w:val="auto"/>
          <w:sz w:val="21"/>
          <w:szCs w:val="21"/>
          <w:highlight w:val="none"/>
        </w:rPr>
      </w:pPr>
      <w:r>
        <w:rPr>
          <w:rFonts w:hint="eastAsia"/>
          <w:color w:val="auto"/>
          <w:sz w:val="21"/>
          <w:szCs w:val="21"/>
          <w:highlight w:val="none"/>
          <w:lang w:val="en-US"/>
        </w:rPr>
        <w:t>二、</w:t>
      </w:r>
      <w:r>
        <w:rPr>
          <w:rFonts w:hint="eastAsia"/>
          <w:color w:val="auto"/>
          <w:sz w:val="21"/>
          <w:szCs w:val="21"/>
          <w:highlight w:val="none"/>
        </w:rPr>
        <w:t>供应商在签订合同时应提供的资料：</w:t>
      </w:r>
    </w:p>
    <w:p>
      <w:pPr>
        <w:pStyle w:val="46"/>
        <w:spacing w:beforeLines="0" w:afterLines="0" w:line="460" w:lineRule="exact"/>
        <w:ind w:left="0" w:firstLine="420" w:firstLineChars="200"/>
        <w:jc w:val="both"/>
        <w:rPr>
          <w:color w:val="auto"/>
          <w:sz w:val="21"/>
          <w:szCs w:val="21"/>
          <w:highlight w:val="none"/>
        </w:rPr>
      </w:pPr>
      <w:r>
        <w:rPr>
          <w:rFonts w:hint="eastAsia"/>
          <w:color w:val="auto"/>
          <w:sz w:val="21"/>
          <w:szCs w:val="21"/>
          <w:highlight w:val="none"/>
          <w:lang w:val="en-US"/>
        </w:rPr>
        <w:t>1、该政府采购项目的</w:t>
      </w:r>
      <w:r>
        <w:rPr>
          <w:rFonts w:hint="eastAsia"/>
          <w:color w:val="auto"/>
          <w:sz w:val="21"/>
          <w:szCs w:val="21"/>
          <w:highlight w:val="none"/>
        </w:rPr>
        <w:t>投标文件（纸质或</w:t>
      </w:r>
      <w:r>
        <w:rPr>
          <w:rFonts w:hint="eastAsia"/>
          <w:color w:val="auto"/>
          <w:sz w:val="21"/>
          <w:szCs w:val="21"/>
          <w:highlight w:val="none"/>
          <w:lang w:val="en-US"/>
        </w:rPr>
        <w:t>DPF格式的电子</w:t>
      </w:r>
      <w:r>
        <w:rPr>
          <w:rFonts w:hint="eastAsia"/>
          <w:color w:val="auto"/>
          <w:sz w:val="21"/>
          <w:szCs w:val="21"/>
          <w:highlight w:val="none"/>
        </w:rPr>
        <w:t>投标文件）；</w:t>
      </w:r>
    </w:p>
    <w:p>
      <w:pPr>
        <w:pStyle w:val="46"/>
        <w:spacing w:beforeLines="0" w:afterLines="0" w:line="460" w:lineRule="exact"/>
        <w:ind w:left="0" w:firstLine="420" w:firstLineChars="200"/>
        <w:jc w:val="both"/>
        <w:rPr>
          <w:color w:val="auto"/>
          <w:sz w:val="21"/>
          <w:szCs w:val="21"/>
          <w:highlight w:val="none"/>
          <w:lang w:val="en-US"/>
        </w:rPr>
      </w:pPr>
      <w:r>
        <w:rPr>
          <w:rFonts w:hint="eastAsia"/>
          <w:color w:val="auto"/>
          <w:sz w:val="21"/>
          <w:szCs w:val="21"/>
          <w:highlight w:val="none"/>
          <w:lang w:val="en-US"/>
        </w:rPr>
        <w:t>2、针对该项目评审时评审委员会提出的质询答复（纸质并签章）；</w:t>
      </w:r>
    </w:p>
    <w:p>
      <w:pPr>
        <w:pStyle w:val="46"/>
        <w:spacing w:beforeLines="0" w:afterLines="0" w:line="460" w:lineRule="exact"/>
        <w:ind w:left="0" w:firstLine="420" w:firstLineChars="200"/>
        <w:jc w:val="both"/>
        <w:rPr>
          <w:color w:val="auto"/>
          <w:sz w:val="21"/>
          <w:szCs w:val="21"/>
          <w:highlight w:val="none"/>
          <w:lang w:val="en-US"/>
        </w:rPr>
      </w:pPr>
      <w:r>
        <w:rPr>
          <w:rFonts w:hint="eastAsia"/>
          <w:color w:val="auto"/>
          <w:sz w:val="21"/>
          <w:szCs w:val="21"/>
          <w:highlight w:val="none"/>
          <w:lang w:val="en-US"/>
        </w:rPr>
        <w:t>3、该政府采购项目中标通知书；</w:t>
      </w:r>
    </w:p>
    <w:p>
      <w:pPr>
        <w:pStyle w:val="46"/>
        <w:spacing w:beforeLines="0" w:afterLines="0" w:line="460" w:lineRule="exact"/>
        <w:ind w:left="0" w:firstLine="420" w:firstLineChars="200"/>
        <w:jc w:val="both"/>
        <w:rPr>
          <w:color w:val="auto"/>
          <w:sz w:val="21"/>
          <w:szCs w:val="21"/>
          <w:highlight w:val="none"/>
          <w:lang w:val="en-US"/>
        </w:rPr>
      </w:pPr>
      <w:r>
        <w:rPr>
          <w:rFonts w:hint="eastAsia"/>
          <w:color w:val="auto"/>
          <w:sz w:val="21"/>
          <w:szCs w:val="21"/>
          <w:highlight w:val="none"/>
          <w:lang w:val="en-US"/>
        </w:rPr>
        <w:t>4、供应商法人授权委托书（法人到场并签字的除外）；</w:t>
      </w:r>
    </w:p>
    <w:p>
      <w:pPr>
        <w:pStyle w:val="46"/>
        <w:spacing w:beforeLines="0" w:afterLines="0" w:line="460" w:lineRule="exact"/>
        <w:ind w:left="0" w:firstLine="420" w:firstLineChars="200"/>
        <w:jc w:val="both"/>
        <w:rPr>
          <w:color w:val="auto"/>
          <w:sz w:val="21"/>
          <w:szCs w:val="21"/>
          <w:highlight w:val="none"/>
          <w:lang w:val="en-US"/>
        </w:rPr>
      </w:pPr>
      <w:r>
        <w:rPr>
          <w:rFonts w:hint="eastAsia"/>
          <w:color w:val="auto"/>
          <w:sz w:val="21"/>
          <w:szCs w:val="21"/>
          <w:highlight w:val="none"/>
          <w:lang w:val="en-US"/>
        </w:rPr>
        <w:t>5、供应商被授权人身份证件（法人到场并签字的除外）；</w:t>
      </w:r>
    </w:p>
    <w:p>
      <w:pPr>
        <w:pStyle w:val="46"/>
        <w:spacing w:beforeLines="0" w:afterLines="0" w:line="460" w:lineRule="exact"/>
        <w:ind w:left="0" w:firstLine="420" w:firstLineChars="200"/>
        <w:jc w:val="both"/>
        <w:rPr>
          <w:color w:val="auto"/>
          <w:sz w:val="21"/>
          <w:szCs w:val="21"/>
          <w:highlight w:val="none"/>
          <w:lang w:val="en-US"/>
        </w:rPr>
      </w:pPr>
      <w:r>
        <w:rPr>
          <w:rFonts w:hint="eastAsia"/>
          <w:color w:val="auto"/>
          <w:sz w:val="21"/>
          <w:szCs w:val="21"/>
          <w:highlight w:val="none"/>
          <w:lang w:val="en-US"/>
        </w:rPr>
        <w:t>6、供应商和采购人约定的其它内容（不得超出</w:t>
      </w:r>
      <w:r>
        <w:rPr>
          <w:rFonts w:hint="eastAsia"/>
          <w:color w:val="auto"/>
          <w:sz w:val="21"/>
          <w:szCs w:val="21"/>
          <w:highlight w:val="none"/>
        </w:rPr>
        <w:t>招标采购文件实质性内容</w:t>
      </w:r>
      <w:r>
        <w:rPr>
          <w:rFonts w:hint="eastAsia"/>
          <w:color w:val="auto"/>
          <w:sz w:val="21"/>
          <w:szCs w:val="21"/>
          <w:highlight w:val="none"/>
          <w:lang w:val="en-US"/>
        </w:rPr>
        <w:t>）。</w:t>
      </w:r>
    </w:p>
    <w:p>
      <w:pPr>
        <w:pStyle w:val="46"/>
        <w:spacing w:beforeLines="0" w:afterLines="0" w:line="460" w:lineRule="exact"/>
        <w:ind w:left="0" w:firstLine="420" w:firstLineChars="200"/>
        <w:jc w:val="both"/>
        <w:rPr>
          <w:color w:val="auto"/>
          <w:sz w:val="30"/>
          <w:szCs w:val="30"/>
          <w:highlight w:val="none"/>
        </w:rPr>
      </w:pPr>
      <w:r>
        <w:rPr>
          <w:rFonts w:hint="eastAsia"/>
          <w:color w:val="auto"/>
          <w:sz w:val="21"/>
          <w:szCs w:val="21"/>
          <w:highlight w:val="none"/>
        </w:rPr>
        <w:t>三、本合同签订后二个工作日内有采购人在“周口市政府采购网”上进行合同公示。</w:t>
      </w:r>
    </w:p>
    <w:p>
      <w:pPr>
        <w:pStyle w:val="46"/>
        <w:spacing w:beforeLines="0" w:afterLines="0" w:line="460" w:lineRule="exact"/>
        <w:ind w:left="0" w:firstLine="640" w:firstLineChars="200"/>
        <w:jc w:val="center"/>
        <w:rPr>
          <w:rFonts w:hint="eastAsia" w:ascii="方正小标宋简体" w:eastAsia="方正小标宋简体"/>
          <w:bCs/>
          <w:color w:val="auto"/>
          <w:sz w:val="32"/>
          <w:szCs w:val="32"/>
          <w:highlight w:val="none"/>
        </w:rPr>
      </w:pPr>
    </w:p>
    <w:p>
      <w:pPr>
        <w:pStyle w:val="46"/>
        <w:spacing w:beforeLines="0" w:afterLines="0" w:line="460" w:lineRule="exact"/>
        <w:ind w:left="0" w:firstLine="640" w:firstLineChars="200"/>
        <w:jc w:val="center"/>
        <w:rPr>
          <w:rFonts w:hint="eastAsia" w:ascii="方正小标宋简体" w:eastAsia="方正小标宋简体"/>
          <w:color w:val="auto"/>
          <w:sz w:val="32"/>
          <w:szCs w:val="32"/>
          <w:highlight w:val="none"/>
        </w:rPr>
      </w:pPr>
      <w:r>
        <w:rPr>
          <w:rFonts w:hint="eastAsia" w:ascii="方正小标宋简体" w:eastAsia="方正小标宋简体"/>
          <w:bCs/>
          <w:color w:val="auto"/>
          <w:sz w:val="32"/>
          <w:szCs w:val="32"/>
          <w:highlight w:val="none"/>
        </w:rPr>
        <w:t>供应商履约验收指引</w:t>
      </w:r>
    </w:p>
    <w:p>
      <w:pPr>
        <w:pStyle w:val="46"/>
        <w:numPr>
          <w:ilvl w:val="0"/>
          <w:numId w:val="1"/>
        </w:numPr>
        <w:spacing w:beforeLines="0" w:afterLines="0" w:line="460" w:lineRule="exact"/>
        <w:ind w:left="0" w:firstLine="420" w:firstLineChars="200"/>
        <w:jc w:val="both"/>
        <w:rPr>
          <w:color w:val="auto"/>
          <w:szCs w:val="27"/>
          <w:highlight w:val="none"/>
        </w:rPr>
      </w:pPr>
      <w:r>
        <w:rPr>
          <w:rFonts w:hint="eastAsia" w:ascii="宋体" w:eastAsia="宋体"/>
          <w:color w:val="auto"/>
          <w:sz w:val="21"/>
          <w:szCs w:val="21"/>
          <w:highlight w:val="none"/>
          <w:lang w:val="en-US"/>
        </w:rPr>
        <w:t>供应商不得</w:t>
      </w:r>
      <w:r>
        <w:rPr>
          <w:rFonts w:hint="eastAsia" w:ascii="宋体" w:eastAsia="宋体"/>
          <w:color w:val="auto"/>
          <w:sz w:val="21"/>
          <w:szCs w:val="21"/>
          <w:highlight w:val="none"/>
        </w:rPr>
        <w:t>擅自变更合同标的物内容；</w:t>
      </w:r>
    </w:p>
    <w:p>
      <w:pPr>
        <w:pStyle w:val="46"/>
        <w:spacing w:beforeLines="0" w:afterLines="0" w:line="460" w:lineRule="exact"/>
        <w:ind w:left="0" w:firstLine="420" w:firstLineChars="200"/>
        <w:jc w:val="both"/>
        <w:rPr>
          <w:rFonts w:ascii="宋体" w:eastAsia="宋体"/>
          <w:color w:val="auto"/>
          <w:sz w:val="21"/>
          <w:szCs w:val="21"/>
          <w:highlight w:val="none"/>
        </w:rPr>
      </w:pPr>
      <w:r>
        <w:rPr>
          <w:rFonts w:hint="eastAsia" w:ascii="宋体" w:eastAsia="宋体"/>
          <w:color w:val="auto"/>
          <w:sz w:val="21"/>
          <w:szCs w:val="21"/>
          <w:highlight w:val="none"/>
          <w:lang w:val="en-US"/>
        </w:rPr>
        <w:t>2、</w:t>
      </w:r>
      <w:r>
        <w:rPr>
          <w:rFonts w:hint="eastAsia" w:ascii="宋体" w:eastAsia="宋体"/>
          <w:color w:val="auto"/>
          <w:sz w:val="21"/>
          <w:szCs w:val="21"/>
          <w:highlight w:val="none"/>
          <w:lang w:val="en-US" w:eastAsia="zh-CN"/>
        </w:rPr>
        <w:t>供应商需在投标文件中书面声明</w:t>
      </w:r>
      <w:r>
        <w:rPr>
          <w:rFonts w:hint="eastAsia" w:ascii="宋体" w:eastAsia="宋体"/>
          <w:color w:val="auto"/>
          <w:sz w:val="21"/>
          <w:szCs w:val="21"/>
          <w:highlight w:val="none"/>
        </w:rPr>
        <w:t>不得以次充好、高投低配，确因在合同执行中不可抗力因素造成的，应提供相关依据；</w:t>
      </w:r>
    </w:p>
    <w:p>
      <w:pPr>
        <w:pStyle w:val="46"/>
        <w:spacing w:beforeLines="0" w:afterLines="0" w:line="460" w:lineRule="exact"/>
        <w:ind w:left="0" w:firstLine="420" w:firstLineChars="200"/>
        <w:jc w:val="both"/>
        <w:rPr>
          <w:rFonts w:ascii="宋体" w:eastAsia="宋体"/>
          <w:color w:val="auto"/>
          <w:sz w:val="21"/>
          <w:szCs w:val="21"/>
          <w:highlight w:val="none"/>
        </w:rPr>
      </w:pPr>
      <w:r>
        <w:rPr>
          <w:rFonts w:hint="eastAsia" w:ascii="宋体" w:eastAsia="宋体"/>
          <w:color w:val="auto"/>
          <w:sz w:val="21"/>
          <w:szCs w:val="21"/>
          <w:highlight w:val="none"/>
          <w:lang w:val="en-US"/>
        </w:rPr>
        <w:t>3、</w:t>
      </w:r>
      <w:r>
        <w:rPr>
          <w:rFonts w:hint="eastAsia" w:ascii="宋体" w:eastAsia="宋体"/>
          <w:color w:val="auto"/>
          <w:sz w:val="21"/>
          <w:szCs w:val="21"/>
          <w:highlight w:val="none"/>
        </w:rPr>
        <w:t>对因客观上采购人采购需求发生变化造成的，应提供采、供双方的纸质备忘录材料；</w:t>
      </w:r>
    </w:p>
    <w:p>
      <w:pPr>
        <w:pStyle w:val="46"/>
        <w:spacing w:beforeLines="0" w:afterLines="0" w:line="460" w:lineRule="exact"/>
        <w:ind w:left="0" w:firstLine="420" w:firstLineChars="200"/>
        <w:jc w:val="both"/>
        <w:rPr>
          <w:color w:val="auto"/>
          <w:sz w:val="21"/>
          <w:szCs w:val="21"/>
          <w:highlight w:val="none"/>
        </w:rPr>
      </w:pPr>
      <w:r>
        <w:rPr>
          <w:rFonts w:hint="eastAsia"/>
          <w:color w:val="auto"/>
          <w:sz w:val="21"/>
          <w:szCs w:val="21"/>
          <w:highlight w:val="none"/>
          <w:lang w:val="en-US"/>
        </w:rPr>
        <w:t>4、在满足</w:t>
      </w:r>
      <w:r>
        <w:rPr>
          <w:rFonts w:hint="eastAsia"/>
          <w:color w:val="auto"/>
          <w:sz w:val="21"/>
          <w:szCs w:val="21"/>
          <w:highlight w:val="none"/>
        </w:rPr>
        <w:t>验收条件</w:t>
      </w:r>
      <w:r>
        <w:rPr>
          <w:rFonts w:hint="eastAsia"/>
          <w:color w:val="auto"/>
          <w:sz w:val="21"/>
          <w:szCs w:val="21"/>
          <w:highlight w:val="none"/>
          <w:lang w:val="en-US"/>
        </w:rPr>
        <w:t>5个工作日</w:t>
      </w:r>
      <w:r>
        <w:rPr>
          <w:rFonts w:hint="eastAsia"/>
          <w:color w:val="auto"/>
          <w:sz w:val="21"/>
          <w:szCs w:val="21"/>
          <w:highlight w:val="none"/>
        </w:rPr>
        <w:t>内通知采购人组织验收；</w:t>
      </w:r>
    </w:p>
    <w:p>
      <w:pPr>
        <w:pStyle w:val="46"/>
        <w:spacing w:beforeLines="0" w:afterLines="0" w:line="460" w:lineRule="exact"/>
        <w:ind w:left="0" w:firstLine="420" w:firstLineChars="200"/>
        <w:jc w:val="both"/>
        <w:rPr>
          <w:rFonts w:ascii="宋体" w:eastAsia="宋体"/>
          <w:color w:val="auto"/>
          <w:sz w:val="21"/>
          <w:szCs w:val="21"/>
          <w:highlight w:val="none"/>
          <w:lang w:val="en-US"/>
        </w:rPr>
      </w:pPr>
      <w:r>
        <w:rPr>
          <w:rFonts w:hint="eastAsia"/>
          <w:color w:val="auto"/>
          <w:sz w:val="21"/>
          <w:szCs w:val="21"/>
          <w:highlight w:val="none"/>
          <w:lang w:val="en-US"/>
        </w:rPr>
        <w:t>5、</w:t>
      </w:r>
      <w:r>
        <w:rPr>
          <w:rFonts w:hint="eastAsia" w:ascii="宋体" w:eastAsia="宋体"/>
          <w:color w:val="auto"/>
          <w:sz w:val="21"/>
          <w:szCs w:val="21"/>
          <w:highlight w:val="none"/>
          <w:lang w:val="en-US"/>
        </w:rPr>
        <w:t>供应商应提供需验收物品的清单、参数、使用手册、人员培训情况等资料；</w:t>
      </w:r>
    </w:p>
    <w:p>
      <w:pPr>
        <w:pStyle w:val="46"/>
        <w:spacing w:beforeLines="0" w:afterLines="0" w:line="460" w:lineRule="exact"/>
        <w:ind w:left="0" w:firstLine="420" w:firstLineChars="200"/>
        <w:jc w:val="both"/>
        <w:rPr>
          <w:rFonts w:ascii="宋体" w:eastAsia="宋体"/>
          <w:color w:val="auto"/>
          <w:sz w:val="21"/>
          <w:szCs w:val="21"/>
          <w:highlight w:val="none"/>
        </w:rPr>
      </w:pPr>
      <w:r>
        <w:rPr>
          <w:rFonts w:hint="eastAsia" w:ascii="宋体" w:eastAsia="宋体"/>
          <w:color w:val="auto"/>
          <w:sz w:val="21"/>
          <w:szCs w:val="21"/>
          <w:highlight w:val="none"/>
          <w:lang w:val="en-US"/>
        </w:rPr>
        <w:t>6、采、供</w:t>
      </w:r>
      <w:r>
        <w:rPr>
          <w:rFonts w:hint="eastAsia" w:ascii="宋体" w:eastAsia="宋体"/>
          <w:color w:val="auto"/>
          <w:sz w:val="21"/>
          <w:szCs w:val="21"/>
          <w:highlight w:val="none"/>
        </w:rPr>
        <w:t>双方约定的验收机构及相关人员组成情况。</w:t>
      </w:r>
    </w:p>
    <w:p>
      <w:pPr>
        <w:pStyle w:val="46"/>
        <w:spacing w:beforeLines="0" w:afterLines="0" w:line="460" w:lineRule="exact"/>
        <w:ind w:left="0" w:firstLine="420" w:firstLineChars="200"/>
        <w:jc w:val="both"/>
        <w:rPr>
          <w:color w:val="auto"/>
          <w:szCs w:val="27"/>
          <w:highlight w:val="none"/>
        </w:rPr>
      </w:pPr>
      <w:r>
        <w:rPr>
          <w:rFonts w:hint="eastAsia" w:ascii="宋体" w:eastAsia="宋体"/>
          <w:color w:val="auto"/>
          <w:sz w:val="21"/>
          <w:szCs w:val="21"/>
          <w:highlight w:val="none"/>
          <w:lang w:val="en-US"/>
        </w:rPr>
        <w:t>7、督促采购人在项目验收结束并达到相关要求后一个工作日内，在</w:t>
      </w:r>
      <w:r>
        <w:rPr>
          <w:rFonts w:hint="eastAsia"/>
          <w:color w:val="auto"/>
          <w:sz w:val="21"/>
          <w:szCs w:val="21"/>
          <w:highlight w:val="none"/>
        </w:rPr>
        <w:t>“周口市政府采购网”上进行“履约验收”公示。</w:t>
      </w: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rPr>
          <w:rFonts w:hint="eastAsia" w:ascii="方正小标宋简体" w:hAnsi="宋体" w:eastAsia="方正小标宋简体"/>
          <w:b w:val="0"/>
          <w:color w:val="auto"/>
          <w:highlight w:val="none"/>
        </w:rPr>
      </w:pPr>
    </w:p>
    <w:p>
      <w:pPr>
        <w:pStyle w:val="39"/>
        <w:rPr>
          <w:rFonts w:hint="eastAsia" w:ascii="方正小标宋简体" w:hAnsi="宋体" w:eastAsia="方正小标宋简体"/>
          <w:b w:val="0"/>
          <w:color w:val="auto"/>
          <w:highlight w:val="none"/>
        </w:rPr>
      </w:pPr>
    </w:p>
    <w:p>
      <w:pPr>
        <w:pStyle w:val="39"/>
        <w:rPr>
          <w:rFonts w:hint="eastAsia" w:ascii="方正小标宋简体" w:hAnsi="宋体" w:eastAsia="方正小标宋简体"/>
          <w:b w:val="0"/>
          <w:color w:val="auto"/>
          <w:highlight w:val="none"/>
        </w:rPr>
      </w:pPr>
    </w:p>
    <w:p>
      <w:pPr>
        <w:pStyle w:val="39"/>
        <w:rPr>
          <w:rFonts w:hint="eastAsia" w:ascii="方正小标宋简体" w:hAnsi="宋体" w:eastAsia="方正小标宋简体"/>
          <w:b w:val="0"/>
          <w:color w:val="auto"/>
          <w:highlight w:val="none"/>
        </w:rPr>
      </w:pPr>
    </w:p>
    <w:p>
      <w:pPr>
        <w:pStyle w:val="39"/>
        <w:rPr>
          <w:rFonts w:hint="eastAsia" w:ascii="方正小标宋简体" w:hAnsi="宋体" w:eastAsia="方正小标宋简体"/>
          <w:b w:val="0"/>
          <w:color w:val="auto"/>
          <w:highlight w:val="none"/>
        </w:rPr>
      </w:pPr>
    </w:p>
    <w:p>
      <w:pPr>
        <w:pStyle w:val="39"/>
        <w:rPr>
          <w:rFonts w:hint="eastAsia" w:ascii="方正小标宋简体" w:hAnsi="宋体" w:eastAsia="方正小标宋简体"/>
          <w:b w:val="0"/>
          <w:color w:val="auto"/>
          <w:highlight w:val="none"/>
        </w:rPr>
      </w:pPr>
    </w:p>
    <w:p>
      <w:pPr>
        <w:pStyle w:val="39"/>
        <w:rPr>
          <w:rFonts w:hint="eastAsia" w:ascii="方正小标宋简体" w:hAnsi="宋体" w:eastAsia="方正小标宋简体"/>
          <w:b w:val="0"/>
          <w:color w:val="auto"/>
          <w:highlight w:val="none"/>
        </w:rPr>
      </w:pPr>
    </w:p>
    <w:p>
      <w:pPr>
        <w:pStyle w:val="39"/>
        <w:rPr>
          <w:rFonts w:hint="eastAsia" w:ascii="方正小标宋简体" w:hAnsi="宋体" w:eastAsia="方正小标宋简体"/>
          <w:b w:val="0"/>
          <w:color w:val="auto"/>
          <w:highlight w:val="none"/>
        </w:rPr>
      </w:pPr>
    </w:p>
    <w:p>
      <w:pPr>
        <w:pStyle w:val="39"/>
        <w:rPr>
          <w:rFonts w:hint="eastAsia" w:ascii="方正小标宋简体" w:hAnsi="宋体" w:eastAsia="方正小标宋简体"/>
          <w:b w:val="0"/>
          <w:color w:val="auto"/>
          <w:highlight w:val="none"/>
        </w:rPr>
      </w:pPr>
    </w:p>
    <w:p>
      <w:pPr>
        <w:pStyle w:val="39"/>
        <w:rPr>
          <w:rFonts w:hint="eastAsia" w:ascii="方正小标宋简体" w:hAnsi="宋体" w:eastAsia="方正小标宋简体"/>
          <w:b w:val="0"/>
          <w:color w:val="auto"/>
          <w:highlight w:val="none"/>
        </w:rPr>
      </w:pPr>
    </w:p>
    <w:p>
      <w:pPr>
        <w:pStyle w:val="39"/>
        <w:rPr>
          <w:rFonts w:hint="eastAsia" w:ascii="方正小标宋简体" w:hAnsi="宋体" w:eastAsia="方正小标宋简体"/>
          <w:b w:val="0"/>
          <w:color w:val="auto"/>
          <w:highlight w:val="none"/>
        </w:rPr>
      </w:pPr>
    </w:p>
    <w:p>
      <w:pPr>
        <w:pStyle w:val="39"/>
        <w:rPr>
          <w:rFonts w:hint="eastAsia" w:ascii="方正小标宋简体" w:hAnsi="宋体" w:eastAsia="方正小标宋简体"/>
          <w:b w:val="0"/>
          <w:color w:val="auto"/>
          <w:highlight w:val="none"/>
        </w:rPr>
      </w:pPr>
    </w:p>
    <w:p>
      <w:pPr>
        <w:pStyle w:val="39"/>
        <w:rPr>
          <w:rFonts w:hint="eastAsia" w:ascii="方正小标宋简体" w:hAnsi="宋体" w:eastAsia="方正小标宋简体"/>
          <w:b w:val="0"/>
          <w:color w:val="auto"/>
          <w:highlight w:val="none"/>
        </w:rPr>
      </w:pPr>
    </w:p>
    <w:p>
      <w:pPr>
        <w:bidi w:val="0"/>
        <w:rPr>
          <w:rFonts w:hint="eastAsia"/>
          <w:color w:val="auto"/>
          <w:highlight w:val="none"/>
          <w:lang w:val="en-US" w:eastAsia="zh-CN"/>
        </w:rPr>
      </w:pPr>
      <w:r>
        <w:rPr>
          <w:rFonts w:hint="eastAsia"/>
          <w:color w:val="auto"/>
          <w:highlight w:val="none"/>
          <w:lang w:val="en-US" w:eastAsia="zh-CN"/>
        </w:rPr>
        <w:t xml:space="preserve">       </w:t>
      </w:r>
    </w:p>
    <w:p>
      <w:pPr>
        <w:rPr>
          <w:rFonts w:hint="eastAsia" w:ascii="方正小标宋简体" w:hAnsi="宋体" w:eastAsia="方正小标宋简体"/>
          <w:b w:val="0"/>
          <w:color w:val="auto"/>
          <w:highlight w:val="none"/>
          <w:lang w:val="en-US" w:eastAsia="zh-CN"/>
        </w:rPr>
      </w:pPr>
    </w:p>
    <w:p>
      <w:pPr>
        <w:pStyle w:val="39"/>
        <w:rPr>
          <w:rFonts w:hint="eastAsia" w:ascii="方正小标宋简体" w:hAnsi="宋体" w:eastAsia="方正小标宋简体"/>
          <w:b w:val="0"/>
          <w:color w:val="auto"/>
          <w:highlight w:val="none"/>
          <w:lang w:val="en-US" w:eastAsia="zh-CN"/>
        </w:rPr>
      </w:pPr>
    </w:p>
    <w:p>
      <w:pPr>
        <w:pStyle w:val="39"/>
        <w:rPr>
          <w:rFonts w:hint="default" w:ascii="方正小标宋简体" w:hAnsi="宋体" w:eastAsia="方正小标宋简体"/>
          <w:b w:val="0"/>
          <w:color w:val="auto"/>
          <w:highlight w:val="none"/>
          <w:lang w:val="en-US" w:eastAsia="zh-CN"/>
        </w:rPr>
      </w:pPr>
    </w:p>
    <w:p>
      <w:pPr>
        <w:bidi w:val="0"/>
        <w:rPr>
          <w:rFonts w:hint="eastAsia"/>
          <w:color w:val="auto"/>
          <w:highlight w:val="none"/>
        </w:rPr>
      </w:pPr>
    </w:p>
    <w:p>
      <w:pPr>
        <w:rPr>
          <w:rFonts w:hint="eastAsia" w:ascii="方正小标宋简体" w:hAnsi="宋体" w:eastAsia="方正小标宋简体"/>
          <w:b w:val="0"/>
          <w:color w:val="auto"/>
          <w:highlight w:val="none"/>
        </w:rPr>
      </w:pPr>
      <w:r>
        <w:rPr>
          <w:rFonts w:hint="eastAsia" w:ascii="方正小标宋简体" w:hAnsi="宋体" w:eastAsia="方正小标宋简体"/>
          <w:b w:val="0"/>
          <w:color w:val="auto"/>
          <w:highlight w:val="none"/>
        </w:rPr>
        <w:br w:type="page"/>
      </w:r>
    </w:p>
    <w:p>
      <w:pPr>
        <w:bidi w:val="0"/>
        <w:jc w:val="center"/>
        <w:rPr>
          <w:rFonts w:hint="eastAsia" w:eastAsia="宋体"/>
          <w:b/>
          <w:bCs/>
          <w:color w:val="auto"/>
          <w:sz w:val="22"/>
          <w:szCs w:val="21"/>
          <w:highlight w:val="none"/>
          <w:lang w:eastAsia="zh-CN"/>
        </w:rPr>
      </w:pPr>
      <w:r>
        <w:rPr>
          <w:rFonts w:hint="eastAsia"/>
          <w:b/>
          <w:bCs/>
          <w:color w:val="auto"/>
          <w:sz w:val="22"/>
          <w:szCs w:val="21"/>
          <w:highlight w:val="none"/>
        </w:rPr>
        <w:t>采购合同内容</w:t>
      </w:r>
    </w:p>
    <w:p>
      <w:pPr>
        <w:spacing w:line="520" w:lineRule="exact"/>
        <w:ind w:firstLine="420" w:firstLineChars="200"/>
        <w:jc w:val="both"/>
        <w:rPr>
          <w:rFonts w:hint="eastAsia"/>
          <w:color w:val="auto"/>
          <w:szCs w:val="27"/>
          <w:highlight w:val="none"/>
        </w:rPr>
      </w:pPr>
    </w:p>
    <w:p>
      <w:pPr>
        <w:spacing w:line="360" w:lineRule="auto"/>
        <w:ind w:firstLine="420" w:firstLineChars="200"/>
        <w:jc w:val="both"/>
        <w:rPr>
          <w:color w:val="auto"/>
          <w:szCs w:val="27"/>
          <w:highlight w:val="none"/>
          <w:u w:val="single"/>
        </w:rPr>
      </w:pPr>
      <w:r>
        <w:rPr>
          <w:rFonts w:hint="eastAsia"/>
          <w:color w:val="auto"/>
          <w:szCs w:val="27"/>
          <w:highlight w:val="none"/>
        </w:rPr>
        <w:t>采购人</w:t>
      </w:r>
      <w:r>
        <w:rPr>
          <w:color w:val="auto"/>
          <w:szCs w:val="27"/>
          <w:highlight w:val="none"/>
        </w:rPr>
        <w:t>（甲方）：</w:t>
      </w:r>
      <w:r>
        <w:rPr>
          <w:rFonts w:hint="eastAsia"/>
          <w:color w:val="auto"/>
          <w:szCs w:val="27"/>
          <w:highlight w:val="none"/>
        </w:rPr>
        <w:t xml:space="preserve"> </w:t>
      </w:r>
    </w:p>
    <w:p>
      <w:pPr>
        <w:spacing w:line="360" w:lineRule="auto"/>
        <w:ind w:firstLine="420" w:firstLineChars="200"/>
        <w:jc w:val="both"/>
        <w:rPr>
          <w:color w:val="auto"/>
          <w:szCs w:val="27"/>
          <w:highlight w:val="none"/>
        </w:rPr>
      </w:pPr>
      <w:r>
        <w:rPr>
          <w:rFonts w:hint="eastAsia"/>
          <w:color w:val="auto"/>
          <w:szCs w:val="27"/>
          <w:highlight w:val="none"/>
        </w:rPr>
        <w:t>供应商</w:t>
      </w:r>
      <w:r>
        <w:rPr>
          <w:color w:val="auto"/>
          <w:szCs w:val="27"/>
          <w:highlight w:val="none"/>
        </w:rPr>
        <w:t>（乙方）</w:t>
      </w:r>
      <w:r>
        <w:rPr>
          <w:rFonts w:hint="eastAsia"/>
          <w:color w:val="auto"/>
          <w:szCs w:val="27"/>
          <w:highlight w:val="none"/>
        </w:rPr>
        <w:t>：</w:t>
      </w:r>
    </w:p>
    <w:p>
      <w:pPr>
        <w:spacing w:line="360" w:lineRule="auto"/>
        <w:ind w:firstLine="420" w:firstLineChars="200"/>
        <w:jc w:val="both"/>
        <w:rPr>
          <w:color w:val="auto"/>
          <w:szCs w:val="27"/>
          <w:highlight w:val="none"/>
          <w:u w:val="single"/>
        </w:rPr>
      </w:pPr>
      <w:r>
        <w:rPr>
          <w:rFonts w:hint="eastAsia"/>
          <w:color w:val="auto"/>
          <w:szCs w:val="27"/>
          <w:highlight w:val="none"/>
        </w:rPr>
        <w:t>签订地点：</w:t>
      </w:r>
    </w:p>
    <w:p>
      <w:pPr>
        <w:spacing w:line="360" w:lineRule="auto"/>
        <w:ind w:firstLine="420" w:firstLineChars="200"/>
        <w:jc w:val="both"/>
        <w:rPr>
          <w:color w:val="auto"/>
          <w:szCs w:val="27"/>
          <w:highlight w:val="none"/>
          <w:u w:val="single"/>
        </w:rPr>
      </w:pPr>
      <w:r>
        <w:rPr>
          <w:rFonts w:hint="eastAsia"/>
          <w:color w:val="auto"/>
          <w:szCs w:val="27"/>
          <w:highlight w:val="none"/>
        </w:rPr>
        <w:t>项目名称：</w:t>
      </w:r>
    </w:p>
    <w:p>
      <w:pPr>
        <w:spacing w:line="360" w:lineRule="auto"/>
        <w:ind w:firstLine="420" w:firstLineChars="200"/>
        <w:jc w:val="both"/>
        <w:rPr>
          <w:color w:val="auto"/>
          <w:szCs w:val="27"/>
          <w:highlight w:val="none"/>
          <w:u w:val="single"/>
        </w:rPr>
      </w:pPr>
      <w:r>
        <w:rPr>
          <w:rFonts w:hint="eastAsia"/>
          <w:color w:val="auto"/>
          <w:szCs w:val="27"/>
          <w:highlight w:val="none"/>
        </w:rPr>
        <w:t>项目编号：</w:t>
      </w:r>
    </w:p>
    <w:p>
      <w:pPr>
        <w:spacing w:line="360" w:lineRule="auto"/>
        <w:ind w:firstLine="420" w:firstLineChars="200"/>
        <w:jc w:val="both"/>
        <w:rPr>
          <w:color w:val="auto"/>
          <w:highlight w:val="none"/>
        </w:rPr>
      </w:pPr>
      <w:r>
        <w:rPr>
          <w:rFonts w:hint="eastAsia"/>
          <w:color w:val="auto"/>
          <w:szCs w:val="27"/>
          <w:highlight w:val="none"/>
        </w:rPr>
        <w:t>财政委托号：</w:t>
      </w:r>
      <w:r>
        <w:rPr>
          <w:rFonts w:hint="eastAsia"/>
          <w:color w:val="auto"/>
          <w:szCs w:val="27"/>
          <w:highlight w:val="none"/>
          <w:u w:val="single"/>
        </w:rPr>
        <w:t xml:space="preserve">      </w:t>
      </w:r>
      <w:r>
        <w:rPr>
          <w:rFonts w:hint="eastAsia"/>
          <w:color w:val="auto"/>
          <w:szCs w:val="27"/>
          <w:highlight w:val="none"/>
        </w:rPr>
        <w:t>(财政资金项目必须填写)</w:t>
      </w:r>
    </w:p>
    <w:p>
      <w:pPr>
        <w:spacing w:line="360" w:lineRule="auto"/>
        <w:ind w:firstLine="420" w:firstLineChars="200"/>
        <w:jc w:val="both"/>
        <w:rPr>
          <w:color w:val="auto"/>
          <w:highlight w:val="none"/>
        </w:rPr>
      </w:pPr>
      <w:r>
        <w:rPr>
          <w:rFonts w:hint="eastAsia"/>
          <w:color w:val="auto"/>
          <w:szCs w:val="27"/>
          <w:highlight w:val="none"/>
        </w:rPr>
        <w:t>本项目经批准采用</w:t>
      </w:r>
      <w:r>
        <w:rPr>
          <w:rFonts w:hint="eastAsia"/>
          <w:color w:val="auto"/>
          <w:szCs w:val="27"/>
          <w:highlight w:val="none"/>
          <w:u w:val="single"/>
        </w:rPr>
        <w:t xml:space="preserve">           </w:t>
      </w:r>
      <w:r>
        <w:rPr>
          <w:rFonts w:hint="eastAsia"/>
          <w:color w:val="auto"/>
          <w:szCs w:val="27"/>
          <w:highlight w:val="none"/>
        </w:rPr>
        <w:t>采购方式，经本项目评审委员会认真评审，决定将采购合同授予乙方。为进一步明确双方的责任，确保合同的顺利履行，</w:t>
      </w:r>
      <w:r>
        <w:rPr>
          <w:color w:val="auto"/>
          <w:szCs w:val="27"/>
          <w:highlight w:val="none"/>
        </w:rPr>
        <w:t>根据《中华人民共和</w:t>
      </w:r>
      <w:r>
        <w:rPr>
          <w:rFonts w:hint="eastAsia"/>
          <w:color w:val="auto"/>
          <w:szCs w:val="27"/>
          <w:highlight w:val="none"/>
        </w:rPr>
        <w:t>国采购法</w:t>
      </w:r>
      <w:r>
        <w:rPr>
          <w:color w:val="auto"/>
          <w:szCs w:val="27"/>
          <w:highlight w:val="none"/>
        </w:rPr>
        <w:t>法》</w:t>
      </w:r>
      <w:r>
        <w:rPr>
          <w:rFonts w:hint="eastAsia"/>
          <w:color w:val="auto"/>
          <w:szCs w:val="27"/>
          <w:highlight w:val="none"/>
        </w:rPr>
        <w:t>、</w:t>
      </w:r>
      <w:r>
        <w:rPr>
          <w:color w:val="auto"/>
          <w:szCs w:val="27"/>
          <w:highlight w:val="none"/>
        </w:rPr>
        <w:t>《中华人民共和国合同法》之规定，经甲乙双方充分协商，特订立</w:t>
      </w:r>
      <w:r>
        <w:rPr>
          <w:rFonts w:hint="eastAsia"/>
          <w:color w:val="auto"/>
          <w:szCs w:val="27"/>
          <w:highlight w:val="none"/>
        </w:rPr>
        <w:t>本</w:t>
      </w:r>
      <w:r>
        <w:rPr>
          <w:color w:val="auto"/>
          <w:szCs w:val="27"/>
          <w:highlight w:val="none"/>
        </w:rPr>
        <w:t>合同，以便共同遵守。</w:t>
      </w:r>
    </w:p>
    <w:p>
      <w:pPr>
        <w:spacing w:line="360" w:lineRule="auto"/>
        <w:ind w:firstLine="422" w:firstLineChars="200"/>
        <w:jc w:val="both"/>
        <w:rPr>
          <w:color w:val="auto"/>
          <w:highlight w:val="none"/>
          <w:u w:val="single"/>
        </w:rPr>
      </w:pPr>
      <w:r>
        <w:rPr>
          <w:b/>
          <w:bCs/>
          <w:color w:val="auto"/>
          <w:szCs w:val="27"/>
          <w:highlight w:val="none"/>
        </w:rPr>
        <w:t>第一条</w:t>
      </w:r>
      <w:r>
        <w:rPr>
          <w:color w:val="auto"/>
          <w:szCs w:val="27"/>
          <w:highlight w:val="none"/>
        </w:rPr>
        <w:t> </w:t>
      </w:r>
      <w:r>
        <w:rPr>
          <w:rFonts w:hint="eastAsia"/>
          <w:color w:val="auto"/>
          <w:szCs w:val="27"/>
          <w:highlight w:val="none"/>
        </w:rPr>
        <w:t xml:space="preserve">  </w:t>
      </w:r>
      <w:r>
        <w:rPr>
          <w:color w:val="auto"/>
          <w:szCs w:val="27"/>
          <w:highlight w:val="none"/>
        </w:rPr>
        <w:t>产品的名称、品种、规格</w:t>
      </w:r>
      <w:r>
        <w:rPr>
          <w:rFonts w:hint="eastAsia"/>
          <w:color w:val="auto"/>
          <w:szCs w:val="27"/>
          <w:highlight w:val="none"/>
        </w:rPr>
        <w:t>、数量和价格：（若产品过多则见附表，如有附表则必须加盖印章）</w:t>
      </w:r>
    </w:p>
    <w:tbl>
      <w:tblPr>
        <w:tblStyle w:val="25"/>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20" w:firstLineChars="200"/>
              <w:jc w:val="both"/>
              <w:rPr>
                <w:color w:val="auto"/>
                <w:highlight w:val="none"/>
              </w:rPr>
            </w:pPr>
            <w:r>
              <w:rPr>
                <w:rFonts w:hint="eastAsia"/>
                <w:color w:val="auto"/>
                <w:highlight w:val="none"/>
              </w:rPr>
              <w:t>产品名称</w:t>
            </w:r>
          </w:p>
        </w:tc>
        <w:tc>
          <w:tcPr>
            <w:tcW w:w="1623" w:type="dxa"/>
            <w:noWrap w:val="0"/>
            <w:vAlign w:val="top"/>
          </w:tcPr>
          <w:p>
            <w:pPr>
              <w:spacing w:line="360" w:lineRule="auto"/>
              <w:ind w:firstLine="420" w:firstLineChars="200"/>
              <w:jc w:val="both"/>
              <w:rPr>
                <w:color w:val="auto"/>
                <w:highlight w:val="none"/>
              </w:rPr>
            </w:pPr>
            <w:r>
              <w:rPr>
                <w:rFonts w:hint="eastAsia"/>
                <w:color w:val="auto"/>
                <w:highlight w:val="none"/>
              </w:rPr>
              <w:t>规格型号</w:t>
            </w:r>
          </w:p>
        </w:tc>
        <w:tc>
          <w:tcPr>
            <w:tcW w:w="902" w:type="dxa"/>
            <w:noWrap w:val="0"/>
            <w:vAlign w:val="top"/>
          </w:tcPr>
          <w:p>
            <w:pPr>
              <w:spacing w:line="360" w:lineRule="auto"/>
              <w:jc w:val="both"/>
              <w:rPr>
                <w:color w:val="auto"/>
                <w:highlight w:val="none"/>
              </w:rPr>
            </w:pPr>
            <w:r>
              <w:rPr>
                <w:rFonts w:hint="eastAsia"/>
                <w:color w:val="auto"/>
                <w:highlight w:val="none"/>
              </w:rPr>
              <w:t>单位</w:t>
            </w:r>
          </w:p>
        </w:tc>
        <w:tc>
          <w:tcPr>
            <w:tcW w:w="902" w:type="dxa"/>
            <w:noWrap w:val="0"/>
            <w:vAlign w:val="top"/>
          </w:tcPr>
          <w:p>
            <w:pPr>
              <w:spacing w:line="360" w:lineRule="auto"/>
              <w:jc w:val="both"/>
              <w:rPr>
                <w:color w:val="auto"/>
                <w:highlight w:val="none"/>
              </w:rPr>
            </w:pPr>
            <w:r>
              <w:rPr>
                <w:rFonts w:hint="eastAsia"/>
                <w:color w:val="auto"/>
                <w:highlight w:val="none"/>
              </w:rPr>
              <w:t>数量</w:t>
            </w:r>
          </w:p>
        </w:tc>
        <w:tc>
          <w:tcPr>
            <w:tcW w:w="1071" w:type="dxa"/>
            <w:noWrap w:val="0"/>
            <w:vAlign w:val="top"/>
          </w:tcPr>
          <w:p>
            <w:pPr>
              <w:spacing w:line="360" w:lineRule="auto"/>
              <w:ind w:firstLine="420" w:firstLineChars="200"/>
              <w:jc w:val="both"/>
              <w:rPr>
                <w:color w:val="auto"/>
                <w:highlight w:val="none"/>
              </w:rPr>
            </w:pPr>
            <w:r>
              <w:rPr>
                <w:rFonts w:hint="eastAsia"/>
                <w:color w:val="auto"/>
                <w:highlight w:val="none"/>
              </w:rPr>
              <w:t>单价</w:t>
            </w:r>
          </w:p>
        </w:tc>
        <w:tc>
          <w:tcPr>
            <w:tcW w:w="1250" w:type="dxa"/>
            <w:noWrap w:val="0"/>
            <w:vAlign w:val="top"/>
          </w:tcPr>
          <w:p>
            <w:pPr>
              <w:spacing w:line="360" w:lineRule="auto"/>
              <w:ind w:firstLine="420" w:firstLineChars="200"/>
              <w:jc w:val="both"/>
              <w:rPr>
                <w:color w:val="auto"/>
                <w:highlight w:val="none"/>
              </w:rPr>
            </w:pPr>
            <w:r>
              <w:rPr>
                <w:rFonts w:hint="eastAsia"/>
                <w:color w:val="auto"/>
                <w:highlight w:val="none"/>
              </w:rPr>
              <w:t>小计</w:t>
            </w:r>
          </w:p>
        </w:tc>
        <w:tc>
          <w:tcPr>
            <w:tcW w:w="1106" w:type="dxa"/>
            <w:noWrap w:val="0"/>
            <w:vAlign w:val="top"/>
          </w:tcPr>
          <w:p>
            <w:pPr>
              <w:spacing w:line="360" w:lineRule="auto"/>
              <w:ind w:firstLine="420" w:firstLineChars="200"/>
              <w:jc w:val="both"/>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20" w:firstLineChars="200"/>
              <w:jc w:val="both"/>
              <w:rPr>
                <w:color w:val="auto"/>
                <w:highlight w:val="none"/>
              </w:rPr>
            </w:pPr>
          </w:p>
        </w:tc>
        <w:tc>
          <w:tcPr>
            <w:tcW w:w="1623" w:type="dxa"/>
            <w:noWrap w:val="0"/>
            <w:vAlign w:val="top"/>
          </w:tcPr>
          <w:p>
            <w:pPr>
              <w:spacing w:line="360" w:lineRule="auto"/>
              <w:ind w:firstLine="420" w:firstLineChars="200"/>
              <w:jc w:val="both"/>
              <w:rPr>
                <w:color w:val="auto"/>
                <w:highlight w:val="none"/>
              </w:rPr>
            </w:pPr>
          </w:p>
        </w:tc>
        <w:tc>
          <w:tcPr>
            <w:tcW w:w="902" w:type="dxa"/>
            <w:noWrap w:val="0"/>
            <w:vAlign w:val="top"/>
          </w:tcPr>
          <w:p>
            <w:pPr>
              <w:spacing w:line="360" w:lineRule="auto"/>
              <w:ind w:firstLine="420" w:firstLineChars="200"/>
              <w:jc w:val="both"/>
              <w:rPr>
                <w:color w:val="auto"/>
                <w:highlight w:val="none"/>
              </w:rPr>
            </w:pPr>
          </w:p>
        </w:tc>
        <w:tc>
          <w:tcPr>
            <w:tcW w:w="902" w:type="dxa"/>
            <w:noWrap w:val="0"/>
            <w:vAlign w:val="top"/>
          </w:tcPr>
          <w:p>
            <w:pPr>
              <w:spacing w:line="360" w:lineRule="auto"/>
              <w:ind w:firstLine="420" w:firstLineChars="200"/>
              <w:jc w:val="both"/>
              <w:rPr>
                <w:color w:val="auto"/>
                <w:highlight w:val="none"/>
              </w:rPr>
            </w:pPr>
          </w:p>
        </w:tc>
        <w:tc>
          <w:tcPr>
            <w:tcW w:w="1071" w:type="dxa"/>
            <w:noWrap w:val="0"/>
            <w:vAlign w:val="top"/>
          </w:tcPr>
          <w:p>
            <w:pPr>
              <w:spacing w:line="360" w:lineRule="auto"/>
              <w:ind w:firstLine="420" w:firstLineChars="200"/>
              <w:jc w:val="both"/>
              <w:rPr>
                <w:color w:val="auto"/>
                <w:highlight w:val="none"/>
              </w:rPr>
            </w:pPr>
          </w:p>
        </w:tc>
        <w:tc>
          <w:tcPr>
            <w:tcW w:w="1250" w:type="dxa"/>
            <w:noWrap w:val="0"/>
            <w:vAlign w:val="top"/>
          </w:tcPr>
          <w:p>
            <w:pPr>
              <w:spacing w:line="360" w:lineRule="auto"/>
              <w:ind w:firstLine="420" w:firstLineChars="200"/>
              <w:jc w:val="both"/>
              <w:rPr>
                <w:color w:val="auto"/>
                <w:highlight w:val="none"/>
              </w:rPr>
            </w:pPr>
          </w:p>
        </w:tc>
        <w:tc>
          <w:tcPr>
            <w:tcW w:w="1106" w:type="dxa"/>
            <w:noWrap w:val="0"/>
            <w:vAlign w:val="top"/>
          </w:tcPr>
          <w:p>
            <w:pPr>
              <w:spacing w:line="360" w:lineRule="auto"/>
              <w:ind w:firstLine="420" w:firstLineChars="200"/>
              <w:jc w:val="both"/>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20" w:firstLineChars="200"/>
              <w:jc w:val="both"/>
              <w:rPr>
                <w:color w:val="auto"/>
                <w:highlight w:val="none"/>
              </w:rPr>
            </w:pPr>
          </w:p>
        </w:tc>
        <w:tc>
          <w:tcPr>
            <w:tcW w:w="1623" w:type="dxa"/>
            <w:noWrap w:val="0"/>
            <w:vAlign w:val="top"/>
          </w:tcPr>
          <w:p>
            <w:pPr>
              <w:spacing w:line="360" w:lineRule="auto"/>
              <w:ind w:firstLine="420" w:firstLineChars="200"/>
              <w:jc w:val="both"/>
              <w:rPr>
                <w:color w:val="auto"/>
                <w:highlight w:val="none"/>
              </w:rPr>
            </w:pPr>
          </w:p>
        </w:tc>
        <w:tc>
          <w:tcPr>
            <w:tcW w:w="902" w:type="dxa"/>
            <w:noWrap w:val="0"/>
            <w:vAlign w:val="top"/>
          </w:tcPr>
          <w:p>
            <w:pPr>
              <w:spacing w:line="360" w:lineRule="auto"/>
              <w:ind w:firstLine="420" w:firstLineChars="200"/>
              <w:jc w:val="both"/>
              <w:rPr>
                <w:color w:val="auto"/>
                <w:highlight w:val="none"/>
              </w:rPr>
            </w:pPr>
          </w:p>
        </w:tc>
        <w:tc>
          <w:tcPr>
            <w:tcW w:w="902" w:type="dxa"/>
            <w:noWrap w:val="0"/>
            <w:vAlign w:val="top"/>
          </w:tcPr>
          <w:p>
            <w:pPr>
              <w:spacing w:line="360" w:lineRule="auto"/>
              <w:ind w:firstLine="420" w:firstLineChars="200"/>
              <w:jc w:val="both"/>
              <w:rPr>
                <w:color w:val="auto"/>
                <w:highlight w:val="none"/>
              </w:rPr>
            </w:pPr>
          </w:p>
        </w:tc>
        <w:tc>
          <w:tcPr>
            <w:tcW w:w="1071" w:type="dxa"/>
            <w:noWrap w:val="0"/>
            <w:vAlign w:val="top"/>
          </w:tcPr>
          <w:p>
            <w:pPr>
              <w:spacing w:line="360" w:lineRule="auto"/>
              <w:ind w:firstLine="420" w:firstLineChars="200"/>
              <w:jc w:val="both"/>
              <w:rPr>
                <w:color w:val="auto"/>
                <w:highlight w:val="none"/>
              </w:rPr>
            </w:pPr>
          </w:p>
        </w:tc>
        <w:tc>
          <w:tcPr>
            <w:tcW w:w="1250" w:type="dxa"/>
            <w:noWrap w:val="0"/>
            <w:vAlign w:val="top"/>
          </w:tcPr>
          <w:p>
            <w:pPr>
              <w:spacing w:line="360" w:lineRule="auto"/>
              <w:ind w:firstLine="420" w:firstLineChars="200"/>
              <w:jc w:val="both"/>
              <w:rPr>
                <w:color w:val="auto"/>
                <w:highlight w:val="none"/>
              </w:rPr>
            </w:pPr>
          </w:p>
        </w:tc>
        <w:tc>
          <w:tcPr>
            <w:tcW w:w="1106" w:type="dxa"/>
            <w:noWrap w:val="0"/>
            <w:vAlign w:val="top"/>
          </w:tcPr>
          <w:p>
            <w:pPr>
              <w:spacing w:line="360" w:lineRule="auto"/>
              <w:ind w:firstLine="420" w:firstLineChars="200"/>
              <w:jc w:val="both"/>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20" w:firstLineChars="200"/>
              <w:jc w:val="both"/>
              <w:rPr>
                <w:color w:val="auto"/>
                <w:highlight w:val="none"/>
              </w:rPr>
            </w:pPr>
          </w:p>
        </w:tc>
        <w:tc>
          <w:tcPr>
            <w:tcW w:w="1623" w:type="dxa"/>
            <w:noWrap w:val="0"/>
            <w:vAlign w:val="top"/>
          </w:tcPr>
          <w:p>
            <w:pPr>
              <w:spacing w:line="360" w:lineRule="auto"/>
              <w:ind w:firstLine="420" w:firstLineChars="200"/>
              <w:jc w:val="both"/>
              <w:rPr>
                <w:color w:val="auto"/>
                <w:highlight w:val="none"/>
              </w:rPr>
            </w:pPr>
          </w:p>
        </w:tc>
        <w:tc>
          <w:tcPr>
            <w:tcW w:w="902" w:type="dxa"/>
            <w:noWrap w:val="0"/>
            <w:vAlign w:val="top"/>
          </w:tcPr>
          <w:p>
            <w:pPr>
              <w:spacing w:line="360" w:lineRule="auto"/>
              <w:ind w:firstLine="420" w:firstLineChars="200"/>
              <w:jc w:val="both"/>
              <w:rPr>
                <w:color w:val="auto"/>
                <w:highlight w:val="none"/>
              </w:rPr>
            </w:pPr>
          </w:p>
        </w:tc>
        <w:tc>
          <w:tcPr>
            <w:tcW w:w="902" w:type="dxa"/>
            <w:noWrap w:val="0"/>
            <w:vAlign w:val="top"/>
          </w:tcPr>
          <w:p>
            <w:pPr>
              <w:spacing w:line="360" w:lineRule="auto"/>
              <w:ind w:firstLine="420" w:firstLineChars="200"/>
              <w:jc w:val="both"/>
              <w:rPr>
                <w:color w:val="auto"/>
                <w:highlight w:val="none"/>
              </w:rPr>
            </w:pPr>
          </w:p>
        </w:tc>
        <w:tc>
          <w:tcPr>
            <w:tcW w:w="1071" w:type="dxa"/>
            <w:noWrap w:val="0"/>
            <w:vAlign w:val="top"/>
          </w:tcPr>
          <w:p>
            <w:pPr>
              <w:spacing w:line="360" w:lineRule="auto"/>
              <w:ind w:firstLine="420" w:firstLineChars="200"/>
              <w:jc w:val="both"/>
              <w:rPr>
                <w:color w:val="auto"/>
                <w:highlight w:val="none"/>
              </w:rPr>
            </w:pPr>
          </w:p>
        </w:tc>
        <w:tc>
          <w:tcPr>
            <w:tcW w:w="1250" w:type="dxa"/>
            <w:noWrap w:val="0"/>
            <w:vAlign w:val="top"/>
          </w:tcPr>
          <w:p>
            <w:pPr>
              <w:spacing w:line="360" w:lineRule="auto"/>
              <w:ind w:firstLine="420" w:firstLineChars="200"/>
              <w:jc w:val="both"/>
              <w:rPr>
                <w:color w:val="auto"/>
                <w:highlight w:val="none"/>
              </w:rPr>
            </w:pPr>
          </w:p>
        </w:tc>
        <w:tc>
          <w:tcPr>
            <w:tcW w:w="1106" w:type="dxa"/>
            <w:noWrap w:val="0"/>
            <w:vAlign w:val="top"/>
          </w:tcPr>
          <w:p>
            <w:pPr>
              <w:spacing w:line="360" w:lineRule="auto"/>
              <w:ind w:firstLine="420" w:firstLineChars="200"/>
              <w:jc w:val="both"/>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pPr>
              <w:spacing w:line="360" w:lineRule="auto"/>
              <w:ind w:firstLine="420" w:firstLineChars="200"/>
              <w:jc w:val="both"/>
              <w:rPr>
                <w:color w:val="auto"/>
                <w:highlight w:val="none"/>
              </w:rPr>
            </w:pPr>
            <w:r>
              <w:rPr>
                <w:rFonts w:hint="eastAsia"/>
                <w:color w:val="auto"/>
                <w:highlight w:val="none"/>
              </w:rPr>
              <w:t>合同总价款（大小写）：</w:t>
            </w:r>
          </w:p>
          <w:p>
            <w:pPr>
              <w:spacing w:line="360" w:lineRule="auto"/>
              <w:ind w:firstLine="420" w:firstLineChars="200"/>
              <w:jc w:val="both"/>
              <w:rPr>
                <w:color w:val="auto"/>
                <w:highlight w:val="none"/>
              </w:rPr>
            </w:pPr>
            <w:r>
              <w:rPr>
                <w:rFonts w:hint="eastAsia"/>
                <w:color w:val="auto"/>
                <w:szCs w:val="28"/>
                <w:highlight w:val="none"/>
              </w:rPr>
              <w:t>备注：上述产品报价含产品生产、运输&lt;送达至甲方指定地点并下货&gt;、安装、调试、检验及售后服务、税金、劳保基金、人员培训等费用。</w:t>
            </w:r>
          </w:p>
        </w:tc>
      </w:tr>
    </w:tbl>
    <w:p>
      <w:pPr>
        <w:spacing w:line="360" w:lineRule="auto"/>
        <w:ind w:firstLine="422" w:firstLineChars="200"/>
        <w:jc w:val="both"/>
        <w:rPr>
          <w:color w:val="auto"/>
          <w:highlight w:val="none"/>
        </w:rPr>
      </w:pPr>
      <w:r>
        <w:rPr>
          <w:rFonts w:hint="eastAsia"/>
          <w:b/>
          <w:bCs/>
          <w:color w:val="auto"/>
          <w:szCs w:val="27"/>
          <w:highlight w:val="none"/>
        </w:rPr>
        <w:t xml:space="preserve">第二条  </w:t>
      </w:r>
      <w:r>
        <w:rPr>
          <w:color w:val="auto"/>
          <w:szCs w:val="27"/>
          <w:highlight w:val="none"/>
        </w:rPr>
        <w:t>产品的技术标准（包括质量要求），按下列第（ ）项执行：</w:t>
      </w:r>
    </w:p>
    <w:p>
      <w:pPr>
        <w:spacing w:line="360" w:lineRule="auto"/>
        <w:ind w:firstLine="420" w:firstLineChars="200"/>
        <w:jc w:val="both"/>
        <w:rPr>
          <w:color w:val="auto"/>
          <w:szCs w:val="27"/>
          <w:highlight w:val="none"/>
        </w:rPr>
      </w:pPr>
      <w:r>
        <w:rPr>
          <w:rFonts w:hint="eastAsia"/>
          <w:color w:val="auto"/>
          <w:szCs w:val="27"/>
          <w:highlight w:val="none"/>
        </w:rPr>
        <w:t>①</w:t>
      </w:r>
      <w:r>
        <w:rPr>
          <w:color w:val="auto"/>
          <w:szCs w:val="27"/>
          <w:highlight w:val="none"/>
        </w:rPr>
        <w:t>按国家标准执行；</w:t>
      </w:r>
      <w:r>
        <w:rPr>
          <w:rFonts w:hint="eastAsia"/>
          <w:color w:val="auto"/>
          <w:szCs w:val="27"/>
          <w:highlight w:val="none"/>
        </w:rPr>
        <w:t>②</w:t>
      </w:r>
      <w:r>
        <w:rPr>
          <w:color w:val="auto"/>
          <w:szCs w:val="27"/>
          <w:highlight w:val="none"/>
        </w:rPr>
        <w:t>按部颁标准执行；</w:t>
      </w:r>
      <w:r>
        <w:rPr>
          <w:rFonts w:hint="eastAsia"/>
          <w:color w:val="auto"/>
          <w:szCs w:val="27"/>
          <w:highlight w:val="none"/>
        </w:rPr>
        <w:t>③若无以上标准，则应不低于同行业质量标准；④</w:t>
      </w:r>
      <w:r>
        <w:rPr>
          <w:color w:val="auto"/>
          <w:szCs w:val="27"/>
          <w:highlight w:val="none"/>
        </w:rPr>
        <w:t>有特殊要求的，按甲乙双方在合同中商定的技术条件、样品或补充的技术要求执行</w:t>
      </w:r>
      <w:r>
        <w:rPr>
          <w:rFonts w:hint="eastAsia"/>
          <w:color w:val="auto"/>
          <w:szCs w:val="27"/>
          <w:highlight w:val="none"/>
        </w:rPr>
        <w:t>；</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乙方提供和交付的货物技术标准应</w:t>
      </w:r>
      <w:r>
        <w:rPr>
          <w:rFonts w:hint="eastAsia" w:ascii="宋体" w:hAnsi="宋体" w:eastAsia="宋体" w:cs="宋体"/>
          <w:color w:val="auto"/>
          <w:highlight w:val="none"/>
          <w:lang w:eastAsia="zh-CN"/>
        </w:rPr>
        <w:t>在投标文件承诺</w:t>
      </w:r>
      <w:r>
        <w:rPr>
          <w:rFonts w:ascii="宋体" w:hAnsi="宋体" w:eastAsia="宋体" w:cs="宋体"/>
          <w:color w:val="auto"/>
          <w:highlight w:val="none"/>
        </w:rPr>
        <w:t>与招标采购文件规定的技术标准相一致。若技术标准中无相应规定，所投货物应符合相应的国际标准或原产地国家有关部门最新颁布的相应的正式标准。</w:t>
      </w:r>
    </w:p>
    <w:p>
      <w:pPr>
        <w:spacing w:line="360" w:lineRule="auto"/>
        <w:ind w:firstLine="420" w:firstLineChars="200"/>
        <w:jc w:val="both"/>
        <w:rPr>
          <w:rFonts w:hint="eastAsia" w:ascii="Times New Roman" w:hAnsi="Times New Roman" w:eastAsia="宋体" w:cs="Times New Roman"/>
          <w:color w:val="auto"/>
          <w:szCs w:val="27"/>
          <w:highlight w:val="none"/>
        </w:rPr>
      </w:pPr>
      <w:r>
        <w:rPr>
          <w:rFonts w:hint="eastAsia" w:ascii="Times New Roman" w:hAnsi="Times New Roman" w:eastAsia="宋体" w:cs="Times New Roman"/>
          <w:color w:val="auto"/>
          <w:szCs w:val="27"/>
          <w:highlight w:val="none"/>
        </w:rPr>
        <w:t>进口产品的质量标准为                                             。</w:t>
      </w:r>
    </w:p>
    <w:p>
      <w:pPr>
        <w:spacing w:line="360" w:lineRule="auto"/>
        <w:ind w:firstLine="420" w:firstLineChars="200"/>
        <w:jc w:val="both"/>
        <w:rPr>
          <w:rFonts w:hint="eastAsia" w:ascii="Times New Roman" w:hAnsi="Times New Roman" w:eastAsia="宋体" w:cs="Times New Roman"/>
          <w:color w:val="auto"/>
          <w:szCs w:val="27"/>
          <w:highlight w:val="none"/>
        </w:rPr>
      </w:pPr>
      <w:r>
        <w:rPr>
          <w:rFonts w:hint="eastAsia" w:ascii="Times New Roman" w:hAnsi="Times New Roman" w:eastAsia="宋体" w:cs="Times New Roman"/>
          <w:color w:val="auto"/>
          <w:szCs w:val="27"/>
          <w:highlight w:val="none"/>
        </w:rPr>
        <w:t>乙方</w:t>
      </w:r>
      <w:r>
        <w:rPr>
          <w:rFonts w:hint="eastAsia" w:ascii="Times New Roman" w:hAnsi="Times New Roman" w:eastAsia="宋体" w:cs="Times New Roman"/>
          <w:color w:val="auto"/>
          <w:szCs w:val="27"/>
          <w:highlight w:val="none"/>
          <w:lang w:eastAsia="zh-CN"/>
        </w:rPr>
        <w:t>需在投标文件中承诺</w:t>
      </w:r>
      <w:r>
        <w:rPr>
          <w:rFonts w:hint="eastAsia" w:ascii="Times New Roman" w:hAnsi="Times New Roman" w:eastAsia="宋体" w:cs="Times New Roman"/>
          <w:color w:val="auto"/>
          <w:szCs w:val="27"/>
          <w:highlight w:val="none"/>
        </w:rPr>
        <w:t>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pStyle w:val="14"/>
        <w:spacing w:line="360" w:lineRule="auto"/>
        <w:ind w:left="0" w:firstLine="482" w:firstLineChars="200"/>
        <w:jc w:val="both"/>
        <w:rPr>
          <w:rFonts w:ascii="宋体" w:hAnsi="宋体" w:eastAsia="宋体"/>
          <w:color w:val="auto"/>
          <w:sz w:val="24"/>
          <w:highlight w:val="none"/>
        </w:rPr>
      </w:pPr>
      <w:r>
        <w:rPr>
          <w:rFonts w:hint="eastAsia" w:ascii="宋体" w:hAnsi="宋体" w:eastAsia="宋体"/>
          <w:b/>
          <w:bCs/>
          <w:color w:val="auto"/>
          <w:sz w:val="24"/>
          <w:highlight w:val="none"/>
        </w:rPr>
        <w:t>第</w:t>
      </w:r>
      <w:r>
        <w:rPr>
          <w:rFonts w:ascii="宋体" w:hAnsi="宋体" w:eastAsia="宋体"/>
          <w:b/>
          <w:bCs/>
          <w:color w:val="auto"/>
          <w:sz w:val="24"/>
          <w:highlight w:val="none"/>
        </w:rPr>
        <w:t>三</w:t>
      </w:r>
      <w:r>
        <w:rPr>
          <w:rFonts w:hint="eastAsia" w:ascii="宋体" w:hAnsi="宋体" w:eastAsia="宋体"/>
          <w:b/>
          <w:bCs/>
          <w:color w:val="auto"/>
          <w:sz w:val="24"/>
          <w:highlight w:val="none"/>
        </w:rPr>
        <w:t>条</w:t>
      </w:r>
      <w:r>
        <w:rPr>
          <w:rFonts w:ascii="Times New Roman" w:hAnsi="Times New Roman" w:eastAsia="宋体" w:cs="Times New Roman"/>
          <w:color w:val="auto"/>
          <w:kern w:val="2"/>
          <w:sz w:val="21"/>
          <w:szCs w:val="27"/>
          <w:highlight w:val="none"/>
          <w:lang w:val="en-US" w:eastAsia="zh-CN" w:bidi="ar-SA"/>
        </w:rPr>
        <w:t>产品的包装标准和包装物的供应与回收       </w:t>
      </w:r>
      <w:r>
        <w:rPr>
          <w:rFonts w:hint="eastAsia" w:ascii="Times New Roman" w:hAnsi="Times New Roman" w:eastAsia="宋体" w:cs="Times New Roman"/>
          <w:color w:val="auto"/>
          <w:kern w:val="2"/>
          <w:sz w:val="21"/>
          <w:szCs w:val="27"/>
          <w:highlight w:val="none"/>
          <w:lang w:val="en-US" w:eastAsia="zh-CN" w:bidi="ar-SA"/>
        </w:rPr>
        <w:t xml:space="preserve">          。</w:t>
      </w:r>
    </w:p>
    <w:p>
      <w:pPr>
        <w:spacing w:line="360" w:lineRule="auto"/>
        <w:ind w:firstLine="420" w:firstLineChars="200"/>
        <w:jc w:val="both"/>
        <w:rPr>
          <w:color w:val="auto"/>
          <w:szCs w:val="27"/>
          <w:highlight w:val="none"/>
        </w:rPr>
      </w:pPr>
      <w:r>
        <w:rPr>
          <w:color w:val="auto"/>
          <w:szCs w:val="27"/>
          <w:highlight w:val="none"/>
        </w:rPr>
        <w:t>（国家或</w:t>
      </w:r>
      <w:r>
        <w:rPr>
          <w:rFonts w:hint="eastAsia"/>
          <w:color w:val="auto"/>
          <w:szCs w:val="27"/>
          <w:highlight w:val="none"/>
        </w:rPr>
        <w:t>行业</w:t>
      </w:r>
      <w:r>
        <w:rPr>
          <w:color w:val="auto"/>
          <w:szCs w:val="27"/>
          <w:highlight w:val="none"/>
        </w:rPr>
        <w:t>主管部门有技术规定的，按技术规定执行；国家与</w:t>
      </w:r>
      <w:r>
        <w:rPr>
          <w:rFonts w:hint="eastAsia"/>
          <w:color w:val="auto"/>
          <w:szCs w:val="27"/>
          <w:highlight w:val="none"/>
        </w:rPr>
        <w:t>行业</w:t>
      </w:r>
      <w:r>
        <w:rPr>
          <w:color w:val="auto"/>
          <w:szCs w:val="27"/>
          <w:highlight w:val="none"/>
        </w:rPr>
        <w:t>主管部门无技术规定的，由甲乙双方商定。）</w:t>
      </w:r>
    </w:p>
    <w:p>
      <w:pPr>
        <w:spacing w:line="360" w:lineRule="auto"/>
        <w:ind w:firstLine="422" w:firstLineChars="200"/>
        <w:jc w:val="both"/>
        <w:rPr>
          <w:color w:val="auto"/>
          <w:szCs w:val="27"/>
          <w:highlight w:val="none"/>
        </w:rPr>
      </w:pPr>
      <w:r>
        <w:rPr>
          <w:rFonts w:hint="eastAsia"/>
          <w:b/>
          <w:bCs/>
          <w:color w:val="auto"/>
          <w:szCs w:val="27"/>
          <w:highlight w:val="none"/>
        </w:rPr>
        <w:t xml:space="preserve">第四条  </w:t>
      </w:r>
      <w:r>
        <w:rPr>
          <w:color w:val="auto"/>
          <w:szCs w:val="27"/>
          <w:highlight w:val="none"/>
        </w:rPr>
        <w:t>产品的交货方法、到货地点</w:t>
      </w:r>
      <w:r>
        <w:rPr>
          <w:rFonts w:hint="eastAsia"/>
          <w:color w:val="auto"/>
          <w:szCs w:val="27"/>
          <w:highlight w:val="none"/>
        </w:rPr>
        <w:t>和交货期限</w:t>
      </w:r>
    </w:p>
    <w:p>
      <w:pPr>
        <w:spacing w:line="360" w:lineRule="auto"/>
        <w:ind w:firstLine="420" w:firstLineChars="200"/>
        <w:jc w:val="both"/>
        <w:rPr>
          <w:color w:val="auto"/>
          <w:highlight w:val="none"/>
        </w:rPr>
      </w:pPr>
      <w:r>
        <w:rPr>
          <w:rFonts w:hint="eastAsia"/>
          <w:color w:val="auto"/>
          <w:szCs w:val="27"/>
          <w:highlight w:val="none"/>
        </w:rPr>
        <w:t>1.</w:t>
      </w:r>
      <w:r>
        <w:rPr>
          <w:color w:val="auto"/>
          <w:szCs w:val="27"/>
          <w:highlight w:val="none"/>
        </w:rPr>
        <w:t>交货方法，按下列第（ ）项执行：</w:t>
      </w:r>
    </w:p>
    <w:p>
      <w:pPr>
        <w:spacing w:line="360" w:lineRule="auto"/>
        <w:ind w:firstLine="420" w:firstLineChars="200"/>
        <w:jc w:val="both"/>
        <w:rPr>
          <w:color w:val="auto"/>
          <w:highlight w:val="none"/>
        </w:rPr>
      </w:pPr>
      <w:r>
        <w:rPr>
          <w:rFonts w:hint="eastAsia"/>
          <w:color w:val="auto"/>
          <w:szCs w:val="27"/>
          <w:highlight w:val="none"/>
        </w:rPr>
        <w:t>①</w:t>
      </w:r>
      <w:r>
        <w:rPr>
          <w:color w:val="auto"/>
          <w:szCs w:val="27"/>
          <w:highlight w:val="none"/>
        </w:rPr>
        <w:t>乙方送货</w:t>
      </w:r>
      <w:r>
        <w:rPr>
          <w:rFonts w:hint="eastAsia"/>
          <w:color w:val="auto"/>
          <w:szCs w:val="27"/>
          <w:highlight w:val="none"/>
        </w:rPr>
        <w:t>上门；②</w:t>
      </w:r>
      <w:r>
        <w:rPr>
          <w:color w:val="auto"/>
          <w:szCs w:val="27"/>
          <w:highlight w:val="none"/>
        </w:rPr>
        <w:t>乙方代运；</w:t>
      </w:r>
      <w:r>
        <w:rPr>
          <w:rFonts w:hint="eastAsia"/>
          <w:color w:val="auto"/>
          <w:szCs w:val="27"/>
          <w:highlight w:val="none"/>
        </w:rPr>
        <w:t>③</w:t>
      </w:r>
      <w:r>
        <w:rPr>
          <w:color w:val="auto"/>
          <w:szCs w:val="27"/>
          <w:highlight w:val="none"/>
        </w:rPr>
        <w:t>甲方自提自运。</w:t>
      </w:r>
    </w:p>
    <w:p>
      <w:pPr>
        <w:spacing w:line="360" w:lineRule="auto"/>
        <w:ind w:firstLine="420" w:firstLineChars="200"/>
        <w:jc w:val="both"/>
        <w:rPr>
          <w:color w:val="auto"/>
          <w:szCs w:val="27"/>
          <w:highlight w:val="none"/>
        </w:rPr>
      </w:pPr>
      <w:r>
        <w:rPr>
          <w:rFonts w:hint="eastAsia"/>
          <w:color w:val="auto"/>
          <w:szCs w:val="27"/>
          <w:highlight w:val="none"/>
        </w:rPr>
        <w:t>2.</w:t>
      </w:r>
      <w:r>
        <w:rPr>
          <w:color w:val="auto"/>
          <w:szCs w:val="27"/>
          <w:highlight w:val="none"/>
        </w:rPr>
        <w:t>到货地点</w:t>
      </w:r>
      <w:r>
        <w:rPr>
          <w:rFonts w:hint="eastAsia"/>
          <w:color w:val="auto"/>
          <w:szCs w:val="27"/>
          <w:highlight w:val="none"/>
        </w:rPr>
        <w:t>：</w:t>
      </w:r>
      <w:r>
        <w:rPr>
          <w:color w:val="auto"/>
          <w:szCs w:val="27"/>
          <w:highlight w:val="none"/>
        </w:rPr>
        <w:softHyphen/>
      </w:r>
      <w:r>
        <w:rPr>
          <w:color w:val="auto"/>
          <w:szCs w:val="27"/>
          <w:highlight w:val="none"/>
        </w:rPr>
        <w:softHyphen/>
      </w:r>
      <w:r>
        <w:rPr>
          <w:color w:val="auto"/>
          <w:szCs w:val="27"/>
          <w:highlight w:val="none"/>
        </w:rPr>
        <w:softHyphen/>
      </w:r>
      <w:r>
        <w:rPr>
          <w:color w:val="auto"/>
          <w:szCs w:val="27"/>
          <w:highlight w:val="none"/>
        </w:rPr>
        <w:softHyphen/>
      </w:r>
      <w:r>
        <w:rPr>
          <w:color w:val="auto"/>
          <w:szCs w:val="27"/>
          <w:highlight w:val="none"/>
        </w:rPr>
        <w:softHyphen/>
      </w:r>
      <w:r>
        <w:rPr>
          <w:color w:val="auto"/>
          <w:szCs w:val="27"/>
          <w:highlight w:val="none"/>
        </w:rPr>
        <w:softHyphen/>
      </w:r>
      <w:r>
        <w:rPr>
          <w:color w:val="auto"/>
          <w:szCs w:val="27"/>
          <w:highlight w:val="none"/>
        </w:rPr>
        <w:softHyphen/>
      </w:r>
      <w:r>
        <w:rPr>
          <w:color w:val="auto"/>
          <w:szCs w:val="27"/>
          <w:highlight w:val="none"/>
        </w:rPr>
        <w:softHyphen/>
      </w:r>
      <w:r>
        <w:rPr>
          <w:color w:val="auto"/>
          <w:szCs w:val="27"/>
          <w:highlight w:val="none"/>
        </w:rPr>
        <w:softHyphen/>
      </w:r>
      <w:r>
        <w:rPr>
          <w:color w:val="auto"/>
          <w:szCs w:val="27"/>
          <w:highlight w:val="none"/>
        </w:rPr>
        <w:softHyphen/>
      </w:r>
      <w:r>
        <w:rPr>
          <w:color w:val="auto"/>
          <w:szCs w:val="27"/>
          <w:highlight w:val="none"/>
          <w:u w:val="single"/>
        </w:rPr>
        <w:t xml:space="preserve">                 (</w:t>
      </w:r>
      <w:r>
        <w:rPr>
          <w:rFonts w:hint="eastAsia"/>
          <w:color w:val="auto"/>
          <w:szCs w:val="27"/>
          <w:highlight w:val="none"/>
        </w:rPr>
        <w:t>甲方指定的任何地点，安装并调试.)</w:t>
      </w:r>
    </w:p>
    <w:p>
      <w:pPr>
        <w:spacing w:line="360" w:lineRule="auto"/>
        <w:ind w:firstLine="420" w:firstLineChars="200"/>
        <w:jc w:val="both"/>
        <w:rPr>
          <w:color w:val="auto"/>
          <w:szCs w:val="27"/>
          <w:highlight w:val="none"/>
        </w:rPr>
      </w:pPr>
      <w:r>
        <w:rPr>
          <w:rFonts w:hint="eastAsia"/>
          <w:color w:val="auto"/>
          <w:szCs w:val="27"/>
          <w:highlight w:val="none"/>
        </w:rPr>
        <w:t>3.</w:t>
      </w:r>
      <w:r>
        <w:rPr>
          <w:color w:val="auto"/>
          <w:szCs w:val="27"/>
          <w:highlight w:val="none"/>
        </w:rPr>
        <w:t>产品</w:t>
      </w:r>
      <w:r>
        <w:rPr>
          <w:rFonts w:hint="eastAsia"/>
          <w:color w:val="auto"/>
          <w:szCs w:val="27"/>
          <w:highlight w:val="none"/>
        </w:rPr>
        <w:t>的交货期限</w:t>
      </w:r>
      <w:r>
        <w:rPr>
          <w:color w:val="auto"/>
          <w:szCs w:val="27"/>
          <w:highlight w:val="none"/>
          <w:u w:val="single"/>
        </w:rPr>
        <w:t>                         </w:t>
      </w:r>
      <w:r>
        <w:rPr>
          <w:color w:val="auto"/>
          <w:szCs w:val="27"/>
          <w:highlight w:val="none"/>
        </w:rPr>
        <w:t>。</w:t>
      </w:r>
    </w:p>
    <w:p>
      <w:pPr>
        <w:spacing w:line="360" w:lineRule="auto"/>
        <w:ind w:firstLine="422" w:firstLineChars="200"/>
        <w:jc w:val="both"/>
        <w:rPr>
          <w:color w:val="auto"/>
          <w:szCs w:val="27"/>
          <w:highlight w:val="none"/>
        </w:rPr>
      </w:pPr>
      <w:r>
        <w:rPr>
          <w:rFonts w:hint="eastAsia"/>
          <w:b/>
          <w:bCs/>
          <w:color w:val="auto"/>
          <w:szCs w:val="27"/>
          <w:highlight w:val="none"/>
        </w:rPr>
        <w:t>第五条</w:t>
      </w:r>
      <w:r>
        <w:rPr>
          <w:rFonts w:hint="eastAsia"/>
          <w:color w:val="auto"/>
          <w:szCs w:val="27"/>
          <w:highlight w:val="none"/>
        </w:rPr>
        <w:t xml:space="preserve">  合同总价款</w:t>
      </w:r>
    </w:p>
    <w:p>
      <w:pPr>
        <w:spacing w:line="360" w:lineRule="auto"/>
        <w:ind w:firstLine="420" w:firstLineChars="200"/>
        <w:jc w:val="both"/>
        <w:rPr>
          <w:color w:val="auto"/>
          <w:szCs w:val="27"/>
          <w:highlight w:val="none"/>
          <w:u w:val="single"/>
        </w:rPr>
      </w:pPr>
      <w:r>
        <w:rPr>
          <w:rFonts w:hint="eastAsia"/>
          <w:color w:val="auto"/>
          <w:szCs w:val="27"/>
          <w:highlight w:val="none"/>
        </w:rPr>
        <w:t>合同总价款（大小写）：</w:t>
      </w:r>
      <w:r>
        <w:rPr>
          <w:rFonts w:hint="eastAsia"/>
          <w:color w:val="auto"/>
          <w:szCs w:val="27"/>
          <w:highlight w:val="none"/>
          <w:u w:val="single"/>
        </w:rPr>
        <w:t xml:space="preserve">                        </w:t>
      </w:r>
    </w:p>
    <w:p>
      <w:pPr>
        <w:numPr>
          <w:ilvl w:val="0"/>
          <w:numId w:val="2"/>
        </w:numPr>
        <w:spacing w:line="360" w:lineRule="auto"/>
        <w:ind w:left="0" w:firstLine="420" w:firstLineChars="200"/>
        <w:jc w:val="both"/>
        <w:rPr>
          <w:color w:val="auto"/>
          <w:highlight w:val="none"/>
        </w:rPr>
      </w:pPr>
      <w:r>
        <w:rPr>
          <w:rFonts w:hint="eastAsia"/>
          <w:color w:val="auto"/>
          <w:highlight w:val="none"/>
        </w:rPr>
        <w:t xml:space="preserve">付款条件                  </w:t>
      </w:r>
    </w:p>
    <w:p>
      <w:pPr>
        <w:spacing w:line="360" w:lineRule="auto"/>
        <w:ind w:firstLine="420" w:firstLineChars="200"/>
        <w:jc w:val="both"/>
        <w:rPr>
          <w:color w:val="auto"/>
          <w:highlight w:val="none"/>
        </w:rPr>
      </w:pPr>
      <w:r>
        <w:rPr>
          <w:rFonts w:hint="eastAsia"/>
          <w:color w:val="auto"/>
          <w:highlight w:val="none"/>
        </w:rPr>
        <w:t>本合同以人民币付款。</w:t>
      </w:r>
    </w:p>
    <w:p>
      <w:pPr>
        <w:spacing w:line="360" w:lineRule="auto"/>
        <w:ind w:firstLine="420" w:firstLineChars="200"/>
        <w:jc w:val="both"/>
        <w:rPr>
          <w:color w:val="auto"/>
          <w:highlight w:val="none"/>
        </w:rPr>
      </w:pPr>
      <w:r>
        <w:rPr>
          <w:rFonts w:hint="eastAsia"/>
          <w:color w:val="auto"/>
          <w:highlight w:val="none"/>
        </w:rPr>
        <w:t>该项目是否实行预付款：</w:t>
      </w:r>
    </w:p>
    <w:p>
      <w:pPr>
        <w:spacing w:line="360" w:lineRule="auto"/>
        <w:ind w:firstLine="420" w:firstLineChars="200"/>
        <w:jc w:val="both"/>
        <w:rPr>
          <w:color w:val="auto"/>
          <w:highlight w:val="none"/>
        </w:rPr>
      </w:pPr>
      <w:r>
        <w:rPr>
          <w:rFonts w:hint="eastAsia"/>
          <w:color w:val="auto"/>
          <w:highlight w:val="none"/>
        </w:rPr>
        <w:t>实行预付款的条件和比例：</w:t>
      </w:r>
    </w:p>
    <w:p>
      <w:pPr>
        <w:spacing w:line="360" w:lineRule="auto"/>
        <w:ind w:firstLine="420" w:firstLineChars="200"/>
        <w:jc w:val="both"/>
        <w:rPr>
          <w:color w:val="auto"/>
          <w:highlight w:val="none"/>
        </w:rPr>
      </w:pPr>
      <w:r>
        <w:rPr>
          <w:rFonts w:hint="eastAsia"/>
          <w:color w:val="auto"/>
          <w:highlight w:val="none"/>
        </w:rPr>
        <w:t>合同款项结算方式和支付比例：</w:t>
      </w:r>
      <w:r>
        <w:rPr>
          <w:rFonts w:hint="eastAsia"/>
          <w:color w:val="auto"/>
          <w:highlight w:val="none"/>
          <w:lang w:val="en-US"/>
        </w:rPr>
        <w:t xml:space="preserve">   </w:t>
      </w:r>
    </w:p>
    <w:p>
      <w:pPr>
        <w:spacing w:line="360" w:lineRule="auto"/>
        <w:ind w:firstLine="420" w:firstLineChars="200"/>
        <w:jc w:val="both"/>
        <w:rPr>
          <w:b/>
          <w:bCs/>
          <w:color w:val="auto"/>
          <w:szCs w:val="27"/>
          <w:highlight w:val="none"/>
        </w:rPr>
      </w:pPr>
      <w:r>
        <w:rPr>
          <w:rFonts w:hint="eastAsia"/>
          <w:color w:val="auto"/>
          <w:highlight w:val="none"/>
          <w:lang w:val="en-US"/>
        </w:rPr>
        <w:t>(</w:t>
      </w:r>
      <w:r>
        <w:rPr>
          <w:rFonts w:hint="eastAsia"/>
          <w:color w:val="auto"/>
          <w:highlight w:val="none"/>
        </w:rPr>
        <w:t>具体付款方式</w:t>
      </w:r>
      <w:r>
        <w:rPr>
          <w:rFonts w:hint="eastAsia"/>
          <w:color w:val="auto"/>
          <w:highlight w:val="none"/>
          <w:u w:val="single"/>
        </w:rPr>
        <w:t>按投标人须知前附表以及采、购双方的具体约定</w:t>
      </w:r>
    </w:p>
    <w:p>
      <w:pPr>
        <w:numPr>
          <w:ilvl w:val="0"/>
          <w:numId w:val="2"/>
        </w:numPr>
        <w:spacing w:line="360" w:lineRule="auto"/>
        <w:ind w:left="0" w:firstLine="420" w:firstLineChars="200"/>
        <w:jc w:val="both"/>
        <w:rPr>
          <w:color w:val="auto"/>
          <w:szCs w:val="27"/>
          <w:highlight w:val="none"/>
        </w:rPr>
      </w:pPr>
      <w:r>
        <w:rPr>
          <w:color w:val="auto"/>
          <w:szCs w:val="27"/>
          <w:highlight w:val="none"/>
        </w:rPr>
        <w:t>验收方法</w:t>
      </w:r>
    </w:p>
    <w:p>
      <w:pPr>
        <w:spacing w:line="360" w:lineRule="auto"/>
        <w:ind w:firstLine="42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1.乙方安装调试后，在      天内通知甲方组织验收，采购代理机构保留受托参与本项目验收的权利。验收不合格的，乙方应负责重新提供达到本合同约定的质量要求的产品。</w:t>
      </w:r>
    </w:p>
    <w:p>
      <w:pPr>
        <w:spacing w:line="360" w:lineRule="auto"/>
        <w:ind w:firstLine="42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2.甲、乙双方应严格履行合同有关条款，如果验收过程中发现乙方在没有征得采购人同意的情况下擅自变更合同标的物，将拒绝通过验收，由此引起的一切后果及损失由乙方承担。</w:t>
      </w:r>
    </w:p>
    <w:p>
      <w:pPr>
        <w:spacing w:line="360" w:lineRule="auto"/>
        <w:ind w:firstLine="420" w:firstLineChars="200"/>
        <w:jc w:val="both"/>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highlight w:val="none"/>
        </w:rPr>
        <w:t>3.甲方应承担项目验收的主体责任。</w:t>
      </w:r>
      <w:r>
        <w:rPr>
          <w:rFonts w:hint="eastAsia" w:ascii="宋体" w:hAnsi="宋体" w:eastAsia="宋体" w:cs="宋体"/>
          <w:color w:val="auto"/>
          <w:sz w:val="24"/>
          <w:szCs w:val="27"/>
          <w:highlight w:val="none"/>
        </w:rPr>
        <w:t>供应商须保证如期完成供货，并协助采购人顺利完成验收工作，需在投标文件中承诺如期完成供货</w:t>
      </w:r>
      <w:r>
        <w:rPr>
          <w:rFonts w:hint="eastAsia" w:ascii="宋体" w:hAnsi="宋体" w:eastAsia="宋体" w:cs="宋体"/>
          <w:color w:val="auto"/>
          <w:sz w:val="24"/>
          <w:szCs w:val="24"/>
          <w:highlight w:val="none"/>
        </w:rPr>
        <w:t>保证书。</w:t>
      </w:r>
      <w:r>
        <w:rPr>
          <w:rFonts w:hint="eastAsia" w:ascii="Times New Roman" w:hAnsi="Times New Roman" w:eastAsia="宋体" w:cs="Times New Roman"/>
          <w:color w:val="auto"/>
          <w:sz w:val="24"/>
          <w:szCs w:val="24"/>
          <w:highlight w:val="none"/>
        </w:rPr>
        <w:t>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firstLineChars="200"/>
        <w:jc w:val="both"/>
        <w:rPr>
          <w:rFonts w:hint="eastAsia"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lang w:val="en-US"/>
        </w:rPr>
        <w:t>4、甲方视情况可以邀请参加本项目的其他投标人或者第三方机构参与验收，参与验收的投标人或者第三方机构的意见作为验收书的参考资料一并存档。</w:t>
      </w:r>
    </w:p>
    <w:p>
      <w:pPr>
        <w:spacing w:line="360" w:lineRule="auto"/>
        <w:ind w:firstLine="420" w:firstLineChars="200"/>
        <w:jc w:val="both"/>
        <w:rPr>
          <w:rFonts w:hint="eastAsia"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lang w:val="en-US"/>
        </w:rPr>
        <w:t>5、乙方所交产品不符合合同规定的，如果甲方同意利用，应当按质论价；如果甲方不能利用的，应根据产品的具体情况，由乙方负责包换或退货，并承担调换或退货而支付的实际费用,同时，乙方应按规定，对更换件相应延长质量保证期，并赔偿甲方相应的损失。乙方不能调换的，按不能交货处理。供应商在响应文件中需对上述单独做出</w:t>
      </w:r>
      <w:r>
        <w:rPr>
          <w:rFonts w:hint="eastAsia" w:ascii="Times New Roman" w:hAnsi="Times New Roman" w:eastAsia="宋体" w:cs="Times New Roman"/>
          <w:color w:val="auto"/>
          <w:highlight w:val="none"/>
          <w:lang w:val="en-US" w:eastAsia="zh-CN"/>
        </w:rPr>
        <w:t>书面声明</w:t>
      </w:r>
      <w:r>
        <w:rPr>
          <w:rFonts w:hint="eastAsia" w:ascii="Times New Roman" w:hAnsi="Times New Roman" w:eastAsia="宋体" w:cs="Times New Roman"/>
          <w:color w:val="auto"/>
          <w:highlight w:val="none"/>
          <w:lang w:val="en-US"/>
        </w:rPr>
        <w:t>；</w:t>
      </w:r>
    </w:p>
    <w:p>
      <w:pPr>
        <w:spacing w:line="360" w:lineRule="auto"/>
        <w:ind w:firstLine="420" w:firstLineChars="200"/>
        <w:jc w:val="both"/>
        <w:rPr>
          <w:rFonts w:hint="eastAsia"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lang w:val="en-US"/>
        </w:rPr>
        <w:t>6、 如果乙方没有按照规定的时间交货和提供服务，应向甲方支付违约金，违约金从货款中扣除，按每周迟交货物或未提供服务交货价的0.5%计收。但违约金的最高限额为迟交货物或 提供服务合同价的5%。一周按7天计算，不足7天按一周计算。如果达到最高限额，甲方应考虑终止合同，由此给甲方造成的损失由乙方承担。供应商在响应文件中需对上述单独做出</w:t>
      </w:r>
      <w:r>
        <w:rPr>
          <w:rFonts w:hint="eastAsia" w:ascii="Times New Roman" w:hAnsi="Times New Roman" w:eastAsia="宋体" w:cs="Times New Roman"/>
          <w:color w:val="auto"/>
          <w:highlight w:val="none"/>
          <w:lang w:val="en-US" w:eastAsia="zh-CN"/>
        </w:rPr>
        <w:t>书面声明</w:t>
      </w:r>
      <w:r>
        <w:rPr>
          <w:rFonts w:hint="eastAsia" w:ascii="Times New Roman" w:hAnsi="Times New Roman" w:eastAsia="宋体" w:cs="Times New Roman"/>
          <w:color w:val="auto"/>
          <w:highlight w:val="none"/>
          <w:lang w:val="en-US"/>
        </w:rPr>
        <w:t>；</w:t>
      </w:r>
    </w:p>
    <w:p>
      <w:pPr>
        <w:spacing w:line="360" w:lineRule="auto"/>
        <w:ind w:firstLine="420" w:firstLineChars="200"/>
        <w:jc w:val="both"/>
        <w:rPr>
          <w:rFonts w:hint="eastAsia"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lang w:val="en-US"/>
        </w:rPr>
        <w:t xml:space="preserve">7. 乙方应在响应文件中书面保证对其所提供的货物承担所有权担保责任，并应保证甲方在中华人民共和国内使用该货物时不侵犯第三人的知识产权。否则乙方应承担由此引起的一切 法律责任及费用。 </w:t>
      </w:r>
    </w:p>
    <w:p>
      <w:pPr>
        <w:spacing w:line="360" w:lineRule="auto"/>
        <w:ind w:firstLine="420" w:firstLineChars="200"/>
        <w:jc w:val="both"/>
        <w:rPr>
          <w:rFonts w:hint="eastAsia"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lang w:val="en-US"/>
        </w:rPr>
        <w:t>涉及安全、消防、环保等其他需要由质检或行业主管部门进行验收的项目，必须邀请相关部门或相关专家参与验收。</w:t>
      </w:r>
    </w:p>
    <w:p>
      <w:pPr>
        <w:spacing w:line="360" w:lineRule="auto"/>
        <w:ind w:firstLine="420" w:firstLineChars="200"/>
        <w:jc w:val="both"/>
        <w:rPr>
          <w:rFonts w:hint="eastAsia"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lang w:val="en-US"/>
        </w:rPr>
        <w:t>检测、验收费用承担方式：</w:t>
      </w:r>
    </w:p>
    <w:p>
      <w:pPr>
        <w:spacing w:line="360" w:lineRule="auto"/>
        <w:ind w:firstLine="422" w:firstLineChars="200"/>
        <w:jc w:val="both"/>
        <w:rPr>
          <w:color w:val="auto"/>
          <w:highlight w:val="none"/>
        </w:rPr>
      </w:pPr>
      <w:r>
        <w:rPr>
          <w:b/>
          <w:bCs/>
          <w:color w:val="auto"/>
          <w:szCs w:val="27"/>
          <w:highlight w:val="none"/>
        </w:rPr>
        <w:t>第八条 </w:t>
      </w:r>
      <w:r>
        <w:rPr>
          <w:color w:val="auto"/>
          <w:szCs w:val="27"/>
          <w:highlight w:val="none"/>
        </w:rPr>
        <w:t xml:space="preserve"> 对产品提出异议的时间和办法</w:t>
      </w:r>
    </w:p>
    <w:p>
      <w:pPr>
        <w:spacing w:line="360" w:lineRule="auto"/>
        <w:ind w:firstLine="420" w:firstLineChars="200"/>
        <w:jc w:val="both"/>
        <w:rPr>
          <w:color w:val="auto"/>
          <w:highlight w:val="none"/>
        </w:rPr>
      </w:pPr>
      <w:r>
        <w:rPr>
          <w:rFonts w:hint="eastAsia"/>
          <w:color w:val="auto"/>
          <w:szCs w:val="27"/>
          <w:highlight w:val="none"/>
        </w:rPr>
        <w:t>1.</w:t>
      </w:r>
      <w:r>
        <w:rPr>
          <w:color w:val="auto"/>
          <w:szCs w:val="27"/>
          <w:highlight w:val="none"/>
        </w:rPr>
        <w:t>甲方在验收中，如果发现产品不</w:t>
      </w:r>
      <w:r>
        <w:rPr>
          <w:rFonts w:hint="eastAsia"/>
          <w:color w:val="auto"/>
          <w:szCs w:val="27"/>
          <w:highlight w:val="none"/>
        </w:rPr>
        <w:t>符合合同约定的</w:t>
      </w:r>
      <w:r>
        <w:rPr>
          <w:color w:val="auto"/>
          <w:szCs w:val="27"/>
          <w:highlight w:val="none"/>
        </w:rPr>
        <w:t>，应一面妥为保管，一面在</w:t>
      </w:r>
      <w:r>
        <w:rPr>
          <w:color w:val="auto"/>
          <w:szCs w:val="27"/>
          <w:highlight w:val="none"/>
          <w:u w:val="single"/>
        </w:rPr>
        <w:t xml:space="preserve">         </w:t>
      </w:r>
      <w:r>
        <w:rPr>
          <w:rFonts w:hint="eastAsia"/>
          <w:color w:val="auto"/>
          <w:szCs w:val="27"/>
          <w:highlight w:val="none"/>
        </w:rPr>
        <w:t>工作日</w:t>
      </w:r>
      <w:r>
        <w:rPr>
          <w:color w:val="auto"/>
          <w:szCs w:val="27"/>
          <w:highlight w:val="none"/>
        </w:rPr>
        <w:t>内向乙方</w:t>
      </w:r>
      <w:r>
        <w:rPr>
          <w:rFonts w:hint="eastAsia"/>
          <w:color w:val="auto"/>
          <w:szCs w:val="27"/>
          <w:highlight w:val="none"/>
        </w:rPr>
        <w:t>书面</w:t>
      </w:r>
      <w:r>
        <w:rPr>
          <w:color w:val="auto"/>
          <w:szCs w:val="27"/>
          <w:highlight w:val="none"/>
        </w:rPr>
        <w:t>提出异议</w:t>
      </w:r>
      <w:r>
        <w:rPr>
          <w:rFonts w:hint="eastAsia"/>
          <w:color w:val="auto"/>
          <w:szCs w:val="27"/>
          <w:highlight w:val="none"/>
        </w:rPr>
        <w:t>，具体说明产品</w:t>
      </w:r>
      <w:r>
        <w:rPr>
          <w:color w:val="auto"/>
          <w:szCs w:val="27"/>
          <w:highlight w:val="none"/>
        </w:rPr>
        <w:t>不符合规定的</w:t>
      </w:r>
      <w:r>
        <w:rPr>
          <w:rFonts w:hint="eastAsia"/>
          <w:color w:val="auto"/>
          <w:szCs w:val="27"/>
          <w:highlight w:val="none"/>
        </w:rPr>
        <w:t>内容并附相关验收材料，同时</w:t>
      </w:r>
      <w:r>
        <w:rPr>
          <w:color w:val="auto"/>
          <w:szCs w:val="27"/>
          <w:highlight w:val="none"/>
        </w:rPr>
        <w:t>提出不符合规定产品的处理意见。</w:t>
      </w:r>
    </w:p>
    <w:p>
      <w:pPr>
        <w:spacing w:line="360" w:lineRule="auto"/>
        <w:ind w:firstLine="420" w:firstLineChars="200"/>
        <w:jc w:val="both"/>
        <w:rPr>
          <w:color w:val="auto"/>
          <w:highlight w:val="none"/>
        </w:rPr>
      </w:pPr>
      <w:r>
        <w:rPr>
          <w:rFonts w:hint="eastAsia"/>
          <w:color w:val="auto"/>
          <w:szCs w:val="27"/>
          <w:highlight w:val="none"/>
        </w:rPr>
        <w:t>2.</w:t>
      </w:r>
      <w:r>
        <w:rPr>
          <w:color w:val="auto"/>
          <w:szCs w:val="27"/>
          <w:highlight w:val="none"/>
        </w:rPr>
        <w:t>甲方因使用、保管、保养不善等造成产品质量下降的，不得提出异议。</w:t>
      </w:r>
    </w:p>
    <w:p>
      <w:pPr>
        <w:spacing w:line="360" w:lineRule="auto"/>
        <w:ind w:firstLine="420" w:firstLineChars="200"/>
        <w:jc w:val="both"/>
        <w:rPr>
          <w:color w:val="auto"/>
          <w:highlight w:val="none"/>
        </w:rPr>
      </w:pPr>
      <w:r>
        <w:rPr>
          <w:rFonts w:hint="eastAsia"/>
          <w:color w:val="auto"/>
          <w:szCs w:val="27"/>
          <w:highlight w:val="none"/>
        </w:rPr>
        <w:t>3.</w:t>
      </w:r>
      <w:r>
        <w:rPr>
          <w:color w:val="auto"/>
          <w:szCs w:val="27"/>
          <w:highlight w:val="none"/>
        </w:rPr>
        <w:t>乙方在接到</w:t>
      </w:r>
      <w:r>
        <w:rPr>
          <w:rFonts w:hint="eastAsia"/>
          <w:color w:val="auto"/>
          <w:szCs w:val="27"/>
          <w:highlight w:val="none"/>
        </w:rPr>
        <w:t>甲</w:t>
      </w:r>
      <w:r>
        <w:rPr>
          <w:color w:val="auto"/>
          <w:szCs w:val="27"/>
          <w:highlight w:val="none"/>
        </w:rPr>
        <w:t>方异议后，应在</w:t>
      </w:r>
      <w:r>
        <w:rPr>
          <w:rFonts w:hint="eastAsia"/>
          <w:color w:val="auto"/>
          <w:szCs w:val="27"/>
          <w:highlight w:val="none"/>
        </w:rPr>
        <w:t xml:space="preserve"> </w:t>
      </w:r>
      <w:r>
        <w:rPr>
          <w:color w:val="auto"/>
          <w:szCs w:val="27"/>
          <w:highlight w:val="none"/>
          <w:u w:val="single"/>
        </w:rPr>
        <w:t xml:space="preserve">       </w:t>
      </w:r>
      <w:r>
        <w:rPr>
          <w:rFonts w:hint="eastAsia"/>
          <w:color w:val="auto"/>
          <w:szCs w:val="27"/>
          <w:highlight w:val="none"/>
        </w:rPr>
        <w:t xml:space="preserve"> 工作日</w:t>
      </w:r>
      <w:r>
        <w:rPr>
          <w:color w:val="auto"/>
          <w:szCs w:val="27"/>
          <w:highlight w:val="none"/>
        </w:rPr>
        <w:t>内负责处理，否则，即视为默认甲方提出的异议和处理意见。</w:t>
      </w:r>
    </w:p>
    <w:p>
      <w:pPr>
        <w:spacing w:line="360" w:lineRule="auto"/>
        <w:ind w:firstLine="422" w:firstLineChars="200"/>
        <w:jc w:val="both"/>
        <w:rPr>
          <w:color w:val="auto"/>
          <w:szCs w:val="27"/>
          <w:highlight w:val="none"/>
        </w:rPr>
      </w:pPr>
      <w:r>
        <w:rPr>
          <w:rFonts w:hint="eastAsia"/>
          <w:b/>
          <w:bCs/>
          <w:color w:val="auto"/>
          <w:szCs w:val="27"/>
          <w:highlight w:val="none"/>
        </w:rPr>
        <w:t>第九条</w:t>
      </w:r>
      <w:r>
        <w:rPr>
          <w:rFonts w:hint="eastAsia"/>
          <w:color w:val="auto"/>
          <w:szCs w:val="27"/>
          <w:highlight w:val="none"/>
        </w:rPr>
        <w:t xml:space="preserve">  乙方应提供完善周到的技术支持和售后服务，否则甲方视情节轻重从乙方的质量保证金中扣除部分或全部补偿甲方。</w:t>
      </w:r>
    </w:p>
    <w:p>
      <w:pPr>
        <w:spacing w:line="360" w:lineRule="auto"/>
        <w:ind w:firstLine="420" w:firstLineChars="200"/>
        <w:jc w:val="both"/>
        <w:rPr>
          <w:color w:val="auto"/>
          <w:szCs w:val="27"/>
          <w:highlight w:val="none"/>
        </w:rPr>
      </w:pPr>
      <w:r>
        <w:rPr>
          <w:rFonts w:hint="eastAsia"/>
          <w:color w:val="auto"/>
          <w:szCs w:val="27"/>
          <w:highlight w:val="none"/>
        </w:rPr>
        <w:t>1.保修</w:t>
      </w:r>
    </w:p>
    <w:p>
      <w:pPr>
        <w:spacing w:line="360" w:lineRule="auto"/>
        <w:ind w:firstLine="420" w:firstLineChars="200"/>
        <w:jc w:val="both"/>
        <w:rPr>
          <w:color w:val="auto"/>
          <w:szCs w:val="27"/>
          <w:highlight w:val="none"/>
        </w:rPr>
      </w:pPr>
      <w:r>
        <w:rPr>
          <w:rFonts w:hint="eastAsia"/>
          <w:color w:val="auto"/>
          <w:szCs w:val="27"/>
          <w:highlight w:val="none"/>
        </w:rPr>
        <w:t>乙方对其所提供的货物免费保修</w:t>
      </w:r>
      <w:r>
        <w:rPr>
          <w:rFonts w:hint="eastAsia"/>
          <w:color w:val="auto"/>
          <w:szCs w:val="27"/>
          <w:highlight w:val="none"/>
          <w:u w:val="single"/>
        </w:rPr>
        <w:t xml:space="preserve">      </w:t>
      </w:r>
      <w:r>
        <w:rPr>
          <w:rFonts w:hint="eastAsia"/>
          <w:color w:val="auto"/>
          <w:szCs w:val="27"/>
          <w:highlight w:val="none"/>
        </w:rPr>
        <w:t>年，保修期从</w:t>
      </w:r>
      <w:r>
        <w:rPr>
          <w:rFonts w:hint="eastAsia"/>
          <w:color w:val="auto"/>
          <w:szCs w:val="27"/>
          <w:highlight w:val="none"/>
          <w:u w:val="single"/>
        </w:rPr>
        <w:t xml:space="preserve">             </w:t>
      </w:r>
      <w:r>
        <w:rPr>
          <w:rFonts w:hint="eastAsia"/>
          <w:color w:val="auto"/>
          <w:szCs w:val="27"/>
          <w:highlight w:val="none"/>
        </w:rPr>
        <w:t>开始。乙方应在接到报修通知后</w:t>
      </w:r>
      <w:r>
        <w:rPr>
          <w:rFonts w:hint="eastAsia"/>
          <w:color w:val="auto"/>
          <w:szCs w:val="27"/>
          <w:highlight w:val="none"/>
          <w:u w:val="single"/>
        </w:rPr>
        <w:t xml:space="preserve">      </w:t>
      </w:r>
      <w:r>
        <w:rPr>
          <w:rFonts w:hint="eastAsia"/>
          <w:color w:val="auto"/>
          <w:szCs w:val="27"/>
          <w:highlight w:val="none"/>
        </w:rPr>
        <w:t>天内上门维修，负责更换有瑕疵的货物、部件或提供相应的质量保证期内的服务。由此造成的损失，甲方保留索赔的权利。</w:t>
      </w:r>
    </w:p>
    <w:p>
      <w:pPr>
        <w:spacing w:line="360" w:lineRule="auto"/>
        <w:ind w:firstLine="420" w:firstLineChars="200"/>
        <w:jc w:val="both"/>
        <w:rPr>
          <w:color w:val="auto"/>
          <w:szCs w:val="27"/>
          <w:highlight w:val="none"/>
        </w:rPr>
      </w:pPr>
      <w:r>
        <w:rPr>
          <w:rFonts w:hint="eastAsia"/>
          <w:color w:val="auto"/>
          <w:szCs w:val="27"/>
          <w:highlight w:val="none"/>
        </w:rPr>
        <w:t>如果乙方在收到报修通知后</w:t>
      </w:r>
      <w:r>
        <w:rPr>
          <w:rFonts w:hint="eastAsia"/>
          <w:color w:val="auto"/>
          <w:szCs w:val="27"/>
          <w:highlight w:val="none"/>
          <w:u w:val="single"/>
        </w:rPr>
        <w:t xml:space="preserve">      </w:t>
      </w:r>
      <w:r>
        <w:rPr>
          <w:rFonts w:hint="eastAsia"/>
          <w:color w:val="auto"/>
          <w:szCs w:val="27"/>
          <w:highlight w:val="none"/>
        </w:rPr>
        <w:t>天内没有弥补缺陷，甲方可采取必要的补救措施，但费用和风险由乙方承担。</w:t>
      </w:r>
    </w:p>
    <w:p>
      <w:pPr>
        <w:spacing w:line="360" w:lineRule="auto"/>
        <w:ind w:firstLine="420" w:firstLineChars="200"/>
        <w:jc w:val="both"/>
        <w:rPr>
          <w:rFonts w:hint="eastAsia" w:ascii="Times New Roman" w:hAnsi="Times New Roman" w:eastAsia="宋体" w:cs="Times New Roman"/>
          <w:color w:val="auto"/>
          <w:szCs w:val="27"/>
          <w:highlight w:val="none"/>
        </w:rPr>
      </w:pPr>
      <w:r>
        <w:rPr>
          <w:rFonts w:hint="eastAsia" w:ascii="Times New Roman" w:hAnsi="Times New Roman" w:eastAsia="宋体" w:cs="Times New Roman"/>
          <w:color w:val="auto"/>
          <w:szCs w:val="27"/>
          <w:highlight w:val="none"/>
        </w:rPr>
        <w:t>2.维修</w:t>
      </w:r>
    </w:p>
    <w:p>
      <w:pPr>
        <w:spacing w:line="360" w:lineRule="auto"/>
        <w:ind w:firstLine="420" w:firstLineChars="200"/>
        <w:jc w:val="both"/>
        <w:rPr>
          <w:rFonts w:hint="eastAsia" w:ascii="Times New Roman" w:hAnsi="Times New Roman" w:eastAsia="宋体" w:cs="Times New Roman"/>
          <w:color w:val="auto"/>
          <w:szCs w:val="27"/>
          <w:highlight w:val="none"/>
        </w:rPr>
      </w:pPr>
      <w:r>
        <w:rPr>
          <w:rFonts w:hint="eastAsia" w:ascii="Times New Roman" w:hAnsi="Times New Roman" w:eastAsia="宋体" w:cs="Times New Roman"/>
          <w:color w:val="auto"/>
          <w:szCs w:val="27"/>
          <w:highlight w:val="none"/>
        </w:rPr>
        <w:t>保修期届满后，乙方应对其提供的货物负有维修义务，但所涉及的费用由甲方承担。</w:t>
      </w:r>
    </w:p>
    <w:p>
      <w:pPr>
        <w:spacing w:line="360" w:lineRule="auto"/>
        <w:ind w:firstLine="422" w:firstLineChars="200"/>
        <w:jc w:val="both"/>
        <w:rPr>
          <w:color w:val="auto"/>
          <w:highlight w:val="none"/>
        </w:rPr>
      </w:pPr>
      <w:r>
        <w:rPr>
          <w:b/>
          <w:bCs/>
          <w:color w:val="auto"/>
          <w:szCs w:val="27"/>
          <w:highlight w:val="none"/>
        </w:rPr>
        <w:t>第</w:t>
      </w:r>
      <w:r>
        <w:rPr>
          <w:rFonts w:hint="eastAsia"/>
          <w:b/>
          <w:bCs/>
          <w:color w:val="auto"/>
          <w:szCs w:val="27"/>
          <w:highlight w:val="none"/>
        </w:rPr>
        <w:t>十</w:t>
      </w:r>
      <w:r>
        <w:rPr>
          <w:b/>
          <w:bCs/>
          <w:color w:val="auto"/>
          <w:szCs w:val="27"/>
          <w:highlight w:val="none"/>
        </w:rPr>
        <w:t>条</w:t>
      </w:r>
      <w:r>
        <w:rPr>
          <w:color w:val="auto"/>
          <w:szCs w:val="27"/>
          <w:highlight w:val="none"/>
        </w:rPr>
        <w:t>  乙方的违约责任</w:t>
      </w:r>
    </w:p>
    <w:p>
      <w:pPr>
        <w:spacing w:line="360" w:lineRule="auto"/>
        <w:ind w:firstLine="420" w:firstLineChars="200"/>
        <w:jc w:val="both"/>
        <w:rPr>
          <w:color w:val="auto"/>
          <w:highlight w:val="none"/>
        </w:rPr>
      </w:pPr>
      <w:r>
        <w:rPr>
          <w:color w:val="auto"/>
          <w:szCs w:val="27"/>
          <w:highlight w:val="none"/>
        </w:rPr>
        <w:t>1.乙方不能交货的，应向甲方偿付不能交货部分货款的</w:t>
      </w:r>
      <w:r>
        <w:rPr>
          <w:color w:val="auto"/>
          <w:szCs w:val="27"/>
          <w:highlight w:val="none"/>
          <w:u w:val="single"/>
        </w:rPr>
        <w:t>      %</w:t>
      </w:r>
      <w:r>
        <w:rPr>
          <w:color w:val="auto"/>
          <w:szCs w:val="27"/>
          <w:highlight w:val="none"/>
        </w:rPr>
        <w:t>（通用产品的幅度为</w:t>
      </w:r>
      <w:r>
        <w:rPr>
          <w:rFonts w:hint="eastAsia"/>
          <w:color w:val="auto"/>
          <w:szCs w:val="27"/>
          <w:highlight w:val="none"/>
        </w:rPr>
        <w:t>1%－5%</w:t>
      </w:r>
      <w:r>
        <w:rPr>
          <w:color w:val="auto"/>
          <w:szCs w:val="27"/>
          <w:highlight w:val="none"/>
        </w:rPr>
        <w:t>，专用产品的幅度为</w:t>
      </w:r>
      <w:r>
        <w:rPr>
          <w:rFonts w:hint="eastAsia"/>
          <w:color w:val="auto"/>
          <w:szCs w:val="27"/>
          <w:highlight w:val="none"/>
        </w:rPr>
        <w:t>10%－30%</w:t>
      </w:r>
      <w:r>
        <w:rPr>
          <w:color w:val="auto"/>
          <w:szCs w:val="27"/>
          <w:highlight w:val="none"/>
        </w:rPr>
        <w:t>）的违约金。</w:t>
      </w:r>
    </w:p>
    <w:p>
      <w:pPr>
        <w:spacing w:line="360" w:lineRule="auto"/>
        <w:ind w:firstLine="420" w:firstLineChars="200"/>
        <w:jc w:val="both"/>
        <w:rPr>
          <w:color w:val="auto"/>
          <w:szCs w:val="27"/>
          <w:highlight w:val="none"/>
        </w:rPr>
      </w:pPr>
      <w:r>
        <w:rPr>
          <w:rFonts w:hint="eastAsia"/>
          <w:color w:val="auto"/>
          <w:szCs w:val="27"/>
          <w:highlight w:val="none"/>
        </w:rPr>
        <w:t>2.</w:t>
      </w:r>
      <w:r>
        <w:rPr>
          <w:color w:val="auto"/>
          <w:szCs w:val="27"/>
          <w:highlight w:val="none"/>
        </w:rPr>
        <w:t>乙方所交产品不符合合同规定的，如果甲方同意利用，应当按质论价；如果甲方不能利用的，应根据产品的具体情况，由乙方负责包换或包修，并承担修理、调换或退货而支付的实际费用,</w:t>
      </w:r>
      <w:r>
        <w:rPr>
          <w:rFonts w:hint="eastAsia"/>
          <w:color w:val="auto"/>
          <w:highlight w:val="none"/>
        </w:rPr>
        <w:t>同时，乙方应按规定，对更换件相应延长质量保证期，并赔偿甲方相应的损失。</w:t>
      </w:r>
      <w:r>
        <w:rPr>
          <w:color w:val="auto"/>
          <w:szCs w:val="27"/>
          <w:highlight w:val="none"/>
        </w:rPr>
        <w:t>乙方不能修理或者不能调换的，按不能交货处理。</w:t>
      </w:r>
    </w:p>
    <w:p>
      <w:pPr>
        <w:spacing w:line="360" w:lineRule="auto"/>
        <w:ind w:firstLine="420" w:firstLineChars="200"/>
        <w:jc w:val="both"/>
        <w:rPr>
          <w:color w:val="auto"/>
          <w:highlight w:val="none"/>
        </w:rPr>
      </w:pPr>
      <w:r>
        <w:rPr>
          <w:rFonts w:hint="eastAsia"/>
          <w:color w:val="auto"/>
          <w:szCs w:val="27"/>
          <w:highlight w:val="none"/>
        </w:rPr>
        <w:t>3.</w:t>
      </w:r>
      <w:r>
        <w:rPr>
          <w:color w:val="auto"/>
          <w:szCs w:val="27"/>
          <w:highlight w:val="none"/>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color w:val="auto"/>
          <w:highlight w:val="none"/>
        </w:rPr>
        <w:t>每件货物包装箱内应附一份详细装箱单和质量证书。为进口件的，应出具报关手续和原产地、原产工厂证明、报关手续和商检证明等。</w:t>
      </w:r>
    </w:p>
    <w:p>
      <w:pPr>
        <w:spacing w:line="360" w:lineRule="auto"/>
        <w:ind w:firstLine="420" w:firstLineChars="200"/>
        <w:jc w:val="both"/>
        <w:rPr>
          <w:color w:val="auto"/>
          <w:szCs w:val="27"/>
          <w:highlight w:val="none"/>
        </w:rPr>
      </w:pPr>
      <w:r>
        <w:rPr>
          <w:rFonts w:hint="eastAsia"/>
          <w:color w:val="auto"/>
          <w:szCs w:val="27"/>
          <w:highlight w:val="none"/>
          <w:lang w:val="en-US" w:eastAsia="zh-CN"/>
        </w:rPr>
        <w:t>4</w:t>
      </w:r>
      <w:r>
        <w:rPr>
          <w:rFonts w:hint="eastAsia"/>
          <w:color w:val="auto"/>
          <w:szCs w:val="27"/>
          <w:highlight w:val="none"/>
        </w:rPr>
        <w:t>.</w:t>
      </w:r>
      <w:r>
        <w:rPr>
          <w:color w:val="auto"/>
          <w:szCs w:val="27"/>
          <w:highlight w:val="none"/>
        </w:rPr>
        <w:t>乙方提前交货的产品、多交的产品和不符合合同规定的产品，甲方在代保管期内实际支付的保管、保养等费用以及非因甲方保管不善而发生的损失，应当由乙方承担。</w:t>
      </w:r>
    </w:p>
    <w:p>
      <w:pPr>
        <w:spacing w:line="360" w:lineRule="auto"/>
        <w:ind w:firstLine="420"/>
        <w:rPr>
          <w:rFonts w:ascii="Times New Roman" w:hAnsi="Times New Roman" w:eastAsia="Times New Roman" w:cs="Times New Roman"/>
          <w:color w:val="auto"/>
          <w:highlight w:val="none"/>
        </w:rPr>
      </w:pPr>
      <w:r>
        <w:rPr>
          <w:rFonts w:hint="eastAsia" w:eastAsia="宋体" w:cs="Times New Roman"/>
          <w:color w:val="auto"/>
          <w:highlight w:val="none"/>
          <w:lang w:val="en-US" w:eastAsia="zh-CN"/>
        </w:rPr>
        <w:t>5</w:t>
      </w:r>
      <w:r>
        <w:rPr>
          <w:rFonts w:ascii="Times New Roman" w:hAnsi="Times New Roman" w:eastAsia="Times New Roman" w:cs="Times New Roman"/>
          <w:color w:val="auto"/>
          <w:highlight w:val="none"/>
        </w:rPr>
        <w:t>.</w:t>
      </w:r>
      <w:r>
        <w:rPr>
          <w:rFonts w:ascii="宋体" w:hAnsi="宋体" w:eastAsia="宋体" w:cs="宋体"/>
          <w:color w:val="auto"/>
          <w:highlight w:val="none"/>
        </w:rPr>
        <w:t>乙方应对其所提供的货物承担所有权担保责任，并应保证甲方在中华人民共和国内使用该货物时不侵犯第三人的知识产权。否则乙方应承担由此引起的一切法律责任及费用。</w:t>
      </w:r>
    </w:p>
    <w:p>
      <w:pPr>
        <w:spacing w:line="360" w:lineRule="auto"/>
        <w:ind w:firstLine="420" w:firstLineChars="200"/>
        <w:jc w:val="both"/>
        <w:rPr>
          <w:color w:val="auto"/>
          <w:highlight w:val="none"/>
        </w:rPr>
      </w:pPr>
      <w:r>
        <w:rPr>
          <w:rFonts w:hint="eastAsia"/>
          <w:color w:val="auto"/>
          <w:szCs w:val="27"/>
          <w:highlight w:val="none"/>
          <w:lang w:val="en-US" w:eastAsia="zh-CN"/>
        </w:rPr>
        <w:t>6</w:t>
      </w:r>
      <w:r>
        <w:rPr>
          <w:rFonts w:hint="eastAsia"/>
          <w:color w:val="auto"/>
          <w:szCs w:val="27"/>
          <w:highlight w:val="none"/>
        </w:rPr>
        <w:t>.任何一方未经对方同意而单方面终止合同的，应向对方赔偿相当于本合同总价款</w:t>
      </w:r>
      <w:r>
        <w:rPr>
          <w:rFonts w:hint="eastAsia"/>
          <w:color w:val="auto"/>
          <w:szCs w:val="27"/>
          <w:highlight w:val="none"/>
          <w:u w:val="single"/>
        </w:rPr>
        <w:t xml:space="preserve">      %</w:t>
      </w:r>
      <w:r>
        <w:rPr>
          <w:rFonts w:hint="eastAsia"/>
          <w:color w:val="auto"/>
          <w:szCs w:val="27"/>
          <w:highlight w:val="none"/>
        </w:rPr>
        <w:t>违约金。</w:t>
      </w:r>
    </w:p>
    <w:p>
      <w:pPr>
        <w:spacing w:line="360" w:lineRule="auto"/>
        <w:ind w:firstLine="422" w:firstLineChars="200"/>
        <w:jc w:val="both"/>
        <w:rPr>
          <w:color w:val="auto"/>
          <w:highlight w:val="none"/>
        </w:rPr>
      </w:pPr>
      <w:r>
        <w:rPr>
          <w:b/>
          <w:bCs/>
          <w:color w:val="auto"/>
          <w:szCs w:val="27"/>
          <w:highlight w:val="none"/>
        </w:rPr>
        <w:t>第十</w:t>
      </w:r>
      <w:r>
        <w:rPr>
          <w:rFonts w:hint="eastAsia"/>
          <w:b/>
          <w:bCs/>
          <w:color w:val="auto"/>
          <w:szCs w:val="27"/>
          <w:highlight w:val="none"/>
        </w:rPr>
        <w:t>一</w:t>
      </w:r>
      <w:r>
        <w:rPr>
          <w:b/>
          <w:bCs/>
          <w:color w:val="auto"/>
          <w:szCs w:val="27"/>
          <w:highlight w:val="none"/>
        </w:rPr>
        <w:t>条</w:t>
      </w:r>
      <w:r>
        <w:rPr>
          <w:color w:val="auto"/>
          <w:szCs w:val="27"/>
          <w:highlight w:val="none"/>
        </w:rPr>
        <w:t>  甲方的违约责任</w:t>
      </w:r>
    </w:p>
    <w:p>
      <w:pPr>
        <w:spacing w:line="360" w:lineRule="auto"/>
        <w:ind w:firstLine="420" w:firstLineChars="200"/>
        <w:jc w:val="both"/>
        <w:rPr>
          <w:color w:val="auto"/>
          <w:highlight w:val="none"/>
        </w:rPr>
      </w:pPr>
      <w:r>
        <w:rPr>
          <w:rFonts w:hint="eastAsia"/>
          <w:color w:val="auto"/>
          <w:szCs w:val="27"/>
          <w:highlight w:val="none"/>
        </w:rPr>
        <w:t>1.</w:t>
      </w:r>
      <w:r>
        <w:rPr>
          <w:color w:val="auto"/>
          <w:szCs w:val="27"/>
          <w:highlight w:val="none"/>
        </w:rPr>
        <w:t>甲方中途退货，应向乙方偿付退货部分货款</w:t>
      </w:r>
      <w:r>
        <w:rPr>
          <w:rFonts w:hint="eastAsia"/>
          <w:color w:val="auto"/>
          <w:szCs w:val="27"/>
          <w:highlight w:val="none"/>
          <w:u w:val="single"/>
        </w:rPr>
        <w:t xml:space="preserve">             </w:t>
      </w:r>
      <w:r>
        <w:rPr>
          <w:rFonts w:hint="eastAsia"/>
          <w:color w:val="auto"/>
          <w:szCs w:val="27"/>
          <w:highlight w:val="none"/>
        </w:rPr>
        <w:t>%</w:t>
      </w:r>
      <w:r>
        <w:rPr>
          <w:color w:val="auto"/>
          <w:szCs w:val="27"/>
          <w:highlight w:val="none"/>
        </w:rPr>
        <w:t>（通用产品的幅度为1%</w:t>
      </w:r>
      <w:r>
        <w:rPr>
          <w:rFonts w:hint="eastAsia"/>
          <w:color w:val="auto"/>
          <w:szCs w:val="27"/>
          <w:highlight w:val="none"/>
        </w:rPr>
        <w:t>~5%</w:t>
      </w:r>
      <w:r>
        <w:rPr>
          <w:color w:val="auto"/>
          <w:szCs w:val="27"/>
          <w:highlight w:val="none"/>
        </w:rPr>
        <w:t>专用产品的幅度为</w:t>
      </w:r>
      <w:r>
        <w:rPr>
          <w:rFonts w:hint="eastAsia"/>
          <w:color w:val="auto"/>
          <w:szCs w:val="27"/>
          <w:highlight w:val="none"/>
        </w:rPr>
        <w:t>15%-30%</w:t>
      </w:r>
      <w:r>
        <w:rPr>
          <w:color w:val="auto"/>
          <w:szCs w:val="27"/>
          <w:highlight w:val="none"/>
        </w:rPr>
        <w:t>）的违约金。</w:t>
      </w:r>
    </w:p>
    <w:p>
      <w:pPr>
        <w:spacing w:line="360" w:lineRule="auto"/>
        <w:ind w:firstLine="420" w:firstLineChars="200"/>
        <w:jc w:val="both"/>
        <w:rPr>
          <w:color w:val="auto"/>
          <w:szCs w:val="27"/>
          <w:highlight w:val="none"/>
        </w:rPr>
      </w:pPr>
      <w:r>
        <w:rPr>
          <w:rFonts w:hint="eastAsia"/>
          <w:color w:val="auto"/>
          <w:szCs w:val="27"/>
          <w:highlight w:val="none"/>
        </w:rPr>
        <w:t>2.</w:t>
      </w:r>
      <w:r>
        <w:rPr>
          <w:color w:val="auto"/>
          <w:szCs w:val="27"/>
          <w:highlight w:val="none"/>
        </w:rPr>
        <w:t>甲方违反合同规定拒绝接货的，应当承担由此造成的损失。</w:t>
      </w:r>
    </w:p>
    <w:p>
      <w:pPr>
        <w:spacing w:line="360" w:lineRule="auto"/>
        <w:ind w:firstLine="420" w:firstLineChars="200"/>
        <w:jc w:val="both"/>
        <w:rPr>
          <w:color w:val="auto"/>
          <w:szCs w:val="27"/>
          <w:highlight w:val="none"/>
          <w:u w:val="single"/>
        </w:rPr>
      </w:pPr>
      <w:r>
        <w:rPr>
          <w:rFonts w:hint="eastAsia"/>
          <w:color w:val="auto"/>
          <w:szCs w:val="27"/>
          <w:highlight w:val="none"/>
        </w:rPr>
        <w:t>3.</w:t>
      </w:r>
      <w:r>
        <w:rPr>
          <w:color w:val="auto"/>
          <w:szCs w:val="27"/>
          <w:highlight w:val="none"/>
        </w:rPr>
        <w:t xml:space="preserve"> 甲方未按照合同约定支付货款，应向乙方</w:t>
      </w:r>
      <w:r>
        <w:rPr>
          <w:rFonts w:hint="eastAsia"/>
          <w:color w:val="auto"/>
          <w:szCs w:val="27"/>
          <w:highlight w:val="none"/>
        </w:rPr>
        <w:t>违约金</w:t>
      </w:r>
      <w:r>
        <w:rPr>
          <w:rFonts w:hint="eastAsia"/>
          <w:color w:val="auto"/>
          <w:szCs w:val="27"/>
          <w:highlight w:val="none"/>
          <w:u w:val="single"/>
        </w:rPr>
        <w:t xml:space="preserve">   </w:t>
      </w:r>
      <w:r>
        <w:rPr>
          <w:rFonts w:hint="eastAsia"/>
          <w:color w:val="auto"/>
          <w:szCs w:val="27"/>
          <w:highlight w:val="none"/>
        </w:rPr>
        <w:t>元。</w:t>
      </w:r>
    </w:p>
    <w:p>
      <w:pPr>
        <w:spacing w:line="360" w:lineRule="auto"/>
        <w:ind w:firstLine="422" w:firstLineChars="200"/>
        <w:jc w:val="both"/>
        <w:rPr>
          <w:b/>
          <w:color w:val="auto"/>
          <w:highlight w:val="none"/>
        </w:rPr>
      </w:pPr>
      <w:r>
        <w:rPr>
          <w:b/>
          <w:bCs/>
          <w:color w:val="auto"/>
          <w:szCs w:val="27"/>
          <w:highlight w:val="none"/>
        </w:rPr>
        <w:t>第十</w:t>
      </w:r>
      <w:r>
        <w:rPr>
          <w:rFonts w:hint="eastAsia"/>
          <w:b/>
          <w:bCs/>
          <w:color w:val="auto"/>
          <w:szCs w:val="27"/>
          <w:highlight w:val="none"/>
        </w:rPr>
        <w:t>二</w:t>
      </w:r>
      <w:r>
        <w:rPr>
          <w:b/>
          <w:bCs/>
          <w:color w:val="auto"/>
          <w:szCs w:val="27"/>
          <w:highlight w:val="none"/>
        </w:rPr>
        <w:t>条 </w:t>
      </w:r>
      <w:r>
        <w:rPr>
          <w:color w:val="auto"/>
          <w:szCs w:val="27"/>
          <w:highlight w:val="none"/>
        </w:rPr>
        <w:t xml:space="preserve"> 不可抗力</w:t>
      </w:r>
    </w:p>
    <w:p>
      <w:pPr>
        <w:spacing w:line="360" w:lineRule="auto"/>
        <w:ind w:firstLine="420" w:firstLineChars="200"/>
        <w:jc w:val="both"/>
        <w:rPr>
          <w:color w:val="auto"/>
          <w:highlight w:val="none"/>
        </w:rPr>
      </w:pPr>
      <w:r>
        <w:rPr>
          <w:rFonts w:hint="eastAsia"/>
          <w:color w:val="auto"/>
          <w:highlight w:val="none"/>
        </w:rPr>
        <w:t>1</w:t>
      </w:r>
      <w:r>
        <w:rPr>
          <w:rFonts w:hint="eastAsia"/>
          <w:color w:val="auto"/>
          <w:szCs w:val="27"/>
          <w:highlight w:val="none"/>
        </w:rPr>
        <w:t>.</w:t>
      </w:r>
      <w:r>
        <w:rPr>
          <w:rFonts w:hint="eastAsia"/>
          <w:color w:val="auto"/>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firstLineChars="200"/>
        <w:jc w:val="both"/>
        <w:rPr>
          <w:color w:val="auto"/>
          <w:szCs w:val="27"/>
          <w:highlight w:val="none"/>
        </w:rPr>
      </w:pPr>
      <w:r>
        <w:rPr>
          <w:rFonts w:hint="eastAsia"/>
          <w:color w:val="auto"/>
          <w:highlight w:val="none"/>
        </w:rPr>
        <w:t>2</w:t>
      </w:r>
      <w:r>
        <w:rPr>
          <w:rFonts w:hint="eastAsia"/>
          <w:color w:val="auto"/>
          <w:szCs w:val="27"/>
          <w:highlight w:val="none"/>
        </w:rPr>
        <w:t>.</w:t>
      </w:r>
      <w:r>
        <w:rPr>
          <w:color w:val="auto"/>
          <w:szCs w:val="27"/>
          <w:highlight w:val="none"/>
        </w:rPr>
        <w:t>甲乙双方的任何一方由于不可抗力的原因不能履行合同时，应及时向对方通报不能履行或不能完全履行的理由，在取得有关</w:t>
      </w:r>
      <w:r>
        <w:rPr>
          <w:rFonts w:hint="eastAsia"/>
          <w:color w:val="auto"/>
          <w:szCs w:val="27"/>
          <w:highlight w:val="none"/>
        </w:rPr>
        <w:t>部门</w:t>
      </w:r>
      <w:r>
        <w:rPr>
          <w:color w:val="auto"/>
          <w:szCs w:val="27"/>
          <w:highlight w:val="none"/>
        </w:rPr>
        <w:t>证明以后，允许延期履行、部分履行或者不履行合同，并根据情况可部分或全部免予承担违约责任。</w:t>
      </w:r>
    </w:p>
    <w:p>
      <w:pPr>
        <w:spacing w:line="360" w:lineRule="auto"/>
        <w:ind w:firstLine="422" w:firstLineChars="200"/>
        <w:jc w:val="both"/>
        <w:rPr>
          <w:b/>
          <w:bCs/>
          <w:color w:val="auto"/>
          <w:szCs w:val="27"/>
          <w:highlight w:val="none"/>
        </w:rPr>
      </w:pPr>
      <w:r>
        <w:rPr>
          <w:b/>
          <w:bCs/>
          <w:color w:val="auto"/>
          <w:szCs w:val="27"/>
          <w:highlight w:val="none"/>
        </w:rPr>
        <w:t>第十</w:t>
      </w:r>
      <w:r>
        <w:rPr>
          <w:rFonts w:hint="eastAsia"/>
          <w:b/>
          <w:bCs/>
          <w:color w:val="auto"/>
          <w:szCs w:val="27"/>
          <w:highlight w:val="none"/>
        </w:rPr>
        <w:t>三</w:t>
      </w:r>
      <w:r>
        <w:rPr>
          <w:b/>
          <w:bCs/>
          <w:color w:val="auto"/>
          <w:szCs w:val="27"/>
          <w:highlight w:val="none"/>
        </w:rPr>
        <w:t>条</w:t>
      </w:r>
      <w:r>
        <w:rPr>
          <w:rFonts w:hint="eastAsia"/>
          <w:b/>
          <w:bCs/>
          <w:color w:val="auto"/>
          <w:szCs w:val="27"/>
          <w:highlight w:val="none"/>
        </w:rPr>
        <w:t xml:space="preserve">  </w:t>
      </w:r>
      <w:r>
        <w:rPr>
          <w:rFonts w:hint="eastAsia"/>
          <w:color w:val="auto"/>
          <w:szCs w:val="27"/>
          <w:highlight w:val="none"/>
        </w:rPr>
        <w:t>履约（或质量）保证金</w:t>
      </w:r>
    </w:p>
    <w:p>
      <w:pPr>
        <w:spacing w:line="360" w:lineRule="auto"/>
        <w:ind w:firstLine="42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1.本项目不收取履约保证金。确需收取履约保证金的，甲方不得要求乙方以现款的形式提供。乙方提供的履约保证金按规定格式以银行保函形式提供，与此有关的费用由卖方承担。</w:t>
      </w:r>
    </w:p>
    <w:p>
      <w:pPr>
        <w:spacing w:line="360" w:lineRule="auto"/>
        <w:ind w:firstLine="42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2.若确需质量保证金的，质量保证金不得超过合同总价款的</w:t>
      </w:r>
      <w:r>
        <w:rPr>
          <w:rFonts w:hint="eastAsia" w:ascii="Times New Roman" w:hAnsi="Times New Roman" w:eastAsia="宋体" w:cs="Times New Roman"/>
          <w:color w:val="auto"/>
          <w:highlight w:val="none"/>
          <w:lang w:val="en-US"/>
        </w:rPr>
        <w:t>5%。</w:t>
      </w:r>
    </w:p>
    <w:p>
      <w:pPr>
        <w:spacing w:line="360" w:lineRule="auto"/>
        <w:ind w:firstLine="42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3.如乙方未能履行其合同规定的任何义务，甲方有权从履约保证金中取得补偿。</w:t>
      </w:r>
    </w:p>
    <w:p>
      <w:pPr>
        <w:spacing w:line="360" w:lineRule="auto"/>
        <w:ind w:firstLine="422" w:firstLineChars="200"/>
        <w:jc w:val="both"/>
        <w:rPr>
          <w:b/>
          <w:color w:val="auto"/>
          <w:highlight w:val="none"/>
        </w:rPr>
      </w:pPr>
      <w:r>
        <w:rPr>
          <w:b/>
          <w:bCs/>
          <w:color w:val="auto"/>
          <w:szCs w:val="27"/>
          <w:highlight w:val="none"/>
        </w:rPr>
        <w:t>第十</w:t>
      </w:r>
      <w:r>
        <w:rPr>
          <w:rFonts w:hint="eastAsia"/>
          <w:b/>
          <w:bCs/>
          <w:color w:val="auto"/>
          <w:szCs w:val="27"/>
          <w:highlight w:val="none"/>
        </w:rPr>
        <w:t>四</w:t>
      </w:r>
      <w:r>
        <w:rPr>
          <w:b/>
          <w:bCs/>
          <w:color w:val="auto"/>
          <w:szCs w:val="27"/>
          <w:highlight w:val="none"/>
        </w:rPr>
        <w:t>条</w:t>
      </w:r>
      <w:r>
        <w:rPr>
          <w:rFonts w:hint="eastAsia"/>
          <w:b/>
          <w:bCs/>
          <w:color w:val="auto"/>
          <w:szCs w:val="27"/>
          <w:highlight w:val="none"/>
        </w:rPr>
        <w:t xml:space="preserve"> </w:t>
      </w:r>
      <w:r>
        <w:rPr>
          <w:rFonts w:hint="eastAsia"/>
          <w:bCs/>
          <w:color w:val="auto"/>
          <w:highlight w:val="none"/>
        </w:rPr>
        <w:t>转让与分包</w:t>
      </w:r>
    </w:p>
    <w:p>
      <w:pPr>
        <w:spacing w:line="360" w:lineRule="auto"/>
        <w:ind w:firstLine="420" w:firstLineChars="200"/>
        <w:jc w:val="both"/>
        <w:rPr>
          <w:color w:val="auto"/>
          <w:highlight w:val="none"/>
        </w:rPr>
      </w:pPr>
      <w:r>
        <w:rPr>
          <w:rFonts w:hint="eastAsia"/>
          <w:color w:val="auto"/>
          <w:highlight w:val="none"/>
        </w:rPr>
        <w:t>1</w:t>
      </w:r>
      <w:r>
        <w:rPr>
          <w:rFonts w:hint="eastAsia"/>
          <w:color w:val="auto"/>
          <w:szCs w:val="27"/>
          <w:highlight w:val="none"/>
        </w:rPr>
        <w:t>.</w:t>
      </w:r>
      <w:r>
        <w:rPr>
          <w:rFonts w:hint="eastAsia"/>
          <w:color w:val="auto"/>
          <w:highlight w:val="none"/>
        </w:rPr>
        <w:t>除甲方事先书面同意外，乙方不得部分转让或全部转让其应履行的合同义务。</w:t>
      </w:r>
    </w:p>
    <w:p>
      <w:pPr>
        <w:spacing w:line="360" w:lineRule="auto"/>
        <w:ind w:firstLine="420" w:firstLineChars="200"/>
        <w:jc w:val="both"/>
        <w:rPr>
          <w:color w:val="auto"/>
          <w:highlight w:val="none"/>
        </w:rPr>
      </w:pPr>
      <w:r>
        <w:rPr>
          <w:rFonts w:hint="eastAsia"/>
          <w:color w:val="auto"/>
          <w:highlight w:val="none"/>
        </w:rPr>
        <w:t>2</w:t>
      </w:r>
      <w:r>
        <w:rPr>
          <w:rFonts w:hint="eastAsia"/>
          <w:color w:val="auto"/>
          <w:szCs w:val="27"/>
          <w:highlight w:val="none"/>
        </w:rPr>
        <w:t>.</w:t>
      </w:r>
      <w:r>
        <w:rPr>
          <w:rFonts w:hint="eastAsia"/>
          <w:color w:val="auto"/>
          <w:highlight w:val="none"/>
        </w:rPr>
        <w:t>乙方应在投标文件中以其他书面形式对甲方确认本合同项下所授予的所有分包合同。但该确认不解除乙方承担的本合同下的任何责任或义务。意即在本合同项下，乙方对甲方负总责。</w:t>
      </w:r>
    </w:p>
    <w:p>
      <w:pPr>
        <w:spacing w:line="360" w:lineRule="auto"/>
        <w:ind w:firstLine="422" w:firstLineChars="200"/>
        <w:jc w:val="both"/>
        <w:rPr>
          <w:b/>
          <w:color w:val="auto"/>
          <w:highlight w:val="none"/>
        </w:rPr>
      </w:pPr>
      <w:r>
        <w:rPr>
          <w:b/>
          <w:bCs/>
          <w:color w:val="auto"/>
          <w:szCs w:val="27"/>
          <w:highlight w:val="none"/>
        </w:rPr>
        <w:t>第十</w:t>
      </w:r>
      <w:r>
        <w:rPr>
          <w:rFonts w:hint="eastAsia"/>
          <w:b/>
          <w:bCs/>
          <w:color w:val="auto"/>
          <w:szCs w:val="27"/>
          <w:highlight w:val="none"/>
        </w:rPr>
        <w:t>五</w:t>
      </w:r>
      <w:r>
        <w:rPr>
          <w:b/>
          <w:bCs/>
          <w:color w:val="auto"/>
          <w:szCs w:val="27"/>
          <w:highlight w:val="none"/>
        </w:rPr>
        <w:t>条</w:t>
      </w:r>
      <w:r>
        <w:rPr>
          <w:rFonts w:hint="eastAsia"/>
          <w:b/>
          <w:bCs/>
          <w:color w:val="auto"/>
          <w:szCs w:val="27"/>
          <w:highlight w:val="none"/>
        </w:rPr>
        <w:t xml:space="preserve"> </w:t>
      </w:r>
      <w:r>
        <w:rPr>
          <w:rFonts w:hint="eastAsia"/>
          <w:bCs/>
          <w:color w:val="auto"/>
          <w:highlight w:val="none"/>
        </w:rPr>
        <w:t>合同文件及资料的使用</w:t>
      </w:r>
    </w:p>
    <w:p>
      <w:pPr>
        <w:spacing w:line="360" w:lineRule="auto"/>
        <w:ind w:firstLine="420" w:firstLineChars="200"/>
        <w:jc w:val="both"/>
        <w:rPr>
          <w:color w:val="auto"/>
          <w:highlight w:val="none"/>
        </w:rPr>
      </w:pPr>
      <w:r>
        <w:rPr>
          <w:rFonts w:hint="eastAsia"/>
          <w:color w:val="auto"/>
          <w:highlight w:val="none"/>
        </w:rPr>
        <w:t>1</w:t>
      </w:r>
      <w:r>
        <w:rPr>
          <w:rFonts w:hint="eastAsia"/>
          <w:color w:val="auto"/>
          <w:szCs w:val="27"/>
          <w:highlight w:val="none"/>
        </w:rPr>
        <w:t>.</w:t>
      </w:r>
      <w:r>
        <w:rPr>
          <w:rFonts w:hint="eastAsia"/>
          <w:color w:val="auto"/>
          <w:highlight w:val="none"/>
        </w:rPr>
        <w:t>乙方</w:t>
      </w:r>
      <w:r>
        <w:rPr>
          <w:rFonts w:hint="eastAsia"/>
          <w:color w:val="auto"/>
          <w:highlight w:val="none"/>
          <w:lang w:eastAsia="zh-CN"/>
        </w:rPr>
        <w:t>需在投标文件中书面声明</w:t>
      </w:r>
      <w:r>
        <w:rPr>
          <w:rFonts w:hint="eastAsia"/>
          <w:color w:val="auto"/>
          <w:highlight w:val="none"/>
        </w:rPr>
        <w:t>在未经甲方同意的情况下，不得将合同、合同中的规定、有关计划、图纸、样本或甲方为上述内容向乙方提供的资料透露给任何人。</w:t>
      </w:r>
    </w:p>
    <w:p>
      <w:pPr>
        <w:spacing w:line="360" w:lineRule="auto"/>
        <w:ind w:firstLine="420" w:firstLineChars="200"/>
        <w:jc w:val="both"/>
        <w:rPr>
          <w:color w:val="auto"/>
          <w:highlight w:val="none"/>
        </w:rPr>
      </w:pPr>
      <w:r>
        <w:rPr>
          <w:rFonts w:hint="eastAsia"/>
          <w:color w:val="auto"/>
          <w:highlight w:val="none"/>
        </w:rPr>
        <w:t>2</w:t>
      </w:r>
      <w:r>
        <w:rPr>
          <w:rFonts w:hint="eastAsia"/>
          <w:color w:val="auto"/>
          <w:szCs w:val="27"/>
          <w:highlight w:val="none"/>
        </w:rPr>
        <w:t>.</w:t>
      </w:r>
      <w:r>
        <w:rPr>
          <w:rFonts w:hint="eastAsia"/>
          <w:color w:val="auto"/>
          <w:highlight w:val="none"/>
        </w:rPr>
        <w:t>除非执行合同需要，在事先未得到甲方同意的情况下，乙方不得使用前款所列的任何文件和资料。</w:t>
      </w:r>
    </w:p>
    <w:p>
      <w:pPr>
        <w:spacing w:line="360" w:lineRule="auto"/>
        <w:ind w:firstLine="422" w:firstLineChars="200"/>
        <w:jc w:val="both"/>
        <w:rPr>
          <w:color w:val="auto"/>
          <w:szCs w:val="27"/>
          <w:highlight w:val="none"/>
        </w:rPr>
      </w:pPr>
      <w:r>
        <w:rPr>
          <w:b/>
          <w:bCs/>
          <w:color w:val="auto"/>
          <w:szCs w:val="27"/>
          <w:highlight w:val="none"/>
        </w:rPr>
        <w:t>第十</w:t>
      </w:r>
      <w:r>
        <w:rPr>
          <w:rFonts w:hint="eastAsia"/>
          <w:b/>
          <w:bCs/>
          <w:color w:val="auto"/>
          <w:szCs w:val="27"/>
          <w:highlight w:val="none"/>
        </w:rPr>
        <w:t>六</w:t>
      </w:r>
      <w:r>
        <w:rPr>
          <w:b/>
          <w:bCs/>
          <w:color w:val="auto"/>
          <w:szCs w:val="27"/>
          <w:highlight w:val="none"/>
        </w:rPr>
        <w:t>条 </w:t>
      </w:r>
      <w:r>
        <w:rPr>
          <w:rFonts w:hint="eastAsia"/>
          <w:color w:val="auto"/>
          <w:szCs w:val="27"/>
          <w:highlight w:val="none"/>
        </w:rPr>
        <w:t>合同纠纷调处</w:t>
      </w:r>
    </w:p>
    <w:p>
      <w:pPr>
        <w:spacing w:line="360" w:lineRule="auto"/>
        <w:ind w:firstLine="420" w:firstLineChars="200"/>
        <w:jc w:val="both"/>
        <w:rPr>
          <w:color w:val="auto"/>
          <w:highlight w:val="none"/>
        </w:rPr>
      </w:pPr>
      <w:r>
        <w:rPr>
          <w:rFonts w:hint="eastAsia"/>
          <w:color w:val="auto"/>
          <w:highlight w:val="none"/>
        </w:rPr>
        <w:t>1</w:t>
      </w:r>
      <w:r>
        <w:rPr>
          <w:rFonts w:hint="eastAsia"/>
          <w:color w:val="auto"/>
          <w:szCs w:val="27"/>
          <w:highlight w:val="none"/>
        </w:rPr>
        <w:t>.</w:t>
      </w:r>
      <w:r>
        <w:rPr>
          <w:color w:val="auto"/>
          <w:szCs w:val="27"/>
          <w:highlight w:val="none"/>
        </w:rPr>
        <w:t>按本合同规定应该偿付的违约金、赔偿金、保管保养费和各种经济损失，应当在明确责任后</w:t>
      </w:r>
      <w:r>
        <w:rPr>
          <w:rFonts w:hint="eastAsia"/>
          <w:color w:val="auto"/>
          <w:szCs w:val="27"/>
          <w:highlight w:val="none"/>
        </w:rPr>
        <w:t>10</w:t>
      </w:r>
      <w:r>
        <w:rPr>
          <w:color w:val="auto"/>
          <w:szCs w:val="27"/>
          <w:highlight w:val="none"/>
        </w:rPr>
        <w:t>天内，按银行规定的结算办法付清，否则按逾期付款处理。但任何一方不得自行扣发货物或扣付货款来充抵。</w:t>
      </w:r>
    </w:p>
    <w:p>
      <w:pPr>
        <w:spacing w:line="360" w:lineRule="auto"/>
        <w:ind w:firstLine="420" w:firstLineChars="200"/>
        <w:jc w:val="both"/>
        <w:rPr>
          <w:color w:val="auto"/>
          <w:szCs w:val="27"/>
          <w:highlight w:val="none"/>
        </w:rPr>
      </w:pPr>
      <w:r>
        <w:rPr>
          <w:rFonts w:hint="eastAsia"/>
          <w:color w:val="auto"/>
          <w:highlight w:val="none"/>
        </w:rPr>
        <w:t>2</w:t>
      </w:r>
      <w:r>
        <w:rPr>
          <w:rFonts w:hint="eastAsia"/>
          <w:color w:val="auto"/>
          <w:szCs w:val="27"/>
          <w:highlight w:val="none"/>
        </w:rPr>
        <w:t>.</w:t>
      </w:r>
      <w:r>
        <w:rPr>
          <w:color w:val="auto"/>
          <w:szCs w:val="27"/>
          <w:highlight w:val="none"/>
        </w:rPr>
        <w:t>本合同如发生纠纷，当事人双方应当及时协商解决，协商不成时，任何一方均可请</w:t>
      </w:r>
      <w:r>
        <w:rPr>
          <w:rFonts w:hint="eastAsia"/>
          <w:color w:val="auto"/>
          <w:szCs w:val="27"/>
          <w:highlight w:val="none"/>
        </w:rPr>
        <w:t>本项目政府采购监督管理部门</w:t>
      </w:r>
      <w:r>
        <w:rPr>
          <w:color w:val="auto"/>
          <w:szCs w:val="27"/>
          <w:highlight w:val="none"/>
        </w:rPr>
        <w:t>调解，调解不成，按以下第（</w:t>
      </w:r>
      <w:r>
        <w:rPr>
          <w:rFonts w:hint="eastAsia"/>
          <w:color w:val="auto"/>
          <w:szCs w:val="27"/>
          <w:highlight w:val="none"/>
        </w:rPr>
        <w:t xml:space="preserve"> </w:t>
      </w:r>
      <w:r>
        <w:rPr>
          <w:color w:val="auto"/>
          <w:szCs w:val="27"/>
          <w:highlight w:val="none"/>
        </w:rPr>
        <w:t>）项方式处理：</w:t>
      </w:r>
      <w:r>
        <w:rPr>
          <w:rFonts w:hint="eastAsia"/>
          <w:color w:val="auto"/>
          <w:szCs w:val="27"/>
          <w:highlight w:val="none"/>
        </w:rPr>
        <w:t>①根据《中华人民共和国仲裁法》的规定向</w:t>
      </w:r>
      <w:r>
        <w:rPr>
          <w:rFonts w:hint="eastAsia"/>
          <w:b/>
          <w:bCs/>
          <w:color w:val="auto"/>
          <w:szCs w:val="27"/>
          <w:highlight w:val="none"/>
          <w:u w:val="single"/>
        </w:rPr>
        <w:t>周口仲裁委员会</w:t>
      </w:r>
      <w:r>
        <w:rPr>
          <w:rFonts w:hint="eastAsia"/>
          <w:color w:val="auto"/>
          <w:szCs w:val="27"/>
          <w:highlight w:val="none"/>
        </w:rPr>
        <w:t>申请仲裁。②</w:t>
      </w:r>
      <w:r>
        <w:rPr>
          <w:color w:val="auto"/>
          <w:szCs w:val="27"/>
          <w:highlight w:val="none"/>
        </w:rPr>
        <w:t>向</w:t>
      </w:r>
      <w:r>
        <w:rPr>
          <w:rFonts w:hint="eastAsia"/>
          <w:color w:val="auto"/>
          <w:highlight w:val="none"/>
        </w:rPr>
        <w:t>合同签订地有级别管辖权的</w:t>
      </w:r>
      <w:r>
        <w:rPr>
          <w:color w:val="auto"/>
          <w:szCs w:val="27"/>
          <w:highlight w:val="none"/>
        </w:rPr>
        <w:t>人民法院起诉。</w:t>
      </w:r>
    </w:p>
    <w:p>
      <w:pPr>
        <w:pStyle w:val="46"/>
        <w:spacing w:beforeLines="0" w:afterLines="0"/>
        <w:ind w:left="0" w:firstLine="420" w:firstLineChars="200"/>
        <w:jc w:val="both"/>
        <w:rPr>
          <w:color w:val="auto"/>
          <w:highlight w:val="none"/>
          <w:lang w:val="en-US"/>
        </w:rPr>
      </w:pPr>
      <w:r>
        <w:rPr>
          <w:rFonts w:hint="eastAsia"/>
          <w:color w:val="auto"/>
          <w:szCs w:val="27"/>
          <w:highlight w:val="none"/>
          <w:lang w:val="en-US"/>
        </w:rPr>
        <w:t>3、甲、乙双方均有权利向本项目具有监管职能的政府采购监督管理部门举报反映对方在合同履约中的违法违纪行为。</w:t>
      </w:r>
    </w:p>
    <w:p>
      <w:pPr>
        <w:spacing w:line="360" w:lineRule="auto"/>
        <w:ind w:firstLine="422" w:firstLineChars="200"/>
        <w:jc w:val="both"/>
        <w:rPr>
          <w:color w:val="auto"/>
          <w:szCs w:val="27"/>
          <w:highlight w:val="none"/>
        </w:rPr>
      </w:pPr>
      <w:r>
        <w:rPr>
          <w:rFonts w:hint="eastAsia"/>
          <w:b/>
          <w:bCs/>
          <w:color w:val="auto"/>
          <w:szCs w:val="27"/>
          <w:highlight w:val="none"/>
        </w:rPr>
        <w:t xml:space="preserve">第十七条  </w:t>
      </w:r>
      <w:r>
        <w:rPr>
          <w:rFonts w:hint="eastAsia"/>
          <w:color w:val="auto"/>
          <w:szCs w:val="27"/>
          <w:highlight w:val="none"/>
        </w:rPr>
        <w:t>下列关于周口市公共资源交易中心政府采购代理机构名称</w:t>
      </w:r>
      <w:r>
        <w:rPr>
          <w:rFonts w:hint="eastAsia"/>
          <w:color w:val="auto"/>
          <w:szCs w:val="27"/>
          <w:highlight w:val="none"/>
          <w:u w:val="single"/>
        </w:rPr>
        <w:t>某项目（项目编号：某编号）</w:t>
      </w:r>
      <w:r>
        <w:rPr>
          <w:rFonts w:hint="eastAsia"/>
          <w:color w:val="auto"/>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firstLineChars="200"/>
        <w:jc w:val="both"/>
        <w:rPr>
          <w:color w:val="auto"/>
          <w:szCs w:val="27"/>
          <w:highlight w:val="none"/>
        </w:rPr>
      </w:pPr>
      <w:r>
        <w:rPr>
          <w:rFonts w:hint="eastAsia"/>
          <w:color w:val="auto"/>
          <w:szCs w:val="27"/>
          <w:highlight w:val="none"/>
        </w:rPr>
        <w:t xml:space="preserve">    </w:t>
      </w: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份，甲乙双方各执</w:t>
      </w:r>
      <w:r>
        <w:rPr>
          <w:rFonts w:hint="eastAsia"/>
          <w:color w:val="auto"/>
          <w:highlight w:val="none"/>
          <w:u w:val="single"/>
        </w:rPr>
        <w:t xml:space="preserve">   </w:t>
      </w:r>
      <w:r>
        <w:rPr>
          <w:rFonts w:hint="eastAsia"/>
          <w:color w:val="auto"/>
          <w:highlight w:val="none"/>
        </w:rPr>
        <w:t>份，自双方当事人签字盖章之日起生效。</w:t>
      </w:r>
    </w:p>
    <w:p>
      <w:pPr>
        <w:spacing w:line="360" w:lineRule="auto"/>
        <w:ind w:firstLine="420" w:firstLineChars="200"/>
        <w:jc w:val="both"/>
        <w:rPr>
          <w:color w:val="auto"/>
          <w:szCs w:val="27"/>
          <w:highlight w:val="none"/>
        </w:rPr>
      </w:pPr>
    </w:p>
    <w:p>
      <w:pPr>
        <w:spacing w:line="360" w:lineRule="auto"/>
        <w:ind w:firstLine="420" w:firstLineChars="200"/>
        <w:jc w:val="both"/>
        <w:rPr>
          <w:color w:val="auto"/>
          <w:szCs w:val="27"/>
          <w:highlight w:val="none"/>
        </w:rPr>
      </w:pPr>
    </w:p>
    <w:p>
      <w:pPr>
        <w:spacing w:line="360" w:lineRule="auto"/>
        <w:ind w:firstLine="420" w:firstLineChars="200"/>
        <w:jc w:val="both"/>
        <w:rPr>
          <w:color w:val="auto"/>
          <w:szCs w:val="27"/>
          <w:highlight w:val="none"/>
        </w:rPr>
      </w:pPr>
      <w:r>
        <w:rPr>
          <w:rFonts w:hint="eastAsia"/>
          <w:color w:val="auto"/>
          <w:szCs w:val="27"/>
          <w:highlight w:val="none"/>
        </w:rPr>
        <w:t>采购人</w:t>
      </w:r>
      <w:r>
        <w:rPr>
          <w:color w:val="auto"/>
          <w:szCs w:val="27"/>
          <w:highlight w:val="none"/>
        </w:rPr>
        <w:t>（甲方）：</w:t>
      </w:r>
      <w:r>
        <w:rPr>
          <w:rFonts w:hint="eastAsia"/>
          <w:color w:val="auto"/>
          <w:szCs w:val="27"/>
          <w:highlight w:val="none"/>
        </w:rPr>
        <w:t xml:space="preserve">    </w:t>
      </w:r>
      <w:r>
        <w:rPr>
          <w:color w:val="auto"/>
          <w:szCs w:val="27"/>
          <w:highlight w:val="none"/>
        </w:rPr>
        <w:t>（公章）</w:t>
      </w:r>
      <w:r>
        <w:rPr>
          <w:rFonts w:hint="eastAsia"/>
          <w:color w:val="auto"/>
          <w:szCs w:val="27"/>
          <w:highlight w:val="none"/>
        </w:rPr>
        <w:t xml:space="preserve">        </w:t>
      </w:r>
      <w:r>
        <w:rPr>
          <w:color w:val="auto"/>
          <w:szCs w:val="27"/>
          <w:highlight w:val="none"/>
        </w:rPr>
        <w:t> </w:t>
      </w:r>
      <w:r>
        <w:rPr>
          <w:rFonts w:hint="eastAsia"/>
          <w:color w:val="auto"/>
          <w:szCs w:val="27"/>
          <w:highlight w:val="none"/>
        </w:rPr>
        <w:t xml:space="preserve">  </w:t>
      </w:r>
      <w:r>
        <w:rPr>
          <w:color w:val="auto"/>
          <w:szCs w:val="27"/>
          <w:highlight w:val="none"/>
        </w:rPr>
        <w:t>供货</w:t>
      </w:r>
      <w:r>
        <w:rPr>
          <w:rFonts w:hint="eastAsia"/>
          <w:color w:val="auto"/>
          <w:szCs w:val="27"/>
          <w:highlight w:val="none"/>
        </w:rPr>
        <w:t>人</w:t>
      </w:r>
      <w:r>
        <w:rPr>
          <w:color w:val="auto"/>
          <w:szCs w:val="27"/>
          <w:highlight w:val="none"/>
        </w:rPr>
        <w:t>（乙方）：</w:t>
      </w:r>
      <w:r>
        <w:rPr>
          <w:rFonts w:hint="eastAsia"/>
          <w:color w:val="auto"/>
          <w:szCs w:val="27"/>
          <w:highlight w:val="none"/>
        </w:rPr>
        <w:t xml:space="preserve">     </w:t>
      </w:r>
      <w:r>
        <w:rPr>
          <w:color w:val="auto"/>
          <w:szCs w:val="27"/>
          <w:highlight w:val="none"/>
        </w:rPr>
        <w:t>（公章）</w:t>
      </w:r>
      <w:r>
        <w:rPr>
          <w:rFonts w:hint="eastAsia"/>
          <w:color w:val="auto"/>
          <w:szCs w:val="27"/>
          <w:highlight w:val="none"/>
        </w:rPr>
        <w:t xml:space="preserve">  </w:t>
      </w:r>
    </w:p>
    <w:p>
      <w:pPr>
        <w:spacing w:line="360" w:lineRule="auto"/>
        <w:ind w:firstLine="420" w:firstLineChars="200"/>
        <w:jc w:val="both"/>
        <w:rPr>
          <w:color w:val="auto"/>
          <w:highlight w:val="none"/>
        </w:rPr>
      </w:pPr>
      <w:r>
        <w:rPr>
          <w:rFonts w:hint="eastAsia"/>
          <w:color w:val="auto"/>
          <w:szCs w:val="27"/>
          <w:highlight w:val="none"/>
        </w:rPr>
        <w:t xml:space="preserve">地址：                               </w:t>
      </w:r>
      <w:r>
        <w:rPr>
          <w:color w:val="auto"/>
          <w:szCs w:val="27"/>
          <w:highlight w:val="none"/>
        </w:rPr>
        <w:t>地址：</w:t>
      </w:r>
    </w:p>
    <w:p>
      <w:pPr>
        <w:spacing w:line="360" w:lineRule="auto"/>
        <w:ind w:firstLine="420" w:firstLineChars="200"/>
        <w:jc w:val="both"/>
        <w:rPr>
          <w:color w:val="auto"/>
          <w:szCs w:val="27"/>
          <w:highlight w:val="none"/>
        </w:rPr>
      </w:pPr>
      <w:r>
        <w:rPr>
          <w:color w:val="auto"/>
          <w:szCs w:val="27"/>
          <w:highlight w:val="none"/>
        </w:rPr>
        <w:t>法定代表人：</w:t>
      </w:r>
      <w:r>
        <w:rPr>
          <w:rFonts w:hint="eastAsia"/>
          <w:color w:val="auto"/>
          <w:szCs w:val="27"/>
          <w:highlight w:val="none"/>
        </w:rPr>
        <w:t xml:space="preserve">                         </w:t>
      </w:r>
      <w:r>
        <w:rPr>
          <w:color w:val="auto"/>
          <w:szCs w:val="27"/>
          <w:highlight w:val="none"/>
        </w:rPr>
        <w:t>法定代表人：</w:t>
      </w:r>
    </w:p>
    <w:p>
      <w:pPr>
        <w:spacing w:line="360" w:lineRule="auto"/>
        <w:ind w:firstLine="420" w:firstLineChars="200"/>
        <w:jc w:val="both"/>
        <w:rPr>
          <w:color w:val="auto"/>
          <w:highlight w:val="none"/>
          <w:u w:val="single"/>
        </w:rPr>
      </w:pPr>
      <w:r>
        <w:rPr>
          <w:rFonts w:hint="eastAsia"/>
          <w:color w:val="auto"/>
          <w:szCs w:val="27"/>
          <w:highlight w:val="none"/>
        </w:rPr>
        <w:t>委托代理人：                         委托代理人：</w:t>
      </w:r>
    </w:p>
    <w:p>
      <w:pPr>
        <w:spacing w:line="360" w:lineRule="auto"/>
        <w:ind w:firstLine="420" w:firstLineChars="200"/>
        <w:jc w:val="both"/>
        <w:rPr>
          <w:color w:val="auto"/>
          <w:highlight w:val="none"/>
        </w:rPr>
      </w:pPr>
      <w:r>
        <w:rPr>
          <w:rFonts w:hint="eastAsia"/>
          <w:color w:val="auto"/>
          <w:highlight w:val="none"/>
        </w:rPr>
        <w:t>电话：                               电话：</w:t>
      </w:r>
    </w:p>
    <w:p>
      <w:pPr>
        <w:spacing w:line="360" w:lineRule="auto"/>
        <w:ind w:firstLine="420" w:firstLineChars="200"/>
        <w:jc w:val="both"/>
        <w:rPr>
          <w:color w:val="auto"/>
          <w:szCs w:val="27"/>
          <w:highlight w:val="none"/>
        </w:rPr>
      </w:pPr>
      <w:r>
        <w:rPr>
          <w:color w:val="auto"/>
          <w:szCs w:val="27"/>
          <w:highlight w:val="none"/>
        </w:rPr>
        <w:t>开户银行：</w:t>
      </w:r>
      <w:r>
        <w:rPr>
          <w:rFonts w:hint="eastAsia"/>
          <w:color w:val="auto"/>
          <w:szCs w:val="27"/>
          <w:highlight w:val="none"/>
        </w:rPr>
        <w:t xml:space="preserve">                           </w:t>
      </w:r>
      <w:r>
        <w:rPr>
          <w:color w:val="auto"/>
          <w:szCs w:val="27"/>
          <w:highlight w:val="none"/>
        </w:rPr>
        <w:t>开户银行：</w:t>
      </w:r>
    </w:p>
    <w:p>
      <w:pPr>
        <w:spacing w:line="360" w:lineRule="auto"/>
        <w:ind w:firstLine="420" w:firstLineChars="200"/>
        <w:jc w:val="both"/>
        <w:rPr>
          <w:color w:val="auto"/>
          <w:highlight w:val="none"/>
        </w:rPr>
      </w:pPr>
      <w:r>
        <w:rPr>
          <w:rFonts w:hint="eastAsia"/>
          <w:color w:val="auto"/>
          <w:szCs w:val="27"/>
          <w:highlight w:val="none"/>
        </w:rPr>
        <w:t>账号</w:t>
      </w:r>
      <w:r>
        <w:rPr>
          <w:color w:val="auto"/>
          <w:szCs w:val="27"/>
          <w:highlight w:val="none"/>
        </w:rPr>
        <w:t>：</w:t>
      </w:r>
      <w:r>
        <w:rPr>
          <w:rFonts w:hint="eastAsia"/>
          <w:color w:val="auto"/>
          <w:szCs w:val="27"/>
          <w:highlight w:val="none"/>
        </w:rPr>
        <w:t xml:space="preserve">                               账号</w:t>
      </w:r>
      <w:r>
        <w:rPr>
          <w:color w:val="auto"/>
          <w:szCs w:val="27"/>
          <w:highlight w:val="none"/>
        </w:rPr>
        <w:t>：</w:t>
      </w:r>
    </w:p>
    <w:p>
      <w:pPr>
        <w:spacing w:line="640" w:lineRule="exact"/>
        <w:ind w:firstLine="1575" w:firstLineChars="750"/>
        <w:jc w:val="both"/>
        <w:rPr>
          <w:rFonts w:hint="eastAsia"/>
          <w:color w:val="auto"/>
          <w:szCs w:val="27"/>
          <w:highlight w:val="none"/>
          <w:u w:val="single"/>
        </w:rPr>
      </w:pPr>
    </w:p>
    <w:p>
      <w:pPr>
        <w:pStyle w:val="19"/>
        <w:rPr>
          <w:rFonts w:hint="eastAsia"/>
          <w:color w:val="auto"/>
          <w:highlight w:val="none"/>
        </w:rPr>
      </w:pPr>
      <w:r>
        <w:rPr>
          <w:color w:val="auto"/>
          <w:szCs w:val="27"/>
          <w:highlight w:val="none"/>
          <w:u w:val="single"/>
        </w:rPr>
        <w:t>   </w:t>
      </w:r>
      <w:r>
        <w:rPr>
          <w:rFonts w:hint="eastAsia"/>
          <w:color w:val="auto"/>
          <w:szCs w:val="27"/>
          <w:highlight w:val="none"/>
          <w:u w:val="single"/>
        </w:rPr>
        <w:t xml:space="preserve">   </w:t>
      </w:r>
      <w:r>
        <w:rPr>
          <w:color w:val="auto"/>
          <w:szCs w:val="27"/>
          <w:highlight w:val="none"/>
        </w:rPr>
        <w:t>年</w:t>
      </w:r>
      <w:r>
        <w:rPr>
          <w:color w:val="auto"/>
          <w:szCs w:val="27"/>
          <w:highlight w:val="none"/>
          <w:u w:val="single"/>
        </w:rPr>
        <w:t xml:space="preserve">    </w:t>
      </w:r>
      <w:r>
        <w:rPr>
          <w:color w:val="auto"/>
          <w:szCs w:val="27"/>
          <w:highlight w:val="none"/>
        </w:rPr>
        <w:t>月</w:t>
      </w:r>
      <w:r>
        <w:rPr>
          <w:color w:val="auto"/>
          <w:szCs w:val="27"/>
          <w:highlight w:val="none"/>
          <w:u w:val="single"/>
        </w:rPr>
        <w:t xml:space="preserve">    </w:t>
      </w:r>
      <w:r>
        <w:rPr>
          <w:color w:val="auto"/>
          <w:szCs w:val="27"/>
          <w:highlight w:val="none"/>
        </w:rPr>
        <w:t>日</w:t>
      </w:r>
      <w:r>
        <w:rPr>
          <w:rFonts w:hint="eastAsia"/>
          <w:color w:val="auto"/>
          <w:szCs w:val="27"/>
          <w:highlight w:val="none"/>
        </w:rPr>
        <w:t xml:space="preserve">           </w:t>
      </w:r>
      <w:r>
        <w:rPr>
          <w:rFonts w:hint="eastAsia"/>
          <w:color w:val="auto"/>
          <w:szCs w:val="27"/>
          <w:highlight w:val="none"/>
          <w:lang w:val="en-US"/>
        </w:rPr>
        <w:t xml:space="preserve">             </w:t>
      </w:r>
      <w:r>
        <w:rPr>
          <w:color w:val="auto"/>
          <w:szCs w:val="27"/>
          <w:highlight w:val="none"/>
          <w:u w:val="single"/>
        </w:rPr>
        <w:t xml:space="preserve">    </w:t>
      </w:r>
      <w:r>
        <w:rPr>
          <w:rFonts w:hint="eastAsia"/>
          <w:color w:val="auto"/>
          <w:szCs w:val="27"/>
          <w:highlight w:val="none"/>
          <w:u w:val="single"/>
        </w:rPr>
        <w:t xml:space="preserve">    </w:t>
      </w:r>
      <w:r>
        <w:rPr>
          <w:color w:val="auto"/>
          <w:szCs w:val="27"/>
          <w:highlight w:val="none"/>
        </w:rPr>
        <w:t>年</w:t>
      </w:r>
      <w:r>
        <w:rPr>
          <w:color w:val="auto"/>
          <w:szCs w:val="27"/>
          <w:highlight w:val="none"/>
          <w:u w:val="single"/>
        </w:rPr>
        <w:t xml:space="preserve">    </w:t>
      </w:r>
      <w:r>
        <w:rPr>
          <w:color w:val="auto"/>
          <w:szCs w:val="27"/>
          <w:highlight w:val="none"/>
        </w:rPr>
        <w:t>月</w:t>
      </w:r>
      <w:r>
        <w:rPr>
          <w:color w:val="auto"/>
          <w:szCs w:val="27"/>
          <w:highlight w:val="none"/>
          <w:u w:val="single"/>
        </w:rPr>
        <w:t xml:space="preserve">  </w:t>
      </w:r>
      <w:r>
        <w:rPr>
          <w:color w:val="auto"/>
          <w:szCs w:val="27"/>
          <w:highlight w:val="none"/>
        </w:rPr>
        <w:t>日</w:t>
      </w:r>
      <w:r>
        <w:rPr>
          <w:rFonts w:hint="eastAsia"/>
          <w:color w:val="auto"/>
          <w:szCs w:val="27"/>
          <w:highlight w:val="none"/>
        </w:rPr>
        <w:t xml:space="preserve"> </w:t>
      </w: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spacing w:line="900" w:lineRule="exact"/>
        <w:jc w:val="both"/>
        <w:rPr>
          <w:rFonts w:hint="eastAsia" w:ascii="宋体" w:hAnsi="宋体" w:cs="宋体"/>
          <w:b/>
          <w:bCs/>
          <w:color w:val="auto"/>
          <w:sz w:val="32"/>
          <w:szCs w:val="32"/>
          <w:highlight w:val="none"/>
        </w:rPr>
      </w:pPr>
      <w:bookmarkStart w:id="120" w:name="_Toc17699_WPSOffice_Level1"/>
      <w:r>
        <w:rPr>
          <w:rFonts w:hint="eastAsia" w:ascii="宋体" w:hAnsi="宋体" w:cs="宋体"/>
          <w:b/>
          <w:bCs/>
          <w:color w:val="auto"/>
          <w:sz w:val="32"/>
          <w:szCs w:val="32"/>
          <w:highlight w:val="none"/>
        </w:rPr>
        <w:br w:type="page"/>
      </w:r>
    </w:p>
    <w:p>
      <w:pPr>
        <w:pStyle w:val="3"/>
        <w:bidi w:val="0"/>
        <w:spacing w:line="240" w:lineRule="auto"/>
        <w:jc w:val="center"/>
        <w:rPr>
          <w:rFonts w:hint="eastAsia"/>
          <w:color w:val="auto"/>
          <w:highlight w:val="none"/>
        </w:rPr>
      </w:pPr>
      <w:bookmarkStart w:id="121" w:name="_Toc16474"/>
      <w:r>
        <w:rPr>
          <w:rFonts w:hint="eastAsia"/>
          <w:color w:val="auto"/>
          <w:highlight w:val="none"/>
        </w:rPr>
        <w:t>第七章 投标文件格式</w:t>
      </w:r>
      <w:bookmarkEnd w:id="120"/>
      <w:bookmarkEnd w:id="121"/>
    </w:p>
    <w:p>
      <w:pPr>
        <w:spacing w:line="900" w:lineRule="exact"/>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****项目</w:t>
      </w:r>
    </w:p>
    <w:p>
      <w:pPr>
        <w:pStyle w:val="19"/>
        <w:rPr>
          <w:rFonts w:hint="eastAsia"/>
          <w:color w:val="auto"/>
          <w:highlight w:val="none"/>
        </w:rPr>
      </w:pPr>
    </w:p>
    <w:p>
      <w:pPr>
        <w:spacing w:line="900" w:lineRule="exact"/>
        <w:jc w:val="center"/>
        <w:rPr>
          <w:rFonts w:hint="eastAsia" w:ascii="宋体" w:hAnsi="宋体" w:cs="宋体"/>
          <w:b/>
          <w:color w:val="auto"/>
          <w:sz w:val="72"/>
          <w:highlight w:val="none"/>
        </w:rPr>
      </w:pPr>
      <w:r>
        <w:rPr>
          <w:rFonts w:hint="eastAsia" w:ascii="宋体" w:hAnsi="宋体" w:cs="宋体"/>
          <w:b/>
          <w:color w:val="auto"/>
          <w:sz w:val="72"/>
          <w:highlight w:val="none"/>
        </w:rPr>
        <w:t>投</w:t>
      </w:r>
    </w:p>
    <w:p>
      <w:pPr>
        <w:spacing w:line="900" w:lineRule="exact"/>
        <w:jc w:val="center"/>
        <w:rPr>
          <w:rFonts w:hint="eastAsia" w:ascii="宋体" w:hAnsi="宋体" w:cs="宋体"/>
          <w:b/>
          <w:color w:val="auto"/>
          <w:sz w:val="72"/>
          <w:highlight w:val="none"/>
        </w:rPr>
      </w:pPr>
    </w:p>
    <w:p>
      <w:pPr>
        <w:spacing w:line="900" w:lineRule="exact"/>
        <w:jc w:val="center"/>
        <w:rPr>
          <w:rFonts w:hint="eastAsia" w:ascii="宋体" w:hAnsi="宋体" w:cs="宋体"/>
          <w:b/>
          <w:color w:val="auto"/>
          <w:sz w:val="72"/>
          <w:highlight w:val="none"/>
        </w:rPr>
      </w:pPr>
      <w:r>
        <w:rPr>
          <w:rFonts w:hint="eastAsia" w:ascii="宋体" w:hAnsi="宋体" w:cs="宋体"/>
          <w:b/>
          <w:color w:val="auto"/>
          <w:sz w:val="72"/>
          <w:highlight w:val="none"/>
        </w:rPr>
        <w:t>标</w:t>
      </w:r>
    </w:p>
    <w:p>
      <w:pPr>
        <w:spacing w:line="900" w:lineRule="exact"/>
        <w:jc w:val="center"/>
        <w:rPr>
          <w:rFonts w:hint="eastAsia" w:ascii="宋体" w:hAnsi="宋体" w:cs="宋体"/>
          <w:b/>
          <w:color w:val="auto"/>
          <w:sz w:val="72"/>
          <w:highlight w:val="none"/>
        </w:rPr>
      </w:pPr>
    </w:p>
    <w:p>
      <w:pPr>
        <w:spacing w:line="900" w:lineRule="exact"/>
        <w:jc w:val="center"/>
        <w:rPr>
          <w:rFonts w:hint="eastAsia" w:ascii="宋体" w:hAnsi="宋体" w:cs="宋体"/>
          <w:b/>
          <w:color w:val="auto"/>
          <w:sz w:val="72"/>
          <w:highlight w:val="none"/>
        </w:rPr>
      </w:pPr>
      <w:r>
        <w:rPr>
          <w:rFonts w:hint="eastAsia" w:ascii="宋体" w:hAnsi="宋体" w:cs="宋体"/>
          <w:b/>
          <w:color w:val="auto"/>
          <w:sz w:val="72"/>
          <w:highlight w:val="none"/>
        </w:rPr>
        <w:t>文</w:t>
      </w:r>
    </w:p>
    <w:p>
      <w:pPr>
        <w:spacing w:line="900" w:lineRule="exact"/>
        <w:jc w:val="center"/>
        <w:rPr>
          <w:rFonts w:hint="eastAsia" w:ascii="宋体" w:hAnsi="宋体" w:cs="宋体"/>
          <w:b/>
          <w:color w:val="auto"/>
          <w:sz w:val="72"/>
          <w:highlight w:val="none"/>
        </w:rPr>
      </w:pPr>
    </w:p>
    <w:p>
      <w:pPr>
        <w:jc w:val="center"/>
        <w:rPr>
          <w:rFonts w:hint="eastAsia" w:ascii="宋体" w:hAnsi="宋体" w:cs="宋体"/>
          <w:b/>
          <w:color w:val="auto"/>
          <w:sz w:val="72"/>
          <w:highlight w:val="none"/>
        </w:rPr>
      </w:pPr>
      <w:r>
        <w:rPr>
          <w:rFonts w:hint="eastAsia" w:ascii="宋体" w:hAnsi="宋体" w:cs="宋体"/>
          <w:b/>
          <w:color w:val="auto"/>
          <w:sz w:val="72"/>
          <w:highlight w:val="none"/>
        </w:rPr>
        <w:t>件</w:t>
      </w:r>
    </w:p>
    <w:p>
      <w:pPr>
        <w:spacing w:after="120" w:afterLines="50" w:line="500" w:lineRule="exact"/>
        <w:rPr>
          <w:rFonts w:hint="eastAsia" w:ascii="宋体" w:hAnsi="宋体" w:cs="宋体"/>
          <w:b/>
          <w:color w:val="auto"/>
          <w:sz w:val="32"/>
          <w:highlight w:val="none"/>
          <w:u w:val="single"/>
        </w:rPr>
      </w:pPr>
      <w:r>
        <w:rPr>
          <w:rFonts w:hint="eastAsia" w:ascii="宋体" w:hAnsi="宋体" w:cs="宋体"/>
          <w:b/>
          <w:color w:val="auto"/>
          <w:sz w:val="30"/>
          <w:highlight w:val="none"/>
        </w:rPr>
        <w:t xml:space="preserve">                 </w:t>
      </w:r>
      <w:r>
        <w:rPr>
          <w:rFonts w:hint="eastAsia" w:ascii="宋体" w:hAnsi="宋体" w:cs="宋体"/>
          <w:b/>
          <w:color w:val="auto"/>
          <w:sz w:val="32"/>
          <w:highlight w:val="none"/>
        </w:rPr>
        <w:t>投标人：</w:t>
      </w:r>
      <w:r>
        <w:rPr>
          <w:rFonts w:hint="eastAsia" w:ascii="宋体" w:hAnsi="宋体" w:cs="宋体"/>
          <w:b/>
          <w:color w:val="auto"/>
          <w:sz w:val="32"/>
          <w:highlight w:val="none"/>
          <w:u w:val="single"/>
        </w:rPr>
        <w:t xml:space="preserve">               </w:t>
      </w:r>
    </w:p>
    <w:p>
      <w:pPr>
        <w:spacing w:after="120" w:afterLines="50" w:line="500" w:lineRule="exact"/>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bookmarkStart w:id="122" w:name="_Toc5567_WPSOffice_Level2"/>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End w:id="122"/>
    </w:p>
    <w:p>
      <w:pPr>
        <w:rPr>
          <w:rFonts w:hint="eastAsia" w:ascii="宋体" w:hAnsi="宋体" w:cs="宋体"/>
          <w:color w:val="auto"/>
          <w:highlight w:val="none"/>
        </w:rPr>
      </w:pPr>
      <w:bookmarkStart w:id="123" w:name="_Hlt50174722"/>
      <w:bookmarkEnd w:id="123"/>
      <w:bookmarkStart w:id="124" w:name="_Hlt533408877"/>
      <w:bookmarkEnd w:id="124"/>
      <w:bookmarkStart w:id="125" w:name="_Hlt519045470"/>
      <w:bookmarkEnd w:id="125"/>
      <w:bookmarkStart w:id="126" w:name="_Hlt50174972"/>
      <w:bookmarkEnd w:id="126"/>
      <w:bookmarkStart w:id="127" w:name="_Hlt519068595"/>
      <w:bookmarkEnd w:id="127"/>
      <w:bookmarkStart w:id="128" w:name="_Hlt50174708"/>
      <w:bookmarkEnd w:id="128"/>
      <w:bookmarkStart w:id="129" w:name="_Hlt509738509"/>
      <w:bookmarkStart w:id="130" w:name="_Hlt519045391"/>
      <w:bookmarkStart w:id="131" w:name="_Hlt509738521"/>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9"/>
        <w:rPr>
          <w:rFonts w:hint="eastAsia" w:ascii="宋体" w:hAnsi="宋体" w:cs="宋体"/>
          <w:color w:val="auto"/>
          <w:highlight w:val="none"/>
        </w:rPr>
      </w:pPr>
    </w:p>
    <w:p>
      <w:pPr>
        <w:pStyle w:val="18"/>
        <w:rPr>
          <w:rFonts w:hint="eastAsia" w:ascii="宋体" w:hAnsi="宋体" w:eastAsia="宋体" w:cs="宋体"/>
          <w:color w:val="auto"/>
          <w:highlight w:val="none"/>
        </w:rPr>
      </w:pPr>
      <w:bookmarkStart w:id="132" w:name="_Toc20284_WPSOffice_Level2"/>
      <w:r>
        <w:rPr>
          <w:rFonts w:hint="eastAsia" w:ascii="宋体" w:hAnsi="宋体" w:eastAsia="宋体" w:cs="宋体"/>
          <w:color w:val="auto"/>
          <w:highlight w:val="none"/>
        </w:rPr>
        <w:t>投标文件资料清单</w:t>
      </w:r>
      <w:bookmarkEnd w:id="132"/>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460"/>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5460" w:type="dxa"/>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资料名称</w:t>
            </w:r>
          </w:p>
        </w:tc>
        <w:tc>
          <w:tcPr>
            <w:tcW w:w="1854" w:type="dxa"/>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一</w:t>
            </w:r>
          </w:p>
        </w:tc>
        <w:tc>
          <w:tcPr>
            <w:tcW w:w="5460" w:type="dxa"/>
            <w:noWrap w:val="0"/>
            <w:vAlign w:val="center"/>
          </w:tcPr>
          <w:p>
            <w:pPr>
              <w:rPr>
                <w:rFonts w:hint="eastAsia" w:ascii="宋体" w:hAnsi="宋体" w:cs="宋体"/>
                <w:color w:val="auto"/>
                <w:highlight w:val="none"/>
                <w:u w:val="single"/>
              </w:rPr>
            </w:pPr>
            <w:r>
              <w:rPr>
                <w:rFonts w:hint="eastAsia" w:ascii="宋体" w:hAnsi="宋体" w:cs="宋体"/>
                <w:bCs/>
                <w:color w:val="auto"/>
                <w:sz w:val="24"/>
                <w:highlight w:val="none"/>
              </w:rPr>
              <w:t>开标一览表</w:t>
            </w:r>
          </w:p>
        </w:tc>
        <w:tc>
          <w:tcPr>
            <w:tcW w:w="1854" w:type="dxa"/>
            <w:noWrap w:val="0"/>
            <w:vAlign w:val="center"/>
          </w:tcPr>
          <w:p>
            <w:pPr>
              <w:spacing w:line="360" w:lineRule="auto"/>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二</w:t>
            </w:r>
          </w:p>
        </w:tc>
        <w:tc>
          <w:tcPr>
            <w:tcW w:w="5460" w:type="dxa"/>
            <w:noWrap w:val="0"/>
            <w:vAlign w:val="center"/>
          </w:tcPr>
          <w:p>
            <w:pPr>
              <w:rPr>
                <w:rFonts w:hint="eastAsia" w:ascii="宋体" w:hAnsi="宋体" w:cs="宋体"/>
                <w:bCs/>
                <w:color w:val="auto"/>
                <w:sz w:val="24"/>
                <w:highlight w:val="none"/>
              </w:rPr>
            </w:pPr>
            <w:r>
              <w:rPr>
                <w:rFonts w:hint="eastAsia" w:ascii="宋体" w:hAnsi="宋体" w:cs="宋体"/>
                <w:color w:val="auto"/>
                <w:sz w:val="24"/>
                <w:highlight w:val="none"/>
              </w:rPr>
              <w:t>投标人情况综合简介</w:t>
            </w:r>
          </w:p>
        </w:tc>
        <w:tc>
          <w:tcPr>
            <w:tcW w:w="1854" w:type="dxa"/>
            <w:noWrap w:val="0"/>
            <w:vAlign w:val="center"/>
          </w:tcPr>
          <w:p>
            <w:pPr>
              <w:spacing w:line="360" w:lineRule="auto"/>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三</w:t>
            </w:r>
          </w:p>
        </w:tc>
        <w:tc>
          <w:tcPr>
            <w:tcW w:w="5460" w:type="dxa"/>
            <w:noWrap w:val="0"/>
            <w:vAlign w:val="center"/>
          </w:tcPr>
          <w:p>
            <w:pPr>
              <w:rPr>
                <w:rFonts w:hint="eastAsia" w:ascii="宋体" w:hAnsi="宋体" w:cs="宋体"/>
                <w:bCs/>
                <w:color w:val="auto"/>
                <w:sz w:val="24"/>
                <w:highlight w:val="none"/>
              </w:rPr>
            </w:pPr>
            <w:r>
              <w:rPr>
                <w:rFonts w:hint="eastAsia" w:ascii="宋体" w:hAnsi="宋体" w:cs="宋体"/>
                <w:bCs/>
                <w:color w:val="auto"/>
                <w:sz w:val="24"/>
                <w:highlight w:val="none"/>
              </w:rPr>
              <w:t>投标函</w:t>
            </w:r>
          </w:p>
        </w:tc>
        <w:tc>
          <w:tcPr>
            <w:tcW w:w="1854" w:type="dxa"/>
            <w:noWrap w:val="0"/>
            <w:vAlign w:val="center"/>
          </w:tcPr>
          <w:p>
            <w:pPr>
              <w:spacing w:line="360" w:lineRule="auto"/>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四</w:t>
            </w:r>
          </w:p>
        </w:tc>
        <w:tc>
          <w:tcPr>
            <w:tcW w:w="5460" w:type="dxa"/>
            <w:noWrap w:val="0"/>
            <w:vAlign w:val="center"/>
          </w:tcPr>
          <w:p>
            <w:pPr>
              <w:pStyle w:val="47"/>
              <w:rPr>
                <w:rFonts w:hint="eastAsia" w:ascii="宋体" w:hAnsi="宋体" w:cs="宋体"/>
                <w:bCs/>
                <w:color w:val="auto"/>
                <w:highlight w:val="none"/>
              </w:rPr>
            </w:pPr>
            <w:r>
              <w:rPr>
                <w:rFonts w:hint="eastAsia" w:ascii="宋体" w:hAnsi="宋体" w:cs="宋体"/>
                <w:bCs/>
                <w:color w:val="auto"/>
                <w:highlight w:val="none"/>
              </w:rPr>
              <w:t>投标分项报价表</w:t>
            </w:r>
          </w:p>
        </w:tc>
        <w:tc>
          <w:tcPr>
            <w:tcW w:w="1854" w:type="dxa"/>
            <w:noWrap w:val="0"/>
            <w:vAlign w:val="center"/>
          </w:tcPr>
          <w:p>
            <w:pPr>
              <w:spacing w:line="360" w:lineRule="auto"/>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五</w:t>
            </w:r>
          </w:p>
        </w:tc>
        <w:tc>
          <w:tcPr>
            <w:tcW w:w="5460" w:type="dxa"/>
            <w:noWrap w:val="0"/>
            <w:vAlign w:val="center"/>
          </w:tcPr>
          <w:p>
            <w:pPr>
              <w:rPr>
                <w:rFonts w:hint="eastAsia" w:ascii="宋体" w:hAnsi="宋体" w:cs="宋体"/>
                <w:bCs/>
                <w:color w:val="auto"/>
                <w:sz w:val="24"/>
                <w:highlight w:val="none"/>
              </w:rPr>
            </w:pPr>
            <w:r>
              <w:rPr>
                <w:rFonts w:hint="eastAsia" w:ascii="宋体" w:hAnsi="宋体" w:cs="宋体"/>
                <w:color w:val="auto"/>
                <w:sz w:val="24"/>
                <w:highlight w:val="none"/>
              </w:rPr>
              <w:t>投标响应表</w:t>
            </w:r>
          </w:p>
        </w:tc>
        <w:tc>
          <w:tcPr>
            <w:tcW w:w="1854" w:type="dxa"/>
            <w:noWrap w:val="0"/>
            <w:vAlign w:val="center"/>
          </w:tcPr>
          <w:p>
            <w:pPr>
              <w:spacing w:line="360" w:lineRule="auto"/>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六</w:t>
            </w:r>
          </w:p>
        </w:tc>
        <w:tc>
          <w:tcPr>
            <w:tcW w:w="5460" w:type="dxa"/>
            <w:noWrap w:val="0"/>
            <w:vAlign w:val="center"/>
          </w:tcPr>
          <w:p>
            <w:pPr>
              <w:rPr>
                <w:rFonts w:hint="eastAsia"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产品质量承诺</w:t>
            </w:r>
          </w:p>
        </w:tc>
        <w:tc>
          <w:tcPr>
            <w:tcW w:w="1854" w:type="dxa"/>
            <w:noWrap w:val="0"/>
            <w:vAlign w:val="center"/>
          </w:tcPr>
          <w:p>
            <w:pPr>
              <w:spacing w:line="360" w:lineRule="auto"/>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七</w:t>
            </w:r>
          </w:p>
        </w:tc>
        <w:tc>
          <w:tcPr>
            <w:tcW w:w="5460" w:type="dxa"/>
            <w:noWrap w:val="0"/>
            <w:vAlign w:val="center"/>
          </w:tcPr>
          <w:p>
            <w:pPr>
              <w:rPr>
                <w:rFonts w:hint="eastAsia"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所供货物组部件、备品、备件清单</w:t>
            </w:r>
          </w:p>
        </w:tc>
        <w:tc>
          <w:tcPr>
            <w:tcW w:w="1854" w:type="dxa"/>
            <w:noWrap w:val="0"/>
            <w:vAlign w:val="center"/>
          </w:tcPr>
          <w:p>
            <w:pPr>
              <w:spacing w:line="360" w:lineRule="auto"/>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八</w:t>
            </w:r>
          </w:p>
        </w:tc>
        <w:tc>
          <w:tcPr>
            <w:tcW w:w="5460" w:type="dxa"/>
            <w:noWrap w:val="0"/>
            <w:vAlign w:val="center"/>
          </w:tcPr>
          <w:p>
            <w:pPr>
              <w:rPr>
                <w:rFonts w:hint="eastAsia"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有关证明文件</w:t>
            </w:r>
          </w:p>
        </w:tc>
        <w:tc>
          <w:tcPr>
            <w:tcW w:w="1854" w:type="dxa"/>
            <w:noWrap w:val="0"/>
            <w:vAlign w:val="center"/>
          </w:tcPr>
          <w:p>
            <w:pPr>
              <w:spacing w:line="360" w:lineRule="auto"/>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九</w:t>
            </w:r>
          </w:p>
        </w:tc>
        <w:tc>
          <w:tcPr>
            <w:tcW w:w="5460" w:type="dxa"/>
            <w:noWrap w:val="0"/>
            <w:vAlign w:val="center"/>
          </w:tcPr>
          <w:p>
            <w:pP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中小企业声明函</w:t>
            </w:r>
          </w:p>
        </w:tc>
        <w:tc>
          <w:tcPr>
            <w:tcW w:w="1854" w:type="dxa"/>
            <w:noWrap w:val="0"/>
            <w:vAlign w:val="center"/>
          </w:tcPr>
          <w:p>
            <w:pPr>
              <w:spacing w:line="360" w:lineRule="auto"/>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十</w:t>
            </w:r>
          </w:p>
        </w:tc>
        <w:tc>
          <w:tcPr>
            <w:tcW w:w="5460" w:type="dxa"/>
            <w:noWrap w:val="0"/>
            <w:vAlign w:val="center"/>
          </w:tcPr>
          <w:p>
            <w:pPr>
              <w:rPr>
                <w:rFonts w:hint="eastAsia"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售后服务</w:t>
            </w:r>
          </w:p>
        </w:tc>
        <w:tc>
          <w:tcPr>
            <w:tcW w:w="1854" w:type="dxa"/>
            <w:noWrap w:val="0"/>
            <w:vAlign w:val="center"/>
          </w:tcPr>
          <w:p>
            <w:pPr>
              <w:spacing w:line="360" w:lineRule="auto"/>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十一</w:t>
            </w:r>
          </w:p>
        </w:tc>
        <w:tc>
          <w:tcPr>
            <w:tcW w:w="5460" w:type="dxa"/>
            <w:noWrap w:val="0"/>
            <w:vAlign w:val="center"/>
          </w:tcPr>
          <w:p>
            <w:pPr>
              <w:rPr>
                <w:rFonts w:hint="eastAsia"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所投货物的技术资料等</w:t>
            </w:r>
          </w:p>
        </w:tc>
        <w:tc>
          <w:tcPr>
            <w:tcW w:w="1854" w:type="dxa"/>
            <w:noWrap w:val="0"/>
            <w:vAlign w:val="center"/>
          </w:tcPr>
          <w:p>
            <w:pPr>
              <w:spacing w:line="360" w:lineRule="auto"/>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十二</w:t>
            </w:r>
          </w:p>
        </w:tc>
        <w:tc>
          <w:tcPr>
            <w:tcW w:w="5460" w:type="dxa"/>
            <w:noWrap w:val="0"/>
            <w:vAlign w:val="center"/>
          </w:tcPr>
          <w:p>
            <w:pPr>
              <w:rPr>
                <w:rFonts w:hint="eastAsia"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其他投标人认为需要提供得材料等</w:t>
            </w:r>
          </w:p>
        </w:tc>
        <w:tc>
          <w:tcPr>
            <w:tcW w:w="1854" w:type="dxa"/>
            <w:noWrap w:val="0"/>
            <w:vAlign w:val="center"/>
          </w:tcPr>
          <w:p>
            <w:pPr>
              <w:spacing w:line="360" w:lineRule="auto"/>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pPr>
              <w:rPr>
                <w:rFonts w:hint="eastAsia" w:ascii="宋体" w:hAnsi="宋体" w:cs="宋体"/>
                <w:color w:val="auto"/>
                <w:sz w:val="24"/>
                <w:highlight w:val="none"/>
              </w:rPr>
            </w:pPr>
            <w:r>
              <w:rPr>
                <w:rFonts w:hint="eastAsia" w:ascii="宋体" w:hAnsi="宋体" w:cs="宋体"/>
                <w:color w:val="auto"/>
                <w:sz w:val="24"/>
                <w:highlight w:val="none"/>
              </w:rPr>
              <w:t>十三</w:t>
            </w:r>
          </w:p>
        </w:tc>
        <w:tc>
          <w:tcPr>
            <w:tcW w:w="5460" w:type="dxa"/>
            <w:noWrap w:val="0"/>
            <w:vAlign w:val="center"/>
          </w:tcPr>
          <w:p>
            <w:pPr>
              <w:rPr>
                <w:rFonts w:hint="eastAsia" w:ascii="宋体" w:hAnsi="宋体" w:cs="宋体"/>
                <w:color w:val="auto"/>
                <w:sz w:val="24"/>
                <w:highlight w:val="none"/>
              </w:rPr>
            </w:pPr>
            <w:r>
              <w:rPr>
                <w:rFonts w:hint="eastAsia" w:ascii="宋体" w:hAnsi="宋体" w:cs="宋体"/>
                <w:color w:val="auto"/>
                <w:sz w:val="24"/>
                <w:highlight w:val="none"/>
              </w:rPr>
              <w:t>政府采购供应商诚信承诺书</w:t>
            </w:r>
          </w:p>
          <w:p>
            <w:pPr>
              <w:rPr>
                <w:rFonts w:hint="eastAsia" w:ascii="宋体" w:hAnsi="宋体" w:cs="宋体"/>
                <w:color w:val="auto"/>
                <w:sz w:val="24"/>
                <w:highlight w:val="none"/>
              </w:rPr>
            </w:pPr>
          </w:p>
        </w:tc>
        <w:tc>
          <w:tcPr>
            <w:tcW w:w="1854" w:type="dxa"/>
            <w:noWrap w:val="0"/>
            <w:vAlign w:val="center"/>
          </w:tcPr>
          <w:p>
            <w:pPr>
              <w:spacing w:line="360" w:lineRule="auto"/>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pPr>
              <w:jc w:val="center"/>
              <w:rPr>
                <w:rFonts w:hint="eastAsia" w:ascii="宋体" w:hAnsi="宋体" w:cs="宋体"/>
                <w:color w:val="auto"/>
                <w:sz w:val="24"/>
                <w:highlight w:val="none"/>
              </w:rPr>
            </w:pPr>
          </w:p>
        </w:tc>
        <w:tc>
          <w:tcPr>
            <w:tcW w:w="5460" w:type="dxa"/>
            <w:noWrap w:val="0"/>
            <w:vAlign w:val="center"/>
          </w:tcPr>
          <w:p>
            <w:pPr>
              <w:rPr>
                <w:rFonts w:hint="eastAsia" w:ascii="宋体" w:hAnsi="宋体" w:cs="宋体"/>
                <w:color w:val="auto"/>
                <w:sz w:val="24"/>
                <w:highlight w:val="none"/>
              </w:rPr>
            </w:pPr>
          </w:p>
        </w:tc>
        <w:tc>
          <w:tcPr>
            <w:tcW w:w="1854" w:type="dxa"/>
            <w:noWrap w:val="0"/>
            <w:vAlign w:val="center"/>
          </w:tcPr>
          <w:p>
            <w:pPr>
              <w:spacing w:line="360" w:lineRule="auto"/>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364" w:type="dxa"/>
            <w:gridSpan w:val="3"/>
            <w:noWrap w:val="0"/>
            <w:vAlign w:val="center"/>
          </w:tcPr>
          <w:p>
            <w:pPr>
              <w:spacing w:line="500" w:lineRule="exact"/>
              <w:rPr>
                <w:rFonts w:hint="eastAsia" w:ascii="宋体" w:hAnsi="宋体" w:cs="宋体"/>
                <w:b/>
                <w:color w:val="auto"/>
                <w:sz w:val="28"/>
                <w:highlight w:val="none"/>
              </w:rPr>
            </w:pPr>
            <w:r>
              <w:rPr>
                <w:rFonts w:hint="eastAsia" w:ascii="宋体" w:hAnsi="宋体" w:cs="宋体"/>
                <w:b/>
                <w:color w:val="auto"/>
                <w:sz w:val="28"/>
                <w:highlight w:val="none"/>
              </w:rPr>
              <w:t>备注：投标文件资料清单是投标人制作投标文件的参考格式，并非必须格式，请各位投标人根据所投项目需要自行增减，是否依据了本格式或自行增减了多少格式并不是废标的条款。</w:t>
            </w:r>
          </w:p>
        </w:tc>
      </w:tr>
    </w:tbl>
    <w:p>
      <w:pPr>
        <w:spacing w:line="500" w:lineRule="exact"/>
        <w:rPr>
          <w:rFonts w:hint="eastAsia" w:ascii="宋体" w:hAnsi="宋体" w:cs="宋体"/>
          <w:color w:val="auto"/>
          <w:sz w:val="28"/>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5"/>
        <w:rPr>
          <w:rFonts w:hint="eastAsia" w:hAnsi="宋体" w:cs="宋体"/>
          <w:color w:val="auto"/>
          <w:sz w:val="28"/>
          <w:highlight w:val="none"/>
        </w:rPr>
      </w:pPr>
      <w:bookmarkStart w:id="133" w:name="_Toc2396_WPSOffice_Level2"/>
      <w:bookmarkStart w:id="134" w:name="_Toc40975449"/>
      <w:bookmarkStart w:id="135" w:name="_Toc197934561"/>
      <w:bookmarkStart w:id="136" w:name="_Toc11579"/>
      <w:r>
        <w:rPr>
          <w:rFonts w:hint="eastAsia" w:hAnsi="宋体" w:cs="宋体"/>
          <w:color w:val="auto"/>
          <w:sz w:val="28"/>
          <w:highlight w:val="none"/>
        </w:rPr>
        <w:t>一．开标一览表</w:t>
      </w:r>
      <w:bookmarkEnd w:id="133"/>
      <w:bookmarkEnd w:id="134"/>
      <w:bookmarkEnd w:id="135"/>
      <w:bookmarkEnd w:id="136"/>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6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056" w:type="dxa"/>
            <w:tcBorders>
              <w:top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b/>
                <w:color w:val="auto"/>
                <w:sz w:val="24"/>
                <w:highlight w:val="none"/>
              </w:rPr>
            </w:pPr>
            <w:r>
              <w:rPr>
                <w:rFonts w:hint="eastAsia" w:ascii="宋体" w:hAnsi="宋体" w:cs="宋体"/>
                <w:b/>
                <w:color w:val="auto"/>
                <w:sz w:val="24"/>
                <w:highlight w:val="none"/>
              </w:rPr>
              <w:t>项 目 名 称</w:t>
            </w:r>
          </w:p>
        </w:tc>
        <w:tc>
          <w:tcPr>
            <w:tcW w:w="6309"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6" w:type="dxa"/>
            <w:tcBorders>
              <w:top w:val="nil"/>
            </w:tcBorders>
            <w:noWrap w:val="0"/>
            <w:vAlign w:val="center"/>
          </w:tcPr>
          <w:p>
            <w:pPr>
              <w:spacing w:line="360" w:lineRule="exact"/>
              <w:jc w:val="center"/>
              <w:rPr>
                <w:rFonts w:hint="eastAsia" w:ascii="宋体" w:hAnsi="宋体" w:cs="宋体"/>
                <w:b/>
                <w:color w:val="auto"/>
                <w:sz w:val="24"/>
                <w:highlight w:val="none"/>
              </w:rPr>
            </w:pPr>
            <w:r>
              <w:rPr>
                <w:rFonts w:hint="eastAsia" w:ascii="宋体" w:hAnsi="宋体" w:cs="宋体"/>
                <w:b/>
                <w:color w:val="auto"/>
                <w:sz w:val="24"/>
                <w:highlight w:val="none"/>
              </w:rPr>
              <w:t>投标人全称</w:t>
            </w:r>
          </w:p>
        </w:tc>
        <w:tc>
          <w:tcPr>
            <w:tcW w:w="6309" w:type="dxa"/>
            <w:tcBorders>
              <w:top w:val="nil"/>
            </w:tcBorders>
            <w:noWrap w:val="0"/>
            <w:vAlign w:val="center"/>
          </w:tcPr>
          <w:p>
            <w:pPr>
              <w:spacing w:line="36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6" w:type="dxa"/>
            <w:tcBorders>
              <w:top w:val="nil"/>
            </w:tcBorders>
            <w:noWrap w:val="0"/>
            <w:vAlign w:val="center"/>
          </w:tcPr>
          <w:p>
            <w:pPr>
              <w:spacing w:line="360" w:lineRule="exact"/>
              <w:jc w:val="center"/>
              <w:rPr>
                <w:rFonts w:hint="eastAsia" w:ascii="宋体" w:hAnsi="宋体" w:cs="宋体"/>
                <w:b/>
                <w:color w:val="auto"/>
                <w:sz w:val="24"/>
                <w:highlight w:val="none"/>
              </w:rPr>
            </w:pPr>
            <w:r>
              <w:rPr>
                <w:rFonts w:hint="eastAsia" w:ascii="宋体" w:hAnsi="宋体" w:cs="宋体"/>
                <w:b/>
                <w:color w:val="auto"/>
                <w:sz w:val="24"/>
                <w:highlight w:val="none"/>
              </w:rPr>
              <w:t>投标范围</w:t>
            </w:r>
          </w:p>
        </w:tc>
        <w:tc>
          <w:tcPr>
            <w:tcW w:w="6309" w:type="dxa"/>
            <w:tcBorders>
              <w:top w:val="nil"/>
            </w:tcBorders>
            <w:noWrap w:val="0"/>
            <w:vAlign w:val="center"/>
          </w:tcPr>
          <w:p>
            <w:pPr>
              <w:widowControl/>
              <w:spacing w:line="360" w:lineRule="exact"/>
              <w:rPr>
                <w:rFonts w:hint="default" w:ascii="宋体" w:hAnsi="宋体" w:eastAsia="宋体" w:cs="宋体"/>
                <w:b/>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6" w:type="dxa"/>
            <w:tcBorders>
              <w:top w:val="nil"/>
            </w:tcBorders>
            <w:noWrap w:val="0"/>
            <w:vAlign w:val="center"/>
          </w:tcPr>
          <w:p>
            <w:pPr>
              <w:spacing w:line="360" w:lineRule="exact"/>
              <w:jc w:val="center"/>
              <w:rPr>
                <w:rFonts w:hint="eastAsia" w:ascii="宋体" w:hAnsi="宋体" w:cs="宋体"/>
                <w:b/>
                <w:color w:val="auto"/>
                <w:sz w:val="24"/>
                <w:highlight w:val="none"/>
              </w:rPr>
            </w:pPr>
            <w:r>
              <w:rPr>
                <w:rFonts w:hint="eastAsia" w:ascii="宋体" w:hAnsi="宋体" w:cs="宋体"/>
                <w:b/>
                <w:color w:val="auto"/>
                <w:sz w:val="24"/>
                <w:highlight w:val="none"/>
              </w:rPr>
              <w:t>1、最终投标报价</w:t>
            </w:r>
          </w:p>
          <w:p>
            <w:pPr>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（人民币）</w:t>
            </w:r>
          </w:p>
          <w:p>
            <w:pPr>
              <w:spacing w:line="360" w:lineRule="exact"/>
              <w:rPr>
                <w:rFonts w:hint="eastAsia"/>
                <w:color w:val="auto"/>
                <w:highlight w:val="none"/>
              </w:rPr>
            </w:pPr>
          </w:p>
        </w:tc>
        <w:tc>
          <w:tcPr>
            <w:tcW w:w="6309" w:type="dxa"/>
            <w:tcBorders>
              <w:top w:val="nil"/>
            </w:tcBorders>
            <w:noWrap w:val="0"/>
            <w:vAlign w:val="center"/>
          </w:tcPr>
          <w:p>
            <w:pPr>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 xml:space="preserve">1、投标报价：        元、大写：         </w:t>
            </w:r>
          </w:p>
          <w:p>
            <w:pPr>
              <w:pStyle w:val="22"/>
              <w:ind w:right="-21" w:firstLine="540"/>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056" w:type="dxa"/>
            <w:tcBorders>
              <w:top w:val="nil"/>
            </w:tcBorders>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w:t>
            </w:r>
          </w:p>
        </w:tc>
        <w:tc>
          <w:tcPr>
            <w:tcW w:w="6309" w:type="dxa"/>
            <w:tcBorders>
              <w:top w:val="nil"/>
            </w:tcBorders>
            <w:noWrap w:val="0"/>
            <w:vAlign w:val="center"/>
          </w:tcPr>
          <w:p>
            <w:pPr>
              <w:spacing w:line="360" w:lineRule="auto"/>
              <w:jc w:val="left"/>
              <w:rPr>
                <w:rFonts w:hint="eastAsia" w:ascii="宋体" w:hAnsi="宋体" w:cs="宋体"/>
                <w:color w:val="auto"/>
                <w:sz w:val="24"/>
                <w:szCs w:val="28"/>
                <w:highlight w:val="none"/>
              </w:rPr>
            </w:pPr>
          </w:p>
        </w:tc>
      </w:tr>
    </w:tbl>
    <w:p>
      <w:pPr>
        <w:spacing w:line="380" w:lineRule="exact"/>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eastAsia="宋体" w:cs="宋体"/>
          <w:color w:val="auto"/>
          <w:sz w:val="24"/>
          <w:highlight w:val="none"/>
        </w:rPr>
        <w:t>电子</w:t>
      </w:r>
      <w:r>
        <w:rPr>
          <w:rFonts w:hint="eastAsia" w:ascii="宋体" w:hAnsi="宋体" w:eastAsia="宋体" w:cs="宋体"/>
          <w:color w:val="auto"/>
          <w:sz w:val="24"/>
          <w:highlight w:val="none"/>
          <w:lang w:val="en-US" w:eastAsia="zh-CN"/>
        </w:rPr>
        <w:t>公</w:t>
      </w:r>
      <w:r>
        <w:rPr>
          <w:rFonts w:hint="eastAsia" w:ascii="宋体" w:hAnsi="宋体" w:eastAsia="宋体" w:cs="宋体"/>
          <w:color w:val="auto"/>
          <w:sz w:val="24"/>
          <w:highlight w:val="none"/>
        </w:rPr>
        <w:t>章</w:t>
      </w:r>
      <w:r>
        <w:rPr>
          <w:rFonts w:hint="eastAsia" w:ascii="宋体" w:hAnsi="宋体" w:cs="宋体"/>
          <w:color w:val="auto"/>
          <w:sz w:val="24"/>
          <w:highlight w:val="none"/>
        </w:rPr>
        <w:t>）</w:t>
      </w:r>
    </w:p>
    <w:p>
      <w:pPr>
        <w:spacing w:line="380" w:lineRule="exact"/>
        <w:ind w:right="640" w:firstLine="1560" w:firstLineChars="650"/>
        <w:rPr>
          <w:rFonts w:hint="eastAsia" w:ascii="宋体" w:hAnsi="宋体" w:cs="宋体"/>
          <w:color w:val="auto"/>
          <w:sz w:val="24"/>
          <w:highlight w:val="none"/>
        </w:rPr>
      </w:pPr>
    </w:p>
    <w:p>
      <w:pPr>
        <w:spacing w:line="380" w:lineRule="exact"/>
        <w:ind w:right="640" w:firstLine="3600" w:firstLineChars="15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被授权人和法人：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签字）</w:t>
      </w:r>
    </w:p>
    <w:p>
      <w:pPr>
        <w:spacing w:line="380" w:lineRule="exact"/>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spacing w:before="100" w:beforeAutospacing="1" w:after="100" w:afterAutospacing="1"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spacing w:line="500" w:lineRule="exact"/>
        <w:jc w:val="center"/>
        <w:rPr>
          <w:rFonts w:hint="eastAsia" w:ascii="宋体" w:hAnsi="宋体" w:cs="宋体"/>
          <w:b/>
          <w:bCs/>
          <w:color w:val="auto"/>
          <w:sz w:val="30"/>
          <w:highlight w:val="none"/>
        </w:rPr>
      </w:pPr>
    </w:p>
    <w:p>
      <w:pPr>
        <w:spacing w:line="500" w:lineRule="exact"/>
        <w:jc w:val="center"/>
        <w:rPr>
          <w:rFonts w:hint="eastAsia" w:ascii="宋体" w:hAnsi="宋体" w:cs="宋体"/>
          <w:b/>
          <w:bCs/>
          <w:color w:val="auto"/>
          <w:sz w:val="30"/>
          <w:highlight w:val="none"/>
        </w:rPr>
      </w:pPr>
    </w:p>
    <w:p>
      <w:pPr>
        <w:spacing w:line="500" w:lineRule="exact"/>
        <w:jc w:val="center"/>
        <w:rPr>
          <w:rFonts w:hint="eastAsia" w:ascii="宋体" w:hAnsi="宋体" w:cs="宋体"/>
          <w:b/>
          <w:bCs/>
          <w:color w:val="auto"/>
          <w:sz w:val="30"/>
          <w:highlight w:val="none"/>
        </w:rPr>
      </w:pPr>
    </w:p>
    <w:p>
      <w:pPr>
        <w:pStyle w:val="17"/>
        <w:rPr>
          <w:rFonts w:hint="eastAsia" w:ascii="宋体" w:hAnsi="宋体" w:cs="宋体"/>
          <w:b/>
          <w:bCs/>
          <w:color w:val="auto"/>
          <w:sz w:val="30"/>
          <w:highlight w:val="none"/>
        </w:rPr>
      </w:pPr>
    </w:p>
    <w:p>
      <w:pPr>
        <w:rPr>
          <w:rFonts w:hint="eastAsia" w:ascii="宋体" w:hAnsi="宋体" w:cs="宋体"/>
          <w:b/>
          <w:bCs/>
          <w:color w:val="auto"/>
          <w:sz w:val="30"/>
          <w:highlight w:val="none"/>
        </w:rPr>
      </w:pPr>
    </w:p>
    <w:p>
      <w:pPr>
        <w:pStyle w:val="5"/>
        <w:rPr>
          <w:rFonts w:hint="eastAsia" w:hAnsi="宋体" w:cs="宋体"/>
          <w:color w:val="auto"/>
          <w:sz w:val="28"/>
          <w:highlight w:val="none"/>
        </w:rPr>
      </w:pPr>
      <w:bookmarkStart w:id="137" w:name="_Hlt533408409"/>
      <w:bookmarkEnd w:id="137"/>
      <w:bookmarkStart w:id="138" w:name="_Hlt509716873"/>
      <w:bookmarkEnd w:id="138"/>
      <w:bookmarkStart w:id="139" w:name="_Hlt519045798"/>
      <w:bookmarkEnd w:id="139"/>
      <w:bookmarkStart w:id="140" w:name="_Hlt533409360"/>
      <w:bookmarkEnd w:id="140"/>
      <w:bookmarkStart w:id="141" w:name="_Hlt533408916"/>
      <w:bookmarkEnd w:id="141"/>
      <w:bookmarkStart w:id="142" w:name="_Toc11175_WPSOffice_Level2"/>
      <w:bookmarkStart w:id="143" w:name="_Toc21649"/>
      <w:bookmarkStart w:id="144" w:name="_Toc516969097"/>
      <w:bookmarkStart w:id="145" w:name="_Toc40975450"/>
      <w:bookmarkStart w:id="146" w:name="_Toc197934563"/>
      <w:r>
        <w:rPr>
          <w:rFonts w:hint="eastAsia" w:hAnsi="宋体" w:cs="宋体"/>
          <w:color w:val="auto"/>
          <w:sz w:val="28"/>
          <w:highlight w:val="none"/>
        </w:rPr>
        <w:t>二．投标人综合情况简介</w:t>
      </w:r>
      <w:bookmarkEnd w:id="142"/>
      <w:bookmarkEnd w:id="143"/>
      <w:bookmarkEnd w:id="144"/>
      <w:bookmarkEnd w:id="145"/>
    </w:p>
    <w:p>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(投标人可自行制作格式)</w:t>
      </w:r>
    </w:p>
    <w:p>
      <w:pPr>
        <w:pStyle w:val="48"/>
        <w:rPr>
          <w:rFonts w:hint="eastAsia" w:ascii="宋体" w:hAnsi="宋体" w:eastAsia="宋体" w:cs="仿宋_GB2312"/>
          <w:b/>
          <w:bCs/>
          <w:color w:val="auto"/>
          <w:sz w:val="24"/>
          <w:szCs w:val="24"/>
          <w:highlight w:val="none"/>
          <w:lang w:eastAsia="zh-CN"/>
        </w:rPr>
      </w:pPr>
      <w:bookmarkStart w:id="147" w:name="_Toc7826"/>
      <w:r>
        <w:rPr>
          <w:rFonts w:hint="eastAsia" w:ascii="宋体" w:hAnsi="宋体" w:eastAsia="宋体" w:cs="仿宋_GB2312"/>
          <w:b/>
          <w:bCs/>
          <w:color w:val="auto"/>
          <w:sz w:val="24"/>
          <w:szCs w:val="24"/>
          <w:highlight w:val="none"/>
        </w:rPr>
        <w:t>营业执照；纳税凭证，社保缴纳凭证（依法免税或不需要缴纳社会保障资金的供应商应提供相应的证明文件）</w:t>
      </w:r>
      <w:r>
        <w:rPr>
          <w:rFonts w:hint="eastAsia" w:ascii="宋体" w:hAnsi="宋体" w:eastAsia="宋体" w:cs="仿宋_GB2312"/>
          <w:b/>
          <w:bCs/>
          <w:color w:val="auto"/>
          <w:sz w:val="24"/>
          <w:szCs w:val="24"/>
          <w:highlight w:val="none"/>
          <w:lang w:eastAsia="zh-CN"/>
        </w:rPr>
        <w:t>；</w:t>
      </w:r>
      <w:r>
        <w:rPr>
          <w:rFonts w:hint="eastAsia" w:ascii="宋体" w:hAnsi="宋体" w:eastAsia="宋体" w:cs="仿宋_GB2312"/>
          <w:b/>
          <w:bCs/>
          <w:color w:val="auto"/>
          <w:sz w:val="24"/>
          <w:szCs w:val="24"/>
          <w:highlight w:val="none"/>
        </w:rPr>
        <w:t>财务审计报告；信用中国、中国政府采购网查询截图；参加政府采购活动前三年内，在经营活动中没有重大违法记录书面声明等材料</w:t>
      </w:r>
      <w:r>
        <w:rPr>
          <w:rFonts w:hint="eastAsia" w:ascii="宋体" w:hAnsi="宋体" w:eastAsia="宋体" w:cs="仿宋_GB2312"/>
          <w:b/>
          <w:bCs/>
          <w:color w:val="auto"/>
          <w:sz w:val="24"/>
          <w:szCs w:val="24"/>
          <w:highlight w:val="none"/>
          <w:lang w:eastAsia="zh-CN"/>
        </w:rPr>
        <w:t>；</w:t>
      </w:r>
      <w:bookmarkEnd w:id="147"/>
      <w:bookmarkStart w:id="148" w:name="_Toc144974880"/>
      <w:bookmarkStart w:id="149" w:name="_Toc152045812"/>
      <w:bookmarkStart w:id="150" w:name="_Toc251248817"/>
      <w:bookmarkStart w:id="151" w:name="_Toc459216757"/>
      <w:bookmarkStart w:id="152" w:name="_Toc152042601"/>
    </w:p>
    <w:p>
      <w:pPr>
        <w:tabs>
          <w:tab w:val="left" w:pos="1035"/>
        </w:tabs>
        <w:spacing w:line="500" w:lineRule="exact"/>
        <w:ind w:firstLine="361" w:firstLineChars="150"/>
        <w:rPr>
          <w:rFonts w:hint="eastAsia" w:ascii="宋体" w:hAnsi="宋体" w:eastAsia="宋体" w:cs="仿宋_GB2312"/>
          <w:b/>
          <w:bCs/>
          <w:color w:val="auto"/>
          <w:sz w:val="24"/>
          <w:szCs w:val="24"/>
          <w:highlight w:val="none"/>
          <w:lang w:val="zh-CN" w:eastAsia="zh-CN" w:bidi="zh-CN"/>
        </w:rPr>
      </w:pPr>
      <w:r>
        <w:rPr>
          <w:rFonts w:hint="eastAsia" w:ascii="宋体" w:hAnsi="宋体" w:eastAsia="宋体" w:cs="仿宋_GB2312"/>
          <w:b/>
          <w:bCs/>
          <w:color w:val="auto"/>
          <w:sz w:val="24"/>
          <w:szCs w:val="24"/>
          <w:highlight w:val="none"/>
        </w:rPr>
        <w:t>近年发生的诉讼及仲裁情况</w:t>
      </w:r>
      <w:bookmarkEnd w:id="148"/>
      <w:bookmarkEnd w:id="149"/>
      <w:bookmarkEnd w:id="150"/>
      <w:bookmarkEnd w:id="151"/>
      <w:bookmarkEnd w:id="152"/>
      <w:r>
        <w:rPr>
          <w:rFonts w:hint="eastAsia" w:ascii="宋体" w:hAnsi="宋体" w:eastAsia="宋体" w:cs="仿宋_GB2312"/>
          <w:b/>
          <w:bCs/>
          <w:color w:val="auto"/>
          <w:sz w:val="24"/>
          <w:szCs w:val="24"/>
          <w:highlight w:val="none"/>
          <w:lang w:eastAsia="zh-CN"/>
        </w:rPr>
        <w:t>：</w:t>
      </w:r>
      <w:r>
        <w:rPr>
          <w:rFonts w:hint="eastAsia" w:ascii="宋体" w:hAnsi="宋体" w:eastAsia="宋体" w:cs="仿宋_GB2312"/>
          <w:b/>
          <w:bCs/>
          <w:color w:val="auto"/>
          <w:sz w:val="24"/>
          <w:szCs w:val="24"/>
          <w:highlight w:val="none"/>
          <w:lang w:val="zh-CN" w:eastAsia="zh-CN" w:bidi="zh-CN"/>
        </w:rPr>
        <w:t>投标人应提供其近三年诉讼情况说明</w:t>
      </w:r>
      <w:r>
        <w:rPr>
          <w:rFonts w:hint="eastAsia" w:ascii="宋体" w:hAnsi="宋体" w:cs="仿宋_GB2312"/>
          <w:b/>
          <w:bCs/>
          <w:color w:val="auto"/>
          <w:sz w:val="24"/>
          <w:szCs w:val="24"/>
          <w:highlight w:val="none"/>
          <w:lang w:val="zh-CN" w:eastAsia="zh-CN" w:bidi="zh-CN"/>
        </w:rPr>
        <w:t>。</w:t>
      </w:r>
    </w:p>
    <w:p>
      <w:pPr>
        <w:spacing w:line="500" w:lineRule="exact"/>
        <w:jc w:val="center"/>
        <w:rPr>
          <w:rFonts w:hint="eastAsia" w:ascii="宋体" w:hAnsi="宋体" w:cs="宋体"/>
          <w:color w:val="auto"/>
          <w:sz w:val="28"/>
          <w:highlight w:val="none"/>
        </w:rPr>
      </w:pPr>
    </w:p>
    <w:p>
      <w:pPr>
        <w:spacing w:line="500" w:lineRule="exact"/>
        <w:jc w:val="center"/>
        <w:rPr>
          <w:rFonts w:hint="eastAsia" w:ascii="宋体" w:hAnsi="宋体" w:cs="宋体"/>
          <w:color w:val="auto"/>
          <w:sz w:val="28"/>
          <w:highlight w:val="none"/>
        </w:rPr>
      </w:pPr>
    </w:p>
    <w:p>
      <w:pPr>
        <w:spacing w:line="500" w:lineRule="exact"/>
        <w:jc w:val="center"/>
        <w:rPr>
          <w:rFonts w:hint="eastAsia" w:ascii="宋体" w:hAnsi="宋体" w:cs="宋体"/>
          <w:color w:val="auto"/>
          <w:sz w:val="28"/>
          <w:highlight w:val="none"/>
        </w:rPr>
        <w:sectPr>
          <w:pgSz w:w="11906" w:h="16838"/>
          <w:pgMar w:top="1389" w:right="1304" w:bottom="1440" w:left="1304" w:header="851" w:footer="992" w:gutter="0"/>
          <w:cols w:space="720" w:num="1"/>
          <w:rtlGutter w:val="0"/>
          <w:docGrid w:linePitch="312" w:charSpace="0"/>
        </w:sectPr>
      </w:pPr>
    </w:p>
    <w:p>
      <w:pPr>
        <w:pStyle w:val="5"/>
        <w:spacing w:after="240"/>
        <w:rPr>
          <w:rFonts w:hint="eastAsia" w:hAnsi="宋体" w:cs="宋体"/>
          <w:color w:val="auto"/>
          <w:sz w:val="28"/>
          <w:highlight w:val="none"/>
        </w:rPr>
      </w:pPr>
      <w:bookmarkStart w:id="153" w:name="_Toc8885"/>
      <w:r>
        <w:rPr>
          <w:rFonts w:hint="eastAsia" w:hAnsi="宋体" w:cs="宋体"/>
          <w:color w:val="auto"/>
          <w:sz w:val="28"/>
          <w:highlight w:val="none"/>
        </w:rPr>
        <w:t>三．</w:t>
      </w:r>
      <w:bookmarkStart w:id="154" w:name="_Toc516969098"/>
      <w:bookmarkStart w:id="155" w:name="_Toc40975451"/>
      <w:bookmarkStart w:id="156" w:name="_Toc1391_WPSOffice_Level2"/>
      <w:r>
        <w:rPr>
          <w:rFonts w:hint="eastAsia" w:hAnsi="宋体" w:cs="宋体"/>
          <w:color w:val="auto"/>
          <w:sz w:val="28"/>
          <w:highlight w:val="none"/>
        </w:rPr>
        <w:t>投标函</w:t>
      </w:r>
      <w:bookmarkEnd w:id="153"/>
      <w:bookmarkEnd w:id="154"/>
      <w:bookmarkEnd w:id="155"/>
      <w:bookmarkEnd w:id="156"/>
    </w:p>
    <w:p>
      <w:pPr>
        <w:pStyle w:val="13"/>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eastAsia="宋体" w:cs="宋体"/>
          <w:b w:val="0"/>
          <w:color w:val="auto"/>
          <w:kern w:val="2"/>
          <w:sz w:val="24"/>
          <w:highlight w:val="none"/>
          <w:lang w:val="en-US" w:eastAsia="zh-CN" w:bidi="ar-SA"/>
        </w:rPr>
        <w:t>（采购人或采购代理机构）</w:t>
      </w:r>
    </w:p>
    <w:p>
      <w:pPr>
        <w:spacing w:line="360" w:lineRule="auto"/>
        <w:ind w:left="239" w:leftChars="114" w:firstLine="386" w:firstLineChars="161"/>
        <w:rPr>
          <w:rFonts w:hint="eastAsia" w:ascii="宋体" w:hAnsi="宋体" w:cs="宋体"/>
          <w:b/>
          <w:bCs/>
          <w:color w:val="auto"/>
          <w:sz w:val="24"/>
          <w:highlight w:val="none"/>
          <w:u w:val="single"/>
        </w:rPr>
      </w:pPr>
      <w:r>
        <w:rPr>
          <w:rFonts w:hint="eastAsia" w:ascii="宋体" w:hAnsi="宋体" w:cs="宋体"/>
          <w:color w:val="auto"/>
          <w:sz w:val="24"/>
          <w:highlight w:val="none"/>
        </w:rPr>
        <w:t>根据</w:t>
      </w:r>
      <w:r>
        <w:rPr>
          <w:rFonts w:hint="eastAsia" w:ascii="宋体" w:hAnsi="宋体" w:eastAsia="宋体" w:cs="宋体"/>
          <w:color w:val="auto"/>
          <w:sz w:val="24"/>
          <w:highlight w:val="none"/>
        </w:rPr>
        <w:t>贵方“</w:t>
      </w:r>
      <w:r>
        <w:rPr>
          <w:rFonts w:hint="eastAsia" w:ascii="宋体" w:hAnsi="宋体" w:eastAsia="宋体" w:cs="宋体"/>
          <w:color w:val="auto"/>
          <w:sz w:val="24"/>
          <w:highlight w:val="none"/>
          <w:lang w:val="en-US" w:eastAsia="zh-CN"/>
        </w:rPr>
        <w:t>项目名称、项目编号</w:t>
      </w:r>
      <w:r>
        <w:rPr>
          <w:rFonts w:hint="eastAsia" w:ascii="宋体" w:hAnsi="宋体" w:eastAsia="宋体" w:cs="宋体"/>
          <w:color w:val="auto"/>
          <w:sz w:val="24"/>
          <w:highlight w:val="none"/>
        </w:rPr>
        <w:t>”项</w:t>
      </w:r>
      <w:r>
        <w:rPr>
          <w:rFonts w:hint="eastAsia" w:ascii="宋体" w:hAnsi="宋体" w:cs="宋体"/>
          <w:color w:val="auto"/>
          <w:sz w:val="24"/>
          <w:highlight w:val="none"/>
        </w:rPr>
        <w:t>目招标邀请书或招标公告，正式授权下述签字人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（投标人全称），提交规定形式的投标文件。</w:t>
      </w:r>
    </w:p>
    <w:p>
      <w:pPr>
        <w:spacing w:line="360" w:lineRule="auto"/>
        <w:ind w:firstLine="630"/>
        <w:rPr>
          <w:rFonts w:hint="eastAsia" w:ascii="宋体" w:hAnsi="宋体" w:cs="宋体"/>
          <w:color w:val="auto"/>
          <w:sz w:val="24"/>
          <w:highlight w:val="none"/>
        </w:rPr>
      </w:pPr>
      <w:r>
        <w:rPr>
          <w:rFonts w:hint="eastAsia" w:ascii="宋体" w:hAnsi="宋体" w:cs="宋体"/>
          <w:color w:val="auto"/>
          <w:sz w:val="24"/>
          <w:highlight w:val="none"/>
        </w:rPr>
        <w:t>据此函，我方兹宣布同意如下：</w:t>
      </w:r>
    </w:p>
    <w:p>
      <w:pPr>
        <w:spacing w:line="360" w:lineRule="auto"/>
        <w:ind w:firstLine="630"/>
        <w:rPr>
          <w:rFonts w:hint="eastAsia" w:ascii="宋体" w:hAnsi="宋体" w:cs="宋体"/>
          <w:color w:val="auto"/>
          <w:sz w:val="24"/>
          <w:highlight w:val="none"/>
        </w:rPr>
      </w:pPr>
      <w:r>
        <w:rPr>
          <w:rFonts w:hint="eastAsia" w:ascii="宋体" w:hAnsi="宋体" w:cs="宋体"/>
          <w:color w:val="auto"/>
          <w:sz w:val="24"/>
          <w:highlight w:val="none"/>
        </w:rPr>
        <w:t>（1）如我公司中标，愿意按招标文件规定提供交付货物（包括安装调试等工作）的总报价为人民币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元，供货期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630"/>
        <w:rPr>
          <w:rFonts w:hint="eastAsia" w:ascii="宋体" w:hAnsi="宋体" w:cs="宋体"/>
          <w:color w:val="auto"/>
          <w:sz w:val="24"/>
          <w:highlight w:val="none"/>
        </w:rPr>
      </w:pPr>
      <w:r>
        <w:rPr>
          <w:rFonts w:hint="eastAsia" w:ascii="宋体" w:hAnsi="宋体" w:cs="宋体"/>
          <w:color w:val="auto"/>
          <w:sz w:val="24"/>
          <w:highlight w:val="none"/>
        </w:rPr>
        <w:t>（2）我方根据招标文件的规定，严格履行合同的责任和义务,并保证于买方要求的日期内完成供货、安装及服务，并通过买方验收。</w:t>
      </w:r>
    </w:p>
    <w:p>
      <w:pPr>
        <w:spacing w:line="360" w:lineRule="auto"/>
        <w:ind w:firstLine="630"/>
        <w:rPr>
          <w:rFonts w:hint="eastAsia" w:ascii="宋体" w:hAnsi="宋体" w:cs="宋体"/>
          <w:color w:val="auto"/>
          <w:sz w:val="24"/>
          <w:highlight w:val="none"/>
        </w:rPr>
      </w:pPr>
      <w:r>
        <w:rPr>
          <w:rFonts w:hint="eastAsia" w:ascii="宋体" w:hAnsi="宋体" w:cs="宋体"/>
          <w:color w:val="auto"/>
          <w:sz w:val="24"/>
          <w:highlight w:val="none"/>
        </w:rPr>
        <w:t>（3）我方承诺报价低于同类货物和服务的市场平均价格。</w:t>
      </w:r>
    </w:p>
    <w:p>
      <w:pPr>
        <w:spacing w:line="360" w:lineRule="auto"/>
        <w:ind w:firstLine="630"/>
        <w:rPr>
          <w:rFonts w:hint="eastAsia" w:ascii="宋体" w:hAnsi="宋体" w:cs="宋体"/>
          <w:color w:val="auto"/>
          <w:sz w:val="24"/>
          <w:highlight w:val="none"/>
        </w:rPr>
      </w:pPr>
      <w:r>
        <w:rPr>
          <w:rFonts w:hint="eastAsia" w:ascii="宋体" w:hAnsi="宋体" w:cs="宋体"/>
          <w:color w:val="auto"/>
          <w:sz w:val="24"/>
          <w:highlight w:val="none"/>
        </w:rPr>
        <w:t>（4）我方已详细审核全部招标文件，包括招标文件修改书（如有），参考资料及有关附件，我方正式认可本次招标文件，并对招标文件各项条款（包括开标时间）均无异议。我方知道必须放弃提出含糊不清或误解的问题的权利。</w:t>
      </w:r>
    </w:p>
    <w:p>
      <w:pPr>
        <w:spacing w:line="360" w:lineRule="auto"/>
        <w:ind w:firstLine="630"/>
        <w:rPr>
          <w:rFonts w:hint="eastAsia" w:ascii="宋体" w:hAnsi="宋体" w:cs="宋体"/>
          <w:color w:val="auto"/>
          <w:sz w:val="24"/>
          <w:highlight w:val="none"/>
        </w:rPr>
      </w:pPr>
      <w:r>
        <w:rPr>
          <w:rFonts w:hint="eastAsia" w:ascii="宋体" w:hAnsi="宋体" w:cs="宋体"/>
          <w:color w:val="auto"/>
          <w:sz w:val="24"/>
          <w:highlight w:val="none"/>
        </w:rPr>
        <w:t>（5）我方同意从招标文件规定的开标日期起遵循本投标文件，并在招标文件规定的投标有效期之前均具有约束力。</w:t>
      </w:r>
    </w:p>
    <w:p>
      <w:pPr>
        <w:spacing w:line="360" w:lineRule="auto"/>
        <w:ind w:firstLine="630"/>
        <w:rPr>
          <w:rFonts w:hint="eastAsia" w:ascii="宋体" w:hAnsi="宋体" w:cs="宋体"/>
          <w:color w:val="auto"/>
          <w:sz w:val="24"/>
          <w:highlight w:val="none"/>
        </w:rPr>
      </w:pPr>
      <w:r>
        <w:rPr>
          <w:rFonts w:hint="eastAsia" w:ascii="宋体" w:hAnsi="宋体" w:cs="宋体"/>
          <w:color w:val="auto"/>
          <w:sz w:val="24"/>
          <w:highlight w:val="none"/>
        </w:rPr>
        <w:t>（6）我方声明投标文件所提供的一切资料及周口市公共资源交易中心会员库申报资料均真实、及时、有效。由于我方提供资料不实而造成的责任和后果由我方承担。我方同意按照贵方提出的要求，提供与投标有关的任何证据、数据或资料。</w:t>
      </w:r>
    </w:p>
    <w:p>
      <w:pPr>
        <w:spacing w:line="360" w:lineRule="auto"/>
        <w:ind w:firstLine="630"/>
        <w:rPr>
          <w:rFonts w:hint="eastAsia" w:ascii="宋体" w:hAnsi="宋体" w:cs="宋体"/>
          <w:color w:val="auto"/>
          <w:sz w:val="24"/>
          <w:highlight w:val="none"/>
        </w:rPr>
      </w:pPr>
      <w:r>
        <w:rPr>
          <w:rFonts w:hint="eastAsia" w:ascii="宋体" w:hAnsi="宋体" w:cs="宋体"/>
          <w:color w:val="auto"/>
          <w:sz w:val="24"/>
          <w:highlight w:val="none"/>
        </w:rPr>
        <w:t>（7）我方完全理解贵方不一定接受最低报价的投标。</w:t>
      </w:r>
    </w:p>
    <w:p>
      <w:pPr>
        <w:spacing w:line="360" w:lineRule="auto"/>
        <w:ind w:firstLine="630"/>
        <w:rPr>
          <w:rFonts w:hint="eastAsia" w:ascii="宋体" w:hAnsi="宋体" w:cs="宋体"/>
          <w:color w:val="auto"/>
          <w:sz w:val="24"/>
          <w:highlight w:val="none"/>
        </w:rPr>
      </w:pPr>
      <w:r>
        <w:rPr>
          <w:rFonts w:hint="eastAsia" w:ascii="宋体" w:hAnsi="宋体" w:cs="宋体"/>
          <w:color w:val="auto"/>
          <w:sz w:val="24"/>
          <w:highlight w:val="none"/>
        </w:rPr>
        <w:t>（8）我方同意招标文件规定的付款方式。</w:t>
      </w:r>
    </w:p>
    <w:p>
      <w:pPr>
        <w:spacing w:line="360" w:lineRule="auto"/>
        <w:ind w:firstLine="630"/>
        <w:rPr>
          <w:rFonts w:hint="eastAsia" w:ascii="宋体" w:hAnsi="宋体" w:cs="宋体"/>
          <w:color w:val="auto"/>
          <w:sz w:val="24"/>
          <w:highlight w:val="none"/>
          <w:u w:val="single"/>
        </w:rPr>
      </w:pPr>
      <w:r>
        <w:rPr>
          <w:rFonts w:hint="eastAsia" w:ascii="宋体" w:hAnsi="宋体" w:cs="宋体"/>
          <w:color w:val="auto"/>
          <w:sz w:val="24"/>
          <w:highlight w:val="none"/>
        </w:rPr>
        <w:t>（9）与本投标有关的通讯地址：</w:t>
      </w:r>
      <w:r>
        <w:rPr>
          <w:rFonts w:hint="eastAsia" w:ascii="宋体" w:hAnsi="宋体" w:cs="宋体"/>
          <w:color w:val="auto"/>
          <w:sz w:val="24"/>
          <w:highlight w:val="none"/>
          <w:u w:val="single"/>
        </w:rPr>
        <w:t xml:space="preserve">                                  </w:t>
      </w:r>
    </w:p>
    <w:p>
      <w:pPr>
        <w:pStyle w:val="39"/>
        <w:ind w:firstLine="720" w:firstLineChars="300"/>
        <w:rPr>
          <w:rFonts w:hint="default"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（10）本项目项目责任人：   电话：</w:t>
      </w:r>
    </w:p>
    <w:p>
      <w:pPr>
        <w:spacing w:line="380" w:lineRule="exact"/>
        <w:ind w:firstLine="3600" w:firstLineChars="1500"/>
        <w:rPr>
          <w:rFonts w:hint="eastAsia" w:ascii="宋体" w:hAnsi="宋体" w:cs="宋体"/>
          <w:color w:val="auto"/>
          <w:sz w:val="24"/>
          <w:highlight w:val="none"/>
        </w:rPr>
      </w:pPr>
    </w:p>
    <w:p>
      <w:pPr>
        <w:spacing w:line="380" w:lineRule="exact"/>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b w:val="0"/>
          <w:bCs w:val="0"/>
          <w:color w:val="auto"/>
          <w:sz w:val="24"/>
          <w:szCs w:val="28"/>
          <w:highlight w:val="none"/>
          <w:lang w:val="en-US" w:eastAsia="zh-CN"/>
        </w:rPr>
        <w:t>签章</w:t>
      </w:r>
      <w:r>
        <w:rPr>
          <w:rFonts w:hint="eastAsia" w:ascii="宋体" w:hAnsi="宋体" w:cs="宋体"/>
          <w:color w:val="auto"/>
          <w:sz w:val="24"/>
          <w:highlight w:val="none"/>
        </w:rPr>
        <w:t>）</w:t>
      </w:r>
    </w:p>
    <w:p>
      <w:pPr>
        <w:spacing w:line="380" w:lineRule="exact"/>
        <w:ind w:right="640" w:firstLine="1560" w:firstLineChars="650"/>
        <w:rPr>
          <w:rFonts w:hint="eastAsia" w:ascii="宋体" w:hAnsi="宋体" w:cs="宋体"/>
          <w:color w:val="auto"/>
          <w:sz w:val="24"/>
          <w:highlight w:val="none"/>
        </w:rPr>
      </w:pPr>
    </w:p>
    <w:p>
      <w:pPr>
        <w:spacing w:line="380" w:lineRule="exact"/>
        <w:ind w:right="640" w:firstLine="3600" w:firstLineChars="1500"/>
        <w:rPr>
          <w:rFonts w:hint="eastAsia" w:ascii="宋体" w:hAnsi="宋体" w:cs="宋体"/>
          <w:color w:val="auto"/>
          <w:sz w:val="24"/>
          <w:highlight w:val="none"/>
        </w:rPr>
      </w:pPr>
      <w:r>
        <w:rPr>
          <w:rFonts w:hint="eastAsia" w:ascii="宋体" w:hAnsi="宋体" w:cs="宋体"/>
          <w:color w:val="auto"/>
          <w:sz w:val="24"/>
          <w:highlight w:val="none"/>
        </w:rPr>
        <w:t>法人代表：（签</w:t>
      </w:r>
      <w:r>
        <w:rPr>
          <w:rFonts w:hint="eastAsia" w:ascii="宋体" w:hAnsi="宋体" w:cs="宋体"/>
          <w:color w:val="auto"/>
          <w:sz w:val="24"/>
          <w:highlight w:val="none"/>
          <w:lang w:val="en-US" w:eastAsia="zh-CN"/>
        </w:rPr>
        <w:t>字</w:t>
      </w:r>
      <w:r>
        <w:rPr>
          <w:rFonts w:hint="eastAsia" w:ascii="宋体" w:hAnsi="宋体" w:cs="宋体"/>
          <w:color w:val="auto"/>
          <w:sz w:val="24"/>
          <w:highlight w:val="none"/>
        </w:rPr>
        <w:t>）</w:t>
      </w:r>
    </w:p>
    <w:p>
      <w:pPr>
        <w:spacing w:line="380" w:lineRule="exact"/>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pStyle w:val="5"/>
        <w:rPr>
          <w:rFonts w:hint="eastAsia" w:hAnsi="宋体" w:cs="宋体"/>
          <w:color w:val="auto"/>
          <w:sz w:val="28"/>
          <w:szCs w:val="36"/>
          <w:highlight w:val="none"/>
        </w:rPr>
      </w:pPr>
      <w:r>
        <w:rPr>
          <w:rFonts w:hint="eastAsia" w:ascii="宋体" w:hAnsi="宋体" w:eastAsia="宋体" w:cs="宋体"/>
          <w:b/>
          <w:color w:val="auto"/>
          <w:kern w:val="0"/>
          <w:sz w:val="32"/>
          <w:szCs w:val="32"/>
          <w:highlight w:val="none"/>
          <w:lang w:val="en-US" w:eastAsia="zh-CN"/>
        </w:rPr>
        <w:t xml:space="preserve"> </w:t>
      </w:r>
      <w:bookmarkEnd w:id="146"/>
      <w:bookmarkStart w:id="157" w:name="_Toc24077_WPSOffice_Level2"/>
      <w:bookmarkStart w:id="158" w:name="_Toc40975452"/>
      <w:bookmarkStart w:id="159" w:name="_Toc220232409"/>
      <w:bookmarkStart w:id="160" w:name="_Toc18759"/>
      <w:r>
        <w:rPr>
          <w:rFonts w:hint="eastAsia" w:hAnsi="宋体" w:cs="宋体"/>
          <w:color w:val="auto"/>
          <w:sz w:val="28"/>
          <w:highlight w:val="none"/>
        </w:rPr>
        <w:t>四．投标分项报价表</w:t>
      </w:r>
      <w:bookmarkEnd w:id="157"/>
      <w:bookmarkEnd w:id="158"/>
      <w:bookmarkEnd w:id="159"/>
      <w:bookmarkEnd w:id="160"/>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noWrap w:val="0"/>
            <w:vAlign w:val="center"/>
          </w:tcPr>
          <w:p>
            <w:pPr>
              <w:pStyle w:val="49"/>
              <w:widowControl w:val="0"/>
              <w:spacing w:before="0" w:beforeAutospacing="0" w:after="0" w:afterAutospacing="0"/>
              <w:rPr>
                <w:rFonts w:hint="eastAsia" w:cs="宋体"/>
                <w:bCs w:val="0"/>
                <w:color w:val="auto"/>
                <w:kern w:val="2"/>
                <w:sz w:val="24"/>
                <w:szCs w:val="20"/>
                <w:highlight w:val="none"/>
              </w:rPr>
            </w:pPr>
            <w:r>
              <w:rPr>
                <w:rFonts w:hint="eastAsia" w:cs="宋体"/>
                <w:bCs w:val="0"/>
                <w:color w:val="auto"/>
                <w:kern w:val="2"/>
                <w:sz w:val="24"/>
                <w:szCs w:val="20"/>
                <w:highlight w:val="none"/>
              </w:rPr>
              <w:t>序号</w:t>
            </w:r>
          </w:p>
        </w:tc>
        <w:tc>
          <w:tcPr>
            <w:tcW w:w="2205" w:type="dxa"/>
            <w:noWrap w:val="0"/>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品名品牌、规格型号、原产地及生产厂家</w:t>
            </w:r>
          </w:p>
        </w:tc>
        <w:tc>
          <w:tcPr>
            <w:tcW w:w="957" w:type="dxa"/>
            <w:noWrap w:val="0"/>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单位</w:t>
            </w:r>
          </w:p>
        </w:tc>
        <w:tc>
          <w:tcPr>
            <w:tcW w:w="840" w:type="dxa"/>
            <w:noWrap w:val="0"/>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1260" w:type="dxa"/>
            <w:noWrap w:val="0"/>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单价</w:t>
            </w:r>
          </w:p>
        </w:tc>
        <w:tc>
          <w:tcPr>
            <w:tcW w:w="1340" w:type="dxa"/>
            <w:noWrap w:val="0"/>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小计</w:t>
            </w:r>
          </w:p>
        </w:tc>
        <w:tc>
          <w:tcPr>
            <w:tcW w:w="922" w:type="dxa"/>
            <w:noWrap w:val="0"/>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noWrap w:val="0"/>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205" w:type="dxa"/>
            <w:noWrap w:val="0"/>
            <w:vAlign w:val="top"/>
          </w:tcPr>
          <w:p>
            <w:pPr>
              <w:rPr>
                <w:rFonts w:hint="eastAsia" w:ascii="宋体" w:hAnsi="宋体" w:cs="宋体"/>
                <w:color w:val="auto"/>
                <w:sz w:val="24"/>
                <w:highlight w:val="none"/>
              </w:rPr>
            </w:pP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noWrap w:val="0"/>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205" w:type="dxa"/>
            <w:noWrap w:val="0"/>
            <w:vAlign w:val="top"/>
          </w:tcPr>
          <w:p>
            <w:pPr>
              <w:rPr>
                <w:rFonts w:hint="eastAsia" w:ascii="宋体" w:hAnsi="宋体" w:cs="宋体"/>
                <w:color w:val="auto"/>
                <w:sz w:val="24"/>
                <w:highlight w:val="none"/>
              </w:rPr>
            </w:pP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205" w:type="dxa"/>
            <w:noWrap w:val="0"/>
            <w:vAlign w:val="top"/>
          </w:tcPr>
          <w:p>
            <w:pPr>
              <w:rPr>
                <w:rFonts w:hint="eastAsia" w:ascii="宋体" w:hAnsi="宋体" w:cs="宋体"/>
                <w:color w:val="auto"/>
                <w:sz w:val="24"/>
                <w:highlight w:val="none"/>
              </w:rPr>
            </w:pP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noWrap w:val="0"/>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205" w:type="dxa"/>
            <w:noWrap w:val="0"/>
            <w:vAlign w:val="top"/>
          </w:tcPr>
          <w:p>
            <w:pPr>
              <w:rPr>
                <w:rFonts w:hint="eastAsia" w:ascii="宋体" w:hAnsi="宋体" w:cs="宋体"/>
                <w:color w:val="auto"/>
                <w:sz w:val="24"/>
                <w:highlight w:val="none"/>
              </w:rPr>
            </w:pP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2205" w:type="dxa"/>
            <w:noWrap w:val="0"/>
            <w:vAlign w:val="top"/>
          </w:tcPr>
          <w:p>
            <w:pPr>
              <w:rPr>
                <w:rFonts w:hint="eastAsia" w:ascii="宋体" w:hAnsi="宋体" w:cs="宋体"/>
                <w:color w:val="auto"/>
                <w:sz w:val="24"/>
                <w:highlight w:val="none"/>
              </w:rPr>
            </w:pP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noWrap w:val="0"/>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2205" w:type="dxa"/>
            <w:noWrap w:val="0"/>
            <w:vAlign w:val="top"/>
          </w:tcPr>
          <w:p>
            <w:pPr>
              <w:rPr>
                <w:rFonts w:hint="eastAsia" w:ascii="宋体" w:hAnsi="宋体" w:cs="宋体"/>
                <w:color w:val="auto"/>
                <w:sz w:val="24"/>
                <w:highlight w:val="none"/>
              </w:rPr>
            </w:pP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2205" w:type="dxa"/>
            <w:noWrap w:val="0"/>
            <w:vAlign w:val="top"/>
          </w:tcPr>
          <w:p>
            <w:pPr>
              <w:rPr>
                <w:rFonts w:hint="eastAsia" w:ascii="宋体" w:hAnsi="宋体" w:cs="宋体"/>
                <w:color w:val="auto"/>
                <w:sz w:val="24"/>
                <w:highlight w:val="none"/>
              </w:rPr>
            </w:pP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noWrap w:val="0"/>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2205" w:type="dxa"/>
            <w:noWrap w:val="0"/>
            <w:vAlign w:val="top"/>
          </w:tcPr>
          <w:p>
            <w:pPr>
              <w:rPr>
                <w:rFonts w:hint="eastAsia" w:ascii="宋体" w:hAnsi="宋体" w:cs="宋体"/>
                <w:color w:val="auto"/>
                <w:sz w:val="24"/>
                <w:highlight w:val="none"/>
              </w:rPr>
            </w:pP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2205" w:type="dxa"/>
            <w:noWrap w:val="0"/>
            <w:vAlign w:val="top"/>
          </w:tcPr>
          <w:p>
            <w:pPr>
              <w:rPr>
                <w:rFonts w:hint="eastAsia" w:ascii="宋体" w:hAnsi="宋体" w:cs="宋体"/>
                <w:color w:val="auto"/>
                <w:sz w:val="24"/>
                <w:highlight w:val="none"/>
              </w:rPr>
            </w:pP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2205" w:type="dxa"/>
            <w:noWrap w:val="0"/>
            <w:vAlign w:val="top"/>
          </w:tcPr>
          <w:p>
            <w:pPr>
              <w:rPr>
                <w:rFonts w:hint="eastAsia" w:ascii="宋体" w:hAnsi="宋体" w:cs="宋体"/>
                <w:color w:val="auto"/>
                <w:sz w:val="24"/>
                <w:highlight w:val="none"/>
              </w:rPr>
            </w:pP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2205" w:type="dxa"/>
            <w:noWrap w:val="0"/>
            <w:vAlign w:val="top"/>
          </w:tcPr>
          <w:p>
            <w:pPr>
              <w:rPr>
                <w:rFonts w:hint="eastAsia" w:ascii="宋体" w:hAnsi="宋体" w:cs="宋体"/>
                <w:color w:val="auto"/>
                <w:sz w:val="24"/>
                <w:highlight w:val="none"/>
              </w:rPr>
            </w:pP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2205" w:type="dxa"/>
            <w:noWrap w:val="0"/>
            <w:vAlign w:val="top"/>
          </w:tcPr>
          <w:p>
            <w:pPr>
              <w:rPr>
                <w:rFonts w:hint="eastAsia" w:ascii="宋体" w:hAnsi="宋体" w:cs="宋体"/>
                <w:color w:val="auto"/>
                <w:sz w:val="24"/>
                <w:highlight w:val="none"/>
              </w:rPr>
            </w:pP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2205" w:type="dxa"/>
            <w:noWrap w:val="0"/>
            <w:vAlign w:val="top"/>
          </w:tcPr>
          <w:p>
            <w:pPr>
              <w:rPr>
                <w:rFonts w:hint="eastAsia" w:ascii="宋体" w:hAnsi="宋体" w:cs="宋体"/>
                <w:color w:val="auto"/>
                <w:sz w:val="24"/>
                <w:highlight w:val="none"/>
              </w:rPr>
            </w:pP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jc w:val="center"/>
              <w:rPr>
                <w:rFonts w:hint="eastAsia" w:ascii="宋体" w:hAnsi="宋体" w:cs="宋体"/>
                <w:color w:val="auto"/>
                <w:sz w:val="24"/>
                <w:highlight w:val="none"/>
              </w:rPr>
            </w:pPr>
          </w:p>
        </w:tc>
        <w:tc>
          <w:tcPr>
            <w:tcW w:w="2205" w:type="dxa"/>
            <w:noWrap w:val="0"/>
            <w:vAlign w:val="center"/>
          </w:tcPr>
          <w:p>
            <w:pPr>
              <w:pStyle w:val="47"/>
              <w:rPr>
                <w:rFonts w:hint="eastAsia" w:ascii="宋体" w:hAnsi="宋体" w:cs="宋体"/>
                <w:color w:val="auto"/>
                <w:highlight w:val="none"/>
              </w:rPr>
            </w:pPr>
            <w:r>
              <w:rPr>
                <w:rFonts w:hint="eastAsia" w:ascii="宋体" w:hAnsi="宋体" w:cs="宋体"/>
                <w:color w:val="auto"/>
                <w:highlight w:val="none"/>
              </w:rPr>
              <w:t>其他费用</w:t>
            </w: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jc w:val="center"/>
              <w:rPr>
                <w:rFonts w:hint="eastAsia" w:ascii="宋体" w:hAnsi="宋体" w:cs="宋体"/>
                <w:color w:val="auto"/>
                <w:sz w:val="24"/>
                <w:highlight w:val="none"/>
              </w:rPr>
            </w:pPr>
          </w:p>
        </w:tc>
        <w:tc>
          <w:tcPr>
            <w:tcW w:w="2205" w:type="dxa"/>
            <w:noWrap w:val="0"/>
            <w:vAlign w:val="center"/>
          </w:tcPr>
          <w:p>
            <w:pPr>
              <w:pStyle w:val="47"/>
              <w:rPr>
                <w:rFonts w:hint="eastAsia" w:ascii="宋体" w:hAnsi="宋体" w:cs="宋体"/>
                <w:color w:val="auto"/>
                <w:highlight w:val="none"/>
              </w:rPr>
            </w:pPr>
            <w:r>
              <w:rPr>
                <w:rFonts w:hint="eastAsia" w:ascii="宋体" w:hAnsi="宋体" w:cs="宋体"/>
                <w:color w:val="auto"/>
                <w:highlight w:val="none"/>
              </w:rPr>
              <w:t>合计</w:t>
            </w:r>
          </w:p>
        </w:tc>
        <w:tc>
          <w:tcPr>
            <w:tcW w:w="957" w:type="dxa"/>
            <w:noWrap w:val="0"/>
            <w:vAlign w:val="top"/>
          </w:tcPr>
          <w:p>
            <w:pPr>
              <w:rPr>
                <w:rFonts w:hint="eastAsia" w:ascii="宋体" w:hAnsi="宋体" w:cs="宋体"/>
                <w:color w:val="auto"/>
                <w:sz w:val="24"/>
                <w:highlight w:val="none"/>
              </w:rPr>
            </w:pPr>
          </w:p>
        </w:tc>
        <w:tc>
          <w:tcPr>
            <w:tcW w:w="840" w:type="dxa"/>
            <w:noWrap w:val="0"/>
            <w:vAlign w:val="top"/>
          </w:tcPr>
          <w:p>
            <w:pPr>
              <w:rPr>
                <w:rFonts w:hint="eastAsia" w:ascii="宋体" w:hAnsi="宋体" w:cs="宋体"/>
                <w:color w:val="auto"/>
                <w:sz w:val="24"/>
                <w:highlight w:val="none"/>
              </w:rPr>
            </w:pPr>
          </w:p>
        </w:tc>
        <w:tc>
          <w:tcPr>
            <w:tcW w:w="1260" w:type="dxa"/>
            <w:noWrap w:val="0"/>
            <w:vAlign w:val="top"/>
          </w:tcPr>
          <w:p>
            <w:pPr>
              <w:rPr>
                <w:rFonts w:hint="eastAsia" w:ascii="宋体" w:hAnsi="宋体" w:cs="宋体"/>
                <w:color w:val="auto"/>
                <w:sz w:val="24"/>
                <w:highlight w:val="none"/>
              </w:rPr>
            </w:pPr>
          </w:p>
        </w:tc>
        <w:tc>
          <w:tcPr>
            <w:tcW w:w="1340" w:type="dxa"/>
            <w:noWrap w:val="0"/>
            <w:vAlign w:val="top"/>
          </w:tcPr>
          <w:p>
            <w:pPr>
              <w:rPr>
                <w:rFonts w:hint="eastAsia" w:ascii="宋体" w:hAnsi="宋体" w:cs="宋体"/>
                <w:color w:val="auto"/>
                <w:sz w:val="24"/>
                <w:highlight w:val="none"/>
              </w:rPr>
            </w:pPr>
          </w:p>
        </w:tc>
        <w:tc>
          <w:tcPr>
            <w:tcW w:w="922" w:type="dxa"/>
            <w:noWrap w:val="0"/>
            <w:vAlign w:val="top"/>
          </w:tcPr>
          <w:p>
            <w:pPr>
              <w:rPr>
                <w:rFonts w:hint="eastAsia" w:ascii="宋体" w:hAnsi="宋体" w:cs="宋体"/>
                <w:color w:val="auto"/>
                <w:sz w:val="24"/>
                <w:highlight w:val="none"/>
              </w:rPr>
            </w:pPr>
          </w:p>
        </w:tc>
        <w:bookmarkStart w:id="161" w:name="_Hlt514495724"/>
        <w:bookmarkStart w:id="162" w:name="_Hlt533408944"/>
      </w:tr>
      <w:bookmarkEnd w:id="129"/>
      <w:bookmarkEnd w:id="130"/>
      <w:bookmarkEnd w:id="131"/>
      <w:bookmarkEnd w:id="161"/>
      <w:bookmarkEnd w:id="162"/>
    </w:tbl>
    <w:p>
      <w:pPr>
        <w:pStyle w:val="13"/>
        <w:spacing w:line="360" w:lineRule="auto"/>
        <w:rPr>
          <w:rFonts w:hint="eastAsia" w:ascii="宋体" w:hAnsi="宋体" w:cs="宋体"/>
          <w:color w:val="auto"/>
          <w:sz w:val="24"/>
          <w:highlight w:val="none"/>
        </w:rPr>
      </w:pPr>
      <w:bookmarkStart w:id="163" w:name="_Toc27270_WPSOffice_Level2"/>
      <w:bookmarkStart w:id="164" w:name="_Toc197934552"/>
    </w:p>
    <w:p>
      <w:pPr>
        <w:spacing w:line="380" w:lineRule="exact"/>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eastAsia="宋体" w:cs="宋体"/>
          <w:color w:val="auto"/>
          <w:sz w:val="24"/>
          <w:highlight w:val="none"/>
        </w:rPr>
        <w:t>电子</w:t>
      </w:r>
      <w:r>
        <w:rPr>
          <w:rFonts w:hint="eastAsia" w:ascii="宋体" w:hAnsi="宋体" w:eastAsia="宋体" w:cs="宋体"/>
          <w:color w:val="auto"/>
          <w:sz w:val="24"/>
          <w:highlight w:val="none"/>
          <w:lang w:val="en-US" w:eastAsia="zh-CN"/>
        </w:rPr>
        <w:t>公</w:t>
      </w:r>
      <w:r>
        <w:rPr>
          <w:rFonts w:hint="eastAsia" w:ascii="宋体" w:hAnsi="宋体" w:eastAsia="宋体" w:cs="宋体"/>
          <w:color w:val="auto"/>
          <w:sz w:val="24"/>
          <w:highlight w:val="none"/>
        </w:rPr>
        <w:t>章</w:t>
      </w:r>
      <w:r>
        <w:rPr>
          <w:rFonts w:hint="eastAsia" w:ascii="宋体" w:hAnsi="宋体" w:cs="宋体"/>
          <w:color w:val="auto"/>
          <w:sz w:val="24"/>
          <w:highlight w:val="none"/>
        </w:rPr>
        <w:t>）</w:t>
      </w:r>
    </w:p>
    <w:p>
      <w:pPr>
        <w:spacing w:line="380" w:lineRule="exact"/>
        <w:ind w:right="640" w:firstLine="1560" w:firstLineChars="650"/>
        <w:rPr>
          <w:rFonts w:hint="eastAsia" w:ascii="宋体" w:hAnsi="宋体" w:cs="宋体"/>
          <w:color w:val="auto"/>
          <w:sz w:val="24"/>
          <w:highlight w:val="none"/>
        </w:rPr>
      </w:pPr>
    </w:p>
    <w:p>
      <w:pPr>
        <w:spacing w:line="380" w:lineRule="exact"/>
        <w:ind w:right="640" w:firstLine="3600" w:firstLineChars="1500"/>
        <w:rPr>
          <w:rFonts w:hint="eastAsia" w:ascii="宋体" w:hAnsi="宋体" w:cs="宋体"/>
          <w:color w:val="auto"/>
          <w:sz w:val="24"/>
          <w:highlight w:val="none"/>
        </w:rPr>
      </w:pPr>
      <w:r>
        <w:rPr>
          <w:rFonts w:hint="eastAsia" w:ascii="宋体" w:hAnsi="宋体" w:cs="宋体"/>
          <w:color w:val="auto"/>
          <w:sz w:val="24"/>
          <w:highlight w:val="none"/>
        </w:rPr>
        <w:t>法人代表：（签</w:t>
      </w:r>
      <w:r>
        <w:rPr>
          <w:rFonts w:hint="eastAsia" w:ascii="宋体" w:hAnsi="宋体" w:cs="宋体"/>
          <w:color w:val="auto"/>
          <w:sz w:val="24"/>
          <w:highlight w:val="none"/>
          <w:lang w:val="en-US" w:eastAsia="zh-CN"/>
        </w:rPr>
        <w:t>字</w:t>
      </w:r>
      <w:r>
        <w:rPr>
          <w:rFonts w:hint="eastAsia" w:ascii="宋体" w:hAnsi="宋体" w:cs="宋体"/>
          <w:color w:val="auto"/>
          <w:sz w:val="24"/>
          <w:highlight w:val="none"/>
        </w:rPr>
        <w:t>）</w:t>
      </w:r>
    </w:p>
    <w:p>
      <w:pPr>
        <w:spacing w:line="380" w:lineRule="exact"/>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adjustRightInd w:val="0"/>
        <w:snapToGrid w:val="0"/>
        <w:spacing w:line="360" w:lineRule="auto"/>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备注：</w:t>
      </w:r>
    </w:p>
    <w:p>
      <w:pPr>
        <w:adjustRightInd w:val="0"/>
        <w:snapToGrid w:val="0"/>
        <w:spacing w:line="360" w:lineRule="auto"/>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报价为所投货物的单价组成。包括货物出厂价格、运费、税金及其它。</w:t>
      </w: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5"/>
        <w:rPr>
          <w:rFonts w:hint="eastAsia" w:hAnsi="宋体" w:cs="宋体"/>
          <w:color w:val="auto"/>
          <w:sz w:val="28"/>
          <w:highlight w:val="none"/>
        </w:rPr>
      </w:pPr>
      <w:bookmarkStart w:id="165" w:name="_Toc40975453"/>
      <w:bookmarkStart w:id="166" w:name="_Toc28756"/>
      <w:r>
        <w:rPr>
          <w:rFonts w:hint="eastAsia" w:hAnsi="宋体" w:cs="宋体"/>
          <w:color w:val="auto"/>
          <w:sz w:val="28"/>
          <w:highlight w:val="none"/>
        </w:rPr>
        <w:t>五．投标响应表</w:t>
      </w:r>
      <w:bookmarkEnd w:id="163"/>
      <w:bookmarkEnd w:id="164"/>
      <w:bookmarkEnd w:id="165"/>
      <w:bookmarkEnd w:id="166"/>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按招标文件规定填写</w:t>
            </w:r>
          </w:p>
        </w:tc>
        <w:tc>
          <w:tcPr>
            <w:tcW w:w="3534" w:type="dxa"/>
            <w:gridSpan w:val="2"/>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8364" w:type="dxa"/>
            <w:gridSpan w:val="5"/>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序号</w:t>
            </w:r>
          </w:p>
        </w:tc>
        <w:tc>
          <w:tcPr>
            <w:tcW w:w="1470"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品名</w:t>
            </w:r>
          </w:p>
        </w:tc>
        <w:tc>
          <w:tcPr>
            <w:tcW w:w="2520"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技术规格及配置</w:t>
            </w:r>
          </w:p>
        </w:tc>
        <w:tc>
          <w:tcPr>
            <w:tcW w:w="2310" w:type="dxa"/>
            <w:noWrap w:val="0"/>
            <w:vAlign w:val="center"/>
          </w:tcPr>
          <w:p>
            <w:pPr>
              <w:pStyle w:val="12"/>
              <w:rPr>
                <w:rFonts w:hint="eastAsia" w:hAnsi="宋体" w:cs="宋体"/>
                <w:b/>
                <w:color w:val="auto"/>
                <w:sz w:val="24"/>
                <w:highlight w:val="none"/>
                <w:lang w:val="en-US" w:eastAsia="zh-CN"/>
              </w:rPr>
            </w:pPr>
            <w:r>
              <w:rPr>
                <w:rFonts w:hint="eastAsia" w:hAnsi="宋体" w:cs="宋体"/>
                <w:b/>
                <w:color w:val="auto"/>
                <w:sz w:val="24"/>
                <w:highlight w:val="none"/>
                <w:lang w:val="en-US" w:eastAsia="zh-CN"/>
              </w:rPr>
              <w:t>品牌、型号</w:t>
            </w:r>
          </w:p>
          <w:p>
            <w:pPr>
              <w:pStyle w:val="12"/>
              <w:rPr>
                <w:rFonts w:hint="eastAsia" w:hAnsi="宋体" w:cs="宋体"/>
                <w:b/>
                <w:color w:val="auto"/>
                <w:sz w:val="24"/>
                <w:highlight w:val="none"/>
                <w:lang w:val="en-US" w:eastAsia="zh-CN"/>
              </w:rPr>
            </w:pPr>
            <w:r>
              <w:rPr>
                <w:rFonts w:hint="eastAsia" w:hAnsi="宋体" w:cs="宋体"/>
                <w:b/>
                <w:color w:val="auto"/>
                <w:sz w:val="24"/>
                <w:highlight w:val="none"/>
                <w:lang w:val="en-US" w:eastAsia="zh-CN"/>
              </w:rPr>
              <w:t>技术规格及配置</w:t>
            </w:r>
          </w:p>
        </w:tc>
        <w:tc>
          <w:tcPr>
            <w:tcW w:w="1224"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70" w:type="dxa"/>
            <w:noWrap w:val="0"/>
            <w:vAlign w:val="top"/>
          </w:tcPr>
          <w:p>
            <w:pPr>
              <w:rPr>
                <w:rFonts w:hint="eastAsia" w:ascii="宋体" w:hAnsi="宋体" w:cs="宋体"/>
                <w:color w:val="auto"/>
                <w:sz w:val="24"/>
                <w:highlight w:val="none"/>
              </w:rPr>
            </w:pPr>
          </w:p>
        </w:tc>
        <w:tc>
          <w:tcPr>
            <w:tcW w:w="2520" w:type="dxa"/>
            <w:noWrap w:val="0"/>
            <w:vAlign w:val="top"/>
          </w:tcPr>
          <w:p>
            <w:pPr>
              <w:rPr>
                <w:rFonts w:hint="eastAsia" w:ascii="宋体" w:hAnsi="宋体" w:cs="宋体"/>
                <w:color w:val="auto"/>
                <w:sz w:val="24"/>
                <w:highlight w:val="none"/>
              </w:rPr>
            </w:pPr>
          </w:p>
        </w:tc>
        <w:tc>
          <w:tcPr>
            <w:tcW w:w="2310" w:type="dxa"/>
            <w:noWrap w:val="0"/>
            <w:vAlign w:val="top"/>
          </w:tcPr>
          <w:p>
            <w:pPr>
              <w:rPr>
                <w:rFonts w:hint="eastAsia" w:ascii="宋体" w:hAnsi="宋体" w:cs="宋体"/>
                <w:color w:val="auto"/>
                <w:sz w:val="24"/>
                <w:highlight w:val="none"/>
              </w:rPr>
            </w:pPr>
          </w:p>
        </w:tc>
        <w:tc>
          <w:tcPr>
            <w:tcW w:w="1224"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470" w:type="dxa"/>
            <w:noWrap w:val="0"/>
            <w:vAlign w:val="top"/>
          </w:tcPr>
          <w:p>
            <w:pPr>
              <w:rPr>
                <w:rFonts w:hint="eastAsia" w:ascii="宋体" w:hAnsi="宋体" w:cs="宋体"/>
                <w:color w:val="auto"/>
                <w:sz w:val="24"/>
                <w:highlight w:val="none"/>
              </w:rPr>
            </w:pPr>
          </w:p>
        </w:tc>
        <w:tc>
          <w:tcPr>
            <w:tcW w:w="2520" w:type="dxa"/>
            <w:noWrap w:val="0"/>
            <w:vAlign w:val="top"/>
          </w:tcPr>
          <w:p>
            <w:pPr>
              <w:rPr>
                <w:rFonts w:hint="eastAsia" w:ascii="宋体" w:hAnsi="宋体" w:cs="宋体"/>
                <w:color w:val="auto"/>
                <w:sz w:val="24"/>
                <w:highlight w:val="none"/>
              </w:rPr>
            </w:pPr>
          </w:p>
        </w:tc>
        <w:tc>
          <w:tcPr>
            <w:tcW w:w="2310" w:type="dxa"/>
            <w:noWrap w:val="0"/>
            <w:vAlign w:val="top"/>
          </w:tcPr>
          <w:p>
            <w:pPr>
              <w:rPr>
                <w:rFonts w:hint="eastAsia" w:ascii="宋体" w:hAnsi="宋体" w:cs="宋体"/>
                <w:color w:val="auto"/>
                <w:sz w:val="24"/>
                <w:highlight w:val="none"/>
              </w:rPr>
            </w:pPr>
          </w:p>
        </w:tc>
        <w:tc>
          <w:tcPr>
            <w:tcW w:w="1224"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470" w:type="dxa"/>
            <w:noWrap w:val="0"/>
            <w:vAlign w:val="top"/>
          </w:tcPr>
          <w:p>
            <w:pPr>
              <w:rPr>
                <w:rFonts w:hint="eastAsia" w:ascii="宋体" w:hAnsi="宋体" w:cs="宋体"/>
                <w:color w:val="auto"/>
                <w:sz w:val="24"/>
                <w:highlight w:val="none"/>
              </w:rPr>
            </w:pPr>
          </w:p>
        </w:tc>
        <w:tc>
          <w:tcPr>
            <w:tcW w:w="2520" w:type="dxa"/>
            <w:noWrap w:val="0"/>
            <w:vAlign w:val="top"/>
          </w:tcPr>
          <w:p>
            <w:pPr>
              <w:rPr>
                <w:rFonts w:hint="eastAsia" w:ascii="宋体" w:hAnsi="宋体" w:cs="宋体"/>
                <w:color w:val="auto"/>
                <w:sz w:val="24"/>
                <w:highlight w:val="none"/>
              </w:rPr>
            </w:pPr>
          </w:p>
        </w:tc>
        <w:tc>
          <w:tcPr>
            <w:tcW w:w="2310" w:type="dxa"/>
            <w:noWrap w:val="0"/>
            <w:vAlign w:val="top"/>
          </w:tcPr>
          <w:p>
            <w:pPr>
              <w:pStyle w:val="47"/>
              <w:rPr>
                <w:rFonts w:hint="eastAsia" w:ascii="宋体" w:hAnsi="宋体" w:cs="宋体"/>
                <w:color w:val="auto"/>
                <w:highlight w:val="none"/>
              </w:rPr>
            </w:pPr>
          </w:p>
        </w:tc>
        <w:tc>
          <w:tcPr>
            <w:tcW w:w="1224"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470" w:type="dxa"/>
            <w:noWrap w:val="0"/>
            <w:vAlign w:val="top"/>
          </w:tcPr>
          <w:p>
            <w:pPr>
              <w:rPr>
                <w:rFonts w:hint="eastAsia" w:ascii="宋体" w:hAnsi="宋体" w:cs="宋体"/>
                <w:color w:val="auto"/>
                <w:sz w:val="24"/>
                <w:highlight w:val="none"/>
              </w:rPr>
            </w:pPr>
          </w:p>
        </w:tc>
        <w:tc>
          <w:tcPr>
            <w:tcW w:w="2520" w:type="dxa"/>
            <w:noWrap w:val="0"/>
            <w:vAlign w:val="top"/>
          </w:tcPr>
          <w:p>
            <w:pPr>
              <w:rPr>
                <w:rFonts w:hint="eastAsia" w:ascii="宋体" w:hAnsi="宋体" w:cs="宋体"/>
                <w:color w:val="auto"/>
                <w:sz w:val="24"/>
                <w:highlight w:val="none"/>
              </w:rPr>
            </w:pPr>
          </w:p>
        </w:tc>
        <w:tc>
          <w:tcPr>
            <w:tcW w:w="2310" w:type="dxa"/>
            <w:noWrap w:val="0"/>
            <w:vAlign w:val="top"/>
          </w:tcPr>
          <w:p>
            <w:pPr>
              <w:rPr>
                <w:rFonts w:hint="eastAsia" w:ascii="宋体" w:hAnsi="宋体" w:cs="宋体"/>
                <w:color w:val="auto"/>
                <w:sz w:val="24"/>
                <w:highlight w:val="none"/>
              </w:rPr>
            </w:pPr>
          </w:p>
        </w:tc>
        <w:tc>
          <w:tcPr>
            <w:tcW w:w="1224"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364" w:type="dxa"/>
            <w:gridSpan w:val="5"/>
            <w:noWrap w:val="0"/>
            <w:vAlign w:val="center"/>
          </w:tcPr>
          <w:p>
            <w:pPr>
              <w:pStyle w:val="12"/>
              <w:jc w:val="center"/>
              <w:rPr>
                <w:rFonts w:hint="eastAsia" w:hAnsi="宋体" w:cs="宋体"/>
                <w:color w:val="auto"/>
                <w:sz w:val="24"/>
                <w:highlight w:val="none"/>
                <w:lang w:val="en-US" w:eastAsia="zh-CN"/>
              </w:rPr>
            </w:pPr>
            <w:r>
              <w:rPr>
                <w:rFonts w:hint="eastAsia" w:hAnsi="宋体" w:cs="宋体"/>
                <w:b/>
                <w:color w:val="auto"/>
                <w:sz w:val="24"/>
                <w:highlight w:val="none"/>
                <w:lang w:val="en-US" w:eastAsia="zh-CN"/>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序号</w:t>
            </w:r>
          </w:p>
        </w:tc>
        <w:tc>
          <w:tcPr>
            <w:tcW w:w="1470"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内容</w:t>
            </w:r>
          </w:p>
        </w:tc>
        <w:tc>
          <w:tcPr>
            <w:tcW w:w="2520"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招标要求</w:t>
            </w:r>
          </w:p>
        </w:tc>
        <w:tc>
          <w:tcPr>
            <w:tcW w:w="2310"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投标承诺</w:t>
            </w:r>
          </w:p>
        </w:tc>
        <w:tc>
          <w:tcPr>
            <w:tcW w:w="1224"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7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供货期</w:t>
            </w:r>
          </w:p>
        </w:tc>
        <w:tc>
          <w:tcPr>
            <w:tcW w:w="2520" w:type="dxa"/>
            <w:noWrap w:val="0"/>
            <w:vAlign w:val="top"/>
          </w:tcPr>
          <w:p>
            <w:pPr>
              <w:rPr>
                <w:rFonts w:hint="eastAsia" w:ascii="宋体" w:hAnsi="宋体" w:cs="宋体"/>
                <w:color w:val="auto"/>
                <w:sz w:val="24"/>
                <w:highlight w:val="none"/>
              </w:rPr>
            </w:pPr>
          </w:p>
        </w:tc>
        <w:tc>
          <w:tcPr>
            <w:tcW w:w="2310" w:type="dxa"/>
            <w:noWrap w:val="0"/>
            <w:vAlign w:val="top"/>
          </w:tcPr>
          <w:p>
            <w:pPr>
              <w:rPr>
                <w:rFonts w:hint="eastAsia" w:ascii="宋体" w:hAnsi="宋体" w:cs="宋体"/>
                <w:color w:val="auto"/>
                <w:sz w:val="24"/>
                <w:highlight w:val="none"/>
              </w:rPr>
            </w:pPr>
          </w:p>
        </w:tc>
        <w:tc>
          <w:tcPr>
            <w:tcW w:w="1224"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470" w:type="dxa"/>
            <w:noWrap w:val="0"/>
            <w:vAlign w:val="center"/>
          </w:tcPr>
          <w:p>
            <w:pPr>
              <w:rPr>
                <w:rFonts w:hint="eastAsia" w:ascii="宋体" w:hAnsi="宋体" w:cs="宋体"/>
                <w:color w:val="auto"/>
                <w:sz w:val="24"/>
                <w:highlight w:val="none"/>
              </w:rPr>
            </w:pPr>
            <w:r>
              <w:rPr>
                <w:rFonts w:hint="eastAsia" w:ascii="宋体" w:hAnsi="宋体" w:cs="宋体"/>
                <w:color w:val="auto"/>
                <w:sz w:val="24"/>
                <w:highlight w:val="none"/>
              </w:rPr>
              <w:t>免费质保期</w:t>
            </w:r>
          </w:p>
        </w:tc>
        <w:tc>
          <w:tcPr>
            <w:tcW w:w="2520" w:type="dxa"/>
            <w:noWrap w:val="0"/>
            <w:vAlign w:val="top"/>
          </w:tcPr>
          <w:p>
            <w:pPr>
              <w:rPr>
                <w:rFonts w:hint="eastAsia" w:ascii="宋体" w:hAnsi="宋体" w:cs="宋体"/>
                <w:color w:val="auto"/>
                <w:sz w:val="24"/>
                <w:highlight w:val="none"/>
              </w:rPr>
            </w:pPr>
          </w:p>
        </w:tc>
        <w:tc>
          <w:tcPr>
            <w:tcW w:w="2310" w:type="dxa"/>
            <w:noWrap w:val="0"/>
            <w:vAlign w:val="top"/>
          </w:tcPr>
          <w:p>
            <w:pPr>
              <w:rPr>
                <w:rFonts w:hint="eastAsia" w:ascii="宋体" w:hAnsi="宋体" w:cs="宋体"/>
                <w:color w:val="auto"/>
                <w:sz w:val="24"/>
                <w:highlight w:val="none"/>
              </w:rPr>
            </w:pPr>
          </w:p>
        </w:tc>
        <w:tc>
          <w:tcPr>
            <w:tcW w:w="1224"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47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付款响应</w:t>
            </w:r>
          </w:p>
        </w:tc>
        <w:tc>
          <w:tcPr>
            <w:tcW w:w="2520" w:type="dxa"/>
            <w:noWrap w:val="0"/>
            <w:vAlign w:val="top"/>
          </w:tcPr>
          <w:p>
            <w:pPr>
              <w:rPr>
                <w:rFonts w:hint="eastAsia" w:ascii="宋体" w:hAnsi="宋体" w:cs="宋体"/>
                <w:color w:val="auto"/>
                <w:sz w:val="24"/>
                <w:highlight w:val="none"/>
              </w:rPr>
            </w:pPr>
          </w:p>
        </w:tc>
        <w:tc>
          <w:tcPr>
            <w:tcW w:w="2310" w:type="dxa"/>
            <w:noWrap w:val="0"/>
            <w:vAlign w:val="top"/>
          </w:tcPr>
          <w:p>
            <w:pPr>
              <w:rPr>
                <w:rFonts w:hint="eastAsia" w:ascii="宋体" w:hAnsi="宋体" w:cs="宋体"/>
                <w:color w:val="auto"/>
                <w:sz w:val="24"/>
                <w:highlight w:val="none"/>
              </w:rPr>
            </w:pPr>
          </w:p>
        </w:tc>
        <w:tc>
          <w:tcPr>
            <w:tcW w:w="1224"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470"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2520" w:type="dxa"/>
            <w:noWrap w:val="0"/>
            <w:vAlign w:val="top"/>
          </w:tcPr>
          <w:p>
            <w:pPr>
              <w:rPr>
                <w:rFonts w:hint="eastAsia" w:ascii="宋体" w:hAnsi="宋体" w:cs="宋体"/>
                <w:color w:val="auto"/>
                <w:sz w:val="24"/>
                <w:highlight w:val="none"/>
              </w:rPr>
            </w:pPr>
          </w:p>
        </w:tc>
        <w:tc>
          <w:tcPr>
            <w:tcW w:w="2310" w:type="dxa"/>
            <w:noWrap w:val="0"/>
            <w:vAlign w:val="top"/>
          </w:tcPr>
          <w:p>
            <w:pPr>
              <w:rPr>
                <w:rFonts w:hint="eastAsia" w:ascii="宋体" w:hAnsi="宋体" w:cs="宋体"/>
                <w:color w:val="auto"/>
                <w:sz w:val="24"/>
                <w:highlight w:val="none"/>
              </w:rPr>
            </w:pPr>
          </w:p>
        </w:tc>
        <w:tc>
          <w:tcPr>
            <w:tcW w:w="1224" w:type="dxa"/>
            <w:noWrap w:val="0"/>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47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其他</w:t>
            </w:r>
          </w:p>
        </w:tc>
        <w:tc>
          <w:tcPr>
            <w:tcW w:w="2520" w:type="dxa"/>
            <w:noWrap w:val="0"/>
            <w:vAlign w:val="top"/>
          </w:tcPr>
          <w:p>
            <w:pPr>
              <w:rPr>
                <w:rFonts w:hint="eastAsia" w:ascii="宋体" w:hAnsi="宋体" w:cs="宋体"/>
                <w:color w:val="auto"/>
                <w:sz w:val="24"/>
                <w:highlight w:val="none"/>
              </w:rPr>
            </w:pPr>
          </w:p>
        </w:tc>
        <w:tc>
          <w:tcPr>
            <w:tcW w:w="2310" w:type="dxa"/>
            <w:noWrap w:val="0"/>
            <w:vAlign w:val="top"/>
          </w:tcPr>
          <w:p>
            <w:pPr>
              <w:rPr>
                <w:rFonts w:hint="eastAsia" w:ascii="宋体" w:hAnsi="宋体" w:cs="宋体"/>
                <w:color w:val="auto"/>
                <w:sz w:val="24"/>
                <w:highlight w:val="none"/>
              </w:rPr>
            </w:pPr>
          </w:p>
        </w:tc>
        <w:tc>
          <w:tcPr>
            <w:tcW w:w="1224" w:type="dxa"/>
            <w:noWrap w:val="0"/>
            <w:vAlign w:val="top"/>
          </w:tcPr>
          <w:p>
            <w:pPr>
              <w:rPr>
                <w:rFonts w:hint="eastAsia" w:ascii="宋体" w:hAnsi="宋体" w:cs="宋体"/>
                <w:color w:val="auto"/>
                <w:sz w:val="24"/>
                <w:highlight w:val="none"/>
              </w:rPr>
            </w:pPr>
          </w:p>
        </w:tc>
      </w:tr>
    </w:tbl>
    <w:p>
      <w:pPr>
        <w:spacing w:line="380" w:lineRule="exact"/>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eastAsia="宋体" w:cs="宋体"/>
          <w:color w:val="auto"/>
          <w:sz w:val="24"/>
          <w:highlight w:val="none"/>
        </w:rPr>
        <w:t>电子</w:t>
      </w:r>
      <w:r>
        <w:rPr>
          <w:rFonts w:hint="eastAsia" w:ascii="宋体" w:hAnsi="宋体" w:eastAsia="宋体" w:cs="宋体"/>
          <w:color w:val="auto"/>
          <w:sz w:val="24"/>
          <w:highlight w:val="none"/>
          <w:lang w:val="en-US" w:eastAsia="zh-CN"/>
        </w:rPr>
        <w:t>公</w:t>
      </w:r>
      <w:r>
        <w:rPr>
          <w:rFonts w:hint="eastAsia" w:ascii="宋体" w:hAnsi="宋体" w:eastAsia="宋体" w:cs="宋体"/>
          <w:color w:val="auto"/>
          <w:sz w:val="24"/>
          <w:highlight w:val="none"/>
        </w:rPr>
        <w:t>章</w:t>
      </w:r>
      <w:r>
        <w:rPr>
          <w:rFonts w:hint="eastAsia" w:ascii="宋体" w:hAnsi="宋体" w:cs="宋体"/>
          <w:color w:val="auto"/>
          <w:sz w:val="24"/>
          <w:highlight w:val="none"/>
        </w:rPr>
        <w:t>）</w:t>
      </w:r>
    </w:p>
    <w:p>
      <w:pPr>
        <w:spacing w:line="380" w:lineRule="exact"/>
        <w:ind w:right="640" w:firstLine="1560" w:firstLineChars="650"/>
        <w:jc w:val="left"/>
        <w:rPr>
          <w:rFonts w:hint="eastAsia" w:ascii="宋体" w:hAnsi="宋体" w:cs="宋体"/>
          <w:color w:val="auto"/>
          <w:sz w:val="24"/>
          <w:highlight w:val="none"/>
        </w:rPr>
      </w:pPr>
    </w:p>
    <w:p>
      <w:pPr>
        <w:spacing w:line="380" w:lineRule="exact"/>
        <w:ind w:right="640"/>
        <w:jc w:val="left"/>
        <w:rPr>
          <w:rFonts w:hint="eastAsia" w:ascii="宋体" w:hAnsi="宋体" w:cs="宋体"/>
          <w:color w:val="auto"/>
          <w:sz w:val="24"/>
          <w:highlight w:val="none"/>
        </w:rPr>
      </w:pPr>
      <w:r>
        <w:rPr>
          <w:rFonts w:hint="eastAsia" w:ascii="宋体" w:hAnsi="宋体" w:cs="宋体"/>
          <w:color w:val="auto"/>
          <w:sz w:val="24"/>
          <w:highlight w:val="none"/>
        </w:rPr>
        <w:t>法人代表：（签</w:t>
      </w:r>
      <w:r>
        <w:rPr>
          <w:rFonts w:hint="eastAsia" w:ascii="宋体" w:hAnsi="宋体" w:cs="宋体"/>
          <w:color w:val="auto"/>
          <w:sz w:val="24"/>
          <w:highlight w:val="none"/>
          <w:lang w:val="en-US" w:eastAsia="zh-CN"/>
        </w:rPr>
        <w:t>字</w:t>
      </w:r>
      <w:r>
        <w:rPr>
          <w:rFonts w:hint="eastAsia" w:ascii="宋体" w:hAnsi="宋体" w:cs="宋体"/>
          <w:color w:val="auto"/>
          <w:sz w:val="24"/>
          <w:highlight w:val="none"/>
        </w:rPr>
        <w:t>）</w:t>
      </w:r>
    </w:p>
    <w:p>
      <w:pPr>
        <w:jc w:val="right"/>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adjustRightInd w:val="0"/>
        <w:snapToGrid w:val="0"/>
        <w:spacing w:line="360" w:lineRule="auto"/>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备注：</w:t>
      </w:r>
    </w:p>
    <w:p>
      <w:pPr>
        <w:adjustRightInd w:val="0"/>
        <w:snapToGrid w:val="0"/>
        <w:spacing w:line="360" w:lineRule="auto"/>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1、投标人必须逐项对应描述投标货物主要参数、配置及服务要求，如不进行描述，仅在响应栏填“响应”或未填写的，将可能导致投标无效；</w:t>
      </w:r>
    </w:p>
    <w:p>
      <w:pPr>
        <w:adjustRightInd w:val="0"/>
        <w:snapToGrid w:val="0"/>
        <w:spacing w:line="360" w:lineRule="auto"/>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2、投标人所投产品如与招标文件要求的规格及配置不一致，则须在上表偏离说明中详细注明。</w:t>
      </w:r>
    </w:p>
    <w:p>
      <w:pPr>
        <w:adjustRightInd w:val="0"/>
        <w:snapToGrid w:val="0"/>
        <w:spacing w:line="360" w:lineRule="auto"/>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3、响应部分可后附详细说明及技术资料，并应注明投标文件中对应的页码范围。</w:t>
      </w: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5"/>
        <w:rPr>
          <w:rFonts w:hint="eastAsia" w:hAnsi="宋体" w:cs="宋体"/>
          <w:color w:val="auto"/>
          <w:sz w:val="28"/>
          <w:szCs w:val="36"/>
          <w:highlight w:val="none"/>
        </w:rPr>
      </w:pPr>
      <w:bookmarkStart w:id="167" w:name="_Hlt509738950"/>
      <w:bookmarkEnd w:id="167"/>
      <w:bookmarkStart w:id="168" w:name="_Toc220232400"/>
      <w:bookmarkStart w:id="169" w:name="_Toc2238_WPSOffice_Level2"/>
      <w:bookmarkStart w:id="170" w:name="_Toc20432"/>
      <w:bookmarkStart w:id="171" w:name="_Toc40975454"/>
      <w:r>
        <w:rPr>
          <w:rFonts w:hint="eastAsia" w:hAnsi="宋体" w:cs="宋体"/>
          <w:color w:val="auto"/>
          <w:sz w:val="28"/>
          <w:highlight w:val="none"/>
        </w:rPr>
        <w:t>六．产品质量承诺</w:t>
      </w:r>
      <w:bookmarkEnd w:id="168"/>
      <w:bookmarkEnd w:id="169"/>
      <w:bookmarkEnd w:id="170"/>
      <w:bookmarkEnd w:id="171"/>
    </w:p>
    <w:p>
      <w:pPr>
        <w:spacing w:before="48" w:beforeLines="20" w:after="48" w:afterLines="20"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(投标人可自行制作格式)</w:t>
      </w:r>
    </w:p>
    <w:p>
      <w:pPr>
        <w:spacing w:before="48" w:beforeLines="20" w:after="48" w:afterLines="20" w:line="360" w:lineRule="auto"/>
        <w:rPr>
          <w:rFonts w:hint="eastAsia" w:ascii="宋体" w:hAnsi="宋体" w:cs="宋体"/>
          <w:color w:val="auto"/>
          <w:sz w:val="28"/>
          <w:highlight w:val="none"/>
        </w:rPr>
      </w:pPr>
    </w:p>
    <w:p>
      <w:pPr>
        <w:pStyle w:val="19"/>
        <w:rPr>
          <w:rFonts w:hint="eastAsia"/>
          <w:color w:val="auto"/>
          <w:highlight w:val="none"/>
        </w:rPr>
      </w:pPr>
    </w:p>
    <w:p>
      <w:pPr>
        <w:pStyle w:val="19"/>
        <w:rPr>
          <w:rFonts w:hint="eastAsia"/>
          <w:color w:val="auto"/>
          <w:highlight w:val="none"/>
        </w:rPr>
      </w:pPr>
    </w:p>
    <w:p>
      <w:pPr>
        <w:adjustRightInd w:val="0"/>
        <w:rPr>
          <w:rFonts w:hint="eastAsia" w:ascii="宋体" w:hAnsi="宋体" w:eastAsia="宋体" w:cs="宋体"/>
          <w:color w:val="auto"/>
          <w:sz w:val="28"/>
          <w:szCs w:val="28"/>
          <w:highlight w:val="none"/>
        </w:rPr>
      </w:pPr>
    </w:p>
    <w:p>
      <w:pPr>
        <w:pStyle w:val="5"/>
        <w:rPr>
          <w:rFonts w:hint="eastAsia" w:hAnsi="宋体" w:cs="宋体"/>
          <w:color w:val="auto"/>
          <w:sz w:val="28"/>
          <w:szCs w:val="36"/>
          <w:highlight w:val="none"/>
        </w:rPr>
      </w:pPr>
      <w:bookmarkStart w:id="172" w:name="_Toc220232401"/>
      <w:bookmarkStart w:id="173" w:name="_Toc1188"/>
      <w:bookmarkStart w:id="174" w:name="_Toc516969104"/>
      <w:bookmarkStart w:id="175" w:name="_Toc40975455"/>
      <w:bookmarkStart w:id="176" w:name="_Toc31042_WPSOffice_Level2"/>
      <w:bookmarkStart w:id="177" w:name="_Hlt510342906"/>
      <w:r>
        <w:rPr>
          <w:rFonts w:hint="eastAsia" w:hAnsi="宋体" w:cs="宋体"/>
          <w:color w:val="auto"/>
          <w:sz w:val="28"/>
          <w:highlight w:val="none"/>
        </w:rPr>
        <w:t>七．所</w:t>
      </w:r>
      <w:bookmarkStart w:id="178" w:name="_Hlt510342883"/>
      <w:bookmarkEnd w:id="178"/>
      <w:r>
        <w:rPr>
          <w:rFonts w:hint="eastAsia" w:hAnsi="宋体" w:cs="宋体"/>
          <w:color w:val="auto"/>
          <w:sz w:val="28"/>
          <w:highlight w:val="none"/>
        </w:rPr>
        <w:t>供货物组部件、备品、备件清单</w:t>
      </w:r>
      <w:bookmarkEnd w:id="172"/>
      <w:bookmarkEnd w:id="173"/>
      <w:bookmarkEnd w:id="174"/>
      <w:bookmarkEnd w:id="175"/>
      <w:bookmarkEnd w:id="176"/>
    </w:p>
    <w:bookmarkEnd w:id="177"/>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86"/>
        <w:gridCol w:w="1730"/>
        <w:gridCol w:w="1037"/>
        <w:gridCol w:w="1286"/>
        <w:gridCol w:w="1236"/>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trPr>
        <w:tc>
          <w:tcPr>
            <w:tcW w:w="791"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序号</w:t>
            </w:r>
          </w:p>
        </w:tc>
        <w:tc>
          <w:tcPr>
            <w:tcW w:w="1186"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名称</w:t>
            </w:r>
          </w:p>
        </w:tc>
        <w:tc>
          <w:tcPr>
            <w:tcW w:w="1730"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规格型号</w:t>
            </w:r>
          </w:p>
        </w:tc>
        <w:tc>
          <w:tcPr>
            <w:tcW w:w="1037"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数量</w:t>
            </w:r>
          </w:p>
        </w:tc>
        <w:tc>
          <w:tcPr>
            <w:tcW w:w="1286"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单价</w:t>
            </w:r>
          </w:p>
        </w:tc>
        <w:tc>
          <w:tcPr>
            <w:tcW w:w="1236"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小计</w:t>
            </w:r>
          </w:p>
        </w:tc>
        <w:tc>
          <w:tcPr>
            <w:tcW w:w="1098" w:type="dxa"/>
            <w:noWrap w:val="0"/>
            <w:vAlign w:val="center"/>
          </w:tcPr>
          <w:p>
            <w:pPr>
              <w:pStyle w:val="12"/>
              <w:jc w:val="center"/>
              <w:rPr>
                <w:rFonts w:hint="eastAsia" w:hAnsi="宋体" w:cs="宋体"/>
                <w:b/>
                <w:color w:val="auto"/>
                <w:sz w:val="24"/>
                <w:highlight w:val="none"/>
                <w:lang w:val="en-US" w:eastAsia="zh-CN"/>
              </w:rPr>
            </w:pPr>
            <w:r>
              <w:rPr>
                <w:rFonts w:hint="eastAsia" w:hAnsi="宋体" w:cs="宋体"/>
                <w:b/>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noWrap w:val="0"/>
            <w:vAlign w:val="center"/>
          </w:tcPr>
          <w:p>
            <w:pPr>
              <w:pStyle w:val="12"/>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1</w:t>
            </w:r>
          </w:p>
        </w:tc>
        <w:tc>
          <w:tcPr>
            <w:tcW w:w="1186" w:type="dxa"/>
            <w:noWrap w:val="0"/>
            <w:vAlign w:val="top"/>
          </w:tcPr>
          <w:p>
            <w:pPr>
              <w:rPr>
                <w:rFonts w:hint="eastAsia" w:ascii="宋体" w:hAnsi="宋体" w:cs="宋体"/>
                <w:color w:val="auto"/>
                <w:sz w:val="24"/>
                <w:highlight w:val="none"/>
              </w:rPr>
            </w:pPr>
          </w:p>
        </w:tc>
        <w:tc>
          <w:tcPr>
            <w:tcW w:w="1730" w:type="dxa"/>
            <w:noWrap w:val="0"/>
            <w:vAlign w:val="top"/>
          </w:tcPr>
          <w:p>
            <w:pPr>
              <w:rPr>
                <w:rFonts w:hint="eastAsia" w:ascii="宋体" w:hAnsi="宋体" w:cs="宋体"/>
                <w:color w:val="auto"/>
                <w:sz w:val="24"/>
                <w:highlight w:val="none"/>
              </w:rPr>
            </w:pPr>
          </w:p>
        </w:tc>
        <w:tc>
          <w:tcPr>
            <w:tcW w:w="1037" w:type="dxa"/>
            <w:noWrap w:val="0"/>
            <w:vAlign w:val="top"/>
          </w:tcPr>
          <w:p>
            <w:pPr>
              <w:rPr>
                <w:rFonts w:hint="eastAsia" w:ascii="宋体" w:hAnsi="宋体" w:cs="宋体"/>
                <w:color w:val="auto"/>
                <w:sz w:val="24"/>
                <w:highlight w:val="none"/>
              </w:rPr>
            </w:pPr>
          </w:p>
        </w:tc>
        <w:tc>
          <w:tcPr>
            <w:tcW w:w="1286" w:type="dxa"/>
            <w:noWrap w:val="0"/>
            <w:vAlign w:val="top"/>
          </w:tcPr>
          <w:p>
            <w:pPr>
              <w:pStyle w:val="12"/>
              <w:rPr>
                <w:rFonts w:hint="eastAsia" w:hAnsi="宋体" w:cs="宋体"/>
                <w:color w:val="auto"/>
                <w:sz w:val="24"/>
                <w:highlight w:val="none"/>
                <w:lang w:val="en-US" w:eastAsia="zh-CN"/>
              </w:rPr>
            </w:pPr>
          </w:p>
        </w:tc>
        <w:tc>
          <w:tcPr>
            <w:tcW w:w="1236" w:type="dxa"/>
            <w:noWrap w:val="0"/>
            <w:vAlign w:val="top"/>
          </w:tcPr>
          <w:p>
            <w:pPr>
              <w:pStyle w:val="12"/>
              <w:rPr>
                <w:rFonts w:hint="eastAsia" w:hAnsi="宋体" w:cs="宋体"/>
                <w:color w:val="auto"/>
                <w:sz w:val="24"/>
                <w:highlight w:val="none"/>
                <w:lang w:val="en-US" w:eastAsia="zh-CN"/>
              </w:rPr>
            </w:pPr>
          </w:p>
        </w:tc>
        <w:tc>
          <w:tcPr>
            <w:tcW w:w="1098" w:type="dxa"/>
            <w:noWrap w:val="0"/>
            <w:vAlign w:val="top"/>
          </w:tcPr>
          <w:p>
            <w:pPr>
              <w:pStyle w:val="12"/>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noWrap w:val="0"/>
            <w:vAlign w:val="center"/>
          </w:tcPr>
          <w:p>
            <w:pPr>
              <w:pStyle w:val="12"/>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2</w:t>
            </w:r>
          </w:p>
        </w:tc>
        <w:tc>
          <w:tcPr>
            <w:tcW w:w="1186" w:type="dxa"/>
            <w:noWrap w:val="0"/>
            <w:vAlign w:val="top"/>
          </w:tcPr>
          <w:p>
            <w:pPr>
              <w:rPr>
                <w:rFonts w:hint="eastAsia" w:ascii="宋体" w:hAnsi="宋体" w:cs="宋体"/>
                <w:color w:val="auto"/>
                <w:sz w:val="24"/>
                <w:highlight w:val="none"/>
              </w:rPr>
            </w:pPr>
          </w:p>
        </w:tc>
        <w:tc>
          <w:tcPr>
            <w:tcW w:w="1730" w:type="dxa"/>
            <w:noWrap w:val="0"/>
            <w:vAlign w:val="top"/>
          </w:tcPr>
          <w:p>
            <w:pPr>
              <w:rPr>
                <w:rFonts w:hint="eastAsia" w:ascii="宋体" w:hAnsi="宋体" w:cs="宋体"/>
                <w:color w:val="auto"/>
                <w:sz w:val="24"/>
                <w:highlight w:val="none"/>
              </w:rPr>
            </w:pPr>
          </w:p>
        </w:tc>
        <w:tc>
          <w:tcPr>
            <w:tcW w:w="1037" w:type="dxa"/>
            <w:noWrap w:val="0"/>
            <w:vAlign w:val="top"/>
          </w:tcPr>
          <w:p>
            <w:pPr>
              <w:rPr>
                <w:rFonts w:hint="eastAsia" w:ascii="宋体" w:hAnsi="宋体" w:cs="宋体"/>
                <w:color w:val="auto"/>
                <w:sz w:val="24"/>
                <w:highlight w:val="none"/>
              </w:rPr>
            </w:pPr>
          </w:p>
        </w:tc>
        <w:tc>
          <w:tcPr>
            <w:tcW w:w="1286" w:type="dxa"/>
            <w:noWrap w:val="0"/>
            <w:vAlign w:val="top"/>
          </w:tcPr>
          <w:p>
            <w:pPr>
              <w:pStyle w:val="12"/>
              <w:rPr>
                <w:rFonts w:hint="eastAsia" w:hAnsi="宋体" w:cs="宋体"/>
                <w:color w:val="auto"/>
                <w:sz w:val="24"/>
                <w:highlight w:val="none"/>
                <w:lang w:val="en-US" w:eastAsia="zh-CN"/>
              </w:rPr>
            </w:pPr>
          </w:p>
        </w:tc>
        <w:tc>
          <w:tcPr>
            <w:tcW w:w="1236" w:type="dxa"/>
            <w:noWrap w:val="0"/>
            <w:vAlign w:val="top"/>
          </w:tcPr>
          <w:p>
            <w:pPr>
              <w:pStyle w:val="12"/>
              <w:rPr>
                <w:rFonts w:hint="eastAsia" w:hAnsi="宋体" w:cs="宋体"/>
                <w:color w:val="auto"/>
                <w:sz w:val="24"/>
                <w:highlight w:val="none"/>
                <w:lang w:val="en-US" w:eastAsia="zh-CN"/>
              </w:rPr>
            </w:pPr>
          </w:p>
        </w:tc>
        <w:tc>
          <w:tcPr>
            <w:tcW w:w="1098" w:type="dxa"/>
            <w:noWrap w:val="0"/>
            <w:vAlign w:val="top"/>
          </w:tcPr>
          <w:p>
            <w:pPr>
              <w:pStyle w:val="12"/>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noWrap w:val="0"/>
            <w:vAlign w:val="center"/>
          </w:tcPr>
          <w:p>
            <w:pPr>
              <w:pStyle w:val="12"/>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3</w:t>
            </w:r>
          </w:p>
        </w:tc>
        <w:tc>
          <w:tcPr>
            <w:tcW w:w="1186" w:type="dxa"/>
            <w:noWrap w:val="0"/>
            <w:vAlign w:val="top"/>
          </w:tcPr>
          <w:p>
            <w:pPr>
              <w:rPr>
                <w:rFonts w:hint="eastAsia" w:ascii="宋体" w:hAnsi="宋体" w:cs="宋体"/>
                <w:color w:val="auto"/>
                <w:sz w:val="24"/>
                <w:highlight w:val="none"/>
              </w:rPr>
            </w:pPr>
          </w:p>
        </w:tc>
        <w:tc>
          <w:tcPr>
            <w:tcW w:w="1730" w:type="dxa"/>
            <w:noWrap w:val="0"/>
            <w:vAlign w:val="top"/>
          </w:tcPr>
          <w:p>
            <w:pPr>
              <w:rPr>
                <w:rFonts w:hint="eastAsia" w:ascii="宋体" w:hAnsi="宋体" w:cs="宋体"/>
                <w:color w:val="auto"/>
                <w:sz w:val="24"/>
                <w:highlight w:val="none"/>
              </w:rPr>
            </w:pPr>
          </w:p>
        </w:tc>
        <w:tc>
          <w:tcPr>
            <w:tcW w:w="1037" w:type="dxa"/>
            <w:noWrap w:val="0"/>
            <w:vAlign w:val="top"/>
          </w:tcPr>
          <w:p>
            <w:pPr>
              <w:rPr>
                <w:rFonts w:hint="eastAsia" w:ascii="宋体" w:hAnsi="宋体" w:cs="宋体"/>
                <w:color w:val="auto"/>
                <w:sz w:val="24"/>
                <w:highlight w:val="none"/>
              </w:rPr>
            </w:pPr>
          </w:p>
        </w:tc>
        <w:tc>
          <w:tcPr>
            <w:tcW w:w="1286" w:type="dxa"/>
            <w:noWrap w:val="0"/>
            <w:vAlign w:val="top"/>
          </w:tcPr>
          <w:p>
            <w:pPr>
              <w:pStyle w:val="12"/>
              <w:rPr>
                <w:rFonts w:hint="eastAsia" w:hAnsi="宋体" w:cs="宋体"/>
                <w:color w:val="auto"/>
                <w:sz w:val="24"/>
                <w:highlight w:val="none"/>
                <w:lang w:val="en-US" w:eastAsia="zh-CN"/>
              </w:rPr>
            </w:pPr>
          </w:p>
        </w:tc>
        <w:tc>
          <w:tcPr>
            <w:tcW w:w="1236" w:type="dxa"/>
            <w:noWrap w:val="0"/>
            <w:vAlign w:val="top"/>
          </w:tcPr>
          <w:p>
            <w:pPr>
              <w:pStyle w:val="12"/>
              <w:rPr>
                <w:rFonts w:hint="eastAsia" w:hAnsi="宋体" w:cs="宋体"/>
                <w:color w:val="auto"/>
                <w:sz w:val="24"/>
                <w:highlight w:val="none"/>
                <w:lang w:val="en-US" w:eastAsia="zh-CN"/>
              </w:rPr>
            </w:pPr>
          </w:p>
        </w:tc>
        <w:tc>
          <w:tcPr>
            <w:tcW w:w="1098" w:type="dxa"/>
            <w:noWrap w:val="0"/>
            <w:vAlign w:val="top"/>
          </w:tcPr>
          <w:p>
            <w:pPr>
              <w:pStyle w:val="12"/>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noWrap w:val="0"/>
            <w:vAlign w:val="center"/>
          </w:tcPr>
          <w:p>
            <w:pPr>
              <w:pStyle w:val="12"/>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4</w:t>
            </w:r>
          </w:p>
        </w:tc>
        <w:tc>
          <w:tcPr>
            <w:tcW w:w="1186" w:type="dxa"/>
            <w:tcBorders>
              <w:right w:val="single" w:color="auto" w:sz="4" w:space="0"/>
            </w:tcBorders>
            <w:noWrap w:val="0"/>
            <w:vAlign w:val="top"/>
          </w:tcPr>
          <w:p>
            <w:pPr>
              <w:rPr>
                <w:rFonts w:hint="eastAsia" w:ascii="宋体" w:hAnsi="宋体" w:cs="宋体"/>
                <w:color w:val="auto"/>
                <w:sz w:val="24"/>
                <w:highlight w:val="none"/>
              </w:rPr>
            </w:pPr>
          </w:p>
        </w:tc>
        <w:tc>
          <w:tcPr>
            <w:tcW w:w="1730" w:type="dxa"/>
            <w:tcBorders>
              <w:right w:val="single" w:color="auto" w:sz="4" w:space="0"/>
            </w:tcBorders>
            <w:noWrap w:val="0"/>
            <w:vAlign w:val="top"/>
          </w:tcPr>
          <w:p>
            <w:pPr>
              <w:rPr>
                <w:rFonts w:hint="eastAsia" w:ascii="宋体" w:hAnsi="宋体" w:cs="宋体"/>
                <w:color w:val="auto"/>
                <w:sz w:val="24"/>
                <w:highlight w:val="none"/>
              </w:rPr>
            </w:pPr>
          </w:p>
        </w:tc>
        <w:tc>
          <w:tcPr>
            <w:tcW w:w="1037" w:type="dxa"/>
            <w:tcBorders>
              <w:left w:val="single" w:color="auto" w:sz="4" w:space="0"/>
            </w:tcBorders>
            <w:noWrap w:val="0"/>
            <w:vAlign w:val="top"/>
          </w:tcPr>
          <w:p>
            <w:pPr>
              <w:rPr>
                <w:rFonts w:hint="eastAsia" w:ascii="宋体" w:hAnsi="宋体" w:cs="宋体"/>
                <w:color w:val="auto"/>
                <w:sz w:val="24"/>
                <w:highlight w:val="none"/>
              </w:rPr>
            </w:pPr>
          </w:p>
        </w:tc>
        <w:tc>
          <w:tcPr>
            <w:tcW w:w="1286" w:type="dxa"/>
            <w:tcBorders>
              <w:left w:val="single" w:color="auto" w:sz="4" w:space="0"/>
            </w:tcBorders>
            <w:noWrap w:val="0"/>
            <w:vAlign w:val="top"/>
          </w:tcPr>
          <w:p>
            <w:pPr>
              <w:pStyle w:val="12"/>
              <w:rPr>
                <w:rFonts w:hint="eastAsia" w:hAnsi="宋体" w:cs="宋体"/>
                <w:color w:val="auto"/>
                <w:sz w:val="24"/>
                <w:highlight w:val="none"/>
                <w:lang w:val="en-US" w:eastAsia="zh-CN"/>
              </w:rPr>
            </w:pPr>
          </w:p>
        </w:tc>
        <w:tc>
          <w:tcPr>
            <w:tcW w:w="1236" w:type="dxa"/>
            <w:tcBorders>
              <w:left w:val="nil"/>
            </w:tcBorders>
            <w:noWrap w:val="0"/>
            <w:vAlign w:val="top"/>
          </w:tcPr>
          <w:p>
            <w:pPr>
              <w:pStyle w:val="12"/>
              <w:rPr>
                <w:rFonts w:hint="eastAsia" w:hAnsi="宋体" w:cs="宋体"/>
                <w:color w:val="auto"/>
                <w:sz w:val="24"/>
                <w:highlight w:val="none"/>
                <w:lang w:val="en-US" w:eastAsia="zh-CN"/>
              </w:rPr>
            </w:pPr>
          </w:p>
        </w:tc>
        <w:tc>
          <w:tcPr>
            <w:tcW w:w="1098" w:type="dxa"/>
            <w:noWrap w:val="0"/>
            <w:vAlign w:val="top"/>
          </w:tcPr>
          <w:p>
            <w:pPr>
              <w:pStyle w:val="12"/>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noWrap w:val="0"/>
            <w:vAlign w:val="center"/>
          </w:tcPr>
          <w:p>
            <w:pPr>
              <w:pStyle w:val="12"/>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5</w:t>
            </w:r>
          </w:p>
        </w:tc>
        <w:tc>
          <w:tcPr>
            <w:tcW w:w="1186" w:type="dxa"/>
            <w:noWrap w:val="0"/>
            <w:vAlign w:val="top"/>
          </w:tcPr>
          <w:p>
            <w:pPr>
              <w:rPr>
                <w:rFonts w:hint="eastAsia" w:ascii="宋体" w:hAnsi="宋体" w:cs="宋体"/>
                <w:color w:val="auto"/>
                <w:sz w:val="24"/>
                <w:highlight w:val="none"/>
              </w:rPr>
            </w:pPr>
          </w:p>
        </w:tc>
        <w:tc>
          <w:tcPr>
            <w:tcW w:w="1730" w:type="dxa"/>
            <w:noWrap w:val="0"/>
            <w:vAlign w:val="top"/>
          </w:tcPr>
          <w:p>
            <w:pPr>
              <w:rPr>
                <w:rFonts w:hint="eastAsia" w:ascii="宋体" w:hAnsi="宋体" w:cs="宋体"/>
                <w:color w:val="auto"/>
                <w:sz w:val="24"/>
                <w:highlight w:val="none"/>
              </w:rPr>
            </w:pPr>
          </w:p>
        </w:tc>
        <w:tc>
          <w:tcPr>
            <w:tcW w:w="1037" w:type="dxa"/>
            <w:noWrap w:val="0"/>
            <w:vAlign w:val="top"/>
          </w:tcPr>
          <w:p>
            <w:pPr>
              <w:rPr>
                <w:rFonts w:hint="eastAsia" w:ascii="宋体" w:hAnsi="宋体" w:cs="宋体"/>
                <w:color w:val="auto"/>
                <w:sz w:val="24"/>
                <w:highlight w:val="none"/>
              </w:rPr>
            </w:pPr>
          </w:p>
        </w:tc>
        <w:tc>
          <w:tcPr>
            <w:tcW w:w="1286" w:type="dxa"/>
            <w:noWrap w:val="0"/>
            <w:vAlign w:val="top"/>
          </w:tcPr>
          <w:p>
            <w:pPr>
              <w:pStyle w:val="12"/>
              <w:rPr>
                <w:rFonts w:hint="eastAsia" w:hAnsi="宋体" w:cs="宋体"/>
                <w:color w:val="auto"/>
                <w:sz w:val="24"/>
                <w:highlight w:val="none"/>
                <w:lang w:val="en-US" w:eastAsia="zh-CN"/>
              </w:rPr>
            </w:pPr>
          </w:p>
        </w:tc>
        <w:tc>
          <w:tcPr>
            <w:tcW w:w="1236" w:type="dxa"/>
            <w:noWrap w:val="0"/>
            <w:vAlign w:val="top"/>
          </w:tcPr>
          <w:p>
            <w:pPr>
              <w:pStyle w:val="12"/>
              <w:rPr>
                <w:rFonts w:hint="eastAsia" w:hAnsi="宋体" w:cs="宋体"/>
                <w:color w:val="auto"/>
                <w:sz w:val="24"/>
                <w:highlight w:val="none"/>
                <w:lang w:val="en-US" w:eastAsia="zh-CN"/>
              </w:rPr>
            </w:pPr>
          </w:p>
        </w:tc>
        <w:tc>
          <w:tcPr>
            <w:tcW w:w="1098" w:type="dxa"/>
            <w:noWrap w:val="0"/>
            <w:vAlign w:val="top"/>
          </w:tcPr>
          <w:p>
            <w:pPr>
              <w:pStyle w:val="12"/>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1" w:hRule="atLeast"/>
        </w:trPr>
        <w:tc>
          <w:tcPr>
            <w:tcW w:w="791" w:type="dxa"/>
            <w:noWrap w:val="0"/>
            <w:vAlign w:val="center"/>
          </w:tcPr>
          <w:p>
            <w:pPr>
              <w:pStyle w:val="12"/>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6</w:t>
            </w:r>
          </w:p>
        </w:tc>
        <w:tc>
          <w:tcPr>
            <w:tcW w:w="1186" w:type="dxa"/>
            <w:noWrap w:val="0"/>
            <w:vAlign w:val="top"/>
          </w:tcPr>
          <w:p>
            <w:pPr>
              <w:rPr>
                <w:rFonts w:hint="eastAsia" w:ascii="宋体" w:hAnsi="宋体" w:cs="宋体"/>
                <w:color w:val="auto"/>
                <w:sz w:val="24"/>
                <w:highlight w:val="none"/>
              </w:rPr>
            </w:pPr>
          </w:p>
        </w:tc>
        <w:tc>
          <w:tcPr>
            <w:tcW w:w="1730" w:type="dxa"/>
            <w:noWrap w:val="0"/>
            <w:vAlign w:val="top"/>
          </w:tcPr>
          <w:p>
            <w:pPr>
              <w:rPr>
                <w:rFonts w:hint="eastAsia" w:ascii="宋体" w:hAnsi="宋体" w:cs="宋体"/>
                <w:color w:val="auto"/>
                <w:sz w:val="24"/>
                <w:highlight w:val="none"/>
              </w:rPr>
            </w:pPr>
          </w:p>
        </w:tc>
        <w:tc>
          <w:tcPr>
            <w:tcW w:w="1037" w:type="dxa"/>
            <w:noWrap w:val="0"/>
            <w:vAlign w:val="top"/>
          </w:tcPr>
          <w:p>
            <w:pPr>
              <w:rPr>
                <w:rFonts w:hint="eastAsia" w:ascii="宋体" w:hAnsi="宋体" w:cs="宋体"/>
                <w:color w:val="auto"/>
                <w:sz w:val="24"/>
                <w:highlight w:val="none"/>
              </w:rPr>
            </w:pPr>
          </w:p>
        </w:tc>
        <w:tc>
          <w:tcPr>
            <w:tcW w:w="1286" w:type="dxa"/>
            <w:noWrap w:val="0"/>
            <w:vAlign w:val="top"/>
          </w:tcPr>
          <w:p>
            <w:pPr>
              <w:pStyle w:val="12"/>
              <w:rPr>
                <w:rFonts w:hint="eastAsia" w:hAnsi="宋体" w:cs="宋体"/>
                <w:color w:val="auto"/>
                <w:sz w:val="24"/>
                <w:highlight w:val="none"/>
                <w:lang w:val="en-US" w:eastAsia="zh-CN"/>
              </w:rPr>
            </w:pPr>
          </w:p>
        </w:tc>
        <w:tc>
          <w:tcPr>
            <w:tcW w:w="1236" w:type="dxa"/>
            <w:noWrap w:val="0"/>
            <w:vAlign w:val="top"/>
          </w:tcPr>
          <w:p>
            <w:pPr>
              <w:pStyle w:val="12"/>
              <w:rPr>
                <w:rFonts w:hint="eastAsia" w:hAnsi="宋体" w:cs="宋体"/>
                <w:color w:val="auto"/>
                <w:sz w:val="24"/>
                <w:highlight w:val="none"/>
                <w:lang w:val="en-US" w:eastAsia="zh-CN"/>
              </w:rPr>
            </w:pPr>
          </w:p>
        </w:tc>
        <w:tc>
          <w:tcPr>
            <w:tcW w:w="1098" w:type="dxa"/>
            <w:noWrap w:val="0"/>
            <w:vAlign w:val="top"/>
          </w:tcPr>
          <w:p>
            <w:pPr>
              <w:pStyle w:val="12"/>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noWrap w:val="0"/>
            <w:vAlign w:val="center"/>
          </w:tcPr>
          <w:p>
            <w:pPr>
              <w:pStyle w:val="12"/>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7</w:t>
            </w:r>
          </w:p>
        </w:tc>
        <w:tc>
          <w:tcPr>
            <w:tcW w:w="1186" w:type="dxa"/>
            <w:noWrap w:val="0"/>
            <w:vAlign w:val="top"/>
          </w:tcPr>
          <w:p>
            <w:pPr>
              <w:rPr>
                <w:rFonts w:hint="eastAsia" w:ascii="宋体" w:hAnsi="宋体" w:cs="宋体"/>
                <w:color w:val="auto"/>
                <w:sz w:val="24"/>
                <w:highlight w:val="none"/>
              </w:rPr>
            </w:pPr>
          </w:p>
        </w:tc>
        <w:tc>
          <w:tcPr>
            <w:tcW w:w="1730" w:type="dxa"/>
            <w:noWrap w:val="0"/>
            <w:vAlign w:val="top"/>
          </w:tcPr>
          <w:p>
            <w:pPr>
              <w:rPr>
                <w:rFonts w:hint="eastAsia" w:ascii="宋体" w:hAnsi="宋体" w:cs="宋体"/>
                <w:color w:val="auto"/>
                <w:sz w:val="24"/>
                <w:highlight w:val="none"/>
              </w:rPr>
            </w:pPr>
          </w:p>
        </w:tc>
        <w:tc>
          <w:tcPr>
            <w:tcW w:w="1037" w:type="dxa"/>
            <w:noWrap w:val="0"/>
            <w:vAlign w:val="top"/>
          </w:tcPr>
          <w:p>
            <w:pPr>
              <w:rPr>
                <w:rFonts w:hint="eastAsia" w:ascii="宋体" w:hAnsi="宋体" w:cs="宋体"/>
                <w:color w:val="auto"/>
                <w:sz w:val="24"/>
                <w:highlight w:val="none"/>
              </w:rPr>
            </w:pPr>
          </w:p>
        </w:tc>
        <w:tc>
          <w:tcPr>
            <w:tcW w:w="1286" w:type="dxa"/>
            <w:noWrap w:val="0"/>
            <w:vAlign w:val="top"/>
          </w:tcPr>
          <w:p>
            <w:pPr>
              <w:pStyle w:val="12"/>
              <w:rPr>
                <w:rFonts w:hint="eastAsia" w:hAnsi="宋体" w:cs="宋体"/>
                <w:color w:val="auto"/>
                <w:sz w:val="24"/>
                <w:highlight w:val="none"/>
                <w:lang w:val="en-US" w:eastAsia="zh-CN"/>
              </w:rPr>
            </w:pPr>
          </w:p>
        </w:tc>
        <w:tc>
          <w:tcPr>
            <w:tcW w:w="1236" w:type="dxa"/>
            <w:noWrap w:val="0"/>
            <w:vAlign w:val="top"/>
          </w:tcPr>
          <w:p>
            <w:pPr>
              <w:pStyle w:val="12"/>
              <w:rPr>
                <w:rFonts w:hint="eastAsia" w:hAnsi="宋体" w:cs="宋体"/>
                <w:color w:val="auto"/>
                <w:sz w:val="24"/>
                <w:highlight w:val="none"/>
                <w:lang w:val="en-US" w:eastAsia="zh-CN"/>
              </w:rPr>
            </w:pPr>
          </w:p>
        </w:tc>
        <w:tc>
          <w:tcPr>
            <w:tcW w:w="1098" w:type="dxa"/>
            <w:noWrap w:val="0"/>
            <w:vAlign w:val="top"/>
          </w:tcPr>
          <w:p>
            <w:pPr>
              <w:pStyle w:val="12"/>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noWrap w:val="0"/>
            <w:vAlign w:val="center"/>
          </w:tcPr>
          <w:p>
            <w:pPr>
              <w:pStyle w:val="12"/>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8</w:t>
            </w:r>
          </w:p>
        </w:tc>
        <w:tc>
          <w:tcPr>
            <w:tcW w:w="1186" w:type="dxa"/>
            <w:noWrap w:val="0"/>
            <w:vAlign w:val="top"/>
          </w:tcPr>
          <w:p>
            <w:pPr>
              <w:rPr>
                <w:rFonts w:hint="eastAsia" w:ascii="宋体" w:hAnsi="宋体" w:cs="宋体"/>
                <w:color w:val="auto"/>
                <w:sz w:val="24"/>
                <w:highlight w:val="none"/>
              </w:rPr>
            </w:pPr>
          </w:p>
        </w:tc>
        <w:tc>
          <w:tcPr>
            <w:tcW w:w="1730" w:type="dxa"/>
            <w:noWrap w:val="0"/>
            <w:vAlign w:val="top"/>
          </w:tcPr>
          <w:p>
            <w:pPr>
              <w:rPr>
                <w:rFonts w:hint="eastAsia" w:ascii="宋体" w:hAnsi="宋体" w:cs="宋体"/>
                <w:color w:val="auto"/>
                <w:sz w:val="24"/>
                <w:highlight w:val="none"/>
              </w:rPr>
            </w:pPr>
          </w:p>
        </w:tc>
        <w:tc>
          <w:tcPr>
            <w:tcW w:w="1037" w:type="dxa"/>
            <w:noWrap w:val="0"/>
            <w:vAlign w:val="top"/>
          </w:tcPr>
          <w:p>
            <w:pPr>
              <w:rPr>
                <w:rFonts w:hint="eastAsia" w:ascii="宋体" w:hAnsi="宋体" w:cs="宋体"/>
                <w:color w:val="auto"/>
                <w:sz w:val="24"/>
                <w:highlight w:val="none"/>
              </w:rPr>
            </w:pPr>
          </w:p>
        </w:tc>
        <w:tc>
          <w:tcPr>
            <w:tcW w:w="1286" w:type="dxa"/>
            <w:noWrap w:val="0"/>
            <w:vAlign w:val="top"/>
          </w:tcPr>
          <w:p>
            <w:pPr>
              <w:pStyle w:val="12"/>
              <w:rPr>
                <w:rFonts w:hint="eastAsia" w:hAnsi="宋体" w:cs="宋体"/>
                <w:color w:val="auto"/>
                <w:sz w:val="24"/>
                <w:highlight w:val="none"/>
                <w:lang w:val="en-US" w:eastAsia="zh-CN"/>
              </w:rPr>
            </w:pPr>
          </w:p>
        </w:tc>
        <w:tc>
          <w:tcPr>
            <w:tcW w:w="1236" w:type="dxa"/>
            <w:noWrap w:val="0"/>
            <w:vAlign w:val="top"/>
          </w:tcPr>
          <w:p>
            <w:pPr>
              <w:pStyle w:val="12"/>
              <w:rPr>
                <w:rFonts w:hint="eastAsia" w:hAnsi="宋体" w:cs="宋体"/>
                <w:color w:val="auto"/>
                <w:sz w:val="24"/>
                <w:highlight w:val="none"/>
                <w:lang w:val="en-US" w:eastAsia="zh-CN"/>
              </w:rPr>
            </w:pPr>
          </w:p>
        </w:tc>
        <w:tc>
          <w:tcPr>
            <w:tcW w:w="1098" w:type="dxa"/>
            <w:noWrap w:val="0"/>
            <w:vAlign w:val="top"/>
          </w:tcPr>
          <w:p>
            <w:pPr>
              <w:pStyle w:val="12"/>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noWrap w:val="0"/>
            <w:vAlign w:val="center"/>
          </w:tcPr>
          <w:p>
            <w:pPr>
              <w:pStyle w:val="12"/>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9</w:t>
            </w:r>
          </w:p>
        </w:tc>
        <w:tc>
          <w:tcPr>
            <w:tcW w:w="1186" w:type="dxa"/>
            <w:noWrap w:val="0"/>
            <w:vAlign w:val="top"/>
          </w:tcPr>
          <w:p>
            <w:pPr>
              <w:rPr>
                <w:rFonts w:hint="eastAsia" w:ascii="宋体" w:hAnsi="宋体" w:cs="宋体"/>
                <w:color w:val="auto"/>
                <w:sz w:val="24"/>
                <w:highlight w:val="none"/>
              </w:rPr>
            </w:pPr>
          </w:p>
        </w:tc>
        <w:tc>
          <w:tcPr>
            <w:tcW w:w="1730" w:type="dxa"/>
            <w:noWrap w:val="0"/>
            <w:vAlign w:val="top"/>
          </w:tcPr>
          <w:p>
            <w:pPr>
              <w:rPr>
                <w:rFonts w:hint="eastAsia" w:ascii="宋体" w:hAnsi="宋体" w:cs="宋体"/>
                <w:color w:val="auto"/>
                <w:sz w:val="24"/>
                <w:highlight w:val="none"/>
              </w:rPr>
            </w:pPr>
          </w:p>
        </w:tc>
        <w:tc>
          <w:tcPr>
            <w:tcW w:w="1037" w:type="dxa"/>
            <w:noWrap w:val="0"/>
            <w:vAlign w:val="top"/>
          </w:tcPr>
          <w:p>
            <w:pPr>
              <w:rPr>
                <w:rFonts w:hint="eastAsia" w:ascii="宋体" w:hAnsi="宋体" w:cs="宋体"/>
                <w:color w:val="auto"/>
                <w:sz w:val="24"/>
                <w:highlight w:val="none"/>
              </w:rPr>
            </w:pPr>
          </w:p>
        </w:tc>
        <w:tc>
          <w:tcPr>
            <w:tcW w:w="1286" w:type="dxa"/>
            <w:noWrap w:val="0"/>
            <w:vAlign w:val="top"/>
          </w:tcPr>
          <w:p>
            <w:pPr>
              <w:pStyle w:val="12"/>
              <w:rPr>
                <w:rFonts w:hint="eastAsia" w:hAnsi="宋体" w:cs="宋体"/>
                <w:color w:val="auto"/>
                <w:sz w:val="24"/>
                <w:highlight w:val="none"/>
                <w:lang w:val="en-US" w:eastAsia="zh-CN"/>
              </w:rPr>
            </w:pPr>
          </w:p>
        </w:tc>
        <w:tc>
          <w:tcPr>
            <w:tcW w:w="1236" w:type="dxa"/>
            <w:noWrap w:val="0"/>
            <w:vAlign w:val="top"/>
          </w:tcPr>
          <w:p>
            <w:pPr>
              <w:pStyle w:val="12"/>
              <w:rPr>
                <w:rFonts w:hint="eastAsia" w:hAnsi="宋体" w:cs="宋体"/>
                <w:color w:val="auto"/>
                <w:sz w:val="24"/>
                <w:highlight w:val="none"/>
                <w:lang w:val="en-US" w:eastAsia="zh-CN"/>
              </w:rPr>
            </w:pPr>
          </w:p>
        </w:tc>
        <w:tc>
          <w:tcPr>
            <w:tcW w:w="1098" w:type="dxa"/>
            <w:noWrap w:val="0"/>
            <w:vAlign w:val="top"/>
          </w:tcPr>
          <w:p>
            <w:pPr>
              <w:pStyle w:val="12"/>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030" w:type="dxa"/>
            <w:gridSpan w:val="5"/>
            <w:noWrap w:val="0"/>
            <w:vAlign w:val="center"/>
          </w:tcPr>
          <w:p>
            <w:pPr>
              <w:pStyle w:val="12"/>
              <w:jc w:val="center"/>
              <w:rPr>
                <w:rFonts w:hint="eastAsia" w:hAnsi="宋体" w:cs="宋体"/>
                <w:color w:val="auto"/>
                <w:sz w:val="24"/>
                <w:highlight w:val="none"/>
                <w:lang w:val="en-US" w:eastAsia="zh-CN"/>
              </w:rPr>
            </w:pPr>
            <w:r>
              <w:rPr>
                <w:rFonts w:hint="eastAsia" w:hAnsi="宋体" w:cs="宋体"/>
                <w:b/>
                <w:color w:val="auto"/>
                <w:sz w:val="24"/>
                <w:highlight w:val="none"/>
                <w:lang w:val="en-US" w:eastAsia="zh-CN"/>
              </w:rPr>
              <w:t>合计</w:t>
            </w:r>
          </w:p>
        </w:tc>
        <w:tc>
          <w:tcPr>
            <w:tcW w:w="1236" w:type="dxa"/>
            <w:noWrap w:val="0"/>
            <w:vAlign w:val="center"/>
          </w:tcPr>
          <w:p>
            <w:pPr>
              <w:pStyle w:val="12"/>
              <w:jc w:val="center"/>
              <w:rPr>
                <w:rFonts w:hint="eastAsia" w:hAnsi="宋体" w:cs="宋体"/>
                <w:color w:val="auto"/>
                <w:sz w:val="24"/>
                <w:highlight w:val="none"/>
                <w:lang w:val="en-US" w:eastAsia="zh-CN"/>
              </w:rPr>
            </w:pPr>
          </w:p>
        </w:tc>
        <w:tc>
          <w:tcPr>
            <w:tcW w:w="1098" w:type="dxa"/>
            <w:noWrap w:val="0"/>
            <w:vAlign w:val="center"/>
          </w:tcPr>
          <w:p>
            <w:pPr>
              <w:pStyle w:val="12"/>
              <w:jc w:val="center"/>
              <w:rPr>
                <w:rFonts w:hint="eastAsia" w:hAnsi="宋体" w:cs="宋体"/>
                <w:color w:val="auto"/>
                <w:sz w:val="24"/>
                <w:highlight w:val="none"/>
                <w:lang w:val="en-US" w:eastAsia="zh-CN"/>
              </w:rPr>
            </w:pPr>
          </w:p>
        </w:tc>
      </w:tr>
    </w:tbl>
    <w:p>
      <w:pPr>
        <w:pStyle w:val="13"/>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章：</w:t>
      </w:r>
    </w:p>
    <w:p>
      <w:pPr>
        <w:spacing w:line="380" w:lineRule="exact"/>
        <w:ind w:right="64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被授权人</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法人：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签字）</w:t>
      </w:r>
    </w:p>
    <w:p>
      <w:pPr>
        <w:rPr>
          <w:rFonts w:hint="eastAsia"/>
          <w:color w:val="auto"/>
          <w:highlight w:val="none"/>
        </w:rPr>
      </w:pPr>
    </w:p>
    <w:p>
      <w:pPr>
        <w:rPr>
          <w:rFonts w:hint="eastAsia"/>
          <w:color w:val="auto"/>
          <w:highlight w:val="none"/>
        </w:rPr>
      </w:pPr>
      <w:r>
        <w:rPr>
          <w:rFonts w:hint="eastAsia" w:ascii="宋体" w:hAnsi="宋体" w:cs="宋体"/>
          <w:color w:val="auto"/>
          <w:sz w:val="24"/>
          <w:highlight w:val="none"/>
        </w:rPr>
        <w:t>年   月    日</w:t>
      </w:r>
    </w:p>
    <w:p>
      <w:pPr>
        <w:spacing w:before="48" w:beforeLines="20" w:after="48" w:afterLines="20" w:line="360" w:lineRule="auto"/>
        <w:rPr>
          <w:rFonts w:hint="eastAsia" w:ascii="宋体" w:hAnsi="宋体" w:cs="宋体"/>
          <w:color w:val="auto"/>
          <w:sz w:val="28"/>
          <w:highlight w:val="none"/>
        </w:rPr>
      </w:pPr>
      <w:r>
        <w:rPr>
          <w:rFonts w:hint="eastAsia" w:ascii="宋体" w:hAnsi="宋体" w:cs="宋体"/>
          <w:color w:val="auto"/>
          <w:sz w:val="24"/>
          <w:szCs w:val="27"/>
          <w:highlight w:val="none"/>
        </w:rPr>
        <w:t>备注：备品备件系指免费质保期满后一定期限的易损件、耗材等。</w:t>
      </w:r>
    </w:p>
    <w:p>
      <w:pPr>
        <w:spacing w:before="48" w:beforeLines="20" w:after="48" w:afterLines="20" w:line="360" w:lineRule="auto"/>
        <w:rPr>
          <w:rFonts w:hint="eastAsia" w:ascii="宋体" w:hAnsi="宋体" w:cs="宋体"/>
          <w:color w:val="auto"/>
          <w:sz w:val="28"/>
          <w:highlight w:val="none"/>
        </w:rPr>
      </w:pPr>
    </w:p>
    <w:p>
      <w:pPr>
        <w:spacing w:before="48" w:beforeLines="20" w:after="48" w:afterLines="20" w:line="360" w:lineRule="auto"/>
        <w:rPr>
          <w:rFonts w:hint="eastAsia" w:ascii="宋体" w:hAnsi="宋体" w:cs="宋体"/>
          <w:color w:val="auto"/>
          <w:sz w:val="28"/>
          <w:highlight w:val="none"/>
        </w:rPr>
      </w:pPr>
    </w:p>
    <w:p>
      <w:pPr>
        <w:pStyle w:val="19"/>
        <w:rPr>
          <w:rFonts w:hint="eastAsia"/>
          <w:color w:val="auto"/>
          <w:highlight w:val="none"/>
        </w:rPr>
      </w:pPr>
    </w:p>
    <w:p>
      <w:pPr>
        <w:pStyle w:val="5"/>
        <w:rPr>
          <w:rFonts w:hint="eastAsia" w:hAnsi="宋体" w:cs="宋体"/>
          <w:color w:val="auto"/>
          <w:sz w:val="28"/>
          <w:szCs w:val="36"/>
          <w:highlight w:val="none"/>
        </w:rPr>
      </w:pPr>
      <w:bookmarkStart w:id="179" w:name="_Toc5312_WPSOffice_Level2"/>
      <w:bookmarkStart w:id="180" w:name="_Toc516969105"/>
      <w:bookmarkStart w:id="181" w:name="_Toc40975456"/>
      <w:bookmarkStart w:id="182" w:name="_Toc220232402"/>
      <w:bookmarkStart w:id="183" w:name="_Toc14527"/>
      <w:r>
        <w:rPr>
          <w:rFonts w:hint="eastAsia" w:hAnsi="宋体" w:cs="宋体"/>
          <w:color w:val="auto"/>
          <w:sz w:val="28"/>
          <w:highlight w:val="none"/>
        </w:rPr>
        <w:t>八．有关证明文件</w:t>
      </w:r>
      <w:bookmarkEnd w:id="179"/>
      <w:bookmarkEnd w:id="180"/>
      <w:bookmarkEnd w:id="181"/>
      <w:bookmarkEnd w:id="182"/>
      <w:bookmarkEnd w:id="183"/>
    </w:p>
    <w:p>
      <w:pPr>
        <w:tabs>
          <w:tab w:val="left" w:pos="46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提供符合投标邀请（招标公告）、货物需求一览表及评标办法规定的相关证明文件。</w:t>
      </w: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eastAsia="宋体" w:cs="宋体"/>
          <w:color w:val="auto"/>
          <w:sz w:val="24"/>
          <w:highlight w:val="none"/>
          <w:lang w:eastAsia="zh-CN"/>
        </w:rPr>
      </w:pPr>
    </w:p>
    <w:p>
      <w:pPr>
        <w:pStyle w:val="2"/>
        <w:rPr>
          <w:rFonts w:hint="eastAsia" w:ascii="宋体" w:hAnsi="宋体" w:eastAsia="宋体" w:cs="宋体"/>
          <w:color w:val="auto"/>
          <w:sz w:val="24"/>
          <w:highlight w:val="none"/>
          <w:lang w:eastAsia="zh-CN"/>
        </w:rPr>
      </w:pPr>
    </w:p>
    <w:p>
      <w:pPr>
        <w:pStyle w:val="2"/>
        <w:rPr>
          <w:rFonts w:hint="eastAsia" w:ascii="宋体" w:hAnsi="宋体" w:eastAsia="宋体" w:cs="宋体"/>
          <w:color w:val="auto"/>
          <w:sz w:val="24"/>
          <w:highlight w:val="none"/>
          <w:lang w:eastAsia="zh-CN"/>
        </w:rPr>
      </w:pPr>
    </w:p>
    <w:p>
      <w:pPr>
        <w:pStyle w:val="2"/>
        <w:rPr>
          <w:rFonts w:hint="eastAsia" w:ascii="宋体" w:hAnsi="宋体" w:eastAsia="宋体" w:cs="宋体"/>
          <w:color w:val="auto"/>
          <w:sz w:val="24"/>
          <w:highlight w:val="none"/>
          <w:lang w:eastAsia="zh-CN"/>
        </w:rPr>
      </w:pPr>
    </w:p>
    <w:p>
      <w:pPr>
        <w:pStyle w:val="2"/>
        <w:rPr>
          <w:rFonts w:hint="eastAsia" w:ascii="宋体" w:hAnsi="宋体" w:eastAsia="宋体" w:cs="宋体"/>
          <w:color w:val="auto"/>
          <w:sz w:val="24"/>
          <w:highlight w:val="none"/>
          <w:lang w:eastAsia="zh-CN"/>
        </w:rPr>
      </w:pPr>
    </w:p>
    <w:p>
      <w:pPr>
        <w:pStyle w:val="2"/>
        <w:rPr>
          <w:rFonts w:hint="eastAsia" w:ascii="宋体" w:hAnsi="宋体" w:eastAsia="宋体" w:cs="宋体"/>
          <w:color w:val="auto"/>
          <w:sz w:val="24"/>
          <w:highlight w:val="none"/>
          <w:lang w:eastAsia="zh-CN"/>
        </w:rPr>
      </w:pPr>
    </w:p>
    <w:p>
      <w:pPr>
        <w:pStyle w:val="2"/>
        <w:rPr>
          <w:rFonts w:hint="eastAsia" w:ascii="宋体" w:hAnsi="宋体" w:eastAsia="宋体" w:cs="宋体"/>
          <w:color w:val="auto"/>
          <w:sz w:val="24"/>
          <w:highlight w:val="none"/>
          <w:lang w:eastAsia="zh-CN"/>
        </w:rPr>
      </w:pP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cs="宋体"/>
          <w:color w:val="auto"/>
          <w:sz w:val="24"/>
          <w:highlight w:val="none"/>
        </w:rPr>
      </w:pPr>
    </w:p>
    <w:p>
      <w:pPr>
        <w:tabs>
          <w:tab w:val="left" w:pos="4620"/>
        </w:tabs>
        <w:spacing w:line="360" w:lineRule="auto"/>
        <w:ind w:firstLine="480" w:firstLineChars="200"/>
        <w:rPr>
          <w:rFonts w:hint="eastAsia" w:ascii="宋体" w:hAnsi="宋体" w:cs="宋体"/>
          <w:color w:val="auto"/>
          <w:sz w:val="24"/>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tabs>
          <w:tab w:val="left" w:pos="4620"/>
        </w:tabs>
        <w:spacing w:line="360" w:lineRule="auto"/>
        <w:ind w:firstLine="480" w:firstLineChars="200"/>
        <w:rPr>
          <w:rFonts w:hint="eastAsia" w:ascii="宋体" w:hAnsi="宋体" w:cs="宋体"/>
          <w:color w:val="auto"/>
          <w:sz w:val="24"/>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5"/>
        <w:rPr>
          <w:rFonts w:hint="eastAsia"/>
          <w:b/>
          <w:bCs/>
          <w:color w:val="auto"/>
          <w:sz w:val="28"/>
          <w:szCs w:val="28"/>
          <w:highlight w:val="none"/>
        </w:rPr>
      </w:pPr>
      <w:bookmarkStart w:id="184" w:name="_Toc13715_WPSOffice_Level2"/>
      <w:bookmarkStart w:id="185" w:name="_Toc40975457"/>
      <w:bookmarkStart w:id="186" w:name="_Toc32601"/>
      <w:r>
        <w:rPr>
          <w:rFonts w:hint="eastAsia" w:hAnsi="宋体" w:cs="宋体"/>
          <w:color w:val="auto"/>
          <w:sz w:val="28"/>
          <w:szCs w:val="28"/>
          <w:highlight w:val="none"/>
        </w:rPr>
        <w:t>九．</w:t>
      </w:r>
      <w:bookmarkEnd w:id="184"/>
      <w:bookmarkEnd w:id="185"/>
      <w:bookmarkStart w:id="187" w:name="_Toc220232403"/>
      <w:r>
        <w:rPr>
          <w:rFonts w:hint="eastAsia"/>
          <w:b/>
          <w:bCs/>
          <w:color w:val="auto"/>
          <w:sz w:val="28"/>
          <w:szCs w:val="28"/>
          <w:highlight w:val="none"/>
        </w:rPr>
        <w:t>中小企业声明函（货物）</w:t>
      </w:r>
      <w:bookmarkEnd w:id="18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供的货物全部由符合政策要求的中小企业制造。相关企业</w:t>
      </w:r>
      <w:r>
        <w:rPr>
          <w:rFonts w:hint="eastAsia" w:ascii="宋体" w:hAnsi="宋体" w:eastAsia="宋体" w:cs="宋体"/>
          <w:color w:val="auto"/>
          <w:sz w:val="24"/>
          <w:szCs w:val="24"/>
          <w:highlight w:val="none"/>
          <w:u w:val="none"/>
        </w:rPr>
        <w:t>（含联合体中的中小企业、签订分包意向协议的中小企业）</w:t>
      </w:r>
      <w:r>
        <w:rPr>
          <w:rFonts w:hint="eastAsia" w:ascii="宋体" w:hAnsi="宋体" w:eastAsia="宋体" w:cs="宋体"/>
          <w:color w:val="auto"/>
          <w:sz w:val="24"/>
          <w:szCs w:val="24"/>
          <w:highlight w:val="none"/>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pPr>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注：1.</w:t>
      </w:r>
      <w:r>
        <w:rPr>
          <w:rFonts w:hint="eastAsia"/>
          <w:color w:val="auto"/>
          <w:highlight w:val="none"/>
        </w:rPr>
        <w:t>从业人员、营业收入、资产总额填报上一年度数据，无上一年度数据的新成立企业可不填报。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630" w:leftChars="200" w:hanging="210" w:hangingChars="1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本项目如是只面向中小企业采购的应当必须提供。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8"/>
          <w:szCs w:val="28"/>
          <w:highlight w:val="none"/>
        </w:rPr>
      </w:pPr>
    </w:p>
    <w:bookmarkEnd w:id="187"/>
    <w:p>
      <w:pPr>
        <w:pStyle w:val="5"/>
        <w:rPr>
          <w:rFonts w:hint="eastAsia" w:hAnsi="宋体" w:cs="宋体"/>
          <w:color w:val="auto"/>
          <w:sz w:val="28"/>
          <w:highlight w:val="none"/>
        </w:rPr>
        <w:sectPr>
          <w:pgSz w:w="11906" w:h="16838"/>
          <w:pgMar w:top="1389" w:right="1304" w:bottom="1440" w:left="1304" w:header="851" w:footer="992" w:gutter="0"/>
          <w:cols w:space="720" w:num="1"/>
          <w:rtlGutter w:val="0"/>
          <w:docGrid w:linePitch="312" w:charSpace="0"/>
        </w:sectPr>
      </w:pPr>
      <w:bookmarkStart w:id="188" w:name="_Hlt526418111"/>
      <w:bookmarkEnd w:id="188"/>
      <w:bookmarkStart w:id="189" w:name="_Hlt526418103"/>
      <w:bookmarkEnd w:id="189"/>
      <w:bookmarkStart w:id="190" w:name="_Toc2532_WPSOffice_Level2"/>
      <w:bookmarkStart w:id="191" w:name="_Toc220232405"/>
      <w:bookmarkStart w:id="192" w:name="_Toc516969110"/>
      <w:bookmarkStart w:id="193" w:name="_Toc40975458"/>
    </w:p>
    <w:p>
      <w:pPr>
        <w:pStyle w:val="5"/>
        <w:rPr>
          <w:rFonts w:hint="eastAsia" w:hAnsi="宋体" w:cs="宋体"/>
          <w:color w:val="auto"/>
          <w:sz w:val="36"/>
          <w:szCs w:val="36"/>
          <w:highlight w:val="none"/>
        </w:rPr>
      </w:pPr>
      <w:bookmarkStart w:id="194" w:name="_Toc12984"/>
      <w:r>
        <w:rPr>
          <w:rFonts w:hint="eastAsia" w:hAnsi="宋体" w:cs="宋体"/>
          <w:color w:val="auto"/>
          <w:sz w:val="28"/>
          <w:highlight w:val="none"/>
        </w:rPr>
        <w:t>十．售后服务</w:t>
      </w:r>
      <w:bookmarkEnd w:id="190"/>
      <w:bookmarkEnd w:id="191"/>
      <w:bookmarkEnd w:id="192"/>
      <w:bookmarkEnd w:id="193"/>
      <w:bookmarkEnd w:id="194"/>
    </w:p>
    <w:p>
      <w:pPr>
        <w:jc w:val="center"/>
        <w:rPr>
          <w:rFonts w:hint="eastAsia" w:ascii="宋体" w:hAnsi="宋体" w:cs="宋体"/>
          <w:color w:val="auto"/>
          <w:sz w:val="28"/>
          <w:highlight w:val="none"/>
        </w:rPr>
      </w:pPr>
      <w:r>
        <w:rPr>
          <w:rFonts w:hint="eastAsia" w:ascii="宋体" w:hAnsi="宋体" w:cs="宋体"/>
          <w:color w:val="auto"/>
          <w:sz w:val="24"/>
          <w:highlight w:val="none"/>
        </w:rPr>
        <w:t>(投标人可自行制作格式)</w:t>
      </w:r>
    </w:p>
    <w:p>
      <w:pPr>
        <w:spacing w:line="500" w:lineRule="exact"/>
        <w:jc w:val="center"/>
        <w:rPr>
          <w:rFonts w:hint="eastAsia" w:ascii="宋体" w:hAnsi="宋体" w:cs="宋体"/>
          <w:b/>
          <w:bCs/>
          <w:color w:val="auto"/>
          <w:sz w:val="30"/>
          <w:highlight w:val="none"/>
        </w:rPr>
      </w:pPr>
      <w:bookmarkStart w:id="195" w:name="_Hlt526418107"/>
      <w:bookmarkEnd w:id="195"/>
    </w:p>
    <w:p>
      <w:pPr>
        <w:pStyle w:val="5"/>
        <w:rPr>
          <w:rFonts w:hint="eastAsia" w:hAnsi="宋体" w:cs="宋体"/>
          <w:color w:val="auto"/>
          <w:sz w:val="44"/>
          <w:highlight w:val="none"/>
        </w:rPr>
      </w:pPr>
      <w:bookmarkStart w:id="196" w:name="_Toc197934560"/>
      <w:bookmarkStart w:id="197" w:name="_Toc359404312"/>
      <w:bookmarkStart w:id="198" w:name="_Hlt509738384"/>
      <w:bookmarkStart w:id="199" w:name="_Toc13121"/>
      <w:bookmarkStart w:id="200" w:name="_Toc30338_WPSOffice_Level2"/>
      <w:bookmarkStart w:id="201" w:name="_Toc40975459"/>
      <w:bookmarkStart w:id="202" w:name="_Toc516969111"/>
      <w:r>
        <w:rPr>
          <w:rFonts w:hint="eastAsia" w:hAnsi="宋体" w:cs="宋体"/>
          <w:color w:val="auto"/>
          <w:sz w:val="28"/>
          <w:highlight w:val="none"/>
        </w:rPr>
        <w:t>十一、所投货物的技术资料等</w:t>
      </w:r>
      <w:bookmarkEnd w:id="196"/>
      <w:bookmarkEnd w:id="197"/>
      <w:bookmarkEnd w:id="198"/>
      <w:bookmarkEnd w:id="199"/>
      <w:bookmarkEnd w:id="200"/>
      <w:bookmarkEnd w:id="201"/>
      <w:bookmarkEnd w:id="202"/>
      <w:bookmarkStart w:id="203" w:name="_Hlt509650291"/>
      <w:bookmarkEnd w:id="203"/>
    </w:p>
    <w:p>
      <w:pPr>
        <w:jc w:val="center"/>
        <w:rPr>
          <w:rFonts w:hint="eastAsia" w:ascii="宋体" w:hAnsi="宋体" w:cs="宋体"/>
          <w:color w:val="auto"/>
          <w:sz w:val="24"/>
          <w:highlight w:val="none"/>
        </w:rPr>
      </w:pPr>
      <w:r>
        <w:rPr>
          <w:rFonts w:hint="eastAsia" w:ascii="宋体" w:hAnsi="宋体" w:cs="宋体"/>
          <w:color w:val="auto"/>
          <w:sz w:val="24"/>
          <w:highlight w:val="none"/>
        </w:rPr>
        <w:t>（投标人可自行制作格式，可附产品技术彩页）</w:t>
      </w: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pStyle w:val="5"/>
        <w:rPr>
          <w:rFonts w:hint="eastAsia" w:hAnsi="宋体" w:cs="宋体"/>
          <w:color w:val="auto"/>
          <w:sz w:val="28"/>
          <w:highlight w:val="none"/>
        </w:rPr>
      </w:pPr>
      <w:bookmarkStart w:id="204" w:name="_Toc4392"/>
      <w:r>
        <w:rPr>
          <w:rFonts w:hint="eastAsia" w:hAnsi="宋体" w:cs="宋体"/>
          <w:color w:val="auto"/>
          <w:sz w:val="28"/>
          <w:highlight w:val="none"/>
        </w:rPr>
        <w:t>十二、其他投标人认为需要提供得材料等</w:t>
      </w:r>
      <w:bookmarkEnd w:id="204"/>
    </w:p>
    <w:p>
      <w:pPr>
        <w:pStyle w:val="5"/>
        <w:rPr>
          <w:rFonts w:hint="eastAsia" w:hAnsi="宋体" w:cs="宋体"/>
          <w:color w:val="auto"/>
          <w:sz w:val="28"/>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22"/>
        <w:ind w:right="-21" w:firstLine="0" w:firstLineChars="0"/>
        <w:rPr>
          <w:rFonts w:hint="eastAsia" w:ascii="宋体" w:hAnsi="宋体" w:eastAsia="宋体" w:cs="宋体"/>
          <w:color w:val="auto"/>
          <w:highlight w:val="none"/>
        </w:rPr>
      </w:pPr>
    </w:p>
    <w:p>
      <w:pPr>
        <w:spacing w:line="38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十三、政府采购供应商诚信承诺书</w:t>
      </w:r>
    </w:p>
    <w:p>
      <w:pPr>
        <w:spacing w:line="380" w:lineRule="exact"/>
        <w:jc w:val="center"/>
        <w:rPr>
          <w:rFonts w:hint="eastAsia" w:ascii="宋体" w:hAnsi="宋体" w:cs="宋体"/>
          <w:b/>
          <w:color w:val="auto"/>
          <w:sz w:val="24"/>
          <w:highlight w:val="none"/>
        </w:rPr>
      </w:pP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（一）提供虚假材料谋取中标;</w:t>
      </w:r>
    </w:p>
    <w:p>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（二）采取不正当手段诋毁、排挤其他供应商;</w:t>
      </w:r>
    </w:p>
    <w:p>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（三）与招标采购单位、其他投标人恶意串通;</w:t>
      </w:r>
    </w:p>
    <w:p>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（四）向招标采购单位或提供其他不正当利益;</w:t>
      </w:r>
    </w:p>
    <w:p>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（五）在招标过程中与招标采购单位进行协商谈判、不按照招标文件和投标文件订立合同，或者与采购人另立背离合同实质性内容协议;</w:t>
      </w:r>
    </w:p>
    <w:p>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（六）开标后擅自撤销投标，影响招标继续进行的或领取招标文件纳投标保证金后不投标导致废标;</w:t>
      </w:r>
    </w:p>
    <w:p>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（七）中标后无正当理由，在规定时间内不与采购单位签订合同;</w:t>
      </w:r>
    </w:p>
    <w:p>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（八）将中标项目转让给他人或非法分包他人;</w:t>
      </w:r>
    </w:p>
    <w:p>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（九）无正当理由，拒绝履行合同义务;</w:t>
      </w:r>
    </w:p>
    <w:p>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（十）无正当理由放弃中标（成交）项目;</w:t>
      </w:r>
    </w:p>
    <w:p>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（十ー）擅自或与与采购人串通或接受采购人要求，在履约合同中通过减少货物数量，更换品牌、降低配置、技术要求、质量和服务标准等，却仍按原合同进行虚假验收或终止政府采购合同;</w:t>
      </w:r>
    </w:p>
    <w:p>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（十二）与采购人串通，对尚未履约完毕的采购项目出具虚假验收报告；</w:t>
      </w:r>
    </w:p>
    <w:p>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（十三）无不可抗力因素，拒绝提供售后服务、售后服务态度恶劣、故意提高维修配件价格（高于市场平均价）；</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（十四）开标后对招标文件的相关内容再进行质疑；</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（十五）恶意投诉的行为：投诉经查无实据的、捏造事实或者提供虚假设诉材料；</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（十六）拒绝有关部门监督检查或者提供虚假情况；</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（十七）政府采购监管部门认定的其他政府采购活动中的不诚信行为。</w:t>
      </w:r>
    </w:p>
    <w:p>
      <w:pPr>
        <w:spacing w:line="380" w:lineRule="exact"/>
        <w:rPr>
          <w:rFonts w:hint="eastAsia" w:ascii="宋体" w:hAnsi="宋体" w:cs="宋体"/>
          <w:color w:val="auto"/>
          <w:sz w:val="24"/>
          <w:highlight w:val="none"/>
        </w:rPr>
      </w:pPr>
    </w:p>
    <w:p>
      <w:pPr>
        <w:spacing w:line="380" w:lineRule="exact"/>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eastAsia="宋体" w:cs="宋体"/>
          <w:color w:val="auto"/>
          <w:sz w:val="24"/>
          <w:highlight w:val="none"/>
        </w:rPr>
        <w:t>电子</w:t>
      </w:r>
      <w:r>
        <w:rPr>
          <w:rFonts w:hint="eastAsia" w:ascii="宋体" w:hAnsi="宋体" w:eastAsia="宋体" w:cs="宋体"/>
          <w:color w:val="auto"/>
          <w:sz w:val="24"/>
          <w:highlight w:val="none"/>
          <w:lang w:val="en-US" w:eastAsia="zh-CN"/>
        </w:rPr>
        <w:t>公</w:t>
      </w:r>
      <w:r>
        <w:rPr>
          <w:rFonts w:hint="eastAsia" w:ascii="宋体" w:hAnsi="宋体" w:eastAsia="宋体" w:cs="宋体"/>
          <w:color w:val="auto"/>
          <w:sz w:val="24"/>
          <w:highlight w:val="none"/>
        </w:rPr>
        <w:t>章</w:t>
      </w:r>
      <w:r>
        <w:rPr>
          <w:rFonts w:hint="eastAsia" w:ascii="宋体" w:hAnsi="宋体" w:cs="宋体"/>
          <w:color w:val="auto"/>
          <w:sz w:val="24"/>
          <w:highlight w:val="none"/>
        </w:rPr>
        <w:t>）</w:t>
      </w:r>
    </w:p>
    <w:p>
      <w:pPr>
        <w:spacing w:line="380" w:lineRule="exact"/>
        <w:ind w:right="640" w:firstLine="1560" w:firstLineChars="650"/>
        <w:rPr>
          <w:rFonts w:hint="eastAsia" w:ascii="宋体" w:hAnsi="宋体" w:cs="宋体"/>
          <w:color w:val="auto"/>
          <w:sz w:val="24"/>
          <w:highlight w:val="none"/>
        </w:rPr>
      </w:pPr>
    </w:p>
    <w:p>
      <w:pPr>
        <w:spacing w:line="380" w:lineRule="exact"/>
        <w:ind w:right="640" w:firstLine="3600" w:firstLineChars="1500"/>
        <w:rPr>
          <w:rFonts w:hint="eastAsia" w:ascii="宋体" w:hAnsi="宋体" w:cs="宋体"/>
          <w:color w:val="auto"/>
          <w:sz w:val="24"/>
          <w:highlight w:val="none"/>
        </w:rPr>
      </w:pPr>
      <w:r>
        <w:rPr>
          <w:rFonts w:hint="eastAsia" w:ascii="宋体" w:hAnsi="宋体" w:cs="宋体"/>
          <w:color w:val="auto"/>
          <w:sz w:val="24"/>
          <w:highlight w:val="none"/>
        </w:rPr>
        <w:t>法人代表</w:t>
      </w:r>
      <w:r>
        <w:rPr>
          <w:rFonts w:hint="eastAsia" w:ascii="宋体" w:hAnsi="宋体" w:cs="宋体"/>
          <w:color w:val="auto"/>
          <w:sz w:val="24"/>
          <w:highlight w:val="none"/>
          <w:lang w:eastAsia="zh-CN"/>
        </w:rPr>
        <w:t>和</w:t>
      </w:r>
      <w:r>
        <w:rPr>
          <w:rFonts w:hint="eastAsia" w:ascii="宋体" w:hAnsi="宋体" w:cs="宋体"/>
          <w:color w:val="auto"/>
          <w:sz w:val="24"/>
          <w:highlight w:val="none"/>
        </w:rPr>
        <w:t>授权委托人：（签</w:t>
      </w:r>
      <w:r>
        <w:rPr>
          <w:rFonts w:hint="eastAsia" w:ascii="宋体" w:hAnsi="宋体" w:cs="宋体"/>
          <w:color w:val="auto"/>
          <w:sz w:val="24"/>
          <w:highlight w:val="none"/>
          <w:lang w:eastAsia="zh-CN"/>
        </w:rPr>
        <w:t>章</w:t>
      </w:r>
      <w:r>
        <w:rPr>
          <w:rFonts w:hint="eastAsia" w:ascii="宋体" w:hAnsi="宋体" w:cs="宋体"/>
          <w:color w:val="auto"/>
          <w:sz w:val="24"/>
          <w:highlight w:val="none"/>
        </w:rPr>
        <w:t>）</w:t>
      </w:r>
    </w:p>
    <w:p>
      <w:pPr>
        <w:spacing w:line="380" w:lineRule="exact"/>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pStyle w:val="39"/>
        <w:ind w:firstLine="210"/>
        <w:rPr>
          <w:color w:val="auto"/>
          <w:highlight w:val="none"/>
        </w:rPr>
      </w:pPr>
    </w:p>
    <w:p>
      <w:pPr>
        <w:pStyle w:val="39"/>
        <w:ind w:firstLine="321"/>
        <w:jc w:val="center"/>
        <w:rPr>
          <w:rFonts w:hint="eastAsia"/>
          <w:b/>
          <w:color w:val="auto"/>
          <w:sz w:val="32"/>
          <w:szCs w:val="32"/>
          <w:highlight w:val="none"/>
        </w:rPr>
      </w:pPr>
    </w:p>
    <w:p>
      <w:pPr>
        <w:pStyle w:val="39"/>
        <w:ind w:firstLine="321"/>
        <w:jc w:val="center"/>
        <w:rPr>
          <w:b/>
          <w:color w:val="auto"/>
          <w:sz w:val="32"/>
          <w:szCs w:val="32"/>
          <w:highlight w:val="none"/>
        </w:rPr>
      </w:pPr>
      <w:r>
        <w:rPr>
          <w:rFonts w:hint="eastAsia"/>
          <w:b/>
          <w:color w:val="auto"/>
          <w:sz w:val="32"/>
          <w:szCs w:val="32"/>
          <w:highlight w:val="none"/>
        </w:rPr>
        <w:t>周口市政府采购合同融资政策告知函</w:t>
      </w:r>
    </w:p>
    <w:p>
      <w:pPr>
        <w:pStyle w:val="39"/>
        <w:ind w:firstLine="240"/>
        <w:rPr>
          <w:rFonts w:ascii="宋体" w:hAnsi="宋体"/>
          <w:color w:val="auto"/>
          <w:sz w:val="24"/>
          <w:szCs w:val="24"/>
          <w:highlight w:val="none"/>
        </w:rPr>
      </w:pPr>
    </w:p>
    <w:p>
      <w:pPr>
        <w:pStyle w:val="39"/>
        <w:ind w:firstLine="240"/>
        <w:rPr>
          <w:rFonts w:hint="eastAsia" w:ascii="宋体" w:hAnsi="宋体"/>
          <w:color w:val="auto"/>
          <w:sz w:val="24"/>
          <w:szCs w:val="24"/>
          <w:highlight w:val="none"/>
        </w:rPr>
      </w:pPr>
    </w:p>
    <w:p>
      <w:pPr>
        <w:pStyle w:val="39"/>
        <w:ind w:firstLine="240"/>
        <w:rPr>
          <w:rFonts w:hint="eastAsia" w:ascii="宋体" w:hAnsi="宋体"/>
          <w:color w:val="auto"/>
          <w:sz w:val="24"/>
          <w:szCs w:val="24"/>
          <w:highlight w:val="none"/>
        </w:rPr>
      </w:pPr>
    </w:p>
    <w:p>
      <w:pPr>
        <w:pStyle w:val="39"/>
        <w:ind w:firstLine="240"/>
        <w:rPr>
          <w:rFonts w:hint="eastAsia" w:ascii="宋体" w:hAnsi="宋体"/>
          <w:color w:val="auto"/>
          <w:sz w:val="24"/>
          <w:szCs w:val="24"/>
          <w:highlight w:val="none"/>
        </w:rPr>
      </w:pPr>
      <w:r>
        <w:rPr>
          <w:rFonts w:hint="eastAsia" w:ascii="宋体" w:hAnsi="宋体"/>
          <w:color w:val="auto"/>
          <w:sz w:val="24"/>
          <w:szCs w:val="24"/>
          <w:highlight w:val="none"/>
        </w:rPr>
        <w:t>各供应商：</w:t>
      </w:r>
    </w:p>
    <w:p>
      <w:pPr>
        <w:pStyle w:val="39"/>
        <w:ind w:firstLine="240"/>
        <w:rPr>
          <w:rFonts w:hint="eastAsia" w:ascii="宋体" w:hAnsi="宋体"/>
          <w:color w:val="auto"/>
          <w:sz w:val="24"/>
          <w:szCs w:val="24"/>
          <w:highlight w:val="none"/>
        </w:rPr>
      </w:pPr>
      <w:r>
        <w:rPr>
          <w:rFonts w:hint="eastAsia" w:ascii="宋体" w:hAnsi="宋体"/>
          <w:color w:val="auto"/>
          <w:sz w:val="24"/>
          <w:szCs w:val="24"/>
          <w:highlight w:val="none"/>
        </w:rPr>
        <w:t>欢迎贵公司参与周口市政府采购活动！</w:t>
      </w:r>
    </w:p>
    <w:p>
      <w:pPr>
        <w:pStyle w:val="39"/>
        <w:ind w:firstLine="240"/>
        <w:rPr>
          <w:rFonts w:hint="eastAsia" w:ascii="宋体" w:hAnsi="宋体"/>
          <w:color w:val="auto"/>
          <w:sz w:val="24"/>
          <w:szCs w:val="24"/>
          <w:highlight w:val="none"/>
        </w:rPr>
      </w:pPr>
      <w:r>
        <w:rPr>
          <w:rFonts w:hint="eastAsia" w:ascii="宋体" w:hAnsi="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9"/>
        <w:ind w:firstLine="240"/>
        <w:rPr>
          <w:rFonts w:hint="eastAsia" w:ascii="宋体" w:hAnsi="宋体"/>
          <w:color w:val="auto"/>
          <w:sz w:val="24"/>
          <w:szCs w:val="24"/>
          <w:highlight w:val="none"/>
        </w:rPr>
      </w:pPr>
      <w:r>
        <w:rPr>
          <w:rFonts w:hint="eastAsia" w:ascii="宋体" w:hAnsi="宋体"/>
          <w:color w:val="auto"/>
          <w:sz w:val="24"/>
          <w:szCs w:val="24"/>
          <w:highlight w:val="none"/>
        </w:rPr>
        <w:t>贷款渠道和提供贷款的金融机构，可在河南省政府采购网“河南省政府采购合同融资平台”查询联系。</w:t>
      </w: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pStyle w:val="21"/>
        <w:shd w:val="clear" w:color="auto" w:fill="auto"/>
        <w:spacing w:before="0" w:beforeAutospacing="0" w:after="0" w:afterAutospacing="0" w:line="330" w:lineRule="atLeast"/>
        <w:rPr>
          <w:rFonts w:hint="eastAsia" w:cs="仿宋_GB2312"/>
          <w:b/>
          <w:bCs/>
          <w:color w:val="auto"/>
          <w:sz w:val="21"/>
          <w:szCs w:val="21"/>
          <w:highlight w:val="none"/>
        </w:rPr>
      </w:pPr>
    </w:p>
    <w:p>
      <w:pPr>
        <w:rPr>
          <w:color w:val="auto"/>
          <w:highlight w:val="none"/>
        </w:rPr>
      </w:pPr>
    </w:p>
    <w:p>
      <w:pPr>
        <w:rPr>
          <w:color w:val="auto"/>
          <w:highlight w:val="none"/>
        </w:rPr>
      </w:pPr>
    </w:p>
    <w:sectPr>
      <w:pgSz w:w="11906" w:h="16838"/>
      <w:pgMar w:top="1389" w:right="1304" w:bottom="1440" w:left="1304"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4625" cy="210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4625" cy="210820"/>
                      </a:xfrm>
                      <a:prstGeom prst="rect">
                        <a:avLst/>
                      </a:prstGeom>
                      <a:noFill/>
                      <a:ln>
                        <a:noFill/>
                      </a:ln>
                    </wps:spPr>
                    <wps:txbx>
                      <w:txbxContent>
                        <w:p>
                          <w:pPr>
                            <w:pStyle w:val="15"/>
                            <w:rPr>
                              <w:rStyle w:val="28"/>
                              <w:rFonts w:hint="eastAsia"/>
                            </w:rPr>
                          </w:pPr>
                          <w:r>
                            <w:fldChar w:fldCharType="begin"/>
                          </w:r>
                          <w:r>
                            <w:rPr>
                              <w:rStyle w:val="28"/>
                            </w:rPr>
                            <w:instrText xml:space="preserve">PAGE   \* MERGEFORMAT</w:instrText>
                          </w:r>
                          <w:r>
                            <w:fldChar w:fldCharType="separate"/>
                          </w:r>
                          <w:r>
                            <w:rPr>
                              <w:rStyle w:val="28"/>
                              <w:lang w:val="zh-CN"/>
                            </w:rPr>
                            <w:t>11</w:t>
                          </w:r>
                          <w: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6.6pt;width:13.75pt;mso-position-horizontal:center;mso-position-horizontal-relative:margin;z-index:251659264;mso-width-relative:page;mso-height-relative:page;" filled="f" stroked="f" coordsize="21600,21600" o:gfxdata="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dfaW9QAAAADAQAADwAAAAAAAAABACAAAAAiAAAAZHJzL2Rvd25yZXYueG1sUEsBAhQAFAAA&#10;AAgAh07iQPSI/xq6AQAAcQMAAA4AAAAAAAAAAQAgAAAAIwEAAGRycy9lMm9Eb2MueG1sUEsFBgAA&#10;AAAGAAYAWQEAAE8FAAAAAA==&#10;">
              <v:fill on="f" focussize="0,0"/>
              <v:stroke on="f"/>
              <v:imagedata o:title=""/>
              <o:lock v:ext="edit" aspectratio="f"/>
              <v:textbox inset="0mm,0mm,0mm,0mm">
                <w:txbxContent>
                  <w:p>
                    <w:pPr>
                      <w:pStyle w:val="15"/>
                      <w:rPr>
                        <w:rStyle w:val="28"/>
                        <w:rFonts w:hint="eastAsia"/>
                      </w:rPr>
                    </w:pPr>
                    <w:r>
                      <w:fldChar w:fldCharType="begin"/>
                    </w:r>
                    <w:r>
                      <w:rPr>
                        <w:rStyle w:val="28"/>
                      </w:rPr>
                      <w:instrText xml:space="preserve">PAGE   \* MERGEFORMAT</w:instrText>
                    </w:r>
                    <w:r>
                      <w:fldChar w:fldCharType="separate"/>
                    </w:r>
                    <w:r>
                      <w:rPr>
                        <w:rStyle w:val="28"/>
                        <w:lang w:val="zh-CN"/>
                      </w:rP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AA6AA"/>
    <w:multiLevelType w:val="singleLevel"/>
    <w:tmpl w:val="A1BAA6AA"/>
    <w:lvl w:ilvl="0" w:tentative="0">
      <w:start w:val="2"/>
      <w:numFmt w:val="decimal"/>
      <w:lvlText w:val="%1."/>
      <w:lvlJc w:val="left"/>
      <w:pPr>
        <w:tabs>
          <w:tab w:val="left" w:pos="312"/>
        </w:tabs>
      </w:pPr>
    </w:lvl>
  </w:abstractNum>
  <w:abstractNum w:abstractNumId="1">
    <w:nsid w:val="00000010"/>
    <w:multiLevelType w:val="multilevel"/>
    <w:tmpl w:val="00000010"/>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058BAAF"/>
    <w:multiLevelType w:val="singleLevel"/>
    <w:tmpl w:val="6058BAAF"/>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TQ5NGFmNGFjMTAwMjZiODlhMzA0ZTU0NWNjMTYifQ=="/>
  </w:docVars>
  <w:rsids>
    <w:rsidRoot w:val="494A6177"/>
    <w:rsid w:val="00621C19"/>
    <w:rsid w:val="007B09A4"/>
    <w:rsid w:val="02B72F8A"/>
    <w:rsid w:val="03102408"/>
    <w:rsid w:val="04194CE4"/>
    <w:rsid w:val="041B26D5"/>
    <w:rsid w:val="0437125A"/>
    <w:rsid w:val="059C5E72"/>
    <w:rsid w:val="05AF3FE0"/>
    <w:rsid w:val="060F4A28"/>
    <w:rsid w:val="073A72E8"/>
    <w:rsid w:val="07AB7980"/>
    <w:rsid w:val="07AD0299"/>
    <w:rsid w:val="08512C9F"/>
    <w:rsid w:val="090569E5"/>
    <w:rsid w:val="09307AD4"/>
    <w:rsid w:val="09A13D71"/>
    <w:rsid w:val="0A051D81"/>
    <w:rsid w:val="0A265649"/>
    <w:rsid w:val="0A2923CF"/>
    <w:rsid w:val="0A5F0172"/>
    <w:rsid w:val="0B721B34"/>
    <w:rsid w:val="0C0E42CE"/>
    <w:rsid w:val="0C23087C"/>
    <w:rsid w:val="0CA953C7"/>
    <w:rsid w:val="0D956CCB"/>
    <w:rsid w:val="0DA9532B"/>
    <w:rsid w:val="0DD62816"/>
    <w:rsid w:val="0DFE3BA8"/>
    <w:rsid w:val="0E2B3F92"/>
    <w:rsid w:val="0EAC63BD"/>
    <w:rsid w:val="0F1130C0"/>
    <w:rsid w:val="0FBF78E9"/>
    <w:rsid w:val="121A3933"/>
    <w:rsid w:val="12DF1C1F"/>
    <w:rsid w:val="132C7A48"/>
    <w:rsid w:val="15B94E3D"/>
    <w:rsid w:val="15D26CC6"/>
    <w:rsid w:val="16842491"/>
    <w:rsid w:val="177644D0"/>
    <w:rsid w:val="17A10E21"/>
    <w:rsid w:val="181844AB"/>
    <w:rsid w:val="189F35B2"/>
    <w:rsid w:val="18C829C3"/>
    <w:rsid w:val="191D734D"/>
    <w:rsid w:val="19893E2C"/>
    <w:rsid w:val="1AFC6A9A"/>
    <w:rsid w:val="1B79633D"/>
    <w:rsid w:val="1B8D003A"/>
    <w:rsid w:val="1BC407FE"/>
    <w:rsid w:val="1D0B56BA"/>
    <w:rsid w:val="1D197866"/>
    <w:rsid w:val="1D8B2357"/>
    <w:rsid w:val="1E0F2F88"/>
    <w:rsid w:val="1E452F24"/>
    <w:rsid w:val="1E5E3B3D"/>
    <w:rsid w:val="1F1F544D"/>
    <w:rsid w:val="1F274669"/>
    <w:rsid w:val="1F861028"/>
    <w:rsid w:val="205F046A"/>
    <w:rsid w:val="21246D4B"/>
    <w:rsid w:val="220A341F"/>
    <w:rsid w:val="22CB3C5B"/>
    <w:rsid w:val="232B67A2"/>
    <w:rsid w:val="2369111C"/>
    <w:rsid w:val="239857CE"/>
    <w:rsid w:val="23DA64DB"/>
    <w:rsid w:val="25003718"/>
    <w:rsid w:val="258322B2"/>
    <w:rsid w:val="26D66D39"/>
    <w:rsid w:val="26FD2518"/>
    <w:rsid w:val="272C50F2"/>
    <w:rsid w:val="27450434"/>
    <w:rsid w:val="277125BE"/>
    <w:rsid w:val="27CA09CA"/>
    <w:rsid w:val="27FE623F"/>
    <w:rsid w:val="284321AC"/>
    <w:rsid w:val="2870458C"/>
    <w:rsid w:val="2885614E"/>
    <w:rsid w:val="28A32C4B"/>
    <w:rsid w:val="28BA7F95"/>
    <w:rsid w:val="295648D9"/>
    <w:rsid w:val="2AE82B97"/>
    <w:rsid w:val="2AFF51A1"/>
    <w:rsid w:val="2B3E49C0"/>
    <w:rsid w:val="2C4402A1"/>
    <w:rsid w:val="2C9E6F3A"/>
    <w:rsid w:val="2EA77582"/>
    <w:rsid w:val="2EDE2619"/>
    <w:rsid w:val="2F10090E"/>
    <w:rsid w:val="2FBC4423"/>
    <w:rsid w:val="30061B3B"/>
    <w:rsid w:val="30E90E7B"/>
    <w:rsid w:val="30F006F7"/>
    <w:rsid w:val="31BE5A57"/>
    <w:rsid w:val="31CC4DF7"/>
    <w:rsid w:val="32A658FC"/>
    <w:rsid w:val="34154834"/>
    <w:rsid w:val="3446796C"/>
    <w:rsid w:val="34697971"/>
    <w:rsid w:val="34FA62E8"/>
    <w:rsid w:val="35E9276F"/>
    <w:rsid w:val="37121898"/>
    <w:rsid w:val="37423AD1"/>
    <w:rsid w:val="37B019DC"/>
    <w:rsid w:val="38332794"/>
    <w:rsid w:val="395E3DBA"/>
    <w:rsid w:val="397D4DF2"/>
    <w:rsid w:val="399A0995"/>
    <w:rsid w:val="39CD13D2"/>
    <w:rsid w:val="3A231E3E"/>
    <w:rsid w:val="3A983BCB"/>
    <w:rsid w:val="3AA84368"/>
    <w:rsid w:val="3AEC66D3"/>
    <w:rsid w:val="3B2B37FB"/>
    <w:rsid w:val="3B8C673F"/>
    <w:rsid w:val="3CB12907"/>
    <w:rsid w:val="3CBC180B"/>
    <w:rsid w:val="3CC80E0A"/>
    <w:rsid w:val="3D1E68EC"/>
    <w:rsid w:val="3D4B5F64"/>
    <w:rsid w:val="3D775F81"/>
    <w:rsid w:val="3DBC79EA"/>
    <w:rsid w:val="3E450331"/>
    <w:rsid w:val="3E9F580B"/>
    <w:rsid w:val="3F9D1265"/>
    <w:rsid w:val="405E09F3"/>
    <w:rsid w:val="408E03B9"/>
    <w:rsid w:val="40B01F51"/>
    <w:rsid w:val="41795DD9"/>
    <w:rsid w:val="41AB01F9"/>
    <w:rsid w:val="42E63A08"/>
    <w:rsid w:val="438F5E4E"/>
    <w:rsid w:val="43AF3C69"/>
    <w:rsid w:val="444C656B"/>
    <w:rsid w:val="449648D9"/>
    <w:rsid w:val="45AC77C2"/>
    <w:rsid w:val="46BE4436"/>
    <w:rsid w:val="48632CBF"/>
    <w:rsid w:val="48EF2E1B"/>
    <w:rsid w:val="494A6177"/>
    <w:rsid w:val="4A102A12"/>
    <w:rsid w:val="4AD45BA7"/>
    <w:rsid w:val="4B533C05"/>
    <w:rsid w:val="4B6A065C"/>
    <w:rsid w:val="4B9C1835"/>
    <w:rsid w:val="4C25034F"/>
    <w:rsid w:val="4C501087"/>
    <w:rsid w:val="4C6632C0"/>
    <w:rsid w:val="4C9149E5"/>
    <w:rsid w:val="4CC02749"/>
    <w:rsid w:val="4CD174D7"/>
    <w:rsid w:val="4D7464AC"/>
    <w:rsid w:val="4D9D385D"/>
    <w:rsid w:val="4E4E3203"/>
    <w:rsid w:val="4EC01D87"/>
    <w:rsid w:val="4ECB2D04"/>
    <w:rsid w:val="50132763"/>
    <w:rsid w:val="508846DC"/>
    <w:rsid w:val="509678EE"/>
    <w:rsid w:val="50A15412"/>
    <w:rsid w:val="50D02788"/>
    <w:rsid w:val="50F9756B"/>
    <w:rsid w:val="51B77148"/>
    <w:rsid w:val="53186C98"/>
    <w:rsid w:val="535037B1"/>
    <w:rsid w:val="5384014C"/>
    <w:rsid w:val="53C57535"/>
    <w:rsid w:val="541977FF"/>
    <w:rsid w:val="548F7085"/>
    <w:rsid w:val="54FD6B73"/>
    <w:rsid w:val="553970ED"/>
    <w:rsid w:val="56E46438"/>
    <w:rsid w:val="57650F48"/>
    <w:rsid w:val="581175BB"/>
    <w:rsid w:val="58225C60"/>
    <w:rsid w:val="5A09705C"/>
    <w:rsid w:val="5A2A6B65"/>
    <w:rsid w:val="5A353621"/>
    <w:rsid w:val="5AA21673"/>
    <w:rsid w:val="5B0373F5"/>
    <w:rsid w:val="5B4644CE"/>
    <w:rsid w:val="5CC21C3A"/>
    <w:rsid w:val="5CF406D5"/>
    <w:rsid w:val="5D557A56"/>
    <w:rsid w:val="5D7C2B5D"/>
    <w:rsid w:val="5DA01CCB"/>
    <w:rsid w:val="5DD62E92"/>
    <w:rsid w:val="5DDE57BC"/>
    <w:rsid w:val="5DF50B4C"/>
    <w:rsid w:val="5E96157C"/>
    <w:rsid w:val="5ED80BC0"/>
    <w:rsid w:val="5EF916F2"/>
    <w:rsid w:val="602F3F48"/>
    <w:rsid w:val="60F8375F"/>
    <w:rsid w:val="61AA1DC4"/>
    <w:rsid w:val="621F7827"/>
    <w:rsid w:val="622129DB"/>
    <w:rsid w:val="6248761D"/>
    <w:rsid w:val="62CC2EFA"/>
    <w:rsid w:val="63347489"/>
    <w:rsid w:val="639E2834"/>
    <w:rsid w:val="63D23E09"/>
    <w:rsid w:val="643A633F"/>
    <w:rsid w:val="64427C19"/>
    <w:rsid w:val="659D17E2"/>
    <w:rsid w:val="660843AE"/>
    <w:rsid w:val="66DD4563"/>
    <w:rsid w:val="66E45CCD"/>
    <w:rsid w:val="67477A06"/>
    <w:rsid w:val="677C6D44"/>
    <w:rsid w:val="6850354E"/>
    <w:rsid w:val="686651FF"/>
    <w:rsid w:val="68DB1DDB"/>
    <w:rsid w:val="69522D7B"/>
    <w:rsid w:val="69D20C00"/>
    <w:rsid w:val="6A272F48"/>
    <w:rsid w:val="6A863C0A"/>
    <w:rsid w:val="6AC27D5E"/>
    <w:rsid w:val="6B0D5727"/>
    <w:rsid w:val="6B855C05"/>
    <w:rsid w:val="6B883AD8"/>
    <w:rsid w:val="6BB7071C"/>
    <w:rsid w:val="6BF52112"/>
    <w:rsid w:val="6C496CA0"/>
    <w:rsid w:val="6D5E04BB"/>
    <w:rsid w:val="6D78515E"/>
    <w:rsid w:val="6EF06AD7"/>
    <w:rsid w:val="6F6E6107"/>
    <w:rsid w:val="6FE663C9"/>
    <w:rsid w:val="6FF356A3"/>
    <w:rsid w:val="719B567C"/>
    <w:rsid w:val="739A1D9B"/>
    <w:rsid w:val="746118BC"/>
    <w:rsid w:val="7539091C"/>
    <w:rsid w:val="75D21D63"/>
    <w:rsid w:val="761353B5"/>
    <w:rsid w:val="77873B83"/>
    <w:rsid w:val="784F105D"/>
    <w:rsid w:val="793A4344"/>
    <w:rsid w:val="795C12C1"/>
    <w:rsid w:val="7A150154"/>
    <w:rsid w:val="7A777060"/>
    <w:rsid w:val="7AC3623D"/>
    <w:rsid w:val="7B3371EA"/>
    <w:rsid w:val="7B7B1CF2"/>
    <w:rsid w:val="7B957E3E"/>
    <w:rsid w:val="7BD45209"/>
    <w:rsid w:val="7C1363FD"/>
    <w:rsid w:val="7CB8280C"/>
    <w:rsid w:val="7D20578D"/>
    <w:rsid w:val="7D373CED"/>
    <w:rsid w:val="7D74313D"/>
    <w:rsid w:val="7D816820"/>
    <w:rsid w:val="7D9357F1"/>
    <w:rsid w:val="7D9817C8"/>
    <w:rsid w:val="7E674411"/>
    <w:rsid w:val="7E9E696A"/>
    <w:rsid w:val="7EBB3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0"/>
    <w:autoRedefine/>
    <w:qFormat/>
    <w:uiPriority w:val="0"/>
    <w:pPr>
      <w:keepNext/>
      <w:keepLines/>
      <w:spacing w:before="340" w:after="330" w:line="578" w:lineRule="auto"/>
      <w:outlineLvl w:val="0"/>
    </w:pPr>
    <w:rPr>
      <w:b/>
      <w:bCs/>
      <w:kern w:val="44"/>
      <w:sz w:val="30"/>
      <w:szCs w:val="44"/>
    </w:rPr>
  </w:style>
  <w:style w:type="paragraph" w:styleId="4">
    <w:name w:val="heading 2"/>
    <w:basedOn w:val="1"/>
    <w:next w:val="1"/>
    <w:autoRedefine/>
    <w:qFormat/>
    <w:uiPriority w:val="9"/>
    <w:pPr>
      <w:keepNext/>
      <w:keepLines/>
      <w:spacing w:before="260" w:after="260" w:line="416" w:lineRule="auto"/>
      <w:ind w:firstLine="628"/>
      <w:jc w:val="center"/>
      <w:outlineLvl w:val="1"/>
    </w:pPr>
    <w:rPr>
      <w:rFonts w:ascii="Arial" w:eastAsia="黑体"/>
      <w:b/>
      <w:bCs/>
      <w:sz w:val="32"/>
      <w:szCs w:val="32"/>
    </w:rPr>
  </w:style>
  <w:style w:type="paragraph" w:styleId="5">
    <w:name w:val="heading 3"/>
    <w:basedOn w:val="1"/>
    <w:next w:val="1"/>
    <w:autoRedefine/>
    <w:qFormat/>
    <w:uiPriority w:val="0"/>
    <w:pPr>
      <w:keepNext/>
      <w:keepLines/>
      <w:spacing w:before="260" w:after="260" w:line="416" w:lineRule="auto"/>
      <w:jc w:val="center"/>
      <w:outlineLvl w:val="2"/>
    </w:pPr>
    <w:rPr>
      <w:rFonts w:ascii="宋体"/>
      <w:b/>
      <w:bCs/>
      <w:sz w:val="32"/>
      <w:szCs w:val="32"/>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customStyle="1" w:styleId="2">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annotation text"/>
    <w:basedOn w:val="1"/>
    <w:autoRedefine/>
    <w:qFormat/>
    <w:uiPriority w:val="0"/>
    <w:pPr>
      <w:jc w:val="left"/>
    </w:pPr>
  </w:style>
  <w:style w:type="paragraph" w:styleId="7">
    <w:name w:val="Body Text 3"/>
    <w:basedOn w:val="1"/>
    <w:autoRedefine/>
    <w:qFormat/>
    <w:uiPriority w:val="0"/>
    <w:rPr>
      <w:rFonts w:ascii="黑体" w:hAnsi="Arial" w:eastAsia="黑体"/>
      <w:b/>
      <w:sz w:val="28"/>
    </w:rPr>
  </w:style>
  <w:style w:type="paragraph" w:styleId="8">
    <w:name w:val="Body Text"/>
    <w:basedOn w:val="1"/>
    <w:next w:val="1"/>
    <w:autoRedefine/>
    <w:qFormat/>
    <w:uiPriority w:val="0"/>
    <w:rPr>
      <w:rFonts w:ascii="宋体" w:hAnsi="Arial"/>
      <w:sz w:val="28"/>
    </w:rPr>
  </w:style>
  <w:style w:type="paragraph" w:styleId="9">
    <w:name w:val="Body Text Indent"/>
    <w:basedOn w:val="1"/>
    <w:next w:val="10"/>
    <w:autoRedefine/>
    <w:qFormat/>
    <w:uiPriority w:val="0"/>
    <w:pPr>
      <w:ind w:firstLine="645"/>
    </w:pPr>
    <w:rPr>
      <w:rFonts w:ascii="楷体_GB2312" w:eastAsia="楷体_GB2312"/>
      <w:sz w:val="32"/>
    </w:rPr>
  </w:style>
  <w:style w:type="paragraph" w:styleId="10">
    <w:name w:val="envelope return"/>
    <w:basedOn w:val="1"/>
    <w:autoRedefine/>
    <w:qFormat/>
    <w:uiPriority w:val="99"/>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autoRedefine/>
    <w:qFormat/>
    <w:uiPriority w:val="0"/>
    <w:rPr>
      <w:rFonts w:ascii="宋体" w:hAnsi="Courier New"/>
    </w:rPr>
  </w:style>
  <w:style w:type="paragraph" w:styleId="13">
    <w:name w:val="Date"/>
    <w:basedOn w:val="1"/>
    <w:next w:val="1"/>
    <w:autoRedefine/>
    <w:qFormat/>
    <w:uiPriority w:val="0"/>
    <w:rPr>
      <w:b/>
      <w:sz w:val="28"/>
    </w:rPr>
  </w:style>
  <w:style w:type="paragraph" w:styleId="14">
    <w:name w:val="Body Text Indent 2"/>
    <w:basedOn w:val="1"/>
    <w:autoRedefine/>
    <w:qFormat/>
    <w:uiPriority w:val="0"/>
    <w:pPr>
      <w:ind w:left="630" w:firstLine="645"/>
    </w:pPr>
    <w:rPr>
      <w:rFonts w:ascii="Arial" w:hAnsi="Arial" w:eastAsia="仿宋_GB2312"/>
      <w:sz w:val="32"/>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7">
    <w:name w:val="toc 1"/>
    <w:basedOn w:val="18"/>
    <w:next w:val="1"/>
    <w:autoRedefine/>
    <w:qFormat/>
    <w:uiPriority w:val="39"/>
    <w:pPr>
      <w:spacing w:before="120" w:after="120"/>
      <w:jc w:val="left"/>
    </w:pPr>
    <w:rPr>
      <w:rFonts w:ascii="Times New Roman" w:hAnsi="Times New Roman" w:eastAsia="宋体"/>
      <w:b w:val="0"/>
      <w:caps/>
      <w:szCs w:val="24"/>
    </w:rPr>
  </w:style>
  <w:style w:type="paragraph" w:styleId="18">
    <w:name w:val="index 1"/>
    <w:basedOn w:val="1"/>
    <w:next w:val="1"/>
    <w:autoRedefine/>
    <w:qFormat/>
    <w:uiPriority w:val="0"/>
    <w:pPr>
      <w:jc w:val="center"/>
    </w:pPr>
    <w:rPr>
      <w:rFonts w:ascii="仿宋_GB2312" w:eastAsia="仿宋_GB2312"/>
      <w:b/>
      <w:bCs/>
      <w:sz w:val="28"/>
    </w:rPr>
  </w:style>
  <w:style w:type="paragraph" w:styleId="19">
    <w:name w:val="footnote text"/>
    <w:basedOn w:val="1"/>
    <w:autoRedefine/>
    <w:qFormat/>
    <w:uiPriority w:val="99"/>
    <w:pPr>
      <w:snapToGrid w:val="0"/>
      <w:jc w:val="left"/>
    </w:pPr>
    <w:rPr>
      <w:sz w:val="18"/>
      <w:szCs w:val="18"/>
    </w:rPr>
  </w:style>
  <w:style w:type="paragraph" w:styleId="20">
    <w:name w:val="toc 2"/>
    <w:basedOn w:val="1"/>
    <w:next w:val="1"/>
    <w:autoRedefine/>
    <w:qFormat/>
    <w:uiPriority w:val="39"/>
    <w:pPr>
      <w:ind w:left="210"/>
      <w:jc w:val="left"/>
    </w:pPr>
    <w:rPr>
      <w:smallCaps/>
      <w:sz w:val="28"/>
      <w:szCs w:val="24"/>
    </w:r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w:basedOn w:val="8"/>
    <w:autoRedefine/>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paragraph" w:styleId="23">
    <w:name w:val="Body Text First Indent 2"/>
    <w:basedOn w:val="9"/>
    <w:next w:val="24"/>
    <w:autoRedefine/>
    <w:qFormat/>
    <w:uiPriority w:val="0"/>
    <w:pPr>
      <w:spacing w:after="120"/>
      <w:ind w:left="420" w:firstLine="210"/>
    </w:pPr>
    <w:rPr>
      <w:rFonts w:ascii="Times New Roman"/>
    </w:rPr>
  </w:style>
  <w:style w:type="paragraph" w:customStyle="1" w:styleId="2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autoRedefine/>
    <w:qFormat/>
    <w:uiPriority w:val="0"/>
  </w:style>
  <w:style w:type="character" w:styleId="29">
    <w:name w:val="FollowedHyperlink"/>
    <w:basedOn w:val="27"/>
    <w:autoRedefine/>
    <w:qFormat/>
    <w:uiPriority w:val="0"/>
    <w:rPr>
      <w:color w:val="800080"/>
      <w:u w:val="none"/>
    </w:rPr>
  </w:style>
  <w:style w:type="character" w:styleId="30">
    <w:name w:val="HTML Definition"/>
    <w:basedOn w:val="27"/>
    <w:autoRedefine/>
    <w:qFormat/>
    <w:uiPriority w:val="0"/>
  </w:style>
  <w:style w:type="character" w:styleId="31">
    <w:name w:val="HTML Typewriter"/>
    <w:basedOn w:val="27"/>
    <w:autoRedefine/>
    <w:qFormat/>
    <w:uiPriority w:val="0"/>
    <w:rPr>
      <w:rFonts w:hint="default" w:ascii="monospace" w:hAnsi="monospace" w:eastAsia="monospace" w:cs="monospace"/>
      <w:sz w:val="20"/>
    </w:rPr>
  </w:style>
  <w:style w:type="character" w:styleId="32">
    <w:name w:val="HTML Acronym"/>
    <w:basedOn w:val="27"/>
    <w:autoRedefine/>
    <w:qFormat/>
    <w:uiPriority w:val="0"/>
  </w:style>
  <w:style w:type="character" w:styleId="33">
    <w:name w:val="HTML Variable"/>
    <w:basedOn w:val="27"/>
    <w:autoRedefine/>
    <w:qFormat/>
    <w:uiPriority w:val="0"/>
  </w:style>
  <w:style w:type="character" w:styleId="34">
    <w:name w:val="Hyperlink"/>
    <w:basedOn w:val="27"/>
    <w:autoRedefine/>
    <w:qFormat/>
    <w:uiPriority w:val="0"/>
    <w:rPr>
      <w:color w:val="0000FF"/>
      <w:u w:val="none"/>
    </w:rPr>
  </w:style>
  <w:style w:type="character" w:styleId="35">
    <w:name w:val="HTML Code"/>
    <w:basedOn w:val="27"/>
    <w:autoRedefine/>
    <w:qFormat/>
    <w:uiPriority w:val="0"/>
    <w:rPr>
      <w:rFonts w:hint="default" w:ascii="monospace" w:hAnsi="monospace" w:eastAsia="monospace" w:cs="monospace"/>
      <w:sz w:val="20"/>
    </w:rPr>
  </w:style>
  <w:style w:type="character" w:styleId="36">
    <w:name w:val="HTML Cite"/>
    <w:basedOn w:val="27"/>
    <w:autoRedefine/>
    <w:qFormat/>
    <w:uiPriority w:val="0"/>
  </w:style>
  <w:style w:type="character" w:styleId="37">
    <w:name w:val="HTML Keyboard"/>
    <w:basedOn w:val="27"/>
    <w:autoRedefine/>
    <w:qFormat/>
    <w:uiPriority w:val="0"/>
    <w:rPr>
      <w:rFonts w:ascii="monospace" w:hAnsi="monospace" w:eastAsia="monospace" w:cs="monospace"/>
      <w:sz w:val="20"/>
    </w:rPr>
  </w:style>
  <w:style w:type="character" w:styleId="38">
    <w:name w:val="HTML Sample"/>
    <w:basedOn w:val="27"/>
    <w:autoRedefine/>
    <w:qFormat/>
    <w:uiPriority w:val="0"/>
    <w:rPr>
      <w:rFonts w:hint="default" w:ascii="monospace" w:hAnsi="monospace" w:eastAsia="monospace" w:cs="monospace"/>
    </w:rPr>
  </w:style>
  <w:style w:type="paragraph" w:customStyle="1" w:styleId="39">
    <w:name w:val="BodyText1I"/>
    <w:basedOn w:val="40"/>
    <w:autoRedefine/>
    <w:qFormat/>
    <w:uiPriority w:val="99"/>
    <w:pPr>
      <w:spacing w:after="120"/>
      <w:ind w:firstLine="420" w:firstLineChars="100"/>
    </w:pPr>
  </w:style>
  <w:style w:type="paragraph" w:customStyle="1" w:styleId="40">
    <w:name w:val="BodyText"/>
    <w:basedOn w:val="1"/>
    <w:autoRedefine/>
    <w:qFormat/>
    <w:uiPriority w:val="99"/>
    <w:pPr>
      <w:spacing w:after="120"/>
    </w:pPr>
  </w:style>
  <w:style w:type="paragraph" w:customStyle="1" w:styleId="41">
    <w:name w:val="Default"/>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character" w:customStyle="1" w:styleId="43">
    <w:name w:val="NormalCharacter"/>
    <w:autoRedefine/>
    <w:semiHidden/>
    <w:qFormat/>
    <w:uiPriority w:val="0"/>
    <w:rPr>
      <w:kern w:val="2"/>
      <w:sz w:val="21"/>
      <w:lang w:val="en-US" w:eastAsia="zh-CN" w:bidi="ar-SA"/>
    </w:rPr>
  </w:style>
  <w:style w:type="paragraph" w:customStyle="1" w:styleId="44">
    <w:name w:val="D&amp;L"/>
    <w:basedOn w:val="16"/>
    <w:autoRedefine/>
    <w:qFormat/>
    <w:uiPriority w:val="0"/>
    <w:pPr>
      <w:pBdr>
        <w:bottom w:val="thinThickSmallGap" w:color="auto" w:sz="18" w:space="1"/>
      </w:pBdr>
      <w:adjustRightInd w:val="0"/>
      <w:snapToGrid/>
      <w:spacing w:line="240" w:lineRule="atLeast"/>
      <w:textAlignment w:val="baseline"/>
    </w:pPr>
    <w:rPr>
      <w:kern w:val="0"/>
      <w:sz w:val="24"/>
    </w:rPr>
  </w:style>
  <w:style w:type="paragraph" w:styleId="45">
    <w:name w:val="List Paragraph"/>
    <w:basedOn w:val="1"/>
    <w:autoRedefine/>
    <w:qFormat/>
    <w:uiPriority w:val="34"/>
    <w:pPr>
      <w:widowControl/>
      <w:spacing w:after="200" w:line="276" w:lineRule="auto"/>
      <w:ind w:left="720"/>
      <w:contextualSpacing/>
      <w:jc w:val="left"/>
    </w:pPr>
    <w:rPr>
      <w:rFonts w:ascii="Calibri" w:hAnsi="Calibri"/>
      <w:kern w:val="0"/>
      <w:sz w:val="22"/>
      <w:szCs w:val="22"/>
    </w:rPr>
  </w:style>
  <w:style w:type="paragraph" w:customStyle="1" w:styleId="46">
    <w:name w:val="正文1"/>
    <w:basedOn w:val="1"/>
    <w:autoRedefine/>
    <w:qFormat/>
    <w:uiPriority w:val="0"/>
    <w:pPr>
      <w:widowControl/>
      <w:topLinePunct/>
      <w:spacing w:before="156" w:beforeLines="50" w:after="156" w:afterLines="50" w:line="300" w:lineRule="auto"/>
      <w:ind w:left="420"/>
    </w:pPr>
    <w:rPr>
      <w:szCs w:val="24"/>
    </w:rPr>
  </w:style>
  <w:style w:type="paragraph" w:customStyle="1" w:styleId="47">
    <w:name w:val="Char Char Char Char Char Char Char1 Char"/>
    <w:basedOn w:val="1"/>
    <w:autoRedefine/>
    <w:qFormat/>
    <w:uiPriority w:val="0"/>
    <w:rPr>
      <w:rFonts w:ascii="Tahoma" w:hAnsi="Tahoma"/>
      <w:sz w:val="24"/>
    </w:rPr>
  </w:style>
  <w:style w:type="paragraph" w:customStyle="1" w:styleId="48">
    <w:name w:val="样式 标题 3 + (中文) 黑体 小四 非加粗 段前: 7.8 磅 段后: 0 磅 行距: 固定值 20 磅"/>
    <w:basedOn w:val="5"/>
    <w:autoRedefine/>
    <w:qFormat/>
    <w:uiPriority w:val="0"/>
    <w:pPr>
      <w:spacing w:before="0" w:after="0" w:line="400" w:lineRule="exact"/>
      <w:jc w:val="both"/>
    </w:pPr>
    <w:rPr>
      <w:rFonts w:ascii="Times New Roman" w:eastAsia="黑体"/>
      <w:b w:val="0"/>
      <w:bCs w:val="0"/>
      <w:sz w:val="24"/>
      <w:szCs w:val="20"/>
    </w:rPr>
  </w:style>
  <w:style w:type="paragraph" w:customStyle="1" w:styleId="49">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character" w:customStyle="1" w:styleId="50">
    <w:name w:val="标题 1 Char"/>
    <w:link w:val="3"/>
    <w:autoRedefine/>
    <w:qFormat/>
    <w:uiPriority w:val="0"/>
    <w:rPr>
      <w:b/>
      <w:bCs/>
      <w:kern w:val="44"/>
      <w:sz w:val="30"/>
      <w:szCs w:val="44"/>
    </w:rPr>
  </w:style>
  <w:style w:type="character" w:customStyle="1" w:styleId="51">
    <w:name w:val="nth-child(3)"/>
    <w:basedOn w:val="27"/>
    <w:autoRedefine/>
    <w:qFormat/>
    <w:uiPriority w:val="0"/>
  </w:style>
  <w:style w:type="character" w:customStyle="1" w:styleId="52">
    <w:name w:val="nth-child(2)"/>
    <w:basedOn w:val="27"/>
    <w:autoRedefine/>
    <w:qFormat/>
    <w:uiPriority w:val="0"/>
  </w:style>
  <w:style w:type="character" w:customStyle="1" w:styleId="53">
    <w:name w:val="nth-child(2)1"/>
    <w:basedOn w:val="27"/>
    <w:autoRedefine/>
    <w:qFormat/>
    <w:uiPriority w:val="0"/>
  </w:style>
  <w:style w:type="character" w:customStyle="1" w:styleId="54">
    <w:name w:val="font11"/>
    <w:basedOn w:val="27"/>
    <w:autoRedefine/>
    <w:qFormat/>
    <w:uiPriority w:val="0"/>
    <w:rPr>
      <w:rFonts w:hint="eastAsia" w:ascii="仿宋" w:hAnsi="仿宋" w:eastAsia="仿宋" w:cs="仿宋"/>
      <w:color w:val="000000"/>
      <w:sz w:val="22"/>
      <w:szCs w:val="22"/>
      <w:u w:val="none"/>
    </w:rPr>
  </w:style>
  <w:style w:type="character" w:customStyle="1" w:styleId="55">
    <w:name w:val="font21"/>
    <w:basedOn w:val="27"/>
    <w:autoRedefine/>
    <w:qFormat/>
    <w:uiPriority w:val="0"/>
    <w:rPr>
      <w:rFonts w:hint="eastAsia" w:ascii="仿宋" w:hAnsi="仿宋" w:eastAsia="仿宋" w:cs="仿宋"/>
      <w:color w:val="FF0000"/>
      <w:sz w:val="22"/>
      <w:szCs w:val="22"/>
      <w:u w:val="none"/>
    </w:rPr>
  </w:style>
  <w:style w:type="character" w:customStyle="1" w:styleId="56">
    <w:name w:val="font31"/>
    <w:basedOn w:val="27"/>
    <w:autoRedefine/>
    <w:qFormat/>
    <w:uiPriority w:val="0"/>
    <w:rPr>
      <w:rFonts w:hint="eastAsia" w:ascii="宋体" w:hAnsi="宋体" w:eastAsia="宋体" w:cs="宋体"/>
      <w:color w:val="000000"/>
      <w:sz w:val="22"/>
      <w:szCs w:val="22"/>
      <w:u w:val="none"/>
    </w:rPr>
  </w:style>
  <w:style w:type="character" w:customStyle="1" w:styleId="57">
    <w:name w:val="font41"/>
    <w:basedOn w:val="27"/>
    <w:autoRedefine/>
    <w:qFormat/>
    <w:uiPriority w:val="0"/>
    <w:rPr>
      <w:rFonts w:hint="eastAsia" w:ascii="仿宋" w:hAnsi="仿宋" w:eastAsia="仿宋" w:cs="仿宋"/>
      <w:color w:val="FF0000"/>
      <w:sz w:val="22"/>
      <w:szCs w:val="22"/>
      <w:u w:val="none"/>
    </w:rPr>
  </w:style>
  <w:style w:type="character" w:customStyle="1" w:styleId="58">
    <w:name w:val="font51"/>
    <w:basedOn w:val="27"/>
    <w:autoRedefine/>
    <w:qFormat/>
    <w:uiPriority w:val="0"/>
    <w:rPr>
      <w:rFonts w:hint="eastAsia" w:ascii="宋体" w:hAnsi="宋体" w:eastAsia="宋体" w:cs="宋体"/>
      <w:color w:val="000000"/>
      <w:sz w:val="22"/>
      <w:szCs w:val="22"/>
      <w:u w:val="none"/>
    </w:rPr>
  </w:style>
  <w:style w:type="character" w:customStyle="1" w:styleId="59">
    <w:name w:val="font61"/>
    <w:basedOn w:val="27"/>
    <w:autoRedefine/>
    <w:qFormat/>
    <w:uiPriority w:val="0"/>
    <w:rPr>
      <w:rFonts w:hint="eastAsia" w:ascii="仿宋" w:hAnsi="仿宋" w:eastAsia="仿宋" w:cs="仿宋"/>
      <w:color w:val="333333"/>
      <w:sz w:val="22"/>
      <w:szCs w:val="22"/>
      <w:u w:val="none"/>
    </w:rPr>
  </w:style>
  <w:style w:type="character" w:customStyle="1" w:styleId="60">
    <w:name w:val="font01"/>
    <w:basedOn w:val="27"/>
    <w:autoRedefine/>
    <w:qFormat/>
    <w:uiPriority w:val="0"/>
    <w:rPr>
      <w:rFonts w:hint="eastAsia" w:ascii="宋体" w:hAnsi="宋体" w:eastAsia="宋体" w:cs="宋体"/>
      <w:color w:val="000000"/>
      <w:sz w:val="22"/>
      <w:szCs w:val="22"/>
      <w:u w:val="none"/>
    </w:rPr>
  </w:style>
  <w:style w:type="character" w:customStyle="1" w:styleId="61">
    <w:name w:val="font91"/>
    <w:basedOn w:val="2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25606</Words>
  <Characters>27008</Characters>
  <Lines>0</Lines>
  <Paragraphs>0</Paragraphs>
  <TotalTime>0</TotalTime>
  <ScaleCrop>false</ScaleCrop>
  <LinksUpToDate>false</LinksUpToDate>
  <CharactersWithSpaces>28184</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2023-12-28T07:40:00Z</dcterms:created>
  <dc:creator>阳光微凉</dc:creator>
  <cp:lastModifiedBy>大海里的糖醋鱼</cp:lastModifiedBy>
  <dcterms:modified xsi:type="dcterms:W3CDTF">2024-05-06T06:19:01Z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BDE69D4A23F846F3A8462C273E880169_11</vt:lpwstr>
  </property>
</Properties>
</file>