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jc w:val="center"/>
        <w:rPr>
          <w:rFonts w:ascii="Arial Black" w:hAnsi="Arial Black" w:eastAsia="黑体"/>
          <w:b/>
          <w:spacing w:val="36"/>
          <w:sz w:val="52"/>
          <w:szCs w:val="52"/>
          <w:highlight w:val="none"/>
        </w:rPr>
      </w:pPr>
      <w:r>
        <w:rPr>
          <w:rFonts w:hint="eastAsia" w:ascii="Arial Black" w:hAnsi="Arial Black" w:eastAsia="黑体"/>
          <w:b/>
          <w:bCs/>
          <w:spacing w:val="36"/>
          <w:sz w:val="52"/>
          <w:szCs w:val="52"/>
          <w:highlight w:val="none"/>
        </w:rPr>
        <w:t>周口市公共资源交易中心</w:t>
      </w:r>
    </w:p>
    <w:p>
      <w:pPr>
        <w:tabs>
          <w:tab w:val="left" w:pos="315"/>
          <w:tab w:val="left" w:pos="8820"/>
        </w:tabs>
        <w:spacing w:line="500" w:lineRule="exact"/>
        <w:ind w:right="267" w:rightChars="127"/>
        <w:jc w:val="center"/>
        <w:rPr>
          <w:rFonts w:ascii="仿宋_GB2312" w:eastAsia="仿宋_GB2312"/>
          <w:b/>
          <w:bCs/>
          <w:sz w:val="48"/>
          <w:highlight w:val="none"/>
        </w:rPr>
      </w:pPr>
    </w:p>
    <w:p>
      <w:pPr>
        <w:tabs>
          <w:tab w:val="left" w:pos="315"/>
          <w:tab w:val="left" w:pos="8820"/>
        </w:tabs>
        <w:spacing w:line="360" w:lineRule="auto"/>
        <w:ind w:right="267" w:rightChars="127"/>
        <w:jc w:val="center"/>
        <w:rPr>
          <w:rFonts w:ascii="微软简标宋" w:eastAsia="黑体"/>
          <w:b/>
          <w:bCs/>
          <w:sz w:val="52"/>
          <w:highlight w:val="none"/>
        </w:rPr>
      </w:pPr>
      <w:r>
        <w:rPr>
          <w:rFonts w:hint="eastAsia" w:ascii="微软简标宋" w:eastAsia="黑体"/>
          <w:b/>
          <w:bCs/>
          <w:sz w:val="52"/>
          <w:highlight w:val="none"/>
        </w:rPr>
        <w:t>竞争性磋商文件</w:t>
      </w:r>
    </w:p>
    <w:p>
      <w:pPr>
        <w:tabs>
          <w:tab w:val="left" w:pos="315"/>
          <w:tab w:val="left" w:pos="8820"/>
        </w:tabs>
        <w:spacing w:line="500" w:lineRule="exact"/>
        <w:ind w:right="267" w:rightChars="127"/>
        <w:jc w:val="center"/>
        <w:rPr>
          <w:rFonts w:ascii="仿宋_GB2312" w:eastAsia="仿宋_GB2312"/>
          <w:sz w:val="44"/>
          <w:highlight w:val="none"/>
        </w:rPr>
      </w:pPr>
    </w:p>
    <w:p>
      <w:pPr>
        <w:tabs>
          <w:tab w:val="left" w:pos="315"/>
          <w:tab w:val="left" w:pos="8820"/>
        </w:tabs>
        <w:ind w:right="267" w:rightChars="127"/>
        <w:rPr>
          <w:rFonts w:ascii="仿宋_GB2312" w:eastAsia="仿宋_GB2312"/>
          <w:sz w:val="44"/>
          <w:highlight w:val="none"/>
        </w:rPr>
      </w:pPr>
    </w:p>
    <w:p>
      <w:pPr>
        <w:tabs>
          <w:tab w:val="left" w:pos="315"/>
          <w:tab w:val="left" w:pos="8820"/>
        </w:tabs>
        <w:spacing w:line="500" w:lineRule="exact"/>
        <w:ind w:right="267" w:rightChars="127"/>
        <w:rPr>
          <w:rFonts w:ascii="仿宋_GB2312" w:eastAsia="仿宋_GB2312"/>
          <w:b/>
          <w:bCs/>
          <w:sz w:val="36"/>
          <w:highlight w:val="none"/>
        </w:rPr>
      </w:pPr>
    </w:p>
    <w:p>
      <w:pPr>
        <w:tabs>
          <w:tab w:val="left" w:pos="315"/>
          <w:tab w:val="left" w:pos="8820"/>
        </w:tabs>
        <w:spacing w:line="500" w:lineRule="exact"/>
        <w:ind w:right="267" w:rightChars="127"/>
        <w:rPr>
          <w:rFonts w:ascii="仿宋_GB2312" w:eastAsia="仿宋_GB2312"/>
          <w:b/>
          <w:bCs/>
          <w:sz w:val="36"/>
          <w:highlight w:val="none"/>
        </w:rPr>
      </w:pPr>
    </w:p>
    <w:p>
      <w:pPr>
        <w:tabs>
          <w:tab w:val="left" w:pos="315"/>
          <w:tab w:val="left" w:pos="8820"/>
        </w:tabs>
        <w:spacing w:line="500" w:lineRule="exact"/>
        <w:ind w:right="267" w:rightChars="127"/>
        <w:jc w:val="center"/>
        <w:rPr>
          <w:rFonts w:ascii="宋体" w:hAnsi="宋体"/>
          <w:sz w:val="32"/>
          <w:highlight w:val="none"/>
        </w:rPr>
      </w:pPr>
    </w:p>
    <w:p>
      <w:pPr>
        <w:pStyle w:val="9"/>
        <w:rPr>
          <w:rFonts w:ascii="宋体" w:hAnsi="宋体"/>
          <w:sz w:val="32"/>
          <w:highlight w:val="none"/>
        </w:rPr>
      </w:pPr>
    </w:p>
    <w:p>
      <w:pPr>
        <w:pStyle w:val="34"/>
        <w:rPr>
          <w:rFonts w:ascii="宋体" w:hAnsi="宋体"/>
          <w:sz w:val="32"/>
          <w:highlight w:val="none"/>
        </w:rPr>
      </w:pPr>
    </w:p>
    <w:p>
      <w:pPr>
        <w:rPr>
          <w:highlight w:val="none"/>
        </w:rPr>
      </w:pPr>
    </w:p>
    <w:p>
      <w:pPr>
        <w:rPr>
          <w:highlight w:val="none"/>
        </w:rPr>
      </w:pPr>
    </w:p>
    <w:p>
      <w:pPr>
        <w:rPr>
          <w:highlight w:val="none"/>
        </w:rPr>
      </w:pPr>
    </w:p>
    <w:p>
      <w:pPr>
        <w:pStyle w:val="9"/>
        <w:rPr>
          <w:highlight w:val="none"/>
        </w:rPr>
      </w:pPr>
    </w:p>
    <w:p>
      <w:pPr>
        <w:tabs>
          <w:tab w:val="left" w:pos="315"/>
          <w:tab w:val="left" w:pos="8820"/>
        </w:tabs>
        <w:spacing w:line="500" w:lineRule="exact"/>
        <w:ind w:right="267" w:rightChars="127"/>
        <w:jc w:val="center"/>
        <w:rPr>
          <w:rFonts w:ascii="微软简标宋" w:eastAsia="黑体"/>
          <w:b/>
          <w:bCs/>
          <w:sz w:val="52"/>
          <w:highlight w:val="none"/>
        </w:rPr>
      </w:pPr>
    </w:p>
    <w:p>
      <w:pPr>
        <w:tabs>
          <w:tab w:val="left" w:pos="315"/>
          <w:tab w:val="left" w:pos="8820"/>
        </w:tabs>
        <w:spacing w:line="600" w:lineRule="exact"/>
        <w:ind w:right="-92" w:rightChars="-44" w:firstLine="602" w:firstLineChars="200"/>
        <w:jc w:val="left"/>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lang w:eastAsia="zh-CN"/>
        </w:rPr>
        <w:t xml:space="preserve">项目名称: </w:t>
      </w:r>
      <w:r>
        <w:rPr>
          <w:rFonts w:hint="eastAsia" w:ascii="宋体" w:hAnsi="宋体" w:cs="宋体"/>
          <w:b/>
          <w:bCs/>
          <w:color w:val="auto"/>
          <w:sz w:val="30"/>
          <w:szCs w:val="30"/>
          <w:highlight w:val="none"/>
          <w:lang w:eastAsia="zh-CN"/>
        </w:rPr>
        <w:t>沈丘县优化营商环境服务中心沈丘县营商环境提升工作项目</w:t>
      </w:r>
    </w:p>
    <w:p>
      <w:pPr>
        <w:tabs>
          <w:tab w:val="left" w:pos="315"/>
          <w:tab w:val="left" w:pos="8820"/>
        </w:tabs>
        <w:spacing w:line="600" w:lineRule="exact"/>
        <w:ind w:right="-92" w:rightChars="-44" w:firstLine="602" w:firstLineChars="200"/>
        <w:jc w:val="left"/>
        <w:rPr>
          <w:rFonts w:hint="default" w:ascii="宋体" w:hAnsi="宋体" w:eastAsia="宋体" w:cs="宋体"/>
          <w:b/>
          <w:bCs/>
          <w:color w:val="0D0D0D" w:themeColor="text1" w:themeTint="F2"/>
          <w:sz w:val="30"/>
          <w:szCs w:val="30"/>
          <w:highlight w:val="none"/>
          <w:lang w:val="en-US" w:eastAsia="zh-CN"/>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30"/>
          <w:szCs w:val="30"/>
          <w:highlight w:val="none"/>
          <w:lang w:eastAsia="zh-CN"/>
          <w14:textFill>
            <w14:solidFill>
              <w14:schemeClr w14:val="tx1">
                <w14:lumMod w14:val="95000"/>
                <w14:lumOff w14:val="5000"/>
              </w14:schemeClr>
            </w14:solidFill>
          </w14:textFill>
        </w:rPr>
        <w:t xml:space="preserve">项目编号: </w:t>
      </w:r>
      <w:r>
        <w:rPr>
          <w:rFonts w:hint="eastAsia" w:ascii="宋体" w:hAnsi="宋体" w:cs="宋体"/>
          <w:b/>
          <w:bCs/>
          <w:color w:val="0D0D0D" w:themeColor="text1" w:themeTint="F2"/>
          <w:sz w:val="30"/>
          <w:szCs w:val="30"/>
          <w:highlight w:val="none"/>
          <w:lang w:eastAsia="zh-CN"/>
          <w14:textFill>
            <w14:solidFill>
              <w14:schemeClr w14:val="tx1">
                <w14:lumMod w14:val="95000"/>
                <w14:lumOff w14:val="5000"/>
              </w14:schemeClr>
            </w14:solidFill>
          </w14:textFill>
        </w:rPr>
        <w:t>沈财磋商采购-2024-13</w:t>
      </w:r>
    </w:p>
    <w:p>
      <w:pPr>
        <w:tabs>
          <w:tab w:val="left" w:pos="315"/>
          <w:tab w:val="left" w:pos="8820"/>
        </w:tabs>
        <w:spacing w:line="600" w:lineRule="exact"/>
        <w:ind w:left="1895" w:leftChars="0" w:right="-92" w:rightChars="-44" w:hanging="1895" w:hangingChars="590"/>
        <w:jc w:val="left"/>
        <w:rPr>
          <w:rFonts w:hint="eastAsia" w:ascii="宋体" w:hAnsi="宋体" w:eastAsia="宋体" w:cs="宋体"/>
          <w:b/>
          <w:bCs/>
          <w:color w:val="auto"/>
          <w:sz w:val="32"/>
          <w:szCs w:val="32"/>
          <w:highlight w:val="none"/>
          <w:lang w:eastAsia="zh-CN"/>
        </w:rPr>
      </w:pPr>
    </w:p>
    <w:p>
      <w:pPr>
        <w:tabs>
          <w:tab w:val="left" w:pos="315"/>
          <w:tab w:val="left" w:pos="8820"/>
        </w:tabs>
        <w:spacing w:line="600" w:lineRule="exact"/>
        <w:ind w:left="1895" w:leftChars="0" w:right="-92" w:rightChars="-44" w:hanging="1895" w:hangingChars="590"/>
        <w:jc w:val="cente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lang w:val="en-US" w:eastAsia="zh-CN"/>
        </w:rPr>
        <w:t>2024年05月</w:t>
      </w:r>
    </w:p>
    <w:p>
      <w:pPr>
        <w:pStyle w:val="8"/>
        <w:jc w:val="center"/>
        <w:rPr>
          <w:rFonts w:ascii="宋体" w:hAnsi="宋体"/>
          <w:b/>
          <w:sz w:val="32"/>
          <w:highlight w:val="none"/>
        </w:rPr>
      </w:pPr>
    </w:p>
    <w:p>
      <w:pPr>
        <w:rPr>
          <w:rFonts w:ascii="仿宋_GB2312" w:eastAsia="仿宋_GB2312"/>
          <w:b/>
          <w:sz w:val="30"/>
          <w:szCs w:val="30"/>
          <w:highlight w:val="none"/>
        </w:rPr>
        <w:sectPr>
          <w:headerReference r:id="rId3" w:type="default"/>
          <w:pgSz w:w="11907" w:h="16840"/>
          <w:pgMar w:top="2098" w:right="1474" w:bottom="1985" w:left="1588" w:header="851" w:footer="992" w:gutter="0"/>
          <w:pgNumType w:fmt="decimal" w:start="1"/>
          <w:cols w:space="720" w:num="1"/>
          <w:docGrid w:type="lines" w:linePitch="312" w:charSpace="0"/>
        </w:sectPr>
      </w:pPr>
    </w:p>
    <w:p>
      <w:pPr>
        <w:rPr>
          <w:rFonts w:ascii="仿宋_GB2312" w:eastAsia="仿宋_GB2312"/>
          <w:b/>
          <w:sz w:val="30"/>
          <w:szCs w:val="30"/>
          <w:highlight w:val="none"/>
        </w:rPr>
      </w:pPr>
    </w:p>
    <w:p>
      <w:pPr>
        <w:spacing w:line="560" w:lineRule="exact"/>
        <w:jc w:val="center"/>
        <w:rPr>
          <w:rFonts w:ascii="宋体" w:hAnsi="宋体" w:cs="宋体"/>
          <w:b/>
          <w:sz w:val="32"/>
          <w:szCs w:val="32"/>
          <w:highlight w:val="none"/>
        </w:rPr>
      </w:pPr>
      <w:r>
        <w:rPr>
          <w:rFonts w:hint="eastAsia" w:ascii="宋体" w:hAnsi="宋体" w:cs="宋体"/>
          <w:b/>
          <w:sz w:val="32"/>
          <w:szCs w:val="32"/>
          <w:highlight w:val="none"/>
        </w:rPr>
        <w:t>目     录</w:t>
      </w:r>
    </w:p>
    <w:p>
      <w:pPr>
        <w:rPr>
          <w:rFonts w:ascii="宋体" w:hAnsi="宋体" w:cs="宋体"/>
          <w:b/>
          <w:sz w:val="32"/>
          <w:szCs w:val="32"/>
          <w:highlight w:val="none"/>
        </w:rPr>
      </w:pPr>
    </w:p>
    <w:p>
      <w:pPr>
        <w:spacing w:line="800" w:lineRule="exact"/>
        <w:rPr>
          <w:rFonts w:ascii="宋体" w:hAnsi="宋体" w:cs="宋体"/>
          <w:b/>
          <w:sz w:val="32"/>
          <w:szCs w:val="32"/>
          <w:highlight w:val="none"/>
        </w:rPr>
      </w:pPr>
      <w:r>
        <w:rPr>
          <w:rFonts w:hint="eastAsia" w:ascii="宋体" w:hAnsi="宋体" w:cs="宋体"/>
          <w:b/>
          <w:sz w:val="32"/>
          <w:szCs w:val="32"/>
          <w:highlight w:val="none"/>
        </w:rPr>
        <w:t xml:space="preserve">第一章  竞争性磋商邀请函 </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第二章  供应商须知</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第三章  采购项目内容及要求</w:t>
      </w:r>
    </w:p>
    <w:p>
      <w:pPr>
        <w:spacing w:line="800" w:lineRule="exact"/>
        <w:rPr>
          <w:rFonts w:ascii="宋体" w:hAnsi="宋体" w:cs="宋体"/>
          <w:b/>
          <w:sz w:val="32"/>
          <w:szCs w:val="32"/>
          <w:highlight w:val="none"/>
        </w:rPr>
      </w:pPr>
      <w:r>
        <w:rPr>
          <w:rFonts w:hint="eastAsia" w:ascii="宋体" w:hAnsi="宋体" w:cs="宋体"/>
          <w:b/>
          <w:sz w:val="32"/>
          <w:szCs w:val="32"/>
          <w:highlight w:val="none"/>
        </w:rPr>
        <w:t>第四章  响应性文件内容及格式</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第五章  合同主要条款 合同签订指引、供应商履约验收指引</w:t>
      </w:r>
    </w:p>
    <w:p>
      <w:pPr>
        <w:spacing w:line="800" w:lineRule="exact"/>
        <w:ind w:firstLine="2249" w:firstLineChars="700"/>
        <w:rPr>
          <w:rFonts w:ascii="宋体" w:hAnsi="宋体" w:cs="宋体"/>
          <w:b/>
          <w:sz w:val="32"/>
          <w:szCs w:val="32"/>
          <w:highlight w:val="none"/>
        </w:rPr>
      </w:pPr>
    </w:p>
    <w:p>
      <w:pPr>
        <w:spacing w:line="800" w:lineRule="exact"/>
        <w:ind w:firstLine="2249" w:firstLineChars="700"/>
        <w:rPr>
          <w:rFonts w:ascii="宋体" w:hAnsi="宋体" w:cs="宋体"/>
          <w:b/>
          <w:sz w:val="32"/>
          <w:szCs w:val="32"/>
          <w:highlight w:val="none"/>
        </w:rPr>
      </w:pPr>
    </w:p>
    <w:p>
      <w:pPr>
        <w:spacing w:line="800" w:lineRule="exact"/>
        <w:ind w:firstLine="2249" w:firstLineChars="700"/>
        <w:rPr>
          <w:rFonts w:ascii="宋体" w:hAnsi="宋体" w:cs="宋体"/>
          <w:b/>
          <w:sz w:val="32"/>
          <w:szCs w:val="32"/>
          <w:highlight w:val="none"/>
        </w:rPr>
      </w:pPr>
    </w:p>
    <w:p>
      <w:pPr>
        <w:jc w:val="center"/>
        <w:rPr>
          <w:rFonts w:ascii="宋体" w:hAnsi="宋体" w:cs="宋体"/>
          <w:b/>
          <w:sz w:val="32"/>
          <w:szCs w:val="32"/>
          <w:highlight w:val="none"/>
        </w:rPr>
      </w:pPr>
      <w:r>
        <w:rPr>
          <w:rFonts w:hint="eastAsia" w:ascii="仿宋_GB2312" w:eastAsia="仿宋_GB2312"/>
          <w:b/>
          <w:sz w:val="32"/>
          <w:szCs w:val="32"/>
          <w:highlight w:val="none"/>
        </w:rPr>
        <w:br w:type="page"/>
      </w:r>
      <w:r>
        <w:rPr>
          <w:rFonts w:hint="eastAsia" w:ascii="宋体" w:hAnsi="宋体" w:cs="宋体"/>
          <w:b/>
          <w:sz w:val="32"/>
          <w:szCs w:val="32"/>
          <w:highlight w:val="none"/>
        </w:rPr>
        <w:t>第一章    竞争性磋商邀请函</w:t>
      </w:r>
    </w:p>
    <w:p>
      <w:pPr>
        <w:pStyle w:val="41"/>
        <w:rPr>
          <w:highlight w:val="none"/>
        </w:rPr>
      </w:pP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项目概况</w:t>
      </w:r>
    </w:p>
    <w:p>
      <w:pPr>
        <w:spacing w:line="360" w:lineRule="auto"/>
        <w:ind w:firstLine="480" w:firstLineChars="200"/>
        <w:jc w:val="left"/>
        <w:rPr>
          <w:rFonts w:asciiTheme="minorEastAsia" w:hAnsiTheme="minorEastAsia" w:eastAsiaTheme="minorEastAsia" w:cstheme="minorEastAsia"/>
          <w:sz w:val="24"/>
          <w:highlight w:val="none"/>
        </w:rPr>
      </w:pPr>
      <w:r>
        <w:rPr>
          <w:rFonts w:hint="eastAsia" w:ascii="宋体" w:hAnsi="宋体" w:cs="宋体"/>
          <w:sz w:val="24"/>
          <w:highlight w:val="none"/>
          <w:lang w:eastAsia="zh-CN"/>
        </w:rPr>
        <w:t>沈丘县优化营商环境服务中心沈丘县营商环境提升工作项目</w:t>
      </w:r>
      <w:r>
        <w:rPr>
          <w:rFonts w:hint="eastAsia" w:ascii="宋体" w:hAnsi="宋体" w:cs="宋体"/>
          <w:sz w:val="24"/>
          <w:highlight w:val="none"/>
        </w:rPr>
        <w:t>的潜在投标人应在周口市公共资源交易中心网（http://jyzx.zhoukou.gov.cn/）获取招标文件，并于</w:t>
      </w:r>
      <w:r>
        <w:rPr>
          <w:rFonts w:hint="eastAsia" w:ascii="宋体" w:hAnsi="宋体" w:cs="宋体"/>
          <w:sz w:val="24"/>
          <w:highlight w:val="none"/>
          <w:lang w:val="en-US" w:eastAsia="zh-CN"/>
        </w:rPr>
        <w:t>2024</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分（北京时间）前递交投标文件。</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0" w:name="_Toc35393629"/>
      <w:bookmarkStart w:id="1" w:name="_Toc35393798"/>
      <w:bookmarkStart w:id="2" w:name="_Toc28359012"/>
      <w:bookmarkStart w:id="3" w:name="_Toc28359089"/>
      <w:r>
        <w:rPr>
          <w:rFonts w:hint="eastAsia" w:asciiTheme="minorEastAsia" w:hAnsiTheme="minorEastAsia" w:eastAsiaTheme="minorEastAsia" w:cstheme="minorEastAsia"/>
          <w:sz w:val="24"/>
          <w:highlight w:val="none"/>
        </w:rPr>
        <w:t>一、项目基本情况</w:t>
      </w:r>
      <w:bookmarkEnd w:id="0"/>
      <w:bookmarkEnd w:id="1"/>
      <w:bookmarkEnd w:id="2"/>
      <w:bookmarkEnd w:id="3"/>
    </w:p>
    <w:p>
      <w:pPr>
        <w:autoSpaceDE w:val="0"/>
        <w:autoSpaceDN w:val="0"/>
        <w:spacing w:line="360" w:lineRule="auto"/>
        <w:ind w:firstLine="480" w:firstLineChars="200"/>
        <w:rPr>
          <w:rFonts w:hint="default" w:asciiTheme="minorEastAsia" w:hAnsiTheme="minorEastAsia" w:eastAsiaTheme="minorEastAsia" w:cstheme="minorEastAsia"/>
          <w:color w:val="0D0D0D" w:themeColor="text1" w:themeTint="F2"/>
          <w:sz w:val="24"/>
          <w:highlight w:val="none"/>
          <w:lang w:val="en-US" w:eastAsia="zh-CN"/>
          <w14:textFill>
            <w14:solidFill>
              <w14:schemeClr w14:val="tx1">
                <w14:lumMod w14:val="95000"/>
                <w14:lumOff w14:val="5000"/>
              </w14:schemeClr>
            </w14:solidFill>
          </w14:textFill>
        </w:rPr>
      </w:pPr>
      <w:r>
        <w:rPr>
          <w:rFonts w:hint="eastAsia" w:asciiTheme="minorEastAsia" w:hAnsiTheme="minorEastAsia" w:eastAsiaTheme="minorEastAsia" w:cstheme="minorEastAsia"/>
          <w:color w:val="0D0D0D" w:themeColor="text1" w:themeTint="F2"/>
          <w:sz w:val="24"/>
          <w:highlight w:val="none"/>
          <w14:textFill>
            <w14:solidFill>
              <w14:schemeClr w14:val="tx1">
                <w14:lumMod w14:val="95000"/>
                <w14:lumOff w14:val="5000"/>
              </w14:schemeClr>
            </w14:solidFill>
          </w14:textFill>
        </w:rPr>
        <w:t>项目编号：</w:t>
      </w:r>
      <w:r>
        <w:rPr>
          <w:rFonts w:hint="eastAsia" w:asciiTheme="minorEastAsia" w:hAnsiTheme="minorEastAsia" w:eastAsiaTheme="minorEastAsia" w:cstheme="minorEastAsia"/>
          <w:color w:val="0D0D0D" w:themeColor="text1" w:themeTint="F2"/>
          <w:sz w:val="24"/>
          <w:highlight w:val="none"/>
          <w:lang w:eastAsia="zh-CN"/>
          <w14:textFill>
            <w14:solidFill>
              <w14:schemeClr w14:val="tx1">
                <w14:lumMod w14:val="95000"/>
                <w14:lumOff w14:val="5000"/>
              </w14:schemeClr>
            </w14:solidFill>
          </w14:textFill>
        </w:rPr>
        <w:t>沈财磋商采购-2024-13</w:t>
      </w:r>
    </w:p>
    <w:p>
      <w:pPr>
        <w:autoSpaceDE w:val="0"/>
        <w:autoSpaceDN w:val="0"/>
        <w:spacing w:line="360" w:lineRule="auto"/>
        <w:ind w:left="1680" w:leftChars="200" w:hanging="1260" w:hangingChars="525"/>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项目名称：</w:t>
      </w:r>
      <w:r>
        <w:rPr>
          <w:rFonts w:hint="eastAsia" w:asciiTheme="minorEastAsia" w:hAnsiTheme="minorEastAsia" w:eastAsiaTheme="minorEastAsia" w:cstheme="minorEastAsia"/>
          <w:sz w:val="24"/>
          <w:highlight w:val="none"/>
          <w:lang w:eastAsia="zh-CN"/>
        </w:rPr>
        <w:t>沈丘县优化营商环境服务中心沈丘县营商环境提升工作项目</w:t>
      </w:r>
    </w:p>
    <w:p>
      <w:pPr>
        <w:autoSpaceDE w:val="0"/>
        <w:autoSpaceDN w:val="0"/>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采购方式：竞争性磋商</w:t>
      </w:r>
    </w:p>
    <w:p>
      <w:pPr>
        <w:autoSpaceDE w:val="0"/>
        <w:autoSpaceDN w:val="0"/>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预算金额：</w:t>
      </w:r>
      <w:r>
        <w:rPr>
          <w:rFonts w:hint="eastAsia" w:asciiTheme="minorEastAsia" w:hAnsiTheme="minorEastAsia" w:eastAsiaTheme="minorEastAsia" w:cstheme="minorEastAsia"/>
          <w:sz w:val="24"/>
          <w:highlight w:val="none"/>
          <w:lang w:val="en-US" w:eastAsia="zh-CN"/>
        </w:rPr>
        <w:t>1050000.00</w:t>
      </w:r>
      <w:r>
        <w:rPr>
          <w:rFonts w:hint="eastAsia" w:asciiTheme="minorEastAsia" w:hAnsiTheme="minorEastAsia" w:eastAsiaTheme="minorEastAsia" w:cstheme="minorEastAsia"/>
          <w:sz w:val="24"/>
          <w:highlight w:val="none"/>
          <w:lang w:eastAsia="zh-CN"/>
        </w:rPr>
        <w:t>元</w:t>
      </w:r>
    </w:p>
    <w:p>
      <w:pPr>
        <w:autoSpaceDE w:val="0"/>
        <w:autoSpaceDN w:val="0"/>
        <w:spacing w:line="360" w:lineRule="auto"/>
        <w:ind w:firstLine="480" w:firstLineChars="200"/>
        <w:rPr>
          <w:rFonts w:hint="eastAsia" w:asciiTheme="minorEastAsia" w:hAnsiTheme="minorEastAsia" w:eastAsiaTheme="minorEastAsia" w:cstheme="minorEastAsia"/>
          <w:sz w:val="24"/>
          <w:highlight w:val="none"/>
          <w:lang w:eastAsia="zh-CN"/>
        </w:rPr>
      </w:pPr>
      <w:r>
        <w:rPr>
          <w:rFonts w:hint="eastAsia" w:asciiTheme="minorEastAsia" w:hAnsiTheme="minorEastAsia" w:eastAsiaTheme="minorEastAsia" w:cstheme="minorEastAsia"/>
          <w:sz w:val="24"/>
          <w:highlight w:val="none"/>
        </w:rPr>
        <w:t>最高限价：</w:t>
      </w:r>
      <w:r>
        <w:rPr>
          <w:rFonts w:hint="eastAsia" w:asciiTheme="minorEastAsia" w:hAnsiTheme="minorEastAsia" w:eastAsiaTheme="minorEastAsia" w:cstheme="minorEastAsia"/>
          <w:sz w:val="24"/>
          <w:highlight w:val="none"/>
          <w:lang w:val="en-US" w:eastAsia="zh-CN"/>
        </w:rPr>
        <w:t>1050000.00</w:t>
      </w:r>
      <w:r>
        <w:rPr>
          <w:rFonts w:hint="eastAsia" w:asciiTheme="minorEastAsia" w:hAnsiTheme="minorEastAsia" w:eastAsiaTheme="minorEastAsia" w:cstheme="minorEastAsia"/>
          <w:sz w:val="24"/>
          <w:highlight w:val="none"/>
          <w:lang w:eastAsia="zh-CN"/>
        </w:rPr>
        <w:t>元</w:t>
      </w:r>
    </w:p>
    <w:p>
      <w:pPr>
        <w:pStyle w:val="23"/>
        <w:snapToGrid w:val="0"/>
        <w:spacing w:before="0" w:beforeAutospacing="0" w:after="0" w:afterAutospacing="0" w:line="360" w:lineRule="auto"/>
        <w:ind w:firstLine="480"/>
        <w:jc w:val="both"/>
        <w:rPr>
          <w:rFonts w:cs="宋体"/>
          <w:color w:val="000000"/>
          <w:highlight w:val="none"/>
        </w:rPr>
      </w:pPr>
      <w:r>
        <w:rPr>
          <w:rFonts w:hint="eastAsia" w:cs="宋体"/>
          <w:color w:val="000000"/>
          <w:highlight w:val="none"/>
        </w:rPr>
        <w:t>包划分：</w:t>
      </w:r>
      <w:r>
        <w:rPr>
          <w:rFonts w:hint="eastAsia" w:cs="宋体"/>
          <w:color w:val="000000"/>
          <w:highlight w:val="none"/>
          <w:lang w:val="en-US" w:eastAsia="zh-CN"/>
        </w:rPr>
        <w:t>1</w:t>
      </w:r>
      <w:r>
        <w:rPr>
          <w:rFonts w:hint="eastAsia" w:cs="宋体"/>
          <w:color w:val="000000"/>
          <w:highlight w:val="none"/>
        </w:rPr>
        <w:t>个包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6512"/>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dxa"/>
            <w:vAlign w:val="center"/>
          </w:tcPr>
          <w:p>
            <w:pPr>
              <w:pStyle w:val="23"/>
              <w:shd w:val="clear" w:color="auto" w:fill="FFFFFF"/>
              <w:adjustRightInd w:val="0"/>
              <w:snapToGrid w:val="0"/>
              <w:spacing w:before="0" w:beforeAutospacing="0" w:after="0" w:afterAutospacing="0" w:line="360" w:lineRule="auto"/>
              <w:jc w:val="center"/>
              <w:rPr>
                <w:highlight w:val="none"/>
              </w:rPr>
            </w:pPr>
            <w:r>
              <w:rPr>
                <w:rFonts w:hint="eastAsia" w:cs="宋体" w:asciiTheme="minorEastAsia" w:hAnsiTheme="minorEastAsia" w:eastAsiaTheme="minorEastAsia"/>
                <w:kern w:val="2"/>
                <w:szCs w:val="24"/>
                <w:highlight w:val="none"/>
              </w:rPr>
              <w:t>包号</w:t>
            </w:r>
          </w:p>
        </w:tc>
        <w:tc>
          <w:tcPr>
            <w:tcW w:w="6512" w:type="dxa"/>
            <w:vAlign w:val="center"/>
          </w:tcPr>
          <w:p>
            <w:pPr>
              <w:pStyle w:val="23"/>
              <w:shd w:val="clear" w:color="auto" w:fill="FFFFFF"/>
              <w:adjustRightInd w:val="0"/>
              <w:snapToGrid w:val="0"/>
              <w:spacing w:before="0" w:beforeAutospacing="0" w:after="0" w:afterAutospacing="0" w:line="360" w:lineRule="auto"/>
              <w:jc w:val="center"/>
              <w:rPr>
                <w:highlight w:val="none"/>
              </w:rPr>
            </w:pPr>
            <w:r>
              <w:rPr>
                <w:rFonts w:hint="eastAsia" w:cs="宋体" w:asciiTheme="minorEastAsia" w:hAnsiTheme="minorEastAsia" w:eastAsiaTheme="minorEastAsia"/>
                <w:kern w:val="2"/>
                <w:szCs w:val="24"/>
                <w:highlight w:val="none"/>
              </w:rPr>
              <w:t>包名称</w:t>
            </w:r>
          </w:p>
        </w:tc>
        <w:tc>
          <w:tcPr>
            <w:tcW w:w="0" w:type="auto"/>
            <w:vAlign w:val="center"/>
          </w:tcPr>
          <w:p>
            <w:pPr>
              <w:pStyle w:val="23"/>
              <w:shd w:val="clear" w:color="auto" w:fill="FFFFFF"/>
              <w:adjustRightInd w:val="0"/>
              <w:snapToGrid w:val="0"/>
              <w:spacing w:before="0" w:beforeAutospacing="0" w:after="0" w:afterAutospacing="0" w:line="360" w:lineRule="auto"/>
              <w:jc w:val="center"/>
              <w:rPr>
                <w:highlight w:val="none"/>
              </w:rPr>
            </w:pPr>
            <w:r>
              <w:rPr>
                <w:rFonts w:hint="eastAsia" w:cs="宋体" w:asciiTheme="minorEastAsia" w:hAnsiTheme="minorEastAsia" w:eastAsiaTheme="minorEastAsia"/>
                <w:kern w:val="2"/>
                <w:szCs w:val="24"/>
                <w:highlight w:val="none"/>
              </w:rPr>
              <w:t>包最高限价</w:t>
            </w:r>
            <w:r>
              <w:rPr>
                <w:rFonts w:hint="eastAsia" w:cs="宋体" w:asciiTheme="minorEastAsia" w:hAnsiTheme="minorEastAsia" w:eastAsiaTheme="minorEastAsia"/>
                <w:kern w:val="2"/>
                <w:szCs w:val="24"/>
                <w:highlight w:val="none"/>
                <w:lang w:eastAsia="zh-CN"/>
              </w:rPr>
              <w:t>（</w:t>
            </w:r>
            <w:r>
              <w:rPr>
                <w:rFonts w:hint="eastAsia" w:cs="宋体" w:asciiTheme="minorEastAsia" w:hAnsiTheme="minorEastAsia" w:eastAsiaTheme="minorEastAsia"/>
                <w:kern w:val="2"/>
                <w:szCs w:val="24"/>
                <w:highlight w:val="none"/>
              </w:rPr>
              <w:t>元</w:t>
            </w:r>
            <w:r>
              <w:rPr>
                <w:rFonts w:hint="eastAsia" w:cs="宋体" w:asciiTheme="minorEastAsia" w:hAnsiTheme="minorEastAsia" w:eastAsiaTheme="minorEastAsia"/>
                <w:kern w:val="2"/>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865" w:type="dxa"/>
            <w:vAlign w:val="center"/>
          </w:tcPr>
          <w:p>
            <w:pPr>
              <w:pStyle w:val="23"/>
              <w:shd w:val="clear" w:color="auto" w:fill="FFFFFF"/>
              <w:adjustRightInd w:val="0"/>
              <w:snapToGrid w:val="0"/>
              <w:spacing w:before="0" w:beforeAutospacing="0" w:after="0" w:afterAutospacing="0" w:line="360" w:lineRule="auto"/>
              <w:jc w:val="center"/>
              <w:rPr>
                <w:highlight w:val="none"/>
              </w:rPr>
            </w:pPr>
            <w:r>
              <w:rPr>
                <w:rFonts w:hint="eastAsia" w:cs="宋体" w:asciiTheme="minorEastAsia" w:hAnsiTheme="minorEastAsia" w:eastAsiaTheme="minorEastAsia"/>
                <w:kern w:val="2"/>
                <w:szCs w:val="24"/>
                <w:highlight w:val="none"/>
              </w:rPr>
              <w:t>1</w:t>
            </w:r>
          </w:p>
        </w:tc>
        <w:tc>
          <w:tcPr>
            <w:tcW w:w="6512" w:type="dxa"/>
            <w:vAlign w:val="center"/>
          </w:tcPr>
          <w:p>
            <w:pPr>
              <w:adjustRightInd w:val="0"/>
              <w:snapToGrid w:val="0"/>
              <w:spacing w:line="360" w:lineRule="auto"/>
              <w:rPr>
                <w:highlight w:val="none"/>
              </w:rPr>
            </w:pPr>
            <w:r>
              <w:rPr>
                <w:rFonts w:hint="eastAsia" w:asciiTheme="minorEastAsia" w:hAnsiTheme="minorEastAsia" w:eastAsiaTheme="minorEastAsia" w:cstheme="minorEastAsia"/>
                <w:sz w:val="24"/>
                <w:highlight w:val="none"/>
                <w:lang w:eastAsia="zh-CN"/>
              </w:rPr>
              <w:t>沈丘县优化营商环境服务中心沈丘县营商环境提升工作项目</w:t>
            </w:r>
          </w:p>
        </w:tc>
        <w:tc>
          <w:tcPr>
            <w:tcW w:w="0" w:type="auto"/>
            <w:vAlign w:val="center"/>
          </w:tcPr>
          <w:p>
            <w:pPr>
              <w:adjustRightInd w:val="0"/>
              <w:snapToGrid w:val="0"/>
              <w:spacing w:line="360" w:lineRule="auto"/>
              <w:rPr>
                <w:rFonts w:hint="eastAsia" w:eastAsia="宋体"/>
                <w:highlight w:val="none"/>
                <w:lang w:val="en-US" w:eastAsia="zh-CN"/>
              </w:rPr>
            </w:pPr>
            <w:r>
              <w:rPr>
                <w:rFonts w:hint="eastAsia" w:asciiTheme="minorEastAsia" w:hAnsiTheme="minorEastAsia" w:eastAsiaTheme="minorEastAsia" w:cstheme="minorEastAsia"/>
                <w:sz w:val="24"/>
                <w:highlight w:val="none"/>
                <w:lang w:val="en-US" w:eastAsia="zh-CN"/>
              </w:rPr>
              <w:t>1050000.00</w:t>
            </w:r>
          </w:p>
        </w:tc>
      </w:tr>
    </w:tbl>
    <w:p>
      <w:pPr>
        <w:autoSpaceDE w:val="0"/>
        <w:autoSpaceDN w:val="0"/>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w:t>
      </w:r>
      <w:r>
        <w:rPr>
          <w:rFonts w:hint="eastAsia" w:asciiTheme="minorEastAsia" w:hAnsiTheme="minorEastAsia" w:eastAsiaTheme="minorEastAsia" w:cstheme="minorEastAsia"/>
          <w:color w:val="0D0D0D" w:themeColor="text1" w:themeTint="F2"/>
          <w:sz w:val="24"/>
          <w:highlight w:val="none"/>
          <w14:textFill>
            <w14:solidFill>
              <w14:schemeClr w14:val="tx1">
                <w14:lumMod w14:val="95000"/>
                <w14:lumOff w14:val="5000"/>
              </w14:schemeClr>
            </w14:solidFill>
          </w14:textFill>
        </w:rPr>
        <w:t>需求：</w:t>
      </w:r>
      <w:r>
        <w:rPr>
          <w:rFonts w:hint="eastAsia" w:asciiTheme="minorEastAsia" w:hAnsiTheme="minorEastAsia" w:eastAsiaTheme="minorEastAsia" w:cstheme="minorEastAsia"/>
          <w:sz w:val="24"/>
          <w:highlight w:val="none"/>
          <w:lang w:eastAsia="zh-CN"/>
        </w:rPr>
        <w:t>营商环境提升工作等</w:t>
      </w:r>
      <w:r>
        <w:rPr>
          <w:rFonts w:hint="eastAsia" w:asciiTheme="minorEastAsia" w:hAnsiTheme="minorEastAsia" w:eastAsiaTheme="minorEastAsia" w:cstheme="minorEastAsia"/>
          <w:color w:val="0D0D0D" w:themeColor="text1" w:themeTint="F2"/>
          <w:sz w:val="24"/>
          <w:highlight w:val="none"/>
          <w14:textFill>
            <w14:solidFill>
              <w14:schemeClr w14:val="tx1">
                <w14:lumMod w14:val="95000"/>
                <w14:lumOff w14:val="5000"/>
              </w14:schemeClr>
            </w14:solidFill>
          </w14:textFill>
        </w:rPr>
        <w:t>（包括但</w:t>
      </w:r>
      <w:r>
        <w:rPr>
          <w:rFonts w:hint="eastAsia" w:asciiTheme="minorEastAsia" w:hAnsiTheme="minorEastAsia" w:eastAsiaTheme="minorEastAsia" w:cstheme="minorEastAsia"/>
          <w:sz w:val="24"/>
          <w:highlight w:val="none"/>
        </w:rPr>
        <w:t>不限于标的的名称、数量、简要技术需求或服务要求等）</w:t>
      </w:r>
    </w:p>
    <w:p>
      <w:pPr>
        <w:autoSpaceDE w:val="0"/>
        <w:autoSpaceDN w:val="0"/>
        <w:spacing w:line="360" w:lineRule="auto"/>
        <w:ind w:firstLine="480" w:firstLineChars="200"/>
        <w:rPr>
          <w:rFonts w:hint="default" w:asciiTheme="minorEastAsia" w:hAnsiTheme="minorEastAsia" w:eastAsiaTheme="minorEastAsia" w:cstheme="minorEastAsia"/>
          <w:sz w:val="24"/>
          <w:highlight w:val="none"/>
          <w:lang w:val="en-US"/>
        </w:rPr>
      </w:pPr>
      <w:r>
        <w:rPr>
          <w:rFonts w:hint="eastAsia" w:asciiTheme="minorEastAsia" w:hAnsiTheme="minorEastAsia" w:eastAsiaTheme="minorEastAsia" w:cstheme="minorEastAsia"/>
          <w:sz w:val="24"/>
          <w:highlight w:val="none"/>
        </w:rPr>
        <w:t>合同履行期限：</w:t>
      </w:r>
      <w:r>
        <w:rPr>
          <w:rFonts w:hint="eastAsia" w:asciiTheme="minorEastAsia" w:hAnsiTheme="minorEastAsia" w:cstheme="minorEastAsia"/>
          <w:color w:val="auto"/>
          <w:sz w:val="24"/>
          <w:szCs w:val="24"/>
          <w:highlight w:val="none"/>
          <w:lang w:val="en-US" w:eastAsia="zh-CN"/>
        </w:rPr>
        <w:t>1年</w:t>
      </w:r>
    </w:p>
    <w:p>
      <w:pPr>
        <w:spacing w:line="360" w:lineRule="auto"/>
        <w:ind w:firstLine="480" w:firstLineChars="200"/>
        <w:jc w:val="left"/>
        <w:rPr>
          <w:rFonts w:ascii="宋体" w:hAnsi="宋体" w:cs="宋体"/>
          <w:sz w:val="24"/>
          <w:highlight w:val="none"/>
        </w:rPr>
      </w:pPr>
      <w:bookmarkStart w:id="4" w:name="_Toc28359013"/>
      <w:bookmarkStart w:id="5" w:name="_Toc35393799"/>
      <w:bookmarkStart w:id="6" w:name="_Toc35393630"/>
      <w:bookmarkStart w:id="7" w:name="_Toc28359090"/>
      <w:r>
        <w:rPr>
          <w:rFonts w:hint="eastAsia" w:ascii="宋体" w:hAnsi="宋体" w:cs="宋体"/>
          <w:sz w:val="24"/>
          <w:highlight w:val="none"/>
        </w:rPr>
        <w:t>是否接受进口产品：否</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本项目是否接受联合体投标：否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highlight w:val="none"/>
          <w:lang w:eastAsia="zh-CN"/>
        </w:rPr>
      </w:pPr>
      <w:r>
        <w:rPr>
          <w:rFonts w:hint="eastAsia" w:ascii="宋体" w:hAnsi="宋体" w:cs="宋体"/>
          <w:sz w:val="24"/>
          <w:highlight w:val="none"/>
        </w:rPr>
        <w:t>本项目是否为只面向中小企业采购：</w:t>
      </w:r>
      <w:r>
        <w:rPr>
          <w:rFonts w:hint="eastAsia" w:ascii="宋体" w:hAnsi="宋体" w:cs="宋体"/>
          <w:i w:val="0"/>
          <w:iCs w:val="0"/>
          <w:color w:val="000000" w:themeColor="text1"/>
          <w:sz w:val="24"/>
          <w:szCs w:val="24"/>
          <w:highlight w:val="none"/>
          <w:lang w:val="en-US" w:eastAsia="zh-CN"/>
          <w14:textFill>
            <w14:solidFill>
              <w14:schemeClr w14:val="tx1"/>
            </w14:solidFill>
          </w14:textFill>
        </w:rPr>
        <w:t>否</w:t>
      </w:r>
    </w:p>
    <w:p>
      <w:pPr>
        <w:pStyle w:val="3"/>
        <w:autoSpaceDE w:val="0"/>
        <w:autoSpaceDN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二、申请人的资格要求：</w:t>
      </w:r>
      <w:bookmarkEnd w:id="4"/>
      <w:bookmarkEnd w:id="5"/>
      <w:bookmarkEnd w:id="6"/>
      <w:bookmarkEnd w:id="7"/>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1.满足《中华人民共和国政府采购法》第二十二条规定；</w:t>
      </w:r>
    </w:p>
    <w:p>
      <w:pPr>
        <w:adjustRightInd w:val="0"/>
        <w:snapToGrid w:val="0"/>
        <w:spacing w:line="360" w:lineRule="auto"/>
        <w:ind w:firstLine="480" w:firstLineChars="200"/>
        <w:rPr>
          <w:sz w:val="24"/>
          <w:highlight w:val="none"/>
        </w:rPr>
      </w:pPr>
      <w:r>
        <w:rPr>
          <w:rFonts w:hint="eastAsia"/>
          <w:sz w:val="24"/>
          <w:highlight w:val="none"/>
        </w:rPr>
        <w:t xml:space="preserve">（1）具有独立承担民事责任的能力； </w:t>
      </w:r>
    </w:p>
    <w:p>
      <w:pPr>
        <w:adjustRightInd w:val="0"/>
        <w:snapToGrid w:val="0"/>
        <w:spacing w:line="360" w:lineRule="auto"/>
        <w:ind w:firstLine="480" w:firstLineChars="200"/>
        <w:rPr>
          <w:sz w:val="24"/>
          <w:highlight w:val="none"/>
        </w:rPr>
      </w:pPr>
      <w:r>
        <w:rPr>
          <w:rFonts w:hint="eastAsia"/>
          <w:sz w:val="24"/>
          <w:highlight w:val="none"/>
        </w:rPr>
        <w:t xml:space="preserve">（2）具有良好的商业信誉和健全的财务会计制度； </w:t>
      </w:r>
    </w:p>
    <w:p>
      <w:pPr>
        <w:adjustRightInd w:val="0"/>
        <w:snapToGrid w:val="0"/>
        <w:spacing w:line="360" w:lineRule="auto"/>
        <w:ind w:firstLine="480" w:firstLineChars="200"/>
        <w:rPr>
          <w:sz w:val="24"/>
          <w:highlight w:val="none"/>
        </w:rPr>
      </w:pPr>
      <w:r>
        <w:rPr>
          <w:rFonts w:hint="eastAsia"/>
          <w:sz w:val="24"/>
          <w:highlight w:val="none"/>
        </w:rPr>
        <w:t xml:space="preserve">（3）具有履行合同所必需的设备和专业技术能力； </w:t>
      </w:r>
    </w:p>
    <w:p>
      <w:pPr>
        <w:adjustRightInd w:val="0"/>
        <w:snapToGrid w:val="0"/>
        <w:spacing w:line="360" w:lineRule="auto"/>
        <w:ind w:firstLine="480" w:firstLineChars="200"/>
        <w:rPr>
          <w:sz w:val="24"/>
          <w:highlight w:val="none"/>
        </w:rPr>
      </w:pPr>
      <w:r>
        <w:rPr>
          <w:rFonts w:hint="eastAsia"/>
          <w:sz w:val="24"/>
          <w:highlight w:val="none"/>
        </w:rPr>
        <w:t xml:space="preserve">（4）有依法缴纳税收和社会保障资金的良好记录； </w:t>
      </w:r>
    </w:p>
    <w:p>
      <w:pPr>
        <w:adjustRightInd w:val="0"/>
        <w:snapToGrid w:val="0"/>
        <w:spacing w:line="360" w:lineRule="auto"/>
        <w:ind w:firstLine="480" w:firstLineChars="200"/>
        <w:rPr>
          <w:sz w:val="24"/>
          <w:highlight w:val="none"/>
        </w:rPr>
      </w:pPr>
      <w:r>
        <w:rPr>
          <w:rFonts w:hint="eastAsia"/>
          <w:sz w:val="24"/>
          <w:highlight w:val="none"/>
        </w:rPr>
        <w:t xml:space="preserve">（5）参加政府采购活动前三年内，在经营活动中没有重大违法记录； </w:t>
      </w:r>
    </w:p>
    <w:p>
      <w:pPr>
        <w:adjustRightInd w:val="0"/>
        <w:snapToGrid w:val="0"/>
        <w:spacing w:line="360" w:lineRule="auto"/>
        <w:ind w:firstLine="480" w:firstLineChars="200"/>
        <w:rPr>
          <w:highlight w:val="none"/>
        </w:rPr>
      </w:pPr>
      <w:r>
        <w:rPr>
          <w:rFonts w:hint="eastAsia"/>
          <w:sz w:val="24"/>
          <w:highlight w:val="none"/>
        </w:rPr>
        <w:t xml:space="preserve">（6）法律、行政法规规定的其他条件。 </w:t>
      </w:r>
    </w:p>
    <w:p>
      <w:pPr>
        <w:autoSpaceDE w:val="0"/>
        <w:autoSpaceDN w:val="0"/>
        <w:spacing w:line="360" w:lineRule="auto"/>
        <w:ind w:firstLine="540"/>
        <w:rPr>
          <w:rFonts w:asciiTheme="minorEastAsia" w:hAnsiTheme="minorEastAsia" w:eastAsiaTheme="minorEastAsia" w:cstheme="minorEastAsia"/>
          <w:sz w:val="24"/>
          <w:highlight w:val="none"/>
        </w:rPr>
      </w:pPr>
      <w:bookmarkStart w:id="8" w:name="_Toc28359091"/>
      <w:bookmarkStart w:id="9" w:name="_Toc28359014"/>
      <w:r>
        <w:rPr>
          <w:rFonts w:hint="eastAsia" w:asciiTheme="minorEastAsia" w:hAnsiTheme="minorEastAsia" w:eastAsiaTheme="minorEastAsia" w:cstheme="minorEastAsia"/>
          <w:sz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pPr>
        <w:spacing w:line="360" w:lineRule="auto"/>
        <w:ind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3.本项目的特定资格要求：</w:t>
      </w:r>
    </w:p>
    <w:p>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（根据《关于在政府采购活动中查询及使用信用记录有关问题的通知》(财库[2016]125号)和豫财购【2016】15号的规定，对列入“信用中国”网站（</w:t>
      </w:r>
      <w:r>
        <w:rPr>
          <w:rFonts w:hint="eastAsia" w:ascii="宋体" w:hAnsi="宋体" w:cs="宋体"/>
          <w:sz w:val="24"/>
          <w:highlight w:val="none"/>
        </w:rPr>
        <w:fldChar w:fldCharType="begin"/>
      </w:r>
      <w:r>
        <w:rPr>
          <w:rFonts w:hint="eastAsia" w:ascii="宋体" w:hAnsi="宋体" w:cs="宋体"/>
          <w:sz w:val="24"/>
          <w:highlight w:val="none"/>
        </w:rPr>
        <w:instrText xml:space="preserve">HYPERLINK "http://www.creditchina.gov.cn/"</w:instrText>
      </w:r>
      <w:r>
        <w:rPr>
          <w:rFonts w:hint="eastAsia" w:ascii="宋体" w:hAnsi="宋体" w:cs="宋体"/>
          <w:sz w:val="24"/>
          <w:highlight w:val="none"/>
        </w:rPr>
        <w:fldChar w:fldCharType="separate"/>
      </w:r>
      <w:r>
        <w:rPr>
          <w:rFonts w:hint="eastAsia" w:ascii="宋体" w:hAnsi="宋体" w:cs="宋体"/>
          <w:sz w:val="24"/>
          <w:highlight w:val="none"/>
        </w:rPr>
        <w:t>www.creditchina.gov.cn</w:t>
      </w:r>
      <w:r>
        <w:rPr>
          <w:rFonts w:hint="eastAsia" w:ascii="宋体" w:hAnsi="宋体" w:cs="宋体"/>
          <w:sz w:val="24"/>
          <w:highlight w:val="none"/>
        </w:rPr>
        <w:fldChar w:fldCharType="end"/>
      </w:r>
      <w:r>
        <w:rPr>
          <w:rFonts w:hint="eastAsia" w:ascii="宋体" w:hAnsi="宋体" w:cs="宋体"/>
          <w:sz w:val="24"/>
          <w:highlight w:val="none"/>
        </w:rPr>
        <w:t>）的“失信被执行人”、</w:t>
      </w:r>
      <w:r>
        <w:rPr>
          <w:rFonts w:hint="eastAsia" w:ascii="宋体" w:hAnsi="宋体" w:cs="宋体"/>
          <w:sz w:val="24"/>
          <w:highlight w:val="none"/>
          <w:lang w:eastAsia="zh-CN"/>
        </w:rPr>
        <w:t>“</w:t>
      </w:r>
      <w:r>
        <w:rPr>
          <w:rFonts w:hint="eastAsia" w:ascii="宋体" w:hAnsi="宋体" w:cs="宋体"/>
          <w:sz w:val="24"/>
          <w:highlight w:val="none"/>
        </w:rPr>
        <w:t>政府采购严重违法失信行为记录名单</w:t>
      </w:r>
      <w:r>
        <w:rPr>
          <w:rFonts w:hint="eastAsia" w:ascii="宋体" w:hAnsi="宋体" w:cs="宋体"/>
          <w:sz w:val="24"/>
          <w:highlight w:val="none"/>
          <w:lang w:eastAsia="zh-CN"/>
        </w:rPr>
        <w:t>”、“</w:t>
      </w:r>
      <w:r>
        <w:rPr>
          <w:rFonts w:hint="eastAsia" w:ascii="宋体" w:hAnsi="宋体" w:cs="宋体"/>
          <w:sz w:val="24"/>
          <w:highlight w:val="none"/>
          <w:lang w:val="en-US" w:eastAsia="zh-CN"/>
        </w:rPr>
        <w:t>重大税收违法失信主体</w:t>
      </w:r>
      <w:r>
        <w:rPr>
          <w:rFonts w:hint="eastAsia" w:ascii="宋体" w:hAnsi="宋体" w:cs="宋体"/>
          <w:sz w:val="24"/>
          <w:highlight w:val="none"/>
        </w:rPr>
        <w:t>”</w:t>
      </w:r>
      <w:r>
        <w:rPr>
          <w:rFonts w:hint="eastAsia" w:ascii="宋体" w:hAnsi="宋体" w:cs="宋体"/>
          <w:color w:val="auto"/>
          <w:sz w:val="24"/>
          <w:highlight w:val="none"/>
          <w:lang w:eastAsia="zh-CN"/>
        </w:rPr>
        <w:t>的供应商和法定代表人</w:t>
      </w:r>
      <w:r>
        <w:rPr>
          <w:rFonts w:hint="eastAsia" w:ascii="宋体" w:hAnsi="宋体" w:cs="宋体"/>
          <w:color w:val="auto"/>
          <w:sz w:val="24"/>
          <w:highlight w:val="none"/>
        </w:rPr>
        <w:t>和“</w:t>
      </w:r>
      <w:r>
        <w:rPr>
          <w:rFonts w:hint="eastAsia" w:ascii="宋体" w:hAnsi="宋体" w:cs="宋体"/>
          <w:sz w:val="24"/>
          <w:highlight w:val="none"/>
        </w:rPr>
        <w:t>中国政府采购”网站(</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cs="宋体"/>
          <w:sz w:val="24"/>
          <w:highlight w:val="none"/>
        </w:rPr>
        <w:t>www.ccgp.gov.cn</w:t>
      </w:r>
      <w:r>
        <w:rPr>
          <w:rFonts w:hint="eastAsia" w:ascii="宋体" w:hAnsi="宋体" w:cs="宋体"/>
          <w:sz w:val="24"/>
          <w:highlight w:val="none"/>
        </w:rPr>
        <w:fldChar w:fldCharType="end"/>
      </w:r>
      <w:r>
        <w:rPr>
          <w:rFonts w:hint="eastAsia" w:ascii="宋体" w:hAnsi="宋体" w:cs="宋体"/>
          <w:sz w:val="24"/>
          <w:highlight w:val="none"/>
        </w:rPr>
        <w:t>)的“政府采购严重违法失信行为记录名单”的供应商，将拒绝其参加政府采购活动；在标书中附网页查询</w:t>
      </w:r>
      <w:r>
        <w:rPr>
          <w:rFonts w:hint="eastAsia" w:ascii="宋体" w:hAnsi="宋体" w:cs="宋体"/>
          <w:sz w:val="24"/>
          <w:highlight w:val="none"/>
          <w:lang w:eastAsia="zh-CN"/>
        </w:rPr>
        <w:t>截图</w:t>
      </w:r>
      <w:r>
        <w:rPr>
          <w:rFonts w:hint="eastAsia" w:ascii="宋体" w:hAnsi="宋体" w:cs="宋体"/>
          <w:sz w:val="24"/>
          <w:highlight w:val="none"/>
        </w:rPr>
        <w:t>，查询日期为公告发布之日起至投标截止之日止。</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0" w:name="_Toc35393800"/>
      <w:bookmarkStart w:id="11" w:name="_Toc35393631"/>
      <w:r>
        <w:rPr>
          <w:rFonts w:hint="eastAsia" w:asciiTheme="minorEastAsia" w:hAnsiTheme="minorEastAsia" w:eastAsiaTheme="minorEastAsia" w:cstheme="minorEastAsia"/>
          <w:sz w:val="24"/>
          <w:highlight w:val="none"/>
        </w:rPr>
        <w:t>三、获取采购文件</w:t>
      </w:r>
      <w:bookmarkEnd w:id="8"/>
      <w:bookmarkEnd w:id="9"/>
      <w:bookmarkEnd w:id="10"/>
      <w:bookmarkEnd w:id="11"/>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时间：</w:t>
      </w:r>
      <w:r>
        <w:rPr>
          <w:rFonts w:hint="eastAsia" w:asciiTheme="minorEastAsia" w:hAnsiTheme="minorEastAsia" w:eastAsiaTheme="minorEastAsia" w:cstheme="minorEastAsia"/>
          <w:sz w:val="24"/>
          <w:highlight w:val="none"/>
          <w:u w:val="single"/>
          <w:lang w:val="en-US" w:eastAsia="zh-CN"/>
        </w:rPr>
        <w:t>2024</w:t>
      </w:r>
      <w:r>
        <w:rPr>
          <w:rFonts w:hint="eastAsia" w:asciiTheme="minorEastAsia" w:hAnsiTheme="minorEastAsia" w:eastAsiaTheme="minorEastAsia" w:cstheme="minorEastAsia"/>
          <w:sz w:val="24"/>
          <w:highlight w:val="none"/>
          <w:u w:val="single"/>
        </w:rPr>
        <w:t>年</w:t>
      </w:r>
      <w:r>
        <w:rPr>
          <w:rFonts w:hint="eastAsia" w:asciiTheme="minorEastAsia" w:hAnsiTheme="minorEastAsia" w:eastAsiaTheme="minorEastAsia" w:cstheme="minorEastAsia"/>
          <w:sz w:val="24"/>
          <w:highlight w:val="none"/>
          <w:u w:val="single"/>
          <w:lang w:val="en-US" w:eastAsia="zh-CN"/>
        </w:rPr>
        <w:t>05</w:t>
      </w:r>
      <w:r>
        <w:rPr>
          <w:rFonts w:hint="eastAsia" w:asciiTheme="minorEastAsia" w:hAnsiTheme="minorEastAsia" w:eastAsiaTheme="minorEastAsia" w:cstheme="minorEastAsia"/>
          <w:sz w:val="24"/>
          <w:highlight w:val="none"/>
          <w:u w:val="single"/>
        </w:rPr>
        <w:t>月</w:t>
      </w:r>
      <w:r>
        <w:rPr>
          <w:rFonts w:hint="eastAsia" w:asciiTheme="minorEastAsia" w:hAnsiTheme="minorEastAsia" w:eastAsiaTheme="minorEastAsia" w:cstheme="minorEastAsia"/>
          <w:sz w:val="24"/>
          <w:highlight w:val="none"/>
          <w:u w:val="single"/>
          <w:lang w:val="en-US" w:eastAsia="zh-CN"/>
        </w:rPr>
        <w:t>20</w:t>
      </w:r>
      <w:r>
        <w:rPr>
          <w:rFonts w:hint="eastAsia" w:asciiTheme="minorEastAsia" w:hAnsiTheme="minorEastAsia" w:eastAsiaTheme="minorEastAsia" w:cstheme="minorEastAsia"/>
          <w:sz w:val="24"/>
          <w:highlight w:val="none"/>
          <w:u w:val="single"/>
        </w:rPr>
        <w:t>日</w:t>
      </w:r>
      <w:r>
        <w:rPr>
          <w:rFonts w:hint="eastAsia" w:asciiTheme="minorEastAsia" w:hAnsiTheme="minorEastAsia" w:eastAsiaTheme="minorEastAsia" w:cstheme="minorEastAsia"/>
          <w:sz w:val="24"/>
          <w:highlight w:val="none"/>
        </w:rPr>
        <w:t>至</w:t>
      </w:r>
      <w:r>
        <w:rPr>
          <w:rFonts w:hint="eastAsia" w:asciiTheme="minorEastAsia" w:hAnsiTheme="minorEastAsia" w:eastAsiaTheme="minorEastAsia" w:cstheme="minorEastAsia"/>
          <w:sz w:val="24"/>
          <w:highlight w:val="none"/>
          <w:u w:val="single"/>
          <w:lang w:val="en-US" w:eastAsia="zh-CN"/>
        </w:rPr>
        <w:t>2024</w:t>
      </w:r>
      <w:r>
        <w:rPr>
          <w:rFonts w:hint="eastAsia" w:asciiTheme="minorEastAsia" w:hAnsiTheme="minorEastAsia" w:eastAsiaTheme="minorEastAsia" w:cstheme="minorEastAsia"/>
          <w:sz w:val="24"/>
          <w:highlight w:val="none"/>
          <w:u w:val="single"/>
        </w:rPr>
        <w:t>年</w:t>
      </w:r>
      <w:r>
        <w:rPr>
          <w:rFonts w:hint="eastAsia" w:asciiTheme="minorEastAsia" w:hAnsiTheme="minorEastAsia" w:eastAsiaTheme="minorEastAsia" w:cstheme="minorEastAsia"/>
          <w:sz w:val="24"/>
          <w:highlight w:val="none"/>
          <w:u w:val="single"/>
          <w:lang w:val="en-US" w:eastAsia="zh-CN"/>
        </w:rPr>
        <w:t>05</w:t>
      </w:r>
      <w:r>
        <w:rPr>
          <w:rFonts w:hint="eastAsia" w:asciiTheme="minorEastAsia" w:hAnsiTheme="minorEastAsia" w:eastAsiaTheme="minorEastAsia" w:cstheme="minorEastAsia"/>
          <w:sz w:val="24"/>
          <w:highlight w:val="none"/>
          <w:u w:val="single"/>
        </w:rPr>
        <w:t>月</w:t>
      </w:r>
      <w:r>
        <w:rPr>
          <w:rFonts w:hint="eastAsia" w:asciiTheme="minorEastAsia" w:hAnsiTheme="minorEastAsia" w:eastAsiaTheme="minorEastAsia" w:cstheme="minorEastAsia"/>
          <w:sz w:val="24"/>
          <w:highlight w:val="none"/>
          <w:u w:val="single"/>
          <w:lang w:val="en-US" w:eastAsia="zh-CN"/>
        </w:rPr>
        <w:t>27</w:t>
      </w:r>
      <w:r>
        <w:rPr>
          <w:rFonts w:hint="eastAsia" w:asciiTheme="minorEastAsia" w:hAnsiTheme="minorEastAsia" w:eastAsiaTheme="minorEastAsia" w:cstheme="minorEastAsia"/>
          <w:sz w:val="24"/>
          <w:highlight w:val="none"/>
          <w:u w:val="single"/>
        </w:rPr>
        <w:t>日</w:t>
      </w:r>
      <w:r>
        <w:rPr>
          <w:rFonts w:hint="eastAsia" w:asciiTheme="minorEastAsia" w:hAnsiTheme="minorEastAsia" w:eastAsiaTheme="minorEastAsia" w:cstheme="minorEastAsia"/>
          <w:sz w:val="24"/>
          <w:highlight w:val="none"/>
        </w:rPr>
        <w:t>（北京时间，法定节假日除外 ）</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地点：周口市公共资源交易中心网（</w:t>
      </w:r>
      <w:r>
        <w:rPr>
          <w:rFonts w:hint="eastAsia" w:ascii="宋体" w:hAnsi="宋体" w:cs="宋体"/>
          <w:sz w:val="24"/>
          <w:highlight w:val="none"/>
          <w:lang w:eastAsia="zh-CN"/>
        </w:rPr>
        <w:t>http://jyzx.zhoukou.gov.cn/</w:t>
      </w:r>
      <w:r>
        <w:rPr>
          <w:rFonts w:hint="eastAsia" w:ascii="宋体" w:hAnsi="宋体" w:cs="宋体"/>
          <w:sz w:val="24"/>
          <w:highlight w:val="none"/>
        </w:rPr>
        <w:t>）</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方式：供应商请在网站自主注册后下载采购文件（zkzf格式）及资料，需办理CA数字证书后方可提交响应文件，具体办理事宜请查阅周口市公共资源交易中心网站。</w:t>
      </w:r>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售价：0</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2" w:name="_Toc35393801"/>
      <w:bookmarkStart w:id="13" w:name="_Toc28359015"/>
      <w:bookmarkStart w:id="14" w:name="_Toc28359092"/>
      <w:bookmarkStart w:id="15" w:name="_Toc35393632"/>
      <w:r>
        <w:rPr>
          <w:rFonts w:hint="eastAsia" w:asciiTheme="minorEastAsia" w:hAnsiTheme="minorEastAsia" w:eastAsiaTheme="minorEastAsia" w:cstheme="minorEastAsia"/>
          <w:sz w:val="24"/>
          <w:highlight w:val="none"/>
        </w:rPr>
        <w:t>四、响应文件提交</w:t>
      </w:r>
      <w:bookmarkEnd w:id="12"/>
      <w:bookmarkEnd w:id="13"/>
      <w:bookmarkEnd w:id="14"/>
      <w:bookmarkEnd w:id="15"/>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截止时间：</w:t>
      </w:r>
      <w:r>
        <w:rPr>
          <w:rFonts w:hint="eastAsia" w:ascii="宋体" w:hAnsi="宋体" w:cs="宋体"/>
          <w:sz w:val="24"/>
          <w:highlight w:val="none"/>
          <w:lang w:val="en-US" w:eastAsia="zh-CN"/>
        </w:rPr>
        <w:t>2024</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w:t>
      </w:r>
      <w:r>
        <w:rPr>
          <w:rFonts w:hint="eastAsia" w:asciiTheme="minorEastAsia" w:hAnsiTheme="minorEastAsia" w:eastAsiaTheme="minorEastAsia" w:cstheme="minorEastAsia"/>
          <w:bCs/>
          <w:sz w:val="24"/>
          <w:highlight w:val="none"/>
        </w:rPr>
        <w:t>（北京时间）</w:t>
      </w:r>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地点：加密电子响应文件须在投标截止时间前通过</w:t>
      </w:r>
      <w:r>
        <w:rPr>
          <w:rFonts w:hint="eastAsia" w:asciiTheme="minorEastAsia" w:hAnsiTheme="minorEastAsia" w:eastAsiaTheme="minorEastAsia" w:cstheme="minorEastAsia"/>
          <w:spacing w:val="-6"/>
          <w:sz w:val="24"/>
          <w:highlight w:val="none"/>
        </w:rPr>
        <w:t>周口市公共资源交易中心网</w:t>
      </w:r>
      <w:r>
        <w:rPr>
          <w:rFonts w:hint="eastAsia" w:asciiTheme="minorEastAsia" w:hAnsiTheme="minorEastAsia" w:eastAsiaTheme="minorEastAsia" w:cstheme="minorEastAsia"/>
          <w:sz w:val="24"/>
          <w:highlight w:val="none"/>
        </w:rPr>
        <w:t>（网址http://jyzx.zhoukou.gov.cn/）。</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6" w:name="_Toc35393802"/>
      <w:bookmarkStart w:id="17" w:name="_Toc28359016"/>
      <w:bookmarkStart w:id="18" w:name="_Toc28359093"/>
      <w:bookmarkStart w:id="19" w:name="_Toc35393633"/>
      <w:r>
        <w:rPr>
          <w:rFonts w:hint="eastAsia" w:asciiTheme="minorEastAsia" w:hAnsiTheme="minorEastAsia" w:eastAsiaTheme="minorEastAsia" w:cstheme="minorEastAsia"/>
          <w:sz w:val="24"/>
          <w:highlight w:val="none"/>
        </w:rPr>
        <w:t>五、开启（竞争性磋商方式必须填写）</w:t>
      </w:r>
      <w:bookmarkEnd w:id="16"/>
      <w:bookmarkEnd w:id="17"/>
      <w:bookmarkEnd w:id="18"/>
      <w:bookmarkEnd w:id="19"/>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时间：</w:t>
      </w:r>
      <w:r>
        <w:rPr>
          <w:rFonts w:hint="eastAsia" w:ascii="宋体" w:hAnsi="宋体" w:cs="宋体"/>
          <w:sz w:val="24"/>
          <w:highlight w:val="none"/>
          <w:lang w:val="en-US" w:eastAsia="zh-CN"/>
        </w:rPr>
        <w:t>2024</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w:t>
      </w:r>
      <w:r>
        <w:rPr>
          <w:rFonts w:hint="eastAsia" w:asciiTheme="minorEastAsia" w:hAnsiTheme="minorEastAsia" w:eastAsiaTheme="minorEastAsia" w:cstheme="minorEastAsia"/>
          <w:bCs/>
          <w:sz w:val="24"/>
          <w:highlight w:val="none"/>
        </w:rPr>
        <w:t>（北京时间）</w:t>
      </w:r>
    </w:p>
    <w:p>
      <w:pPr>
        <w:autoSpaceDE w:val="0"/>
        <w:autoSpaceDN w:val="0"/>
        <w:spacing w:line="360" w:lineRule="auto"/>
        <w:ind w:firstLine="480" w:firstLineChars="200"/>
        <w:jc w:val="left"/>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地点：</w:t>
      </w:r>
      <w:r>
        <w:rPr>
          <w:rFonts w:hint="eastAsia" w:ascii="宋体" w:hAnsi="宋体" w:cs="宋体"/>
          <w:sz w:val="24"/>
          <w:highlight w:val="none"/>
        </w:rPr>
        <w:t>周口市公共资源交易中心开标室</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0" w:name="_Toc28359017"/>
      <w:bookmarkStart w:id="21" w:name="_Toc28359094"/>
      <w:bookmarkStart w:id="22" w:name="_Toc35393634"/>
      <w:bookmarkStart w:id="23" w:name="_Toc35393803"/>
      <w:r>
        <w:rPr>
          <w:rFonts w:hint="eastAsia" w:asciiTheme="minorEastAsia" w:hAnsiTheme="minorEastAsia" w:eastAsiaTheme="minorEastAsia" w:cstheme="minorEastAsia"/>
          <w:sz w:val="24"/>
          <w:highlight w:val="none"/>
        </w:rPr>
        <w:t>六、公告期限</w:t>
      </w:r>
      <w:bookmarkEnd w:id="20"/>
      <w:bookmarkEnd w:id="21"/>
      <w:bookmarkEnd w:id="22"/>
      <w:bookmarkEnd w:id="23"/>
    </w:p>
    <w:p>
      <w:pPr>
        <w:autoSpaceDE w:val="0"/>
        <w:autoSpaceDN w:val="0"/>
        <w:spacing w:line="360" w:lineRule="auto"/>
        <w:ind w:firstLine="480" w:firstLineChars="200"/>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自本公告发布之日起</w:t>
      </w:r>
      <w:r>
        <w:rPr>
          <w:rFonts w:hint="eastAsia" w:asciiTheme="minorEastAsia" w:hAnsiTheme="minorEastAsia" w:eastAsiaTheme="minorEastAsia" w:cstheme="minorEastAsia"/>
          <w:kern w:val="0"/>
          <w:sz w:val="24"/>
          <w:highlight w:val="none"/>
          <w:lang w:val="en-US" w:eastAsia="zh-CN"/>
        </w:rPr>
        <w:t>5</w:t>
      </w:r>
      <w:r>
        <w:rPr>
          <w:rFonts w:hint="eastAsia" w:asciiTheme="minorEastAsia" w:hAnsiTheme="minorEastAsia" w:eastAsiaTheme="minorEastAsia" w:cstheme="minorEastAsia"/>
          <w:kern w:val="0"/>
          <w:sz w:val="24"/>
          <w:highlight w:val="none"/>
        </w:rPr>
        <w:t>个工作日。</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4" w:name="_Toc35393635"/>
      <w:bookmarkStart w:id="25" w:name="_Toc35393804"/>
      <w:r>
        <w:rPr>
          <w:rFonts w:hint="eastAsia" w:asciiTheme="minorEastAsia" w:hAnsiTheme="minorEastAsia" w:eastAsiaTheme="minorEastAsia" w:cstheme="minorEastAsia"/>
          <w:sz w:val="24"/>
          <w:highlight w:val="none"/>
        </w:rPr>
        <w:t>七、其他补充事宜</w:t>
      </w:r>
      <w:bookmarkEnd w:id="24"/>
      <w:bookmarkEnd w:id="25"/>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6" w:name="_Toc28359018"/>
      <w:bookmarkStart w:id="27" w:name="_Toc35393636"/>
      <w:bookmarkStart w:id="28" w:name="_Toc28359095"/>
      <w:bookmarkStart w:id="29" w:name="_Toc35393805"/>
      <w:r>
        <w:rPr>
          <w:rFonts w:hint="eastAsia" w:asciiTheme="minorEastAsia" w:hAnsiTheme="minorEastAsia" w:eastAsiaTheme="minorEastAsia" w:cstheme="minorEastAsia"/>
          <w:sz w:val="24"/>
          <w:highlight w:val="none"/>
        </w:rPr>
        <w:t>八、凡对本次采购提出询问，请按以下方式联系。</w:t>
      </w:r>
      <w:bookmarkEnd w:id="26"/>
      <w:bookmarkEnd w:id="27"/>
      <w:bookmarkEnd w:id="28"/>
      <w:bookmarkEnd w:id="29"/>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1.采购人信息</w:t>
      </w:r>
    </w:p>
    <w:p>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名 称：</w:t>
      </w:r>
      <w:r>
        <w:rPr>
          <w:rFonts w:hint="eastAsia" w:ascii="宋体" w:hAnsi="宋体" w:cs="宋体"/>
          <w:sz w:val="24"/>
          <w:highlight w:val="none"/>
          <w:lang w:eastAsia="zh-CN"/>
        </w:rPr>
        <w:t>沈丘县优化营商环境服务中心</w:t>
      </w:r>
      <w:r>
        <w:rPr>
          <w:rFonts w:ascii="宋体" w:hAnsi="宋体" w:eastAsia="宋体" w:cs="宋体"/>
          <w:sz w:val="24"/>
          <w:highlight w:val="none"/>
        </w:rPr>
        <w:t>　　　　　　　　　</w:t>
      </w:r>
    </w:p>
    <w:p>
      <w:pPr>
        <w:spacing w:line="360" w:lineRule="auto"/>
        <w:ind w:firstLine="480"/>
        <w:jc w:val="left"/>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pPr>
      <w:r>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t>地址：</w:t>
      </w:r>
      <w:r>
        <w:rPr>
          <w:rFonts w:hint="eastAsia" w:ascii="宋体" w:hAnsi="宋体" w:cs="宋体"/>
          <w:i w:val="0"/>
          <w:iCs w:val="0"/>
          <w:color w:val="0D0D0D" w:themeColor="text1" w:themeTint="F2"/>
          <w:sz w:val="24"/>
          <w:szCs w:val="24"/>
          <w:highlight w:val="none"/>
          <w:lang w:eastAsia="zh-CN"/>
          <w14:textFill>
            <w14:solidFill>
              <w14:schemeClr w14:val="tx1">
                <w14:lumMod w14:val="95000"/>
                <w14:lumOff w14:val="5000"/>
              </w14:schemeClr>
            </w14:solidFill>
          </w14:textFill>
        </w:rPr>
        <w:t>周口市</w:t>
      </w:r>
      <w:r>
        <w:rPr>
          <w:rFonts w:hint="eastAsia" w:ascii="宋体" w:hAnsi="宋体" w:cs="宋体"/>
          <w:sz w:val="24"/>
          <w:highlight w:val="none"/>
          <w:lang w:eastAsia="zh-CN"/>
        </w:rPr>
        <w:t>沈丘县</w:t>
      </w:r>
      <w:r>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highlight w:val="none"/>
        </w:rPr>
      </w:pPr>
      <w:r>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t>项目联系人：</w:t>
      </w:r>
      <w:r>
        <w:rPr>
          <w:rFonts w:hint="eastAsia" w:ascii="宋体" w:hAnsi="宋体" w:cs="宋体"/>
          <w:color w:val="0D0D0D" w:themeColor="text1" w:themeTint="F2"/>
          <w:sz w:val="24"/>
          <w:highlight w:val="none"/>
          <w:lang w:val="en-US" w:eastAsia="zh-CN"/>
          <w14:textFill>
            <w14:solidFill>
              <w14:schemeClr w14:val="tx1">
                <w14:lumMod w14:val="95000"/>
                <w14:lumOff w14:val="5000"/>
              </w14:schemeClr>
            </w14:solidFill>
          </w14:textFill>
        </w:rPr>
        <w:t xml:space="preserve">张丽君    </w:t>
      </w:r>
      <w:r>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t xml:space="preserve">   联系方式：</w:t>
      </w:r>
      <w:r>
        <w:rPr>
          <w:rFonts w:hint="eastAsia" w:ascii="宋体" w:hAnsi="宋体" w:cs="宋体"/>
          <w:color w:val="0D0D0D" w:themeColor="text1" w:themeTint="F2"/>
          <w:sz w:val="24"/>
          <w:highlight w:val="none"/>
          <w:lang w:val="en-US" w:eastAsia="zh-CN"/>
          <w14:textFill>
            <w14:solidFill>
              <w14:schemeClr w14:val="tx1">
                <w14:lumMod w14:val="95000"/>
                <w14:lumOff w14:val="5000"/>
              </w14:schemeClr>
            </w14:solidFill>
          </w14:textFill>
        </w:rPr>
        <w:t>13949961710</w:t>
      </w:r>
      <w:r>
        <w:rPr>
          <w:rFonts w:ascii="宋体" w:hAnsi="宋体" w:eastAsia="宋体" w:cs="宋体"/>
          <w:color w:val="0D0D0D" w:themeColor="text1" w:themeTint="F2"/>
          <w:sz w:val="24"/>
          <w:highlight w:val="none"/>
          <w14:textFill>
            <w14:solidFill>
              <w14:schemeClr w14:val="tx1">
                <w14:lumMod w14:val="95000"/>
                <w14:lumOff w14:val="5000"/>
              </w14:schemeClr>
            </w14:solidFill>
          </w14:textFill>
        </w:rPr>
        <w:t>　</w:t>
      </w:r>
      <w:r>
        <w:rPr>
          <w:rFonts w:ascii="宋体" w:hAnsi="宋体" w:eastAsia="宋体" w:cs="宋体"/>
          <w:sz w:val="24"/>
          <w:highlight w:val="none"/>
        </w:rPr>
        <w:t xml:space="preserve">　　　　　 </w:t>
      </w:r>
    </w:p>
    <w:p>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2.采购代理机构信息</w:t>
      </w:r>
    </w:p>
    <w:p>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名 称：周口市公共资源交易中心政府采购中心　　　　　　　　　　　　</w:t>
      </w:r>
    </w:p>
    <w:p>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地　址：周口市光明路与政通路交叉口向北100米路东</w:t>
      </w:r>
    </w:p>
    <w:p>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项目联系人：</w:t>
      </w:r>
      <w:r>
        <w:rPr>
          <w:rFonts w:hint="eastAsia" w:ascii="宋体" w:hAnsi="宋体" w:cs="宋体"/>
          <w:sz w:val="24"/>
          <w:highlight w:val="none"/>
          <w:lang w:val="en-US" w:eastAsia="zh-CN"/>
        </w:rPr>
        <w:t xml:space="preserve"> 张光</w:t>
      </w:r>
      <w:r>
        <w:rPr>
          <w:rFonts w:ascii="宋体" w:hAnsi="宋体" w:eastAsia="宋体" w:cs="宋体"/>
          <w:sz w:val="24"/>
          <w:highlight w:val="none"/>
        </w:rPr>
        <w:t xml:space="preserve">         联系方式：</w:t>
      </w:r>
      <w:r>
        <w:rPr>
          <w:rFonts w:hint="eastAsia" w:ascii="宋体" w:hAnsi="宋体" w:cs="宋体"/>
          <w:sz w:val="24"/>
          <w:highlight w:val="none"/>
          <w:lang w:val="en-US" w:eastAsia="zh-CN"/>
        </w:rPr>
        <w:t>0394-8106517</w:t>
      </w:r>
      <w:r>
        <w:rPr>
          <w:rFonts w:ascii="宋体" w:hAnsi="宋体" w:eastAsia="宋体" w:cs="宋体"/>
          <w:sz w:val="24"/>
          <w:highlight w:val="none"/>
        </w:rPr>
        <w:t>　　　　　　　　</w:t>
      </w:r>
    </w:p>
    <w:p>
      <w:pPr>
        <w:spacing w:line="360" w:lineRule="auto"/>
        <w:ind w:firstLine="480" w:firstLineChars="200"/>
        <w:jc w:val="left"/>
        <w:rPr>
          <w:rFonts w:hint="eastAsia" w:ascii="宋体" w:hAnsi="宋体" w:eastAsia="宋体" w:cs="宋体"/>
          <w:color w:val="auto"/>
          <w:sz w:val="24"/>
          <w:szCs w:val="24"/>
          <w:highlight w:val="none"/>
          <w:lang w:eastAsia="zh-CN"/>
        </w:rPr>
      </w:pPr>
      <w:bookmarkStart w:id="30" w:name="_Toc28359021"/>
      <w:bookmarkStart w:id="31" w:name="_Toc28359098"/>
      <w:bookmarkStart w:id="32" w:name="_Toc35393808"/>
      <w:bookmarkStart w:id="33" w:name="_Toc35393639"/>
      <w:r>
        <w:rPr>
          <w:rFonts w:hint="eastAsia" w:asciiTheme="minorEastAsia" w:hAnsiTheme="minorEastAsia" w:eastAsiaTheme="minorEastAsia" w:cstheme="minorEastAsia"/>
          <w:b w:val="0"/>
          <w:i w:val="0"/>
          <w:iCs w:val="0"/>
          <w:color w:val="auto"/>
          <w:sz w:val="24"/>
          <w:szCs w:val="24"/>
          <w:highlight w:val="none"/>
        </w:rPr>
        <w:t>3.</w:t>
      </w:r>
      <w:bookmarkEnd w:id="30"/>
      <w:bookmarkEnd w:id="31"/>
      <w:bookmarkEnd w:id="32"/>
      <w:bookmarkEnd w:id="33"/>
      <w:r>
        <w:rPr>
          <w:rFonts w:hint="eastAsia" w:ascii="宋体" w:hAnsi="宋体" w:eastAsia="宋体" w:cs="宋体"/>
          <w:color w:val="auto"/>
          <w:sz w:val="24"/>
          <w:szCs w:val="24"/>
          <w:highlight w:val="none"/>
        </w:rPr>
        <w:t>监督单位：</w:t>
      </w:r>
      <w:r>
        <w:rPr>
          <w:rFonts w:hint="eastAsia"/>
          <w:color w:val="auto"/>
          <w:sz w:val="24"/>
          <w:highlight w:val="none"/>
          <w:lang w:eastAsia="zh-CN"/>
        </w:rPr>
        <w:t>沈丘县采购办</w:t>
      </w:r>
    </w:p>
    <w:p>
      <w:pPr>
        <w:pStyle w:val="38"/>
        <w:ind w:firstLine="720" w:firstLineChars="300"/>
        <w:rPr>
          <w:color w:val="auto"/>
          <w:highlight w:val="none"/>
        </w:rPr>
      </w:pPr>
      <w:r>
        <w:rPr>
          <w:rFonts w:hint="eastAsia" w:ascii="宋体" w:hAnsi="宋体" w:eastAsia="宋体" w:cs="宋体"/>
          <w:color w:val="auto"/>
          <w:sz w:val="24"/>
          <w:szCs w:val="24"/>
          <w:highlight w:val="none"/>
        </w:rPr>
        <w:t xml:space="preserve">联系方式： </w:t>
      </w:r>
      <w:r>
        <w:rPr>
          <w:rFonts w:hint="eastAsia"/>
          <w:color w:val="auto"/>
          <w:sz w:val="24"/>
          <w:highlight w:val="none"/>
          <w:lang w:eastAsia="zh-CN"/>
        </w:rPr>
        <w:t>0394-5104466</w:t>
      </w:r>
      <w:r>
        <w:rPr>
          <w:rFonts w:hint="eastAsia" w:ascii="宋体" w:hAnsi="宋体" w:eastAsia="宋体" w:cs="宋体"/>
          <w:color w:val="auto"/>
          <w:sz w:val="24"/>
          <w:szCs w:val="24"/>
          <w:highlight w:val="none"/>
        </w:rPr>
        <w:t xml:space="preserve"> </w:t>
      </w:r>
    </w:p>
    <w:p>
      <w:pPr>
        <w:pStyle w:val="38"/>
        <w:rPr>
          <w:highlight w:val="none"/>
        </w:rPr>
      </w:pPr>
    </w:p>
    <w:p>
      <w:pPr>
        <w:pStyle w:val="9"/>
        <w:adjustRightInd w:val="0"/>
        <w:snapToGrid w:val="0"/>
        <w:spacing w:line="360" w:lineRule="auto"/>
        <w:ind w:left="0" w:leftChars="0" w:firstLine="3129" w:firstLineChars="1304"/>
        <w:rPr>
          <w:rFonts w:ascii="宋体" w:hAnsi="宋体" w:cs="宋体"/>
          <w:sz w:val="24"/>
          <w:highlight w:val="none"/>
        </w:rPr>
      </w:pPr>
      <w:r>
        <w:rPr>
          <w:rFonts w:hint="eastAsia" w:ascii="宋体" w:hAnsi="宋体" w:cs="宋体"/>
          <w:sz w:val="24"/>
          <w:highlight w:val="none"/>
        </w:rPr>
        <w:t>周口市公共资源交易中心政府采购中心</w:t>
      </w:r>
    </w:p>
    <w:p>
      <w:pPr>
        <w:pStyle w:val="20"/>
        <w:adjustRightInd w:val="0"/>
        <w:spacing w:line="360" w:lineRule="auto"/>
        <w:ind w:left="0" w:leftChars="0" w:firstLine="4324" w:firstLineChars="1802"/>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2024年05月20日</w:t>
      </w:r>
      <w:r>
        <w:rPr>
          <w:rFonts w:hint="eastAsia" w:ascii="宋体" w:hAnsi="宋体" w:cs="宋体"/>
          <w:color w:val="000000" w:themeColor="text1"/>
          <w:sz w:val="24"/>
          <w:szCs w:val="24"/>
          <w:highlight w:val="none"/>
          <w14:textFill>
            <w14:solidFill>
              <w14:schemeClr w14:val="tx1"/>
            </w14:solidFill>
          </w14:textFill>
        </w:rPr>
        <w:t>　</w:t>
      </w:r>
    </w:p>
    <w:p>
      <w:pPr>
        <w:pStyle w:val="25"/>
        <w:adjustRightInd w:val="0"/>
        <w:snapToGrid w:val="0"/>
        <w:spacing w:line="360" w:lineRule="auto"/>
        <w:ind w:firstLine="0" w:firstLineChars="0"/>
        <w:rPr>
          <w:highlight w:val="none"/>
        </w:rPr>
      </w:pPr>
    </w:p>
    <w:p>
      <w:pPr>
        <w:pStyle w:val="25"/>
        <w:ind w:firstLine="0" w:firstLineChars="0"/>
        <w:rPr>
          <w:highlight w:val="none"/>
        </w:rPr>
      </w:pPr>
    </w:p>
    <w:p>
      <w:pPr>
        <w:jc w:val="center"/>
        <w:rPr>
          <w:rFonts w:ascii="宋体" w:hAnsi="宋体" w:cs="宋体"/>
          <w:b/>
          <w:sz w:val="32"/>
          <w:szCs w:val="32"/>
          <w:highlight w:val="none"/>
        </w:rPr>
      </w:pPr>
      <w:r>
        <w:rPr>
          <w:rFonts w:ascii="宋体" w:hAnsi="宋体" w:cs="宋体"/>
          <w:b/>
          <w:sz w:val="32"/>
          <w:szCs w:val="32"/>
          <w:highlight w:val="none"/>
        </w:rPr>
        <w:br w:type="page"/>
      </w:r>
      <w:r>
        <w:rPr>
          <w:rFonts w:hint="eastAsia" w:ascii="宋体" w:hAnsi="宋体" w:cs="宋体"/>
          <w:b/>
          <w:sz w:val="32"/>
          <w:szCs w:val="32"/>
          <w:highlight w:val="none"/>
        </w:rPr>
        <w:t>第二章    供应商须知</w:t>
      </w:r>
    </w:p>
    <w:tbl>
      <w:tblPr>
        <w:tblStyle w:val="26"/>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pPr>
              <w:jc w:val="center"/>
              <w:rPr>
                <w:rFonts w:ascii="宋体" w:hAnsi="宋体"/>
                <w:szCs w:val="21"/>
                <w:highlight w:val="none"/>
              </w:rPr>
            </w:pPr>
            <w:r>
              <w:rPr>
                <w:rFonts w:hint="eastAsia" w:ascii="宋体" w:hAnsi="宋体" w:cs="楷体_GB2312"/>
                <w:sz w:val="32"/>
                <w:szCs w:val="32"/>
                <w:highlight w:val="none"/>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序号</w:t>
            </w: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条款</w:t>
            </w:r>
          </w:p>
        </w:tc>
        <w:tc>
          <w:tcPr>
            <w:tcW w:w="6615" w:type="dxa"/>
            <w:vAlign w:val="center"/>
          </w:tcPr>
          <w:p>
            <w:pPr>
              <w:rPr>
                <w:rFonts w:ascii="宋体" w:hAnsi="宋体" w:cs="宋体"/>
                <w:sz w:val="24"/>
                <w:highlight w:val="none"/>
              </w:rPr>
            </w:pPr>
            <w:r>
              <w:rPr>
                <w:rFonts w:hint="eastAsia" w:ascii="宋体" w:hAnsi="宋体" w:cs="宋体"/>
                <w:sz w:val="24"/>
                <w:highlight w:val="none"/>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jc w:val="center"/>
              <w:rPr>
                <w:rFonts w:ascii="宋体" w:hAnsi="宋体" w:cs="宋体"/>
                <w:color w:val="0D0D0D" w:themeColor="text1" w:themeTint="F2"/>
                <w:sz w:val="24"/>
                <w:highlight w:val="none"/>
                <w14:textFill>
                  <w14:solidFill>
                    <w14:schemeClr w14:val="tx1">
                      <w14:lumMod w14:val="95000"/>
                      <w14:lumOff w14:val="5000"/>
                    </w14:schemeClr>
                  </w14:solidFill>
                </w14:textFill>
              </w:rPr>
            </w:pPr>
            <w:r>
              <w:rPr>
                <w:rFonts w:hint="eastAsia" w:ascii="宋体" w:hAnsi="宋体" w:cs="宋体"/>
                <w:color w:val="0D0D0D" w:themeColor="text1" w:themeTint="F2"/>
                <w:sz w:val="24"/>
                <w:highlight w:val="none"/>
                <w14:textFill>
                  <w14:solidFill>
                    <w14:schemeClr w14:val="tx1">
                      <w14:lumMod w14:val="95000"/>
                      <w14:lumOff w14:val="5000"/>
                    </w14:schemeClr>
                  </w14:solidFill>
                </w14:textFill>
              </w:rPr>
              <w:t>项目概况</w:t>
            </w:r>
          </w:p>
        </w:tc>
        <w:tc>
          <w:tcPr>
            <w:tcW w:w="6615" w:type="dxa"/>
            <w:vAlign w:val="center"/>
          </w:tcPr>
          <w:p>
            <w:pPr>
              <w:rPr>
                <w:rFonts w:hint="eastAsia" w:ascii="宋体" w:hAnsi="宋体" w:eastAsia="宋体" w:cs="宋体"/>
                <w:color w:val="0D0D0D" w:themeColor="text1" w:themeTint="F2"/>
                <w:sz w:val="24"/>
                <w:highlight w:val="none"/>
                <w:lang w:eastAsia="zh-CN"/>
                <w14:textFill>
                  <w14:solidFill>
                    <w14:schemeClr w14:val="tx1">
                      <w14:lumMod w14:val="95000"/>
                      <w14:lumOff w14:val="5000"/>
                    </w14:schemeClr>
                  </w14:solidFill>
                </w14:textFill>
              </w:rPr>
            </w:pPr>
            <w:r>
              <w:rPr>
                <w:rFonts w:hint="eastAsia" w:ascii="宋体" w:hAnsi="宋体" w:cs="宋体"/>
                <w:color w:val="0D0D0D" w:themeColor="text1" w:themeTint="F2"/>
                <w:sz w:val="24"/>
                <w:highlight w:val="none"/>
                <w14:textFill>
                  <w14:solidFill>
                    <w14:schemeClr w14:val="tx1">
                      <w14:lumMod w14:val="95000"/>
                      <w14:lumOff w14:val="5000"/>
                    </w14:schemeClr>
                  </w14:solidFill>
                </w14:textFill>
              </w:rPr>
              <w:t>项目名称：</w:t>
            </w:r>
            <w:r>
              <w:rPr>
                <w:rFonts w:hint="eastAsia" w:ascii="宋体" w:hAnsi="宋体" w:cs="宋体"/>
                <w:color w:val="0D0D0D" w:themeColor="text1" w:themeTint="F2"/>
                <w:sz w:val="24"/>
                <w:highlight w:val="none"/>
                <w:lang w:eastAsia="zh-CN"/>
                <w14:textFill>
                  <w14:solidFill>
                    <w14:schemeClr w14:val="tx1">
                      <w14:lumMod w14:val="95000"/>
                      <w14:lumOff w14:val="5000"/>
                    </w14:schemeClr>
                  </w14:solidFill>
                </w14:textFill>
              </w:rPr>
              <w:t>沈丘县优化营商环境服务中心沈丘县营商环境提升工作项目</w:t>
            </w:r>
          </w:p>
          <w:p>
            <w:pPr>
              <w:rPr>
                <w:rFonts w:hint="eastAsia" w:ascii="宋体" w:hAnsi="宋体" w:eastAsia="宋体" w:cs="宋体"/>
                <w:color w:val="0D0D0D" w:themeColor="text1" w:themeTint="F2"/>
                <w:sz w:val="24"/>
                <w:highlight w:val="none"/>
                <w:lang w:eastAsia="zh-CN"/>
                <w14:textFill>
                  <w14:solidFill>
                    <w14:schemeClr w14:val="tx1">
                      <w14:lumMod w14:val="95000"/>
                      <w14:lumOff w14:val="5000"/>
                    </w14:schemeClr>
                  </w14:solidFill>
                </w14:textFill>
              </w:rPr>
            </w:pPr>
            <w:r>
              <w:rPr>
                <w:rFonts w:hint="eastAsia" w:ascii="宋体" w:hAnsi="宋体" w:cs="宋体"/>
                <w:color w:val="0D0D0D" w:themeColor="text1" w:themeTint="F2"/>
                <w:sz w:val="24"/>
                <w:highlight w:val="none"/>
                <w14:textFill>
                  <w14:solidFill>
                    <w14:schemeClr w14:val="tx1">
                      <w14:lumMod w14:val="95000"/>
                      <w14:lumOff w14:val="5000"/>
                    </w14:schemeClr>
                  </w14:solidFill>
                </w14:textFill>
              </w:rPr>
              <w:t>采购内容：</w:t>
            </w:r>
            <w:r>
              <w:rPr>
                <w:rFonts w:hint="eastAsia" w:ascii="宋体" w:hAnsi="宋体" w:cs="宋体"/>
                <w:color w:val="0D0D0D" w:themeColor="text1" w:themeTint="F2"/>
                <w:sz w:val="24"/>
                <w:highlight w:val="none"/>
                <w:lang w:val="en-US" w:eastAsia="zh-CN"/>
                <w14:textFill>
                  <w14:solidFill>
                    <w14:schemeClr w14:val="tx1">
                      <w14:lumMod w14:val="95000"/>
                      <w14:lumOff w14:val="5000"/>
                    </w14:schemeClr>
                  </w14:solidFill>
                </w14:textFill>
              </w:rPr>
              <w:t>营商环境提升工作等</w:t>
            </w:r>
          </w:p>
          <w:p>
            <w:pPr>
              <w:rPr>
                <w:rFonts w:hint="eastAsia" w:ascii="宋体" w:hAnsi="宋体" w:eastAsia="宋体" w:cs="宋体"/>
                <w:color w:val="0D0D0D" w:themeColor="text1" w:themeTint="F2"/>
                <w:sz w:val="24"/>
                <w:highlight w:val="none"/>
                <w:lang w:eastAsia="zh-CN"/>
                <w14:textFill>
                  <w14:solidFill>
                    <w14:schemeClr w14:val="tx1">
                      <w14:lumMod w14:val="95000"/>
                      <w14:lumOff w14:val="5000"/>
                    </w14:schemeClr>
                  </w14:solidFill>
                </w14:textFill>
              </w:rPr>
            </w:pPr>
            <w:r>
              <w:rPr>
                <w:rFonts w:hint="eastAsia" w:ascii="宋体" w:hAnsi="宋体" w:cs="宋体"/>
                <w:color w:val="0D0D0D" w:themeColor="text1" w:themeTint="F2"/>
                <w:sz w:val="24"/>
                <w:highlight w:val="none"/>
                <w14:textFill>
                  <w14:solidFill>
                    <w14:schemeClr w14:val="tx1">
                      <w14:lumMod w14:val="95000"/>
                      <w14:lumOff w14:val="5000"/>
                    </w14:schemeClr>
                  </w14:solidFill>
                </w14:textFill>
              </w:rPr>
              <w:t>采购人：</w:t>
            </w:r>
            <w:r>
              <w:rPr>
                <w:rFonts w:hint="eastAsia" w:ascii="宋体" w:hAnsi="宋体" w:cs="宋体"/>
                <w:color w:val="0D0D0D" w:themeColor="text1" w:themeTint="F2"/>
                <w:sz w:val="24"/>
                <w:highlight w:val="none"/>
                <w:lang w:eastAsia="zh-CN"/>
                <w14:textFill>
                  <w14:solidFill>
                    <w14:schemeClr w14:val="tx1">
                      <w14:lumMod w14:val="95000"/>
                      <w14:lumOff w14:val="5000"/>
                    </w14:schemeClr>
                  </w14:solidFill>
                </w14:textFill>
              </w:rPr>
              <w:t>沈丘县优化营商环境服务中心　　　</w:t>
            </w:r>
          </w:p>
          <w:p>
            <w:pPr>
              <w:rPr>
                <w:rFonts w:ascii="宋体" w:hAnsi="宋体" w:cs="宋体"/>
                <w:color w:val="0D0D0D" w:themeColor="text1" w:themeTint="F2"/>
                <w:sz w:val="24"/>
                <w:highlight w:val="none"/>
                <w14:textFill>
                  <w14:solidFill>
                    <w14:schemeClr w14:val="tx1">
                      <w14:lumMod w14:val="95000"/>
                      <w14:lumOff w14:val="5000"/>
                    </w14:schemeClr>
                  </w14:solidFill>
                </w14:textFill>
              </w:rPr>
            </w:pPr>
            <w:r>
              <w:rPr>
                <w:rFonts w:hint="eastAsia" w:ascii="宋体" w:hAnsi="宋体" w:cs="宋体"/>
                <w:color w:val="0D0D0D" w:themeColor="text1" w:themeTint="F2"/>
                <w:sz w:val="24"/>
                <w:highlight w:val="none"/>
                <w14:textFill>
                  <w14:solidFill>
                    <w14:schemeClr w14:val="tx1">
                      <w14:lumMod w14:val="95000"/>
                      <w14:lumOff w14:val="5000"/>
                    </w14:schemeClr>
                  </w14:solidFill>
                </w14:textFill>
              </w:rPr>
              <w:t>采购代理机构：周口市公共资源交易中心政府采购中心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left="-4" w:leftChars="-4" w:hanging="4" w:hangingChars="2"/>
              <w:jc w:val="center"/>
              <w:rPr>
                <w:rFonts w:ascii="宋体" w:hAnsi="宋体" w:cs="宋体"/>
                <w:sz w:val="24"/>
                <w:highlight w:val="none"/>
              </w:rPr>
            </w:pPr>
            <w:r>
              <w:rPr>
                <w:rFonts w:hint="eastAsia" w:ascii="宋体" w:hAnsi="宋体" w:cs="宋体"/>
                <w:sz w:val="24"/>
                <w:highlight w:val="none"/>
              </w:rPr>
              <w:t>对供应商的资格要求</w:t>
            </w:r>
          </w:p>
        </w:tc>
        <w:tc>
          <w:tcPr>
            <w:tcW w:w="6615" w:type="dxa"/>
            <w:vAlign w:val="center"/>
          </w:tcPr>
          <w:p>
            <w:pPr>
              <w:spacing w:before="156" w:beforeLines="50"/>
              <w:ind w:left="-4" w:leftChars="-4" w:hanging="4" w:hangingChars="2"/>
              <w:rPr>
                <w:rFonts w:ascii="宋体" w:hAnsi="宋体" w:cs="宋体"/>
                <w:sz w:val="24"/>
                <w:highlight w:val="none"/>
              </w:rPr>
            </w:pPr>
            <w:r>
              <w:rPr>
                <w:rFonts w:hint="eastAsia" w:ascii="宋体" w:hAnsi="宋体" w:cs="宋体"/>
                <w:sz w:val="24"/>
                <w:highlight w:val="none"/>
              </w:rPr>
              <w:t>见竞争性磋商邀请函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报价费用</w:t>
            </w:r>
          </w:p>
        </w:tc>
        <w:tc>
          <w:tcPr>
            <w:tcW w:w="6615" w:type="dxa"/>
            <w:vAlign w:val="center"/>
          </w:tcPr>
          <w:p>
            <w:pPr>
              <w:rPr>
                <w:rFonts w:ascii="宋体" w:hAnsi="宋体" w:cs="宋体"/>
                <w:sz w:val="24"/>
                <w:highlight w:val="none"/>
              </w:rPr>
            </w:pPr>
            <w:r>
              <w:rPr>
                <w:rFonts w:hint="eastAsia" w:ascii="宋体" w:hAnsi="宋体" w:cs="宋体"/>
                <w:sz w:val="24"/>
                <w:highlight w:val="none"/>
              </w:rPr>
              <w:t>无论报价和磋商的过程和结果如何，供应商自行</w:t>
            </w:r>
            <w:r>
              <w:rPr>
                <w:rFonts w:hint="eastAsia" w:ascii="宋体" w:hAnsi="宋体" w:cs="宋体"/>
                <w:sz w:val="24"/>
                <w:highlight w:val="none"/>
                <w:lang w:val="en-US" w:eastAsia="zh-CN"/>
              </w:rPr>
              <w:t>承诺</w:t>
            </w:r>
            <w:r>
              <w:rPr>
                <w:rFonts w:hint="eastAsia" w:ascii="宋体" w:hAnsi="宋体" w:cs="宋体"/>
                <w:sz w:val="24"/>
                <w:highlight w:val="none"/>
              </w:rPr>
              <w:t>承担所有与参加报价及磋商有关活动的全部费用。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pPr>
              <w:numPr>
                <w:ilvl w:val="0"/>
                <w:numId w:val="1"/>
              </w:numPr>
              <w:spacing w:before="156" w:beforeLines="50"/>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响应文件语言</w:t>
            </w:r>
          </w:p>
        </w:tc>
        <w:tc>
          <w:tcPr>
            <w:tcW w:w="6615" w:type="dxa"/>
            <w:vAlign w:val="center"/>
          </w:tcPr>
          <w:p>
            <w:pPr>
              <w:snapToGrid w:val="0"/>
              <w:rPr>
                <w:rFonts w:ascii="宋体" w:hAnsi="宋体" w:cs="宋体"/>
                <w:sz w:val="24"/>
                <w:highlight w:val="none"/>
              </w:rPr>
            </w:pPr>
            <w:r>
              <w:rPr>
                <w:rFonts w:hint="eastAsia" w:ascii="宋体" w:hAnsi="宋体" w:cs="宋体"/>
                <w:sz w:val="24"/>
                <w:highlight w:val="none"/>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报价货币</w:t>
            </w:r>
          </w:p>
        </w:tc>
        <w:tc>
          <w:tcPr>
            <w:tcW w:w="6615" w:type="dxa"/>
            <w:vAlign w:val="center"/>
          </w:tcPr>
          <w:p>
            <w:pPr>
              <w:rPr>
                <w:rFonts w:ascii="宋体" w:hAnsi="宋体" w:cs="宋体"/>
                <w:sz w:val="24"/>
                <w:highlight w:val="none"/>
              </w:rPr>
            </w:pPr>
            <w:r>
              <w:rPr>
                <w:rFonts w:hint="eastAsia" w:ascii="宋体" w:hAnsi="宋体" w:cs="宋体"/>
                <w:sz w:val="24"/>
                <w:highlight w:val="none"/>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报价范围及说明</w:t>
            </w:r>
          </w:p>
        </w:tc>
        <w:tc>
          <w:tcPr>
            <w:tcW w:w="6615" w:type="dxa"/>
            <w:vAlign w:val="center"/>
          </w:tcPr>
          <w:p>
            <w:pPr>
              <w:rPr>
                <w:rFonts w:ascii="宋体" w:hAnsi="宋体" w:cs="宋体"/>
                <w:sz w:val="24"/>
                <w:highlight w:val="none"/>
              </w:rPr>
            </w:pPr>
            <w:r>
              <w:rPr>
                <w:rFonts w:hint="eastAsia" w:ascii="宋体" w:hAnsi="宋体" w:cs="宋体"/>
                <w:color w:val="000000"/>
                <w:sz w:val="24"/>
                <w:highlight w:val="none"/>
              </w:rPr>
              <w:t>报价包括本项目所招标的服务、保险、税费、验收</w:t>
            </w:r>
            <w:r>
              <w:rPr>
                <w:rFonts w:hint="eastAsia" w:ascii="宋体" w:hAnsi="宋体" w:cs="宋体"/>
                <w:sz w:val="24"/>
                <w:highlight w:val="none"/>
              </w:rPr>
              <w:t>等（采购项目技术规格、参数及要求）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响应文件有效期</w:t>
            </w:r>
          </w:p>
        </w:tc>
        <w:tc>
          <w:tcPr>
            <w:tcW w:w="6615" w:type="dxa"/>
            <w:vAlign w:val="center"/>
          </w:tcPr>
          <w:p>
            <w:pPr>
              <w:rPr>
                <w:rFonts w:ascii="宋体" w:hAnsi="宋体" w:cs="宋体"/>
                <w:sz w:val="24"/>
                <w:highlight w:val="none"/>
              </w:rPr>
            </w:pPr>
            <w:r>
              <w:rPr>
                <w:rFonts w:hint="eastAsia" w:ascii="宋体" w:hAnsi="宋体" w:cs="宋体"/>
                <w:sz w:val="24"/>
                <w:highlight w:val="none"/>
              </w:rPr>
              <w:t>响应文件递交截止期后60日内有效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tabs>
                <w:tab w:val="left" w:pos="8640"/>
              </w:tabs>
              <w:spacing w:before="156" w:beforeLines="50"/>
              <w:ind w:left="-2" w:leftChars="-1"/>
              <w:jc w:val="center"/>
              <w:rPr>
                <w:rFonts w:ascii="宋体" w:hAnsi="宋体" w:cs="宋体"/>
                <w:sz w:val="24"/>
                <w:highlight w:val="none"/>
              </w:rPr>
            </w:pPr>
            <w:r>
              <w:rPr>
                <w:rFonts w:hint="eastAsia" w:ascii="宋体" w:hAnsi="宋体" w:cs="宋体"/>
                <w:sz w:val="24"/>
                <w:highlight w:val="none"/>
              </w:rPr>
              <w:t>响应文件的组成</w:t>
            </w:r>
          </w:p>
        </w:tc>
        <w:tc>
          <w:tcPr>
            <w:tcW w:w="6615" w:type="dxa"/>
            <w:vAlign w:val="center"/>
          </w:tcPr>
          <w:p>
            <w:pPr>
              <w:rPr>
                <w:rFonts w:ascii="宋体" w:hAnsi="宋体" w:cs="宋体"/>
                <w:sz w:val="24"/>
                <w:highlight w:val="none"/>
              </w:rPr>
            </w:pPr>
            <w:r>
              <w:rPr>
                <w:rFonts w:hint="eastAsia" w:ascii="宋体" w:hAnsi="宋体" w:cs="宋体"/>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tabs>
                <w:tab w:val="left" w:pos="8640"/>
              </w:tabs>
              <w:spacing w:before="156" w:beforeLines="50"/>
              <w:ind w:left="-2" w:leftChars="-1"/>
              <w:jc w:val="center"/>
              <w:rPr>
                <w:rFonts w:ascii="宋体" w:hAnsi="宋体" w:cs="宋体"/>
                <w:sz w:val="24"/>
                <w:highlight w:val="none"/>
              </w:rPr>
            </w:pPr>
            <w:r>
              <w:rPr>
                <w:rFonts w:hint="eastAsia" w:ascii="宋体" w:hAnsi="宋体" w:cs="宋体"/>
                <w:sz w:val="24"/>
                <w:highlight w:val="none"/>
              </w:rPr>
              <w:t>响应文件封面要求</w:t>
            </w:r>
          </w:p>
        </w:tc>
        <w:tc>
          <w:tcPr>
            <w:tcW w:w="6615" w:type="dxa"/>
            <w:vAlign w:val="center"/>
          </w:tcPr>
          <w:p>
            <w:pPr>
              <w:tabs>
                <w:tab w:val="left" w:pos="8640"/>
              </w:tabs>
              <w:rPr>
                <w:rFonts w:hint="eastAsia" w:ascii="宋体" w:hAnsi="宋体" w:eastAsia="宋体" w:cs="宋体"/>
                <w:sz w:val="24"/>
                <w:highlight w:val="none"/>
                <w:lang w:eastAsia="zh-CN"/>
              </w:rPr>
            </w:pPr>
            <w:r>
              <w:rPr>
                <w:rFonts w:hint="eastAsia" w:ascii="宋体" w:hAnsi="宋体" w:cs="宋体"/>
                <w:sz w:val="24"/>
                <w:highlight w:val="none"/>
                <w:lang w:eastAsia="zh-CN"/>
              </w:rPr>
              <w:t>项目名称、项目编号、供应商名称、地址及电话</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响应文件份数要求</w:t>
            </w:r>
          </w:p>
        </w:tc>
        <w:tc>
          <w:tcPr>
            <w:tcW w:w="6615" w:type="dxa"/>
            <w:vAlign w:val="center"/>
          </w:tcPr>
          <w:p>
            <w:pPr>
              <w:tabs>
                <w:tab w:val="left" w:pos="8640"/>
              </w:tabs>
              <w:ind w:left="-2" w:leftChars="-1"/>
              <w:rPr>
                <w:rFonts w:ascii="宋体" w:hAnsi="宋体" w:cs="宋体"/>
                <w:sz w:val="24"/>
                <w:highlight w:val="none"/>
              </w:rPr>
            </w:pPr>
            <w:r>
              <w:rPr>
                <w:rFonts w:hint="eastAsia" w:ascii="宋体" w:hAnsi="宋体" w:cs="宋体"/>
                <w:sz w:val="24"/>
                <w:highlight w:val="none"/>
              </w:rPr>
              <w:t>加密的电子投标文件须在投标截止时间前成功上传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响应文件装订和密封要求</w:t>
            </w:r>
          </w:p>
        </w:tc>
        <w:tc>
          <w:tcPr>
            <w:tcW w:w="6615" w:type="dxa"/>
            <w:vAlign w:val="center"/>
          </w:tcPr>
          <w:p>
            <w:pPr>
              <w:rPr>
                <w:rFonts w:hint="eastAsia" w:ascii="宋体" w:hAnsi="宋体" w:eastAsia="宋体" w:cs="宋体"/>
                <w:sz w:val="24"/>
                <w:highlight w:val="none"/>
                <w:lang w:eastAsia="zh-CN"/>
              </w:rPr>
            </w:pPr>
            <w:r>
              <w:rPr>
                <w:rFonts w:hint="eastAsia" w:ascii="宋体" w:hAnsi="宋体" w:cs="宋体"/>
                <w:sz w:val="24"/>
                <w:highlight w:val="none"/>
                <w:lang w:eastAsia="zh-CN"/>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竞争性磋商文件的澄清</w:t>
            </w:r>
          </w:p>
        </w:tc>
        <w:tc>
          <w:tcPr>
            <w:tcW w:w="6615" w:type="dxa"/>
            <w:vAlign w:val="center"/>
          </w:tcPr>
          <w:p>
            <w:pPr>
              <w:rPr>
                <w:rFonts w:ascii="宋体" w:hAnsi="宋体" w:cs="宋体"/>
                <w:sz w:val="24"/>
                <w:highlight w:val="none"/>
              </w:rPr>
            </w:pPr>
            <w:r>
              <w:rPr>
                <w:rFonts w:hint="eastAsia" w:ascii="宋体" w:hAnsi="宋体" w:cs="宋体"/>
                <w:sz w:val="24"/>
                <w:highlight w:val="none"/>
              </w:rPr>
              <w:t>对竞争性磋商文件进行的澄清，以网上公告的方式通知供应商。澄清或修改的内容可能影响响应文件编制的，采购人、采购代理机构应当在提交响应文件截止时间至少5日前。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响应文件递交截止时间</w:t>
            </w:r>
          </w:p>
        </w:tc>
        <w:tc>
          <w:tcPr>
            <w:tcW w:w="6615" w:type="dxa"/>
            <w:vAlign w:val="center"/>
          </w:tcPr>
          <w:p>
            <w:pPr>
              <w:ind w:firstLine="240" w:firstLineChars="100"/>
              <w:rPr>
                <w:rFonts w:ascii="宋体" w:hAnsi="宋体" w:cs="宋体"/>
                <w:sz w:val="24"/>
                <w:highlight w:val="none"/>
              </w:rPr>
            </w:pPr>
            <w:r>
              <w:rPr>
                <w:rFonts w:hint="eastAsia" w:ascii="宋体" w:hAnsi="宋体" w:cs="宋体"/>
                <w:sz w:val="24"/>
                <w:highlight w:val="none"/>
                <w:lang w:val="en-US" w:eastAsia="zh-CN"/>
              </w:rPr>
              <w:t>2024</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 xml:space="preserve">分   （见磋商公告）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响应文件递交地点</w:t>
            </w:r>
          </w:p>
        </w:tc>
        <w:tc>
          <w:tcPr>
            <w:tcW w:w="6615" w:type="dxa"/>
            <w:vAlign w:val="center"/>
          </w:tcPr>
          <w:p>
            <w:pPr>
              <w:rPr>
                <w:rFonts w:ascii="宋体" w:hAnsi="宋体"/>
                <w:sz w:val="24"/>
                <w:highlight w:val="none"/>
              </w:rPr>
            </w:pPr>
            <w:r>
              <w:rPr>
                <w:rFonts w:hint="eastAsia" w:ascii="宋体" w:hAnsi="宋体"/>
                <w:sz w:val="24"/>
                <w:highlight w:val="none"/>
              </w:rPr>
              <w:t>周口市公共资源交易中心网</w:t>
            </w:r>
          </w:p>
          <w:p>
            <w:pPr>
              <w:rPr>
                <w:rFonts w:ascii="宋体" w:hAnsi="宋体" w:cs="宋体" w:eastAsiaTheme="minorEastAsia"/>
                <w:sz w:val="24"/>
                <w:highlight w:val="none"/>
              </w:rPr>
            </w:pPr>
            <w:r>
              <w:rPr>
                <w:rFonts w:hint="eastAsia" w:ascii="宋体" w:hAnsi="宋体"/>
                <w:sz w:val="24"/>
                <w:highlight w:val="none"/>
              </w:rPr>
              <w:t>网址：周口市公共资源电子交易服务平台会员系统（网址</w:t>
            </w:r>
            <w:r>
              <w:rPr>
                <w:rFonts w:hint="eastAsia" w:asciiTheme="minorEastAsia" w:hAnsiTheme="minorEastAsia" w:eastAsiaTheme="minorEastAsia"/>
                <w:color w:val="000000"/>
                <w:sz w:val="24"/>
                <w:szCs w:val="24"/>
                <w:highlight w:val="none"/>
                <w:lang w:eastAsia="zh-CN"/>
              </w:rPr>
              <w:t>http://jyzx.zhoukou.gov.cn/</w:t>
            </w:r>
            <w:r>
              <w:rPr>
                <w:rFonts w:hint="eastAsia" w:asciiTheme="minorEastAsia" w:hAnsiTheme="minorEastAsia" w:eastAsiaTheme="minorEastAsia"/>
                <w:color w:val="000000"/>
                <w:sz w:val="24"/>
                <w:szCs w:val="24"/>
                <w:highlight w:val="none"/>
              </w:rPr>
              <w:t>）</w:t>
            </w:r>
          </w:p>
          <w:p>
            <w:pPr>
              <w:spacing w:line="560" w:lineRule="exact"/>
              <w:rPr>
                <w:rFonts w:ascii="宋体" w:hAnsi="宋体" w:cs="宋体"/>
                <w:sz w:val="24"/>
                <w:highlight w:val="none"/>
              </w:rPr>
            </w:pPr>
            <w:r>
              <w:rPr>
                <w:rFonts w:hint="eastAsia" w:ascii="宋体" w:hAnsi="宋体" w:cs="宋体"/>
                <w:sz w:val="24"/>
                <w:highlight w:val="none"/>
              </w:rPr>
              <w:t>（本项目实行网上远程开标无须到现场提交响应文件）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磋商时间</w:t>
            </w:r>
          </w:p>
        </w:tc>
        <w:tc>
          <w:tcPr>
            <w:tcW w:w="6615" w:type="dxa"/>
            <w:vAlign w:val="center"/>
          </w:tcPr>
          <w:p>
            <w:pPr>
              <w:tabs>
                <w:tab w:val="left" w:pos="8640"/>
              </w:tabs>
              <w:ind w:left="-2" w:leftChars="-1" w:firstLine="240" w:firstLineChars="100"/>
              <w:rPr>
                <w:rFonts w:ascii="宋体" w:hAnsi="宋体" w:cs="宋体"/>
                <w:sz w:val="24"/>
                <w:highlight w:val="none"/>
              </w:rPr>
            </w:pPr>
            <w:r>
              <w:rPr>
                <w:rFonts w:hint="eastAsia" w:ascii="宋体" w:hAnsi="宋体" w:cs="宋体"/>
                <w:sz w:val="24"/>
                <w:highlight w:val="none"/>
                <w:lang w:val="en-US" w:eastAsia="zh-CN"/>
              </w:rPr>
              <w:t>2024</w:t>
            </w:r>
            <w:r>
              <w:rPr>
                <w:rFonts w:hint="eastAsia" w:ascii="宋体" w:hAnsi="宋体" w:cs="宋体"/>
                <w:sz w:val="24"/>
                <w:highlight w:val="none"/>
              </w:rPr>
              <w:t>年</w:t>
            </w:r>
            <w:r>
              <w:rPr>
                <w:rFonts w:hint="eastAsia" w:ascii="宋体" w:hAnsi="宋体" w:cs="宋体"/>
                <w:sz w:val="24"/>
                <w:highlight w:val="none"/>
                <w:lang w:val="en-US" w:eastAsia="zh-CN"/>
              </w:rPr>
              <w:t>5</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w:t>
            </w:r>
            <w:bookmarkStart w:id="38" w:name="_GoBack"/>
            <w:bookmarkEnd w:id="38"/>
            <w:r>
              <w:rPr>
                <w:rFonts w:hint="eastAsia" w:ascii="宋体" w:hAnsi="宋体" w:cs="宋体"/>
                <w:sz w:val="24"/>
                <w:highlight w:val="none"/>
              </w:rPr>
              <w:t xml:space="preserve">   见磋商公告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磋商程序和内容</w:t>
            </w:r>
          </w:p>
        </w:tc>
        <w:tc>
          <w:tcPr>
            <w:tcW w:w="6615" w:type="dxa"/>
            <w:vAlign w:val="center"/>
          </w:tcPr>
          <w:p>
            <w:pPr>
              <w:tabs>
                <w:tab w:val="left" w:pos="8640"/>
              </w:tabs>
              <w:rPr>
                <w:rFonts w:ascii="宋体" w:hAnsi="宋体" w:cs="宋体"/>
                <w:sz w:val="24"/>
                <w:highlight w:val="none"/>
              </w:rPr>
            </w:pPr>
            <w:r>
              <w:rPr>
                <w:rFonts w:hint="eastAsia" w:ascii="宋体" w:hAnsi="宋体" w:cs="宋体"/>
                <w:sz w:val="24"/>
                <w:highlight w:val="none"/>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授予合同</w:t>
            </w:r>
          </w:p>
        </w:tc>
        <w:tc>
          <w:tcPr>
            <w:tcW w:w="6615" w:type="dxa"/>
            <w:vAlign w:val="center"/>
          </w:tcPr>
          <w:p>
            <w:pPr>
              <w:tabs>
                <w:tab w:val="left" w:pos="8640"/>
              </w:tabs>
              <w:jc w:val="left"/>
              <w:rPr>
                <w:rFonts w:ascii="宋体" w:hAnsi="宋体" w:cs="宋体"/>
                <w:sz w:val="24"/>
                <w:highlight w:val="none"/>
              </w:rPr>
            </w:pPr>
            <w:r>
              <w:rPr>
                <w:rFonts w:hint="eastAsia" w:ascii="宋体" w:hAnsi="宋体" w:cs="宋体"/>
                <w:sz w:val="24"/>
                <w:highlight w:val="none"/>
              </w:rPr>
              <w:t>采购人根据磋商小组的推荐意见，确定成交供应商。采购代理机构向成交供应商发出成交通知书。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签订合同</w:t>
            </w:r>
          </w:p>
        </w:tc>
        <w:tc>
          <w:tcPr>
            <w:tcW w:w="6615" w:type="dxa"/>
            <w:vAlign w:val="center"/>
          </w:tcPr>
          <w:p>
            <w:pPr>
              <w:tabs>
                <w:tab w:val="left" w:pos="8640"/>
              </w:tabs>
              <w:ind w:left="-2" w:leftChars="-1"/>
              <w:rPr>
                <w:rFonts w:ascii="宋体" w:hAnsi="宋体" w:cs="宋体"/>
                <w:sz w:val="24"/>
                <w:highlight w:val="none"/>
              </w:rPr>
            </w:pPr>
            <w:r>
              <w:rPr>
                <w:rFonts w:hint="eastAsia" w:ascii="宋体" w:hAnsi="宋体" w:cs="宋体"/>
                <w:sz w:val="24"/>
                <w:highlight w:val="none"/>
              </w:rPr>
              <w:t>1）接到成交通知书30天内，成交供应商应与采购人签订采购合同。</w:t>
            </w:r>
          </w:p>
          <w:p>
            <w:pPr>
              <w:tabs>
                <w:tab w:val="left" w:pos="8640"/>
              </w:tabs>
              <w:ind w:left="-2" w:leftChars="-1"/>
              <w:rPr>
                <w:rFonts w:ascii="宋体" w:hAnsi="宋体" w:cs="宋体"/>
                <w:sz w:val="24"/>
                <w:highlight w:val="none"/>
              </w:rPr>
            </w:pPr>
            <w:r>
              <w:rPr>
                <w:rFonts w:hint="eastAsia" w:ascii="宋体" w:hAnsi="宋体" w:cs="宋体"/>
                <w:sz w:val="24"/>
                <w:highlight w:val="none"/>
              </w:rPr>
              <w:t>2）本磋商文件、响应文件及磋商、评审过程中有关澄清、承诺文件的内容，将作为签订合同的主要内容。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投标保证金</w:t>
            </w:r>
          </w:p>
        </w:tc>
        <w:tc>
          <w:tcPr>
            <w:tcW w:w="6615" w:type="dxa"/>
            <w:vAlign w:val="center"/>
          </w:tcPr>
          <w:p>
            <w:pPr>
              <w:rPr>
                <w:rFonts w:hint="eastAsia"/>
                <w:highlight w:val="none"/>
              </w:rPr>
            </w:pPr>
            <w:r>
              <w:rPr>
                <w:rFonts w:hint="eastAsia" w:ascii="宋体" w:hAnsi="宋体" w:cs="宋体"/>
                <w:sz w:val="24"/>
                <w:szCs w:val="24"/>
                <w:highlight w:val="none"/>
              </w:rPr>
              <w:t>不需要缴纳投标保证金</w:t>
            </w:r>
            <w:r>
              <w:rPr>
                <w:rFonts w:hint="eastAsia"/>
                <w:sz w:val="24"/>
                <w:szCs w:val="24"/>
                <w:highlight w:val="none"/>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6615" w:type="dxa"/>
            <w:vAlign w:val="center"/>
          </w:tcPr>
          <w:p>
            <w:pPr>
              <w:jc w:val="left"/>
              <w:rPr>
                <w:rFonts w:ascii="宋体" w:hAnsi="宋体" w:cs="宋体"/>
                <w:color w:val="auto"/>
                <w:sz w:val="24"/>
                <w:highlight w:val="none"/>
              </w:rPr>
            </w:pPr>
            <w:r>
              <w:rPr>
                <w:rFonts w:hint="eastAsia" w:asciiTheme="minorEastAsia" w:hAnsiTheme="minorEastAsia" w:cstheme="minorEastAsia"/>
                <w:sz w:val="24"/>
                <w:szCs w:val="24"/>
                <w:highlight w:val="none"/>
                <w:lang w:val="en-US" w:eastAsia="zh-CN"/>
              </w:rPr>
              <w:t>1年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tabs>
                <w:tab w:val="left" w:pos="8640"/>
              </w:tabs>
              <w:ind w:left="-2" w:leftChars="-1"/>
              <w:jc w:val="center"/>
              <w:rPr>
                <w:rFonts w:hint="eastAsia" w:ascii="宋体" w:hAnsi="宋体" w:cs="宋体"/>
                <w:sz w:val="24"/>
                <w:highlight w:val="none"/>
              </w:rPr>
            </w:pPr>
            <w:r>
              <w:rPr>
                <w:rFonts w:hint="eastAsia" w:ascii="宋体" w:hAnsi="宋体" w:cs="宋体"/>
                <w:sz w:val="24"/>
                <w:highlight w:val="none"/>
              </w:rPr>
              <w:t>付款方式</w:t>
            </w:r>
          </w:p>
        </w:tc>
        <w:tc>
          <w:tcPr>
            <w:tcW w:w="6615" w:type="dxa"/>
            <w:vAlign w:val="center"/>
          </w:tcPr>
          <w:p>
            <w:pPr>
              <w:tabs>
                <w:tab w:val="left" w:pos="8640"/>
              </w:tabs>
              <w:ind w:left="-2" w:leftChars="-1"/>
              <w:rPr>
                <w:rFonts w:hint="default" w:ascii="宋体" w:hAnsi="宋体" w:cs="宋体"/>
                <w:sz w:val="24"/>
                <w:highlight w:val="none"/>
                <w:lang w:val="en-US" w:eastAsia="zh-CN"/>
              </w:rPr>
            </w:pPr>
            <w:r>
              <w:rPr>
                <w:rFonts w:hint="default" w:ascii="宋体" w:hAnsi="宋体" w:cs="宋体"/>
                <w:sz w:val="24"/>
                <w:highlight w:val="none"/>
                <w:lang w:val="en-US" w:eastAsia="zh-CN"/>
              </w:rPr>
              <w:t>一、合同签订后30日内付30%.</w:t>
            </w:r>
          </w:p>
          <w:p>
            <w:pPr>
              <w:tabs>
                <w:tab w:val="left" w:pos="8640"/>
              </w:tabs>
              <w:ind w:left="-2" w:leftChars="-1"/>
              <w:rPr>
                <w:rFonts w:hint="default" w:ascii="宋体" w:hAnsi="宋体" w:cs="宋体"/>
                <w:sz w:val="24"/>
                <w:highlight w:val="none"/>
                <w:lang w:val="en-US" w:eastAsia="zh-CN"/>
              </w:rPr>
            </w:pPr>
            <w:r>
              <w:rPr>
                <w:rFonts w:hint="default" w:ascii="宋体" w:hAnsi="宋体" w:cs="宋体"/>
                <w:sz w:val="24"/>
                <w:highlight w:val="none"/>
                <w:lang w:val="en-US" w:eastAsia="zh-CN"/>
              </w:rPr>
              <w:t>二、12月底之前提交《沈丘县2024年政务效能提升方案》和《沈丘县满意度提升方案》，付款50%.</w:t>
            </w:r>
          </w:p>
          <w:p>
            <w:pPr>
              <w:tabs>
                <w:tab w:val="left" w:pos="8640"/>
              </w:tabs>
              <w:ind w:left="-2" w:leftChars="-1"/>
              <w:rPr>
                <w:rFonts w:hint="default" w:ascii="宋体" w:hAnsi="宋体" w:cs="宋体"/>
                <w:sz w:val="24"/>
                <w:highlight w:val="none"/>
                <w:lang w:val="en-US" w:eastAsia="zh-CN"/>
              </w:rPr>
            </w:pPr>
            <w:r>
              <w:rPr>
                <w:rFonts w:hint="default" w:ascii="宋体" w:hAnsi="宋体" w:cs="宋体"/>
                <w:sz w:val="24"/>
                <w:highlight w:val="none"/>
                <w:lang w:val="en-US" w:eastAsia="zh-CN"/>
              </w:rPr>
              <w:t>三、提交最终成果，《沈丘县政务效能提升研究》付剩余20%。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eastAsia="宋体" w:cs="宋体"/>
                <w:kern w:val="2"/>
                <w:sz w:val="24"/>
                <w:szCs w:val="24"/>
                <w:highlight w:val="none"/>
                <w:lang w:val="en-US" w:eastAsia="zh-CN" w:bidi="ar-SA"/>
              </w:rPr>
            </w:pPr>
            <w:r>
              <w:rPr>
                <w:rFonts w:hint="eastAsia" w:ascii="宋体" w:hAnsi="宋体" w:cs="宋体"/>
                <w:sz w:val="24"/>
                <w:highlight w:val="none"/>
              </w:rPr>
              <w:t>勘察现场</w:t>
            </w:r>
          </w:p>
        </w:tc>
        <w:tc>
          <w:tcPr>
            <w:tcW w:w="6615" w:type="dxa"/>
            <w:vAlign w:val="center"/>
          </w:tcPr>
          <w:p>
            <w:pPr>
              <w:tabs>
                <w:tab w:val="left" w:pos="8640"/>
              </w:tabs>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rPr>
              <w:t xml:space="preserve"> </w:t>
            </w:r>
            <w:r>
              <w:rPr>
                <w:rFonts w:hint="eastAsia" w:ascii="宋体" w:hAnsi="宋体" w:cs="宋体"/>
                <w:sz w:val="24"/>
                <w:highlight w:val="none"/>
                <w:lang w:val="en-US" w:eastAsia="zh-CN"/>
              </w:rPr>
              <w:t>不组织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hint="eastAsia" w:ascii="宋体" w:hAnsi="宋体" w:eastAsia="宋体" w:cs="宋体"/>
                <w:b/>
                <w:bCs/>
                <w:kern w:val="2"/>
                <w:sz w:val="24"/>
                <w:szCs w:val="24"/>
                <w:highlight w:val="none"/>
                <w:lang w:val="en-US" w:eastAsia="zh-CN" w:bidi="ar-SA"/>
              </w:rPr>
            </w:pPr>
            <w:r>
              <w:rPr>
                <w:rFonts w:hint="eastAsia" w:ascii="宋体" w:hAnsi="宋体" w:cs="宋体"/>
                <w:b/>
                <w:bCs/>
                <w:sz w:val="24"/>
                <w:highlight w:val="none"/>
              </w:rPr>
              <w:t>报价</w:t>
            </w:r>
          </w:p>
        </w:tc>
        <w:tc>
          <w:tcPr>
            <w:tcW w:w="6615" w:type="dxa"/>
            <w:vAlign w:val="center"/>
          </w:tcPr>
          <w:p>
            <w:pPr>
              <w:tabs>
                <w:tab w:val="left" w:pos="8640"/>
              </w:tabs>
              <w:jc w:val="left"/>
              <w:rPr>
                <w:rFonts w:hint="eastAsia" w:ascii="宋体" w:hAnsi="宋体" w:eastAsia="宋体" w:cs="宋体"/>
                <w:b/>
                <w:bCs/>
                <w:kern w:val="2"/>
                <w:sz w:val="24"/>
                <w:szCs w:val="24"/>
                <w:highlight w:val="none"/>
                <w:u w:val="single"/>
                <w:lang w:val="en-US" w:eastAsia="zh-CN" w:bidi="ar-SA"/>
              </w:rPr>
            </w:pPr>
            <w:r>
              <w:rPr>
                <w:rFonts w:hint="eastAsia" w:ascii="宋体" w:hAnsi="宋体" w:cs="宋体"/>
                <w:b/>
                <w:bCs/>
                <w:sz w:val="24"/>
                <w:highlight w:val="none"/>
              </w:rPr>
              <w:t>一次报价</w:t>
            </w:r>
          </w:p>
        </w:tc>
      </w:tr>
    </w:tbl>
    <w:p>
      <w:pPr>
        <w:pStyle w:val="25"/>
        <w:ind w:firstLine="0" w:firstLineChars="0"/>
        <w:rPr>
          <w:rFonts w:hint="eastAsia" w:ascii="宋体" w:hAnsi="宋体" w:cs="宋体"/>
          <w:b/>
          <w:sz w:val="30"/>
          <w:szCs w:val="30"/>
          <w:highlight w:val="none"/>
        </w:rPr>
      </w:pPr>
    </w:p>
    <w:p>
      <w:pPr>
        <w:rPr>
          <w:rFonts w:hint="eastAsia" w:ascii="宋体" w:hAnsi="宋体" w:cs="宋体"/>
          <w:b/>
          <w:sz w:val="30"/>
          <w:szCs w:val="30"/>
          <w:highlight w:val="none"/>
        </w:rPr>
      </w:pPr>
      <w:r>
        <w:rPr>
          <w:rFonts w:hint="eastAsia" w:ascii="宋体" w:hAnsi="宋体" w:cs="宋体"/>
          <w:b/>
          <w:sz w:val="30"/>
          <w:szCs w:val="30"/>
          <w:highlight w:val="none"/>
        </w:rPr>
        <w:br w:type="page"/>
      </w:r>
    </w:p>
    <w:p>
      <w:pPr>
        <w:spacing w:line="720" w:lineRule="auto"/>
        <w:jc w:val="center"/>
        <w:rPr>
          <w:rFonts w:ascii="宋体" w:hAnsi="宋体" w:cs="宋体"/>
          <w:b/>
          <w:sz w:val="30"/>
          <w:szCs w:val="30"/>
          <w:highlight w:val="none"/>
        </w:rPr>
      </w:pPr>
      <w:r>
        <w:rPr>
          <w:rFonts w:hint="eastAsia" w:ascii="宋体" w:hAnsi="宋体" w:cs="宋体"/>
          <w:b/>
          <w:sz w:val="30"/>
          <w:szCs w:val="30"/>
          <w:highlight w:val="none"/>
        </w:rPr>
        <w:t>一、总则</w:t>
      </w:r>
    </w:p>
    <w:p>
      <w:pPr>
        <w:spacing w:line="560" w:lineRule="exact"/>
        <w:ind w:firstLine="482" w:firstLineChars="200"/>
        <w:rPr>
          <w:rFonts w:ascii="宋体" w:hAnsi="宋体" w:cs="宋体"/>
          <w:sz w:val="24"/>
          <w:highlight w:val="none"/>
        </w:rPr>
      </w:pPr>
      <w:r>
        <w:rPr>
          <w:rFonts w:hint="eastAsia" w:ascii="宋体" w:hAnsi="宋体" w:cs="宋体"/>
          <w:b/>
          <w:sz w:val="24"/>
          <w:highlight w:val="none"/>
        </w:rPr>
        <w:t>1．适用范围</w:t>
      </w:r>
    </w:p>
    <w:p>
      <w:pPr>
        <w:spacing w:line="560" w:lineRule="exact"/>
        <w:ind w:firstLine="480" w:firstLineChars="200"/>
        <w:rPr>
          <w:rFonts w:ascii="宋体" w:hAnsi="宋体" w:cs="宋体"/>
          <w:bCs/>
          <w:sz w:val="24"/>
          <w:highlight w:val="none"/>
        </w:rPr>
      </w:pPr>
      <w:r>
        <w:rPr>
          <w:rFonts w:hint="eastAsia" w:ascii="宋体" w:hAnsi="宋体" w:cs="宋体"/>
          <w:sz w:val="24"/>
          <w:highlight w:val="none"/>
        </w:rPr>
        <w:t>1.1本竞争性磋商文件仅适用于本次竞争性磋商邀请函中所述</w:t>
      </w:r>
      <w:r>
        <w:rPr>
          <w:rFonts w:hint="eastAsia" w:ascii="宋体" w:hAnsi="宋体" w:cs="宋体"/>
          <w:bCs/>
          <w:sz w:val="24"/>
          <w:highlight w:val="none"/>
        </w:rPr>
        <w:t>项目。</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2．定义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2.1“采购代理机构”：周口市公共资源交易中心政府采购中心。</w:t>
      </w:r>
    </w:p>
    <w:p>
      <w:pPr>
        <w:tabs>
          <w:tab w:val="left" w:pos="0"/>
        </w:tabs>
        <w:spacing w:line="560" w:lineRule="exact"/>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2.2“采购人”：</w:t>
      </w:r>
      <w:r>
        <w:rPr>
          <w:rFonts w:hint="eastAsia" w:ascii="宋体" w:hAnsi="宋体" w:cs="宋体"/>
          <w:sz w:val="24"/>
          <w:highlight w:val="none"/>
          <w:lang w:eastAsia="zh-CN"/>
        </w:rPr>
        <w:t>沈丘县优化营商环境服务中心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2.3“供应商”系指按竞争性磋商文件规定取得竞争性磋商文件并参加竞争性磋商活动的法人、其他组织或者自然人。</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2.4“供应商代表”：系指代表供应商参加本次竞争性磋商活动的供应商的法定代表人或其委托代理人。</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2.5“服务”：系指本项目所采购的服务及其他要求等。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2.7“重大违法记录”系指供应商因违法经营受到刑事处罚或者责令停产停业、吊销许可证或者执照、较大数额罚款等行政处罚。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2.8“不具备良好的商业信誉”是指：</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（1）有重大违法记录的（满三年的除外）；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（2）被各级财政部门列入政府采购严重违法失信行为信息记录的（期限已满的除外）；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（3）被各级政府采购监督管理部门禁止在一定期限内参加政府采购活动等处罚的（期限已满的除外）；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（4）被各级法院列入失信名单的（已依法解除的除外）；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（5）法律法规规定的其他情形。</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3.采购预算</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3.1本次采购预算：见公告。</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4.合格的供应商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4.1.1符合</w:t>
      </w:r>
      <w:r>
        <w:rPr>
          <w:rFonts w:hint="eastAsia" w:ascii="宋体" w:hAnsi="宋体" w:cs="宋体"/>
          <w:color w:val="000000"/>
          <w:sz w:val="24"/>
          <w:highlight w:val="none"/>
        </w:rPr>
        <w:t>供应商资格条件（详见第一部分供应商资格条件）</w:t>
      </w:r>
    </w:p>
    <w:p>
      <w:pPr>
        <w:widowControl/>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4.1.2参加政府采购活动前三年内，在经营活动中没有重大违法记录的声明函；</w:t>
      </w:r>
    </w:p>
    <w:p>
      <w:pPr>
        <w:widowControl/>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4.1.3 政府采购供应商诚信承诺书；</w:t>
      </w:r>
    </w:p>
    <w:p>
      <w:pPr>
        <w:pStyle w:val="75"/>
        <w:spacing w:line="360" w:lineRule="auto"/>
        <w:ind w:firstLine="480" w:firstLineChars="200"/>
        <w:rPr>
          <w:rFonts w:hAnsi="宋体" w:eastAsia="宋体"/>
          <w:color w:val="000000"/>
          <w:sz w:val="24"/>
          <w:highlight w:val="none"/>
        </w:rPr>
      </w:pPr>
      <w:r>
        <w:rPr>
          <w:rFonts w:hint="eastAsia" w:hAnsi="宋体" w:eastAsia="宋体"/>
          <w:color w:val="000000"/>
          <w:sz w:val="24"/>
          <w:highlight w:val="none"/>
        </w:rPr>
        <w:t>4.</w:t>
      </w:r>
      <w:r>
        <w:rPr>
          <w:rFonts w:hint="eastAsia" w:hAnsi="宋体" w:eastAsia="宋体"/>
          <w:color w:val="000000"/>
          <w:sz w:val="24"/>
          <w:highlight w:val="none"/>
          <w:lang w:val="en-US" w:eastAsia="zh-CN"/>
        </w:rPr>
        <w:t>2</w:t>
      </w:r>
      <w:r>
        <w:rPr>
          <w:rFonts w:hint="eastAsia" w:hAnsi="宋体" w:eastAsia="宋体"/>
          <w:color w:val="000000"/>
          <w:sz w:val="24"/>
          <w:highlight w:val="none"/>
        </w:rPr>
        <w:t>符合本竞争性磋商文件规定的供应商资格要求及项目要求的其它条件，并按照要求提供相关证明材料。</w:t>
      </w:r>
    </w:p>
    <w:p>
      <w:pPr>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w:t>
      </w:r>
      <w:r>
        <w:rPr>
          <w:rFonts w:hint="eastAsia" w:ascii="宋体" w:hAnsi="宋体" w:cs="宋体"/>
          <w:color w:val="000000"/>
          <w:kern w:val="0"/>
          <w:sz w:val="24"/>
          <w:highlight w:val="none"/>
          <w:lang w:val="en-US" w:eastAsia="zh-CN"/>
        </w:rPr>
        <w:t>3</w:t>
      </w:r>
      <w:r>
        <w:rPr>
          <w:rFonts w:hint="eastAsia" w:ascii="宋体" w:hAnsi="宋体" w:cs="宋体"/>
          <w:color w:val="000000"/>
          <w:kern w:val="0"/>
          <w:sz w:val="24"/>
          <w:highlight w:val="none"/>
          <w:lang w:val="zh-CN"/>
        </w:rPr>
        <w:t>供应商应遵守国家法律、法规有关竞争性磋商的规定。</w:t>
      </w:r>
    </w:p>
    <w:p>
      <w:pPr>
        <w:autoSpaceDE w:val="0"/>
        <w:autoSpaceDN w:val="0"/>
        <w:adjustRightInd w:val="0"/>
        <w:snapToGrid w:val="0"/>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lang w:val="zh-CN"/>
        </w:rPr>
        <w:t xml:space="preserve"> 凡通过磋商小组符合性审查的供应商均为合格供应商。未通过符合性审查的供应商为不合格供应商。</w:t>
      </w:r>
    </w:p>
    <w:p>
      <w:pPr>
        <w:spacing w:line="560" w:lineRule="exact"/>
        <w:ind w:firstLine="480" w:firstLineChars="200"/>
        <w:rPr>
          <w:rFonts w:ascii="宋体" w:hAnsi="宋体" w:cs="宋体"/>
          <w:sz w:val="24"/>
          <w:highlight w:val="none"/>
        </w:rPr>
      </w:pPr>
      <w:r>
        <w:rPr>
          <w:rFonts w:hint="eastAsia" w:ascii="宋体" w:hAnsi="宋体" w:cs="宋体"/>
          <w:color w:val="000000"/>
          <w:kern w:val="0"/>
          <w:sz w:val="24"/>
          <w:highlight w:val="none"/>
          <w:lang w:val="zh-CN"/>
        </w:rPr>
        <w:t>注：</w:t>
      </w:r>
      <w:r>
        <w:rPr>
          <w:rFonts w:hint="eastAsia" w:ascii="宋体" w:hAnsi="宋体" w:cs="宋体"/>
          <w:sz w:val="24"/>
          <w:highlight w:val="none"/>
        </w:rPr>
        <w:t>单位负责人为同一人或者存在直接控股、管理关系的不同供应商，不得参加同一合同项下的政府采购活动，并提供承诺</w:t>
      </w:r>
      <w:r>
        <w:rPr>
          <w:rFonts w:hint="eastAsia" w:ascii="宋体" w:hAnsi="宋体" w:cs="宋体"/>
          <w:sz w:val="24"/>
          <w:highlight w:val="none"/>
          <w:lang w:eastAsia="zh-CN"/>
        </w:rPr>
        <w:t>附在响应文件中，否则视为无效投标</w:t>
      </w:r>
      <w:r>
        <w:rPr>
          <w:rFonts w:hint="eastAsia" w:ascii="宋体" w:hAnsi="宋体" w:cs="宋体"/>
          <w:sz w:val="24"/>
          <w:highlight w:val="none"/>
        </w:rPr>
        <w:t>。</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 xml:space="preserve">5.竞争性磋商文件的约束力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5.l供应商一旦参加竞争性磋商，即被认为接受了本竞争性磋商文件中的所有条款和规定。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5.3本磋商文件由采购人负责解释。</w:t>
      </w:r>
    </w:p>
    <w:p>
      <w:pPr>
        <w:pStyle w:val="25"/>
        <w:ind w:firstLine="480"/>
        <w:rPr>
          <w:rFonts w:ascii="宋体" w:hAnsi="宋体" w:eastAsia="宋体" w:cs="宋体"/>
          <w:sz w:val="24"/>
          <w:highlight w:val="none"/>
        </w:rPr>
      </w:pPr>
    </w:p>
    <w:p>
      <w:pPr>
        <w:spacing w:line="720" w:lineRule="auto"/>
        <w:jc w:val="center"/>
        <w:rPr>
          <w:rFonts w:ascii="宋体" w:hAnsi="宋体" w:cs="宋体"/>
          <w:b/>
          <w:sz w:val="24"/>
          <w:highlight w:val="none"/>
        </w:rPr>
      </w:pPr>
      <w:r>
        <w:rPr>
          <w:rFonts w:hint="eastAsia" w:ascii="宋体" w:hAnsi="宋体" w:cs="宋体"/>
          <w:b/>
          <w:sz w:val="24"/>
          <w:highlight w:val="none"/>
        </w:rPr>
        <w:t>二、竞争性磋商文件</w:t>
      </w:r>
    </w:p>
    <w:p>
      <w:pPr>
        <w:tabs>
          <w:tab w:val="left" w:pos="632"/>
          <w:tab w:val="left" w:pos="790"/>
        </w:tabs>
        <w:spacing w:line="560" w:lineRule="exact"/>
        <w:ind w:firstLine="482" w:firstLineChars="200"/>
        <w:rPr>
          <w:rFonts w:ascii="宋体" w:hAnsi="宋体" w:cs="宋体"/>
          <w:b/>
          <w:sz w:val="24"/>
          <w:highlight w:val="none"/>
        </w:rPr>
      </w:pPr>
      <w:r>
        <w:rPr>
          <w:rFonts w:hint="eastAsia" w:ascii="宋体" w:hAnsi="宋体" w:cs="宋体"/>
          <w:b/>
          <w:sz w:val="24"/>
          <w:highlight w:val="none"/>
        </w:rPr>
        <w:t>6．竞争性磋商文件的组成</w:t>
      </w:r>
    </w:p>
    <w:p>
      <w:pPr>
        <w:autoSpaceDE w:val="0"/>
        <w:autoSpaceDN w:val="0"/>
        <w:adjustRightInd w:val="0"/>
        <w:spacing w:line="560" w:lineRule="exact"/>
        <w:ind w:firstLine="480" w:firstLineChars="200"/>
        <w:rPr>
          <w:rFonts w:ascii="宋体" w:hAnsi="宋体" w:cs="宋体"/>
          <w:sz w:val="24"/>
          <w:highlight w:val="none"/>
        </w:rPr>
      </w:pPr>
      <w:r>
        <w:rPr>
          <w:rFonts w:hint="eastAsia" w:ascii="宋体" w:hAnsi="宋体" w:cs="宋体"/>
          <w:sz w:val="24"/>
          <w:highlight w:val="none"/>
        </w:rPr>
        <w:t>6.1竞争性磋商</w:t>
      </w:r>
      <w:r>
        <w:rPr>
          <w:rFonts w:hint="eastAsia" w:ascii="宋体" w:hAnsi="宋体" w:cs="宋体"/>
          <w:sz w:val="24"/>
          <w:highlight w:val="none"/>
          <w:lang w:val="zh-CN"/>
        </w:rPr>
        <w:t>文件是用以阐明的采购需求、采购程序和合同格式等的规范性文件。竞争性磋商文件主要由以下部分组成：</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（1）竞争性磋商邀请函；</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（2）供应商须知；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（3）采购需求；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（4）响应性文件内容及格式；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（5）合同主要条款。</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供应商应认真阅读招标文件中所有的事项、格式、条件、条款和规范等要求。如果有异议在规定的时间内提出，没有异议需做出“无异议”承诺书，承诺书</w:t>
      </w:r>
      <w:r>
        <w:rPr>
          <w:rFonts w:hint="eastAsia" w:ascii="宋体" w:hAnsi="宋体" w:cs="宋体"/>
          <w:sz w:val="24"/>
          <w:highlight w:val="none"/>
          <w:lang w:eastAsia="zh-CN"/>
        </w:rPr>
        <w:t>附在响应文件中，</w:t>
      </w:r>
      <w:r>
        <w:rPr>
          <w:rFonts w:hint="eastAsia" w:ascii="宋体" w:hAnsi="宋体" w:cs="宋体"/>
          <w:sz w:val="24"/>
          <w:highlight w:val="none"/>
        </w:rPr>
        <w:t>作为响应文件的组织部分,否则为无效响应文件。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6.3供应商被视为充分熟悉本采购项目所在地的与履行合同有关的各种情况，包括自然环境、气候条件、劳动力及公用设施等，本竞争性磋商文件不再对上述情况进行描述。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6.4供应商必须详阅竞争性磋商文件的所有条款、文件及表格格式等。供应商若未按竞争性磋商文件的要求和规范编制、提交响应性文件，将有可能导致响应性文件被拒绝接受或被视为无效。</w:t>
      </w:r>
    </w:p>
    <w:p>
      <w:pPr>
        <w:pStyle w:val="65"/>
        <w:numPr>
          <w:ilvl w:val="0"/>
          <w:numId w:val="0"/>
        </w:numPr>
        <w:tabs>
          <w:tab w:val="left" w:pos="932"/>
        </w:tabs>
        <w:adjustRightInd w:val="0"/>
        <w:snapToGrid w:val="0"/>
        <w:spacing w:line="360" w:lineRule="auto"/>
        <w:ind w:firstLine="240" w:firstLineChars="100"/>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6.5</w:t>
      </w:r>
      <w:r>
        <w:rPr>
          <w:rFonts w:hint="eastAsia" w:asciiTheme="minorEastAsia" w:hAnsiTheme="minorEastAsia" w:eastAsiaTheme="minorEastAsia"/>
          <w:color w:val="000000" w:themeColor="text1"/>
          <w:sz w:val="24"/>
          <w:highlight w:val="none"/>
          <w14:textFill>
            <w14:solidFill>
              <w14:schemeClr w14:val="tx1"/>
            </w14:solidFill>
          </w14:textFill>
        </w:rPr>
        <w:t>近年发生的诉讼及仲裁情况”应说明相关情况，在响应文件中</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附上</w:t>
      </w:r>
      <w:r>
        <w:rPr>
          <w:rFonts w:hint="eastAsia" w:asciiTheme="minorEastAsia" w:hAnsiTheme="minorEastAsia" w:eastAsiaTheme="minorEastAsia"/>
          <w:color w:val="000000" w:themeColor="text1"/>
          <w:sz w:val="24"/>
          <w:highlight w:val="none"/>
          <w14:textFill>
            <w14:solidFill>
              <w14:schemeClr w14:val="tx1"/>
            </w14:solidFill>
          </w14:textFill>
        </w:rPr>
        <w:t>无诉讼及仲裁</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的承诺</w:t>
      </w:r>
      <w:r>
        <w:rPr>
          <w:rFonts w:hint="eastAsia" w:asciiTheme="minorEastAsia" w:hAnsiTheme="minorEastAsia" w:eastAsiaTheme="minorEastAsia"/>
          <w:color w:val="000000" w:themeColor="text1"/>
          <w:sz w:val="24"/>
          <w:highlight w:val="none"/>
          <w14:textFill>
            <w14:solidFill>
              <w14:schemeClr w14:val="tx1"/>
            </w14:solidFill>
          </w14:textFill>
        </w:rPr>
        <w:t>，并附</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上</w:t>
      </w:r>
      <w:r>
        <w:rPr>
          <w:rFonts w:hint="eastAsia" w:asciiTheme="minorEastAsia" w:hAnsiTheme="minorEastAsia" w:eastAsiaTheme="minorEastAsia"/>
          <w:color w:val="000000" w:themeColor="text1"/>
          <w:sz w:val="24"/>
          <w:highlight w:val="none"/>
          <w14:textFill>
            <w14:solidFill>
              <w14:schemeClr w14:val="tx1"/>
            </w14:solidFill>
          </w14:textFill>
        </w:rPr>
        <w:t>法院或仲裁机构作出的</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无</w:t>
      </w:r>
      <w:r>
        <w:rPr>
          <w:rFonts w:hint="eastAsia" w:asciiTheme="minorEastAsia" w:hAnsiTheme="minorEastAsia" w:eastAsiaTheme="minorEastAsia"/>
          <w:color w:val="000000" w:themeColor="text1"/>
          <w:sz w:val="24"/>
          <w:highlight w:val="none"/>
          <w14:textFill>
            <w14:solidFill>
              <w14:schemeClr w14:val="tx1"/>
            </w14:solidFill>
          </w14:textFill>
        </w:rPr>
        <w:t>判决、裁决等有关法律文书</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的证明资料附在响应文件中，不提供按照无效投标处理</w:t>
      </w:r>
      <w:r>
        <w:rPr>
          <w:rFonts w:hint="eastAsia" w:asciiTheme="minorEastAsia" w:hAnsiTheme="minorEastAsia" w:eastAsiaTheme="minorEastAsia"/>
          <w:color w:val="000000" w:themeColor="text1"/>
          <w:sz w:val="24"/>
          <w:highlight w:val="none"/>
          <w14:textFill>
            <w14:solidFill>
              <w14:schemeClr w14:val="tx1"/>
            </w14:solidFill>
          </w14:textFill>
        </w:rPr>
        <w:t>。</w:t>
      </w:r>
    </w:p>
    <w:p>
      <w:pPr>
        <w:widowControl/>
        <w:spacing w:line="560" w:lineRule="exact"/>
        <w:ind w:firstLine="482" w:firstLineChars="200"/>
        <w:rPr>
          <w:rFonts w:ascii="宋体" w:hAnsi="宋体" w:cs="宋体"/>
          <w:b/>
          <w:sz w:val="24"/>
          <w:highlight w:val="none"/>
        </w:rPr>
      </w:pPr>
      <w:r>
        <w:rPr>
          <w:rFonts w:hint="eastAsia" w:ascii="宋体" w:hAnsi="宋体" w:cs="宋体"/>
          <w:b/>
          <w:sz w:val="24"/>
          <w:highlight w:val="none"/>
        </w:rPr>
        <w:t>7.竞争性磋商文件的澄清与修改</w:t>
      </w:r>
    </w:p>
    <w:p>
      <w:pPr>
        <w:autoSpaceDE w:val="0"/>
        <w:autoSpaceDN w:val="0"/>
        <w:adjustRightInd w:val="0"/>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cs="宋体"/>
          <w:b/>
          <w:sz w:val="24"/>
          <w:highlight w:val="none"/>
        </w:rPr>
      </w:pPr>
      <w:r>
        <w:rPr>
          <w:rFonts w:hint="eastAsia" w:ascii="宋体" w:hAnsi="宋体" w:cs="宋体"/>
          <w:b/>
          <w:sz w:val="24"/>
          <w:highlight w:val="none"/>
        </w:rPr>
        <w:t>三、响应性文件的编制</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8.要求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承</w:t>
      </w:r>
      <w:r>
        <w:rPr>
          <w:rFonts w:hint="eastAsia" w:ascii="宋体" w:hAnsi="宋体" w:cs="宋体"/>
          <w:sz w:val="2"/>
          <w:szCs w:val="2"/>
          <w:highlight w:val="none"/>
          <w:lang w:val="en-US" w:eastAsia="zh-CN"/>
        </w:rPr>
        <w:t xml:space="preserve">    </w:t>
      </w:r>
      <w:r>
        <w:rPr>
          <w:rFonts w:hint="eastAsia" w:ascii="宋体" w:hAnsi="宋体" w:cs="宋体"/>
          <w:sz w:val="24"/>
          <w:highlight w:val="none"/>
        </w:rPr>
        <w:t>诺，否则其响应性文件将作为无效处理。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8.2任何对竞争性磋商文件的忽略或误解不能作为响应性文件没有完全响应竞争性磋商文件的有效理由。</w:t>
      </w:r>
    </w:p>
    <w:p>
      <w:pPr>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8.3供应商没有按照竞争性磋商文件要求提供全部资料，或者供应商没有对竞争性磋商文件在各方面都作出实质性响应是供应商的风险，并可能导致其响应性文件被拒绝。</w:t>
      </w:r>
    </w:p>
    <w:p>
      <w:pPr>
        <w:pStyle w:val="15"/>
        <w:rPr>
          <w:rFonts w:hint="default" w:eastAsia="宋体"/>
          <w:lang w:val="en-US" w:eastAsia="zh-CN"/>
        </w:rPr>
      </w:pPr>
      <w:r>
        <w:rPr>
          <w:rFonts w:hint="eastAsia" w:ascii="宋体" w:hAnsi="宋体" w:cs="宋体"/>
          <w:sz w:val="24"/>
          <w:highlight w:val="none"/>
          <w:lang w:val="en-US" w:eastAsia="zh-CN"/>
        </w:rPr>
        <w:t>8.4.响应文件中提供的所有资料均需要标注“原件一致字样”，不在响应文件中标注的视为无效响应文件。</w:t>
      </w:r>
    </w:p>
    <w:p>
      <w:pPr>
        <w:widowControl/>
        <w:spacing w:line="560" w:lineRule="exact"/>
        <w:ind w:firstLine="482" w:firstLineChars="200"/>
        <w:rPr>
          <w:rFonts w:ascii="宋体" w:hAnsi="宋体" w:cs="宋体"/>
          <w:b/>
          <w:sz w:val="24"/>
          <w:highlight w:val="none"/>
        </w:rPr>
      </w:pPr>
      <w:r>
        <w:rPr>
          <w:rFonts w:hint="eastAsia" w:ascii="宋体" w:hAnsi="宋体" w:cs="宋体"/>
          <w:b/>
          <w:sz w:val="24"/>
          <w:highlight w:val="none"/>
        </w:rPr>
        <w:t xml:space="preserve">9.响应性文件的语言及度量衡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9.1响应性文件以及供应商与采购代理机构之间的所有书面往来都应用简体中文书写。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9.2供应商使用其他语言的，以中文翻译为准。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9.3关于计量单位，竞争性磋商文件已有明确规定的，使用竞争性磋商文件规定的计量单位；竞争性磋商文件没有规定的，应采用中华人民共和国法定计量单位。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9.4本竞争性磋商文件所表述的时间均为北京时间。</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10.响应性文件的组成</w:t>
      </w:r>
    </w:p>
    <w:p>
      <w:pPr>
        <w:widowControl/>
        <w:spacing w:line="560" w:lineRule="exact"/>
        <w:ind w:firstLine="480" w:firstLineChars="200"/>
        <w:rPr>
          <w:rFonts w:ascii="宋体" w:hAnsi="宋体" w:cs="宋体"/>
          <w:sz w:val="24"/>
          <w:highlight w:val="none"/>
        </w:rPr>
      </w:pPr>
      <w:r>
        <w:rPr>
          <w:rFonts w:hint="eastAsia" w:ascii="宋体" w:hAnsi="宋体" w:cs="宋体"/>
          <w:sz w:val="24"/>
          <w:highlight w:val="none"/>
        </w:rPr>
        <w:t>10.1响应性文件由</w:t>
      </w:r>
      <w:r>
        <w:rPr>
          <w:rFonts w:hint="eastAsia" w:ascii="宋体" w:hAnsi="宋体" w:cs="宋体"/>
          <w:bCs/>
          <w:sz w:val="24"/>
          <w:highlight w:val="none"/>
          <w:u w:val="single"/>
        </w:rPr>
        <w:t>资格性证明材料</w:t>
      </w:r>
      <w:r>
        <w:rPr>
          <w:rFonts w:hint="eastAsia" w:ascii="宋体" w:hAnsi="宋体" w:cs="宋体"/>
          <w:bCs/>
          <w:sz w:val="24"/>
          <w:highlight w:val="none"/>
        </w:rPr>
        <w:t>、</w:t>
      </w:r>
      <w:r>
        <w:rPr>
          <w:rFonts w:hint="eastAsia" w:ascii="宋体" w:hAnsi="宋体" w:cs="宋体"/>
          <w:bCs/>
          <w:sz w:val="24"/>
          <w:highlight w:val="none"/>
          <w:u w:val="single"/>
        </w:rPr>
        <w:t>符合性证明材料</w:t>
      </w:r>
      <w:r>
        <w:rPr>
          <w:rFonts w:hint="eastAsia" w:ascii="宋体" w:hAnsi="宋体" w:cs="宋体"/>
          <w:bCs/>
          <w:sz w:val="24"/>
          <w:highlight w:val="none"/>
        </w:rPr>
        <w:t>、</w:t>
      </w:r>
      <w:r>
        <w:rPr>
          <w:rFonts w:hint="eastAsia" w:ascii="宋体" w:hAnsi="宋体" w:cs="宋体"/>
          <w:bCs/>
          <w:sz w:val="24"/>
          <w:highlight w:val="none"/>
          <w:u w:val="single"/>
        </w:rPr>
        <w:t>其他材料</w:t>
      </w:r>
      <w:r>
        <w:rPr>
          <w:rFonts w:hint="eastAsia" w:ascii="宋体" w:hAnsi="宋体" w:cs="宋体"/>
          <w:sz w:val="24"/>
          <w:highlight w:val="none"/>
        </w:rPr>
        <w:t>三部分组成。具体内容和格式见竞争性磋商文件</w:t>
      </w:r>
      <w:r>
        <w:rPr>
          <w:rFonts w:hint="eastAsia" w:ascii="宋体" w:hAnsi="宋体" w:cs="宋体"/>
          <w:bCs/>
          <w:sz w:val="24"/>
          <w:highlight w:val="none"/>
        </w:rPr>
        <w:t>第四章</w:t>
      </w:r>
      <w:r>
        <w:rPr>
          <w:rFonts w:hint="eastAsia" w:ascii="宋体" w:hAnsi="宋体" w:cs="宋体"/>
          <w:sz w:val="24"/>
          <w:highlight w:val="none"/>
        </w:rPr>
        <w:t>。</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11.响应性文件格式</w:t>
      </w:r>
    </w:p>
    <w:p>
      <w:pPr>
        <w:widowControl/>
        <w:spacing w:line="560" w:lineRule="exact"/>
        <w:ind w:firstLine="480" w:firstLineChars="200"/>
        <w:rPr>
          <w:rFonts w:ascii="宋体" w:hAnsi="宋体" w:cs="宋体"/>
          <w:sz w:val="24"/>
          <w:highlight w:val="none"/>
        </w:rPr>
      </w:pPr>
      <w:r>
        <w:rPr>
          <w:rFonts w:hint="eastAsia" w:ascii="宋体" w:hAnsi="宋体" w:cs="宋体"/>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widowControl/>
        <w:spacing w:line="560" w:lineRule="exact"/>
        <w:ind w:firstLine="482" w:firstLineChars="200"/>
        <w:rPr>
          <w:rFonts w:ascii="宋体" w:hAnsi="宋体" w:cs="宋体"/>
          <w:b/>
          <w:bCs/>
          <w:kern w:val="0"/>
          <w:sz w:val="24"/>
          <w:highlight w:val="none"/>
        </w:rPr>
      </w:pPr>
      <w:r>
        <w:rPr>
          <w:rFonts w:hint="eastAsia" w:ascii="宋体" w:hAnsi="宋体" w:cs="宋体"/>
          <w:b/>
          <w:bCs/>
          <w:kern w:val="0"/>
          <w:sz w:val="24"/>
          <w:highlight w:val="none"/>
        </w:rPr>
        <w:t>12.竞争性磋商报价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12.1报价包括所投服务、保险、税费、检测、验收和交付后约定期限内免费维保等工作所发生的一切应有费用。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12.2经过磋商后进行的报价为供应商的最终报价。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12.3采购人不接受有选择的报价。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12.4最终报价不得超过采购预算。</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12.5报价均须以人民币为计算单位。</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 xml:space="preserve">13．响应性文件有效期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13.l响应性文件有效期为自竞争性磋商开始之日起60天，有效期短于此规定的响应性文件将被视为无效。</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14.响应性文件的签署、盖章</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14.1</w:t>
      </w:r>
      <w:r>
        <w:rPr>
          <w:rFonts w:hint="eastAsia" w:ascii="宋体" w:hAnsi="宋体" w:cs="宋体"/>
          <w:sz w:val="24"/>
          <w:highlight w:val="none"/>
          <w:lang w:val="zh-CN"/>
        </w:rPr>
        <w:t>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14.3供应商提交的资料应证明其满足竞争性磋商文件要求，该文件可以是文字资料、图纸和数据等详细描述的资料。</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15电子投标文件制作，见周口市公共资源交易中心网站下载中心版块《投标单位-电子投标文件视频制作手册》的相关规定。</w:t>
      </w:r>
    </w:p>
    <w:p>
      <w:pPr>
        <w:numPr>
          <w:ilvl w:val="0"/>
          <w:numId w:val="2"/>
        </w:numPr>
        <w:spacing w:line="720" w:lineRule="auto"/>
        <w:jc w:val="center"/>
        <w:rPr>
          <w:rFonts w:ascii="宋体" w:hAnsi="宋体" w:cs="宋体"/>
          <w:b/>
          <w:sz w:val="24"/>
          <w:highlight w:val="none"/>
        </w:rPr>
      </w:pPr>
      <w:r>
        <w:rPr>
          <w:rFonts w:hint="eastAsia" w:ascii="宋体" w:hAnsi="宋体" w:cs="宋体"/>
          <w:b/>
          <w:sz w:val="24"/>
          <w:highlight w:val="none"/>
        </w:rPr>
        <w:t>响应性文件的递交</w:t>
      </w:r>
    </w:p>
    <w:p>
      <w:pPr>
        <w:autoSpaceDE w:val="0"/>
        <w:autoSpaceDN w:val="0"/>
        <w:adjustRightInd w:val="0"/>
        <w:spacing w:line="500" w:lineRule="exact"/>
        <w:ind w:firstLine="480" w:firstLineChars="200"/>
        <w:rPr>
          <w:rFonts w:ascii="宋体" w:hAnsi="宋体" w:cs="宋体"/>
          <w:sz w:val="24"/>
          <w:highlight w:val="none"/>
        </w:rPr>
      </w:pPr>
      <w:r>
        <w:rPr>
          <w:rFonts w:hint="eastAsia" w:ascii="宋体" w:hAnsi="宋体" w:cs="宋体"/>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spacing w:line="360" w:lineRule="auto"/>
        <w:ind w:firstLine="550"/>
        <w:rPr>
          <w:rFonts w:ascii="宋体" w:hAnsi="宋体" w:cs="宋体"/>
          <w:sz w:val="24"/>
          <w:highlight w:val="none"/>
        </w:rPr>
      </w:pPr>
      <w:r>
        <w:rPr>
          <w:rFonts w:hint="eastAsia" w:ascii="宋体" w:hAnsi="宋体" w:cs="宋体"/>
          <w:sz w:val="24"/>
          <w:highlight w:val="none"/>
        </w:rPr>
        <w:t>注：加密的电子投标文件的递交，见周口市公共资源交易中心网站下载中心版块《投标单位-电子投标文件视频制作手册》的相关规定。如未在招标文件规定的投标时间截止前上传网上响应文件，投标无效。</w:t>
      </w:r>
    </w:p>
    <w:p>
      <w:pPr>
        <w:autoSpaceDE w:val="0"/>
        <w:autoSpaceDN w:val="0"/>
        <w:adjustRightInd w:val="0"/>
        <w:spacing w:line="500" w:lineRule="exact"/>
        <w:ind w:firstLine="240" w:firstLineChars="100"/>
        <w:rPr>
          <w:rFonts w:ascii="宋体" w:hAnsi="宋体" w:cs="宋体"/>
          <w:sz w:val="24"/>
          <w:highlight w:val="none"/>
        </w:rPr>
      </w:pPr>
      <w:r>
        <w:rPr>
          <w:rFonts w:hint="eastAsia" w:ascii="宋体" w:hAnsi="宋体" w:cs="宋体"/>
          <w:sz w:val="24"/>
          <w:highlight w:val="none"/>
        </w:rPr>
        <w:t>供应商须使用单位CA证书进行电子响应文件远程解密，详见周口市公共资源电子交易中心网站（网址：</w:t>
      </w:r>
      <w:r>
        <w:rPr>
          <w:rFonts w:hint="eastAsia" w:ascii="宋体" w:hAnsi="宋体" w:cs="宋体"/>
          <w:sz w:val="24"/>
          <w:highlight w:val="none"/>
          <w:lang w:eastAsia="zh-CN"/>
        </w:rPr>
        <w:t>http://jyzx.zhoukou.gov.cn/</w:t>
      </w:r>
      <w:r>
        <w:rPr>
          <w:rFonts w:hint="eastAsia" w:ascii="宋体" w:hAnsi="宋体" w:cs="宋体"/>
          <w:sz w:val="24"/>
          <w:highlight w:val="none"/>
        </w:rPr>
        <w:t>）办事指南</w:t>
      </w:r>
      <w:r>
        <w:rPr>
          <w:rFonts w:hint="eastAsia" w:ascii="宋体" w:hAnsi="宋体" w:cs="宋体"/>
          <w:bCs/>
          <w:sz w:val="24"/>
          <w:highlight w:val="none"/>
        </w:rPr>
        <w:t>《不见面开标远程在线解密会员端操作手册操作指南》</w:t>
      </w:r>
      <w:r>
        <w:rPr>
          <w:rFonts w:hint="eastAsia" w:ascii="宋体" w:hAnsi="宋体" w:cs="宋体"/>
          <w:sz w:val="24"/>
          <w:highlight w:val="none"/>
        </w:rPr>
        <w:t>。</w:t>
      </w:r>
    </w:p>
    <w:p>
      <w:pPr>
        <w:spacing w:line="560" w:lineRule="exact"/>
        <w:rPr>
          <w:rFonts w:ascii="宋体" w:hAnsi="宋体" w:cs="宋体"/>
          <w:b/>
          <w:sz w:val="24"/>
          <w:highlight w:val="none"/>
        </w:rPr>
      </w:pPr>
      <w:r>
        <w:rPr>
          <w:rFonts w:hint="eastAsia" w:ascii="宋体" w:hAnsi="宋体" w:cs="宋体"/>
          <w:b/>
          <w:sz w:val="24"/>
          <w:highlight w:val="none"/>
        </w:rPr>
        <w:t>16.响应性文件的递交</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16.1供应商应在竞争性磋商邀请函中规定的截止日期和时间前，将响应性文件在会员系统成功上传，递交（接收）地点为竞争性磋商邀请函中规定的地址。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16.2若采购人推迟了响应性文件接收截止时间，采购人和供应商受响应性文件接收截止时间制约的所有权利和义务均应以新的截止时间为准。 </w:t>
      </w:r>
    </w:p>
    <w:p>
      <w:pPr>
        <w:pStyle w:val="59"/>
        <w:spacing w:line="560" w:lineRule="exact"/>
        <w:ind w:firstLine="482" w:firstLineChars="200"/>
        <w:rPr>
          <w:rFonts w:ascii="宋体" w:hAnsi="宋体"/>
          <w:b/>
          <w:sz w:val="24"/>
          <w:szCs w:val="24"/>
          <w:highlight w:val="none"/>
        </w:rPr>
      </w:pPr>
      <w:r>
        <w:rPr>
          <w:rFonts w:hint="eastAsia" w:ascii="宋体" w:hAnsi="宋体"/>
          <w:b/>
          <w:bCs/>
          <w:sz w:val="24"/>
          <w:szCs w:val="24"/>
          <w:highlight w:val="none"/>
        </w:rPr>
        <w:t>17</w:t>
      </w:r>
      <w:r>
        <w:rPr>
          <w:rFonts w:hint="eastAsia" w:ascii="宋体" w:hAnsi="宋体"/>
          <w:b/>
          <w:sz w:val="24"/>
          <w:szCs w:val="24"/>
          <w:highlight w:val="none"/>
        </w:rPr>
        <w:t>.响应性文件的修改和撤回</w:t>
      </w:r>
    </w:p>
    <w:p>
      <w:pPr>
        <w:pStyle w:val="59"/>
        <w:spacing w:line="560" w:lineRule="exact"/>
        <w:ind w:left="279" w:leftChars="133" w:firstLine="240" w:firstLineChars="100"/>
        <w:rPr>
          <w:rFonts w:ascii="宋体" w:hAnsi="宋体"/>
          <w:b/>
          <w:bCs/>
          <w:sz w:val="24"/>
          <w:szCs w:val="24"/>
          <w:highlight w:val="none"/>
        </w:rPr>
      </w:pPr>
      <w:r>
        <w:rPr>
          <w:rFonts w:hint="eastAsia" w:ascii="宋体" w:hAnsi="宋体"/>
          <w:sz w:val="24"/>
          <w:szCs w:val="24"/>
          <w:highlight w:val="none"/>
        </w:rPr>
        <w:t>17.1供应商在提交响应性文件截止时间前，可以对已上传的响应文件进行撤回补充、修改或撤回，补充、修改之后进行再次上传，再次上传内容作为响应性文件的组成部分。</w:t>
      </w:r>
    </w:p>
    <w:p>
      <w:pPr>
        <w:pStyle w:val="59"/>
        <w:spacing w:line="560" w:lineRule="exact"/>
        <w:ind w:firstLine="480" w:firstLineChars="200"/>
        <w:rPr>
          <w:rFonts w:ascii="宋体" w:hAnsi="宋体"/>
          <w:sz w:val="24"/>
          <w:szCs w:val="24"/>
          <w:highlight w:val="none"/>
        </w:rPr>
      </w:pPr>
      <w:r>
        <w:rPr>
          <w:rFonts w:hint="eastAsia" w:ascii="宋体" w:hAnsi="宋体"/>
          <w:sz w:val="24"/>
          <w:szCs w:val="24"/>
          <w:highlight w:val="none"/>
        </w:rPr>
        <w:t xml:space="preserve">17.2响应性文件的补充、修改文件应按照本竞争性磋商文件有关规定进行密封、签署，修改后的加密的电子投标文件须在投标截止时间前成功上传。 </w:t>
      </w:r>
    </w:p>
    <w:p>
      <w:pPr>
        <w:pStyle w:val="59"/>
        <w:spacing w:line="560" w:lineRule="exact"/>
        <w:ind w:firstLine="480" w:firstLineChars="200"/>
        <w:rPr>
          <w:rFonts w:ascii="宋体" w:hAnsi="宋体"/>
          <w:sz w:val="24"/>
          <w:szCs w:val="24"/>
          <w:highlight w:val="none"/>
        </w:rPr>
      </w:pPr>
      <w:r>
        <w:rPr>
          <w:rFonts w:hint="eastAsia" w:ascii="宋体" w:hAnsi="宋体"/>
          <w:sz w:val="24"/>
          <w:szCs w:val="24"/>
          <w:highlight w:val="none"/>
        </w:rPr>
        <w:t>17.3供应商在响应性文件接收截止时间后不得修改、撤回响应性文件。供应商在响应性文件接收截止时间后修改响应性文件的，将被拒绝接受。</w:t>
      </w:r>
    </w:p>
    <w:p>
      <w:pPr>
        <w:pStyle w:val="59"/>
        <w:spacing w:line="560" w:lineRule="exact"/>
        <w:ind w:firstLine="480" w:firstLineChars="200"/>
        <w:rPr>
          <w:rFonts w:ascii="宋体" w:hAnsi="宋体"/>
          <w:sz w:val="24"/>
          <w:szCs w:val="24"/>
          <w:highlight w:val="none"/>
        </w:rPr>
      </w:pPr>
      <w:r>
        <w:rPr>
          <w:rFonts w:hint="eastAsia" w:ascii="宋体" w:hAnsi="宋体"/>
          <w:sz w:val="24"/>
          <w:szCs w:val="24"/>
          <w:highlight w:val="none"/>
        </w:rPr>
        <w:t>17.4供应商有下列情形之一的，采购人将拒绝接受其响应性文件：</w:t>
      </w:r>
    </w:p>
    <w:p>
      <w:pPr>
        <w:pStyle w:val="59"/>
        <w:spacing w:line="560" w:lineRule="exact"/>
        <w:ind w:firstLine="480" w:firstLineChars="200"/>
        <w:rPr>
          <w:rFonts w:ascii="宋体" w:hAnsi="宋体"/>
          <w:sz w:val="24"/>
          <w:szCs w:val="24"/>
          <w:highlight w:val="none"/>
        </w:rPr>
      </w:pPr>
      <w:r>
        <w:rPr>
          <w:rFonts w:hint="eastAsia" w:ascii="宋体" w:hAnsi="宋体"/>
          <w:sz w:val="24"/>
          <w:szCs w:val="24"/>
          <w:highlight w:val="none"/>
        </w:rPr>
        <w:t>17.4.1在竞争性磋商文件规定的响应性文件接收截止时间之后递交响应性文件的；</w:t>
      </w:r>
    </w:p>
    <w:p>
      <w:pPr>
        <w:pStyle w:val="59"/>
        <w:spacing w:line="560" w:lineRule="exact"/>
        <w:ind w:firstLine="480" w:firstLineChars="200"/>
        <w:rPr>
          <w:rFonts w:ascii="宋体" w:hAnsi="宋体"/>
          <w:sz w:val="24"/>
          <w:szCs w:val="24"/>
          <w:highlight w:val="none"/>
        </w:rPr>
      </w:pPr>
      <w:r>
        <w:rPr>
          <w:rFonts w:hint="eastAsia" w:ascii="宋体" w:hAnsi="宋体"/>
          <w:sz w:val="24"/>
          <w:szCs w:val="24"/>
          <w:highlight w:val="none"/>
        </w:rPr>
        <w:t>17.4.2响应性文件未按竞争性磋商文件规定密封、签署、盖章的；</w:t>
      </w:r>
    </w:p>
    <w:p>
      <w:pPr>
        <w:pStyle w:val="59"/>
        <w:spacing w:line="560" w:lineRule="exact"/>
        <w:ind w:firstLine="480" w:firstLineChars="200"/>
        <w:rPr>
          <w:rFonts w:ascii="宋体" w:hAnsi="宋体"/>
          <w:b/>
          <w:sz w:val="24"/>
          <w:szCs w:val="24"/>
          <w:highlight w:val="none"/>
        </w:rPr>
      </w:pPr>
      <w:r>
        <w:rPr>
          <w:rFonts w:hint="eastAsia" w:ascii="宋体" w:hAnsi="宋体"/>
          <w:sz w:val="24"/>
          <w:szCs w:val="24"/>
          <w:highlight w:val="none"/>
        </w:rPr>
        <w:t>17.4.3一个供应商不止递交一套响应性文件的。</w:t>
      </w:r>
    </w:p>
    <w:p>
      <w:pPr>
        <w:spacing w:line="720" w:lineRule="auto"/>
        <w:jc w:val="center"/>
        <w:rPr>
          <w:rFonts w:ascii="宋体" w:hAnsi="宋体" w:cs="宋体"/>
          <w:b/>
          <w:sz w:val="24"/>
          <w:highlight w:val="none"/>
        </w:rPr>
      </w:pPr>
      <w:r>
        <w:rPr>
          <w:rFonts w:hint="eastAsia" w:ascii="宋体" w:hAnsi="宋体" w:cs="宋体"/>
          <w:b/>
          <w:sz w:val="24"/>
          <w:highlight w:val="none"/>
        </w:rPr>
        <w:t>五、竞争性磋商</w:t>
      </w:r>
    </w:p>
    <w:p>
      <w:pPr>
        <w:spacing w:line="560" w:lineRule="exact"/>
        <w:ind w:firstLine="482" w:firstLineChars="200"/>
        <w:rPr>
          <w:rFonts w:ascii="宋体" w:hAnsi="宋体" w:cs="宋体"/>
          <w:b/>
          <w:sz w:val="24"/>
          <w:highlight w:val="none"/>
          <w:lang w:val="zh-CN"/>
        </w:rPr>
      </w:pPr>
      <w:r>
        <w:rPr>
          <w:rFonts w:hint="eastAsia" w:ascii="宋体" w:hAnsi="宋体" w:cs="宋体"/>
          <w:b/>
          <w:sz w:val="24"/>
          <w:highlight w:val="none"/>
        </w:rPr>
        <w:t>18.组建</w:t>
      </w:r>
      <w:r>
        <w:rPr>
          <w:rFonts w:hint="eastAsia" w:ascii="宋体" w:hAnsi="宋体" w:cs="宋体"/>
          <w:b/>
          <w:sz w:val="24"/>
          <w:highlight w:val="none"/>
          <w:lang w:val="zh-CN"/>
        </w:rPr>
        <w:t>竞争性磋商小组</w:t>
      </w:r>
    </w:p>
    <w:p>
      <w:pPr>
        <w:spacing w:line="560" w:lineRule="exact"/>
        <w:ind w:firstLine="480" w:firstLineChars="200"/>
        <w:rPr>
          <w:rFonts w:ascii="宋体" w:hAnsi="宋体" w:cs="宋体"/>
          <w:kern w:val="0"/>
          <w:sz w:val="24"/>
          <w:highlight w:val="none"/>
        </w:rPr>
      </w:pPr>
      <w:r>
        <w:rPr>
          <w:rFonts w:hint="eastAsia" w:ascii="宋体" w:hAnsi="宋体" w:cs="宋体"/>
          <w:kern w:val="0"/>
          <w:sz w:val="24"/>
          <w:highlight w:val="none"/>
        </w:rPr>
        <w:t>18.1采购人根据采购项目的特点依法组建竞争性磋商小组。</w:t>
      </w:r>
    </w:p>
    <w:p>
      <w:pPr>
        <w:spacing w:line="560" w:lineRule="exact"/>
        <w:ind w:firstLine="480" w:firstLineChars="200"/>
        <w:rPr>
          <w:rFonts w:ascii="宋体" w:hAnsi="宋体" w:cs="宋体"/>
          <w:kern w:val="0"/>
          <w:sz w:val="24"/>
          <w:highlight w:val="none"/>
        </w:rPr>
      </w:pPr>
      <w:r>
        <w:rPr>
          <w:rFonts w:hint="eastAsia" w:ascii="宋体" w:hAnsi="宋体" w:cs="宋体"/>
          <w:kern w:val="0"/>
          <w:sz w:val="24"/>
          <w:highlight w:val="none"/>
        </w:rPr>
        <w:t>18.2竞争性磋商小组</w:t>
      </w:r>
      <w:r>
        <w:rPr>
          <w:rFonts w:hint="eastAsia" w:ascii="宋体" w:hAnsi="宋体" w:cs="宋体"/>
          <w:bCs/>
          <w:kern w:val="0"/>
          <w:sz w:val="24"/>
          <w:highlight w:val="none"/>
        </w:rPr>
        <w:t>确认竞争性磋商文件，并</w:t>
      </w:r>
      <w:r>
        <w:rPr>
          <w:rFonts w:hint="eastAsia" w:ascii="宋体" w:hAnsi="宋体" w:cs="宋体"/>
          <w:kern w:val="0"/>
          <w:sz w:val="24"/>
          <w:highlight w:val="none"/>
        </w:rPr>
        <w:t>负责具体评审事务，根据有关法律法规和竞争性磋商文件规定的评审程序，按照评审方法及评审标准独立履行竞争性磋商小组职责。</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19.资格性和符合性审查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exact"/>
        <w:ind w:firstLine="480" w:firstLineChars="200"/>
        <w:rPr>
          <w:rFonts w:ascii="宋体" w:hAnsi="宋体" w:cs="宋体"/>
          <w:b/>
          <w:bCs/>
          <w:sz w:val="24"/>
          <w:highlight w:val="none"/>
        </w:rPr>
      </w:pPr>
      <w:r>
        <w:rPr>
          <w:rFonts w:hint="eastAsia" w:ascii="宋体" w:hAnsi="宋体" w:cs="宋体"/>
          <w:sz w:val="24"/>
          <w:highlight w:val="none"/>
        </w:rPr>
        <w:t>19.1.1资格性审查的内容包括：竞争性磋商文件规定的供应商资格条件；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19.2.1符合性审查的内容包括：</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（1）响应性文件的有效性(签署情况等)；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（2）响应性文件的完整性；</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（3）对竞争性磋商文件的响应程度（是否存在重大负偏离等）。 </w:t>
      </w:r>
    </w:p>
    <w:p>
      <w:pPr>
        <w:spacing w:line="560" w:lineRule="exact"/>
        <w:ind w:firstLine="480" w:firstLineChars="200"/>
        <w:rPr>
          <w:rFonts w:ascii="宋体" w:hAnsi="宋体" w:cs="宋体"/>
          <w:sz w:val="24"/>
          <w:highlight w:val="none"/>
        </w:rPr>
      </w:pPr>
      <w:r>
        <w:rPr>
          <w:rFonts w:hint="eastAsia" w:ascii="宋体" w:hAnsi="宋体" w:cs="宋体"/>
          <w:sz w:val="24"/>
          <w:highlight w:val="none"/>
          <w:u w:val="single"/>
        </w:rPr>
        <w:t>以上资格性审查和符合性审查的内容只要有一条不满足，则响应性文件无效，将不进入竞争性磋商程序。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注意事项：资格性、符合性证明材料见竞争性磋商文件第四章规定。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19.3实质性响应的响应性文件是指与竞争性磋商文件的全部条款、条件和规格相符，没有重大偏离；重大负偏离的认定须经竞争性磋商小组三分之二以上同意。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19.5如果响应性文件实质上没有响应竞争性磋商文件的要求，将作为无效处理，供应商不得再对响应性文件进行任何修正从而使其响应性文件成为实质上响应的文件；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19.6竞争性磋商小组审定响应性文件的响应性只根据响应性文件本身的内容而不寻求外部证据。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19.7凡有下列情况之一的，其响应性文件也被视为未实质性响应竞争性磋商文件，按照无效处理（不再参加竞争性磋商）：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19.7.1未按竞争性磋商文件规定要求</w:t>
      </w:r>
      <w:r>
        <w:rPr>
          <w:rFonts w:hint="eastAsia" w:ascii="宋体" w:hAnsi="宋体" w:cs="宋体"/>
          <w:sz w:val="24"/>
          <w:highlight w:val="none"/>
          <w:lang w:val="zh-CN"/>
        </w:rPr>
        <w:t>签署、盖章的；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19.7.2资格证明文件不全的，或不符合竞争性磋商文件中规定的资格要求的；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19.7.3供应商代表未能出具有效身份证明，或与身份不符的；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19.7.4不符合竞争性磋商文件规定的实质性要求的；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19.7.5响应性文件内容不齐全或内容虚假的；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19.7.6响应性文件的实质性内容未使用中文表述；</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19.7.7响应性文件的内容修改处未按规定签名或盖章的；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19.7.8违反法律、行政法规、竞争性磋商文件规定的其他情形的。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19.7.9不同供应商的电子投标（响应）文件上传计算机的网卡 MAC 地址、CPU 序列号和硬盘序列号等硬件信息相同的;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19.7.10不同供应商的投标（响应）文件由同一电子设备编制，打印、复印、加密或者上传的；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19.7.11不同供应商的投标（响应）文件由同一人送达或者分发，或者不同供应商联系人为同一人或不同联系人的联系电话一致的；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19.7.12不同供应商的投标（响应）文件的内容存在两处以上细节错误一致；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19.7.13不同供应商的法定代表人、委托代理人、项目经理、项目负责人等由同一个单位缴纳社会保险或者领取报酬的；</w:t>
      </w:r>
    </w:p>
    <w:p>
      <w:pPr>
        <w:spacing w:line="360" w:lineRule="auto"/>
        <w:ind w:firstLine="480" w:firstLineChars="200"/>
        <w:rPr>
          <w:highlight w:val="none"/>
        </w:rPr>
      </w:pPr>
      <w:r>
        <w:rPr>
          <w:rFonts w:hint="eastAsia" w:ascii="宋体" w:hAnsi="宋体" w:cs="宋体"/>
          <w:sz w:val="24"/>
          <w:highlight w:val="none"/>
        </w:rPr>
        <w:t>19.7.14不同供应商投标（响应）文件中法定代表人或者负责人签字出自同一人之手。</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19.8.1不同供应商的响应性文件互相混装的；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19.8.2不同供应商授权同一人作为供应商委托代理人的；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19.8.3不同供应商的响应性文件载明的项目管理成员为同一人的；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19.8.4有证据证明供应商与采购人、采购代理机构或者其他供应商串通的其他情形；</w:t>
      </w:r>
    </w:p>
    <w:p>
      <w:pPr>
        <w:spacing w:line="560" w:lineRule="exact"/>
        <w:ind w:firstLine="480" w:firstLineChars="200"/>
        <w:rPr>
          <w:rFonts w:ascii="宋体" w:hAnsi="宋体" w:cs="宋体"/>
          <w:color w:val="FF0000"/>
          <w:sz w:val="24"/>
          <w:highlight w:val="none"/>
        </w:rPr>
      </w:pPr>
      <w:r>
        <w:rPr>
          <w:rFonts w:hint="eastAsia" w:ascii="宋体" w:hAnsi="宋体" w:cs="宋体"/>
          <w:sz w:val="24"/>
          <w:highlight w:val="none"/>
        </w:rPr>
        <w:t>19.8.5竞争性磋商小组认定的其他串通情形。</w:t>
      </w:r>
    </w:p>
    <w:p>
      <w:pPr>
        <w:pStyle w:val="41"/>
        <w:rPr>
          <w:rFonts w:ascii="宋体" w:hAnsi="宋体" w:cs="宋体"/>
          <w:sz w:val="24"/>
          <w:szCs w:val="24"/>
          <w:highlight w:val="none"/>
        </w:rPr>
      </w:pPr>
    </w:p>
    <w:tbl>
      <w:tblPr>
        <w:tblStyle w:val="26"/>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pStyle w:val="76"/>
              <w:pBdr>
                <w:bottom w:val="none" w:color="auto" w:sz="0" w:space="0"/>
              </w:pBdr>
              <w:tabs>
                <w:tab w:val="clear" w:pos="4153"/>
                <w:tab w:val="clear" w:pos="8306"/>
              </w:tabs>
              <w:snapToGrid w:val="0"/>
              <w:spacing w:line="360" w:lineRule="auto"/>
              <w:ind w:right="-10"/>
              <w:textAlignment w:val="auto"/>
              <w:rPr>
                <w:rFonts w:ascii="宋体" w:hAnsi="宋体" w:cs="宋体"/>
                <w:b/>
                <w:kern w:val="2"/>
                <w:szCs w:val="24"/>
                <w:highlight w:val="none"/>
              </w:rPr>
            </w:pPr>
            <w:r>
              <w:rPr>
                <w:rFonts w:hint="eastAsia" w:ascii="宋体" w:hAnsi="宋体" w:cs="宋体"/>
                <w:b/>
                <w:kern w:val="2"/>
                <w:szCs w:val="24"/>
                <w:highlight w:val="none"/>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序号</w:t>
            </w:r>
          </w:p>
        </w:tc>
        <w:tc>
          <w:tcPr>
            <w:tcW w:w="2665" w:type="dxa"/>
            <w:tcBorders>
              <w:bottom w:val="single" w:color="auto" w:sz="4" w:space="0"/>
            </w:tcBorders>
            <w:vAlign w:val="center"/>
          </w:tcPr>
          <w:p>
            <w:pPr>
              <w:pStyle w:val="76"/>
              <w:pBdr>
                <w:bottom w:val="none" w:color="auto" w:sz="0" w:space="0"/>
              </w:pBdr>
              <w:tabs>
                <w:tab w:val="clear" w:pos="4153"/>
                <w:tab w:val="clear" w:pos="8306"/>
              </w:tabs>
              <w:snapToGrid w:val="0"/>
              <w:spacing w:line="360" w:lineRule="auto"/>
              <w:ind w:right="-10"/>
              <w:textAlignment w:val="auto"/>
              <w:rPr>
                <w:rFonts w:ascii="宋体" w:hAnsi="宋体" w:cs="宋体"/>
                <w:kern w:val="2"/>
                <w:szCs w:val="24"/>
                <w:highlight w:val="none"/>
              </w:rPr>
            </w:pPr>
            <w:r>
              <w:rPr>
                <w:rFonts w:hint="eastAsia" w:ascii="宋体" w:hAnsi="宋体" w:cs="宋体"/>
                <w:kern w:val="2"/>
                <w:szCs w:val="24"/>
                <w:highlight w:val="none"/>
              </w:rPr>
              <w:t>指标名称</w:t>
            </w:r>
          </w:p>
        </w:tc>
        <w:tc>
          <w:tcPr>
            <w:tcW w:w="1937"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指标要求</w:t>
            </w:r>
          </w:p>
        </w:tc>
        <w:tc>
          <w:tcPr>
            <w:tcW w:w="825"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是否</w:t>
            </w:r>
          </w:p>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通过</w:t>
            </w:r>
          </w:p>
        </w:tc>
        <w:tc>
          <w:tcPr>
            <w:tcW w:w="2371"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投标文件格式及</w:t>
            </w:r>
          </w:p>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营业执照</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2</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法定代表人及身份证</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3</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纳税凭证和社保证明</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4</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财务审计报告</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5</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“信用中国”“中国政府采购网”查询</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6</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投标文件签字盖章格式</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7</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合格供应商的声明函和承诺书</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8</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服务期</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9</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投标有效期</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10</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服务技术要求</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11</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其他实质性要求</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12</w:t>
            </w:r>
          </w:p>
        </w:tc>
        <w:tc>
          <w:tcPr>
            <w:tcW w:w="2665" w:type="dxa"/>
            <w:vAlign w:val="center"/>
          </w:tcPr>
          <w:p>
            <w:pPr>
              <w:spacing w:after="50" w:line="360" w:lineRule="auto"/>
              <w:ind w:right="-10"/>
              <w:jc w:val="center"/>
              <w:rPr>
                <w:rFonts w:ascii="宋体" w:hAnsi="宋体" w:cs="宋体"/>
                <w:bCs/>
                <w:sz w:val="24"/>
                <w:highlight w:val="none"/>
              </w:rPr>
            </w:pPr>
          </w:p>
        </w:tc>
        <w:tc>
          <w:tcPr>
            <w:tcW w:w="1937" w:type="dxa"/>
            <w:vAlign w:val="center"/>
          </w:tcPr>
          <w:p>
            <w:pPr>
              <w:spacing w:after="50" w:line="360" w:lineRule="auto"/>
              <w:ind w:right="-10"/>
              <w:jc w:val="center"/>
              <w:rPr>
                <w:rFonts w:ascii="宋体" w:hAnsi="宋体" w:cs="宋体"/>
                <w:sz w:val="24"/>
                <w:highlight w:val="none"/>
              </w:rPr>
            </w:pP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13</w:t>
            </w:r>
          </w:p>
        </w:tc>
        <w:tc>
          <w:tcPr>
            <w:tcW w:w="2665" w:type="dxa"/>
            <w:vAlign w:val="center"/>
          </w:tcPr>
          <w:p>
            <w:pPr>
              <w:spacing w:after="50" w:line="360" w:lineRule="auto"/>
              <w:ind w:right="-10"/>
              <w:jc w:val="center"/>
              <w:rPr>
                <w:rFonts w:ascii="宋体" w:hAnsi="宋体" w:cs="宋体"/>
                <w:sz w:val="24"/>
                <w:highlight w:val="none"/>
              </w:rPr>
            </w:pPr>
          </w:p>
        </w:tc>
        <w:tc>
          <w:tcPr>
            <w:tcW w:w="1937" w:type="dxa"/>
            <w:vAlign w:val="center"/>
          </w:tcPr>
          <w:p>
            <w:pPr>
              <w:spacing w:after="50" w:line="360" w:lineRule="auto"/>
              <w:ind w:right="-10"/>
              <w:jc w:val="center"/>
              <w:rPr>
                <w:rFonts w:ascii="宋体" w:hAnsi="宋体" w:cs="宋体"/>
                <w:sz w:val="24"/>
                <w:highlight w:val="none"/>
              </w:rPr>
            </w:pP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14</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结论</w:t>
            </w:r>
          </w:p>
        </w:tc>
        <w:tc>
          <w:tcPr>
            <w:tcW w:w="5133" w:type="dxa"/>
            <w:gridSpan w:val="3"/>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bCs/>
                <w:sz w:val="24"/>
                <w:highlight w:val="none"/>
              </w:rPr>
              <w:t>是否通过审查</w:t>
            </w:r>
          </w:p>
        </w:tc>
      </w:tr>
    </w:tbl>
    <w:p>
      <w:pPr>
        <w:pStyle w:val="41"/>
        <w:rPr>
          <w:rFonts w:ascii="宋体" w:hAnsi="宋体" w:cs="宋体"/>
          <w:sz w:val="24"/>
          <w:szCs w:val="24"/>
          <w:highlight w:val="none"/>
        </w:rPr>
      </w:pPr>
    </w:p>
    <w:p>
      <w:pPr>
        <w:pStyle w:val="41"/>
        <w:rPr>
          <w:rFonts w:ascii="宋体" w:hAnsi="宋体" w:cs="宋体"/>
          <w:sz w:val="24"/>
          <w:szCs w:val="24"/>
          <w:highlight w:val="none"/>
        </w:rPr>
      </w:pP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20.响应性文件的澄清</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20.3供应商拒不进行澄清、说明、补正的，或者不能在竞争性磋商小组规定时间内作出书面澄清、说明、补正的，其响应性文件将被作为无效处理。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20.4供应商的书面澄清材料作为响应性文件的补充。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20.5竞争性磋商小组不得接受供应商主动提出的澄清和解释。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20.6并非每个供应商都将被询问、澄清。</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21.竞争性磋商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21.1资格性审查和符合性审查合格的供应商，将进入本次竞争性磋商程序。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21.2竞争性磋商将按照供应商的签到顺序进行。</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21.3磋商内容包括：</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21.3.1按照竞争性磋商文件中商务部分的内容，对照供应商提交的响应文件逐一进行比较各项指标和要求。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21.3.2按照竞争性磋商文件中技术部分的内容，对照供应商提交的响应文件逐一进行比较各项指标和要求。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21.3.3按照竞争性磋商文件中合同条款部分的内容，对照供应商提交的响应文件逐一进行比较各项指标和要求。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21.3.4在磋商中，磋商的任何一方不得透露与磋商有关的其他供应商的技术资料及其他信息。</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21.4</w:t>
      </w:r>
      <w:r>
        <w:rPr>
          <w:rFonts w:hint="eastAsia" w:ascii="宋体" w:hAnsi="宋体" w:cs="宋体"/>
          <w:sz w:val="24"/>
          <w:highlight w:val="none"/>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21.4.1</w:t>
      </w:r>
      <w:r>
        <w:rPr>
          <w:rFonts w:hint="eastAsia" w:ascii="宋体" w:hAnsi="宋体" w:cs="宋体"/>
          <w:sz w:val="24"/>
          <w:highlight w:val="none"/>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lang w:val="zh-CN"/>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21.5报价</w:t>
      </w:r>
    </w:p>
    <w:p>
      <w:pPr>
        <w:pStyle w:val="38"/>
        <w:ind w:firstLine="480" w:firstLineChars="200"/>
        <w:rPr>
          <w:rFonts w:ascii="宋体" w:hAnsi="宋体" w:cs="宋体"/>
          <w:color w:val="FF0000"/>
          <w:sz w:val="24"/>
          <w:highlight w:val="none"/>
        </w:rPr>
      </w:pPr>
      <w:r>
        <w:rPr>
          <w:rFonts w:hint="eastAsia" w:ascii="宋体" w:hAnsi="宋体" w:cs="宋体"/>
          <w:color w:val="auto"/>
          <w:sz w:val="24"/>
          <w:highlight w:val="none"/>
          <w:lang w:val="zh-CN"/>
        </w:rPr>
        <w:t>一次报价依据</w:t>
      </w:r>
      <w:r>
        <w:rPr>
          <w:rFonts w:hint="eastAsia" w:ascii="宋体" w:hAnsi="宋体" w:cs="宋体"/>
          <w:color w:val="auto"/>
          <w:sz w:val="24"/>
          <w:highlight w:val="none"/>
        </w:rPr>
        <w:t>是</w:t>
      </w:r>
      <w:r>
        <w:rPr>
          <w:rFonts w:hint="eastAsia" w:ascii="宋体" w:hAnsi="宋体" w:cs="宋体"/>
          <w:color w:val="auto"/>
          <w:sz w:val="24"/>
          <w:highlight w:val="none"/>
          <w:lang w:val="zh-CN"/>
        </w:rPr>
        <w:t>供应商的投标函和开标记录表上的报价。</w:t>
      </w:r>
    </w:p>
    <w:p>
      <w:pPr>
        <w:pStyle w:val="38"/>
        <w:ind w:firstLine="240"/>
        <w:rPr>
          <w:rFonts w:ascii="宋体" w:hAnsi="宋体" w:cs="宋体"/>
          <w:color w:val="FF0000"/>
          <w:sz w:val="24"/>
          <w:highlight w:val="none"/>
        </w:rPr>
      </w:pPr>
    </w:p>
    <w:p>
      <w:pPr>
        <w:rPr>
          <w:rFonts w:hint="eastAsia" w:ascii="宋体" w:hAnsi="宋体" w:cs="宋体"/>
          <w:b/>
          <w:sz w:val="24"/>
          <w:highlight w:val="none"/>
        </w:rPr>
      </w:pPr>
      <w:r>
        <w:rPr>
          <w:rFonts w:hint="eastAsia" w:ascii="宋体" w:hAnsi="宋体" w:cs="宋体"/>
          <w:b/>
          <w:sz w:val="24"/>
          <w:highlight w:val="none"/>
        </w:rPr>
        <w:br w:type="page"/>
      </w:r>
    </w:p>
    <w:p>
      <w:pPr>
        <w:spacing w:line="720" w:lineRule="auto"/>
        <w:jc w:val="center"/>
        <w:rPr>
          <w:rFonts w:ascii="宋体" w:hAnsi="宋体" w:cs="宋体"/>
          <w:b/>
          <w:color w:val="0D0D0D" w:themeColor="text1" w:themeTint="F2"/>
          <w:sz w:val="24"/>
          <w:highlight w:val="none"/>
          <w14:textFill>
            <w14:solidFill>
              <w14:schemeClr w14:val="tx1">
                <w14:lumMod w14:val="95000"/>
                <w14:lumOff w14:val="5000"/>
              </w14:schemeClr>
            </w14:solidFill>
          </w14:textFill>
        </w:rPr>
      </w:pPr>
      <w:r>
        <w:rPr>
          <w:rFonts w:hint="eastAsia" w:ascii="宋体" w:hAnsi="宋体" w:cs="宋体"/>
          <w:b/>
          <w:color w:val="0D0D0D" w:themeColor="text1" w:themeTint="F2"/>
          <w:sz w:val="24"/>
          <w:highlight w:val="none"/>
          <w14:textFill>
            <w14:solidFill>
              <w14:schemeClr w14:val="tx1">
                <w14:lumMod w14:val="95000"/>
                <w14:lumOff w14:val="5000"/>
              </w14:schemeClr>
            </w14:solidFill>
          </w14:textFill>
        </w:rPr>
        <w:t>六、评定标准</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22.竞争性磋商过程及保密原则</w:t>
      </w:r>
    </w:p>
    <w:p>
      <w:pPr>
        <w:spacing w:line="460" w:lineRule="exact"/>
        <w:ind w:firstLine="480" w:firstLineChars="200"/>
        <w:rPr>
          <w:rFonts w:ascii="宋体" w:hAnsi="宋体" w:cs="宋体"/>
          <w:bCs/>
          <w:sz w:val="24"/>
          <w:highlight w:val="none"/>
        </w:rPr>
      </w:pPr>
      <w:r>
        <w:rPr>
          <w:rFonts w:hint="eastAsia" w:ascii="宋体" w:hAnsi="宋体" w:cs="宋体"/>
          <w:bCs/>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exact"/>
        <w:ind w:firstLine="480" w:firstLineChars="200"/>
        <w:rPr>
          <w:rFonts w:hint="eastAsia" w:ascii="宋体" w:hAnsi="宋体" w:cs="宋体"/>
          <w:bCs/>
          <w:sz w:val="24"/>
          <w:highlight w:val="none"/>
        </w:rPr>
      </w:pPr>
      <w:r>
        <w:rPr>
          <w:rFonts w:hint="eastAsia" w:ascii="宋体" w:hAnsi="宋体" w:cs="宋体"/>
          <w:bCs/>
          <w:sz w:val="24"/>
          <w:highlight w:val="none"/>
        </w:rPr>
        <w:t>采购</w:t>
      </w:r>
      <w:r>
        <w:rPr>
          <w:rFonts w:hint="eastAsia" w:ascii="宋体" w:hAnsi="宋体" w:eastAsia="宋体" w:cs="宋体"/>
          <w:bCs/>
          <w:sz w:val="24"/>
          <w:highlight w:val="none"/>
        </w:rPr>
        <w:t>代理机构在评标结束后1个工作日内将评标报告送采购人。采购人自收到评标报告之日起５个工作日内，在评标</w:t>
      </w:r>
      <w:r>
        <w:rPr>
          <w:rFonts w:hint="eastAsia" w:ascii="宋体" w:hAnsi="宋体" w:cs="宋体"/>
          <w:bCs/>
          <w:sz w:val="24"/>
          <w:highlight w:val="none"/>
        </w:rPr>
        <w:t>报告确定的中标候选人名单中确定中标人。</w:t>
      </w:r>
    </w:p>
    <w:p>
      <w:pPr>
        <w:pStyle w:val="15"/>
        <w:spacing w:after="0" w:line="560" w:lineRule="exact"/>
        <w:ind w:left="0" w:leftChars="0" w:firstLine="480" w:firstLineChars="200"/>
        <w:rPr>
          <w:rFonts w:hint="eastAsia" w:ascii="宋体" w:hAnsi="宋体" w:cs="宋体"/>
          <w:bCs/>
          <w:sz w:val="24"/>
          <w:highlight w:val="none"/>
        </w:rPr>
      </w:pPr>
      <w:r>
        <w:rPr>
          <w:rFonts w:hint="eastAsia" w:ascii="宋体" w:hAnsi="宋体" w:cs="宋体"/>
          <w:bCs/>
          <w:sz w:val="24"/>
          <w:highlight w:val="none"/>
        </w:rPr>
        <w:t>22.2对通过初步审查的响应文件，采用百分制综合评分法进行评价。</w:t>
      </w:r>
    </w:p>
    <w:p>
      <w:pPr>
        <w:spacing w:line="360" w:lineRule="auto"/>
        <w:ind w:right="-92" w:rightChars="-44"/>
        <w:rPr>
          <w:rFonts w:hint="eastAsia" w:ascii="宋体" w:hAnsi="宋体" w:cs="宋体"/>
          <w:bCs/>
          <w:sz w:val="24"/>
          <w:highlight w:val="none"/>
        </w:rPr>
      </w:pPr>
      <w:r>
        <w:rPr>
          <w:rFonts w:hint="eastAsia" w:ascii="宋体" w:hAnsi="宋体" w:cs="宋体"/>
          <w:sz w:val="24"/>
          <w:highlight w:val="none"/>
        </w:rPr>
        <w:t>评标方法：</w:t>
      </w:r>
    </w:p>
    <w:tbl>
      <w:tblPr>
        <w:tblStyle w:val="26"/>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090"/>
        <w:gridCol w:w="7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188" w:type="dxa"/>
            <w:gridSpan w:val="2"/>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b/>
                <w:color w:val="auto"/>
                <w:sz w:val="21"/>
                <w:szCs w:val="21"/>
                <w:highlight w:val="none"/>
                <w:lang w:eastAsia="zh-CN"/>
              </w:rPr>
            </w:pPr>
            <w:r>
              <w:rPr>
                <w:rFonts w:hint="eastAsia" w:ascii="宋体" w:hAnsi="宋体"/>
                <w:b/>
                <w:color w:val="auto"/>
                <w:sz w:val="21"/>
                <w:szCs w:val="21"/>
                <w:highlight w:val="none"/>
                <w:lang w:val="en-US" w:eastAsia="zh-CN"/>
              </w:rPr>
              <w:t>内容</w:t>
            </w:r>
          </w:p>
        </w:tc>
        <w:tc>
          <w:tcPr>
            <w:tcW w:w="7149" w:type="dxa"/>
            <w:noWrap w:val="0"/>
            <w:vAlign w:val="center"/>
          </w:tcPr>
          <w:p>
            <w:pPr>
              <w:keepNext w:val="0"/>
              <w:keepLines w:val="0"/>
              <w:pageBreakBefore w:val="0"/>
              <w:widowControl w:val="0"/>
              <w:kinsoku/>
              <w:wordWrap/>
              <w:overflowPunct/>
              <w:topLinePunct w:val="0"/>
              <w:bidi w:val="0"/>
              <w:snapToGrid/>
              <w:spacing w:line="320" w:lineRule="exact"/>
              <w:jc w:val="left"/>
              <w:textAlignment w:val="auto"/>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评分占比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2188" w:type="dxa"/>
            <w:gridSpan w:val="2"/>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color w:val="auto"/>
                <w:sz w:val="21"/>
                <w:szCs w:val="21"/>
                <w:highlight w:val="none"/>
              </w:rPr>
            </w:pPr>
            <w:r>
              <w:rPr>
                <w:rFonts w:hint="eastAsia" w:ascii="宋体" w:hAnsi="宋体"/>
                <w:color w:val="auto"/>
                <w:sz w:val="21"/>
                <w:szCs w:val="21"/>
                <w:highlight w:val="none"/>
              </w:rPr>
              <w:t>分值构成</w:t>
            </w:r>
          </w:p>
        </w:tc>
        <w:tc>
          <w:tcPr>
            <w:tcW w:w="7149" w:type="dxa"/>
            <w:noWrap w:val="0"/>
            <w:vAlign w:val="center"/>
          </w:tcPr>
          <w:p>
            <w:pPr>
              <w:keepNext w:val="0"/>
              <w:keepLines w:val="0"/>
              <w:pageBreakBefore w:val="0"/>
              <w:widowControl w:val="0"/>
              <w:kinsoku/>
              <w:wordWrap/>
              <w:overflowPunct/>
              <w:topLinePunct w:val="0"/>
              <w:bidi w:val="0"/>
              <w:snapToGrid/>
              <w:spacing w:line="320" w:lineRule="exact"/>
              <w:textAlignment w:val="auto"/>
              <w:rPr>
                <w:rFonts w:ascii="宋体" w:hAnsi="宋体"/>
                <w:color w:val="auto"/>
                <w:sz w:val="21"/>
                <w:szCs w:val="21"/>
                <w:highlight w:val="none"/>
              </w:rPr>
            </w:pPr>
            <w:r>
              <w:rPr>
                <w:rFonts w:hint="eastAsia" w:ascii="宋体" w:hAnsi="宋体"/>
                <w:color w:val="auto"/>
                <w:sz w:val="21"/>
                <w:szCs w:val="21"/>
                <w:highlight w:val="none"/>
                <w:lang w:eastAsia="zh-CN"/>
              </w:rPr>
              <w:t>报价部分</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10</w:t>
            </w:r>
            <w:r>
              <w:rPr>
                <w:rFonts w:hint="eastAsia" w:ascii="宋体" w:hAnsi="宋体"/>
                <w:color w:val="auto"/>
                <w:sz w:val="21"/>
                <w:szCs w:val="21"/>
                <w:highlight w:val="none"/>
              </w:rPr>
              <w:t>分</w:t>
            </w:r>
          </w:p>
          <w:p>
            <w:pPr>
              <w:keepNext w:val="0"/>
              <w:keepLines w:val="0"/>
              <w:pageBreakBefore w:val="0"/>
              <w:widowControl w:val="0"/>
              <w:kinsoku/>
              <w:wordWrap/>
              <w:overflowPunct/>
              <w:topLinePunct w:val="0"/>
              <w:bidi w:val="0"/>
              <w:snapToGrid/>
              <w:spacing w:line="320" w:lineRule="exact"/>
              <w:textAlignment w:val="auto"/>
              <w:rPr>
                <w:rFonts w:hint="eastAsia" w:ascii="宋体" w:hAnsi="宋体"/>
                <w:color w:val="auto"/>
                <w:sz w:val="21"/>
                <w:szCs w:val="21"/>
                <w:highlight w:val="none"/>
              </w:rPr>
            </w:pPr>
            <w:r>
              <w:rPr>
                <w:rFonts w:hint="eastAsia" w:ascii="宋体" w:hAnsi="宋体"/>
                <w:color w:val="auto"/>
                <w:sz w:val="21"/>
                <w:szCs w:val="21"/>
                <w:highlight w:val="none"/>
              </w:rPr>
              <w:t>商务部分：</w:t>
            </w:r>
            <w:r>
              <w:rPr>
                <w:rFonts w:hint="eastAsia" w:ascii="宋体" w:hAnsi="宋体"/>
                <w:color w:val="auto"/>
                <w:sz w:val="21"/>
                <w:szCs w:val="21"/>
                <w:highlight w:val="none"/>
                <w:lang w:val="en-US" w:eastAsia="zh-CN"/>
              </w:rPr>
              <w:t>40</w:t>
            </w:r>
            <w:r>
              <w:rPr>
                <w:rFonts w:hint="eastAsia" w:ascii="宋体" w:hAnsi="宋体"/>
                <w:color w:val="auto"/>
                <w:sz w:val="21"/>
                <w:szCs w:val="21"/>
                <w:highlight w:val="none"/>
              </w:rPr>
              <w:t>分</w:t>
            </w:r>
          </w:p>
          <w:p>
            <w:pPr>
              <w:keepNext w:val="0"/>
              <w:keepLines w:val="0"/>
              <w:pageBreakBefore w:val="0"/>
              <w:widowControl w:val="0"/>
              <w:kinsoku/>
              <w:wordWrap/>
              <w:overflowPunct/>
              <w:topLinePunct w:val="0"/>
              <w:bidi w:val="0"/>
              <w:snapToGrid/>
              <w:spacing w:line="320" w:lineRule="exact"/>
              <w:textAlignment w:val="auto"/>
              <w:rPr>
                <w:rFonts w:ascii="宋体" w:hAnsi="宋体"/>
                <w:color w:val="auto"/>
                <w:sz w:val="21"/>
                <w:szCs w:val="21"/>
                <w:highlight w:val="none"/>
              </w:rPr>
            </w:pPr>
            <w:r>
              <w:rPr>
                <w:rFonts w:hint="eastAsia" w:ascii="宋体" w:hAnsi="宋体"/>
                <w:color w:val="auto"/>
                <w:sz w:val="21"/>
                <w:szCs w:val="21"/>
                <w:highlight w:val="none"/>
              </w:rPr>
              <w:t>技术部分：</w:t>
            </w:r>
            <w:r>
              <w:rPr>
                <w:rFonts w:hint="eastAsia" w:ascii="宋体" w:hAnsi="宋体"/>
                <w:color w:val="auto"/>
                <w:sz w:val="21"/>
                <w:szCs w:val="21"/>
                <w:highlight w:val="none"/>
                <w:lang w:val="en-US" w:eastAsia="zh-CN"/>
              </w:rPr>
              <w:t>50</w:t>
            </w:r>
            <w:r>
              <w:rPr>
                <w:rFonts w:hint="eastAsia" w:ascii="宋体" w:hAnsi="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98" w:type="dxa"/>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b/>
                <w:color w:val="auto"/>
                <w:sz w:val="21"/>
                <w:szCs w:val="21"/>
                <w:highlight w:val="none"/>
              </w:rPr>
            </w:pPr>
          </w:p>
        </w:tc>
        <w:tc>
          <w:tcPr>
            <w:tcW w:w="1090" w:type="dxa"/>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b/>
                <w:color w:val="auto"/>
                <w:sz w:val="21"/>
                <w:szCs w:val="21"/>
                <w:highlight w:val="none"/>
              </w:rPr>
            </w:pPr>
            <w:r>
              <w:rPr>
                <w:rFonts w:hint="eastAsia" w:ascii="宋体" w:hAnsi="宋体"/>
                <w:b/>
                <w:color w:val="auto"/>
                <w:sz w:val="21"/>
                <w:szCs w:val="21"/>
                <w:highlight w:val="none"/>
              </w:rPr>
              <w:t>评分因素</w:t>
            </w:r>
          </w:p>
        </w:tc>
        <w:tc>
          <w:tcPr>
            <w:tcW w:w="7149" w:type="dxa"/>
            <w:noWrap w:val="0"/>
            <w:vAlign w:val="center"/>
          </w:tcPr>
          <w:p>
            <w:pPr>
              <w:keepNext w:val="0"/>
              <w:keepLines w:val="0"/>
              <w:pageBreakBefore w:val="0"/>
              <w:widowControl w:val="0"/>
              <w:kinsoku/>
              <w:wordWrap/>
              <w:overflowPunct/>
              <w:topLinePunct w:val="0"/>
              <w:bidi w:val="0"/>
              <w:snapToGrid/>
              <w:spacing w:line="320" w:lineRule="exact"/>
              <w:jc w:val="left"/>
              <w:textAlignment w:val="auto"/>
              <w:rPr>
                <w:rFonts w:ascii="宋体" w:hAnsi="宋体"/>
                <w:b/>
                <w:color w:val="auto"/>
                <w:sz w:val="21"/>
                <w:szCs w:val="21"/>
                <w:highlight w:val="none"/>
              </w:rPr>
            </w:pPr>
            <w:r>
              <w:rPr>
                <w:rFonts w:hint="eastAsia" w:ascii="宋体" w:hAnsi="宋体"/>
                <w:b/>
                <w:color w:val="auto"/>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jc w:val="center"/>
        </w:trPr>
        <w:tc>
          <w:tcPr>
            <w:tcW w:w="1098" w:type="dxa"/>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报价部分（</w:t>
            </w:r>
            <w:r>
              <w:rPr>
                <w:rFonts w:hint="eastAsia" w:ascii="宋体" w:hAnsi="宋体" w:eastAsia="宋体"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rPr>
              <w:t>分）</w:t>
            </w:r>
          </w:p>
        </w:tc>
        <w:tc>
          <w:tcPr>
            <w:tcW w:w="1090" w:type="dxa"/>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投标</w:t>
            </w:r>
            <w:r>
              <w:rPr>
                <w:rFonts w:hint="eastAsia" w:ascii="宋体" w:hAnsi="宋体" w:eastAsia="宋体" w:cs="宋体"/>
                <w:color w:val="auto"/>
                <w:kern w:val="2"/>
                <w:sz w:val="21"/>
                <w:szCs w:val="21"/>
                <w:highlight w:val="none"/>
              </w:rPr>
              <w:t>报价</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rPr>
              <w:t>分）</w:t>
            </w:r>
          </w:p>
        </w:tc>
        <w:tc>
          <w:tcPr>
            <w:tcW w:w="7149" w:type="dxa"/>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价格分应当采用低价优先法计算，即满足</w:t>
            </w:r>
            <w:r>
              <w:rPr>
                <w:rFonts w:hint="eastAsia" w:ascii="宋体" w:hAnsi="宋体" w:eastAsia="宋体" w:cs="宋体"/>
                <w:color w:val="auto"/>
                <w:kern w:val="2"/>
                <w:sz w:val="21"/>
                <w:szCs w:val="21"/>
                <w:highlight w:val="none"/>
                <w:lang w:eastAsia="zh-CN"/>
              </w:rPr>
              <w:t>竞争性磋商</w:t>
            </w:r>
            <w:r>
              <w:rPr>
                <w:rFonts w:hint="eastAsia" w:ascii="宋体" w:hAnsi="宋体" w:eastAsia="宋体" w:cs="宋体"/>
                <w:color w:val="auto"/>
                <w:kern w:val="2"/>
                <w:sz w:val="21"/>
                <w:szCs w:val="21"/>
                <w:highlight w:val="none"/>
              </w:rPr>
              <w:t>文件要求且</w:t>
            </w:r>
            <w:r>
              <w:rPr>
                <w:rFonts w:hint="eastAsia" w:ascii="宋体" w:hAnsi="宋体" w:eastAsia="宋体" w:cs="宋体"/>
                <w:color w:val="auto"/>
                <w:kern w:val="2"/>
                <w:sz w:val="21"/>
                <w:szCs w:val="21"/>
                <w:highlight w:val="none"/>
                <w:lang w:eastAsia="zh-CN"/>
              </w:rPr>
              <w:t>最后</w:t>
            </w:r>
            <w:r>
              <w:rPr>
                <w:rFonts w:hint="eastAsia" w:ascii="宋体" w:hAnsi="宋体" w:eastAsia="宋体" w:cs="宋体"/>
                <w:color w:val="auto"/>
                <w:kern w:val="2"/>
                <w:sz w:val="21"/>
                <w:szCs w:val="21"/>
                <w:highlight w:val="none"/>
              </w:rPr>
              <w:t>投标价格最低的投标报价为评标基准价，其价格分为满分。其他投标人的价格分统一按照下列公式计算：</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　　投标报价得分=(评标基准价／投标报价)×</w:t>
            </w:r>
            <w:r>
              <w:rPr>
                <w:rFonts w:hint="eastAsia" w:ascii="宋体" w:hAnsi="宋体" w:eastAsia="宋体" w:cs="宋体"/>
                <w:color w:val="auto"/>
                <w:kern w:val="2"/>
                <w:sz w:val="21"/>
                <w:szCs w:val="21"/>
                <w:highlight w:val="none"/>
                <w:lang w:val="en-US" w:eastAsia="zh-CN"/>
              </w:rPr>
              <w:t>10</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注：价格分计算保留小数点后二位。</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备注：根据财政部、工信部关于印发《政府采购促进中小企业发展管理办法》的通知（财库〔2020〕46号 ）文件规定：</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（1）对小微企业报价给予 10%扣除，请按照《政府采购促进中小企业发展管理办法》要求提供中小企业声明函。</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（2）关于监狱企业：视同小微企业。须提供由省级以上监狱管理局、戒毒管理局（含新疆生产建设兵团）出具的属于监狱企业的证明文件，否则不考虑价格扣除。</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（3）关于残疾人福利性单位：视同小微企业。须提供完整的“残疾人福利性单位声明函”，否则在价格评审时不予考虑价格扣除。残疾人福利性单位属于小型、微型企业的，不重复享受政策。</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（4）没有提供有效证明材料的供应商将被视为不接受投标总价的扣除，用原投标总价参与评审。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1098" w:type="dxa"/>
            <w:vMerge w:val="restart"/>
            <w:tcBorders>
              <w:top w:val="single" w:color="auto" w:sz="4" w:space="0"/>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商务部分（</w:t>
            </w:r>
            <w:r>
              <w:rPr>
                <w:rFonts w:hint="eastAsia" w:ascii="宋体" w:hAnsi="宋体" w:eastAsia="宋体" w:cs="宋体"/>
                <w:color w:val="auto"/>
                <w:kern w:val="2"/>
                <w:sz w:val="21"/>
                <w:szCs w:val="21"/>
                <w:highlight w:val="none"/>
                <w:lang w:val="en-US" w:eastAsia="zh-CN"/>
              </w:rPr>
              <w:t>40</w:t>
            </w:r>
            <w:r>
              <w:rPr>
                <w:rFonts w:hint="eastAsia" w:ascii="宋体" w:hAnsi="宋体" w:eastAsia="宋体" w:cs="宋体"/>
                <w:color w:val="auto"/>
                <w:kern w:val="2"/>
                <w:sz w:val="21"/>
                <w:szCs w:val="21"/>
                <w:highlight w:val="none"/>
              </w:rPr>
              <w:t>分）</w:t>
            </w:r>
          </w:p>
        </w:tc>
        <w:tc>
          <w:tcPr>
            <w:tcW w:w="1090" w:type="dxa"/>
            <w:tcBorders>
              <w:top w:val="single" w:color="auto" w:sz="4" w:space="0"/>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类似业绩</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供应商提供自</w:t>
            </w:r>
            <w:r>
              <w:rPr>
                <w:rFonts w:hint="eastAsia" w:ascii="宋体" w:hAnsi="宋体" w:eastAsia="宋体" w:cs="宋体"/>
                <w:color w:val="auto"/>
                <w:kern w:val="2"/>
                <w:sz w:val="21"/>
                <w:szCs w:val="21"/>
                <w:highlight w:val="none"/>
                <w:lang w:val="en-US" w:eastAsia="zh-CN"/>
              </w:rPr>
              <w:t>2020</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月1日以来承担过</w:t>
            </w:r>
            <w:r>
              <w:rPr>
                <w:rFonts w:hint="eastAsia" w:ascii="宋体" w:hAnsi="宋体" w:eastAsia="宋体" w:cs="宋体"/>
                <w:color w:val="auto"/>
                <w:kern w:val="2"/>
                <w:sz w:val="21"/>
                <w:szCs w:val="21"/>
                <w:highlight w:val="none"/>
                <w:lang w:eastAsia="zh-CN"/>
              </w:rPr>
              <w:t>的</w:t>
            </w:r>
            <w:r>
              <w:rPr>
                <w:rFonts w:hint="eastAsia" w:ascii="宋体" w:hAnsi="宋体" w:eastAsia="宋体" w:cs="宋体"/>
                <w:color w:val="auto"/>
                <w:kern w:val="2"/>
                <w:sz w:val="21"/>
                <w:szCs w:val="21"/>
                <w:highlight w:val="none"/>
                <w:lang w:val="en-US" w:eastAsia="zh-CN"/>
              </w:rPr>
              <w:t>类似业绩</w:t>
            </w:r>
            <w:r>
              <w:rPr>
                <w:rFonts w:hint="eastAsia" w:ascii="宋体" w:hAnsi="宋体" w:eastAsia="宋体" w:cs="宋体"/>
                <w:color w:val="auto"/>
                <w:kern w:val="2"/>
                <w:sz w:val="21"/>
                <w:szCs w:val="21"/>
                <w:highlight w:val="none"/>
              </w:rPr>
              <w:t>的，每提供一份业绩计</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分，满分</w:t>
            </w:r>
            <w:r>
              <w:rPr>
                <w:rFonts w:hint="eastAsia" w:ascii="宋体" w:hAnsi="宋体" w:eastAsia="宋体"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rPr>
              <w:t>分。（以合同签订时间为准）</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注：</w:t>
            </w:r>
            <w:r>
              <w:rPr>
                <w:rFonts w:hint="eastAsia" w:ascii="宋体" w:hAnsi="宋体" w:eastAsia="宋体" w:cs="宋体"/>
                <w:color w:val="auto"/>
                <w:kern w:val="2"/>
                <w:sz w:val="21"/>
                <w:szCs w:val="21"/>
                <w:highlight w:val="none"/>
                <w:lang w:val="en-US" w:eastAsia="zh-CN"/>
              </w:rPr>
              <w:t>类似业绩包括营商环境优化提升、政务效能优化提升、放管服改革提升的同类项目；</w:t>
            </w:r>
            <w:r>
              <w:rPr>
                <w:rFonts w:hint="eastAsia" w:ascii="宋体" w:hAnsi="宋体" w:eastAsia="宋体" w:cs="宋体"/>
                <w:color w:val="auto"/>
                <w:kern w:val="2"/>
                <w:sz w:val="21"/>
                <w:szCs w:val="21"/>
                <w:highlight w:val="none"/>
              </w:rPr>
              <w:t>业绩</w:t>
            </w:r>
            <w:r>
              <w:rPr>
                <w:rFonts w:hint="eastAsia" w:ascii="宋体" w:hAnsi="宋体" w:eastAsia="宋体" w:cs="宋体"/>
                <w:color w:val="auto"/>
                <w:kern w:val="2"/>
                <w:sz w:val="21"/>
                <w:szCs w:val="21"/>
                <w:highlight w:val="none"/>
                <w:lang w:val="en-US" w:eastAsia="zh-CN"/>
              </w:rPr>
              <w:t>证明</w:t>
            </w:r>
            <w:r>
              <w:rPr>
                <w:rFonts w:hint="eastAsia" w:ascii="宋体" w:hAnsi="宋体" w:eastAsia="宋体" w:cs="宋体"/>
                <w:color w:val="auto"/>
                <w:kern w:val="2"/>
                <w:sz w:val="21"/>
                <w:szCs w:val="21"/>
                <w:highlight w:val="none"/>
              </w:rPr>
              <w:t>须附合同</w:t>
            </w:r>
            <w:r>
              <w:rPr>
                <w:rFonts w:hint="eastAsia" w:ascii="宋体" w:hAnsi="宋体" w:eastAsia="宋体" w:cs="宋体"/>
                <w:color w:val="auto"/>
                <w:kern w:val="2"/>
                <w:sz w:val="21"/>
                <w:szCs w:val="21"/>
                <w:highlight w:val="none"/>
                <w:lang w:eastAsia="zh-CN"/>
              </w:rPr>
              <w:t>原件扫描件</w:t>
            </w:r>
            <w:r>
              <w:rPr>
                <w:rFonts w:hint="eastAsia" w:ascii="宋体" w:hAnsi="宋体" w:eastAsia="宋体" w:cs="宋体"/>
                <w:color w:val="auto"/>
                <w:kern w:val="2"/>
                <w:sz w:val="21"/>
                <w:szCs w:val="21"/>
                <w:highlight w:val="none"/>
                <w:lang w:val="en-US" w:eastAsia="zh-CN"/>
              </w:rPr>
              <w:t>和中标通知书（或中标公告</w:t>
            </w:r>
            <w:r>
              <w:rPr>
                <w:rFonts w:hint="eastAsia" w:ascii="宋体" w:hAnsi="宋体" w:cs="宋体"/>
                <w:color w:val="auto"/>
                <w:kern w:val="2"/>
                <w:sz w:val="21"/>
                <w:szCs w:val="21"/>
                <w:highlight w:val="none"/>
                <w:lang w:val="en-US" w:eastAsia="zh-CN"/>
              </w:rPr>
              <w:t>网上截图</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否则不得分</w:t>
            </w:r>
            <w:r>
              <w:rPr>
                <w:rFonts w:hint="eastAsia" w:ascii="宋体" w:hAnsi="宋体" w:eastAsia="宋体" w:cs="宋体"/>
                <w:color w:val="auto"/>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1098" w:type="dxa"/>
            <w:vMerge w:val="continue"/>
            <w:tcBorders>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p>
        </w:tc>
        <w:tc>
          <w:tcPr>
            <w:tcW w:w="1090" w:type="dxa"/>
            <w:tcBorders>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项目团队</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（16分）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1、项目负责人拥有研究生及以上学历</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且有相关工作经验</w:t>
            </w:r>
            <w:r>
              <w:rPr>
                <w:rFonts w:hint="eastAsia" w:ascii="宋体" w:hAnsi="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rPr>
              <w:t>得4分</w:t>
            </w:r>
            <w:r>
              <w:rPr>
                <w:rFonts w:hint="eastAsia" w:ascii="宋体" w:hAnsi="宋体" w:eastAsia="宋体" w:cs="宋体"/>
                <w:color w:val="auto"/>
                <w:kern w:val="2"/>
                <w:sz w:val="21"/>
                <w:szCs w:val="21"/>
                <w:highlight w:val="none"/>
                <w:lang w:eastAsia="zh-CN"/>
              </w:rPr>
              <w:t>。（提供学历证书和业绩合同扫描件）</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不提供者不得分。</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2、</w:t>
            </w:r>
            <w:r>
              <w:rPr>
                <w:rFonts w:hint="eastAsia" w:ascii="宋体" w:hAnsi="宋体" w:cs="宋体"/>
                <w:color w:val="auto"/>
                <w:kern w:val="2"/>
                <w:sz w:val="21"/>
                <w:szCs w:val="21"/>
                <w:highlight w:val="none"/>
                <w:lang w:eastAsia="zh-CN"/>
              </w:rPr>
              <w:t>除项目</w:t>
            </w:r>
            <w:r>
              <w:rPr>
                <w:rFonts w:hint="eastAsia" w:ascii="宋体" w:hAnsi="宋体" w:eastAsia="宋体" w:cs="宋体"/>
                <w:color w:val="auto"/>
                <w:kern w:val="2"/>
                <w:sz w:val="21"/>
                <w:szCs w:val="21"/>
                <w:highlight w:val="none"/>
              </w:rPr>
              <w:t>负责人</w:t>
            </w:r>
            <w:r>
              <w:rPr>
                <w:rFonts w:hint="eastAsia" w:ascii="宋体" w:hAnsi="宋体" w:eastAsia="宋体" w:cs="宋体"/>
                <w:color w:val="auto"/>
                <w:kern w:val="2"/>
                <w:sz w:val="21"/>
                <w:szCs w:val="21"/>
                <w:highlight w:val="none"/>
                <w:lang w:eastAsia="zh-CN"/>
              </w:rPr>
              <w:t>外，</w:t>
            </w:r>
            <w:r>
              <w:rPr>
                <w:rFonts w:hint="eastAsia" w:ascii="宋体" w:hAnsi="宋体" w:eastAsia="宋体" w:cs="宋体"/>
                <w:color w:val="auto"/>
                <w:kern w:val="2"/>
                <w:sz w:val="21"/>
                <w:szCs w:val="21"/>
                <w:highlight w:val="none"/>
              </w:rPr>
              <w:t>项目</w:t>
            </w:r>
            <w:r>
              <w:rPr>
                <w:rFonts w:hint="eastAsia" w:ascii="宋体" w:hAnsi="宋体" w:eastAsia="宋体" w:cs="宋体"/>
                <w:color w:val="auto"/>
                <w:kern w:val="2"/>
                <w:sz w:val="21"/>
                <w:szCs w:val="21"/>
                <w:highlight w:val="none"/>
                <w:lang w:val="en-US" w:eastAsia="zh-CN"/>
              </w:rPr>
              <w:t>配备</w:t>
            </w:r>
            <w:r>
              <w:rPr>
                <w:rFonts w:hint="eastAsia" w:ascii="宋体" w:hAnsi="宋体" w:eastAsia="宋体" w:cs="宋体"/>
                <w:color w:val="auto"/>
                <w:kern w:val="2"/>
                <w:sz w:val="21"/>
                <w:szCs w:val="21"/>
                <w:highlight w:val="none"/>
              </w:rPr>
              <w:t>成员每有一个副高级及以上职称证书得</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分，满分</w:t>
            </w:r>
            <w:r>
              <w:rPr>
                <w:rFonts w:hint="eastAsia" w:ascii="宋体" w:hAnsi="宋体" w:eastAsia="宋体" w:cs="宋体"/>
                <w:color w:val="auto"/>
                <w:kern w:val="2"/>
                <w:sz w:val="21"/>
                <w:szCs w:val="21"/>
                <w:highlight w:val="none"/>
                <w:lang w:val="en-US" w:eastAsia="zh-CN"/>
              </w:rPr>
              <w:t>12</w:t>
            </w:r>
            <w:r>
              <w:rPr>
                <w:rFonts w:hint="eastAsia" w:ascii="宋体" w:hAnsi="宋体" w:eastAsia="宋体" w:cs="宋体"/>
                <w:color w:val="auto"/>
                <w:kern w:val="2"/>
                <w:sz w:val="21"/>
                <w:szCs w:val="21"/>
                <w:highlight w:val="none"/>
              </w:rPr>
              <w:t>分。</w:t>
            </w:r>
            <w:r>
              <w:rPr>
                <w:rFonts w:hint="eastAsia" w:ascii="宋体" w:hAnsi="宋体" w:eastAsia="宋体" w:cs="宋体"/>
                <w:color w:val="auto"/>
                <w:kern w:val="2"/>
                <w:sz w:val="21"/>
                <w:szCs w:val="21"/>
                <w:highlight w:val="none"/>
                <w:lang w:eastAsia="zh-CN"/>
              </w:rPr>
              <w:t>（提供</w:t>
            </w:r>
            <w:r>
              <w:rPr>
                <w:rFonts w:hint="eastAsia" w:ascii="宋体" w:hAnsi="宋体" w:eastAsia="宋体" w:cs="宋体"/>
                <w:color w:val="auto"/>
                <w:kern w:val="2"/>
                <w:sz w:val="21"/>
                <w:szCs w:val="21"/>
                <w:highlight w:val="none"/>
                <w:lang w:val="en-US" w:eastAsia="zh-CN"/>
              </w:rPr>
              <w:t>职称证明</w:t>
            </w:r>
            <w:r>
              <w:rPr>
                <w:rFonts w:hint="eastAsia" w:ascii="宋体" w:hAnsi="宋体" w:cs="宋体"/>
                <w:color w:val="auto"/>
                <w:kern w:val="2"/>
                <w:sz w:val="21"/>
                <w:szCs w:val="21"/>
                <w:highlight w:val="none"/>
                <w:lang w:val="en-US" w:eastAsia="zh-CN"/>
              </w:rPr>
              <w:t>资料</w:t>
            </w:r>
            <w:r>
              <w:rPr>
                <w:rFonts w:hint="eastAsia" w:ascii="宋体" w:hAnsi="宋体" w:eastAsia="宋体" w:cs="宋体"/>
                <w:color w:val="auto"/>
                <w:kern w:val="2"/>
                <w:sz w:val="21"/>
                <w:szCs w:val="21"/>
                <w:highlight w:val="none"/>
                <w:lang w:val="en-US" w:eastAsia="zh-CN"/>
              </w:rPr>
              <w:t>）</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1098" w:type="dxa"/>
            <w:vMerge w:val="continue"/>
            <w:tcBorders>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p>
        </w:tc>
        <w:tc>
          <w:tcPr>
            <w:tcW w:w="1090" w:type="dxa"/>
            <w:tcBorders>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供应商</w:t>
            </w:r>
          </w:p>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综合实力（12分）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供应商2020年1月1日以来获得市级及以上荣誉奖项，每有一项得2分，</w:t>
            </w:r>
            <w:r>
              <w:rPr>
                <w:rFonts w:hint="eastAsia" w:ascii="宋体" w:hAnsi="宋体" w:cs="宋体"/>
                <w:color w:val="auto"/>
                <w:kern w:val="2"/>
                <w:sz w:val="21"/>
                <w:szCs w:val="21"/>
                <w:highlight w:val="none"/>
                <w:lang w:val="en-US" w:eastAsia="zh-CN"/>
              </w:rPr>
              <w:t>最高得12分。</w:t>
            </w:r>
            <w:r>
              <w:rPr>
                <w:rFonts w:hint="eastAsia" w:ascii="宋体" w:hAnsi="宋体" w:eastAsia="宋体" w:cs="宋体"/>
                <w:color w:val="auto"/>
                <w:kern w:val="2"/>
                <w:sz w:val="21"/>
                <w:szCs w:val="21"/>
                <w:highlight w:val="none"/>
                <w:lang w:val="en-US" w:eastAsia="zh-CN"/>
              </w:rPr>
              <w:t>（提供荣誉证书等荣誉证明</w:t>
            </w:r>
            <w:r>
              <w:rPr>
                <w:rFonts w:hint="eastAsia" w:ascii="宋体" w:hAnsi="宋体" w:cs="宋体"/>
                <w:color w:val="auto"/>
                <w:kern w:val="2"/>
                <w:sz w:val="21"/>
                <w:szCs w:val="21"/>
                <w:highlight w:val="none"/>
                <w:lang w:val="en-US" w:eastAsia="zh-CN"/>
              </w:rPr>
              <w:t>资料</w:t>
            </w:r>
            <w:r>
              <w:rPr>
                <w:rFonts w:hint="eastAsia" w:ascii="宋体" w:hAnsi="宋体" w:eastAsia="宋体" w:cs="宋体"/>
                <w:color w:val="auto"/>
                <w:kern w:val="2"/>
                <w:sz w:val="21"/>
                <w:szCs w:val="21"/>
                <w:highlight w:val="none"/>
                <w:lang w:val="en-US" w:eastAsia="zh-CN"/>
              </w:rPr>
              <w:t>扫描件。）不提供者不得分。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098" w:type="dxa"/>
            <w:vMerge w:val="continue"/>
            <w:tcBorders>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p>
        </w:tc>
        <w:tc>
          <w:tcPr>
            <w:tcW w:w="1090" w:type="dxa"/>
            <w:tcBorders>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服务承诺（2分）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numPr>
                <w:ilvl w:val="0"/>
                <w:numId w:val="0"/>
              </w:numPr>
              <w:kinsoku/>
              <w:wordWrap/>
              <w:overflowPunct/>
              <w:topLinePunct w:val="0"/>
              <w:bidi w:val="0"/>
              <w:spacing w:after="0" w:line="320" w:lineRule="exact"/>
              <w:ind w:right="-21" w:rightChars="-1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在服务期内能够拥有快速响应机制，承诺在接到采购方服务请求后，1小时响应，48小时内上门服务满足得2分，不提供者不得分。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8"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color w:val="auto"/>
                <w:sz w:val="21"/>
                <w:szCs w:val="21"/>
                <w:highlight w:val="none"/>
              </w:rPr>
            </w:pPr>
            <w:r>
              <w:rPr>
                <w:rFonts w:hint="eastAsia" w:ascii="宋体" w:hAnsi="宋体"/>
                <w:color w:val="auto"/>
                <w:sz w:val="21"/>
                <w:szCs w:val="21"/>
                <w:highlight w:val="none"/>
              </w:rPr>
              <w:t>技术部分(</w:t>
            </w:r>
            <w:r>
              <w:rPr>
                <w:rFonts w:hint="eastAsia" w:ascii="宋体" w:hAnsi="宋体"/>
                <w:color w:val="auto"/>
                <w:sz w:val="21"/>
                <w:szCs w:val="21"/>
                <w:highlight w:val="none"/>
                <w:lang w:val="en-US" w:eastAsia="zh-CN"/>
              </w:rPr>
              <w:t>50</w:t>
            </w:r>
            <w:r>
              <w:rPr>
                <w:rFonts w:hint="eastAsia" w:ascii="宋体" w:hAnsi="宋体"/>
                <w:color w:val="auto"/>
                <w:sz w:val="21"/>
                <w:szCs w:val="21"/>
                <w:highlight w:val="none"/>
              </w:rPr>
              <w:t>分)</w:t>
            </w:r>
          </w:p>
        </w:tc>
        <w:tc>
          <w:tcPr>
            <w:tcW w:w="1090" w:type="dxa"/>
            <w:tcBorders>
              <w:top w:val="single" w:color="auto" w:sz="4" w:space="0"/>
              <w:left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对项目理解程度</w:t>
            </w:r>
          </w:p>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（15分）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供应商</w:t>
            </w:r>
            <w:r>
              <w:rPr>
                <w:rFonts w:hint="eastAsia" w:ascii="宋体" w:hAnsi="宋体" w:eastAsia="宋体" w:cs="宋体"/>
                <w:color w:val="auto"/>
                <w:kern w:val="2"/>
                <w:sz w:val="21"/>
                <w:szCs w:val="21"/>
                <w:highlight w:val="none"/>
                <w:lang w:eastAsia="zh-CN"/>
              </w:rPr>
              <w:t>能够</w:t>
            </w:r>
            <w:r>
              <w:rPr>
                <w:rFonts w:hint="eastAsia" w:ascii="宋体" w:hAnsi="宋体" w:eastAsia="宋体" w:cs="宋体"/>
                <w:color w:val="auto"/>
                <w:kern w:val="2"/>
                <w:sz w:val="21"/>
                <w:szCs w:val="21"/>
                <w:highlight w:val="none"/>
                <w:lang w:val="en-US" w:eastAsia="zh-CN"/>
              </w:rPr>
              <w:t>分别从国内外营商环境背景、营商环境优化提升的重大意义和提升目的三个方面进行理解分析。每个方面得5分，</w:t>
            </w:r>
            <w:r>
              <w:rPr>
                <w:rFonts w:hint="eastAsia" w:ascii="宋体" w:hAnsi="宋体" w:cs="宋体"/>
                <w:color w:val="auto"/>
                <w:kern w:val="2"/>
                <w:sz w:val="21"/>
                <w:szCs w:val="21"/>
                <w:highlight w:val="none"/>
                <w:lang w:val="en-US" w:eastAsia="zh-CN"/>
              </w:rPr>
              <w:t>最高得15分。</w:t>
            </w:r>
            <w:r>
              <w:rPr>
                <w:rFonts w:hint="eastAsia" w:ascii="宋体" w:hAnsi="宋体" w:eastAsia="宋体" w:cs="宋体"/>
                <w:color w:val="auto"/>
                <w:kern w:val="2"/>
                <w:sz w:val="21"/>
                <w:szCs w:val="21"/>
                <w:highlight w:val="none"/>
                <w:lang w:val="en-US" w:eastAsia="zh-CN"/>
              </w:rPr>
              <w:t>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8"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color w:val="auto"/>
                <w:sz w:val="21"/>
                <w:szCs w:val="21"/>
                <w:highlight w:val="none"/>
              </w:rPr>
            </w:pPr>
          </w:p>
        </w:tc>
        <w:tc>
          <w:tcPr>
            <w:tcW w:w="1090"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营商环境现状分析</w:t>
            </w:r>
          </w:p>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分别从河南省营商环境各指标现状和总体问题分析两个方面分别阐述营商环境现状。每个方面得5分，</w:t>
            </w:r>
            <w:r>
              <w:rPr>
                <w:rFonts w:hint="eastAsia" w:ascii="宋体" w:hAnsi="宋体" w:cs="宋体"/>
                <w:color w:val="auto"/>
                <w:kern w:val="2"/>
                <w:sz w:val="21"/>
                <w:szCs w:val="21"/>
                <w:highlight w:val="none"/>
                <w:lang w:val="en-US" w:eastAsia="zh-CN"/>
              </w:rPr>
              <w:t>最高得10分。</w:t>
            </w:r>
            <w:r>
              <w:rPr>
                <w:rFonts w:hint="eastAsia" w:ascii="宋体" w:hAnsi="宋体" w:eastAsia="宋体" w:cs="宋体"/>
                <w:color w:val="auto"/>
                <w:kern w:val="2"/>
                <w:sz w:val="21"/>
                <w:szCs w:val="21"/>
                <w:highlight w:val="none"/>
                <w:lang w:val="en-US" w:eastAsia="zh-CN"/>
              </w:rPr>
              <w:t>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8"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color w:val="auto"/>
                <w:sz w:val="21"/>
                <w:szCs w:val="21"/>
                <w:highlight w:val="none"/>
              </w:rPr>
            </w:pPr>
          </w:p>
        </w:tc>
        <w:tc>
          <w:tcPr>
            <w:tcW w:w="1090"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实施工作依据（3分）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分别从国家层级、河南省级和周口市级三类政策文件作为本项目编制工作依据,列明政策文件的文号和文件名称。每类政策文件得1分，</w:t>
            </w:r>
            <w:r>
              <w:rPr>
                <w:rFonts w:hint="eastAsia" w:ascii="宋体" w:hAnsi="宋体" w:cs="宋体"/>
                <w:color w:val="auto"/>
                <w:kern w:val="2"/>
                <w:sz w:val="21"/>
                <w:szCs w:val="21"/>
                <w:highlight w:val="none"/>
                <w:lang w:val="en-US" w:eastAsia="zh-CN"/>
              </w:rPr>
              <w:t>最高得3分。</w:t>
            </w:r>
            <w:r>
              <w:rPr>
                <w:rFonts w:hint="eastAsia" w:ascii="宋体" w:hAnsi="宋体" w:eastAsia="宋体" w:cs="宋体"/>
                <w:color w:val="auto"/>
                <w:kern w:val="2"/>
                <w:sz w:val="21"/>
                <w:szCs w:val="21"/>
                <w:highlight w:val="none"/>
                <w:lang w:val="en-US" w:eastAsia="zh-CN"/>
              </w:rPr>
              <w:t>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098"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ascii="宋体" w:hAnsi="宋体"/>
                <w:color w:val="auto"/>
                <w:sz w:val="21"/>
                <w:szCs w:val="21"/>
                <w:highlight w:val="none"/>
              </w:rPr>
            </w:pPr>
          </w:p>
        </w:tc>
        <w:tc>
          <w:tcPr>
            <w:tcW w:w="1090"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实施方案（20分）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92"/>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实施方案</w:t>
            </w:r>
            <w:r>
              <w:rPr>
                <w:rFonts w:hint="eastAsia" w:ascii="宋体" w:hAnsi="宋体" w:eastAsia="宋体" w:cs="宋体"/>
                <w:color w:val="auto"/>
                <w:kern w:val="2"/>
                <w:sz w:val="21"/>
                <w:szCs w:val="21"/>
                <w:highlight w:val="none"/>
                <w:lang w:val="en-US" w:eastAsia="zh-CN" w:bidi="ar-SA"/>
              </w:rPr>
              <w:t>应包含项目的设计思路、具体实施方案、工作进度安排、《营商环境优化提升问题清单》样例和《营商环境优化提升任务清单》样例5项内容。每项内容得4分，</w:t>
            </w:r>
            <w:r>
              <w:rPr>
                <w:rFonts w:hint="eastAsia" w:ascii="宋体" w:hAnsi="宋体" w:cs="宋体"/>
                <w:color w:val="auto"/>
                <w:kern w:val="2"/>
                <w:sz w:val="21"/>
                <w:szCs w:val="21"/>
                <w:highlight w:val="none"/>
                <w:lang w:val="en-US" w:eastAsia="zh-CN"/>
              </w:rPr>
              <w:t>最高得20分。</w:t>
            </w:r>
            <w:r>
              <w:rPr>
                <w:rFonts w:hint="eastAsia" w:ascii="宋体" w:hAnsi="宋体" w:eastAsia="宋体" w:cs="宋体"/>
                <w:color w:val="auto"/>
                <w:kern w:val="2"/>
                <w:sz w:val="21"/>
                <w:szCs w:val="21"/>
                <w:highlight w:val="none"/>
                <w:lang w:val="en-US" w:eastAsia="zh-CN"/>
              </w:rPr>
              <w:t>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8"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p>
          <w:p>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color w:val="auto"/>
                <w:sz w:val="21"/>
                <w:szCs w:val="21"/>
                <w:highlight w:val="none"/>
                <w:lang w:eastAsia="zh-CN"/>
              </w:rPr>
            </w:pPr>
          </w:p>
        </w:tc>
        <w:tc>
          <w:tcPr>
            <w:tcW w:w="1090"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质量保证措施</w:t>
            </w:r>
          </w:p>
          <w:p>
            <w:pPr>
              <w:pStyle w:val="24"/>
              <w:keepNext w:val="0"/>
              <w:keepLines w:val="0"/>
              <w:pageBreakBefore w:val="0"/>
              <w:widowControl w:val="0"/>
              <w:kinsoku/>
              <w:wordWrap/>
              <w:overflowPunct/>
              <w:topLinePunct w:val="0"/>
              <w:bidi w:val="0"/>
              <w:spacing w:after="0" w:line="320" w:lineRule="exact"/>
              <w:ind w:right="-21" w:firstLine="0" w:firstLineChars="0"/>
              <w:jc w:val="center"/>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（2分）</w:t>
            </w:r>
          </w:p>
        </w:tc>
        <w:tc>
          <w:tcPr>
            <w:tcW w:w="7149" w:type="dxa"/>
            <w:tcBorders>
              <w:top w:val="single" w:color="auto" w:sz="4" w:space="0"/>
              <w:left w:val="single" w:color="auto" w:sz="4" w:space="0"/>
              <w:bottom w:val="single" w:color="auto" w:sz="4" w:space="0"/>
              <w:right w:val="single" w:color="auto" w:sz="4" w:space="0"/>
            </w:tcBorders>
            <w:noWrap w:val="0"/>
            <w:vAlign w:val="center"/>
          </w:tcPr>
          <w:p>
            <w:pPr>
              <w:pStyle w:val="24"/>
              <w:keepNext w:val="0"/>
              <w:keepLines w:val="0"/>
              <w:pageBreakBefore w:val="0"/>
              <w:widowControl w:val="0"/>
              <w:kinsoku/>
              <w:wordWrap/>
              <w:overflowPunct/>
              <w:topLinePunct w:val="0"/>
              <w:bidi w:val="0"/>
              <w:spacing w:after="0" w:line="320" w:lineRule="exact"/>
              <w:ind w:right="-21" w:firstLine="0" w:firstLineChars="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提供质量保证措施，应包括质量保障措施和进度保障措施两方面内容。每个方面得1分，</w:t>
            </w:r>
            <w:r>
              <w:rPr>
                <w:rFonts w:hint="eastAsia" w:ascii="宋体" w:hAnsi="宋体" w:cs="宋体"/>
                <w:color w:val="auto"/>
                <w:kern w:val="2"/>
                <w:sz w:val="21"/>
                <w:szCs w:val="21"/>
                <w:highlight w:val="none"/>
                <w:lang w:val="en-US" w:eastAsia="zh-CN"/>
              </w:rPr>
              <w:t>最高得2分。</w:t>
            </w:r>
            <w:r>
              <w:rPr>
                <w:rFonts w:hint="eastAsia" w:ascii="宋体" w:hAnsi="宋体" w:eastAsia="宋体" w:cs="宋体"/>
                <w:color w:val="auto"/>
                <w:kern w:val="2"/>
                <w:sz w:val="21"/>
                <w:szCs w:val="21"/>
                <w:highlight w:val="none"/>
                <w:lang w:val="en-US" w:eastAsia="zh-CN"/>
              </w:rPr>
              <w:t>不提供者不得分。</w:t>
            </w:r>
          </w:p>
        </w:tc>
      </w:tr>
    </w:tbl>
    <w:p>
      <w:pPr>
        <w:pStyle w:val="34"/>
        <w:rPr>
          <w:rFonts w:hint="eastAsia" w:ascii="宋体" w:hAnsi="宋体" w:cs="宋体"/>
          <w:sz w:val="24"/>
          <w:highlight w:val="none"/>
        </w:rPr>
      </w:pPr>
    </w:p>
    <w:p>
      <w:pPr>
        <w:spacing w:line="560" w:lineRule="exact"/>
        <w:rPr>
          <w:rFonts w:ascii="宋体" w:hAnsi="宋体" w:cs="宋体"/>
          <w:b/>
          <w:sz w:val="24"/>
          <w:highlight w:val="none"/>
        </w:rPr>
      </w:pPr>
      <w:r>
        <w:rPr>
          <w:rFonts w:hint="eastAsia" w:ascii="宋体" w:hAnsi="宋体" w:cs="宋体"/>
          <w:b/>
          <w:sz w:val="24"/>
          <w:highlight w:val="none"/>
        </w:rPr>
        <w:t xml:space="preserve">  最终得分为磋商小组所有成员计分的算术平均值，计算保留小数点两位，小数点后第三位四舍五入。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22.3磋商小组根据综合评分情况，按照评审得分由高到低顺序推荐成交候选供应商，并编写评审报告。综合得分相同的供应商，报价较低者优先；报价也相同的，由采购人自行确定。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hAnsi="宋体" w:cs="宋体"/>
          <w:b/>
          <w:sz w:val="24"/>
          <w:highlight w:val="none"/>
        </w:rPr>
      </w:pPr>
      <w:r>
        <w:rPr>
          <w:rFonts w:hint="eastAsia" w:ascii="宋体" w:hAnsi="宋体" w:cs="宋体"/>
          <w:sz w:val="24"/>
          <w:highlight w:val="none"/>
        </w:rPr>
        <w:t>22.5若供应商的报价高于项目预算，磋商小组有权根据采购人意见及其实际情况，拒绝该报价。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22.7在竞争性磋商期间，供应商不得向竞争性磋商小组成员询问其它供应商竞争性磋商情况，不得进行旨在影响成交结果的活动。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22.8在竞争性磋商期间，采购人将有专门人员与供应商进行联络。</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23.竞争性磋商终止</w:t>
      </w:r>
    </w:p>
    <w:p>
      <w:pPr>
        <w:spacing w:line="560" w:lineRule="exact"/>
        <w:ind w:firstLine="480" w:firstLineChars="200"/>
        <w:rPr>
          <w:rFonts w:ascii="宋体" w:hAnsi="宋体" w:cs="宋体"/>
          <w:b/>
          <w:sz w:val="24"/>
          <w:highlight w:val="none"/>
        </w:rPr>
      </w:pPr>
      <w:r>
        <w:rPr>
          <w:rFonts w:hint="eastAsia" w:ascii="宋体" w:hAnsi="宋体" w:cs="宋体"/>
          <w:bCs/>
          <w:sz w:val="24"/>
          <w:highlight w:val="none"/>
        </w:rPr>
        <w:t>23.1出现下列情形之一时，采购人有权宣布竞争性磋商终止，并将理由通知所有供应商：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（1）因情况变化，不再符合竞争性磋商适用情形的；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（2）出现影响采购公正的违法、违规行为的；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（3）在采购过程中符合磋商文件要求的供应商不足3家的；</w:t>
      </w:r>
    </w:p>
    <w:p>
      <w:pPr>
        <w:spacing w:line="560" w:lineRule="exact"/>
        <w:ind w:firstLine="480" w:firstLineChars="200"/>
        <w:rPr>
          <w:rFonts w:ascii="宋体" w:hAnsi="宋体" w:cs="宋体"/>
          <w:b/>
          <w:sz w:val="24"/>
          <w:highlight w:val="none"/>
        </w:rPr>
      </w:pPr>
      <w:r>
        <w:rPr>
          <w:rFonts w:hint="eastAsia" w:ascii="宋体" w:hAnsi="宋体" w:cs="宋体"/>
          <w:sz w:val="24"/>
          <w:highlight w:val="none"/>
        </w:rPr>
        <w:t>（4）在采购活动中因重大变故，采购任务取消的；</w:t>
      </w:r>
    </w:p>
    <w:p>
      <w:pPr>
        <w:spacing w:line="720" w:lineRule="auto"/>
        <w:jc w:val="center"/>
        <w:rPr>
          <w:rFonts w:ascii="宋体" w:hAnsi="宋体" w:cs="宋体"/>
          <w:b/>
          <w:sz w:val="24"/>
          <w:highlight w:val="none"/>
        </w:rPr>
      </w:pPr>
      <w:r>
        <w:rPr>
          <w:rFonts w:hint="eastAsia" w:ascii="宋体" w:hAnsi="宋体" w:cs="宋体"/>
          <w:b/>
          <w:sz w:val="24"/>
          <w:highlight w:val="none"/>
        </w:rPr>
        <w:t>七、成交通知</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24.成交通知</w:t>
      </w:r>
    </w:p>
    <w:p>
      <w:pPr>
        <w:pStyle w:val="38"/>
        <w:spacing w:line="360" w:lineRule="auto"/>
        <w:ind w:firstLine="480" w:firstLineChars="200"/>
        <w:rPr>
          <w:rFonts w:ascii="宋体" w:hAnsi="宋体" w:cs="宋体"/>
          <w:sz w:val="24"/>
          <w:highlight w:val="none"/>
        </w:rPr>
      </w:pPr>
      <w:r>
        <w:rPr>
          <w:rFonts w:hint="eastAsia" w:ascii="宋体" w:hAnsi="宋体" w:cs="宋体"/>
          <w:sz w:val="24"/>
          <w:highlight w:val="none"/>
        </w:rPr>
        <w:t>24.1采购人应当自收到评审报告之日起5个工作日内在评审报告推荐的中标或者成交候选人中按顺序确定中标或者成交供应商。</w:t>
      </w:r>
    </w:p>
    <w:p>
      <w:pPr>
        <w:tabs>
          <w:tab w:val="left" w:pos="1800"/>
        </w:tabs>
        <w:spacing w:line="360" w:lineRule="auto"/>
        <w:ind w:firstLine="480" w:firstLineChars="200"/>
        <w:rPr>
          <w:rFonts w:ascii="宋体" w:hAnsi="宋体" w:cs="宋体"/>
          <w:sz w:val="24"/>
          <w:highlight w:val="none"/>
        </w:rPr>
      </w:pPr>
      <w:r>
        <w:rPr>
          <w:rFonts w:hint="eastAsia" w:ascii="宋体" w:hAnsi="宋体" w:cs="宋体"/>
          <w:sz w:val="24"/>
          <w:highlight w:val="none"/>
        </w:rPr>
        <w:t>24.2在发出成交公告后请采购人、中标人登录周口市公共资源交易中心网（</w:t>
      </w:r>
      <w:r>
        <w:rPr>
          <w:rFonts w:hint="eastAsia" w:ascii="宋体" w:hAnsi="宋体" w:cs="宋体"/>
          <w:sz w:val="24"/>
          <w:highlight w:val="none"/>
          <w:lang w:eastAsia="zh-CN"/>
        </w:rPr>
        <w:t>http://jyzx.zhoukou.gov.cn/</w:t>
      </w:r>
      <w:r>
        <w:rPr>
          <w:rFonts w:hint="eastAsia" w:ascii="宋体" w:hAnsi="宋体" w:cs="宋体"/>
          <w:sz w:val="24"/>
          <w:highlight w:val="none"/>
        </w:rPr>
        <w:t>）自行下载</w:t>
      </w:r>
      <w:r>
        <w:rPr>
          <w:rFonts w:hint="eastAsia" w:cs="宋体"/>
          <w:sz w:val="24"/>
          <w:highlight w:val="none"/>
        </w:rPr>
        <w:t>成交</w:t>
      </w:r>
      <w:r>
        <w:rPr>
          <w:rFonts w:hint="eastAsia" w:ascii="宋体" w:hAnsi="宋体" w:cs="宋体"/>
          <w:sz w:val="24"/>
          <w:highlight w:val="none"/>
        </w:rPr>
        <w:t>通知书。</w:t>
      </w:r>
    </w:p>
    <w:p>
      <w:pPr>
        <w:tabs>
          <w:tab w:val="left" w:pos="1800"/>
        </w:tabs>
        <w:spacing w:line="560" w:lineRule="exact"/>
        <w:ind w:firstLine="480" w:firstLineChars="200"/>
        <w:rPr>
          <w:rFonts w:ascii="宋体" w:hAnsi="宋体" w:cs="宋体"/>
          <w:sz w:val="24"/>
          <w:highlight w:val="none"/>
        </w:rPr>
      </w:pPr>
      <w:r>
        <w:rPr>
          <w:rFonts w:hint="eastAsia" w:ascii="宋体" w:hAnsi="宋体" w:cs="宋体"/>
          <w:sz w:val="24"/>
          <w:highlight w:val="none"/>
        </w:rPr>
        <w:t>24.3成交通知书对采购人和成交供应商具有同等法律效力。成交通知书发出后，采购人改变成交结果，或者成交供应商放弃成交，应当承担相应的法律责任。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cs="宋体"/>
          <w:sz w:val="24"/>
          <w:highlight w:val="none"/>
        </w:rPr>
      </w:pPr>
      <w:r>
        <w:rPr>
          <w:rFonts w:hint="eastAsia" w:ascii="宋体" w:hAnsi="宋体" w:cs="宋体"/>
          <w:b/>
          <w:sz w:val="24"/>
          <w:highlight w:val="none"/>
        </w:rPr>
        <w:t>八、合同授予</w:t>
      </w:r>
    </w:p>
    <w:p>
      <w:pPr>
        <w:tabs>
          <w:tab w:val="left" w:pos="1620"/>
        </w:tabs>
        <w:spacing w:line="560" w:lineRule="exact"/>
        <w:ind w:firstLine="482" w:firstLineChars="200"/>
        <w:rPr>
          <w:rFonts w:ascii="宋体" w:hAnsi="宋体" w:cs="宋体"/>
          <w:b/>
          <w:sz w:val="24"/>
          <w:highlight w:val="none"/>
        </w:rPr>
      </w:pPr>
      <w:r>
        <w:rPr>
          <w:rFonts w:hint="eastAsia" w:ascii="宋体" w:hAnsi="宋体" w:cs="宋体"/>
          <w:b/>
          <w:sz w:val="24"/>
          <w:highlight w:val="none"/>
        </w:rPr>
        <w:t>25.签订合同及合同的执行</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25.1采购人、成交供应商按照竞争性磋商文件确定的合同文本签订政府采购合同。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承诺，未提供承诺的供应商将拒绝其参与本次政府采购活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25.2采购人不得向成交供应商提出超过竞争性磋商文件以外的任何要求作为签订合同的条件，不得与成交供应商订立背离竞争性磋商文件确定的合同文本协议。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720" w:lineRule="auto"/>
        <w:jc w:val="center"/>
        <w:rPr>
          <w:rFonts w:ascii="宋体" w:hAnsi="宋体" w:cs="宋体"/>
          <w:b/>
          <w:sz w:val="24"/>
          <w:highlight w:val="none"/>
        </w:rPr>
      </w:pPr>
      <w:r>
        <w:rPr>
          <w:rFonts w:hint="eastAsia" w:ascii="宋体" w:hAnsi="宋体" w:cs="宋体"/>
          <w:b/>
          <w:sz w:val="24"/>
          <w:highlight w:val="none"/>
        </w:rPr>
        <w:t>九、质疑处理</w:t>
      </w:r>
    </w:p>
    <w:p>
      <w:pPr>
        <w:pStyle w:val="3"/>
        <w:spacing w:line="560" w:lineRule="exact"/>
        <w:ind w:firstLine="482" w:firstLineChars="200"/>
        <w:jc w:val="both"/>
        <w:rPr>
          <w:rFonts w:ascii="宋体" w:hAnsi="宋体" w:cs="宋体"/>
          <w:b/>
          <w:sz w:val="24"/>
          <w:highlight w:val="none"/>
        </w:rPr>
      </w:pPr>
      <w:r>
        <w:rPr>
          <w:rFonts w:hint="eastAsia" w:ascii="宋体" w:hAnsi="宋体" w:cs="宋体"/>
          <w:b/>
          <w:sz w:val="24"/>
          <w:highlight w:val="none"/>
        </w:rPr>
        <w:t>26.质疑程序及处理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26.1</w:t>
      </w:r>
      <w:r>
        <w:rPr>
          <w:rFonts w:hint="eastAsia" w:ascii="宋体" w:hAnsi="宋体" w:cs="宋体"/>
          <w:bCs/>
          <w:sz w:val="24"/>
          <w:highlight w:val="none"/>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26.2采购人在收到供应商的书面质疑后七个工作日内做出答复，并以书面形式通知质疑供应商和其他供应商，但答复内容不得涉及商业秘密。</w:t>
      </w:r>
    </w:p>
    <w:p>
      <w:pPr>
        <w:spacing w:line="560" w:lineRule="exact"/>
        <w:ind w:firstLine="480" w:firstLineChars="200"/>
        <w:rPr>
          <w:rFonts w:ascii="宋体" w:hAnsi="宋体" w:cs="宋体"/>
          <w:bCs/>
          <w:sz w:val="24"/>
          <w:highlight w:val="none"/>
        </w:rPr>
      </w:pPr>
      <w:r>
        <w:rPr>
          <w:rFonts w:hint="eastAsia" w:ascii="宋体" w:hAnsi="宋体" w:cs="宋体"/>
          <w:sz w:val="24"/>
          <w:highlight w:val="none"/>
        </w:rPr>
        <w:t>26.3</w:t>
      </w:r>
      <w:r>
        <w:rPr>
          <w:rFonts w:hint="eastAsia" w:ascii="宋体" w:hAnsi="宋体" w:cs="宋体"/>
          <w:bCs/>
          <w:sz w:val="24"/>
          <w:highlight w:val="none"/>
        </w:rPr>
        <w:t>质疑供应商行使质疑权时，必须遵守“实事求是”和“谨慎性”原则，承担使用虚假材料或恶意方式质疑的法律责任，</w:t>
      </w:r>
      <w:r>
        <w:rPr>
          <w:rFonts w:hint="eastAsia" w:ascii="宋体" w:hAnsi="宋体" w:cs="宋体"/>
          <w:sz w:val="24"/>
          <w:highlight w:val="none"/>
        </w:rPr>
        <w:t>采购人</w:t>
      </w:r>
      <w:r>
        <w:rPr>
          <w:rFonts w:hint="eastAsia" w:ascii="宋体" w:hAnsi="宋体" w:cs="宋体"/>
          <w:bCs/>
          <w:sz w:val="24"/>
          <w:highlight w:val="none"/>
        </w:rPr>
        <w:t>将遵循“谁过错谁负担”的原则，由过错方提交相关的调查论证费用。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exact"/>
        <w:rPr>
          <w:rFonts w:ascii="宋体" w:hAnsi="宋体" w:cs="宋体"/>
          <w:sz w:val="24"/>
          <w:highlight w:val="none"/>
        </w:rPr>
        <w:sectPr>
          <w:footerReference r:id="rId4" w:type="default"/>
          <w:pgSz w:w="11907" w:h="16840"/>
          <w:pgMar w:top="2098" w:right="1474" w:bottom="1985" w:left="1588" w:header="851" w:footer="992" w:gutter="0"/>
          <w:pgNumType w:fmt="decimal" w:start="1"/>
          <w:cols w:space="720" w:num="1"/>
          <w:docGrid w:type="lines" w:linePitch="312" w:charSpace="0"/>
        </w:sectPr>
      </w:pPr>
    </w:p>
    <w:p>
      <w:pPr>
        <w:jc w:val="center"/>
        <w:rPr>
          <w:rFonts w:ascii="宋体" w:hAnsi="宋体" w:cs="宋体"/>
          <w:b/>
          <w:color w:val="auto"/>
          <w:sz w:val="24"/>
          <w:highlight w:val="none"/>
        </w:rPr>
      </w:pPr>
      <w:r>
        <w:rPr>
          <w:rFonts w:hint="eastAsia" w:ascii="宋体" w:hAnsi="宋体" w:cs="宋体"/>
          <w:b/>
          <w:color w:val="auto"/>
          <w:sz w:val="24"/>
          <w:highlight w:val="none"/>
        </w:rPr>
        <w:t>第三章 采购项目内容及要求</w:t>
      </w:r>
    </w:p>
    <w:p>
      <w:pPr>
        <w:spacing w:line="480" w:lineRule="auto"/>
        <w:jc w:val="both"/>
        <w:rPr>
          <w:rStyle w:val="70"/>
          <w:rFonts w:hint="eastAsia" w:ascii="宋体" w:hAnsi="宋体" w:cs="宋体"/>
          <w:b/>
          <w:bCs/>
          <w:color w:val="auto"/>
          <w:sz w:val="24"/>
          <w:highlight w:val="none"/>
          <w:lang w:val="zh-CN"/>
        </w:rPr>
      </w:pPr>
      <w:r>
        <w:rPr>
          <w:rStyle w:val="70"/>
          <w:rFonts w:hint="eastAsia" w:ascii="宋体" w:hAnsi="宋体" w:cs="宋体"/>
          <w:b/>
          <w:bCs/>
          <w:color w:val="auto"/>
          <w:sz w:val="24"/>
          <w:highlight w:val="none"/>
        </w:rPr>
        <w:t>1、</w:t>
      </w:r>
      <w:r>
        <w:rPr>
          <w:rStyle w:val="70"/>
          <w:rFonts w:hint="eastAsia" w:ascii="宋体" w:hAnsi="宋体" w:cs="宋体"/>
          <w:b/>
          <w:bCs/>
          <w:color w:val="auto"/>
          <w:sz w:val="24"/>
          <w:highlight w:val="none"/>
          <w:lang w:val="zh-CN"/>
        </w:rPr>
        <w:t>本项目服务内容：</w:t>
      </w:r>
    </w:p>
    <w:p>
      <w:pPr>
        <w:spacing w:line="560" w:lineRule="exact"/>
        <w:ind w:firstLine="480" w:firstLineChars="200"/>
        <w:rPr>
          <w:rFonts w:hint="eastAsia" w:ascii="宋体" w:hAnsi="宋体" w:cs="宋体"/>
          <w:sz w:val="24"/>
          <w:highlight w:val="none"/>
          <w:lang w:val="zh-CN" w:eastAsia="zh-CN"/>
        </w:rPr>
      </w:pPr>
      <w:r>
        <w:rPr>
          <w:rFonts w:hint="eastAsia" w:ascii="宋体" w:hAnsi="宋体" w:cs="宋体"/>
          <w:sz w:val="24"/>
          <w:highlight w:val="none"/>
          <w:lang w:val="zh-CN" w:eastAsia="zh-CN"/>
        </w:rPr>
        <w:t>本项目以提升市场主体获得感和满意度为出发点，重点从沈丘县</w:t>
      </w:r>
      <w:r>
        <w:rPr>
          <w:rFonts w:hint="eastAsia" w:ascii="宋体" w:hAnsi="宋体" w:cs="宋体"/>
          <w:sz w:val="24"/>
          <w:highlight w:val="none"/>
          <w:lang w:val="zh-CN"/>
        </w:rPr>
        <w:t>市场监管</w:t>
      </w:r>
      <w:r>
        <w:rPr>
          <w:rFonts w:hint="eastAsia" w:ascii="宋体" w:hAnsi="宋体" w:cs="宋体"/>
          <w:sz w:val="24"/>
          <w:highlight w:val="none"/>
          <w:lang w:val="zh-CN" w:eastAsia="zh-CN"/>
        </w:rPr>
        <w:t>、办理建筑许可、登记财产、获得信贷、政务服务等角度开展沈丘县营商环境提升的顶层设计，提出改革创新的建议。具体服务内容：</w:t>
      </w:r>
    </w:p>
    <w:p>
      <w:pPr>
        <w:spacing w:line="560" w:lineRule="exact"/>
        <w:ind w:firstLine="480" w:firstLineChars="200"/>
        <w:rPr>
          <w:rFonts w:hint="eastAsia" w:ascii="宋体" w:hAnsi="宋体" w:cs="宋体"/>
          <w:sz w:val="24"/>
          <w:highlight w:val="none"/>
          <w:lang w:val="zh-CN"/>
        </w:rPr>
      </w:pPr>
      <w:r>
        <w:rPr>
          <w:rFonts w:hint="eastAsia" w:ascii="宋体" w:hAnsi="宋体" w:cs="宋体"/>
          <w:sz w:val="24"/>
          <w:highlight w:val="none"/>
          <w:lang w:val="en-US" w:eastAsia="zh-CN"/>
        </w:rPr>
        <w:t>(1)</w:t>
      </w:r>
      <w:r>
        <w:rPr>
          <w:rFonts w:hint="eastAsia" w:ascii="宋体" w:hAnsi="宋体" w:cs="宋体"/>
          <w:sz w:val="24"/>
          <w:highlight w:val="none"/>
          <w:lang w:val="zh-CN" w:eastAsia="zh-CN"/>
        </w:rPr>
        <w:t>制定营商环境</w:t>
      </w:r>
      <w:r>
        <w:rPr>
          <w:rFonts w:hint="eastAsia" w:ascii="宋体" w:hAnsi="宋体" w:cs="宋体"/>
          <w:sz w:val="24"/>
          <w:highlight w:val="none"/>
          <w:lang w:val="zh-CN"/>
        </w:rPr>
        <w:t>提升方案</w:t>
      </w:r>
      <w:r>
        <w:rPr>
          <w:rFonts w:hint="eastAsia" w:ascii="宋体" w:hAnsi="宋体" w:cs="宋体"/>
          <w:sz w:val="24"/>
          <w:highlight w:val="none"/>
          <w:lang w:val="zh-CN" w:eastAsia="zh-CN"/>
        </w:rPr>
        <w:t>。根据国家、河南省、周口市改革要求，对沈丘县营商环境提升的总体思路和统筹安排进行指导，协助沈丘县明晰 2024年营商环境提升的工作计划、工作重点等顶层设计</w:t>
      </w:r>
      <w:r>
        <w:rPr>
          <w:rFonts w:hint="eastAsia" w:ascii="宋体" w:hAnsi="宋体" w:cs="宋体"/>
          <w:sz w:val="24"/>
          <w:highlight w:val="none"/>
          <w:lang w:val="zh-CN"/>
        </w:rPr>
        <w:t>，形成</w:t>
      </w:r>
      <w:r>
        <w:rPr>
          <w:rFonts w:hint="eastAsia" w:ascii="宋体" w:hAnsi="宋体" w:cs="宋体"/>
          <w:sz w:val="24"/>
          <w:highlight w:val="none"/>
          <w:lang w:val="zh-CN" w:eastAsia="zh-CN"/>
        </w:rPr>
        <w:t>成果文件</w:t>
      </w:r>
      <w:r>
        <w:rPr>
          <w:rFonts w:hint="eastAsia" w:ascii="宋体" w:hAnsi="宋体" w:cs="宋体"/>
          <w:sz w:val="24"/>
          <w:highlight w:val="none"/>
          <w:lang w:val="zh-CN"/>
        </w:rPr>
        <w:t>《沈丘县2024年</w:t>
      </w:r>
      <w:r>
        <w:rPr>
          <w:rFonts w:hint="eastAsia" w:ascii="宋体" w:hAnsi="宋体" w:cs="宋体"/>
          <w:sz w:val="24"/>
          <w:highlight w:val="none"/>
          <w:lang w:val="zh-CN" w:eastAsia="zh-CN"/>
        </w:rPr>
        <w:t>营商环境</w:t>
      </w:r>
      <w:r>
        <w:rPr>
          <w:rFonts w:hint="eastAsia" w:ascii="宋体" w:hAnsi="宋体" w:cs="宋体"/>
          <w:sz w:val="24"/>
          <w:highlight w:val="none"/>
          <w:lang w:val="zh-CN"/>
        </w:rPr>
        <w:t>提升方案》。</w:t>
      </w:r>
    </w:p>
    <w:p>
      <w:pPr>
        <w:spacing w:line="560" w:lineRule="exact"/>
        <w:ind w:firstLine="480" w:firstLineChars="200"/>
        <w:rPr>
          <w:rFonts w:hint="eastAsia" w:ascii="宋体" w:hAnsi="宋体" w:cs="宋体"/>
          <w:sz w:val="24"/>
          <w:highlight w:val="none"/>
          <w:lang w:val="zh-CN"/>
        </w:rPr>
      </w:pPr>
      <w:r>
        <w:rPr>
          <w:rFonts w:hint="eastAsia" w:ascii="宋体" w:hAnsi="宋体" w:cs="宋体"/>
          <w:sz w:val="24"/>
          <w:highlight w:val="none"/>
          <w:lang w:val="en-US" w:eastAsia="zh-CN"/>
        </w:rPr>
        <w:t>(2)</w:t>
      </w:r>
      <w:r>
        <w:rPr>
          <w:rFonts w:hint="eastAsia" w:ascii="宋体" w:hAnsi="宋体" w:cs="宋体"/>
          <w:sz w:val="24"/>
          <w:highlight w:val="none"/>
          <w:lang w:val="zh-CN" w:eastAsia="zh-CN"/>
        </w:rPr>
        <w:t>建立营商环境</w:t>
      </w:r>
      <w:r>
        <w:rPr>
          <w:rFonts w:hint="eastAsia" w:ascii="宋体" w:hAnsi="宋体" w:cs="宋体"/>
          <w:sz w:val="24"/>
          <w:highlight w:val="none"/>
          <w:lang w:val="zh-CN"/>
        </w:rPr>
        <w:t>提升</w:t>
      </w:r>
      <w:r>
        <w:rPr>
          <w:rFonts w:hint="eastAsia" w:ascii="宋体" w:hAnsi="宋体" w:cs="宋体"/>
          <w:sz w:val="24"/>
          <w:highlight w:val="none"/>
          <w:lang w:val="zh-CN" w:eastAsia="zh-CN"/>
        </w:rPr>
        <w:t>的任务清单。</w:t>
      </w:r>
      <w:r>
        <w:rPr>
          <w:rFonts w:hint="eastAsia" w:ascii="宋体" w:hAnsi="宋体" w:cs="宋体"/>
          <w:sz w:val="24"/>
          <w:highlight w:val="none"/>
          <w:lang w:val="zh-CN"/>
        </w:rPr>
        <w:t>根据</w:t>
      </w:r>
      <w:r>
        <w:rPr>
          <w:rFonts w:hint="eastAsia" w:ascii="宋体" w:hAnsi="宋体" w:cs="宋体"/>
          <w:sz w:val="24"/>
          <w:highlight w:val="none"/>
          <w:lang w:val="zh-CN" w:eastAsia="zh-CN"/>
        </w:rPr>
        <w:t>沈丘县营商环境</w:t>
      </w:r>
      <w:r>
        <w:rPr>
          <w:rFonts w:hint="eastAsia" w:ascii="宋体" w:hAnsi="宋体" w:cs="宋体"/>
          <w:sz w:val="24"/>
          <w:highlight w:val="none"/>
          <w:lang w:val="zh-CN"/>
        </w:rPr>
        <w:t>现状，重点从市场监管</w:t>
      </w:r>
      <w:r>
        <w:rPr>
          <w:rFonts w:hint="eastAsia" w:ascii="宋体" w:hAnsi="宋体" w:cs="宋体"/>
          <w:sz w:val="24"/>
          <w:highlight w:val="none"/>
          <w:lang w:val="zh-CN" w:eastAsia="zh-CN"/>
        </w:rPr>
        <w:t>、办理建筑许可、登记财产、获得信贷</w:t>
      </w:r>
      <w:r>
        <w:rPr>
          <w:rFonts w:hint="eastAsia" w:ascii="宋体" w:hAnsi="宋体" w:cs="宋体"/>
          <w:sz w:val="24"/>
          <w:highlight w:val="none"/>
          <w:lang w:val="zh-CN"/>
        </w:rPr>
        <w:t>等角度，系统梳理</w:t>
      </w:r>
      <w:r>
        <w:rPr>
          <w:rFonts w:hint="eastAsia" w:ascii="宋体" w:hAnsi="宋体" w:cs="宋体"/>
          <w:sz w:val="24"/>
          <w:highlight w:val="none"/>
          <w:lang w:val="zh-CN" w:eastAsia="zh-CN"/>
        </w:rPr>
        <w:t>出</w:t>
      </w:r>
      <w:r>
        <w:rPr>
          <w:rFonts w:hint="eastAsia" w:ascii="宋体" w:hAnsi="宋体" w:cs="宋体"/>
          <w:sz w:val="24"/>
          <w:highlight w:val="none"/>
          <w:lang w:val="zh-CN"/>
        </w:rPr>
        <w:t>本地区</w:t>
      </w:r>
      <w:r>
        <w:rPr>
          <w:rFonts w:hint="eastAsia" w:ascii="宋体" w:hAnsi="宋体" w:cs="宋体"/>
          <w:sz w:val="24"/>
          <w:highlight w:val="none"/>
          <w:lang w:val="zh-CN" w:eastAsia="zh-CN"/>
        </w:rPr>
        <w:t>营商环境</w:t>
      </w:r>
      <w:r>
        <w:rPr>
          <w:rFonts w:hint="eastAsia" w:ascii="宋体" w:hAnsi="宋体" w:cs="宋体"/>
          <w:sz w:val="24"/>
          <w:highlight w:val="none"/>
          <w:lang w:val="zh-CN"/>
        </w:rPr>
        <w:t>中存在的问题，</w:t>
      </w:r>
      <w:r>
        <w:rPr>
          <w:rFonts w:hint="eastAsia" w:ascii="宋体" w:hAnsi="宋体" w:cs="宋体"/>
          <w:sz w:val="24"/>
          <w:highlight w:val="none"/>
          <w:lang w:val="zh-CN" w:eastAsia="zh-CN"/>
        </w:rPr>
        <w:t>提出营商环境提升的整改措施，</w:t>
      </w:r>
      <w:r>
        <w:rPr>
          <w:rFonts w:hint="eastAsia" w:ascii="宋体" w:hAnsi="宋体" w:cs="宋体"/>
          <w:sz w:val="24"/>
          <w:highlight w:val="none"/>
          <w:lang w:val="zh-CN"/>
        </w:rPr>
        <w:t>并形成</w:t>
      </w:r>
      <w:r>
        <w:rPr>
          <w:rFonts w:hint="eastAsia" w:ascii="宋体" w:hAnsi="宋体" w:cs="宋体"/>
          <w:sz w:val="24"/>
          <w:highlight w:val="none"/>
          <w:lang w:val="zh-CN" w:eastAsia="zh-CN"/>
        </w:rPr>
        <w:t>成果文件</w:t>
      </w:r>
      <w:r>
        <w:rPr>
          <w:rFonts w:hint="eastAsia" w:ascii="宋体" w:hAnsi="宋体" w:cs="宋体"/>
          <w:sz w:val="24"/>
          <w:highlight w:val="none"/>
          <w:lang w:val="zh-CN"/>
        </w:rPr>
        <w:t>《</w:t>
      </w:r>
      <w:r>
        <w:rPr>
          <w:rFonts w:hint="eastAsia" w:ascii="宋体" w:hAnsi="宋体" w:cs="宋体"/>
          <w:sz w:val="24"/>
          <w:highlight w:val="none"/>
          <w:lang w:val="zh-CN" w:eastAsia="zh-CN"/>
        </w:rPr>
        <w:t>沈丘县营商环境提升</w:t>
      </w:r>
      <w:r>
        <w:rPr>
          <w:rFonts w:hint="eastAsia" w:ascii="宋体" w:hAnsi="宋体" w:cs="宋体"/>
          <w:sz w:val="24"/>
          <w:highlight w:val="none"/>
          <w:lang w:val="zh-CN"/>
        </w:rPr>
        <w:t>问题清单</w:t>
      </w:r>
      <w:r>
        <w:rPr>
          <w:rFonts w:hint="eastAsia" w:ascii="宋体" w:hAnsi="宋体" w:cs="宋体"/>
          <w:sz w:val="24"/>
          <w:highlight w:val="none"/>
          <w:lang w:val="zh-CN" w:eastAsia="zh-CN"/>
        </w:rPr>
        <w:t>及整改建议</w:t>
      </w:r>
      <w:r>
        <w:rPr>
          <w:rFonts w:hint="eastAsia" w:ascii="宋体" w:hAnsi="宋体" w:cs="宋体"/>
          <w:sz w:val="24"/>
          <w:highlight w:val="none"/>
          <w:lang w:val="zh-CN"/>
        </w:rPr>
        <w:t>》</w:t>
      </w:r>
      <w:r>
        <w:rPr>
          <w:rFonts w:hint="eastAsia" w:ascii="宋体" w:hAnsi="宋体" w:cs="宋体"/>
          <w:sz w:val="24"/>
          <w:highlight w:val="none"/>
          <w:lang w:val="zh-CN" w:eastAsia="zh-CN"/>
        </w:rPr>
        <w:t>。</w:t>
      </w:r>
    </w:p>
    <w:p>
      <w:pPr>
        <w:spacing w:line="560" w:lineRule="exact"/>
        <w:ind w:firstLine="480" w:firstLineChars="200"/>
        <w:rPr>
          <w:rFonts w:hint="eastAsia" w:ascii="宋体" w:hAnsi="宋体" w:cs="宋体"/>
          <w:sz w:val="24"/>
          <w:highlight w:val="none"/>
          <w:lang w:val="zh-CN"/>
        </w:rPr>
      </w:pPr>
      <w:r>
        <w:rPr>
          <w:rFonts w:hint="eastAsia" w:ascii="宋体" w:hAnsi="宋体" w:cs="宋体"/>
          <w:sz w:val="24"/>
          <w:highlight w:val="none"/>
          <w:lang w:val="zh-CN" w:eastAsia="zh-CN"/>
        </w:rPr>
        <w:t>（3）制定</w:t>
      </w:r>
      <w:r>
        <w:rPr>
          <w:rFonts w:hint="eastAsia" w:ascii="宋体" w:hAnsi="宋体" w:cs="宋体"/>
          <w:sz w:val="24"/>
          <w:highlight w:val="none"/>
          <w:lang w:val="zh-CN"/>
        </w:rPr>
        <w:t>满意度提升方案</w:t>
      </w:r>
      <w:r>
        <w:rPr>
          <w:rFonts w:hint="eastAsia" w:ascii="宋体" w:hAnsi="宋体" w:cs="宋体"/>
          <w:sz w:val="24"/>
          <w:highlight w:val="none"/>
          <w:lang w:val="zh-CN" w:eastAsia="zh-CN"/>
        </w:rPr>
        <w:t>。</w:t>
      </w:r>
      <w:r>
        <w:rPr>
          <w:rFonts w:hint="eastAsia" w:ascii="宋体" w:hAnsi="宋体" w:cs="宋体"/>
          <w:sz w:val="24"/>
          <w:highlight w:val="none"/>
          <w:lang w:val="zh-CN"/>
        </w:rPr>
        <w:t>针对</w:t>
      </w:r>
      <w:r>
        <w:rPr>
          <w:rFonts w:hint="eastAsia" w:ascii="宋体" w:hAnsi="宋体" w:cs="宋体"/>
          <w:sz w:val="24"/>
          <w:highlight w:val="none"/>
          <w:lang w:val="zh-CN" w:eastAsia="zh-CN"/>
        </w:rPr>
        <w:t>沈丘县</w:t>
      </w:r>
      <w:r>
        <w:rPr>
          <w:rFonts w:hint="eastAsia" w:ascii="宋体" w:hAnsi="宋体" w:cs="宋体"/>
          <w:sz w:val="24"/>
          <w:highlight w:val="none"/>
          <w:lang w:val="zh-CN"/>
        </w:rPr>
        <w:t>直相关部门及基层站所的市场主体满意度</w:t>
      </w:r>
      <w:r>
        <w:rPr>
          <w:rFonts w:hint="eastAsia" w:ascii="宋体" w:hAnsi="宋体" w:cs="宋体"/>
          <w:sz w:val="24"/>
          <w:highlight w:val="none"/>
          <w:lang w:val="zh-CN" w:eastAsia="zh-CN"/>
        </w:rPr>
        <w:t>现状</w:t>
      </w:r>
      <w:r>
        <w:rPr>
          <w:rFonts w:hint="eastAsia" w:ascii="宋体" w:hAnsi="宋体" w:cs="宋体"/>
          <w:sz w:val="24"/>
          <w:highlight w:val="none"/>
          <w:lang w:val="zh-CN"/>
        </w:rPr>
        <w:t>提出提升建议，并针对方案进行咨询辅导。</w:t>
      </w:r>
    </w:p>
    <w:p>
      <w:pPr>
        <w:spacing w:line="560" w:lineRule="exact"/>
        <w:ind w:firstLine="480" w:firstLineChars="200"/>
        <w:rPr>
          <w:rFonts w:hint="eastAsia" w:ascii="宋体" w:hAnsi="宋体" w:cs="宋体"/>
          <w:sz w:val="24"/>
          <w:highlight w:val="none"/>
          <w:lang w:val="zh-CN"/>
        </w:rPr>
      </w:pPr>
      <w:r>
        <w:rPr>
          <w:rFonts w:hint="eastAsia" w:ascii="宋体" w:hAnsi="宋体" w:cs="宋体"/>
          <w:sz w:val="24"/>
          <w:highlight w:val="none"/>
          <w:lang w:val="zh-CN" w:eastAsia="zh-CN"/>
        </w:rPr>
        <w:t>（4）协助培育</w:t>
      </w:r>
      <w:r>
        <w:rPr>
          <w:rFonts w:hint="eastAsia" w:ascii="宋体" w:hAnsi="宋体" w:cs="宋体"/>
          <w:sz w:val="24"/>
          <w:highlight w:val="none"/>
          <w:lang w:val="zh-CN"/>
        </w:rPr>
        <w:t>创新亮点和</w:t>
      </w:r>
      <w:r>
        <w:rPr>
          <w:rFonts w:hint="eastAsia" w:ascii="宋体" w:hAnsi="宋体" w:cs="宋体"/>
          <w:sz w:val="24"/>
          <w:highlight w:val="none"/>
          <w:lang w:val="zh-CN" w:eastAsia="zh-CN"/>
        </w:rPr>
        <w:t>典型案例。</w:t>
      </w:r>
      <w:r>
        <w:rPr>
          <w:rFonts w:hint="eastAsia" w:ascii="宋体" w:hAnsi="宋体" w:cs="宋体"/>
          <w:sz w:val="24"/>
          <w:highlight w:val="none"/>
          <w:lang w:val="zh-CN"/>
        </w:rPr>
        <w:t>针对沈丘县</w:t>
      </w:r>
      <w:r>
        <w:rPr>
          <w:rFonts w:hint="eastAsia" w:ascii="宋体" w:hAnsi="宋体" w:cs="宋体"/>
          <w:sz w:val="24"/>
          <w:highlight w:val="none"/>
          <w:lang w:val="zh-CN" w:eastAsia="zh-CN"/>
        </w:rPr>
        <w:t>营商环境</w:t>
      </w:r>
      <w:r>
        <w:rPr>
          <w:rFonts w:hint="eastAsia" w:ascii="宋体" w:hAnsi="宋体" w:cs="宋体"/>
          <w:sz w:val="24"/>
          <w:highlight w:val="none"/>
          <w:lang w:val="zh-CN"/>
        </w:rPr>
        <w:t>的关键问题和企业诉求，积极借鉴先进地区</w:t>
      </w:r>
      <w:r>
        <w:rPr>
          <w:rFonts w:hint="eastAsia" w:ascii="宋体" w:hAnsi="宋体" w:cs="宋体"/>
          <w:sz w:val="24"/>
          <w:highlight w:val="none"/>
          <w:lang w:val="zh-CN" w:eastAsia="zh-CN"/>
        </w:rPr>
        <w:t>营商环境</w:t>
      </w:r>
      <w:r>
        <w:rPr>
          <w:rFonts w:hint="eastAsia" w:ascii="宋体" w:hAnsi="宋体" w:cs="宋体"/>
          <w:sz w:val="24"/>
          <w:highlight w:val="none"/>
          <w:lang w:val="zh-CN"/>
        </w:rPr>
        <w:t>建设的成功经验，</w:t>
      </w:r>
      <w:r>
        <w:rPr>
          <w:rFonts w:hint="eastAsia" w:ascii="宋体" w:hAnsi="宋体" w:cs="宋体"/>
          <w:sz w:val="24"/>
          <w:highlight w:val="none"/>
          <w:lang w:val="zh-CN" w:eastAsia="zh-CN"/>
        </w:rPr>
        <w:t>协助</w:t>
      </w:r>
      <w:r>
        <w:rPr>
          <w:rFonts w:hint="eastAsia" w:ascii="宋体" w:hAnsi="宋体" w:cs="宋体"/>
          <w:sz w:val="24"/>
          <w:highlight w:val="none"/>
          <w:lang w:val="zh-CN"/>
        </w:rPr>
        <w:t>培育3-5个创新案例。</w:t>
      </w:r>
    </w:p>
    <w:p>
      <w:pPr>
        <w:spacing w:line="560" w:lineRule="exact"/>
        <w:ind w:firstLine="480" w:firstLineChars="200"/>
        <w:rPr>
          <w:rFonts w:hint="eastAsia" w:ascii="宋体" w:hAnsi="宋体" w:cs="宋体"/>
          <w:sz w:val="24"/>
          <w:highlight w:val="none"/>
          <w:lang w:val="zh-CN"/>
        </w:rPr>
      </w:pPr>
      <w:r>
        <w:rPr>
          <w:rFonts w:hint="eastAsia" w:ascii="宋体" w:hAnsi="宋体" w:cs="宋体"/>
          <w:sz w:val="24"/>
          <w:highlight w:val="none"/>
          <w:lang w:val="zh-CN" w:eastAsia="zh-CN"/>
        </w:rPr>
        <w:t>（5）</w:t>
      </w:r>
      <w:r>
        <w:rPr>
          <w:rFonts w:hint="eastAsia" w:ascii="宋体" w:hAnsi="宋体" w:cs="宋体"/>
          <w:sz w:val="24"/>
          <w:highlight w:val="none"/>
          <w:lang w:val="zh-CN"/>
        </w:rPr>
        <w:t>任务</w:t>
      </w:r>
      <w:r>
        <w:rPr>
          <w:rFonts w:hint="eastAsia" w:ascii="宋体" w:hAnsi="宋体" w:cs="宋体"/>
          <w:sz w:val="24"/>
          <w:highlight w:val="none"/>
          <w:lang w:val="zh-CN" w:eastAsia="zh-CN"/>
        </w:rPr>
        <w:t>清单的督办辅导。</w:t>
      </w:r>
      <w:r>
        <w:rPr>
          <w:rFonts w:hint="eastAsia" w:ascii="宋体" w:hAnsi="宋体" w:cs="宋体"/>
          <w:sz w:val="24"/>
          <w:highlight w:val="none"/>
          <w:lang w:val="zh-CN"/>
        </w:rPr>
        <w:t>针对每一项整改任务按季度进行专业指导，指出存在的差距，并对</w:t>
      </w:r>
      <w:r>
        <w:rPr>
          <w:rFonts w:hint="eastAsia" w:ascii="宋体" w:hAnsi="宋体" w:cs="宋体"/>
          <w:sz w:val="24"/>
          <w:highlight w:val="none"/>
          <w:lang w:val="zh-CN" w:eastAsia="zh-CN"/>
        </w:rPr>
        <w:t>相关</w:t>
      </w:r>
      <w:r>
        <w:rPr>
          <w:rFonts w:hint="eastAsia" w:ascii="宋体" w:hAnsi="宋体" w:cs="宋体"/>
          <w:sz w:val="24"/>
          <w:highlight w:val="none"/>
          <w:lang w:val="zh-CN"/>
        </w:rPr>
        <w:t>单位</w:t>
      </w:r>
      <w:r>
        <w:rPr>
          <w:rFonts w:hint="eastAsia" w:ascii="宋体" w:hAnsi="宋体" w:cs="宋体"/>
          <w:sz w:val="24"/>
          <w:highlight w:val="none"/>
          <w:lang w:val="zh-CN" w:eastAsia="zh-CN"/>
        </w:rPr>
        <w:t>部门</w:t>
      </w:r>
      <w:r>
        <w:rPr>
          <w:rFonts w:hint="eastAsia" w:ascii="宋体" w:hAnsi="宋体" w:cs="宋体"/>
          <w:sz w:val="24"/>
          <w:highlight w:val="none"/>
          <w:lang w:val="zh-CN"/>
        </w:rPr>
        <w:t>进行辅导培训。</w:t>
      </w:r>
    </w:p>
    <w:p>
      <w:pPr>
        <w:rPr>
          <w:rStyle w:val="70"/>
          <w:rFonts w:ascii="宋体" w:hAnsi="宋体" w:cs="宋体"/>
          <w:b/>
          <w:bCs/>
          <w:color w:val="auto"/>
          <w:sz w:val="24"/>
          <w:highlight w:val="none"/>
          <w:lang w:val="zh-CN"/>
        </w:rPr>
      </w:pPr>
      <w:r>
        <w:rPr>
          <w:rStyle w:val="70"/>
          <w:rFonts w:hint="eastAsia" w:ascii="宋体" w:hAnsi="宋体" w:cs="宋体"/>
          <w:b/>
          <w:bCs/>
          <w:color w:val="auto"/>
          <w:sz w:val="24"/>
          <w:highlight w:val="none"/>
          <w:lang w:val="zh-CN"/>
        </w:rPr>
        <w:t>2、服务内容及要求：</w:t>
      </w:r>
    </w:p>
    <w:p>
      <w:pPr>
        <w:spacing w:line="560" w:lineRule="exact"/>
        <w:ind w:firstLine="480" w:firstLineChars="200"/>
        <w:rPr>
          <w:rFonts w:hint="eastAsia" w:ascii="宋体" w:hAnsi="宋体" w:cs="宋体"/>
          <w:sz w:val="24"/>
          <w:highlight w:val="none"/>
          <w:lang w:val="en-US" w:eastAsia="zh-CN"/>
        </w:rPr>
      </w:pPr>
      <w:r>
        <w:rPr>
          <w:rFonts w:hint="eastAsia" w:ascii="宋体" w:hAnsi="宋体" w:cs="宋体"/>
          <w:sz w:val="24"/>
          <w:highlight w:val="none"/>
          <w:lang w:val="zh-CN" w:eastAsia="zh-CN"/>
        </w:rPr>
        <w:t>2.1服务要求：</w:t>
      </w:r>
      <w:r>
        <w:rPr>
          <w:rFonts w:hint="eastAsia" w:ascii="宋体" w:hAnsi="宋体" w:cs="宋体"/>
          <w:sz w:val="24"/>
          <w:highlight w:val="none"/>
          <w:lang w:val="en-US" w:eastAsia="zh-CN"/>
        </w:rPr>
        <w:t>满足采购人要求</w:t>
      </w:r>
    </w:p>
    <w:p>
      <w:pPr>
        <w:spacing w:line="560" w:lineRule="exact"/>
        <w:ind w:firstLine="480" w:firstLineChars="200"/>
        <w:rPr>
          <w:rFonts w:hint="eastAsia" w:ascii="宋体" w:hAnsi="宋体" w:cs="宋体"/>
          <w:sz w:val="24"/>
          <w:highlight w:val="none"/>
          <w:lang w:val="zh-CN" w:eastAsia="zh-CN"/>
        </w:rPr>
      </w:pPr>
      <w:r>
        <w:rPr>
          <w:rFonts w:hint="eastAsia" w:ascii="宋体" w:hAnsi="宋体" w:cs="宋体"/>
          <w:sz w:val="24"/>
          <w:highlight w:val="none"/>
          <w:lang w:val="zh-CN" w:eastAsia="zh-CN"/>
        </w:rPr>
        <w:t>2.2服务地点：采购人指定地点。</w:t>
      </w:r>
    </w:p>
    <w:p>
      <w:pPr>
        <w:spacing w:line="560" w:lineRule="exact"/>
        <w:ind w:firstLine="480" w:firstLineChars="200"/>
        <w:rPr>
          <w:rFonts w:hint="eastAsia" w:ascii="宋体" w:hAnsi="宋体" w:cs="宋体"/>
          <w:sz w:val="24"/>
          <w:highlight w:val="none"/>
          <w:lang w:val="zh-CN" w:eastAsia="zh-CN"/>
        </w:rPr>
      </w:pPr>
      <w:r>
        <w:rPr>
          <w:rFonts w:hint="eastAsia" w:ascii="宋体" w:hAnsi="宋体" w:cs="宋体"/>
          <w:sz w:val="24"/>
          <w:highlight w:val="none"/>
          <w:lang w:val="zh-CN" w:eastAsia="zh-CN"/>
        </w:rPr>
        <w:t>2.3服务期：</w:t>
      </w:r>
      <w:r>
        <w:rPr>
          <w:rFonts w:hint="eastAsia" w:ascii="宋体" w:hAnsi="宋体" w:cs="宋体"/>
          <w:sz w:val="24"/>
          <w:highlight w:val="none"/>
          <w:lang w:val="en-US" w:eastAsia="zh-CN"/>
        </w:rPr>
        <w:t>一年</w:t>
      </w:r>
      <w:r>
        <w:rPr>
          <w:rFonts w:hint="eastAsia" w:ascii="宋体" w:hAnsi="宋体" w:cs="宋体"/>
          <w:sz w:val="24"/>
          <w:highlight w:val="none"/>
          <w:lang w:val="zh-CN" w:eastAsia="zh-CN"/>
        </w:rPr>
        <w:t>。</w:t>
      </w:r>
    </w:p>
    <w:p>
      <w:pPr>
        <w:spacing w:line="560" w:lineRule="exact"/>
        <w:ind w:firstLine="480" w:firstLineChars="200"/>
        <w:rPr>
          <w:rFonts w:hint="eastAsia" w:ascii="宋体" w:hAnsi="宋体" w:cs="宋体"/>
          <w:sz w:val="24"/>
          <w:highlight w:val="none"/>
          <w:lang w:val="zh-CN" w:eastAsia="zh-CN"/>
        </w:rPr>
      </w:pPr>
      <w:r>
        <w:rPr>
          <w:rFonts w:hint="eastAsia" w:ascii="宋体" w:hAnsi="宋体" w:cs="宋体"/>
          <w:sz w:val="24"/>
          <w:highlight w:val="none"/>
          <w:lang w:val="zh-CN" w:eastAsia="zh-CN"/>
        </w:rPr>
        <w:t>2.4验收：由最终用户组织验收。</w:t>
      </w:r>
    </w:p>
    <w:p>
      <w:pPr>
        <w:spacing w:line="560" w:lineRule="exact"/>
        <w:ind w:firstLine="480" w:firstLineChars="200"/>
        <w:rPr>
          <w:rFonts w:hint="eastAsia" w:ascii="宋体" w:hAnsi="宋体" w:cs="宋体"/>
          <w:sz w:val="24"/>
          <w:highlight w:val="none"/>
          <w:lang w:val="zh-CN" w:eastAsia="zh-CN"/>
        </w:rPr>
      </w:pPr>
      <w:r>
        <w:rPr>
          <w:rFonts w:hint="eastAsia" w:ascii="宋体" w:hAnsi="宋体" w:cs="宋体"/>
          <w:sz w:val="24"/>
          <w:highlight w:val="none"/>
          <w:lang w:val="zh-CN" w:eastAsia="zh-CN"/>
        </w:rPr>
        <w:br w:type="page"/>
      </w:r>
    </w:p>
    <w:p>
      <w:pPr>
        <w:spacing w:line="480" w:lineRule="auto"/>
        <w:jc w:val="center"/>
        <w:rPr>
          <w:rFonts w:ascii="宋体" w:hAnsi="宋体" w:cs="宋体"/>
          <w:sz w:val="24"/>
          <w:highlight w:val="none"/>
        </w:rPr>
      </w:pPr>
      <w:r>
        <w:rPr>
          <w:rFonts w:hint="eastAsia" w:ascii="宋体" w:hAnsi="宋体" w:cs="宋体"/>
          <w:b/>
          <w:bCs/>
          <w:sz w:val="24"/>
          <w:highlight w:val="none"/>
        </w:rPr>
        <w:t>第</w:t>
      </w:r>
      <w:r>
        <w:rPr>
          <w:rFonts w:hint="eastAsia" w:ascii="宋体" w:hAnsi="宋体" w:cs="宋体"/>
          <w:b/>
          <w:bCs/>
          <w:sz w:val="24"/>
          <w:highlight w:val="none"/>
          <w:lang w:val="en-US" w:eastAsia="zh-CN"/>
        </w:rPr>
        <w:t>四</w:t>
      </w:r>
      <w:r>
        <w:rPr>
          <w:rFonts w:hint="eastAsia" w:ascii="宋体" w:hAnsi="宋体" w:cs="宋体"/>
          <w:b/>
          <w:bCs/>
          <w:sz w:val="24"/>
          <w:highlight w:val="none"/>
        </w:rPr>
        <w:t>章  响应性文件内容及格式</w:t>
      </w:r>
    </w:p>
    <w:p>
      <w:pPr>
        <w:widowControl/>
        <w:spacing w:line="520" w:lineRule="exact"/>
        <w:ind w:firstLine="480" w:firstLineChars="200"/>
        <w:jc w:val="center"/>
        <w:rPr>
          <w:rFonts w:ascii="宋体" w:hAnsi="宋体" w:cs="宋体"/>
          <w:sz w:val="24"/>
          <w:highlight w:val="none"/>
        </w:rPr>
      </w:pP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注：请供应商按照以下文件的要求格式、内容，顺序制作响应性文件，并编制目录及页码，否则可能将影响对响应性文件的评价。 </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重要提示：</w:t>
      </w:r>
    </w:p>
    <w:p>
      <w:pPr>
        <w:snapToGrid w:val="0"/>
        <w:spacing w:line="560" w:lineRule="exact"/>
        <w:ind w:firstLine="480" w:firstLineChars="200"/>
        <w:rPr>
          <w:rFonts w:ascii="宋体" w:hAnsi="宋体" w:cs="宋体"/>
          <w:sz w:val="24"/>
          <w:highlight w:val="none"/>
        </w:rPr>
      </w:pPr>
      <w:r>
        <w:rPr>
          <w:rFonts w:hint="eastAsia" w:ascii="宋体" w:hAnsi="宋体" w:cs="宋体"/>
          <w:sz w:val="24"/>
          <w:highlight w:val="none"/>
        </w:rPr>
        <w:t>1．供应商在编制响应性文件时，对于给定格式的文件内容，必须按照给定的标准格式进行填报；对于没有给定标准格式的文件内容，可以由供应商自行设计。</w:t>
      </w:r>
    </w:p>
    <w:p>
      <w:pPr>
        <w:snapToGrid w:val="0"/>
        <w:spacing w:line="560" w:lineRule="exact"/>
        <w:ind w:firstLine="480" w:firstLineChars="200"/>
        <w:rPr>
          <w:rFonts w:ascii="宋体" w:hAnsi="宋体" w:cs="宋体"/>
          <w:sz w:val="24"/>
          <w:highlight w:val="none"/>
        </w:rPr>
      </w:pPr>
      <w:r>
        <w:rPr>
          <w:rFonts w:hint="eastAsia" w:ascii="宋体" w:hAnsi="宋体" w:cs="宋体"/>
          <w:sz w:val="24"/>
          <w:highlight w:val="none"/>
        </w:rPr>
        <w:t>2.法定代表人本人参加竞争性磋商的，不需提供授权委托书。</w:t>
      </w: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pStyle w:val="25"/>
        <w:ind w:firstLine="480"/>
        <w:rPr>
          <w:rFonts w:ascii="宋体" w:hAnsi="宋体" w:eastAsia="宋体" w:cs="宋体"/>
          <w:sz w:val="24"/>
          <w:highlight w:val="none"/>
        </w:rPr>
      </w:pPr>
    </w:p>
    <w:p>
      <w:pPr>
        <w:pStyle w:val="25"/>
        <w:ind w:firstLine="480"/>
        <w:rPr>
          <w:rFonts w:ascii="宋体" w:hAnsi="宋体" w:eastAsia="宋体" w:cs="宋体"/>
          <w:sz w:val="24"/>
          <w:highlight w:val="none"/>
        </w:rPr>
      </w:pPr>
    </w:p>
    <w:p>
      <w:pPr>
        <w:pStyle w:val="25"/>
        <w:ind w:firstLine="480"/>
        <w:rPr>
          <w:rFonts w:ascii="宋体" w:hAnsi="宋体" w:eastAsia="宋体" w:cs="宋体"/>
          <w:sz w:val="24"/>
          <w:highlight w:val="none"/>
        </w:rPr>
      </w:pPr>
    </w:p>
    <w:p>
      <w:pPr>
        <w:pStyle w:val="25"/>
        <w:ind w:firstLine="480"/>
        <w:rPr>
          <w:rFonts w:ascii="宋体" w:hAnsi="宋体" w:eastAsia="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pStyle w:val="25"/>
        <w:ind w:firstLine="480"/>
        <w:rPr>
          <w:rFonts w:ascii="宋体" w:hAnsi="宋体" w:eastAsia="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pStyle w:val="25"/>
        <w:ind w:firstLine="480"/>
        <w:rPr>
          <w:rFonts w:ascii="宋体" w:hAnsi="宋体" w:eastAsia="宋体" w:cs="宋体"/>
          <w:sz w:val="24"/>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t>格式2-1</w:t>
      </w:r>
    </w:p>
    <w:p>
      <w:pPr>
        <w:widowControl/>
        <w:jc w:val="center"/>
        <w:rPr>
          <w:rFonts w:ascii="宋体" w:hAnsi="宋体" w:cs="宋体"/>
          <w:kern w:val="0"/>
          <w:sz w:val="24"/>
          <w:highlight w:val="none"/>
        </w:rPr>
      </w:pPr>
      <w:r>
        <w:rPr>
          <w:rFonts w:hint="eastAsia" w:ascii="宋体" w:hAnsi="宋体" w:cs="宋体"/>
          <w:sz w:val="24"/>
          <w:highlight w:val="none"/>
        </w:rPr>
        <w:t>企业营业执照副本及</w:t>
      </w:r>
      <w:r>
        <w:rPr>
          <w:rFonts w:hint="eastAsia" w:ascii="宋体" w:hAnsi="宋体" w:cs="宋体"/>
          <w:kern w:val="0"/>
          <w:sz w:val="24"/>
          <w:highlight w:val="none"/>
        </w:rPr>
        <w:t>资格性证明材料</w:t>
      </w:r>
    </w:p>
    <w:p>
      <w:pPr>
        <w:pStyle w:val="38"/>
        <w:ind w:firstLine="210"/>
        <w:rPr>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t>格式2-2</w:t>
      </w:r>
    </w:p>
    <w:p>
      <w:pPr>
        <w:spacing w:line="360" w:lineRule="auto"/>
        <w:jc w:val="center"/>
        <w:rPr>
          <w:rFonts w:ascii="宋体" w:hAnsi="宋体" w:cs="宋体"/>
          <w:sz w:val="24"/>
          <w:highlight w:val="none"/>
        </w:rPr>
      </w:pPr>
      <w:r>
        <w:rPr>
          <w:rFonts w:hint="eastAsia" w:ascii="宋体" w:hAnsi="宋体" w:cs="宋体"/>
          <w:sz w:val="24"/>
          <w:highlight w:val="none"/>
        </w:rPr>
        <w:t>法定代表人身份证明书</w:t>
      </w:r>
    </w:p>
    <w:p>
      <w:pPr>
        <w:spacing w:line="360" w:lineRule="auto"/>
        <w:jc w:val="center"/>
        <w:rPr>
          <w:rFonts w:ascii="宋体" w:hAnsi="宋体" w:cs="宋体"/>
          <w:sz w:val="24"/>
          <w:highlight w:val="none"/>
        </w:rPr>
      </w:pPr>
      <w:r>
        <w:rPr>
          <w:rFonts w:hint="eastAsia" w:ascii="宋体" w:hAnsi="宋体" w:cs="宋体"/>
          <w:sz w:val="24"/>
          <w:highlight w:val="none"/>
        </w:rPr>
        <w:t>（法定代表人参加竞争性磋商的，出具此证明书）</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同志，系我单位法定代表人，任职务。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特此证明。</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附：联系地址：               </w:t>
      </w:r>
    </w:p>
    <w:p>
      <w:pPr>
        <w:spacing w:line="360" w:lineRule="auto"/>
        <w:ind w:firstLine="960" w:firstLineChars="400"/>
        <w:rPr>
          <w:rFonts w:ascii="宋体" w:hAnsi="宋体" w:cs="宋体"/>
          <w:b/>
          <w:sz w:val="24"/>
          <w:highlight w:val="none"/>
        </w:rPr>
      </w:pPr>
      <w:r>
        <w:rPr>
          <w:rFonts w:hint="eastAsia" w:ascii="宋体" w:hAnsi="宋体" w:cs="宋体"/>
          <w:sz w:val="24"/>
          <w:highlight w:val="none"/>
        </w:rPr>
        <w:t>联系电话：</w:t>
      </w:r>
    </w:p>
    <w:tbl>
      <w:tblPr>
        <w:tblStyle w:val="26"/>
        <w:tblpPr w:leftFromText="180" w:rightFromText="180" w:vertAnchor="text" w:horzAnchor="page" w:tblpX="2773" w:tblpY="209"/>
        <w:tblW w:w="6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0"/>
        <w:gridCol w:w="3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trPr>
        <w:tc>
          <w:tcPr>
            <w:tcW w:w="3350" w:type="dxa"/>
          </w:tcPr>
          <w:p>
            <w:pPr>
              <w:spacing w:line="480" w:lineRule="exact"/>
              <w:rPr>
                <w:rFonts w:ascii="宋体" w:hAnsi="宋体" w:cs="宋体"/>
                <w:b/>
                <w:bCs/>
                <w:sz w:val="24"/>
                <w:highlight w:val="none"/>
              </w:rPr>
            </w:pPr>
          </w:p>
          <w:p>
            <w:pPr>
              <w:spacing w:line="480" w:lineRule="exact"/>
              <w:rPr>
                <w:rFonts w:ascii="宋体" w:hAnsi="宋体" w:cs="宋体"/>
                <w:b/>
                <w:bCs/>
                <w:sz w:val="24"/>
                <w:highlight w:val="none"/>
              </w:rPr>
            </w:pPr>
          </w:p>
          <w:p>
            <w:pPr>
              <w:spacing w:line="480" w:lineRule="exact"/>
              <w:jc w:val="center"/>
              <w:rPr>
                <w:rFonts w:ascii="宋体" w:hAnsi="宋体" w:cs="宋体"/>
                <w:b/>
                <w:bCs/>
                <w:sz w:val="24"/>
                <w:highlight w:val="none"/>
              </w:rPr>
            </w:pPr>
            <w:r>
              <w:rPr>
                <w:rFonts w:hint="eastAsia" w:ascii="宋体" w:hAnsi="宋体" w:cs="宋体"/>
                <w:b/>
                <w:bCs/>
                <w:sz w:val="24"/>
                <w:highlight w:val="none"/>
              </w:rPr>
              <w:t>（附：法定代表人身份证</w:t>
            </w:r>
            <w:r>
              <w:rPr>
                <w:rFonts w:hint="eastAsia" w:ascii="宋体" w:hAnsi="宋体" w:cs="宋体"/>
                <w:b/>
                <w:bCs/>
                <w:sz w:val="24"/>
                <w:highlight w:val="none"/>
                <w:lang w:eastAsia="zh-CN"/>
              </w:rPr>
              <w:t>正面</w:t>
            </w:r>
            <w:r>
              <w:rPr>
                <w:rFonts w:hint="eastAsia" w:ascii="宋体" w:hAnsi="宋体" w:cs="宋体"/>
                <w:b/>
                <w:bCs/>
                <w:sz w:val="24"/>
                <w:highlight w:val="none"/>
              </w:rPr>
              <w:t>）</w:t>
            </w:r>
          </w:p>
          <w:p>
            <w:pPr>
              <w:spacing w:line="480" w:lineRule="exact"/>
              <w:rPr>
                <w:rFonts w:ascii="宋体" w:hAnsi="宋体" w:cs="宋体"/>
                <w:sz w:val="24"/>
                <w:highlight w:val="none"/>
              </w:rPr>
            </w:pPr>
          </w:p>
          <w:p>
            <w:pPr>
              <w:spacing w:line="480" w:lineRule="exact"/>
              <w:rPr>
                <w:rFonts w:ascii="宋体" w:hAnsi="宋体" w:cs="宋体"/>
                <w:sz w:val="24"/>
                <w:highlight w:val="none"/>
              </w:rPr>
            </w:pPr>
          </w:p>
        </w:tc>
        <w:tc>
          <w:tcPr>
            <w:tcW w:w="3350" w:type="dxa"/>
          </w:tcPr>
          <w:p>
            <w:pPr>
              <w:spacing w:line="480" w:lineRule="exact"/>
              <w:rPr>
                <w:rFonts w:hint="eastAsia" w:ascii="宋体" w:hAnsi="宋体" w:cs="宋体"/>
                <w:b/>
                <w:bCs/>
                <w:sz w:val="24"/>
                <w:highlight w:val="none"/>
              </w:rPr>
            </w:pPr>
          </w:p>
          <w:p>
            <w:pPr>
              <w:spacing w:line="480" w:lineRule="exact"/>
              <w:rPr>
                <w:rFonts w:hint="eastAsia" w:ascii="宋体" w:hAnsi="宋体" w:cs="宋体"/>
                <w:b/>
                <w:bCs/>
                <w:sz w:val="24"/>
                <w:highlight w:val="none"/>
              </w:rPr>
            </w:pPr>
          </w:p>
          <w:p>
            <w:pPr>
              <w:spacing w:line="480" w:lineRule="exact"/>
              <w:rPr>
                <w:rFonts w:ascii="宋体" w:hAnsi="宋体" w:cs="宋体"/>
                <w:sz w:val="24"/>
                <w:highlight w:val="none"/>
              </w:rPr>
            </w:pPr>
            <w:r>
              <w:rPr>
                <w:rFonts w:hint="eastAsia" w:ascii="宋体" w:hAnsi="宋体" w:cs="宋体"/>
                <w:b/>
                <w:bCs/>
                <w:sz w:val="24"/>
                <w:highlight w:val="none"/>
              </w:rPr>
              <w:t>（附：法定代表人身份证</w:t>
            </w:r>
            <w:r>
              <w:rPr>
                <w:rFonts w:hint="eastAsia" w:ascii="宋体" w:hAnsi="宋体" w:cs="宋体"/>
                <w:b/>
                <w:bCs/>
                <w:sz w:val="24"/>
                <w:highlight w:val="none"/>
                <w:lang w:eastAsia="zh-CN"/>
              </w:rPr>
              <w:t>反面</w:t>
            </w:r>
            <w:r>
              <w:rPr>
                <w:rFonts w:hint="eastAsia" w:ascii="宋体" w:hAnsi="宋体" w:cs="宋体"/>
                <w:b/>
                <w:bCs/>
                <w:sz w:val="24"/>
                <w:highlight w:val="none"/>
              </w:rPr>
              <w:t>）</w:t>
            </w:r>
          </w:p>
        </w:tc>
      </w:tr>
    </w:tbl>
    <w:p>
      <w:pPr>
        <w:spacing w:line="360" w:lineRule="auto"/>
        <w:ind w:firstLine="960" w:firstLineChars="4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ind w:firstLine="3840" w:firstLineChars="1600"/>
        <w:rPr>
          <w:rFonts w:hint="eastAsia"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spacing w:line="360" w:lineRule="auto"/>
        <w:jc w:val="center"/>
        <w:rPr>
          <w:rFonts w:ascii="宋体" w:hAnsi="宋体" w:cs="宋体"/>
          <w:sz w:val="24"/>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left"/>
        <w:rPr>
          <w:rFonts w:ascii="宋体" w:hAnsi="宋体" w:cs="宋体"/>
          <w:sz w:val="24"/>
          <w:highlight w:val="none"/>
        </w:rPr>
      </w:pPr>
      <w:r>
        <w:rPr>
          <w:rFonts w:hint="eastAsia" w:ascii="宋体" w:hAnsi="宋体" w:cs="宋体"/>
          <w:sz w:val="24"/>
          <w:highlight w:val="none"/>
        </w:rPr>
        <w:t>格式2-3</w:t>
      </w:r>
    </w:p>
    <w:p>
      <w:pPr>
        <w:spacing w:line="360" w:lineRule="auto"/>
        <w:ind w:firstLine="480" w:firstLineChars="200"/>
        <w:jc w:val="center"/>
        <w:rPr>
          <w:rFonts w:ascii="宋体" w:hAnsi="宋体" w:cs="宋体"/>
          <w:sz w:val="24"/>
          <w:highlight w:val="none"/>
        </w:rPr>
      </w:pPr>
      <w:r>
        <w:rPr>
          <w:rFonts w:hint="eastAsia" w:ascii="宋体" w:hAnsi="宋体" w:cs="宋体"/>
          <w:sz w:val="24"/>
          <w:highlight w:val="none"/>
        </w:rPr>
        <w:t>授权委托书</w:t>
      </w:r>
    </w:p>
    <w:p>
      <w:pPr>
        <w:spacing w:line="360" w:lineRule="auto"/>
        <w:jc w:val="center"/>
        <w:rPr>
          <w:rFonts w:ascii="宋体" w:hAnsi="宋体" w:cs="宋体"/>
          <w:sz w:val="24"/>
          <w:highlight w:val="none"/>
        </w:rPr>
      </w:pPr>
      <w:r>
        <w:rPr>
          <w:rFonts w:hint="eastAsia" w:ascii="宋体" w:hAnsi="宋体" w:cs="宋体"/>
          <w:sz w:val="24"/>
          <w:highlight w:val="none"/>
        </w:rPr>
        <w:t>（委托代理人参加竞争性磋商的，出具此证明书）</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委托人授权（被委托人的姓名、职务）为委托人的委托代理人，就项目编号为的项目及合同的执行，以本单位名义处理一切与之有关的事务。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本授权书于年月日签字生效，特此声明。</w:t>
      </w:r>
    </w:p>
    <w:p>
      <w:pPr>
        <w:spacing w:line="360" w:lineRule="auto"/>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委托人：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供应商电子签章：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被委托人：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法定代表人：</w:t>
      </w:r>
    </w:p>
    <w:tbl>
      <w:tblPr>
        <w:tblStyle w:val="26"/>
        <w:tblpPr w:leftFromText="180" w:rightFromText="180" w:vertAnchor="text" w:horzAnchor="page" w:tblpX="3086" w:tblpY="247"/>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5"/>
        <w:gridCol w:w="3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3465" w:type="dxa"/>
          </w:tcPr>
          <w:p>
            <w:pPr>
              <w:spacing w:line="480" w:lineRule="exact"/>
              <w:rPr>
                <w:rFonts w:ascii="宋体" w:hAnsi="宋体" w:cs="宋体"/>
                <w:b/>
                <w:bCs/>
                <w:sz w:val="24"/>
                <w:highlight w:val="none"/>
              </w:rPr>
            </w:pPr>
          </w:p>
          <w:p>
            <w:pPr>
              <w:spacing w:line="480" w:lineRule="exact"/>
              <w:jc w:val="both"/>
              <w:rPr>
                <w:rFonts w:ascii="宋体" w:hAnsi="宋体" w:cs="宋体"/>
                <w:sz w:val="24"/>
                <w:highlight w:val="none"/>
              </w:rPr>
            </w:pPr>
            <w:r>
              <w:rPr>
                <w:rFonts w:hint="eastAsia" w:ascii="宋体" w:hAnsi="宋体" w:cs="宋体"/>
                <w:b/>
                <w:bCs/>
                <w:sz w:val="24"/>
                <w:highlight w:val="none"/>
              </w:rPr>
              <w:t>（附：被委托人身份证</w:t>
            </w:r>
            <w:r>
              <w:rPr>
                <w:rFonts w:hint="eastAsia" w:ascii="宋体" w:hAnsi="宋体" w:cs="宋体"/>
                <w:b/>
                <w:bCs/>
                <w:sz w:val="24"/>
                <w:highlight w:val="none"/>
                <w:lang w:eastAsia="zh-CN"/>
              </w:rPr>
              <w:t>正面</w:t>
            </w:r>
            <w:r>
              <w:rPr>
                <w:rFonts w:hint="eastAsia" w:ascii="宋体" w:hAnsi="宋体" w:cs="宋体"/>
                <w:b/>
                <w:bCs/>
                <w:sz w:val="24"/>
                <w:highlight w:val="none"/>
              </w:rPr>
              <w:t>）</w:t>
            </w:r>
          </w:p>
        </w:tc>
        <w:tc>
          <w:tcPr>
            <w:tcW w:w="3465" w:type="dxa"/>
          </w:tcPr>
          <w:p>
            <w:pPr>
              <w:spacing w:line="480" w:lineRule="exact"/>
              <w:jc w:val="both"/>
              <w:rPr>
                <w:rFonts w:hint="eastAsia" w:ascii="宋体" w:hAnsi="宋体" w:cs="宋体"/>
                <w:b/>
                <w:bCs/>
                <w:sz w:val="24"/>
                <w:highlight w:val="none"/>
              </w:rPr>
            </w:pPr>
          </w:p>
          <w:p>
            <w:pPr>
              <w:spacing w:line="480" w:lineRule="exact"/>
              <w:jc w:val="both"/>
              <w:rPr>
                <w:rFonts w:hint="eastAsia" w:ascii="宋体" w:hAnsi="宋体" w:cs="宋体"/>
                <w:b/>
                <w:bCs/>
                <w:sz w:val="24"/>
                <w:highlight w:val="none"/>
              </w:rPr>
            </w:pPr>
            <w:r>
              <w:rPr>
                <w:rFonts w:hint="eastAsia" w:ascii="宋体" w:hAnsi="宋体" w:cs="宋体"/>
                <w:b/>
                <w:bCs/>
                <w:sz w:val="24"/>
                <w:highlight w:val="none"/>
              </w:rPr>
              <w:t>（附：被委托人身份证</w:t>
            </w:r>
            <w:r>
              <w:rPr>
                <w:rFonts w:hint="eastAsia" w:ascii="宋体" w:hAnsi="宋体" w:cs="宋体"/>
                <w:b/>
                <w:bCs/>
                <w:sz w:val="24"/>
                <w:highlight w:val="none"/>
                <w:lang w:eastAsia="zh-CN"/>
              </w:rPr>
              <w:t>反面</w:t>
            </w:r>
            <w:r>
              <w:rPr>
                <w:rFonts w:hint="eastAsia" w:ascii="宋体" w:hAnsi="宋体" w:cs="宋体"/>
                <w:b/>
                <w:bCs/>
                <w:sz w:val="24"/>
                <w:highlight w:val="none"/>
              </w:rPr>
              <w:t>）</w:t>
            </w:r>
          </w:p>
        </w:tc>
      </w:tr>
    </w:tbl>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spacing w:line="360" w:lineRule="auto"/>
        <w:ind w:firstLine="4920" w:firstLineChars="2050"/>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pStyle w:val="38"/>
        <w:ind w:firstLine="210"/>
        <w:rPr>
          <w:highlight w:val="none"/>
        </w:rPr>
      </w:pPr>
    </w:p>
    <w:p>
      <w:pPr>
        <w:pStyle w:val="38"/>
        <w:ind w:firstLine="210"/>
        <w:rPr>
          <w:highlight w:val="none"/>
        </w:rPr>
      </w:pPr>
    </w:p>
    <w:p>
      <w:pPr>
        <w:pStyle w:val="38"/>
        <w:ind w:firstLine="210"/>
        <w:rPr>
          <w:highlight w:val="none"/>
        </w:rPr>
      </w:pPr>
    </w:p>
    <w:p>
      <w:pPr>
        <w:pStyle w:val="38"/>
        <w:ind w:firstLine="210"/>
        <w:rPr>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left"/>
        <w:rPr>
          <w:rFonts w:ascii="宋体" w:hAnsi="宋体" w:cs="宋体"/>
          <w:sz w:val="24"/>
          <w:highlight w:val="none"/>
        </w:rPr>
      </w:pPr>
      <w:r>
        <w:rPr>
          <w:rFonts w:hint="eastAsia" w:ascii="宋体" w:hAnsi="宋体" w:cs="宋体"/>
          <w:sz w:val="24"/>
          <w:highlight w:val="none"/>
        </w:rPr>
        <w:t>格式2-3政府采购法第二十二条及参加政府采购活动前三年内无重大违法记录的书面声明</w:t>
      </w:r>
    </w:p>
    <w:p>
      <w:pPr>
        <w:spacing w:line="360" w:lineRule="auto"/>
        <w:jc w:val="left"/>
        <w:rPr>
          <w:rFonts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t>格式3</w:t>
      </w:r>
    </w:p>
    <w:p>
      <w:pPr>
        <w:spacing w:line="560" w:lineRule="exact"/>
        <w:jc w:val="center"/>
        <w:rPr>
          <w:rFonts w:ascii="宋体" w:hAnsi="宋体" w:cs="宋体"/>
          <w:sz w:val="24"/>
          <w:highlight w:val="none"/>
        </w:rPr>
      </w:pPr>
      <w:r>
        <w:rPr>
          <w:rFonts w:hint="eastAsia" w:ascii="宋体" w:hAnsi="宋体" w:cs="宋体"/>
          <w:sz w:val="24"/>
          <w:highlight w:val="none"/>
        </w:rPr>
        <w:t>投标函</w:t>
      </w:r>
    </w:p>
    <w:p>
      <w:pPr>
        <w:pStyle w:val="23"/>
        <w:shd w:val="clear" w:color="auto" w:fill="FFFFFF"/>
        <w:adjustRightInd w:val="0"/>
        <w:snapToGrid w:val="0"/>
        <w:spacing w:before="0" w:beforeAutospacing="0" w:after="0" w:afterAutospacing="0" w:line="360" w:lineRule="auto"/>
        <w:rPr>
          <w:rFonts w:cs="宋体"/>
          <w:highlight w:val="none"/>
        </w:rPr>
      </w:pPr>
      <w:r>
        <w:rPr>
          <w:rFonts w:hint="eastAsia" w:cs="宋体"/>
          <w:szCs w:val="24"/>
          <w:highlight w:val="none"/>
        </w:rPr>
        <w:t>致：</w:t>
      </w:r>
      <w:r>
        <w:rPr>
          <w:rFonts w:hint="eastAsia" w:cs="宋体"/>
          <w:kern w:val="2"/>
          <w:highlight w:val="none"/>
        </w:rPr>
        <w:t>（采购人或采购代理机构）</w:t>
      </w:r>
    </w:p>
    <w:p>
      <w:pPr>
        <w:pStyle w:val="59"/>
        <w:ind w:firstLine="600" w:firstLineChars="250"/>
        <w:rPr>
          <w:rFonts w:ascii="宋体" w:hAnsi="宋体"/>
          <w:sz w:val="24"/>
          <w:szCs w:val="24"/>
          <w:highlight w:val="none"/>
        </w:rPr>
      </w:pPr>
      <w:r>
        <w:rPr>
          <w:rFonts w:hint="eastAsia" w:ascii="宋体" w:hAnsi="宋体"/>
          <w:sz w:val="24"/>
          <w:szCs w:val="24"/>
          <w:highlight w:val="none"/>
        </w:rPr>
        <w:t>根据贵方</w:t>
      </w:r>
      <w:r>
        <w:rPr>
          <w:rFonts w:hint="eastAsia" w:ascii="宋体" w:hAnsi="宋体"/>
          <w:sz w:val="24"/>
          <w:szCs w:val="24"/>
          <w:highlight w:val="none"/>
          <w:u w:val="single"/>
        </w:rPr>
        <w:t>（本项目名称）</w:t>
      </w:r>
      <w:r>
        <w:rPr>
          <w:rFonts w:hint="eastAsia" w:ascii="宋体" w:hAnsi="宋体"/>
          <w:sz w:val="24"/>
          <w:szCs w:val="24"/>
          <w:highlight w:val="none"/>
        </w:rPr>
        <w:t>项目的竞争性磋商邀请（项目编号</w:t>
      </w:r>
      <w:r>
        <w:rPr>
          <w:rFonts w:hint="eastAsia" w:ascii="宋体" w:hAnsi="宋体"/>
          <w:sz w:val="24"/>
          <w:szCs w:val="24"/>
          <w:highlight w:val="none"/>
          <w:u w:val="single"/>
        </w:rPr>
        <w:t xml:space="preserve">：          </w:t>
      </w:r>
      <w:r>
        <w:rPr>
          <w:rFonts w:hint="eastAsia" w:ascii="宋体" w:hAnsi="宋体"/>
          <w:sz w:val="24"/>
          <w:szCs w:val="24"/>
          <w:highlight w:val="none"/>
        </w:rPr>
        <w:t>），委托代理人 (全名、职务)代表 供应商名称、地址)提交投标文件，报价为</w:t>
      </w:r>
      <w:r>
        <w:rPr>
          <w:rFonts w:hint="eastAsia" w:ascii="宋体" w:hAnsi="宋体"/>
          <w:sz w:val="24"/>
          <w:szCs w:val="24"/>
          <w:highlight w:val="none"/>
          <w:u w:val="single"/>
        </w:rPr>
        <w:t>：    元，</w:t>
      </w:r>
      <w:r>
        <w:rPr>
          <w:rFonts w:hint="eastAsia" w:ascii="宋体" w:hAnsi="宋体"/>
          <w:sz w:val="24"/>
          <w:szCs w:val="24"/>
          <w:highlight w:val="none"/>
        </w:rPr>
        <w:t>并对之负法律责任。</w:t>
      </w:r>
    </w:p>
    <w:p>
      <w:pPr>
        <w:ind w:firstLine="568" w:firstLineChars="237"/>
        <w:rPr>
          <w:rFonts w:ascii="宋体" w:hAnsi="宋体" w:cs="宋体"/>
          <w:sz w:val="24"/>
          <w:highlight w:val="none"/>
        </w:rPr>
      </w:pPr>
      <w:r>
        <w:rPr>
          <w:rFonts w:hint="eastAsia" w:ascii="宋体" w:hAnsi="宋体" w:cs="宋体"/>
          <w:sz w:val="24"/>
          <w:highlight w:val="none"/>
        </w:rPr>
        <w:t>据此函，宣布同意如下：</w:t>
      </w:r>
    </w:p>
    <w:p>
      <w:pPr>
        <w:ind w:firstLine="480" w:firstLineChars="200"/>
        <w:rPr>
          <w:rFonts w:ascii="宋体" w:hAnsi="宋体" w:cs="宋体"/>
          <w:sz w:val="24"/>
          <w:highlight w:val="none"/>
        </w:rPr>
      </w:pPr>
      <w:r>
        <w:rPr>
          <w:rFonts w:hint="eastAsia" w:ascii="宋体" w:hAnsi="宋体" w:cs="宋体"/>
          <w:sz w:val="24"/>
          <w:highlight w:val="none"/>
        </w:rPr>
        <w:t>(1)我们完全理解贵方不一定要接受最低报价，并同意本文件规定的响应性文件有效期。</w:t>
      </w:r>
    </w:p>
    <w:p>
      <w:pPr>
        <w:ind w:firstLine="480" w:firstLineChars="200"/>
        <w:rPr>
          <w:rFonts w:ascii="宋体" w:hAnsi="宋体" w:cs="宋体"/>
          <w:sz w:val="24"/>
          <w:highlight w:val="none"/>
        </w:rPr>
      </w:pPr>
      <w:r>
        <w:rPr>
          <w:rFonts w:hint="eastAsia" w:ascii="宋体" w:hAnsi="宋体" w:cs="宋体"/>
          <w:sz w:val="24"/>
          <w:highlight w:val="none"/>
        </w:rPr>
        <w:t>(2)我们已详细审核全部竞争性磋商文件，我们知道必须放弃提出含糊不清或误解的问题的权利。</w:t>
      </w:r>
    </w:p>
    <w:p>
      <w:pPr>
        <w:numPr>
          <w:ilvl w:val="0"/>
          <w:numId w:val="3"/>
        </w:numPr>
        <w:ind w:firstLine="480" w:firstLineChars="200"/>
        <w:rPr>
          <w:rFonts w:ascii="宋体" w:hAnsi="宋体" w:cs="宋体"/>
          <w:sz w:val="24"/>
          <w:highlight w:val="none"/>
        </w:rPr>
      </w:pPr>
      <w:r>
        <w:rPr>
          <w:rFonts w:hint="eastAsia" w:ascii="宋体" w:hAnsi="宋体" w:cs="宋体"/>
          <w:sz w:val="24"/>
          <w:highlight w:val="none"/>
        </w:rPr>
        <w:t>同意向贵方提供贵方可能另外要求的与其竞争性磋商有关的任何证据和资料。</w:t>
      </w:r>
    </w:p>
    <w:p>
      <w:pPr>
        <w:ind w:firstLine="480" w:firstLineChars="200"/>
        <w:rPr>
          <w:rFonts w:ascii="宋体" w:hAnsi="宋体" w:cs="宋体"/>
          <w:sz w:val="24"/>
          <w:highlight w:val="none"/>
        </w:rPr>
      </w:pPr>
      <w:r>
        <w:rPr>
          <w:rFonts w:hint="eastAsia" w:ascii="宋体" w:hAnsi="宋体" w:cs="宋体"/>
          <w:sz w:val="24"/>
          <w:highlight w:val="none"/>
        </w:rPr>
        <w:t>(4)一旦我们成交，我们将严格履行合同责任和义务。</w:t>
      </w:r>
    </w:p>
    <w:p>
      <w:pPr>
        <w:ind w:firstLine="480" w:firstLineChars="200"/>
        <w:rPr>
          <w:rFonts w:ascii="宋体" w:hAnsi="宋体" w:cs="宋体"/>
          <w:sz w:val="24"/>
          <w:highlight w:val="none"/>
        </w:rPr>
      </w:pPr>
      <w:r>
        <w:rPr>
          <w:rFonts w:hint="eastAsia" w:ascii="宋体" w:hAnsi="宋体" w:cs="宋体"/>
          <w:sz w:val="24"/>
          <w:highlight w:val="none"/>
        </w:rPr>
        <w:t>(5)我们完全理解不向未成交人解释未成交理由的义务。</w:t>
      </w:r>
    </w:p>
    <w:p>
      <w:pPr>
        <w:ind w:firstLine="480" w:firstLineChars="200"/>
        <w:rPr>
          <w:rFonts w:ascii="宋体" w:hAnsi="宋体" w:cs="宋体"/>
          <w:sz w:val="24"/>
          <w:highlight w:val="none"/>
          <w:lang w:val="zh-CN"/>
        </w:rPr>
      </w:pPr>
      <w:r>
        <w:rPr>
          <w:rFonts w:hint="eastAsia" w:ascii="宋体" w:hAnsi="宋体" w:cs="宋体"/>
          <w:sz w:val="24"/>
          <w:highlight w:val="none"/>
        </w:rPr>
        <w:t>(6)</w:t>
      </w:r>
      <w:r>
        <w:rPr>
          <w:rFonts w:hint="eastAsia" w:ascii="宋体" w:hAnsi="宋体" w:cs="宋体"/>
          <w:sz w:val="24"/>
          <w:highlight w:val="none"/>
          <w:lang w:val="zh-CN"/>
        </w:rPr>
        <w:t>如果我们的谈判响应文件被接受，我们将履行谈判文件中规定的每一项要求，按期、按质、按量履行合同。</w:t>
      </w:r>
    </w:p>
    <w:p>
      <w:pPr>
        <w:ind w:firstLine="480" w:firstLineChars="200"/>
        <w:rPr>
          <w:rFonts w:ascii="宋体" w:hAnsi="宋体" w:cs="宋体"/>
          <w:sz w:val="24"/>
          <w:highlight w:val="none"/>
        </w:rPr>
      </w:pPr>
      <w:r>
        <w:rPr>
          <w:rFonts w:hint="eastAsia" w:ascii="宋体" w:hAnsi="宋体" w:cs="宋体"/>
          <w:sz w:val="24"/>
          <w:highlight w:val="none"/>
        </w:rPr>
        <w:t>(7)</w:t>
      </w:r>
      <w:r>
        <w:rPr>
          <w:rFonts w:hint="eastAsia" w:ascii="宋体" w:hAnsi="宋体" w:cs="宋体"/>
          <w:sz w:val="24"/>
          <w:highlight w:val="none"/>
          <w:lang w:val="zh-CN"/>
        </w:rPr>
        <w:t>我方愿按《中华人民共和国民法典》履行我方的全部责任。</w:t>
      </w:r>
    </w:p>
    <w:p>
      <w:pPr>
        <w:ind w:firstLine="480" w:firstLineChars="200"/>
        <w:rPr>
          <w:rFonts w:ascii="宋体" w:hAnsi="宋体" w:cs="宋体"/>
          <w:sz w:val="24"/>
          <w:highlight w:val="none"/>
        </w:rPr>
      </w:pPr>
      <w:r>
        <w:rPr>
          <w:rFonts w:hint="eastAsia" w:ascii="宋体" w:hAnsi="宋体" w:cs="宋体"/>
          <w:sz w:val="24"/>
          <w:highlight w:val="none"/>
        </w:rPr>
        <w:t>(8)与本次竞争性磋商有关的正式通讯地址为：</w:t>
      </w:r>
    </w:p>
    <w:p>
      <w:pPr>
        <w:ind w:firstLine="480" w:firstLineChars="200"/>
        <w:rPr>
          <w:rFonts w:ascii="宋体" w:hAnsi="宋体" w:cs="宋体"/>
          <w:sz w:val="24"/>
          <w:highlight w:val="none"/>
        </w:rPr>
      </w:pPr>
      <w:r>
        <w:rPr>
          <w:rFonts w:hint="eastAsia" w:ascii="宋体" w:hAnsi="宋体" w:cs="宋体"/>
          <w:sz w:val="24"/>
          <w:highlight w:val="none"/>
        </w:rPr>
        <w:t>地 址：                  邮 编：</w:t>
      </w:r>
    </w:p>
    <w:p>
      <w:pPr>
        <w:ind w:firstLine="480" w:firstLineChars="200"/>
        <w:rPr>
          <w:rFonts w:ascii="宋体" w:hAnsi="宋体" w:cs="宋体"/>
          <w:sz w:val="24"/>
          <w:highlight w:val="none"/>
        </w:rPr>
      </w:pPr>
      <w:r>
        <w:rPr>
          <w:rFonts w:hint="eastAsia" w:ascii="宋体" w:hAnsi="宋体" w:cs="宋体"/>
          <w:sz w:val="24"/>
          <w:highlight w:val="none"/>
        </w:rPr>
        <w:t>电 话：                  电子信箱：</w:t>
      </w:r>
    </w:p>
    <w:p>
      <w:pPr>
        <w:ind w:firstLine="480" w:firstLineChars="200"/>
        <w:jc w:val="left"/>
        <w:rPr>
          <w:rFonts w:ascii="宋体" w:hAnsi="宋体" w:cs="宋体"/>
          <w:sz w:val="24"/>
          <w:highlight w:val="none"/>
        </w:rPr>
      </w:pPr>
      <w:r>
        <w:rPr>
          <w:rFonts w:hint="eastAsia" w:ascii="宋体" w:hAnsi="宋体" w:cs="宋体"/>
          <w:sz w:val="24"/>
          <w:highlight w:val="none"/>
        </w:rPr>
        <w:t>我们保证：</w:t>
      </w:r>
    </w:p>
    <w:p>
      <w:pPr>
        <w:ind w:firstLine="480" w:firstLineChars="200"/>
        <w:jc w:val="left"/>
        <w:rPr>
          <w:rFonts w:ascii="宋体" w:hAnsi="宋体" w:cs="宋体"/>
          <w:sz w:val="24"/>
          <w:highlight w:val="none"/>
        </w:rPr>
      </w:pPr>
      <w:r>
        <w:rPr>
          <w:rFonts w:hint="eastAsia" w:ascii="宋体" w:hAnsi="宋体" w:cs="宋体"/>
          <w:sz w:val="24"/>
          <w:highlight w:val="none"/>
        </w:rPr>
        <w:t>(1)不提供虚假材料谋取成交；</w:t>
      </w:r>
    </w:p>
    <w:p>
      <w:pPr>
        <w:ind w:firstLine="480" w:firstLineChars="200"/>
        <w:jc w:val="left"/>
        <w:rPr>
          <w:rFonts w:ascii="宋体" w:hAnsi="宋体" w:cs="宋体"/>
          <w:sz w:val="24"/>
          <w:highlight w:val="none"/>
        </w:rPr>
      </w:pPr>
      <w:r>
        <w:rPr>
          <w:rFonts w:hint="eastAsia" w:ascii="宋体" w:hAnsi="宋体" w:cs="宋体"/>
          <w:sz w:val="24"/>
          <w:highlight w:val="none"/>
        </w:rPr>
        <w:t>(2)不以不正当手段抵毁、排挤其他供应商；</w:t>
      </w:r>
    </w:p>
    <w:p>
      <w:pPr>
        <w:ind w:firstLine="480" w:firstLineChars="200"/>
        <w:jc w:val="left"/>
        <w:rPr>
          <w:rFonts w:ascii="宋体" w:hAnsi="宋体" w:cs="宋体"/>
          <w:sz w:val="24"/>
          <w:highlight w:val="none"/>
        </w:rPr>
      </w:pPr>
      <w:r>
        <w:rPr>
          <w:rFonts w:hint="eastAsia" w:ascii="宋体" w:hAnsi="宋体" w:cs="宋体"/>
          <w:sz w:val="24"/>
          <w:highlight w:val="none"/>
        </w:rPr>
        <w:t>(3)不与采购人和其它供应商恶意串通；</w:t>
      </w:r>
    </w:p>
    <w:p>
      <w:pPr>
        <w:ind w:firstLine="480" w:firstLineChars="200"/>
        <w:jc w:val="left"/>
        <w:rPr>
          <w:rFonts w:ascii="宋体" w:hAnsi="宋体" w:cs="宋体"/>
          <w:sz w:val="24"/>
          <w:highlight w:val="none"/>
        </w:rPr>
      </w:pPr>
      <w:r>
        <w:rPr>
          <w:rFonts w:hint="eastAsia" w:ascii="宋体" w:hAnsi="宋体" w:cs="宋体"/>
          <w:sz w:val="24"/>
          <w:highlight w:val="none"/>
        </w:rPr>
        <w:t>(4)不向采购人和采购代理机构提供不正当利益；</w:t>
      </w:r>
    </w:p>
    <w:p>
      <w:pPr>
        <w:ind w:firstLine="480" w:firstLineChars="200"/>
        <w:jc w:val="left"/>
        <w:rPr>
          <w:rFonts w:ascii="宋体" w:hAnsi="宋体" w:cs="宋体"/>
          <w:sz w:val="24"/>
          <w:highlight w:val="none"/>
        </w:rPr>
      </w:pPr>
      <w:r>
        <w:rPr>
          <w:rFonts w:hint="eastAsia" w:ascii="宋体" w:hAnsi="宋体" w:cs="宋体"/>
          <w:sz w:val="24"/>
          <w:highlight w:val="none"/>
        </w:rPr>
        <w:t>(5)不拒绝有关部门监督检查或提供虚假情况。</w:t>
      </w:r>
    </w:p>
    <w:p>
      <w:pPr>
        <w:spacing w:line="560" w:lineRule="exact"/>
        <w:jc w:val="left"/>
        <w:rPr>
          <w:rFonts w:ascii="宋体" w:hAnsi="宋体" w:cs="宋体"/>
          <w:sz w:val="24"/>
          <w:highlight w:val="none"/>
        </w:rPr>
      </w:pPr>
    </w:p>
    <w:p>
      <w:pPr>
        <w:spacing w:line="560" w:lineRule="exact"/>
        <w:jc w:val="left"/>
        <w:rPr>
          <w:rFonts w:ascii="宋体" w:hAnsi="宋体" w:cs="宋体"/>
          <w:sz w:val="24"/>
          <w:highlight w:val="none"/>
        </w:rPr>
      </w:pPr>
      <w:r>
        <w:rPr>
          <w:rFonts w:hint="eastAsia" w:ascii="宋体" w:hAnsi="宋体" w:cs="宋体"/>
          <w:sz w:val="24"/>
          <w:highlight w:val="none"/>
        </w:rPr>
        <w:t xml:space="preserve">     联系人：              联系电话：</w:t>
      </w:r>
    </w:p>
    <w:p>
      <w:pPr>
        <w:spacing w:line="360" w:lineRule="auto"/>
        <w:jc w:val="left"/>
        <w:rPr>
          <w:rFonts w:ascii="宋体" w:hAnsi="宋体" w:cs="宋体"/>
          <w:sz w:val="24"/>
          <w:highlight w:val="none"/>
        </w:rPr>
      </w:pPr>
    </w:p>
    <w:p>
      <w:pPr>
        <w:spacing w:line="360" w:lineRule="auto"/>
        <w:jc w:val="left"/>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left"/>
        <w:rPr>
          <w:rFonts w:ascii="宋体" w:hAnsi="宋体" w:cs="宋体"/>
          <w:sz w:val="24"/>
          <w:highlight w:val="none"/>
        </w:rPr>
      </w:pPr>
      <w:r>
        <w:rPr>
          <w:rFonts w:hint="eastAsia" w:ascii="宋体" w:hAnsi="宋体" w:cs="宋体"/>
          <w:sz w:val="24"/>
          <w:highlight w:val="none"/>
        </w:rPr>
        <w:br w:type="page"/>
      </w:r>
      <w:r>
        <w:rPr>
          <w:rFonts w:hint="eastAsia" w:ascii="宋体" w:hAnsi="宋体" w:cs="宋体"/>
          <w:sz w:val="24"/>
          <w:highlight w:val="none"/>
        </w:rPr>
        <w:t>格式4</w:t>
      </w:r>
    </w:p>
    <w:p>
      <w:pPr>
        <w:pStyle w:val="4"/>
        <w:jc w:val="center"/>
        <w:rPr>
          <w:rFonts w:ascii="宋体" w:hAnsi="宋体" w:cs="宋体"/>
          <w:b w:val="0"/>
          <w:sz w:val="24"/>
          <w:szCs w:val="24"/>
          <w:highlight w:val="none"/>
        </w:rPr>
      </w:pPr>
      <w:bookmarkStart w:id="34" w:name="_Toc495414231"/>
      <w:bookmarkStart w:id="35" w:name="_Toc197934561"/>
      <w:r>
        <w:rPr>
          <w:rFonts w:hint="eastAsia" w:ascii="宋体" w:hAnsi="宋体" w:cs="宋体"/>
          <w:b w:val="0"/>
          <w:sz w:val="24"/>
          <w:szCs w:val="24"/>
          <w:highlight w:val="none"/>
        </w:rPr>
        <w:t>报价一览表</w:t>
      </w:r>
      <w:bookmarkEnd w:id="34"/>
      <w:bookmarkEnd w:id="35"/>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pPr>
              <w:widowControl/>
              <w:spacing w:line="360" w:lineRule="exact"/>
              <w:jc w:val="center"/>
              <w:rPr>
                <w:rFonts w:ascii="宋体" w:hAnsi="宋体" w:cs="宋体"/>
                <w:sz w:val="24"/>
                <w:highlight w:val="none"/>
              </w:rPr>
            </w:pPr>
            <w:r>
              <w:rPr>
                <w:rFonts w:hint="eastAsia" w:ascii="宋体" w:hAnsi="宋体" w:cs="宋体"/>
                <w:sz w:val="24"/>
                <w:highlight w:val="none"/>
              </w:rPr>
              <w:t>项目名称</w:t>
            </w:r>
          </w:p>
        </w:tc>
        <w:tc>
          <w:tcPr>
            <w:tcW w:w="6667" w:type="dxa"/>
            <w:tcBorders>
              <w:top w:val="single" w:color="auto" w:sz="4" w:space="0"/>
              <w:bottom w:val="single" w:color="auto" w:sz="4" w:space="0"/>
              <w:right w:val="single" w:color="auto" w:sz="4" w:space="0"/>
            </w:tcBorders>
            <w:vAlign w:val="center"/>
          </w:tcPr>
          <w:p>
            <w:pPr>
              <w:spacing w:line="360" w:lineRule="exact"/>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highlight w:val="none"/>
              </w:rPr>
            </w:pPr>
            <w:r>
              <w:rPr>
                <w:rFonts w:hint="eastAsia" w:ascii="宋体" w:hAnsi="宋体" w:cs="宋体"/>
                <w:sz w:val="24"/>
                <w:highlight w:val="none"/>
              </w:rPr>
              <w:t>投标人全称</w:t>
            </w:r>
          </w:p>
        </w:tc>
        <w:tc>
          <w:tcPr>
            <w:tcW w:w="6667" w:type="dxa"/>
            <w:tcBorders>
              <w:top w:val="nil"/>
            </w:tcBorders>
            <w:vAlign w:val="center"/>
          </w:tcPr>
          <w:p>
            <w:pPr>
              <w:spacing w:line="360" w:lineRule="auto"/>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highlight w:val="none"/>
              </w:rPr>
            </w:pPr>
            <w:r>
              <w:rPr>
                <w:rFonts w:hint="eastAsia" w:ascii="宋体" w:hAnsi="宋体" w:cs="宋体"/>
                <w:sz w:val="24"/>
                <w:highlight w:val="none"/>
              </w:rPr>
              <w:t>最终投标报价</w:t>
            </w:r>
          </w:p>
          <w:p>
            <w:pPr>
              <w:spacing w:line="360" w:lineRule="exact"/>
              <w:jc w:val="center"/>
              <w:rPr>
                <w:rFonts w:ascii="宋体" w:hAnsi="宋体" w:cs="宋体"/>
                <w:sz w:val="24"/>
                <w:highlight w:val="none"/>
              </w:rPr>
            </w:pPr>
            <w:r>
              <w:rPr>
                <w:rFonts w:hint="eastAsia" w:ascii="宋体" w:hAnsi="宋体" w:cs="宋体"/>
                <w:sz w:val="24"/>
                <w:highlight w:val="none"/>
              </w:rPr>
              <w:t>（人民币）</w:t>
            </w:r>
          </w:p>
        </w:tc>
        <w:tc>
          <w:tcPr>
            <w:tcW w:w="6667" w:type="dxa"/>
            <w:tcBorders>
              <w:top w:val="nil"/>
            </w:tcBorders>
            <w:vAlign w:val="center"/>
          </w:tcPr>
          <w:p>
            <w:pPr>
              <w:spacing w:line="360" w:lineRule="auto"/>
              <w:ind w:right="-670"/>
              <w:rPr>
                <w:rFonts w:ascii="宋体" w:hAnsi="宋体" w:cs="宋体"/>
                <w:sz w:val="24"/>
                <w:highlight w:val="none"/>
              </w:rPr>
            </w:pPr>
            <w:r>
              <w:rPr>
                <w:rFonts w:hint="eastAsia" w:ascii="宋体" w:hAnsi="宋体" w:cs="宋体"/>
                <w:sz w:val="24"/>
                <w:highlight w:val="none"/>
              </w:rPr>
              <w:t xml:space="preserve">投标总价：       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pPr>
              <w:spacing w:line="360" w:lineRule="auto"/>
              <w:jc w:val="center"/>
              <w:rPr>
                <w:rFonts w:ascii="宋体" w:hAnsi="宋体" w:cs="宋体"/>
                <w:sz w:val="24"/>
                <w:highlight w:val="none"/>
              </w:rPr>
            </w:pPr>
            <w:r>
              <w:rPr>
                <w:rFonts w:hint="eastAsia" w:ascii="宋体" w:hAnsi="宋体" w:cs="宋体"/>
                <w:sz w:val="24"/>
                <w:highlight w:val="none"/>
              </w:rPr>
              <w:t>备注</w:t>
            </w:r>
          </w:p>
        </w:tc>
        <w:tc>
          <w:tcPr>
            <w:tcW w:w="6667" w:type="dxa"/>
            <w:tcBorders>
              <w:top w:val="nil"/>
            </w:tcBorders>
            <w:vAlign w:val="center"/>
          </w:tcPr>
          <w:p>
            <w:pPr>
              <w:spacing w:line="360" w:lineRule="auto"/>
              <w:jc w:val="left"/>
              <w:rPr>
                <w:rFonts w:ascii="宋体" w:hAnsi="宋体" w:cs="宋体"/>
                <w:sz w:val="24"/>
                <w:highlight w:val="none"/>
              </w:rPr>
            </w:pPr>
          </w:p>
        </w:tc>
      </w:tr>
    </w:tbl>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rPr>
          <w:rFonts w:ascii="宋体" w:hAnsi="宋体" w:cs="宋体"/>
          <w:sz w:val="24"/>
          <w:highlight w:val="none"/>
        </w:rPr>
      </w:pPr>
      <w:r>
        <w:rPr>
          <w:rFonts w:hint="eastAsia" w:ascii="宋体" w:hAnsi="宋体" w:cs="宋体"/>
          <w:sz w:val="24"/>
          <w:highlight w:val="none"/>
        </w:rPr>
        <w:t>备注：</w:t>
      </w:r>
    </w:p>
    <w:p>
      <w:pPr>
        <w:spacing w:line="360" w:lineRule="auto"/>
        <w:rPr>
          <w:rFonts w:ascii="宋体" w:hAnsi="宋体" w:cs="宋体"/>
          <w:sz w:val="24"/>
          <w:highlight w:val="none"/>
        </w:rPr>
      </w:pPr>
      <w:r>
        <w:rPr>
          <w:rFonts w:hint="eastAsia" w:ascii="宋体" w:hAnsi="宋体" w:cs="宋体"/>
          <w:sz w:val="24"/>
          <w:highlight w:val="none"/>
        </w:rPr>
        <w:t>1、此表用于开标会唱标之用。</w:t>
      </w:r>
    </w:p>
    <w:p>
      <w:pPr>
        <w:spacing w:line="360" w:lineRule="auto"/>
        <w:rPr>
          <w:rFonts w:ascii="宋体" w:hAnsi="宋体" w:cs="宋体"/>
          <w:sz w:val="24"/>
          <w:highlight w:val="none"/>
        </w:rPr>
      </w:pPr>
      <w:r>
        <w:rPr>
          <w:rFonts w:hint="eastAsia" w:ascii="宋体" w:hAnsi="宋体" w:cs="宋体"/>
          <w:sz w:val="24"/>
          <w:highlight w:val="none"/>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cs="宋体"/>
          <w:sz w:val="24"/>
          <w:highlight w:val="none"/>
        </w:rPr>
      </w:pPr>
      <w:bookmarkStart w:id="36" w:name="_Toc220232409"/>
      <w:bookmarkStart w:id="37" w:name="_Toc495414234"/>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pStyle w:val="38"/>
        <w:ind w:firstLine="240"/>
        <w:rPr>
          <w:rFonts w:ascii="宋体" w:hAnsi="宋体" w:cs="宋体"/>
          <w:sz w:val="24"/>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t>格式5</w:t>
      </w:r>
    </w:p>
    <w:p>
      <w:pPr>
        <w:pStyle w:val="4"/>
        <w:jc w:val="center"/>
        <w:rPr>
          <w:rFonts w:ascii="宋体" w:hAnsi="宋体" w:cs="宋体"/>
          <w:b w:val="0"/>
          <w:sz w:val="24"/>
          <w:szCs w:val="24"/>
          <w:highlight w:val="none"/>
        </w:rPr>
      </w:pPr>
      <w:r>
        <w:rPr>
          <w:rFonts w:hint="eastAsia" w:ascii="宋体" w:hAnsi="宋体" w:cs="宋体"/>
          <w:b w:val="0"/>
          <w:sz w:val="24"/>
          <w:szCs w:val="24"/>
          <w:highlight w:val="none"/>
        </w:rPr>
        <w:t>投标分项报价表</w:t>
      </w:r>
      <w:bookmarkEnd w:id="36"/>
      <w:bookmarkEnd w:id="37"/>
    </w:p>
    <w:tbl>
      <w:tblPr>
        <w:tblStyle w:val="26"/>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pPr>
              <w:pStyle w:val="63"/>
              <w:widowControl w:val="0"/>
              <w:spacing w:before="0" w:beforeAutospacing="0" w:after="0" w:afterAutospacing="0" w:line="340" w:lineRule="exact"/>
              <w:rPr>
                <w:rFonts w:cs="宋体"/>
                <w:b w:val="0"/>
                <w:bCs w:val="0"/>
                <w:kern w:val="2"/>
                <w:sz w:val="24"/>
                <w:szCs w:val="24"/>
                <w:highlight w:val="none"/>
              </w:rPr>
            </w:pPr>
            <w:r>
              <w:rPr>
                <w:rFonts w:hint="eastAsia" w:cs="宋体"/>
                <w:b w:val="0"/>
                <w:bCs w:val="0"/>
                <w:kern w:val="2"/>
                <w:sz w:val="24"/>
                <w:szCs w:val="24"/>
                <w:highlight w:val="none"/>
              </w:rPr>
              <w:t>序号</w:t>
            </w:r>
          </w:p>
        </w:tc>
        <w:tc>
          <w:tcPr>
            <w:tcW w:w="2205"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服务项目名称</w:t>
            </w:r>
          </w:p>
        </w:tc>
        <w:tc>
          <w:tcPr>
            <w:tcW w:w="957"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单位</w:t>
            </w:r>
          </w:p>
        </w:tc>
        <w:tc>
          <w:tcPr>
            <w:tcW w:w="840"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数量</w:t>
            </w:r>
          </w:p>
        </w:tc>
        <w:tc>
          <w:tcPr>
            <w:tcW w:w="1260"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单价</w:t>
            </w:r>
          </w:p>
        </w:tc>
        <w:tc>
          <w:tcPr>
            <w:tcW w:w="1340" w:type="dxa"/>
            <w:vAlign w:val="center"/>
          </w:tcPr>
          <w:p>
            <w:pPr>
              <w:spacing w:line="340" w:lineRule="exact"/>
              <w:jc w:val="center"/>
              <w:rPr>
                <w:rFonts w:ascii="宋体" w:hAnsi="宋体" w:cs="宋体"/>
                <w:sz w:val="24"/>
                <w:highlight w:val="none"/>
              </w:rPr>
            </w:pPr>
            <w:r>
              <w:rPr>
                <w:rFonts w:hint="eastAsia" w:ascii="宋体" w:hAnsi="宋体" w:cs="宋体"/>
                <w:bCs/>
                <w:sz w:val="24"/>
                <w:highlight w:val="none"/>
              </w:rPr>
              <w:t>小计</w:t>
            </w:r>
          </w:p>
        </w:tc>
        <w:tc>
          <w:tcPr>
            <w:tcW w:w="1347"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pPr>
              <w:spacing w:line="340" w:lineRule="exact"/>
              <w:jc w:val="center"/>
              <w:rPr>
                <w:rFonts w:ascii="宋体" w:hAnsi="宋体" w:cs="宋体"/>
                <w:sz w:val="24"/>
                <w:highlight w:val="none"/>
              </w:rPr>
            </w:pPr>
            <w:r>
              <w:rPr>
                <w:rFonts w:hint="eastAsia" w:ascii="宋体" w:hAnsi="宋体" w:cs="宋体"/>
                <w:sz w:val="24"/>
                <w:highlight w:val="none"/>
              </w:rPr>
              <w:t>1</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2</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3</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4</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5</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6</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7</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8</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9</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10</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11</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12</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13</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vAlign w:val="center"/>
          </w:tcPr>
          <w:p>
            <w:pPr>
              <w:pStyle w:val="64"/>
              <w:spacing w:line="340" w:lineRule="exact"/>
              <w:rPr>
                <w:rFonts w:ascii="宋体" w:hAnsi="宋体" w:cs="宋体"/>
                <w:szCs w:val="24"/>
                <w:highlight w:val="none"/>
              </w:rPr>
            </w:pPr>
            <w:r>
              <w:rPr>
                <w:rFonts w:hint="eastAsia" w:ascii="宋体" w:hAnsi="宋体" w:cs="宋体"/>
                <w:szCs w:val="24"/>
                <w:highlight w:val="none"/>
              </w:rPr>
              <w:t>其他费用</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spacing w:line="340" w:lineRule="exact"/>
              <w:rPr>
                <w:rFonts w:ascii="宋体" w:hAnsi="宋体" w:cs="宋体"/>
                <w:sz w:val="24"/>
                <w:highlight w:val="none"/>
              </w:rPr>
            </w:pPr>
            <w:r>
              <w:rPr>
                <w:rFonts w:hint="eastAsia" w:ascii="宋体" w:hAnsi="宋体" w:cs="宋体"/>
                <w:sz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pStyle w:val="64"/>
              <w:spacing w:line="340" w:lineRule="exact"/>
              <w:rPr>
                <w:rFonts w:ascii="宋体" w:hAnsi="宋体" w:cs="宋体"/>
                <w:szCs w:val="24"/>
                <w:highlight w:val="none"/>
              </w:rPr>
            </w:pPr>
            <w:r>
              <w:rPr>
                <w:rFonts w:hint="eastAsia" w:ascii="宋体" w:hAnsi="宋体" w:cs="宋体"/>
                <w:szCs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spacing w:line="340" w:lineRule="exact"/>
              <w:rPr>
                <w:rFonts w:ascii="宋体" w:hAnsi="宋体" w:cs="宋体"/>
                <w:sz w:val="24"/>
                <w:highlight w:val="none"/>
              </w:rPr>
            </w:pPr>
            <w:r>
              <w:rPr>
                <w:rFonts w:hint="eastAsia" w:ascii="宋体" w:hAnsi="宋体" w:cs="宋体"/>
                <w:sz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vAlign w:val="center"/>
          </w:tcPr>
          <w:p>
            <w:pPr>
              <w:pStyle w:val="64"/>
              <w:spacing w:line="340" w:lineRule="exact"/>
              <w:rPr>
                <w:rFonts w:ascii="宋体" w:hAnsi="宋体" w:cs="宋体"/>
                <w:szCs w:val="24"/>
                <w:highlight w:val="none"/>
              </w:rPr>
            </w:pPr>
            <w:r>
              <w:rPr>
                <w:rFonts w:hint="eastAsia" w:ascii="宋体" w:hAnsi="宋体" w:cs="宋体"/>
                <w:szCs w:val="24"/>
                <w:highlight w:val="none"/>
              </w:rPr>
              <w:t>合计</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bl>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right"/>
        <w:rPr>
          <w:rFonts w:ascii="宋体" w:hAnsi="宋体" w:cs="宋体"/>
          <w:sz w:val="24"/>
          <w:highlight w:val="none"/>
        </w:rPr>
      </w:pPr>
      <w:r>
        <w:rPr>
          <w:rFonts w:hint="eastAsia" w:ascii="宋体" w:hAnsi="宋体" w:cs="宋体"/>
          <w:sz w:val="24"/>
          <w:highlight w:val="none"/>
        </w:rPr>
        <w:t xml:space="preserve">  年  月  日</w:t>
      </w:r>
    </w:p>
    <w:p>
      <w:pPr>
        <w:adjustRightInd w:val="0"/>
        <w:snapToGrid w:val="0"/>
        <w:spacing w:line="360" w:lineRule="auto"/>
        <w:rPr>
          <w:rFonts w:ascii="宋体" w:hAnsi="宋体" w:cs="宋体"/>
          <w:sz w:val="24"/>
          <w:highlight w:val="none"/>
        </w:rPr>
      </w:pPr>
      <w:r>
        <w:rPr>
          <w:rFonts w:hint="eastAsia" w:ascii="宋体" w:hAnsi="宋体" w:cs="宋体"/>
          <w:sz w:val="24"/>
          <w:highlight w:val="none"/>
        </w:rPr>
        <w:t>备注：</w:t>
      </w:r>
    </w:p>
    <w:p>
      <w:pPr>
        <w:spacing w:line="360" w:lineRule="auto"/>
        <w:jc w:val="left"/>
        <w:rPr>
          <w:rFonts w:ascii="宋体" w:hAnsi="宋体" w:cs="宋体"/>
          <w:sz w:val="24"/>
          <w:highlight w:val="none"/>
        </w:rPr>
      </w:pPr>
      <w:r>
        <w:rPr>
          <w:rFonts w:hint="eastAsia" w:ascii="宋体" w:hAnsi="宋体" w:cs="宋体"/>
          <w:sz w:val="24"/>
          <w:highlight w:val="none"/>
        </w:rPr>
        <w:t>表中所列内容为对应本项目需求的全部要求。如有漏项或缺项，投标人承担全部责任。</w:t>
      </w: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pStyle w:val="38"/>
        <w:ind w:firstLine="241"/>
        <w:rPr>
          <w:rFonts w:ascii="宋体" w:hAnsi="宋体" w:cs="宋体"/>
          <w:b/>
          <w:sz w:val="24"/>
          <w:highlight w:val="none"/>
        </w:rPr>
      </w:pPr>
    </w:p>
    <w:p>
      <w:pPr>
        <w:pStyle w:val="38"/>
        <w:ind w:firstLine="241"/>
        <w:rPr>
          <w:rFonts w:ascii="宋体" w:hAnsi="宋体" w:cs="宋体"/>
          <w:b/>
          <w:sz w:val="24"/>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t xml:space="preserve">格式6                     </w:t>
      </w:r>
      <w:r>
        <w:rPr>
          <w:rFonts w:hint="eastAsia" w:ascii="宋体" w:hAnsi="宋体" w:cs="宋体"/>
          <w:b/>
          <w:sz w:val="24"/>
          <w:highlight w:val="none"/>
        </w:rPr>
        <w:t>技术参数响应表</w:t>
      </w:r>
    </w:p>
    <w:p>
      <w:pPr>
        <w:rPr>
          <w:rFonts w:ascii="宋体" w:hAnsi="宋体" w:cs="宋体"/>
          <w:sz w:val="24"/>
          <w:highlight w:val="none"/>
        </w:rPr>
      </w:pPr>
    </w:p>
    <w:p>
      <w:pPr>
        <w:rPr>
          <w:rFonts w:ascii="宋体" w:hAnsi="宋体" w:cs="宋体"/>
          <w:sz w:val="24"/>
          <w:highlight w:val="none"/>
        </w:rPr>
      </w:pPr>
    </w:p>
    <w:tbl>
      <w:tblPr>
        <w:tblStyle w:val="26"/>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bCs/>
                <w:sz w:val="24"/>
                <w:szCs w:val="24"/>
                <w:highlight w:val="none"/>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bCs/>
                <w:sz w:val="24"/>
                <w:szCs w:val="24"/>
                <w:highlight w:val="none"/>
              </w:rPr>
              <w:t>按投标人所投内容填写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bCs/>
                <w:sz w:val="24"/>
                <w:szCs w:val="24"/>
                <w:highlight w:val="none"/>
              </w:rPr>
              <w:t>序号</w:t>
            </w:r>
          </w:p>
        </w:tc>
        <w:tc>
          <w:tcPr>
            <w:tcW w:w="723" w:type="dxa"/>
            <w:tcBorders>
              <w:top w:val="single" w:color="auto" w:sz="4" w:space="0"/>
              <w:left w:val="nil"/>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bCs/>
                <w:sz w:val="24"/>
                <w:szCs w:val="24"/>
                <w:highlight w:val="none"/>
              </w:rPr>
              <w:t>品名</w:t>
            </w:r>
          </w:p>
        </w:tc>
        <w:tc>
          <w:tcPr>
            <w:tcW w:w="3490" w:type="dxa"/>
            <w:tcBorders>
              <w:top w:val="single" w:color="auto" w:sz="4" w:space="0"/>
              <w:left w:val="nil"/>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sz w:val="24"/>
                <w:szCs w:val="24"/>
                <w:highlight w:val="none"/>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sz w:val="24"/>
                <w:szCs w:val="24"/>
                <w:highlight w:val="none"/>
              </w:rPr>
              <w:t>响应</w:t>
            </w:r>
          </w:p>
        </w:tc>
        <w:tc>
          <w:tcPr>
            <w:tcW w:w="1336" w:type="dxa"/>
            <w:tcBorders>
              <w:top w:val="single" w:color="auto" w:sz="4" w:space="0"/>
              <w:left w:val="nil"/>
              <w:bottom w:val="single" w:color="auto" w:sz="4" w:space="0"/>
              <w:right w:val="single" w:color="auto" w:sz="4" w:space="0"/>
            </w:tcBorders>
            <w:vAlign w:val="center"/>
          </w:tcPr>
          <w:p>
            <w:pPr>
              <w:pStyle w:val="13"/>
              <w:jc w:val="center"/>
              <w:rPr>
                <w:rFonts w:hAnsi="宋体" w:cs="宋体"/>
                <w:bCs/>
                <w:sz w:val="24"/>
                <w:szCs w:val="24"/>
                <w:highlight w:val="none"/>
              </w:rPr>
            </w:pPr>
            <w:r>
              <w:rPr>
                <w:rFonts w:hint="eastAsia" w:hAnsi="宋体" w:cs="宋体"/>
                <w:bCs/>
                <w:sz w:val="24"/>
                <w:szCs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1</w:t>
            </w:r>
          </w:p>
        </w:tc>
        <w:tc>
          <w:tcPr>
            <w:tcW w:w="723"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4"/>
                <w:highlight w:val="none"/>
              </w:rPr>
            </w:pPr>
          </w:p>
        </w:tc>
        <w:tc>
          <w:tcPr>
            <w:tcW w:w="3490" w:type="dxa"/>
            <w:tcBorders>
              <w:top w:val="single" w:color="auto" w:sz="4" w:space="0"/>
              <w:left w:val="nil"/>
              <w:bottom w:val="single" w:color="auto" w:sz="4" w:space="0"/>
              <w:right w:val="single" w:color="auto" w:sz="4" w:space="0"/>
            </w:tcBorders>
          </w:tcPr>
          <w:p>
            <w:pPr>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tcPr>
          <w:p>
            <w:pPr>
              <w:widowControl/>
              <w:rPr>
                <w:rFonts w:ascii="宋体" w:hAnsi="宋体" w:cs="宋体"/>
                <w:kern w:val="0"/>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2</w:t>
            </w: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w:t>
            </w: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r>
              <w:rPr>
                <w:rFonts w:hint="eastAsia" w:ascii="宋体" w:hAnsi="宋体" w:cs="宋体"/>
                <w:sz w:val="24"/>
                <w:highlight w:val="none"/>
              </w:rPr>
              <w:t>.....</w:t>
            </w: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bl>
    <w:p>
      <w:pPr>
        <w:rPr>
          <w:rFonts w:ascii="宋体" w:hAnsi="宋体" w:cs="宋体"/>
          <w:sz w:val="24"/>
          <w:highlight w:val="none"/>
        </w:rPr>
      </w:pPr>
    </w:p>
    <w:p>
      <w:pPr>
        <w:rPr>
          <w:rFonts w:ascii="宋体" w:hAnsi="宋体" w:cs="宋体"/>
          <w:sz w:val="24"/>
          <w:highlight w:val="none"/>
        </w:rPr>
      </w:pPr>
      <w:r>
        <w:rPr>
          <w:rFonts w:hint="eastAsia" w:ascii="宋体" w:hAnsi="宋体" w:cs="宋体"/>
          <w:sz w:val="24"/>
          <w:highlight w:val="none"/>
        </w:rPr>
        <w:t>(可根据需求自行更改)</w:t>
      </w:r>
    </w:p>
    <w:p>
      <w:pPr>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right"/>
        <w:rPr>
          <w:rFonts w:ascii="宋体" w:hAnsi="宋体" w:cs="宋体"/>
          <w:sz w:val="24"/>
          <w:highlight w:val="none"/>
        </w:rPr>
      </w:pPr>
      <w:r>
        <w:rPr>
          <w:rFonts w:hint="eastAsia" w:ascii="宋体" w:hAnsi="宋体" w:cs="宋体"/>
          <w:sz w:val="24"/>
          <w:highlight w:val="none"/>
        </w:rPr>
        <w:t xml:space="preserve">  年  月  日</w:t>
      </w: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jc w:val="left"/>
        <w:rPr>
          <w:rFonts w:ascii="宋体" w:hAnsi="宋体" w:cs="宋体"/>
          <w:sz w:val="24"/>
          <w:highlight w:val="none"/>
        </w:rPr>
      </w:pPr>
      <w:r>
        <w:rPr>
          <w:rFonts w:hint="eastAsia" w:ascii="宋体" w:hAnsi="宋体" w:cs="宋体"/>
          <w:sz w:val="24"/>
          <w:highlight w:val="none"/>
        </w:rPr>
        <w:br w:type="page"/>
      </w:r>
      <w:r>
        <w:rPr>
          <w:rFonts w:hint="eastAsia" w:ascii="宋体" w:hAnsi="宋体" w:cs="宋体"/>
          <w:sz w:val="24"/>
          <w:highlight w:val="none"/>
        </w:rPr>
        <w:t>格式7</w:t>
      </w:r>
    </w:p>
    <w:p>
      <w:pPr>
        <w:pStyle w:val="25"/>
        <w:ind w:firstLine="480"/>
        <w:rPr>
          <w:rFonts w:ascii="宋体" w:hAnsi="宋体" w:eastAsia="宋体" w:cs="宋体"/>
          <w:sz w:val="24"/>
          <w:highlight w:val="none"/>
        </w:rPr>
      </w:pPr>
    </w:p>
    <w:p>
      <w:pPr>
        <w:spacing w:line="380" w:lineRule="exact"/>
        <w:jc w:val="center"/>
        <w:rPr>
          <w:rFonts w:ascii="宋体" w:hAnsi="宋体" w:cs="宋体"/>
          <w:sz w:val="24"/>
          <w:highlight w:val="none"/>
        </w:rPr>
      </w:pPr>
      <w:r>
        <w:rPr>
          <w:rFonts w:hint="eastAsia" w:ascii="宋体" w:hAnsi="宋体" w:cs="宋体"/>
          <w:sz w:val="24"/>
          <w:highlight w:val="none"/>
        </w:rPr>
        <w:t>服务方案及服务承诺</w:t>
      </w:r>
    </w:p>
    <w:p>
      <w:pPr>
        <w:spacing w:line="380" w:lineRule="exact"/>
        <w:jc w:val="center"/>
        <w:rPr>
          <w:rFonts w:ascii="宋体" w:hAnsi="宋体" w:cs="宋体"/>
          <w:sz w:val="24"/>
          <w:highlight w:val="none"/>
        </w:rPr>
      </w:pPr>
    </w:p>
    <w:p>
      <w:pPr>
        <w:spacing w:line="380" w:lineRule="exact"/>
        <w:ind w:firstLine="360" w:firstLineChars="150"/>
        <w:rPr>
          <w:rFonts w:ascii="宋体" w:hAnsi="宋体" w:cs="宋体"/>
          <w:sz w:val="24"/>
          <w:highlight w:val="none"/>
        </w:rPr>
      </w:pPr>
    </w:p>
    <w:p>
      <w:pPr>
        <w:pStyle w:val="41"/>
        <w:rPr>
          <w:rFonts w:ascii="宋体" w:hAnsi="宋体" w:cs="宋体"/>
          <w:sz w:val="24"/>
          <w:szCs w:val="24"/>
          <w:highlight w:val="none"/>
        </w:rPr>
      </w:pPr>
    </w:p>
    <w:p>
      <w:pPr>
        <w:pStyle w:val="41"/>
        <w:rPr>
          <w:rFonts w:ascii="宋体" w:hAnsi="宋体" w:cs="宋体"/>
          <w:sz w:val="24"/>
          <w:szCs w:val="24"/>
          <w:highlight w:val="none"/>
        </w:rPr>
      </w:pPr>
    </w:p>
    <w:p>
      <w:pPr>
        <w:pStyle w:val="41"/>
        <w:rPr>
          <w:rFonts w:ascii="宋体" w:hAnsi="宋体" w:cs="宋体"/>
          <w:sz w:val="24"/>
          <w:szCs w:val="24"/>
          <w:highlight w:val="none"/>
        </w:rPr>
      </w:pPr>
    </w:p>
    <w:p>
      <w:pPr>
        <w:pStyle w:val="41"/>
        <w:rPr>
          <w:rFonts w:ascii="宋体" w:hAnsi="宋体" w:cs="宋体"/>
          <w:sz w:val="24"/>
          <w:szCs w:val="24"/>
          <w:highlight w:val="none"/>
        </w:rPr>
      </w:pPr>
    </w:p>
    <w:p>
      <w:pPr>
        <w:pStyle w:val="41"/>
        <w:rPr>
          <w:rFonts w:ascii="宋体" w:hAnsi="宋体" w:cs="宋体"/>
          <w:sz w:val="24"/>
          <w:szCs w:val="24"/>
          <w:highlight w:val="none"/>
        </w:rPr>
      </w:pPr>
    </w:p>
    <w:p>
      <w:pPr>
        <w:pStyle w:val="41"/>
        <w:rPr>
          <w:rFonts w:ascii="宋体" w:hAnsi="宋体" w:cs="宋体"/>
          <w:sz w:val="24"/>
          <w:szCs w:val="24"/>
          <w:highlight w:val="none"/>
        </w:rPr>
      </w:pPr>
    </w:p>
    <w:p>
      <w:pPr>
        <w:spacing w:line="380" w:lineRule="exact"/>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80" w:lineRule="exact"/>
        <w:ind w:right="640" w:firstLine="1560" w:firstLineChars="650"/>
        <w:rPr>
          <w:rFonts w:ascii="宋体" w:hAnsi="宋体" w:cs="宋体"/>
          <w:sz w:val="24"/>
          <w:highlight w:val="none"/>
        </w:rPr>
      </w:pPr>
    </w:p>
    <w:p>
      <w:pPr>
        <w:spacing w:line="380" w:lineRule="exact"/>
        <w:ind w:right="640" w:firstLine="4680" w:firstLineChars="1950"/>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ind w:firstLine="3600" w:firstLineChars="1500"/>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b/>
          <w:bCs/>
          <w:sz w:val="24"/>
          <w:highlight w:val="none"/>
        </w:rPr>
      </w:pPr>
      <w:r>
        <w:rPr>
          <w:rFonts w:hint="eastAsia" w:ascii="宋体" w:hAnsi="宋体" w:cs="宋体"/>
          <w:b/>
          <w:bCs/>
          <w:sz w:val="24"/>
          <w:highlight w:val="none"/>
        </w:rPr>
        <w:br w:type="page"/>
      </w:r>
    </w:p>
    <w:p>
      <w:pPr>
        <w:spacing w:line="380" w:lineRule="exact"/>
        <w:jc w:val="center"/>
        <w:rPr>
          <w:rFonts w:ascii="宋体" w:hAnsi="宋体" w:cs="宋体"/>
          <w:sz w:val="24"/>
          <w:highlight w:val="none"/>
        </w:rPr>
      </w:pPr>
      <w:r>
        <w:rPr>
          <w:rFonts w:hint="eastAsia" w:ascii="宋体" w:hAnsi="宋体" w:cs="宋体"/>
          <w:sz w:val="24"/>
          <w:highlight w:val="none"/>
        </w:rPr>
        <w:t>格式8合格供应商的声明函和承诺书</w:t>
      </w:r>
    </w:p>
    <w:p>
      <w:pPr>
        <w:spacing w:line="360" w:lineRule="auto"/>
        <w:rPr>
          <w:rFonts w:ascii="宋体" w:hAnsi="宋体" w:cs="宋体"/>
          <w:sz w:val="24"/>
          <w:highlight w:val="none"/>
        </w:rPr>
      </w:pPr>
    </w:p>
    <w:p>
      <w:pPr>
        <w:spacing w:line="360" w:lineRule="auto"/>
        <w:jc w:val="center"/>
        <w:rPr>
          <w:rFonts w:ascii="宋体" w:hAnsi="宋体" w:cs="宋体"/>
          <w:b/>
          <w:bCs/>
          <w:sz w:val="24"/>
          <w:highlight w:val="none"/>
        </w:rPr>
      </w:pPr>
    </w:p>
    <w:p>
      <w:pPr>
        <w:pStyle w:val="41"/>
        <w:rPr>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80" w:lineRule="exact"/>
        <w:ind w:right="640" w:firstLine="1560" w:firstLineChars="650"/>
        <w:rPr>
          <w:rFonts w:ascii="宋体" w:hAnsi="宋体" w:cs="宋体"/>
          <w:sz w:val="24"/>
          <w:highlight w:val="none"/>
        </w:rPr>
      </w:pP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r>
        <w:rPr>
          <w:rFonts w:hint="eastAsia" w:ascii="宋体" w:hAnsi="宋体" w:cs="宋体"/>
          <w:sz w:val="24"/>
          <w:highlight w:val="none"/>
        </w:rPr>
        <w:t>格式9中小企业声明函（工程、服务）</w:t>
      </w:r>
    </w:p>
    <w:p>
      <w:pPr>
        <w:spacing w:line="360" w:lineRule="auto"/>
        <w:rPr>
          <w:b/>
          <w:bCs/>
          <w:sz w:val="32"/>
          <w:szCs w:val="32"/>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本公司（联合体）郑重声明，根据《政府采购促进中小企业发展管理办法》（财库﹝2020﹞46号）的规定，本公司（联合体）参加</w:t>
      </w:r>
      <w:r>
        <w:rPr>
          <w:rFonts w:hint="eastAsia" w:ascii="宋体" w:hAnsi="宋体" w:cs="宋体"/>
          <w:sz w:val="24"/>
          <w:highlight w:val="none"/>
          <w:u w:val="single"/>
        </w:rPr>
        <w:t>（单位名称）</w:t>
      </w:r>
      <w:r>
        <w:rPr>
          <w:rFonts w:hint="eastAsia" w:ascii="宋体" w:hAnsi="宋体" w:cs="宋体"/>
          <w:sz w:val="24"/>
          <w:highlight w:val="none"/>
        </w:rPr>
        <w:t>的</w:t>
      </w:r>
      <w:r>
        <w:rPr>
          <w:rFonts w:hint="eastAsia" w:ascii="宋体" w:hAnsi="宋体" w:cs="宋体"/>
          <w:sz w:val="24"/>
          <w:highlight w:val="none"/>
          <w:u w:val="single"/>
        </w:rPr>
        <w:t>（项目名称）</w:t>
      </w:r>
      <w:r>
        <w:rPr>
          <w:rFonts w:hint="eastAsia" w:ascii="宋体" w:hAnsi="宋体" w:cs="宋体"/>
          <w:sz w:val="24"/>
          <w:highlight w:val="none"/>
        </w:rPr>
        <w:t>采购活动，工程的施工单位全部为符合政策要求的中小企业</w:t>
      </w:r>
      <w:r>
        <w:rPr>
          <w:rFonts w:hint="eastAsia" w:ascii="宋体" w:hAnsi="宋体" w:cs="宋体"/>
          <w:sz w:val="24"/>
          <w:highlight w:val="none"/>
          <w:u w:val="single"/>
        </w:rPr>
        <w:t>（或者：服务全部由符合政策要求的中小企业承接）</w:t>
      </w:r>
      <w:r>
        <w:rPr>
          <w:rFonts w:hint="eastAsia" w:ascii="宋体" w:hAnsi="宋体" w:cs="宋体"/>
          <w:sz w:val="24"/>
          <w:highlight w:val="none"/>
        </w:rPr>
        <w:t>。相关企业</w:t>
      </w:r>
      <w:r>
        <w:rPr>
          <w:rFonts w:hint="eastAsia" w:ascii="宋体" w:hAnsi="宋体" w:cs="宋体"/>
          <w:sz w:val="24"/>
          <w:highlight w:val="none"/>
          <w:u w:val="single"/>
        </w:rPr>
        <w:t>（含联合 体中的中小企业、签订分包意向协议的中小企业）</w:t>
      </w:r>
      <w:r>
        <w:rPr>
          <w:rFonts w:hint="eastAsia" w:ascii="宋体" w:hAnsi="宋体" w:cs="宋体"/>
          <w:sz w:val="24"/>
          <w:highlight w:val="none"/>
        </w:rPr>
        <w:t>的具体情 况如下：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 承建（承接）企业为（企业名称），从业人员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 xml:space="preserve">万元，属于（中型企业、小型企业、微型企业）；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 承建（承接）企业为</w:t>
      </w:r>
      <w:r>
        <w:rPr>
          <w:rFonts w:hint="eastAsia" w:ascii="宋体" w:hAnsi="宋体" w:cs="宋体"/>
          <w:sz w:val="24"/>
          <w:highlight w:val="none"/>
          <w:u w:val="single"/>
        </w:rPr>
        <w:t>（企业名称）</w:t>
      </w:r>
      <w:r>
        <w:rPr>
          <w:rFonts w:hint="eastAsia" w:ascii="宋体" w:hAnsi="宋体" w:cs="宋体"/>
          <w:sz w:val="24"/>
          <w:highlight w:val="none"/>
        </w:rPr>
        <w:t>，从业人员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（中型企业、 小型企业、微型企业）</w:t>
      </w:r>
      <w:r>
        <w:rPr>
          <w:rFonts w:hint="eastAsia" w:ascii="宋体" w:hAnsi="宋体" w:cs="宋体"/>
          <w:sz w:val="24"/>
          <w:highlight w:val="none"/>
        </w:rPr>
        <w:t>；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以上企业，不属于大企业的分支机构，不存在控股股东 为大企业的情形，也不存在与大企业的负责人为同一人的情形。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本企业对上述声明内容的真实性负责。如有虚假，将依 法承担相应责任。 </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企业名称（盖章）： </w:t>
      </w:r>
    </w:p>
    <w:p>
      <w:pPr>
        <w:spacing w:line="360" w:lineRule="auto"/>
        <w:ind w:firstLine="4800" w:firstLineChars="2000"/>
        <w:rPr>
          <w:rFonts w:ascii="宋体" w:hAnsi="宋体" w:cs="宋体"/>
          <w:sz w:val="24"/>
          <w:highlight w:val="none"/>
        </w:rPr>
      </w:pPr>
      <w:r>
        <w:rPr>
          <w:rFonts w:hint="eastAsia" w:ascii="宋体" w:hAnsi="宋体" w:cs="宋体"/>
          <w:sz w:val="24"/>
          <w:highlight w:val="none"/>
        </w:rPr>
        <w:t xml:space="preserve">日 期： </w:t>
      </w:r>
    </w:p>
    <w:p>
      <w:pPr>
        <w:pStyle w:val="41"/>
        <w:rPr>
          <w:rFonts w:ascii="宋体" w:hAnsi="宋体" w:cs="宋体"/>
          <w:sz w:val="24"/>
          <w:szCs w:val="24"/>
          <w:highlight w:val="none"/>
        </w:rPr>
      </w:pPr>
    </w:p>
    <w:p>
      <w:pPr>
        <w:pStyle w:val="5"/>
        <w:rPr>
          <w:rFonts w:ascii="宋体" w:hAnsi="宋体" w:eastAsia="宋体" w:cs="宋体"/>
          <w:sz w:val="24"/>
          <w:highlight w:val="none"/>
        </w:rPr>
      </w:pPr>
    </w:p>
    <w:p>
      <w:pPr>
        <w:rPr>
          <w:rFonts w:ascii="宋体" w:hAnsi="宋体" w:cs="宋体"/>
          <w:sz w:val="24"/>
          <w:highlight w:val="none"/>
        </w:rPr>
      </w:pPr>
    </w:p>
    <w:p>
      <w:pPr>
        <w:pStyle w:val="41"/>
        <w:rPr>
          <w:rFonts w:ascii="宋体" w:hAnsi="宋体" w:cs="宋体"/>
          <w:sz w:val="24"/>
          <w:szCs w:val="24"/>
          <w:highlight w:val="none"/>
        </w:rPr>
      </w:pPr>
    </w:p>
    <w:p>
      <w:pPr>
        <w:pStyle w:val="5"/>
        <w:rPr>
          <w:highlight w:val="none"/>
        </w:rPr>
      </w:pPr>
    </w:p>
    <w:p>
      <w:pPr>
        <w:spacing w:line="360" w:lineRule="auto"/>
        <w:ind w:firstLine="480" w:firstLineChars="200"/>
        <w:rPr>
          <w:sz w:val="24"/>
          <w:szCs w:val="24"/>
          <w:highlight w:val="none"/>
        </w:rPr>
      </w:pPr>
      <w:r>
        <w:rPr>
          <w:rFonts w:hint="eastAsia"/>
          <w:sz w:val="24"/>
          <w:szCs w:val="24"/>
          <w:highlight w:val="none"/>
        </w:rPr>
        <w:t>注：1.从业人员、营业收入、资产总额填报上一年度数据，无上一年度数据的新成立企业可不填报。</w:t>
      </w:r>
    </w:p>
    <w:p>
      <w:pPr>
        <w:numPr>
          <w:ilvl w:val="0"/>
          <w:numId w:val="4"/>
        </w:numPr>
        <w:spacing w:line="360" w:lineRule="auto"/>
        <w:ind w:firstLine="480" w:firstLineChars="200"/>
        <w:rPr>
          <w:rFonts w:hint="eastAsia"/>
          <w:sz w:val="24"/>
          <w:szCs w:val="24"/>
          <w:highlight w:val="none"/>
        </w:rPr>
      </w:pPr>
      <w:r>
        <w:rPr>
          <w:rFonts w:hint="eastAsia"/>
          <w:sz w:val="24"/>
          <w:szCs w:val="24"/>
          <w:highlight w:val="none"/>
        </w:rPr>
        <w:t>本项目如是只面向中小企业采购的应当必须提供。</w:t>
      </w:r>
    </w:p>
    <w:p>
      <w:pPr>
        <w:numPr>
          <w:ilvl w:val="0"/>
          <w:numId w:val="4"/>
        </w:numPr>
        <w:spacing w:line="360" w:lineRule="auto"/>
        <w:ind w:firstLine="480" w:firstLineChars="200"/>
        <w:rPr>
          <w:rFonts w:hint="default" w:eastAsia="宋体"/>
          <w:sz w:val="24"/>
          <w:szCs w:val="24"/>
          <w:highlight w:val="none"/>
          <w:lang w:val="en-US" w:eastAsia="zh-CN"/>
        </w:rPr>
      </w:pPr>
      <w:r>
        <w:rPr>
          <w:rFonts w:hint="eastAsia"/>
          <w:sz w:val="24"/>
          <w:szCs w:val="24"/>
          <w:highlight w:val="none"/>
          <w:lang w:val="en-US" w:eastAsia="zh-CN"/>
        </w:rPr>
        <w:t>此格式仅供参考。</w:t>
      </w:r>
    </w:p>
    <w:p>
      <w:pPr>
        <w:spacing w:line="360" w:lineRule="auto"/>
        <w:jc w:val="center"/>
        <w:rPr>
          <w:rFonts w:ascii="宋体" w:hAnsi="宋体" w:cs="宋体"/>
          <w:b/>
          <w:bCs/>
          <w:sz w:val="24"/>
          <w:highlight w:val="none"/>
        </w:rPr>
      </w:pPr>
    </w:p>
    <w:p>
      <w:pPr>
        <w:spacing w:line="360" w:lineRule="auto"/>
        <w:jc w:val="center"/>
        <w:rPr>
          <w:rFonts w:ascii="宋体" w:hAnsi="宋体" w:cs="宋体"/>
          <w:b/>
          <w:bCs/>
          <w:sz w:val="24"/>
          <w:highlight w:val="none"/>
        </w:rPr>
      </w:pPr>
    </w:p>
    <w:p>
      <w:pPr>
        <w:pStyle w:val="41"/>
        <w:rPr>
          <w:rFonts w:ascii="宋体" w:hAnsi="宋体" w:cs="宋体"/>
          <w:b/>
          <w:bCs/>
          <w:sz w:val="24"/>
          <w:highlight w:val="none"/>
        </w:rPr>
      </w:pPr>
    </w:p>
    <w:p>
      <w:pPr>
        <w:pStyle w:val="5"/>
        <w:rPr>
          <w:highlight w:val="none"/>
        </w:rPr>
      </w:pPr>
    </w:p>
    <w:p>
      <w:pPr>
        <w:spacing w:line="360" w:lineRule="auto"/>
        <w:rPr>
          <w:rFonts w:ascii="宋体" w:hAnsi="宋体" w:cs="宋体"/>
          <w:sz w:val="24"/>
          <w:highlight w:val="none"/>
        </w:rPr>
      </w:pPr>
    </w:p>
    <w:p>
      <w:pPr>
        <w:spacing w:line="360" w:lineRule="auto"/>
        <w:rPr>
          <w:rFonts w:ascii="宋体" w:hAnsi="宋体" w:cs="宋体"/>
          <w:sz w:val="24"/>
          <w:highlight w:val="none"/>
        </w:rPr>
      </w:pPr>
      <w:r>
        <w:rPr>
          <w:rFonts w:hint="eastAsia" w:ascii="宋体" w:hAnsi="宋体" w:cs="宋体"/>
          <w:sz w:val="24"/>
          <w:highlight w:val="none"/>
        </w:rPr>
        <w:t>格式10其他资料</w:t>
      </w: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rPr>
          <w:highlight w:val="none"/>
        </w:rPr>
      </w:pPr>
      <w:r>
        <w:rPr>
          <w:rFonts w:hint="eastAsia" w:ascii="宋体" w:hAnsi="宋体" w:cs="宋体"/>
          <w:sz w:val="24"/>
          <w:highlight w:val="none"/>
        </w:rPr>
        <w:t>格式11</w:t>
      </w:r>
    </w:p>
    <w:p>
      <w:pPr>
        <w:spacing w:line="380" w:lineRule="exact"/>
        <w:jc w:val="center"/>
        <w:rPr>
          <w:rStyle w:val="70"/>
          <w:rFonts w:ascii="宋体"/>
          <w:b/>
          <w:bCs/>
          <w:sz w:val="28"/>
          <w:szCs w:val="28"/>
          <w:highlight w:val="none"/>
        </w:rPr>
      </w:pPr>
      <w:r>
        <w:rPr>
          <w:rStyle w:val="70"/>
          <w:rFonts w:hint="eastAsia" w:ascii="宋体" w:hAnsi="宋体" w:cs="宋体"/>
          <w:b/>
          <w:bCs/>
          <w:sz w:val="28"/>
          <w:szCs w:val="28"/>
          <w:highlight w:val="none"/>
        </w:rPr>
        <w:t>政府采购供应商诚信承诺书</w:t>
      </w:r>
    </w:p>
    <w:p>
      <w:pPr>
        <w:spacing w:line="380" w:lineRule="exact"/>
        <w:jc w:val="center"/>
        <w:rPr>
          <w:rStyle w:val="70"/>
          <w:rFonts w:ascii="宋体"/>
          <w:b/>
          <w:bCs/>
          <w:sz w:val="24"/>
          <w:highlight w:val="none"/>
        </w:rPr>
      </w:pPr>
    </w:p>
    <w:p>
      <w:pPr>
        <w:spacing w:line="380" w:lineRule="exact"/>
        <w:ind w:firstLine="720" w:firstLineChars="300"/>
        <w:rPr>
          <w:rFonts w:ascii="宋体" w:hAnsi="宋体" w:cs="宋体"/>
          <w:sz w:val="24"/>
          <w:highlight w:val="none"/>
        </w:rPr>
      </w:pPr>
      <w:r>
        <w:rPr>
          <w:rFonts w:hint="eastAsia" w:ascii="宋体" w:hAnsi="宋体" w:cs="宋体"/>
          <w:sz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rPr>
          <w:rFonts w:ascii="宋体" w:hAnsi="宋体" w:cs="宋体"/>
          <w:sz w:val="24"/>
          <w:highlight w:val="none"/>
        </w:rPr>
      </w:pPr>
      <w:r>
        <w:rPr>
          <w:rFonts w:hint="eastAsia" w:ascii="宋体" w:hAnsi="宋体" w:cs="宋体"/>
          <w:sz w:val="24"/>
          <w:highlight w:val="none"/>
        </w:rPr>
        <w:t>（一）提供虚假材料谋取中标;</w:t>
      </w:r>
    </w:p>
    <w:p>
      <w:pPr>
        <w:spacing w:line="380" w:lineRule="exact"/>
        <w:rPr>
          <w:rFonts w:ascii="宋体" w:hAnsi="宋体" w:cs="宋体"/>
          <w:sz w:val="24"/>
          <w:highlight w:val="none"/>
        </w:rPr>
      </w:pPr>
      <w:r>
        <w:rPr>
          <w:rFonts w:hint="eastAsia" w:ascii="宋体" w:hAnsi="宋体" w:cs="宋体"/>
          <w:sz w:val="24"/>
          <w:highlight w:val="none"/>
        </w:rPr>
        <w:t>（二）采取不正当手段诋毁、排挤其他供应商;</w:t>
      </w:r>
    </w:p>
    <w:p>
      <w:pPr>
        <w:spacing w:line="380" w:lineRule="exact"/>
        <w:rPr>
          <w:rFonts w:ascii="宋体" w:hAnsi="宋体" w:cs="宋体"/>
          <w:sz w:val="24"/>
          <w:highlight w:val="none"/>
        </w:rPr>
      </w:pPr>
      <w:r>
        <w:rPr>
          <w:rFonts w:hint="eastAsia" w:ascii="宋体" w:hAnsi="宋体" w:cs="宋体"/>
          <w:sz w:val="24"/>
          <w:highlight w:val="none"/>
        </w:rPr>
        <w:t>（三）与招标采购单位、其他投标人恶意串通;</w:t>
      </w:r>
    </w:p>
    <w:p>
      <w:pPr>
        <w:spacing w:line="380" w:lineRule="exact"/>
        <w:rPr>
          <w:rFonts w:ascii="宋体" w:hAnsi="宋体" w:cs="宋体"/>
          <w:sz w:val="24"/>
          <w:highlight w:val="none"/>
        </w:rPr>
      </w:pPr>
      <w:r>
        <w:rPr>
          <w:rFonts w:hint="eastAsia" w:ascii="宋体" w:hAnsi="宋体" w:cs="宋体"/>
          <w:sz w:val="24"/>
          <w:highlight w:val="none"/>
        </w:rPr>
        <w:t>（四）向招标采购单位或提供其他不正当利益;</w:t>
      </w:r>
    </w:p>
    <w:p>
      <w:pPr>
        <w:spacing w:line="380" w:lineRule="exact"/>
        <w:rPr>
          <w:rFonts w:ascii="宋体" w:hAnsi="宋体" w:cs="宋体"/>
          <w:sz w:val="24"/>
          <w:highlight w:val="none"/>
        </w:rPr>
      </w:pPr>
      <w:r>
        <w:rPr>
          <w:rFonts w:hint="eastAsia" w:ascii="宋体" w:hAnsi="宋体" w:cs="宋体"/>
          <w:sz w:val="24"/>
          <w:highlight w:val="none"/>
        </w:rPr>
        <w:t>（五）在招标过程中与招标采购单位进行协商谈判、不按照招标文件和投标文件订立合同，或者与采购人另立背离合同实质性内容协议;</w:t>
      </w:r>
    </w:p>
    <w:p>
      <w:pPr>
        <w:spacing w:line="380" w:lineRule="exact"/>
        <w:rPr>
          <w:rFonts w:ascii="宋体" w:hAnsi="宋体" w:cs="宋体"/>
          <w:sz w:val="24"/>
          <w:highlight w:val="none"/>
        </w:rPr>
      </w:pPr>
      <w:r>
        <w:rPr>
          <w:rFonts w:hint="eastAsia" w:ascii="宋体" w:hAnsi="宋体" w:cs="宋体"/>
          <w:sz w:val="24"/>
          <w:highlight w:val="none"/>
        </w:rPr>
        <w:t>（六）开标后擅自撤销投标，影响招标继续进行的或领取招标文件纳投标保证金后不投标导致废标;</w:t>
      </w:r>
    </w:p>
    <w:p>
      <w:pPr>
        <w:spacing w:line="380" w:lineRule="exact"/>
        <w:rPr>
          <w:rFonts w:ascii="宋体" w:hAnsi="宋体" w:cs="宋体"/>
          <w:sz w:val="24"/>
          <w:highlight w:val="none"/>
        </w:rPr>
      </w:pPr>
      <w:r>
        <w:rPr>
          <w:rFonts w:hint="eastAsia" w:ascii="宋体" w:hAnsi="宋体" w:cs="宋体"/>
          <w:sz w:val="24"/>
          <w:highlight w:val="none"/>
        </w:rPr>
        <w:t>（七）中标后无正当理由，在规定时间内不与采购单位签订合同;</w:t>
      </w:r>
    </w:p>
    <w:p>
      <w:pPr>
        <w:spacing w:line="380" w:lineRule="exact"/>
        <w:rPr>
          <w:rFonts w:ascii="宋体" w:hAnsi="宋体" w:cs="宋体"/>
          <w:sz w:val="24"/>
          <w:highlight w:val="none"/>
        </w:rPr>
      </w:pPr>
      <w:r>
        <w:rPr>
          <w:rFonts w:hint="eastAsia" w:ascii="宋体" w:hAnsi="宋体" w:cs="宋体"/>
          <w:sz w:val="24"/>
          <w:highlight w:val="none"/>
        </w:rPr>
        <w:t>（八）将中标项目转让给他人或非法分包他人;</w:t>
      </w:r>
    </w:p>
    <w:p>
      <w:pPr>
        <w:spacing w:line="380" w:lineRule="exact"/>
        <w:rPr>
          <w:rFonts w:ascii="宋体" w:hAnsi="宋体" w:cs="宋体"/>
          <w:sz w:val="24"/>
          <w:highlight w:val="none"/>
        </w:rPr>
      </w:pPr>
      <w:r>
        <w:rPr>
          <w:rFonts w:hint="eastAsia" w:ascii="宋体" w:hAnsi="宋体" w:cs="宋体"/>
          <w:sz w:val="24"/>
          <w:highlight w:val="none"/>
        </w:rPr>
        <w:t>（九）无正当理由，拒绝履行合同义务;</w:t>
      </w:r>
    </w:p>
    <w:p>
      <w:pPr>
        <w:spacing w:line="380" w:lineRule="exact"/>
        <w:rPr>
          <w:rFonts w:ascii="宋体" w:hAnsi="宋体" w:cs="宋体"/>
          <w:sz w:val="24"/>
          <w:highlight w:val="none"/>
        </w:rPr>
      </w:pPr>
      <w:r>
        <w:rPr>
          <w:rFonts w:hint="eastAsia" w:ascii="宋体" w:hAnsi="宋体" w:cs="宋体"/>
          <w:sz w:val="24"/>
          <w:highlight w:val="none"/>
        </w:rPr>
        <w:t>（十）无正当理由放弃中标（成交）项目;</w:t>
      </w:r>
    </w:p>
    <w:p>
      <w:pPr>
        <w:spacing w:line="380" w:lineRule="exact"/>
        <w:rPr>
          <w:rFonts w:ascii="宋体" w:hAnsi="宋体" w:cs="宋体"/>
          <w:sz w:val="24"/>
          <w:highlight w:val="none"/>
        </w:rPr>
      </w:pPr>
      <w:r>
        <w:rPr>
          <w:rFonts w:hint="eastAsia" w:ascii="宋体" w:hAnsi="宋体" w:cs="宋体"/>
          <w:sz w:val="24"/>
          <w:highlight w:val="none"/>
        </w:rPr>
        <w:t>（十一）</w:t>
      </w:r>
      <w:r>
        <w:rPr>
          <w:rFonts w:hint="eastAsia" w:ascii="宋体" w:hAnsi="宋体" w:cs="宋体"/>
          <w:sz w:val="24"/>
          <w:highlight w:val="none"/>
          <w:lang w:val="en-US" w:eastAsia="zh-CN"/>
        </w:rPr>
        <w:t>擅自</w:t>
      </w:r>
      <w:r>
        <w:rPr>
          <w:rFonts w:hint="eastAsia" w:ascii="宋体" w:hAnsi="宋体" w:cs="宋体"/>
          <w:sz w:val="24"/>
          <w:highlight w:val="none"/>
        </w:rPr>
        <w:t>与采购人串通或接受采购人要求，在履约合同中通过减少货物数量，更换品牌、降低配置、技术要求、质量和服务标准等，却仍按原合同进行虚假验收或终止政府采购合同;</w:t>
      </w:r>
    </w:p>
    <w:p>
      <w:pPr>
        <w:spacing w:line="380" w:lineRule="exact"/>
        <w:rPr>
          <w:rFonts w:ascii="宋体" w:hAnsi="宋体" w:cs="宋体"/>
          <w:sz w:val="24"/>
          <w:highlight w:val="none"/>
        </w:rPr>
      </w:pPr>
      <w:r>
        <w:rPr>
          <w:rFonts w:hint="eastAsia" w:ascii="宋体" w:hAnsi="宋体" w:cs="宋体"/>
          <w:sz w:val="24"/>
          <w:highlight w:val="none"/>
        </w:rPr>
        <w:t>（十二）与采购人串通，对尚未履约完毕的采购项目出具虚假验收报告；</w:t>
      </w:r>
    </w:p>
    <w:p>
      <w:pPr>
        <w:spacing w:line="380" w:lineRule="exact"/>
        <w:rPr>
          <w:rFonts w:ascii="宋体" w:hAnsi="宋体" w:cs="宋体"/>
          <w:sz w:val="24"/>
          <w:highlight w:val="none"/>
        </w:rPr>
      </w:pPr>
      <w:r>
        <w:rPr>
          <w:rFonts w:hint="eastAsia" w:ascii="宋体" w:hAnsi="宋体" w:cs="宋体"/>
          <w:sz w:val="24"/>
          <w:highlight w:val="none"/>
        </w:rPr>
        <w:t>（十三）无不可抗力因素，拒绝提供售后服务、售后服务态度恶劣、故意提高维修配件价格（高于市场平均价）；</w:t>
      </w:r>
    </w:p>
    <w:p>
      <w:pPr>
        <w:spacing w:line="380" w:lineRule="exact"/>
        <w:rPr>
          <w:rFonts w:ascii="宋体" w:hAnsi="宋体" w:cs="宋体"/>
          <w:sz w:val="24"/>
          <w:highlight w:val="none"/>
        </w:rPr>
      </w:pPr>
      <w:r>
        <w:rPr>
          <w:rFonts w:hint="eastAsia" w:ascii="宋体" w:hAnsi="宋体" w:cs="宋体"/>
          <w:sz w:val="24"/>
          <w:highlight w:val="none"/>
        </w:rPr>
        <w:t>（十四）开标后对招标文件的相关内容再进行质疑；</w:t>
      </w:r>
    </w:p>
    <w:p>
      <w:pPr>
        <w:spacing w:line="380" w:lineRule="exact"/>
        <w:rPr>
          <w:rFonts w:ascii="宋体" w:hAnsi="宋体" w:cs="宋体"/>
          <w:sz w:val="24"/>
          <w:highlight w:val="none"/>
        </w:rPr>
      </w:pPr>
      <w:r>
        <w:rPr>
          <w:rFonts w:hint="eastAsia" w:ascii="宋体" w:hAnsi="宋体" w:cs="宋体"/>
          <w:sz w:val="24"/>
          <w:highlight w:val="none"/>
        </w:rPr>
        <w:t>（十五）恶意投诉的行为：投诉经查无实据的、捏造事实或者提供虚假设诉材料；</w:t>
      </w:r>
    </w:p>
    <w:p>
      <w:pPr>
        <w:spacing w:line="380" w:lineRule="exact"/>
        <w:rPr>
          <w:rFonts w:ascii="宋体" w:hAnsi="宋体" w:cs="宋体"/>
          <w:sz w:val="24"/>
          <w:highlight w:val="none"/>
        </w:rPr>
      </w:pPr>
      <w:r>
        <w:rPr>
          <w:rFonts w:hint="eastAsia" w:ascii="宋体" w:hAnsi="宋体" w:cs="宋体"/>
          <w:sz w:val="24"/>
          <w:highlight w:val="none"/>
        </w:rPr>
        <w:t>（十六）拒绝有关部门监督检查或者提供虚假情况；</w:t>
      </w:r>
    </w:p>
    <w:p>
      <w:pPr>
        <w:spacing w:line="380" w:lineRule="exact"/>
        <w:rPr>
          <w:rFonts w:ascii="宋体" w:hAnsi="宋体" w:cs="宋体"/>
          <w:sz w:val="24"/>
          <w:highlight w:val="none"/>
        </w:rPr>
      </w:pPr>
      <w:r>
        <w:rPr>
          <w:rFonts w:hint="eastAsia" w:ascii="宋体" w:hAnsi="宋体" w:cs="宋体"/>
          <w:sz w:val="24"/>
          <w:highlight w:val="none"/>
        </w:rPr>
        <w:t>（十七）政府采购监管部门认定的其他政府采购活动中的不诚信行为。</w:t>
      </w:r>
    </w:p>
    <w:p>
      <w:pPr>
        <w:spacing w:line="380" w:lineRule="exact"/>
        <w:ind w:firstLine="3360" w:firstLineChars="1400"/>
        <w:rPr>
          <w:rFonts w:ascii="宋体" w:hAnsi="宋体" w:cs="宋体"/>
          <w:sz w:val="24"/>
          <w:highlight w:val="none"/>
        </w:rPr>
      </w:pPr>
    </w:p>
    <w:p>
      <w:pPr>
        <w:spacing w:line="380" w:lineRule="exact"/>
        <w:ind w:firstLine="3360" w:firstLineChars="1400"/>
        <w:rPr>
          <w:rFonts w:ascii="宋体" w:hAnsi="宋体" w:cs="宋体"/>
          <w:sz w:val="24"/>
          <w:highlight w:val="none"/>
        </w:rPr>
      </w:pPr>
      <w:r>
        <w:rPr>
          <w:rFonts w:hint="eastAsia" w:ascii="宋体" w:hAnsi="宋体" w:cs="宋体"/>
          <w:sz w:val="24"/>
          <w:highlight w:val="none"/>
        </w:rPr>
        <w:t>供应商名称：（盖章）</w:t>
      </w:r>
    </w:p>
    <w:p>
      <w:pPr>
        <w:spacing w:line="380" w:lineRule="exact"/>
        <w:ind w:firstLine="3360" w:firstLineChars="1400"/>
        <w:rPr>
          <w:rFonts w:ascii="宋体" w:hAnsi="宋体" w:cs="宋体"/>
          <w:sz w:val="24"/>
          <w:highlight w:val="none"/>
        </w:rPr>
      </w:pPr>
      <w:r>
        <w:rPr>
          <w:rFonts w:hint="eastAsia" w:ascii="宋体" w:hAnsi="宋体" w:cs="宋体"/>
          <w:sz w:val="24"/>
          <w:highlight w:val="none"/>
        </w:rPr>
        <w:t>法定代表人：（签字）</w:t>
      </w:r>
    </w:p>
    <w:p>
      <w:pPr>
        <w:spacing w:line="380" w:lineRule="exact"/>
        <w:ind w:firstLine="3360" w:firstLineChars="1400"/>
        <w:rPr>
          <w:rFonts w:ascii="宋体" w:hAnsi="宋体" w:cs="宋体"/>
          <w:sz w:val="24"/>
          <w:highlight w:val="none"/>
        </w:rPr>
      </w:pPr>
    </w:p>
    <w:p>
      <w:pPr>
        <w:spacing w:line="380" w:lineRule="exact"/>
        <w:ind w:firstLine="3360" w:firstLineChars="1400"/>
        <w:rPr>
          <w:rFonts w:ascii="宋体" w:hAnsi="宋体" w:cs="宋体"/>
          <w:b/>
          <w:sz w:val="24"/>
          <w:highlight w:val="none"/>
        </w:rPr>
      </w:pPr>
      <w:r>
        <w:rPr>
          <w:rFonts w:hint="eastAsia" w:ascii="宋体" w:hAnsi="宋体" w:cs="宋体"/>
          <w:sz w:val="24"/>
          <w:highlight w:val="none"/>
        </w:rPr>
        <w:t>日期：年月日</w:t>
      </w:r>
    </w:p>
    <w:p>
      <w:pPr>
        <w:pStyle w:val="38"/>
        <w:ind w:firstLine="0" w:firstLineChars="0"/>
        <w:rPr>
          <w:rFonts w:ascii="宋体" w:hAnsi="宋体" w:cs="宋体"/>
          <w:b/>
          <w:sz w:val="24"/>
          <w:highlight w:val="none"/>
        </w:rPr>
      </w:pPr>
    </w:p>
    <w:p>
      <w:pPr>
        <w:rPr>
          <w:rFonts w:hint="eastAsia" w:ascii="宋体" w:hAnsi="宋体" w:cs="宋体"/>
          <w:b/>
          <w:sz w:val="32"/>
          <w:szCs w:val="32"/>
          <w:highlight w:val="none"/>
        </w:rPr>
      </w:pPr>
    </w:p>
    <w:p>
      <w:pPr>
        <w:pStyle w:val="3"/>
        <w:spacing w:line="500" w:lineRule="exact"/>
        <w:rPr>
          <w:rFonts w:ascii="宋体" w:hAnsi="宋体" w:cs="宋体"/>
          <w:b/>
          <w:sz w:val="32"/>
          <w:szCs w:val="32"/>
          <w:highlight w:val="none"/>
        </w:rPr>
      </w:pPr>
      <w:r>
        <w:rPr>
          <w:rFonts w:hint="eastAsia" w:ascii="宋体" w:hAnsi="宋体" w:cs="宋体"/>
          <w:b/>
          <w:sz w:val="32"/>
          <w:szCs w:val="32"/>
          <w:highlight w:val="none"/>
        </w:rPr>
        <w:t xml:space="preserve">第五章  </w:t>
      </w:r>
      <w:r>
        <w:rPr>
          <w:rFonts w:hint="eastAsia" w:ascii="宋体" w:hAnsi="宋体" w:cs="宋体"/>
          <w:b/>
          <w:w w:val="92"/>
          <w:sz w:val="32"/>
          <w:szCs w:val="32"/>
          <w:highlight w:val="none"/>
        </w:rPr>
        <w:t>周口市</w:t>
      </w:r>
      <w:r>
        <w:rPr>
          <w:rFonts w:hint="eastAsia" w:ascii="宋体" w:hAnsi="宋体" w:cs="宋体"/>
          <w:b/>
          <w:sz w:val="32"/>
          <w:szCs w:val="32"/>
          <w:highlight w:val="none"/>
        </w:rPr>
        <w:t>政府采购合同（服务类）标准文本</w:t>
      </w:r>
    </w:p>
    <w:p>
      <w:pPr>
        <w:ind w:firstLine="640" w:firstLineChars="200"/>
        <w:rPr>
          <w:rFonts w:ascii="宋体" w:hAnsi="宋体" w:cs="宋体"/>
          <w:sz w:val="32"/>
          <w:szCs w:val="32"/>
          <w:highlight w:val="none"/>
        </w:rPr>
      </w:pPr>
    </w:p>
    <w:p>
      <w:pPr>
        <w:pStyle w:val="83"/>
        <w:spacing w:beforeLines="0" w:afterLines="0"/>
        <w:ind w:left="0" w:firstLine="640" w:firstLineChars="200"/>
        <w:rPr>
          <w:rFonts w:ascii="宋体" w:hAnsi="宋体" w:cs="宋体"/>
          <w:sz w:val="32"/>
          <w:szCs w:val="32"/>
          <w:highlight w:val="none"/>
        </w:rPr>
      </w:pPr>
    </w:p>
    <w:p>
      <w:pPr>
        <w:pStyle w:val="83"/>
        <w:spacing w:beforeLines="0" w:afterLines="0"/>
        <w:ind w:left="0" w:firstLine="640" w:firstLineChars="200"/>
        <w:rPr>
          <w:rFonts w:ascii="宋体" w:hAnsi="宋体" w:cs="宋体"/>
          <w:sz w:val="32"/>
          <w:szCs w:val="32"/>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政府采购项目名称：</w:t>
      </w: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政府采购项目编号：</w:t>
      </w: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采      购    人：</w:t>
      </w: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供      应    商：</w:t>
      </w: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合  同  签 订 地：</w:t>
      </w:r>
    </w:p>
    <w:p>
      <w:pPr>
        <w:pStyle w:val="83"/>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合 同 签订 时 间：</w:t>
      </w: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ind w:left="0" w:firstLine="600" w:firstLineChars="200"/>
        <w:rPr>
          <w:rFonts w:ascii="宋体" w:hAnsi="宋体" w:cs="宋体"/>
          <w:sz w:val="30"/>
          <w:szCs w:val="30"/>
          <w:highlight w:val="none"/>
        </w:rPr>
      </w:pPr>
    </w:p>
    <w:p>
      <w:pPr>
        <w:pStyle w:val="83"/>
        <w:spacing w:beforeLines="0" w:afterLines="0" w:line="440" w:lineRule="exact"/>
        <w:ind w:left="0"/>
        <w:jc w:val="center"/>
        <w:rPr>
          <w:rFonts w:hint="eastAsia" w:ascii="宋体" w:hAnsi="宋体" w:cs="宋体"/>
          <w:sz w:val="32"/>
          <w:szCs w:val="32"/>
          <w:highlight w:val="none"/>
        </w:rPr>
      </w:pPr>
    </w:p>
    <w:p>
      <w:pPr>
        <w:pStyle w:val="83"/>
        <w:spacing w:beforeLines="0" w:afterLines="0" w:line="440" w:lineRule="exact"/>
        <w:ind w:left="0"/>
        <w:jc w:val="center"/>
        <w:rPr>
          <w:rFonts w:hint="eastAsia" w:ascii="宋体" w:hAnsi="宋体" w:cs="宋体"/>
          <w:sz w:val="32"/>
          <w:szCs w:val="32"/>
          <w:highlight w:val="none"/>
        </w:rPr>
      </w:pPr>
    </w:p>
    <w:p>
      <w:pPr>
        <w:pStyle w:val="83"/>
        <w:spacing w:beforeLines="0" w:afterLines="0" w:line="440" w:lineRule="exact"/>
        <w:ind w:left="0"/>
        <w:jc w:val="center"/>
        <w:rPr>
          <w:rFonts w:hint="eastAsia" w:ascii="宋体" w:hAnsi="宋体" w:cs="宋体"/>
          <w:sz w:val="32"/>
          <w:szCs w:val="32"/>
          <w:highlight w:val="none"/>
        </w:rPr>
      </w:pPr>
    </w:p>
    <w:p>
      <w:pPr>
        <w:pStyle w:val="83"/>
        <w:spacing w:beforeLines="0" w:afterLines="0" w:line="440" w:lineRule="exact"/>
        <w:ind w:left="0"/>
        <w:jc w:val="center"/>
        <w:rPr>
          <w:rFonts w:hint="eastAsia" w:ascii="宋体" w:hAnsi="宋体" w:cs="宋体"/>
          <w:sz w:val="32"/>
          <w:szCs w:val="32"/>
          <w:highlight w:val="none"/>
        </w:rPr>
      </w:pPr>
    </w:p>
    <w:p>
      <w:pPr>
        <w:pStyle w:val="83"/>
        <w:spacing w:beforeLines="0" w:afterLines="0" w:line="440" w:lineRule="exact"/>
        <w:ind w:left="0"/>
        <w:jc w:val="center"/>
        <w:rPr>
          <w:rFonts w:hint="eastAsia" w:ascii="宋体" w:hAnsi="宋体" w:cs="宋体"/>
          <w:sz w:val="32"/>
          <w:szCs w:val="32"/>
          <w:highlight w:val="none"/>
        </w:rPr>
      </w:pPr>
    </w:p>
    <w:p>
      <w:pPr>
        <w:pStyle w:val="83"/>
        <w:spacing w:beforeLines="0" w:afterLines="0" w:line="440" w:lineRule="exact"/>
        <w:ind w:left="0"/>
        <w:jc w:val="center"/>
        <w:rPr>
          <w:rFonts w:ascii="宋体" w:hAnsi="宋体" w:cs="宋体"/>
          <w:sz w:val="32"/>
          <w:szCs w:val="32"/>
          <w:highlight w:val="none"/>
        </w:rPr>
      </w:pPr>
      <w:r>
        <w:rPr>
          <w:rFonts w:hint="eastAsia" w:ascii="宋体" w:hAnsi="宋体" w:cs="宋体"/>
          <w:sz w:val="32"/>
          <w:szCs w:val="32"/>
          <w:highlight w:val="none"/>
        </w:rPr>
        <w:t>合同签订指引</w:t>
      </w:r>
    </w:p>
    <w:p>
      <w:pPr>
        <w:pStyle w:val="83"/>
        <w:spacing w:beforeLines="0" w:afterLines="0" w:line="440" w:lineRule="exact"/>
        <w:ind w:left="0"/>
        <w:rPr>
          <w:rFonts w:ascii="宋体" w:hAnsi="宋体" w:cs="宋体"/>
          <w:sz w:val="30"/>
          <w:szCs w:val="30"/>
          <w:highlight w:val="none"/>
        </w:rPr>
      </w:pP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一、采购人在签订合同时应提供的资料：</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1、该政府采购项目的招标采购文件（以网上发布内容为准）；</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2、该政府采购项目招标文件的澄清和修改内容（公告内容）；</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3、该政府采购项目评审报告；</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4、采购单位法人授权委托书（法人到场并签字的除外）；</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5、采购单位被授权人身份证件（法人到场并签字的除外）；</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6、采购人和中标供应商（或服务商，下同）约定的其它内容（不得超出招标采购文件实质性内容）。</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二、供应商在签订合同时应提供的资料：</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1、该政府采购项目的投标文件（纸质或DPF格式的电子投标文件）；</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2、针对该项目评审时评审委员会提出的质询答复（纸质并签章）；</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3、该政府采购项目中标通知书；</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4、供应商法人授权委托书（法人到场并签字的除外）；</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5、供应商被授权人身份证件（法人到场并签字的除外）；</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6、供应商和采购人约定的其它内容（不得超出招标采购文件实质性内容）。</w:t>
      </w:r>
    </w:p>
    <w:p>
      <w:pPr>
        <w:pStyle w:val="83"/>
        <w:spacing w:beforeLines="0" w:afterLines="0" w:line="440" w:lineRule="exact"/>
        <w:ind w:left="0" w:firstLine="420" w:firstLineChars="200"/>
        <w:jc w:val="both"/>
        <w:rPr>
          <w:rFonts w:hint="eastAsia"/>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14:textFill>
            <w14:solidFill>
              <w14:schemeClr w14:val="tx1"/>
            </w14:solidFill>
          </w14:textFill>
        </w:rPr>
        <w:t>7、采购人、成交供应商在成交通知书发出之日起30日内，按照</w:t>
      </w:r>
      <w:r>
        <w:rPr>
          <w:rFonts w:hint="eastAsia"/>
          <w:color w:val="000000" w:themeColor="text1"/>
          <w:sz w:val="21"/>
          <w:szCs w:val="21"/>
          <w:highlight w:val="none"/>
          <w:lang w:val="en-US" w:eastAsia="zh-CN"/>
          <w14:textFill>
            <w14:solidFill>
              <w14:schemeClr w14:val="tx1"/>
            </w14:solidFill>
          </w14:textFill>
        </w:rPr>
        <w:t>竞争性磋商文件</w:t>
      </w:r>
      <w:r>
        <w:rPr>
          <w:rFonts w:hint="eastAsia"/>
          <w:color w:val="000000" w:themeColor="text1"/>
          <w:sz w:val="21"/>
          <w:szCs w:val="21"/>
          <w:highlight w:val="none"/>
          <w:lang w:val="en-US"/>
          <w14:textFill>
            <w14:solidFill>
              <w14:schemeClr w14:val="tx1"/>
            </w14:solidFill>
          </w14:textFill>
        </w:rPr>
        <w:t>确定的合同文本签订政府采购合同，此项须做出书面承诺</w:t>
      </w:r>
      <w:r>
        <w:rPr>
          <w:rFonts w:hint="eastAsia"/>
          <w:color w:val="000000" w:themeColor="text1"/>
          <w:sz w:val="21"/>
          <w:szCs w:val="21"/>
          <w:highlight w:val="none"/>
          <w:lang w:val="en-US" w:eastAsia="zh-CN"/>
          <w14:textFill>
            <w14:solidFill>
              <w14:schemeClr w14:val="tx1"/>
            </w14:solidFill>
          </w14:textFill>
        </w:rPr>
        <w:t>附在响应文件中</w:t>
      </w:r>
      <w:r>
        <w:rPr>
          <w:rFonts w:hint="eastAsia"/>
          <w:color w:val="000000" w:themeColor="text1"/>
          <w:sz w:val="21"/>
          <w:szCs w:val="21"/>
          <w:highlight w:val="none"/>
          <w:lang w:val="en-US"/>
          <w14:textFill>
            <w14:solidFill>
              <w14:schemeClr w14:val="tx1"/>
            </w14:solidFill>
          </w14:textFill>
        </w:rPr>
        <w:t>，否则视为不响应</w:t>
      </w:r>
      <w:r>
        <w:rPr>
          <w:rFonts w:hint="eastAsia"/>
          <w:color w:val="000000" w:themeColor="text1"/>
          <w:sz w:val="21"/>
          <w:szCs w:val="21"/>
          <w:highlight w:val="none"/>
          <w:lang w:val="en-US" w:eastAsia="zh-CN"/>
          <w14:textFill>
            <w14:solidFill>
              <w14:schemeClr w14:val="tx1"/>
            </w14:solidFill>
          </w14:textFill>
        </w:rPr>
        <w:t>竞争性磋商文件</w:t>
      </w:r>
      <w:r>
        <w:rPr>
          <w:rFonts w:hint="eastAsia"/>
          <w:color w:val="000000" w:themeColor="text1"/>
          <w:sz w:val="21"/>
          <w:szCs w:val="21"/>
          <w:highlight w:val="none"/>
          <w:lang w:val="en-US"/>
          <w14:textFill>
            <w14:solidFill>
              <w14:schemeClr w14:val="tx1"/>
            </w14:solidFill>
          </w14:textFill>
        </w:rPr>
        <w:t>。</w:t>
      </w:r>
    </w:p>
    <w:p>
      <w:pPr>
        <w:pStyle w:val="83"/>
        <w:spacing w:beforeLines="0" w:afterLines="0" w:line="440" w:lineRule="exact"/>
        <w:ind w:left="0" w:firstLine="420" w:firstLineChars="200"/>
        <w:jc w:val="both"/>
        <w:rPr>
          <w:rFonts w:hint="eastAsia" w:ascii="宋体" w:hAnsi="宋体" w:cs="宋体"/>
          <w:szCs w:val="21"/>
          <w:highlight w:val="none"/>
        </w:rPr>
      </w:pPr>
      <w:r>
        <w:rPr>
          <w:rFonts w:hint="eastAsia"/>
          <w:color w:val="000000" w:themeColor="text1"/>
          <w:sz w:val="21"/>
          <w:szCs w:val="21"/>
          <w:highlight w:val="none"/>
          <w:lang w:val="en-US"/>
          <w14:textFill>
            <w14:solidFill>
              <w14:schemeClr w14:val="tx1"/>
            </w14:solidFill>
          </w14:textFill>
        </w:rPr>
        <w:t>8、中标人需在响应文件中承诺合同未约定或者未经采购人同意，不得向他人转让中标项目，也不得将中标项目肢解后分别向他人转让。此项须做出书面承诺，</w:t>
      </w:r>
      <w:r>
        <w:rPr>
          <w:rFonts w:hint="eastAsia"/>
          <w:color w:val="000000" w:themeColor="text1"/>
          <w:sz w:val="21"/>
          <w:szCs w:val="21"/>
          <w:highlight w:val="none"/>
          <w:lang w:val="en-US" w:eastAsia="zh-CN"/>
          <w14:textFill>
            <w14:solidFill>
              <w14:schemeClr w14:val="tx1"/>
            </w14:solidFill>
          </w14:textFill>
        </w:rPr>
        <w:t>附在响应文件中，</w:t>
      </w:r>
      <w:r>
        <w:rPr>
          <w:rFonts w:hint="eastAsia"/>
          <w:color w:val="000000" w:themeColor="text1"/>
          <w:sz w:val="21"/>
          <w:szCs w:val="21"/>
          <w:highlight w:val="none"/>
          <w:lang w:val="en-US"/>
          <w14:textFill>
            <w14:solidFill>
              <w14:schemeClr w14:val="tx1"/>
            </w14:solidFill>
          </w14:textFill>
        </w:rPr>
        <w:t>否则视为不响应</w:t>
      </w:r>
      <w:r>
        <w:rPr>
          <w:rFonts w:hint="eastAsia"/>
          <w:color w:val="000000" w:themeColor="text1"/>
          <w:sz w:val="21"/>
          <w:szCs w:val="21"/>
          <w:highlight w:val="none"/>
          <w:lang w:val="en-US" w:eastAsia="zh-CN"/>
          <w14:textFill>
            <w14:solidFill>
              <w14:schemeClr w14:val="tx1"/>
            </w14:solidFill>
          </w14:textFill>
        </w:rPr>
        <w:t>竞争性磋商文件</w:t>
      </w:r>
      <w:r>
        <w:rPr>
          <w:rFonts w:hint="eastAsia"/>
          <w:color w:val="000000" w:themeColor="text1"/>
          <w:sz w:val="21"/>
          <w:szCs w:val="21"/>
          <w:highlight w:val="none"/>
          <w:lang w:val="en-US"/>
          <w14:textFill>
            <w14:solidFill>
              <w14:schemeClr w14:val="tx1"/>
            </w14:solidFill>
          </w14:textFill>
        </w:rPr>
        <w:t>。</w:t>
      </w:r>
    </w:p>
    <w:p>
      <w:pPr>
        <w:pStyle w:val="83"/>
        <w:spacing w:beforeLines="0" w:afterLines="0" w:line="440" w:lineRule="exact"/>
        <w:ind w:left="0" w:firstLine="420" w:firstLineChars="200"/>
        <w:rPr>
          <w:rFonts w:ascii="宋体" w:hAnsi="宋体" w:cs="宋体"/>
          <w:sz w:val="30"/>
          <w:szCs w:val="30"/>
          <w:highlight w:val="none"/>
        </w:rPr>
      </w:pPr>
      <w:r>
        <w:rPr>
          <w:rFonts w:hint="eastAsia" w:ascii="宋体" w:hAnsi="宋体" w:cs="宋体"/>
          <w:szCs w:val="21"/>
          <w:highlight w:val="none"/>
        </w:rPr>
        <w:t>三、本合同签订后二个工作日内有采购人在“周口市政府采购网”上进行合同公示。</w:t>
      </w:r>
    </w:p>
    <w:p>
      <w:pPr>
        <w:pStyle w:val="83"/>
        <w:spacing w:beforeLines="0" w:afterLines="0" w:line="440" w:lineRule="exact"/>
        <w:ind w:left="0"/>
        <w:jc w:val="center"/>
        <w:rPr>
          <w:rFonts w:ascii="宋体" w:hAnsi="宋体" w:cs="宋体"/>
          <w:bCs/>
          <w:sz w:val="32"/>
          <w:szCs w:val="32"/>
          <w:highlight w:val="none"/>
        </w:rPr>
      </w:pPr>
    </w:p>
    <w:p>
      <w:pPr>
        <w:pStyle w:val="83"/>
        <w:spacing w:beforeLines="0" w:afterLines="0" w:line="440" w:lineRule="exact"/>
        <w:ind w:left="0"/>
        <w:jc w:val="center"/>
        <w:rPr>
          <w:rFonts w:ascii="宋体" w:hAnsi="宋体" w:cs="宋体"/>
          <w:sz w:val="32"/>
          <w:szCs w:val="32"/>
          <w:highlight w:val="none"/>
        </w:rPr>
      </w:pPr>
      <w:r>
        <w:rPr>
          <w:rFonts w:hint="eastAsia" w:ascii="宋体" w:hAnsi="宋体" w:cs="宋体"/>
          <w:bCs/>
          <w:sz w:val="32"/>
          <w:szCs w:val="32"/>
          <w:highlight w:val="none"/>
        </w:rPr>
        <w:t>供应商履约验收指引</w:t>
      </w:r>
    </w:p>
    <w:p>
      <w:pPr>
        <w:pStyle w:val="83"/>
        <w:spacing w:beforeLines="0" w:afterLines="0" w:line="440" w:lineRule="exact"/>
        <w:ind w:left="0" w:firstLine="420" w:firstLineChars="200"/>
        <w:rPr>
          <w:rFonts w:ascii="宋体" w:hAnsi="宋体" w:cs="宋体"/>
          <w:szCs w:val="27"/>
          <w:highlight w:val="none"/>
        </w:rPr>
      </w:pPr>
      <w:r>
        <w:rPr>
          <w:rFonts w:hint="eastAsia" w:ascii="宋体" w:hAnsi="宋体" w:cs="宋体"/>
          <w:szCs w:val="21"/>
          <w:highlight w:val="none"/>
        </w:rPr>
        <w:t>1、供应商不得擅自变更合同标的服务内容；</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2、不得以次充优，随意降低服务标准和水平；</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3、对因客观上采购人采购需求发生变化造成的，应提供采、供双方的纸质备忘录材料；</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4、在满足验收条件5个工作日内通知采购人组织验收；</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5、供应商应提供需验收服务的清单、标准、达到的水平等量化资料；</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6、采、供双方约定的验收机构及相关人员组成情况。</w:t>
      </w:r>
    </w:p>
    <w:p>
      <w:pPr>
        <w:pStyle w:val="83"/>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7、督促采购人在项目验收结束并达到相关要求后一个工作日内，在“周口市政府采购网”上进行“履约验收”公示。</w:t>
      </w:r>
    </w:p>
    <w:p>
      <w:pPr>
        <w:pStyle w:val="3"/>
        <w:spacing w:line="500" w:lineRule="exact"/>
        <w:jc w:val="both"/>
        <w:rPr>
          <w:rFonts w:ascii="宋体" w:hAnsi="宋体" w:cs="宋体"/>
          <w:sz w:val="21"/>
          <w:szCs w:val="21"/>
          <w:highlight w:val="none"/>
        </w:rPr>
      </w:pPr>
    </w:p>
    <w:p>
      <w:pPr>
        <w:pStyle w:val="3"/>
        <w:spacing w:line="500" w:lineRule="exact"/>
        <w:rPr>
          <w:rFonts w:ascii="宋体" w:hAnsi="宋体" w:cs="宋体"/>
          <w:sz w:val="44"/>
          <w:szCs w:val="44"/>
          <w:highlight w:val="none"/>
        </w:rPr>
      </w:pPr>
      <w:r>
        <w:rPr>
          <w:rFonts w:hint="eastAsia" w:ascii="宋体" w:hAnsi="宋体" w:cs="宋体"/>
          <w:sz w:val="44"/>
          <w:szCs w:val="44"/>
          <w:highlight w:val="none"/>
        </w:rPr>
        <w:t>服务合同内容</w:t>
      </w:r>
    </w:p>
    <w:p>
      <w:pPr>
        <w:spacing w:line="360" w:lineRule="auto"/>
        <w:ind w:firstLine="420" w:firstLineChars="200"/>
        <w:rPr>
          <w:rFonts w:ascii="宋体" w:hAnsi="宋体" w:cs="宋体"/>
          <w:szCs w:val="27"/>
          <w:highlight w:val="none"/>
        </w:rPr>
      </w:pP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 xml:space="preserve">采购人（甲方）： </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供应商（乙方）：</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签订地点：</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项目名称：</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项目编号：</w:t>
      </w:r>
    </w:p>
    <w:p>
      <w:pPr>
        <w:spacing w:line="360" w:lineRule="auto"/>
        <w:ind w:firstLine="420" w:firstLineChars="200"/>
        <w:rPr>
          <w:rFonts w:ascii="宋体" w:hAnsi="宋体" w:cs="宋体"/>
          <w:highlight w:val="none"/>
        </w:rPr>
      </w:pPr>
      <w:r>
        <w:rPr>
          <w:rFonts w:hint="eastAsia" w:ascii="宋体" w:hAnsi="宋体" w:cs="宋体"/>
          <w:szCs w:val="27"/>
          <w:highlight w:val="none"/>
        </w:rPr>
        <w:t>财政委托号：</w:t>
      </w:r>
      <w:r>
        <w:rPr>
          <w:rFonts w:hint="eastAsia" w:ascii="宋体" w:hAnsi="宋体" w:cs="宋体"/>
          <w:szCs w:val="27"/>
          <w:highlight w:val="none"/>
          <w:u w:val="single"/>
        </w:rPr>
        <w:t xml:space="preserve">      </w:t>
      </w:r>
      <w:r>
        <w:rPr>
          <w:rFonts w:hint="eastAsia" w:ascii="宋体" w:hAnsi="宋体" w:cs="宋体"/>
          <w:szCs w:val="27"/>
          <w:highlight w:val="none"/>
        </w:rPr>
        <w:t>(财政资金项目必须填写)</w:t>
      </w:r>
    </w:p>
    <w:p>
      <w:pPr>
        <w:spacing w:line="360" w:lineRule="auto"/>
        <w:ind w:firstLine="420" w:firstLineChars="200"/>
        <w:rPr>
          <w:rFonts w:ascii="宋体" w:hAnsi="宋体" w:cs="宋体"/>
          <w:highlight w:val="none"/>
        </w:rPr>
      </w:pPr>
      <w:r>
        <w:rPr>
          <w:rFonts w:hint="eastAsia" w:ascii="宋体" w:hAnsi="宋体" w:cs="宋体"/>
          <w:szCs w:val="27"/>
          <w:highlight w:val="none"/>
        </w:rPr>
        <w:t>本项目经批准采用</w:t>
      </w:r>
      <w:r>
        <w:rPr>
          <w:rFonts w:hint="eastAsia" w:ascii="宋体" w:hAnsi="宋体" w:cs="宋体"/>
          <w:szCs w:val="27"/>
          <w:highlight w:val="none"/>
          <w:u w:val="single"/>
        </w:rPr>
        <w:t xml:space="preserve">           </w:t>
      </w:r>
      <w:r>
        <w:rPr>
          <w:rFonts w:hint="eastAsia" w:ascii="宋体" w:hAnsi="宋体" w:cs="宋体"/>
          <w:szCs w:val="27"/>
          <w:highlight w:val="none"/>
        </w:rPr>
        <w:t>采购方式，经本项目评审委员会认真评审，决定将采购合同授予乙方。为进一步明确双方的责任，确保合同的顺利履行，根据《中华人民共和国采购法》、《中华人民共和国</w:t>
      </w:r>
      <w:r>
        <w:rPr>
          <w:rFonts w:hint="eastAsia" w:ascii="宋体" w:hAnsi="宋体" w:cs="宋体"/>
          <w:szCs w:val="27"/>
          <w:highlight w:val="none"/>
          <w:lang w:eastAsia="zh-CN"/>
        </w:rPr>
        <w:t>民法典</w:t>
      </w:r>
      <w:r>
        <w:rPr>
          <w:rFonts w:hint="eastAsia" w:ascii="宋体" w:hAnsi="宋体" w:cs="宋体"/>
          <w:szCs w:val="27"/>
          <w:highlight w:val="none"/>
        </w:rPr>
        <w:t>》之规定，经甲乙双方充分协商，特订立本合同，以便共同遵守。</w:t>
      </w:r>
    </w:p>
    <w:p>
      <w:pPr>
        <w:spacing w:line="360" w:lineRule="auto"/>
        <w:ind w:firstLine="422" w:firstLineChars="200"/>
        <w:rPr>
          <w:rFonts w:ascii="宋体" w:hAnsi="宋体" w:cs="宋体"/>
          <w:highlight w:val="none"/>
          <w:u w:val="single"/>
        </w:rPr>
      </w:pPr>
      <w:r>
        <w:rPr>
          <w:rFonts w:hint="eastAsia" w:ascii="宋体" w:hAnsi="宋体" w:cs="宋体"/>
          <w:b/>
          <w:bCs/>
          <w:szCs w:val="27"/>
          <w:highlight w:val="none"/>
        </w:rPr>
        <w:t>第一条</w:t>
      </w:r>
      <w:r>
        <w:rPr>
          <w:rFonts w:hint="eastAsia" w:ascii="宋体" w:hAnsi="宋体" w:cs="宋体"/>
          <w:szCs w:val="27"/>
          <w:highlight w:val="none"/>
        </w:rPr>
        <w:t>   服务的内容、标准、数量和价格：（若服务项目过多则见附表，如有附表则必须加盖印章）</w:t>
      </w:r>
    </w:p>
    <w:tbl>
      <w:tblPr>
        <w:tblStyle w:val="26"/>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r>
              <w:rPr>
                <w:rFonts w:hint="eastAsia" w:ascii="宋体" w:hAnsi="宋体" w:cs="宋体"/>
                <w:highlight w:val="none"/>
              </w:rPr>
              <w:t>服务内容</w:t>
            </w:r>
          </w:p>
        </w:tc>
        <w:tc>
          <w:tcPr>
            <w:tcW w:w="1623" w:type="dxa"/>
          </w:tcPr>
          <w:p>
            <w:pPr>
              <w:spacing w:line="360" w:lineRule="auto"/>
              <w:ind w:firstLine="420" w:firstLineChars="200"/>
              <w:rPr>
                <w:rFonts w:ascii="宋体" w:hAnsi="宋体" w:cs="宋体"/>
                <w:highlight w:val="none"/>
              </w:rPr>
            </w:pPr>
            <w:r>
              <w:rPr>
                <w:rFonts w:hint="eastAsia" w:ascii="宋体" w:hAnsi="宋体" w:cs="宋体"/>
                <w:highlight w:val="none"/>
              </w:rPr>
              <w:t>标准水平</w:t>
            </w:r>
          </w:p>
        </w:tc>
        <w:tc>
          <w:tcPr>
            <w:tcW w:w="902" w:type="dxa"/>
          </w:tcPr>
          <w:p>
            <w:pPr>
              <w:spacing w:line="360" w:lineRule="auto"/>
              <w:rPr>
                <w:rFonts w:ascii="宋体" w:hAnsi="宋体" w:cs="宋体"/>
                <w:highlight w:val="none"/>
              </w:rPr>
            </w:pPr>
            <w:r>
              <w:rPr>
                <w:rFonts w:hint="eastAsia" w:ascii="宋体" w:hAnsi="宋体" w:cs="宋体"/>
                <w:highlight w:val="none"/>
              </w:rPr>
              <w:t>单位</w:t>
            </w:r>
          </w:p>
        </w:tc>
        <w:tc>
          <w:tcPr>
            <w:tcW w:w="902" w:type="dxa"/>
          </w:tcPr>
          <w:p>
            <w:pPr>
              <w:spacing w:line="360" w:lineRule="auto"/>
              <w:rPr>
                <w:rFonts w:ascii="宋体" w:hAnsi="宋体" w:cs="宋体"/>
                <w:highlight w:val="none"/>
              </w:rPr>
            </w:pPr>
            <w:r>
              <w:rPr>
                <w:rFonts w:hint="eastAsia" w:ascii="宋体" w:hAnsi="宋体" w:cs="宋体"/>
                <w:highlight w:val="none"/>
              </w:rPr>
              <w:t>数量</w:t>
            </w:r>
          </w:p>
        </w:tc>
        <w:tc>
          <w:tcPr>
            <w:tcW w:w="1071" w:type="dxa"/>
          </w:tcPr>
          <w:p>
            <w:pPr>
              <w:spacing w:line="360" w:lineRule="auto"/>
              <w:ind w:firstLine="420" w:firstLineChars="200"/>
              <w:rPr>
                <w:rFonts w:ascii="宋体" w:hAnsi="宋体" w:cs="宋体"/>
                <w:highlight w:val="none"/>
              </w:rPr>
            </w:pPr>
            <w:r>
              <w:rPr>
                <w:rFonts w:hint="eastAsia" w:ascii="宋体" w:hAnsi="宋体" w:cs="宋体"/>
                <w:highlight w:val="none"/>
              </w:rPr>
              <w:t>单价</w:t>
            </w:r>
          </w:p>
        </w:tc>
        <w:tc>
          <w:tcPr>
            <w:tcW w:w="1250" w:type="dxa"/>
          </w:tcPr>
          <w:p>
            <w:pPr>
              <w:spacing w:line="360" w:lineRule="auto"/>
              <w:ind w:firstLine="420" w:firstLineChars="200"/>
              <w:rPr>
                <w:rFonts w:ascii="宋体" w:hAnsi="宋体" w:cs="宋体"/>
                <w:highlight w:val="none"/>
              </w:rPr>
            </w:pPr>
            <w:r>
              <w:rPr>
                <w:rFonts w:hint="eastAsia" w:ascii="宋体" w:hAnsi="宋体" w:cs="宋体"/>
                <w:highlight w:val="none"/>
              </w:rPr>
              <w:t>小计</w:t>
            </w:r>
          </w:p>
        </w:tc>
        <w:tc>
          <w:tcPr>
            <w:tcW w:w="1106" w:type="dxa"/>
          </w:tcPr>
          <w:p>
            <w:pPr>
              <w:spacing w:line="360" w:lineRule="auto"/>
              <w:ind w:firstLine="420" w:firstLineChars="200"/>
              <w:rPr>
                <w:rFonts w:ascii="宋体" w:hAnsi="宋体" w:cs="宋体"/>
                <w:highlight w:val="none"/>
              </w:rPr>
            </w:pPr>
            <w:r>
              <w:rPr>
                <w:rFonts w:hint="eastAsia" w:ascii="宋体" w:hAnsi="宋体" w:cs="宋体"/>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20" w:firstLineChars="200"/>
              <w:rPr>
                <w:rFonts w:ascii="宋体" w:hAnsi="宋体" w:cs="宋体"/>
                <w:highlight w:val="none"/>
              </w:rPr>
            </w:pPr>
            <w:r>
              <w:rPr>
                <w:rFonts w:hint="eastAsia" w:ascii="宋体" w:hAnsi="宋体" w:cs="宋体"/>
                <w:highlight w:val="none"/>
              </w:rPr>
              <w:t>合同总价款（大小写）：</w:t>
            </w:r>
          </w:p>
          <w:p>
            <w:pPr>
              <w:spacing w:line="360" w:lineRule="auto"/>
              <w:ind w:firstLine="420" w:firstLineChars="200"/>
              <w:rPr>
                <w:rFonts w:ascii="宋体" w:hAnsi="宋体" w:cs="宋体"/>
                <w:highlight w:val="none"/>
              </w:rPr>
            </w:pPr>
            <w:r>
              <w:rPr>
                <w:rFonts w:hint="eastAsia" w:ascii="宋体" w:hAnsi="宋体" w:cs="宋体"/>
                <w:szCs w:val="28"/>
                <w:highlight w:val="none"/>
              </w:rPr>
              <w:t>备注：上述服务包含相关设备购置、人员工资及售后服务、税金、劳保基金、人员培训等费用。</w:t>
            </w:r>
          </w:p>
        </w:tc>
      </w:tr>
    </w:tbl>
    <w:p>
      <w:pPr>
        <w:spacing w:line="360" w:lineRule="auto"/>
        <w:ind w:firstLine="422" w:firstLineChars="200"/>
        <w:rPr>
          <w:rFonts w:ascii="宋体" w:hAnsi="宋体" w:cs="宋体"/>
          <w:highlight w:val="none"/>
        </w:rPr>
      </w:pPr>
      <w:r>
        <w:rPr>
          <w:rFonts w:hint="eastAsia" w:ascii="宋体" w:hAnsi="宋体" w:cs="宋体"/>
          <w:b/>
          <w:bCs/>
          <w:szCs w:val="27"/>
          <w:highlight w:val="none"/>
        </w:rPr>
        <w:t xml:space="preserve">第二条  </w:t>
      </w:r>
      <w:r>
        <w:rPr>
          <w:rFonts w:hint="eastAsia" w:ascii="宋体" w:hAnsi="宋体" w:cs="宋体"/>
          <w:szCs w:val="27"/>
          <w:highlight w:val="none"/>
        </w:rPr>
        <w:t>服务标准（包括达到的水平要求），按下列第（ ）项执行：</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①按国家标准执行；②按部颁标准执行；③若无以上标准，则应不低于同行业服务标准；④有特殊要求的，按甲乙双方在合同中商定的要求执行；</w:t>
      </w:r>
    </w:p>
    <w:p>
      <w:pPr>
        <w:spacing w:line="360" w:lineRule="auto"/>
        <w:ind w:firstLine="420" w:firstLineChars="200"/>
        <w:rPr>
          <w:rFonts w:ascii="宋体" w:hAnsi="宋体" w:cs="宋体"/>
          <w:szCs w:val="27"/>
          <w:highlight w:val="none"/>
          <w:u w:val="single"/>
        </w:rPr>
      </w:pPr>
      <w:r>
        <w:rPr>
          <w:rFonts w:hint="eastAsia" w:ascii="宋体" w:hAnsi="宋体" w:cs="宋体"/>
          <w:highlight w:val="none"/>
        </w:rPr>
        <w:t>乙方提供的服务标准和水平应与招标采购文件规定的标准和水平相一致。</w:t>
      </w:r>
    </w:p>
    <w:p>
      <w:pPr>
        <w:spacing w:line="360" w:lineRule="auto"/>
        <w:ind w:firstLine="422" w:firstLineChars="200"/>
        <w:rPr>
          <w:rFonts w:ascii="宋体" w:hAnsi="宋体" w:cs="宋体"/>
          <w:szCs w:val="27"/>
          <w:highlight w:val="none"/>
        </w:rPr>
      </w:pPr>
      <w:r>
        <w:rPr>
          <w:rFonts w:hint="eastAsia" w:ascii="宋体" w:hAnsi="宋体" w:cs="宋体"/>
          <w:b/>
          <w:bCs/>
          <w:szCs w:val="27"/>
          <w:highlight w:val="none"/>
        </w:rPr>
        <w:t xml:space="preserve">第三条  </w:t>
      </w:r>
      <w:r>
        <w:rPr>
          <w:rFonts w:hint="eastAsia" w:ascii="宋体" w:hAnsi="宋体" w:cs="宋体"/>
          <w:szCs w:val="27"/>
          <w:highlight w:val="none"/>
        </w:rPr>
        <w:t>服务的方式、方法、、地点和期限</w:t>
      </w:r>
    </w:p>
    <w:p>
      <w:pPr>
        <w:spacing w:line="360" w:lineRule="auto"/>
        <w:ind w:firstLine="420" w:firstLineChars="200"/>
        <w:rPr>
          <w:rFonts w:ascii="宋体" w:hAnsi="宋体" w:cs="宋体"/>
          <w:highlight w:val="none"/>
        </w:rPr>
      </w:pPr>
      <w:r>
        <w:rPr>
          <w:rFonts w:hint="eastAsia" w:ascii="宋体" w:hAnsi="宋体" w:cs="宋体"/>
          <w:szCs w:val="27"/>
          <w:highlight w:val="none"/>
        </w:rPr>
        <w:t>1、服务方式：</w:t>
      </w:r>
    </w:p>
    <w:p>
      <w:pPr>
        <w:spacing w:line="360" w:lineRule="auto"/>
        <w:ind w:firstLine="420" w:firstLineChars="200"/>
        <w:rPr>
          <w:rFonts w:ascii="宋体" w:hAnsi="宋体" w:cs="宋体"/>
          <w:highlight w:val="none"/>
        </w:rPr>
      </w:pPr>
      <w:r>
        <w:rPr>
          <w:rFonts w:hint="eastAsia" w:ascii="宋体" w:hAnsi="宋体" w:cs="宋体"/>
          <w:highlight w:val="none"/>
        </w:rPr>
        <w:t>2、服务方法：</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2、服务地点：</w:t>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3、服务期限：</w:t>
      </w:r>
    </w:p>
    <w:p>
      <w:pPr>
        <w:spacing w:line="360" w:lineRule="auto"/>
        <w:ind w:firstLine="420" w:firstLineChars="200"/>
        <w:rPr>
          <w:rFonts w:ascii="宋体" w:hAnsi="宋体" w:cs="宋体"/>
          <w:highlight w:val="none"/>
        </w:rPr>
      </w:pPr>
      <w:r>
        <w:rPr>
          <w:rFonts w:hint="eastAsia" w:ascii="宋体" w:hAnsi="宋体" w:cs="宋体"/>
          <w:highlight w:val="none"/>
        </w:rPr>
        <w:t>第四条  费用及支付方式</w:t>
      </w:r>
    </w:p>
    <w:p>
      <w:pPr>
        <w:pStyle w:val="9"/>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(一)本项目费用有以下组成：</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 xml:space="preserve"> 1、XX 万元；</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2、XX 万元；</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w:t>
      </w:r>
    </w:p>
    <w:p>
      <w:pPr>
        <w:pStyle w:val="9"/>
        <w:kinsoku w:val="0"/>
        <w:overflowPunct w:val="0"/>
        <w:ind w:firstLine="422" w:firstLineChars="200"/>
        <w:rPr>
          <w:rFonts w:ascii="宋体" w:hAnsi="宋体" w:cs="宋体"/>
          <w:b/>
          <w:highlight w:val="none"/>
        </w:rPr>
      </w:pPr>
      <w:r>
        <w:rPr>
          <w:rFonts w:hint="eastAsia" w:ascii="宋体" w:hAnsi="宋体" w:cs="宋体"/>
          <w:b/>
          <w:highlight w:val="none"/>
        </w:rPr>
        <w:t>(二)费用支付方式：</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1、XXXX；</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2、XXXX ；</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3、在支付前甲方对乙方的服务进行考核或验收，合格的支付相应款 项。乙方须向甲方出具合法有效完整的完税发票及凭证资料进行支付结算。</w:t>
      </w:r>
    </w:p>
    <w:p>
      <w:pPr>
        <w:pStyle w:val="9"/>
        <w:kinsoku w:val="0"/>
        <w:overflowPunct w:val="0"/>
        <w:ind w:firstLine="422" w:firstLineChars="200"/>
        <w:rPr>
          <w:rFonts w:ascii="宋体" w:hAnsi="宋体" w:cs="宋体"/>
          <w:highlight w:val="none"/>
        </w:rPr>
      </w:pPr>
      <w:r>
        <w:rPr>
          <w:rFonts w:hint="eastAsia" w:ascii="宋体" w:hAnsi="宋体" w:cs="宋体"/>
          <w:b/>
          <w:highlight w:val="none"/>
        </w:rPr>
        <w:t xml:space="preserve">第五条  付款条件   </w:t>
      </w:r>
      <w:r>
        <w:rPr>
          <w:rFonts w:hint="eastAsia" w:ascii="宋体" w:hAnsi="宋体" w:cs="宋体"/>
          <w:highlight w:val="none"/>
        </w:rPr>
        <w:t xml:space="preserve">               </w:t>
      </w:r>
    </w:p>
    <w:p>
      <w:pPr>
        <w:spacing w:line="360" w:lineRule="auto"/>
        <w:ind w:firstLine="420" w:firstLineChars="200"/>
        <w:rPr>
          <w:rFonts w:ascii="宋体" w:hAnsi="宋体" w:cs="宋体"/>
          <w:highlight w:val="none"/>
        </w:rPr>
      </w:pPr>
      <w:r>
        <w:rPr>
          <w:rFonts w:hint="eastAsia" w:ascii="宋体" w:hAnsi="宋体" w:cs="宋体"/>
          <w:highlight w:val="none"/>
        </w:rPr>
        <w:t>本合同以人民币付款。</w:t>
      </w:r>
    </w:p>
    <w:p>
      <w:pPr>
        <w:spacing w:line="360" w:lineRule="auto"/>
        <w:ind w:firstLine="420" w:firstLineChars="200"/>
        <w:rPr>
          <w:rFonts w:ascii="宋体" w:hAnsi="宋体" w:cs="宋体"/>
          <w:highlight w:val="none"/>
        </w:rPr>
      </w:pPr>
      <w:r>
        <w:rPr>
          <w:rFonts w:hint="eastAsia" w:ascii="宋体" w:hAnsi="宋体" w:cs="宋体"/>
          <w:highlight w:val="none"/>
        </w:rPr>
        <w:t>该项目是否实行预付款：</w:t>
      </w:r>
    </w:p>
    <w:p>
      <w:pPr>
        <w:spacing w:line="360" w:lineRule="auto"/>
        <w:ind w:firstLine="420" w:firstLineChars="200"/>
        <w:rPr>
          <w:rFonts w:ascii="宋体" w:hAnsi="宋体" w:cs="宋体"/>
          <w:highlight w:val="none"/>
        </w:rPr>
      </w:pPr>
      <w:r>
        <w:rPr>
          <w:rFonts w:hint="eastAsia" w:ascii="宋体" w:hAnsi="宋体" w:cs="宋体"/>
          <w:highlight w:val="none"/>
        </w:rPr>
        <w:t>实行预付款的条件和比例：</w:t>
      </w:r>
    </w:p>
    <w:p>
      <w:pPr>
        <w:spacing w:line="360" w:lineRule="auto"/>
        <w:ind w:firstLine="420" w:firstLineChars="200"/>
        <w:rPr>
          <w:rFonts w:ascii="宋体" w:hAnsi="宋体" w:cs="宋体"/>
          <w:highlight w:val="none"/>
        </w:rPr>
      </w:pPr>
      <w:r>
        <w:rPr>
          <w:rFonts w:hint="eastAsia" w:ascii="宋体" w:hAnsi="宋体" w:cs="宋体"/>
          <w:highlight w:val="none"/>
        </w:rPr>
        <w:t xml:space="preserve">合同款项结算方式和支付比例：   </w:t>
      </w:r>
    </w:p>
    <w:p>
      <w:pPr>
        <w:spacing w:line="360" w:lineRule="auto"/>
        <w:ind w:firstLine="420" w:firstLineChars="200"/>
        <w:rPr>
          <w:rFonts w:ascii="宋体" w:hAnsi="宋体" w:cs="宋体"/>
          <w:highlight w:val="none"/>
          <w:u w:val="single"/>
        </w:rPr>
      </w:pPr>
      <w:r>
        <w:rPr>
          <w:rFonts w:hint="eastAsia" w:ascii="宋体" w:hAnsi="宋体" w:cs="宋体"/>
          <w:highlight w:val="none"/>
        </w:rPr>
        <w:t>(具体付款方式</w:t>
      </w:r>
      <w:r>
        <w:rPr>
          <w:rFonts w:hint="eastAsia" w:ascii="宋体" w:hAnsi="宋体" w:cs="宋体"/>
          <w:highlight w:val="none"/>
          <w:u w:val="single"/>
        </w:rPr>
        <w:t>按投标人须知前附表以及采、购双方的具体约定</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第六条  验收方法</w:t>
      </w:r>
    </w:p>
    <w:p>
      <w:pPr>
        <w:spacing w:line="360" w:lineRule="auto"/>
        <w:ind w:firstLine="420" w:firstLineChars="200"/>
        <w:rPr>
          <w:rFonts w:ascii="宋体" w:hAnsi="宋体" w:cs="宋体"/>
          <w:highlight w:val="none"/>
        </w:rPr>
      </w:pPr>
      <w:r>
        <w:rPr>
          <w:rFonts w:hint="eastAsia" w:ascii="宋体" w:hAnsi="宋体" w:cs="宋体"/>
          <w:highlight w:val="none"/>
        </w:rPr>
        <w:t>1.甲、乙双方应严格履行合同有关条款，如果验收过程中发现乙方在没有征得采购人同意的情况下擅自变更合同服务内容，将拒绝通过验收，由此引起的一切后果及损失由乙方承担。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20" w:firstLineChars="200"/>
        <w:rPr>
          <w:rFonts w:ascii="宋体" w:hAnsi="宋体" w:cs="宋体"/>
          <w:highlight w:val="none"/>
        </w:rPr>
      </w:pPr>
      <w:r>
        <w:rPr>
          <w:rFonts w:hint="eastAsia" w:ascii="宋体" w:hAnsi="宋体" w:cs="宋体"/>
          <w:highlight w:val="none"/>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rPr>
          <w:rFonts w:ascii="宋体" w:hAnsi="宋体" w:cs="宋体"/>
          <w:highlight w:val="none"/>
        </w:rPr>
      </w:pPr>
      <w:r>
        <w:rPr>
          <w:rFonts w:hint="eastAsia" w:ascii="宋体" w:hAnsi="宋体" w:cs="宋体"/>
          <w:highlight w:val="none"/>
        </w:rPr>
        <w:t>3、甲方视情况可以邀请参加本项目的其他投标人或者第三方机构参与验收，参与验收的投标人或者第三方机构的意见作为验收书的参考资料一并存档。</w:t>
      </w:r>
    </w:p>
    <w:p>
      <w:pPr>
        <w:spacing w:line="360" w:lineRule="auto"/>
        <w:ind w:firstLine="420" w:firstLineChars="200"/>
        <w:rPr>
          <w:rFonts w:ascii="宋体" w:hAnsi="宋体" w:cs="宋体"/>
          <w:highlight w:val="none"/>
        </w:rPr>
      </w:pPr>
      <w:r>
        <w:rPr>
          <w:rFonts w:hint="eastAsia" w:ascii="宋体" w:hAnsi="宋体" w:cs="宋体"/>
          <w:highlight w:val="none"/>
        </w:rPr>
        <w:t>4、涉及安全、消防、环保等其他需要由质检或行业主管部门进行验收的项目，必须邀请相关部门或相关专家参与验收。涉及社会化服务的项目，甲方将要求社会公众人员参与验收。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20" w:firstLineChars="200"/>
        <w:rPr>
          <w:rFonts w:ascii="宋体" w:hAnsi="宋体" w:cs="宋体"/>
          <w:highlight w:val="none"/>
        </w:rPr>
      </w:pPr>
      <w:r>
        <w:rPr>
          <w:rFonts w:hint="eastAsia" w:ascii="宋体" w:hAnsi="宋体" w:cs="宋体"/>
          <w:highlight w:val="none"/>
        </w:rPr>
        <w:t>检测、验收费用承担方式：</w:t>
      </w:r>
    </w:p>
    <w:p>
      <w:pPr>
        <w:pStyle w:val="9"/>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第七条 知识产权</w:t>
      </w:r>
    </w:p>
    <w:p>
      <w:pPr>
        <w:pStyle w:val="9"/>
        <w:kinsoku w:val="0"/>
        <w:overflowPunct w:val="0"/>
        <w:spacing w:line="364" w:lineRule="auto"/>
        <w:rPr>
          <w:rFonts w:ascii="宋体" w:hAnsi="宋体" w:cs="宋体"/>
          <w:highlight w:val="none"/>
        </w:rPr>
      </w:pPr>
      <w:r>
        <w:rPr>
          <w:rFonts w:hint="eastAsia" w:ascii="宋体" w:hAnsi="宋体" w:eastAsia="宋体" w:cs="宋体"/>
          <w:highlight w:val="none"/>
        </w:rPr>
        <w:t>乙方所提供的</w:t>
      </w:r>
      <w:r>
        <w:rPr>
          <w:rFonts w:hint="eastAsia" w:ascii="宋体" w:hAnsi="宋体" w:cs="宋体"/>
          <w:highlight w:val="none"/>
        </w:rPr>
        <w:t>服务或其任何一部分均不会侵犯任何第三方的专利权、商标权或著作权。</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第八条 无产权瑕疵条款</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乙方所提供的服务的所有权完全属于乙方且无任何抵押、查封等产权瑕疵。如有产权瑕疵的，视为乙方违约。乙方应负担由此而产生的一切损失。</w:t>
      </w:r>
    </w:p>
    <w:p>
      <w:pPr>
        <w:spacing w:line="400" w:lineRule="exact"/>
        <w:ind w:firstLine="422" w:firstLineChars="200"/>
        <w:rPr>
          <w:rFonts w:ascii="宋体" w:hAnsi="宋体" w:cs="宋体"/>
          <w:b/>
          <w:bCs/>
          <w:szCs w:val="27"/>
          <w:highlight w:val="none"/>
        </w:rPr>
      </w:pPr>
      <w:r>
        <w:rPr>
          <w:rFonts w:hint="eastAsia" w:ascii="宋体" w:hAnsi="宋体" w:cs="宋体"/>
          <w:b/>
          <w:bCs/>
          <w:szCs w:val="27"/>
          <w:highlight w:val="none"/>
        </w:rPr>
        <w:t xml:space="preserve">第九条  </w:t>
      </w:r>
      <w:r>
        <w:rPr>
          <w:rFonts w:hint="eastAsia" w:ascii="宋体" w:hAnsi="宋体" w:cs="宋体"/>
          <w:szCs w:val="27"/>
          <w:highlight w:val="none"/>
        </w:rPr>
        <w:t>履约（或质量）保证金</w:t>
      </w:r>
    </w:p>
    <w:p>
      <w:pPr>
        <w:spacing w:line="360" w:lineRule="auto"/>
        <w:ind w:firstLine="420" w:firstLineChars="200"/>
        <w:rPr>
          <w:rFonts w:ascii="宋体" w:hAnsi="宋体" w:cs="宋体"/>
          <w:highlight w:val="none"/>
        </w:rPr>
      </w:pPr>
      <w:r>
        <w:rPr>
          <w:rFonts w:hint="eastAsia" w:ascii="宋体" w:hAnsi="宋体" w:cs="宋体"/>
          <w:highlight w:val="none"/>
        </w:rPr>
        <w:t>1.本项目不收取履约保证金。确需收取履约保证金的，甲方不得要求乙方以现款的形式提供。乙方提供的履约保证金按规定格式以银行保函形式提供，与此有关的费用由服务方承担。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20" w:firstLineChars="200"/>
        <w:rPr>
          <w:rFonts w:ascii="宋体" w:hAnsi="宋体" w:cs="宋体"/>
          <w:highlight w:val="none"/>
        </w:rPr>
      </w:pPr>
      <w:r>
        <w:rPr>
          <w:rFonts w:hint="eastAsia" w:ascii="宋体" w:hAnsi="宋体" w:cs="宋体"/>
          <w:highlight w:val="none"/>
        </w:rPr>
        <w:t>2.若确需质量保证金的，质量保证金不得超过合同总价款的5%</w:t>
      </w:r>
    </w:p>
    <w:p>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3.如乙方未能履行其合同规定的任何义务，甲方有权从履约保证金中取得补偿。</w:t>
      </w:r>
    </w:p>
    <w:p>
      <w:pPr>
        <w:pStyle w:val="2"/>
        <w:kinsoku w:val="0"/>
        <w:overflowPunct w:val="0"/>
        <w:ind w:firstLine="422" w:firstLineChars="200"/>
        <w:rPr>
          <w:rFonts w:hint="eastAsia" w:ascii="宋体" w:hAnsi="宋体" w:eastAsia="宋体" w:cs="宋体"/>
          <w:kern w:val="2"/>
          <w:sz w:val="21"/>
          <w:szCs w:val="27"/>
          <w:highlight w:val="none"/>
        </w:rPr>
      </w:pPr>
      <w:r>
        <w:rPr>
          <w:rFonts w:hint="eastAsia" w:ascii="宋体" w:hAnsi="宋体" w:eastAsia="宋体" w:cs="宋体"/>
          <w:kern w:val="2"/>
          <w:sz w:val="21"/>
          <w:szCs w:val="27"/>
          <w:highlight w:val="none"/>
        </w:rPr>
        <w:t>第十条 甲方的权利和义务</w:t>
      </w:r>
    </w:p>
    <w:p>
      <w:pPr>
        <w:spacing w:line="360" w:lineRule="auto"/>
        <w:ind w:firstLine="420" w:firstLineChars="200"/>
        <w:rPr>
          <w:rFonts w:ascii="宋体" w:hAnsi="宋体" w:cs="宋体"/>
          <w:highlight w:val="none"/>
        </w:rPr>
      </w:pPr>
      <w:r>
        <w:rPr>
          <w:rFonts w:hint="eastAsia" w:ascii="宋体" w:hAnsi="宋体" w:eastAsia="宋体" w:cs="宋体"/>
          <w:highlight w:val="none"/>
        </w:rPr>
        <w:t>1、甲方有权对合同规定范围内乙方的行为进行监督和检查，拥有监管权。有权定期核对乙</w:t>
      </w:r>
      <w:r>
        <w:rPr>
          <w:rFonts w:hint="eastAsia" w:ascii="宋体" w:hAnsi="宋体" w:cs="宋体"/>
          <w:highlight w:val="none"/>
        </w:rPr>
        <w:t>方提供服务所配备的人员数量。对甲方认为不合理的部分有权下达整改通知书，并要求乙方限期整改。</w:t>
      </w:r>
    </w:p>
    <w:p>
      <w:pPr>
        <w:spacing w:line="360" w:lineRule="auto"/>
        <w:ind w:firstLine="420" w:firstLineChars="200"/>
        <w:rPr>
          <w:rFonts w:ascii="宋体" w:hAnsi="宋体" w:cs="宋体"/>
          <w:highlight w:val="none"/>
        </w:rPr>
      </w:pPr>
      <w:r>
        <w:rPr>
          <w:rFonts w:hint="eastAsia" w:ascii="宋体" w:hAnsi="宋体" w:cs="宋体"/>
          <w:highlight w:val="none"/>
        </w:rPr>
        <w:t>2、甲方有权依据双方签订的考评办法对乙方提供的服务进行定期考评。当考评结果未达到标准时，有权依据考评办法约定的数额扣除履约保证金。</w:t>
      </w:r>
    </w:p>
    <w:p>
      <w:pPr>
        <w:spacing w:line="360" w:lineRule="auto"/>
        <w:ind w:firstLine="420" w:firstLineChars="200"/>
        <w:rPr>
          <w:rFonts w:ascii="宋体" w:hAnsi="宋体" w:cs="宋体"/>
          <w:highlight w:val="none"/>
        </w:rPr>
      </w:pPr>
      <w:r>
        <w:rPr>
          <w:rFonts w:hint="eastAsia" w:ascii="宋体" w:hAnsi="宋体" w:cs="宋体"/>
          <w:highlight w:val="none"/>
        </w:rPr>
        <w:t>3、负责检查监督乙方管理工作的实施及制度的执行情况。</w:t>
      </w:r>
    </w:p>
    <w:p>
      <w:pPr>
        <w:spacing w:line="360" w:lineRule="auto"/>
        <w:ind w:firstLine="420" w:firstLineChars="200"/>
        <w:rPr>
          <w:rFonts w:ascii="宋体" w:hAnsi="宋体" w:cs="宋体"/>
          <w:highlight w:val="none"/>
        </w:rPr>
      </w:pPr>
      <w:r>
        <w:rPr>
          <w:rFonts w:hint="eastAsia" w:ascii="宋体" w:hAnsi="宋体" w:cs="宋体"/>
          <w:highlight w:val="none"/>
        </w:rPr>
        <w:t>4、根据本合同规定，按时向乙方支付应付服务费用。</w:t>
      </w:r>
    </w:p>
    <w:p>
      <w:pPr>
        <w:spacing w:line="360" w:lineRule="auto"/>
        <w:ind w:firstLine="420" w:firstLineChars="200"/>
        <w:rPr>
          <w:rFonts w:ascii="宋体" w:hAnsi="宋体" w:cs="宋体"/>
          <w:highlight w:val="none"/>
        </w:rPr>
      </w:pPr>
      <w:r>
        <w:rPr>
          <w:rFonts w:hint="eastAsia" w:ascii="宋体" w:hAnsi="宋体" w:cs="宋体"/>
          <w:highlight w:val="none"/>
        </w:rPr>
        <w:t xml:space="preserve">5、国家法律、法规所规定由甲方承担的其他责任               </w:t>
      </w:r>
    </w:p>
    <w:p>
      <w:pPr>
        <w:pStyle w:val="9"/>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第十一条 乙方的权利和义务</w:t>
      </w:r>
    </w:p>
    <w:p>
      <w:pPr>
        <w:spacing w:line="360" w:lineRule="auto"/>
        <w:ind w:firstLine="420" w:firstLineChars="200"/>
        <w:rPr>
          <w:rFonts w:ascii="宋体" w:hAnsi="宋体" w:cs="宋体"/>
          <w:highlight w:val="none"/>
        </w:rPr>
      </w:pPr>
      <w:r>
        <w:rPr>
          <w:rFonts w:hint="eastAsia" w:ascii="宋体" w:hAnsi="宋体" w:cs="宋体"/>
          <w:highlight w:val="none"/>
        </w:rPr>
        <w:t>1、对本合同规定的委托服务范围内的项目享有管理权及服务义务。</w:t>
      </w:r>
    </w:p>
    <w:p>
      <w:pPr>
        <w:spacing w:line="360" w:lineRule="auto"/>
        <w:ind w:firstLine="420" w:firstLineChars="200"/>
        <w:rPr>
          <w:rFonts w:ascii="宋体" w:hAnsi="宋体" w:cs="宋体"/>
          <w:highlight w:val="none"/>
        </w:rPr>
      </w:pPr>
      <w:r>
        <w:rPr>
          <w:rFonts w:hint="eastAsia" w:ascii="宋体" w:hAnsi="宋体" w:cs="宋体"/>
          <w:highlight w:val="none"/>
        </w:rPr>
        <w:t>2、根据本合同的规定向甲方收取相关服务费用，并有权在本项目管理范围内管理及合理使用。</w:t>
      </w:r>
    </w:p>
    <w:p>
      <w:pPr>
        <w:spacing w:line="360" w:lineRule="auto"/>
        <w:ind w:firstLine="420" w:firstLineChars="200"/>
        <w:rPr>
          <w:rFonts w:ascii="宋体" w:hAnsi="宋体" w:cs="宋体"/>
          <w:highlight w:val="none"/>
        </w:rPr>
      </w:pPr>
      <w:r>
        <w:rPr>
          <w:rFonts w:hint="eastAsia" w:ascii="宋体" w:hAnsi="宋体" w:cs="宋体"/>
          <w:highlight w:val="none"/>
        </w:rPr>
        <w:t>3、及时向甲方通告本项目服务范围内有关服务的重大事项，及时配合处理投诉。</w:t>
      </w:r>
    </w:p>
    <w:p>
      <w:pPr>
        <w:spacing w:line="360" w:lineRule="auto"/>
        <w:ind w:firstLine="420" w:firstLineChars="200"/>
        <w:rPr>
          <w:rFonts w:ascii="宋体" w:hAnsi="宋体" w:cs="宋体"/>
          <w:highlight w:val="none"/>
        </w:rPr>
      </w:pPr>
      <w:r>
        <w:rPr>
          <w:rFonts w:hint="eastAsia" w:ascii="宋体" w:hAnsi="宋体" w:cs="宋体"/>
          <w:highlight w:val="none"/>
        </w:rPr>
        <w:t>4、接受项目行业管理部门及政府有关部门的指导，接受甲方的监督。</w:t>
      </w:r>
    </w:p>
    <w:p>
      <w:pPr>
        <w:spacing w:line="360" w:lineRule="auto"/>
        <w:ind w:firstLine="420" w:firstLineChars="200"/>
        <w:rPr>
          <w:rFonts w:ascii="宋体" w:hAnsi="宋体" w:cs="宋体"/>
          <w:highlight w:val="none"/>
        </w:rPr>
      </w:pPr>
      <w:r>
        <w:rPr>
          <w:rFonts w:hint="eastAsia" w:ascii="宋体" w:hAnsi="宋体" w:cs="宋体"/>
          <w:highlight w:val="none"/>
        </w:rPr>
        <w:t>5、国家法律、法规所规定由乙方承担的其它责任。</w:t>
      </w:r>
    </w:p>
    <w:p>
      <w:pPr>
        <w:pStyle w:val="9"/>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第十二条 违约责任</w:t>
      </w:r>
    </w:p>
    <w:p>
      <w:pPr>
        <w:pStyle w:val="9"/>
        <w:kinsoku w:val="0"/>
        <w:overflowPunct w:val="0"/>
        <w:ind w:firstLine="420" w:firstLineChars="200"/>
        <w:rPr>
          <w:rFonts w:ascii="宋体" w:hAnsi="宋体" w:cs="宋体"/>
          <w:highlight w:val="none"/>
        </w:rPr>
      </w:pPr>
      <w:r>
        <w:rPr>
          <w:rFonts w:hint="eastAsia" w:ascii="宋体" w:hAnsi="宋体" w:cs="宋体"/>
          <w:highlight w:val="none"/>
        </w:rPr>
        <w:t>1、甲乙双方必须遵守本合同并执行合同中的各项规定，保证本合同的正常履行。</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2、甲方逾期付款的，除应及时付足款项外，应向乙方偿付欠款总额万分之 /天的违约金；逾期付款超过 天的，乙方有权终止合同。</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pStyle w:val="9"/>
        <w:kinsoku w:val="0"/>
        <w:overflowPunct w:val="0"/>
        <w:spacing w:line="364" w:lineRule="auto"/>
        <w:ind w:firstLine="420" w:firstLineChars="200"/>
        <w:rPr>
          <w:rFonts w:ascii="宋体" w:hAnsi="宋体" w:cs="宋体"/>
          <w:highlight w:val="none"/>
        </w:rPr>
      </w:pPr>
      <w:r>
        <w:rPr>
          <w:rFonts w:hint="eastAsia" w:ascii="宋体" w:hAnsi="宋体" w:cs="宋体"/>
          <w:highlight w:val="none"/>
        </w:rPr>
        <w:t>4、变更、中止或者终止合同，有过错的一方应当承担赔偿责任，双方都有过错的，各自承担相应的责任。</w:t>
      </w:r>
    </w:p>
    <w:p>
      <w:pPr>
        <w:spacing w:line="360" w:lineRule="auto"/>
        <w:ind w:firstLine="422" w:firstLineChars="200"/>
        <w:rPr>
          <w:rFonts w:ascii="宋体" w:hAnsi="宋体" w:cs="宋体"/>
          <w:b/>
          <w:highlight w:val="none"/>
        </w:rPr>
      </w:pPr>
      <w:r>
        <w:rPr>
          <w:rFonts w:hint="eastAsia" w:ascii="宋体" w:hAnsi="宋体" w:cs="宋体"/>
          <w:b/>
          <w:bCs/>
          <w:szCs w:val="27"/>
          <w:highlight w:val="none"/>
        </w:rPr>
        <w:t xml:space="preserve">第十三条 </w:t>
      </w:r>
      <w:r>
        <w:rPr>
          <w:rFonts w:hint="eastAsia" w:ascii="宋体" w:hAnsi="宋体" w:cs="宋体"/>
          <w:bCs/>
          <w:highlight w:val="none"/>
        </w:rPr>
        <w:t>转让与分包</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除甲方事先书面同意外，乙方不得部分转让或全部转让其应履行的合同义务。</w:t>
      </w:r>
    </w:p>
    <w:p>
      <w:pPr>
        <w:spacing w:line="360" w:lineRule="auto"/>
        <w:ind w:firstLine="420" w:firstLineChars="200"/>
        <w:rPr>
          <w:rFonts w:ascii="宋体" w:hAnsi="宋体" w:cs="宋体"/>
          <w:highlight w:val="none"/>
        </w:rPr>
      </w:pPr>
      <w:r>
        <w:rPr>
          <w:rFonts w:hint="eastAsia" w:ascii="宋体" w:hAnsi="宋体" w:cs="宋体"/>
          <w:highlight w:val="none"/>
        </w:rPr>
        <w:t>2</w:t>
      </w:r>
      <w:r>
        <w:rPr>
          <w:rFonts w:hint="eastAsia" w:ascii="宋体" w:hAnsi="宋体" w:cs="宋体"/>
          <w:szCs w:val="27"/>
          <w:highlight w:val="none"/>
        </w:rPr>
        <w:t>.</w:t>
      </w:r>
      <w:r>
        <w:rPr>
          <w:rFonts w:hint="eastAsia" w:ascii="宋体" w:hAnsi="宋体" w:cs="宋体"/>
          <w:highlight w:val="none"/>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firstLineChars="200"/>
        <w:rPr>
          <w:rFonts w:ascii="宋体" w:hAnsi="宋体" w:cs="宋体"/>
          <w:b/>
          <w:highlight w:val="none"/>
        </w:rPr>
      </w:pPr>
      <w:r>
        <w:rPr>
          <w:rFonts w:hint="eastAsia" w:ascii="宋体" w:hAnsi="宋体" w:cs="宋体"/>
          <w:b/>
          <w:bCs/>
          <w:szCs w:val="27"/>
          <w:highlight w:val="none"/>
        </w:rPr>
        <w:t xml:space="preserve">第十四条 </w:t>
      </w:r>
      <w:r>
        <w:rPr>
          <w:rFonts w:hint="eastAsia" w:ascii="宋体" w:hAnsi="宋体" w:cs="宋体"/>
          <w:bCs/>
          <w:highlight w:val="none"/>
        </w:rPr>
        <w:t>合同文件及资料的使用</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乙方在未经甲方同意的情况下，不得将合同、合同中的规定、有关计划、图纸、样本或甲方为上述内容向乙方提供的资料透露给任何人。</w:t>
      </w:r>
    </w:p>
    <w:p>
      <w:pPr>
        <w:spacing w:line="360" w:lineRule="auto"/>
        <w:ind w:firstLine="420" w:firstLineChars="200"/>
        <w:rPr>
          <w:rFonts w:ascii="宋体" w:hAnsi="宋体" w:cs="宋体"/>
          <w:highlight w:val="none"/>
        </w:rPr>
      </w:pPr>
      <w:r>
        <w:rPr>
          <w:rFonts w:hint="eastAsia" w:ascii="宋体" w:hAnsi="宋体" w:cs="宋体"/>
          <w:highlight w:val="none"/>
        </w:rPr>
        <w:t>2</w:t>
      </w:r>
      <w:r>
        <w:rPr>
          <w:rFonts w:hint="eastAsia" w:ascii="宋体" w:hAnsi="宋体" w:cs="宋体"/>
          <w:szCs w:val="27"/>
          <w:highlight w:val="none"/>
        </w:rPr>
        <w:t>.</w:t>
      </w:r>
      <w:r>
        <w:rPr>
          <w:rFonts w:hint="eastAsia" w:ascii="宋体" w:hAnsi="宋体" w:cs="宋体"/>
          <w:highlight w:val="none"/>
        </w:rPr>
        <w:t>除非执行合同需要，在事先未得到甲方同意的情况下，乙方不得使用前款所列的任何文件和资料。</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第十五条 不可抗力事件处理</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rPr>
          <w:rFonts w:ascii="宋体" w:hAnsi="宋体" w:cs="宋体"/>
          <w:szCs w:val="27"/>
          <w:highlight w:val="none"/>
        </w:rPr>
      </w:pPr>
      <w:r>
        <w:rPr>
          <w:rFonts w:hint="eastAsia" w:ascii="宋体" w:hAnsi="宋体" w:cs="宋体"/>
          <w:highlight w:val="none"/>
        </w:rPr>
        <w:t>2</w:t>
      </w:r>
      <w:r>
        <w:rPr>
          <w:rFonts w:hint="eastAsia" w:ascii="宋体" w:hAnsi="宋体" w:cs="宋体"/>
          <w:szCs w:val="27"/>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第十六条 合同纠纷调处</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.按本合同规定应该偿付的违约金、赔偿金、保管保养费和各种经济损失，应当在明确责任后10天内，按银行规定的结算办法付清，否则按逾期付款处理。</w:t>
      </w:r>
    </w:p>
    <w:p>
      <w:pPr>
        <w:spacing w:line="360" w:lineRule="auto"/>
        <w:ind w:firstLine="420" w:firstLineChars="200"/>
        <w:rPr>
          <w:rFonts w:ascii="宋体" w:hAnsi="宋体" w:cs="宋体"/>
          <w:szCs w:val="27"/>
          <w:highlight w:val="none"/>
        </w:rPr>
      </w:pPr>
      <w:r>
        <w:rPr>
          <w:rFonts w:hint="eastAsia" w:ascii="宋体" w:hAnsi="宋体" w:cs="宋体"/>
          <w:highlight w:val="none"/>
        </w:rPr>
        <w:t>2</w:t>
      </w:r>
      <w:r>
        <w:rPr>
          <w:rFonts w:hint="eastAsia" w:ascii="宋体" w:hAnsi="宋体" w:cs="宋体"/>
          <w:szCs w:val="27"/>
          <w:highlight w:val="none"/>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szCs w:val="27"/>
          <w:highlight w:val="none"/>
          <w:u w:val="single"/>
        </w:rPr>
        <w:t>周口仲裁委员会</w:t>
      </w:r>
      <w:r>
        <w:rPr>
          <w:rFonts w:hint="eastAsia" w:ascii="宋体" w:hAnsi="宋体" w:cs="宋体"/>
          <w:szCs w:val="27"/>
          <w:highlight w:val="none"/>
        </w:rPr>
        <w:t>申请仲裁。②向</w:t>
      </w:r>
      <w:r>
        <w:rPr>
          <w:rFonts w:hint="eastAsia" w:ascii="宋体" w:hAnsi="宋体" w:cs="宋体"/>
          <w:highlight w:val="none"/>
        </w:rPr>
        <w:t>合同签订地有级别管辖权的</w:t>
      </w:r>
      <w:r>
        <w:rPr>
          <w:rFonts w:hint="eastAsia" w:ascii="宋体" w:hAnsi="宋体" w:cs="宋体"/>
          <w:szCs w:val="27"/>
          <w:highlight w:val="none"/>
        </w:rPr>
        <w:t>人民法院起诉。</w:t>
      </w:r>
    </w:p>
    <w:p>
      <w:pPr>
        <w:pStyle w:val="2"/>
        <w:kinsoku w:val="0"/>
        <w:overflowPunct w:val="0"/>
        <w:ind w:firstLine="420" w:firstLineChars="200"/>
        <w:rPr>
          <w:rFonts w:ascii="宋体" w:hAnsi="宋体" w:cs="宋体"/>
          <w:b w:val="0"/>
          <w:bCs w:val="0"/>
          <w:kern w:val="2"/>
          <w:sz w:val="21"/>
          <w:szCs w:val="27"/>
          <w:highlight w:val="none"/>
        </w:rPr>
      </w:pPr>
      <w:r>
        <w:rPr>
          <w:rFonts w:hint="eastAsia" w:ascii="宋体" w:hAnsi="宋体" w:cs="宋体"/>
          <w:b w:val="0"/>
          <w:bCs w:val="0"/>
          <w:kern w:val="2"/>
          <w:sz w:val="21"/>
          <w:szCs w:val="27"/>
          <w:highlight w:val="none"/>
        </w:rPr>
        <w:t>3、甲、乙双方均有权利向本项目具有监管职能的政府采购监督管理部门举报反映对方在合同履约中的违法违纪行为。</w:t>
      </w:r>
    </w:p>
    <w:p>
      <w:pPr>
        <w:spacing w:line="360" w:lineRule="auto"/>
        <w:ind w:firstLine="422" w:firstLineChars="200"/>
        <w:rPr>
          <w:rFonts w:ascii="宋体" w:hAnsi="宋体" w:cs="宋体"/>
          <w:b/>
          <w:bCs/>
          <w:szCs w:val="27"/>
          <w:highlight w:val="none"/>
        </w:rPr>
      </w:pPr>
      <w:r>
        <w:rPr>
          <w:rFonts w:hint="eastAsia" w:ascii="宋体" w:hAnsi="宋体" w:cs="宋体"/>
          <w:b/>
          <w:bCs/>
          <w:szCs w:val="27"/>
          <w:highlight w:val="none"/>
        </w:rPr>
        <w:t>第十七条 其他</w:t>
      </w:r>
    </w:p>
    <w:p>
      <w:pPr>
        <w:spacing w:line="360" w:lineRule="auto"/>
        <w:ind w:firstLine="422" w:firstLineChars="200"/>
        <w:rPr>
          <w:rFonts w:ascii="宋体" w:hAnsi="宋体" w:cs="宋体"/>
          <w:szCs w:val="27"/>
          <w:highlight w:val="none"/>
        </w:rPr>
      </w:pPr>
      <w:r>
        <w:rPr>
          <w:rFonts w:hint="eastAsia" w:ascii="宋体" w:hAnsi="宋体" w:cs="宋体"/>
          <w:b/>
          <w:bCs/>
          <w:szCs w:val="27"/>
          <w:highlight w:val="none"/>
        </w:rPr>
        <w:t xml:space="preserve"> </w:t>
      </w:r>
      <w:r>
        <w:rPr>
          <w:rFonts w:hint="eastAsia" w:ascii="宋体" w:hAnsi="宋体" w:cs="宋体"/>
          <w:szCs w:val="27"/>
          <w:highlight w:val="none"/>
        </w:rPr>
        <w:t>下列关于周口市公共资源交易中心政府采购代理机构名称</w:t>
      </w:r>
      <w:r>
        <w:rPr>
          <w:rFonts w:hint="eastAsia" w:ascii="宋体" w:hAnsi="宋体" w:cs="宋体"/>
          <w:szCs w:val="27"/>
          <w:highlight w:val="none"/>
          <w:u w:val="single"/>
        </w:rPr>
        <w:t>某项目（项目编号：某编号）</w:t>
      </w:r>
      <w:r>
        <w:rPr>
          <w:rFonts w:hint="eastAsia" w:ascii="宋体" w:hAnsi="宋体" w:cs="宋体"/>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 xml:space="preserve">    </w:t>
      </w:r>
      <w:r>
        <w:rPr>
          <w:rFonts w:hint="eastAsia" w:ascii="宋体" w:hAnsi="宋体" w:cs="宋体"/>
          <w:highlight w:val="none"/>
        </w:rPr>
        <w:t>本合同一式</w:t>
      </w:r>
      <w:r>
        <w:rPr>
          <w:rFonts w:hint="eastAsia" w:ascii="宋体" w:hAnsi="宋体" w:cs="宋体"/>
          <w:highlight w:val="none"/>
          <w:u w:val="single"/>
        </w:rPr>
        <w:t xml:space="preserve">   </w:t>
      </w:r>
      <w:r>
        <w:rPr>
          <w:rFonts w:hint="eastAsia" w:ascii="宋体" w:hAnsi="宋体" w:cs="宋体"/>
          <w:highlight w:val="none"/>
        </w:rPr>
        <w:t>份，甲乙双方各执</w:t>
      </w:r>
      <w:r>
        <w:rPr>
          <w:rFonts w:hint="eastAsia" w:ascii="宋体" w:hAnsi="宋体" w:cs="宋体"/>
          <w:highlight w:val="none"/>
          <w:u w:val="single"/>
        </w:rPr>
        <w:t xml:space="preserve">   </w:t>
      </w:r>
      <w:r>
        <w:rPr>
          <w:rFonts w:hint="eastAsia" w:ascii="宋体" w:hAnsi="宋体" w:cs="宋体"/>
          <w:highlight w:val="none"/>
        </w:rPr>
        <w:t>份，自双方当事人签字盖章之日起生效。</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 xml:space="preserve">采购人（甲方）：    （公章）           供货人（乙方）：     （公章）  </w:t>
      </w:r>
    </w:p>
    <w:p>
      <w:pPr>
        <w:spacing w:line="360" w:lineRule="auto"/>
        <w:ind w:firstLine="420" w:firstLineChars="200"/>
        <w:rPr>
          <w:rFonts w:ascii="宋体" w:hAnsi="宋体" w:cs="宋体"/>
          <w:highlight w:val="none"/>
        </w:rPr>
      </w:pPr>
      <w:r>
        <w:rPr>
          <w:rFonts w:hint="eastAsia" w:ascii="宋体" w:hAnsi="宋体" w:cs="宋体"/>
          <w:szCs w:val="27"/>
          <w:highlight w:val="none"/>
        </w:rPr>
        <w:t>地址：                               地址：</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法定代表人：                         法定代表人：</w:t>
      </w:r>
    </w:p>
    <w:p>
      <w:pPr>
        <w:spacing w:line="360" w:lineRule="auto"/>
        <w:ind w:firstLine="420" w:firstLineChars="200"/>
        <w:rPr>
          <w:rFonts w:ascii="宋体" w:hAnsi="宋体" w:cs="宋体"/>
          <w:highlight w:val="none"/>
          <w:u w:val="single"/>
        </w:rPr>
      </w:pPr>
      <w:r>
        <w:rPr>
          <w:rFonts w:hint="eastAsia" w:ascii="宋体" w:hAnsi="宋体" w:cs="宋体"/>
          <w:szCs w:val="27"/>
          <w:highlight w:val="none"/>
        </w:rPr>
        <w:t>委托代理人：                         委托代理人：</w:t>
      </w:r>
    </w:p>
    <w:p>
      <w:pPr>
        <w:spacing w:line="360" w:lineRule="auto"/>
        <w:ind w:firstLine="420" w:firstLineChars="200"/>
        <w:rPr>
          <w:rFonts w:ascii="宋体" w:hAnsi="宋体" w:cs="宋体"/>
          <w:highlight w:val="none"/>
        </w:rPr>
      </w:pPr>
      <w:r>
        <w:rPr>
          <w:rFonts w:hint="eastAsia" w:ascii="宋体" w:hAnsi="宋体" w:cs="宋体"/>
          <w:highlight w:val="none"/>
        </w:rPr>
        <w:t>电话：                               电话：</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开户银行：                           开户银行：</w:t>
      </w:r>
    </w:p>
    <w:p>
      <w:pPr>
        <w:spacing w:line="360" w:lineRule="auto"/>
        <w:ind w:firstLine="420" w:firstLineChars="200"/>
        <w:rPr>
          <w:rFonts w:ascii="宋体" w:hAnsi="宋体" w:cs="宋体"/>
          <w:highlight w:val="none"/>
        </w:rPr>
      </w:pPr>
      <w:r>
        <w:rPr>
          <w:rFonts w:hint="eastAsia" w:ascii="宋体" w:hAnsi="宋体" w:cs="宋体"/>
          <w:szCs w:val="27"/>
          <w:highlight w:val="none"/>
        </w:rPr>
        <w:t>账号：                               账号：</w:t>
      </w:r>
    </w:p>
    <w:p>
      <w:pPr>
        <w:spacing w:line="640" w:lineRule="exact"/>
        <w:ind w:firstLine="420" w:firstLineChars="200"/>
        <w:rPr>
          <w:rFonts w:ascii="宋体" w:hAnsi="宋体" w:cs="宋体"/>
          <w:szCs w:val="27"/>
          <w:highlight w:val="none"/>
          <w:u w:val="single"/>
        </w:rPr>
      </w:pPr>
    </w:p>
    <w:p>
      <w:pPr>
        <w:pStyle w:val="38"/>
        <w:ind w:firstLine="210"/>
        <w:jc w:val="center"/>
        <w:rPr>
          <w:b/>
          <w:sz w:val="32"/>
          <w:szCs w:val="32"/>
          <w:highlight w:val="none"/>
        </w:rPr>
      </w:pPr>
      <w:r>
        <w:rPr>
          <w:rFonts w:hint="eastAsia" w:ascii="宋体" w:hAnsi="宋体" w:cs="宋体"/>
          <w:szCs w:val="27"/>
          <w:highlight w:val="none"/>
          <w:u w:val="single"/>
        </w:rPr>
        <w:t>        </w:t>
      </w:r>
      <w:r>
        <w:rPr>
          <w:rFonts w:hint="eastAsia" w:ascii="宋体" w:hAnsi="宋体" w:cs="宋体"/>
          <w:szCs w:val="27"/>
          <w:highlight w:val="none"/>
        </w:rPr>
        <w:t>年</w:t>
      </w:r>
      <w:r>
        <w:rPr>
          <w:rFonts w:hint="eastAsia" w:ascii="宋体" w:hAnsi="宋体" w:cs="宋体"/>
          <w:szCs w:val="27"/>
          <w:highlight w:val="none"/>
          <w:u w:val="single"/>
        </w:rPr>
        <w:t xml:space="preserve">    </w:t>
      </w:r>
      <w:r>
        <w:rPr>
          <w:rFonts w:hint="eastAsia" w:ascii="宋体" w:hAnsi="宋体" w:cs="宋体"/>
          <w:szCs w:val="27"/>
          <w:highlight w:val="none"/>
        </w:rPr>
        <w:t>月</w:t>
      </w:r>
      <w:r>
        <w:rPr>
          <w:rFonts w:hint="eastAsia" w:ascii="宋体" w:hAnsi="宋体" w:cs="宋体"/>
          <w:szCs w:val="27"/>
          <w:highlight w:val="none"/>
          <w:u w:val="single"/>
        </w:rPr>
        <w:t xml:space="preserve">    </w:t>
      </w:r>
      <w:r>
        <w:rPr>
          <w:rFonts w:hint="eastAsia" w:ascii="宋体" w:hAnsi="宋体" w:cs="宋体"/>
          <w:szCs w:val="27"/>
          <w:highlight w:val="none"/>
        </w:rPr>
        <w:t xml:space="preserve">日                      </w:t>
      </w:r>
      <w:r>
        <w:rPr>
          <w:rFonts w:hint="eastAsia" w:ascii="宋体" w:hAnsi="宋体" w:cs="宋体"/>
          <w:szCs w:val="27"/>
          <w:highlight w:val="none"/>
          <w:u w:val="single"/>
        </w:rPr>
        <w:t xml:space="preserve">         </w:t>
      </w:r>
      <w:r>
        <w:rPr>
          <w:rFonts w:hint="eastAsia" w:ascii="宋体" w:hAnsi="宋体" w:cs="宋体"/>
          <w:szCs w:val="27"/>
          <w:highlight w:val="none"/>
        </w:rPr>
        <w:t>年</w:t>
      </w:r>
      <w:r>
        <w:rPr>
          <w:rFonts w:hint="eastAsia" w:ascii="宋体" w:hAnsi="宋体" w:cs="宋体"/>
          <w:szCs w:val="27"/>
          <w:highlight w:val="none"/>
          <w:u w:val="single"/>
        </w:rPr>
        <w:t xml:space="preserve">    </w:t>
      </w:r>
      <w:r>
        <w:rPr>
          <w:rFonts w:hint="eastAsia" w:ascii="宋体" w:hAnsi="宋体" w:cs="宋体"/>
          <w:szCs w:val="27"/>
          <w:highlight w:val="none"/>
        </w:rPr>
        <w:t>月</w:t>
      </w:r>
      <w:r>
        <w:rPr>
          <w:rFonts w:hint="eastAsia" w:ascii="宋体" w:hAnsi="宋体" w:cs="宋体"/>
          <w:szCs w:val="27"/>
          <w:highlight w:val="none"/>
          <w:u w:val="single"/>
        </w:rPr>
        <w:t xml:space="preserve">  </w:t>
      </w:r>
      <w:r>
        <w:rPr>
          <w:rFonts w:hint="eastAsia" w:ascii="宋体" w:hAnsi="宋体" w:cs="宋体"/>
          <w:szCs w:val="27"/>
          <w:highlight w:val="none"/>
        </w:rPr>
        <w:t>日</w:t>
      </w:r>
    </w:p>
    <w:p>
      <w:pPr>
        <w:rPr>
          <w:rFonts w:hint="eastAsia"/>
          <w:b/>
          <w:sz w:val="32"/>
          <w:szCs w:val="32"/>
          <w:highlight w:val="none"/>
        </w:rPr>
      </w:pPr>
      <w:r>
        <w:rPr>
          <w:rFonts w:hint="eastAsia"/>
          <w:b/>
          <w:sz w:val="32"/>
          <w:szCs w:val="32"/>
          <w:highlight w:val="none"/>
        </w:rPr>
        <w:br w:type="page"/>
      </w:r>
    </w:p>
    <w:p>
      <w:pPr>
        <w:pStyle w:val="38"/>
        <w:ind w:firstLine="321"/>
        <w:jc w:val="center"/>
        <w:rPr>
          <w:b/>
          <w:sz w:val="32"/>
          <w:szCs w:val="32"/>
          <w:highlight w:val="none"/>
        </w:rPr>
      </w:pPr>
      <w:r>
        <w:rPr>
          <w:rFonts w:hint="eastAsia"/>
          <w:b/>
          <w:sz w:val="32"/>
          <w:szCs w:val="32"/>
          <w:highlight w:val="none"/>
        </w:rPr>
        <w:t>周口市政府采购合同融资政策告知函</w:t>
      </w:r>
    </w:p>
    <w:p>
      <w:pPr>
        <w:pStyle w:val="38"/>
        <w:ind w:firstLine="240"/>
        <w:rPr>
          <w:rFonts w:asciiTheme="minorEastAsia" w:hAnsiTheme="minorEastAsia" w:eastAsiaTheme="minorEastAsia"/>
          <w:sz w:val="24"/>
          <w:highlight w:val="none"/>
        </w:rPr>
      </w:pPr>
    </w:p>
    <w:p>
      <w:pPr>
        <w:pStyle w:val="38"/>
        <w:ind w:firstLine="240"/>
        <w:rPr>
          <w:rFonts w:asciiTheme="minorEastAsia" w:hAnsiTheme="minorEastAsia" w:eastAsiaTheme="minorEastAsia"/>
          <w:sz w:val="24"/>
          <w:highlight w:val="none"/>
        </w:rPr>
      </w:pPr>
    </w:p>
    <w:p>
      <w:pPr>
        <w:pStyle w:val="38"/>
        <w:ind w:firstLine="240"/>
        <w:rPr>
          <w:rFonts w:asciiTheme="minorEastAsia" w:hAnsiTheme="minorEastAsia" w:eastAsiaTheme="minorEastAsia"/>
          <w:sz w:val="24"/>
          <w:highlight w:val="none"/>
        </w:rPr>
      </w:pPr>
    </w:p>
    <w:p>
      <w:pPr>
        <w:pStyle w:val="38"/>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各供应商：</w:t>
      </w:r>
    </w:p>
    <w:p>
      <w:pPr>
        <w:pStyle w:val="38"/>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欢迎贵公司参与周口市政府采购活动！</w:t>
      </w:r>
    </w:p>
    <w:p>
      <w:pPr>
        <w:pStyle w:val="38"/>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38"/>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贷款渠道和提供贷款的金融机构，可在河南省政府采购网“河南省政府采购合同融资平台”查询联系。</w:t>
      </w: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23"/>
        <w:spacing w:before="0" w:beforeAutospacing="0" w:after="0" w:afterAutospacing="0" w:line="330" w:lineRule="atLeast"/>
        <w:rPr>
          <w:rFonts w:cs="仿宋_GB2312"/>
          <w:b/>
          <w:bCs/>
          <w:color w:val="0000FF"/>
          <w:sz w:val="21"/>
          <w:szCs w:val="21"/>
          <w:highlight w:val="none"/>
        </w:rPr>
      </w:pPr>
    </w:p>
    <w:p>
      <w:pPr>
        <w:pStyle w:val="38"/>
        <w:ind w:firstLine="210"/>
        <w:rPr>
          <w:highlight w:val="none"/>
        </w:rPr>
      </w:pPr>
    </w:p>
    <w:sectPr>
      <w:pgSz w:w="11907" w:h="16840"/>
      <w:pgMar w:top="1440" w:right="1588" w:bottom="1440"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2ExcoBAACc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B2ExcoBAACcAwAADgAAAAAAAAABACAAAAAeAQAAZHJzL2Uyb0Rv&#10;Yy54bWxQSwUGAAAAAAYABgBZAQAAWgU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spacing w:line="160" w:lineRule="atLeast"/>
      <w:jc w:val="both"/>
      <w:rPr>
        <w:rFonts w:hint="eastAsia"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3D9CF9"/>
    <w:multiLevelType w:val="singleLevel"/>
    <w:tmpl w:val="8E3D9CF9"/>
    <w:lvl w:ilvl="0" w:tentative="0">
      <w:start w:val="2"/>
      <w:numFmt w:val="decimal"/>
      <w:lvlText w:val="%1."/>
      <w:lvlJc w:val="left"/>
      <w:pPr>
        <w:tabs>
          <w:tab w:val="left" w:pos="312"/>
        </w:tabs>
      </w:pPr>
    </w:lvl>
  </w:abstractNum>
  <w:abstractNum w:abstractNumId="1">
    <w:nsid w:val="00000002"/>
    <w:multiLevelType w:val="singleLevel"/>
    <w:tmpl w:val="00000002"/>
    <w:lvl w:ilvl="0" w:tentative="0">
      <w:start w:val="3"/>
      <w:numFmt w:val="decimal"/>
      <w:suff w:val="nothing"/>
      <w:lvlText w:val="(%1)"/>
      <w:lvlJc w:val="left"/>
    </w:lvl>
  </w:abstractNum>
  <w:abstractNum w:abstractNumId="2">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 w:name="KSO_WPS_MARK_KEY" w:val="ec31006d-67c7-4ee0-b39f-6b2b4290ec38"/>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24B"/>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4C26"/>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32B9"/>
    <w:rsid w:val="006158DC"/>
    <w:rsid w:val="0061645A"/>
    <w:rsid w:val="0062126D"/>
    <w:rsid w:val="00621B09"/>
    <w:rsid w:val="006227BE"/>
    <w:rsid w:val="0063018F"/>
    <w:rsid w:val="00632A25"/>
    <w:rsid w:val="006353B4"/>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810"/>
    <w:rsid w:val="006E6A04"/>
    <w:rsid w:val="006F3DCD"/>
    <w:rsid w:val="006F61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E61"/>
    <w:rsid w:val="00AB40DB"/>
    <w:rsid w:val="00AB7180"/>
    <w:rsid w:val="00AC28E3"/>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5354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84242"/>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53E32"/>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7C3055"/>
    <w:rsid w:val="021A62ED"/>
    <w:rsid w:val="021F6AE2"/>
    <w:rsid w:val="027A149C"/>
    <w:rsid w:val="02B07FF7"/>
    <w:rsid w:val="02CA345F"/>
    <w:rsid w:val="02ED333D"/>
    <w:rsid w:val="03196F07"/>
    <w:rsid w:val="03733BDF"/>
    <w:rsid w:val="03802AE2"/>
    <w:rsid w:val="038F0F77"/>
    <w:rsid w:val="03A308DC"/>
    <w:rsid w:val="040532BA"/>
    <w:rsid w:val="04176582"/>
    <w:rsid w:val="041B7F63"/>
    <w:rsid w:val="04784101"/>
    <w:rsid w:val="04912ACD"/>
    <w:rsid w:val="04BC223F"/>
    <w:rsid w:val="05094EA6"/>
    <w:rsid w:val="050B0AD1"/>
    <w:rsid w:val="050B6D23"/>
    <w:rsid w:val="051259ED"/>
    <w:rsid w:val="051C4A8C"/>
    <w:rsid w:val="05252CCF"/>
    <w:rsid w:val="053718C6"/>
    <w:rsid w:val="056326BB"/>
    <w:rsid w:val="05645491"/>
    <w:rsid w:val="057A17B3"/>
    <w:rsid w:val="05F504EE"/>
    <w:rsid w:val="06127D66"/>
    <w:rsid w:val="064B1AAF"/>
    <w:rsid w:val="065D2B7B"/>
    <w:rsid w:val="06695AAF"/>
    <w:rsid w:val="066C559F"/>
    <w:rsid w:val="07041580"/>
    <w:rsid w:val="071020DA"/>
    <w:rsid w:val="072010BD"/>
    <w:rsid w:val="07736D89"/>
    <w:rsid w:val="07932A4C"/>
    <w:rsid w:val="07D95505"/>
    <w:rsid w:val="07F876A6"/>
    <w:rsid w:val="07FB6BDB"/>
    <w:rsid w:val="0825143C"/>
    <w:rsid w:val="086C5D2B"/>
    <w:rsid w:val="08703D30"/>
    <w:rsid w:val="08CC4A1B"/>
    <w:rsid w:val="08DB1CFF"/>
    <w:rsid w:val="095C6D8E"/>
    <w:rsid w:val="09615163"/>
    <w:rsid w:val="09885527"/>
    <w:rsid w:val="09A92667"/>
    <w:rsid w:val="09D27E0F"/>
    <w:rsid w:val="0A2148F3"/>
    <w:rsid w:val="0A261F09"/>
    <w:rsid w:val="0A9E30AD"/>
    <w:rsid w:val="0AA026E7"/>
    <w:rsid w:val="0AAC0660"/>
    <w:rsid w:val="0AC736EC"/>
    <w:rsid w:val="0AEE2A27"/>
    <w:rsid w:val="0B4B60CB"/>
    <w:rsid w:val="0B6813FA"/>
    <w:rsid w:val="0BAB4DBC"/>
    <w:rsid w:val="0BE35ECF"/>
    <w:rsid w:val="0BEB3B44"/>
    <w:rsid w:val="0C0644C0"/>
    <w:rsid w:val="0C505731"/>
    <w:rsid w:val="0C523489"/>
    <w:rsid w:val="0C7B02EA"/>
    <w:rsid w:val="0C9D2956"/>
    <w:rsid w:val="0CB3217A"/>
    <w:rsid w:val="0CB8153E"/>
    <w:rsid w:val="0CBB4B8B"/>
    <w:rsid w:val="0D417345"/>
    <w:rsid w:val="0D755681"/>
    <w:rsid w:val="0DDF6F9F"/>
    <w:rsid w:val="0DFA16E3"/>
    <w:rsid w:val="0DFC18FF"/>
    <w:rsid w:val="0E3C1CFB"/>
    <w:rsid w:val="0EA31D7A"/>
    <w:rsid w:val="0EB14497"/>
    <w:rsid w:val="0F395129"/>
    <w:rsid w:val="0F557518"/>
    <w:rsid w:val="0F9F2542"/>
    <w:rsid w:val="0FDF5034"/>
    <w:rsid w:val="101A2510"/>
    <w:rsid w:val="103435D2"/>
    <w:rsid w:val="103C4234"/>
    <w:rsid w:val="103D0CA1"/>
    <w:rsid w:val="1068327B"/>
    <w:rsid w:val="10855BDB"/>
    <w:rsid w:val="109127D2"/>
    <w:rsid w:val="109220A6"/>
    <w:rsid w:val="10D62AA4"/>
    <w:rsid w:val="11186A50"/>
    <w:rsid w:val="112F78F5"/>
    <w:rsid w:val="11585A44"/>
    <w:rsid w:val="1178129C"/>
    <w:rsid w:val="118539B9"/>
    <w:rsid w:val="11AD363C"/>
    <w:rsid w:val="11BF29F6"/>
    <w:rsid w:val="11F33019"/>
    <w:rsid w:val="126A32DB"/>
    <w:rsid w:val="12EF1A32"/>
    <w:rsid w:val="134358DA"/>
    <w:rsid w:val="1351688D"/>
    <w:rsid w:val="13552B79"/>
    <w:rsid w:val="13763F01"/>
    <w:rsid w:val="13793DF7"/>
    <w:rsid w:val="141C4A83"/>
    <w:rsid w:val="14214AFF"/>
    <w:rsid w:val="143108FD"/>
    <w:rsid w:val="14354A58"/>
    <w:rsid w:val="144E2788"/>
    <w:rsid w:val="14677422"/>
    <w:rsid w:val="14852498"/>
    <w:rsid w:val="14D7277E"/>
    <w:rsid w:val="152E6B10"/>
    <w:rsid w:val="15311E8E"/>
    <w:rsid w:val="157C1645"/>
    <w:rsid w:val="15BF1042"/>
    <w:rsid w:val="15D47D5A"/>
    <w:rsid w:val="16041350"/>
    <w:rsid w:val="161C0D90"/>
    <w:rsid w:val="16557DFE"/>
    <w:rsid w:val="1656732A"/>
    <w:rsid w:val="16571DC8"/>
    <w:rsid w:val="169C3C7F"/>
    <w:rsid w:val="169F376F"/>
    <w:rsid w:val="16CD76A0"/>
    <w:rsid w:val="16EA2C3C"/>
    <w:rsid w:val="17215529"/>
    <w:rsid w:val="1748053A"/>
    <w:rsid w:val="175B58E8"/>
    <w:rsid w:val="1783656C"/>
    <w:rsid w:val="17885FB1"/>
    <w:rsid w:val="179A1DFB"/>
    <w:rsid w:val="17E10BD4"/>
    <w:rsid w:val="181939B9"/>
    <w:rsid w:val="18465138"/>
    <w:rsid w:val="186B5020"/>
    <w:rsid w:val="18952734"/>
    <w:rsid w:val="18C66D91"/>
    <w:rsid w:val="18D74DC1"/>
    <w:rsid w:val="18EB2C9C"/>
    <w:rsid w:val="1954261A"/>
    <w:rsid w:val="199F74A2"/>
    <w:rsid w:val="19EA2F53"/>
    <w:rsid w:val="19ED659F"/>
    <w:rsid w:val="1AA66E7A"/>
    <w:rsid w:val="1AE259D8"/>
    <w:rsid w:val="1AED58EF"/>
    <w:rsid w:val="1B4F7512"/>
    <w:rsid w:val="1B730D89"/>
    <w:rsid w:val="1B960FA2"/>
    <w:rsid w:val="1C1C4F1A"/>
    <w:rsid w:val="1C273FEB"/>
    <w:rsid w:val="1C2A5889"/>
    <w:rsid w:val="1C940F54"/>
    <w:rsid w:val="1CA078F9"/>
    <w:rsid w:val="1CA76EDA"/>
    <w:rsid w:val="1CC82894"/>
    <w:rsid w:val="1CFA2F29"/>
    <w:rsid w:val="1D747E59"/>
    <w:rsid w:val="1DB01DBE"/>
    <w:rsid w:val="1E3E386E"/>
    <w:rsid w:val="1E430E84"/>
    <w:rsid w:val="1E4F7829"/>
    <w:rsid w:val="1E7159F1"/>
    <w:rsid w:val="1EBF4137"/>
    <w:rsid w:val="1EC96BB5"/>
    <w:rsid w:val="1ED41ADC"/>
    <w:rsid w:val="1ED65854"/>
    <w:rsid w:val="1EFC175F"/>
    <w:rsid w:val="1F1C595D"/>
    <w:rsid w:val="1F397F3B"/>
    <w:rsid w:val="1F3A0BB5"/>
    <w:rsid w:val="1F5A46D7"/>
    <w:rsid w:val="1FA92FCB"/>
    <w:rsid w:val="1FAB4B1F"/>
    <w:rsid w:val="1FBE6A14"/>
    <w:rsid w:val="1FC252A5"/>
    <w:rsid w:val="20193BC8"/>
    <w:rsid w:val="203B0065"/>
    <w:rsid w:val="204F3B10"/>
    <w:rsid w:val="20601879"/>
    <w:rsid w:val="206C46C2"/>
    <w:rsid w:val="20981EA4"/>
    <w:rsid w:val="20A51947"/>
    <w:rsid w:val="20EC5803"/>
    <w:rsid w:val="2197576F"/>
    <w:rsid w:val="21EF55AB"/>
    <w:rsid w:val="220D398C"/>
    <w:rsid w:val="22A77C33"/>
    <w:rsid w:val="22C73E32"/>
    <w:rsid w:val="22DA21F5"/>
    <w:rsid w:val="22EA32EC"/>
    <w:rsid w:val="22F4099F"/>
    <w:rsid w:val="2301566F"/>
    <w:rsid w:val="23242385"/>
    <w:rsid w:val="2378337E"/>
    <w:rsid w:val="23894501"/>
    <w:rsid w:val="23CB7951"/>
    <w:rsid w:val="24165293"/>
    <w:rsid w:val="244119C2"/>
    <w:rsid w:val="2482721D"/>
    <w:rsid w:val="24A10BF5"/>
    <w:rsid w:val="24D70B68"/>
    <w:rsid w:val="250011E1"/>
    <w:rsid w:val="2519649B"/>
    <w:rsid w:val="25237319"/>
    <w:rsid w:val="2536529E"/>
    <w:rsid w:val="25A641D2"/>
    <w:rsid w:val="25E22D30"/>
    <w:rsid w:val="25E46AA9"/>
    <w:rsid w:val="264E6012"/>
    <w:rsid w:val="26802C75"/>
    <w:rsid w:val="26AB07CC"/>
    <w:rsid w:val="275D3960"/>
    <w:rsid w:val="27CB43C4"/>
    <w:rsid w:val="28593D52"/>
    <w:rsid w:val="286471A2"/>
    <w:rsid w:val="287B63A6"/>
    <w:rsid w:val="28887BBF"/>
    <w:rsid w:val="28A80261"/>
    <w:rsid w:val="28C66939"/>
    <w:rsid w:val="28DE1ED5"/>
    <w:rsid w:val="292A336C"/>
    <w:rsid w:val="294206B6"/>
    <w:rsid w:val="29613C02"/>
    <w:rsid w:val="29883D77"/>
    <w:rsid w:val="29BA46F0"/>
    <w:rsid w:val="29E259F5"/>
    <w:rsid w:val="2A111E36"/>
    <w:rsid w:val="2A397C18"/>
    <w:rsid w:val="2A5015D5"/>
    <w:rsid w:val="2A5A320E"/>
    <w:rsid w:val="2A701253"/>
    <w:rsid w:val="2AB949A8"/>
    <w:rsid w:val="2AF63392"/>
    <w:rsid w:val="2B381D70"/>
    <w:rsid w:val="2B54022C"/>
    <w:rsid w:val="2B593A95"/>
    <w:rsid w:val="2B794137"/>
    <w:rsid w:val="2BA67492"/>
    <w:rsid w:val="2BD63337"/>
    <w:rsid w:val="2C0F23A5"/>
    <w:rsid w:val="2C471B3F"/>
    <w:rsid w:val="2C66791C"/>
    <w:rsid w:val="2C6B1CD2"/>
    <w:rsid w:val="2C7D0233"/>
    <w:rsid w:val="2CC338BC"/>
    <w:rsid w:val="2CE00E0B"/>
    <w:rsid w:val="2D221D01"/>
    <w:rsid w:val="2D360531"/>
    <w:rsid w:val="2D531028"/>
    <w:rsid w:val="2D676A80"/>
    <w:rsid w:val="2D7A3266"/>
    <w:rsid w:val="2D872B3B"/>
    <w:rsid w:val="2DDB4C35"/>
    <w:rsid w:val="2DE53D06"/>
    <w:rsid w:val="2DFB7085"/>
    <w:rsid w:val="2E053A60"/>
    <w:rsid w:val="2E100D83"/>
    <w:rsid w:val="2E620EB2"/>
    <w:rsid w:val="2E876B6B"/>
    <w:rsid w:val="2E8E1A42"/>
    <w:rsid w:val="2EAA4B78"/>
    <w:rsid w:val="2EC95935"/>
    <w:rsid w:val="2F212B1B"/>
    <w:rsid w:val="2F5F2B72"/>
    <w:rsid w:val="2FC17E5A"/>
    <w:rsid w:val="305B205D"/>
    <w:rsid w:val="312513B2"/>
    <w:rsid w:val="31644F41"/>
    <w:rsid w:val="31B042BF"/>
    <w:rsid w:val="31F12401"/>
    <w:rsid w:val="31FC7D91"/>
    <w:rsid w:val="31FF5F72"/>
    <w:rsid w:val="32035D60"/>
    <w:rsid w:val="323F1C36"/>
    <w:rsid w:val="324A2389"/>
    <w:rsid w:val="325154C6"/>
    <w:rsid w:val="326E6953"/>
    <w:rsid w:val="329D4BAF"/>
    <w:rsid w:val="32C71C2C"/>
    <w:rsid w:val="33055DF4"/>
    <w:rsid w:val="333A75E5"/>
    <w:rsid w:val="33523A32"/>
    <w:rsid w:val="33F848B7"/>
    <w:rsid w:val="340D1B3C"/>
    <w:rsid w:val="34142C4F"/>
    <w:rsid w:val="342804A8"/>
    <w:rsid w:val="345B087E"/>
    <w:rsid w:val="347B0F20"/>
    <w:rsid w:val="348002E4"/>
    <w:rsid w:val="349A13A6"/>
    <w:rsid w:val="34B524C1"/>
    <w:rsid w:val="354237EC"/>
    <w:rsid w:val="355E12E1"/>
    <w:rsid w:val="357A2F85"/>
    <w:rsid w:val="362A64C1"/>
    <w:rsid w:val="362D7FF8"/>
    <w:rsid w:val="364F61C0"/>
    <w:rsid w:val="365437D6"/>
    <w:rsid w:val="36A06A1C"/>
    <w:rsid w:val="36D23A94"/>
    <w:rsid w:val="376940D0"/>
    <w:rsid w:val="37B370E4"/>
    <w:rsid w:val="37D56B99"/>
    <w:rsid w:val="37EF1A09"/>
    <w:rsid w:val="380F20AB"/>
    <w:rsid w:val="38204506"/>
    <w:rsid w:val="38DC4FA1"/>
    <w:rsid w:val="38ED03A5"/>
    <w:rsid w:val="38FB1FB4"/>
    <w:rsid w:val="39321D68"/>
    <w:rsid w:val="393517E8"/>
    <w:rsid w:val="396170BB"/>
    <w:rsid w:val="397321C6"/>
    <w:rsid w:val="39A93E39"/>
    <w:rsid w:val="39D52E80"/>
    <w:rsid w:val="3A1C460B"/>
    <w:rsid w:val="3A282FB0"/>
    <w:rsid w:val="3A777A93"/>
    <w:rsid w:val="3ACA2C02"/>
    <w:rsid w:val="3ACC4283"/>
    <w:rsid w:val="3AE80991"/>
    <w:rsid w:val="3B862684"/>
    <w:rsid w:val="3B903503"/>
    <w:rsid w:val="3B945CA7"/>
    <w:rsid w:val="3BAE6CD9"/>
    <w:rsid w:val="3BB84807"/>
    <w:rsid w:val="3BD74C8E"/>
    <w:rsid w:val="3BF910A8"/>
    <w:rsid w:val="3C270B87"/>
    <w:rsid w:val="3C3000ED"/>
    <w:rsid w:val="3C371186"/>
    <w:rsid w:val="3C7B12AF"/>
    <w:rsid w:val="3CD4741F"/>
    <w:rsid w:val="3CE21B3C"/>
    <w:rsid w:val="3CF25AF7"/>
    <w:rsid w:val="3D232399"/>
    <w:rsid w:val="3D2E2D19"/>
    <w:rsid w:val="3D31181A"/>
    <w:rsid w:val="3DC87CB2"/>
    <w:rsid w:val="3DE2791A"/>
    <w:rsid w:val="3E216694"/>
    <w:rsid w:val="3E2302E9"/>
    <w:rsid w:val="3E285C74"/>
    <w:rsid w:val="3E9055C8"/>
    <w:rsid w:val="3EAD617A"/>
    <w:rsid w:val="3ECF7E9E"/>
    <w:rsid w:val="3F1749BD"/>
    <w:rsid w:val="3F185CE9"/>
    <w:rsid w:val="3F4F365B"/>
    <w:rsid w:val="3F9A5B70"/>
    <w:rsid w:val="3FB3156E"/>
    <w:rsid w:val="3FB5178A"/>
    <w:rsid w:val="40517EBE"/>
    <w:rsid w:val="40D53766"/>
    <w:rsid w:val="41093759"/>
    <w:rsid w:val="412F10C8"/>
    <w:rsid w:val="41380196"/>
    <w:rsid w:val="41395AA3"/>
    <w:rsid w:val="41415EFF"/>
    <w:rsid w:val="416C5E78"/>
    <w:rsid w:val="418238EE"/>
    <w:rsid w:val="41AF045B"/>
    <w:rsid w:val="41D026B4"/>
    <w:rsid w:val="41E13839"/>
    <w:rsid w:val="420A5691"/>
    <w:rsid w:val="425D589D"/>
    <w:rsid w:val="42723962"/>
    <w:rsid w:val="42935686"/>
    <w:rsid w:val="437C436D"/>
    <w:rsid w:val="43A318F9"/>
    <w:rsid w:val="43AD2778"/>
    <w:rsid w:val="43D1290A"/>
    <w:rsid w:val="43DE2931"/>
    <w:rsid w:val="43F108B7"/>
    <w:rsid w:val="440A7BCA"/>
    <w:rsid w:val="44B244EA"/>
    <w:rsid w:val="44F45243"/>
    <w:rsid w:val="452567EA"/>
    <w:rsid w:val="456B16B7"/>
    <w:rsid w:val="45E83F3B"/>
    <w:rsid w:val="46184820"/>
    <w:rsid w:val="465313B5"/>
    <w:rsid w:val="46886BA6"/>
    <w:rsid w:val="4691012F"/>
    <w:rsid w:val="46A860EC"/>
    <w:rsid w:val="46BD4A69"/>
    <w:rsid w:val="475E44B5"/>
    <w:rsid w:val="481132D5"/>
    <w:rsid w:val="48524AAD"/>
    <w:rsid w:val="48847F4B"/>
    <w:rsid w:val="48861F15"/>
    <w:rsid w:val="488C031D"/>
    <w:rsid w:val="48965ED0"/>
    <w:rsid w:val="490552AA"/>
    <w:rsid w:val="491017DF"/>
    <w:rsid w:val="49396F88"/>
    <w:rsid w:val="493A685C"/>
    <w:rsid w:val="49470F79"/>
    <w:rsid w:val="4A260766"/>
    <w:rsid w:val="4B3C03A4"/>
    <w:rsid w:val="4B7A4CDC"/>
    <w:rsid w:val="4B8225F6"/>
    <w:rsid w:val="4C004255"/>
    <w:rsid w:val="4C935807"/>
    <w:rsid w:val="4CB87FAD"/>
    <w:rsid w:val="4CC21042"/>
    <w:rsid w:val="4D556248"/>
    <w:rsid w:val="4D7F33D7"/>
    <w:rsid w:val="4DA90454"/>
    <w:rsid w:val="4E01203E"/>
    <w:rsid w:val="4EAF1A9A"/>
    <w:rsid w:val="4ECF5C98"/>
    <w:rsid w:val="4FFA680C"/>
    <w:rsid w:val="50720FD1"/>
    <w:rsid w:val="50947199"/>
    <w:rsid w:val="50981A4B"/>
    <w:rsid w:val="50BD3AD5"/>
    <w:rsid w:val="50FF09C9"/>
    <w:rsid w:val="516923D4"/>
    <w:rsid w:val="5177586B"/>
    <w:rsid w:val="521F6F37"/>
    <w:rsid w:val="52390069"/>
    <w:rsid w:val="528D1696"/>
    <w:rsid w:val="529F2FD8"/>
    <w:rsid w:val="52CB2821"/>
    <w:rsid w:val="53815E89"/>
    <w:rsid w:val="53B65415"/>
    <w:rsid w:val="53FD0BB2"/>
    <w:rsid w:val="53FF0DCE"/>
    <w:rsid w:val="540957A8"/>
    <w:rsid w:val="542F765C"/>
    <w:rsid w:val="54300F87"/>
    <w:rsid w:val="546463D8"/>
    <w:rsid w:val="54813591"/>
    <w:rsid w:val="5486329D"/>
    <w:rsid w:val="54914939"/>
    <w:rsid w:val="54B576DE"/>
    <w:rsid w:val="54CA0FB5"/>
    <w:rsid w:val="54D758A7"/>
    <w:rsid w:val="54EB5EC1"/>
    <w:rsid w:val="553B4087"/>
    <w:rsid w:val="553D1BAE"/>
    <w:rsid w:val="554D13F6"/>
    <w:rsid w:val="56625644"/>
    <w:rsid w:val="569752EE"/>
    <w:rsid w:val="56A879B3"/>
    <w:rsid w:val="56B24C1F"/>
    <w:rsid w:val="570457DB"/>
    <w:rsid w:val="57580486"/>
    <w:rsid w:val="575E462C"/>
    <w:rsid w:val="57D63BF4"/>
    <w:rsid w:val="58071DF2"/>
    <w:rsid w:val="58913FBE"/>
    <w:rsid w:val="589A7317"/>
    <w:rsid w:val="58D81BED"/>
    <w:rsid w:val="59722042"/>
    <w:rsid w:val="599C09DC"/>
    <w:rsid w:val="59B52E52"/>
    <w:rsid w:val="59D6612D"/>
    <w:rsid w:val="59DA41E0"/>
    <w:rsid w:val="5A2424B3"/>
    <w:rsid w:val="5A3906A0"/>
    <w:rsid w:val="5A7B6CD4"/>
    <w:rsid w:val="5A897643"/>
    <w:rsid w:val="5A9164F8"/>
    <w:rsid w:val="5A9919E3"/>
    <w:rsid w:val="5ABF12B7"/>
    <w:rsid w:val="5AF3053A"/>
    <w:rsid w:val="5B1F132F"/>
    <w:rsid w:val="5B2A7B0A"/>
    <w:rsid w:val="5B411CCC"/>
    <w:rsid w:val="5B417B6B"/>
    <w:rsid w:val="5B4377F2"/>
    <w:rsid w:val="5B54373E"/>
    <w:rsid w:val="5B953DC6"/>
    <w:rsid w:val="5BAB0BC1"/>
    <w:rsid w:val="5BC30933"/>
    <w:rsid w:val="5BC745F2"/>
    <w:rsid w:val="5C3F7E9C"/>
    <w:rsid w:val="5C5F065B"/>
    <w:rsid w:val="5CA161B2"/>
    <w:rsid w:val="5CB87D6C"/>
    <w:rsid w:val="5CD07BD9"/>
    <w:rsid w:val="5CE46DB3"/>
    <w:rsid w:val="5D487342"/>
    <w:rsid w:val="5DE51034"/>
    <w:rsid w:val="5E007C1C"/>
    <w:rsid w:val="5E391380"/>
    <w:rsid w:val="5E604B5F"/>
    <w:rsid w:val="5E631F59"/>
    <w:rsid w:val="5EE21916"/>
    <w:rsid w:val="5F0E295E"/>
    <w:rsid w:val="5F2416E8"/>
    <w:rsid w:val="5F261B1F"/>
    <w:rsid w:val="5F322057"/>
    <w:rsid w:val="5F4417E0"/>
    <w:rsid w:val="5F88669E"/>
    <w:rsid w:val="5FF94923"/>
    <w:rsid w:val="606F72DB"/>
    <w:rsid w:val="60F035F8"/>
    <w:rsid w:val="61483DB4"/>
    <w:rsid w:val="61BC20AC"/>
    <w:rsid w:val="61FF01EB"/>
    <w:rsid w:val="622F04A1"/>
    <w:rsid w:val="62707B3A"/>
    <w:rsid w:val="629628FD"/>
    <w:rsid w:val="62A15DCF"/>
    <w:rsid w:val="62DF24F6"/>
    <w:rsid w:val="633F11E7"/>
    <w:rsid w:val="639F57E1"/>
    <w:rsid w:val="63C86026"/>
    <w:rsid w:val="63F0603D"/>
    <w:rsid w:val="63FF54F4"/>
    <w:rsid w:val="645C0879"/>
    <w:rsid w:val="64741C1C"/>
    <w:rsid w:val="648C064A"/>
    <w:rsid w:val="64E04304"/>
    <w:rsid w:val="64EC04D4"/>
    <w:rsid w:val="651641C9"/>
    <w:rsid w:val="656B3097"/>
    <w:rsid w:val="65A44D2D"/>
    <w:rsid w:val="65EF1521"/>
    <w:rsid w:val="665C4848"/>
    <w:rsid w:val="66A3383B"/>
    <w:rsid w:val="66AB4942"/>
    <w:rsid w:val="66B477F6"/>
    <w:rsid w:val="66F67E0E"/>
    <w:rsid w:val="67303449"/>
    <w:rsid w:val="673152EA"/>
    <w:rsid w:val="67D57A24"/>
    <w:rsid w:val="67E73776"/>
    <w:rsid w:val="680D18B3"/>
    <w:rsid w:val="6833299C"/>
    <w:rsid w:val="687951D6"/>
    <w:rsid w:val="68AB69AF"/>
    <w:rsid w:val="68CC52CB"/>
    <w:rsid w:val="68D653C8"/>
    <w:rsid w:val="68D85250"/>
    <w:rsid w:val="696077C1"/>
    <w:rsid w:val="698D4180"/>
    <w:rsid w:val="69931944"/>
    <w:rsid w:val="69AF055A"/>
    <w:rsid w:val="69B51B3F"/>
    <w:rsid w:val="6A1567FD"/>
    <w:rsid w:val="6AC344AB"/>
    <w:rsid w:val="6B182A49"/>
    <w:rsid w:val="6B4D0219"/>
    <w:rsid w:val="6B6D2FE8"/>
    <w:rsid w:val="6BA53BB1"/>
    <w:rsid w:val="6BE9595D"/>
    <w:rsid w:val="6CA67BE1"/>
    <w:rsid w:val="6CAB3449"/>
    <w:rsid w:val="6CD02EB0"/>
    <w:rsid w:val="6CE4796A"/>
    <w:rsid w:val="6D1F0B58"/>
    <w:rsid w:val="6D321474"/>
    <w:rsid w:val="6D3654A5"/>
    <w:rsid w:val="6D723F67"/>
    <w:rsid w:val="6DB602F7"/>
    <w:rsid w:val="6E22598D"/>
    <w:rsid w:val="6E3B6A4F"/>
    <w:rsid w:val="6EAA606E"/>
    <w:rsid w:val="6EB24C26"/>
    <w:rsid w:val="6EE47BF5"/>
    <w:rsid w:val="6F047014"/>
    <w:rsid w:val="6F2B6AC3"/>
    <w:rsid w:val="6F751AEC"/>
    <w:rsid w:val="6F8D6E36"/>
    <w:rsid w:val="70001CFE"/>
    <w:rsid w:val="70180DF5"/>
    <w:rsid w:val="70D50A94"/>
    <w:rsid w:val="7130059F"/>
    <w:rsid w:val="71324139"/>
    <w:rsid w:val="715045BF"/>
    <w:rsid w:val="71EC42E8"/>
    <w:rsid w:val="71FD0B25"/>
    <w:rsid w:val="727D297F"/>
    <w:rsid w:val="72BE68BD"/>
    <w:rsid w:val="73075151"/>
    <w:rsid w:val="739A5FC5"/>
    <w:rsid w:val="73CB43D1"/>
    <w:rsid w:val="74013C26"/>
    <w:rsid w:val="74170E85"/>
    <w:rsid w:val="74392095"/>
    <w:rsid w:val="7447614D"/>
    <w:rsid w:val="74975370"/>
    <w:rsid w:val="74DE3871"/>
    <w:rsid w:val="751E6757"/>
    <w:rsid w:val="75CD2682"/>
    <w:rsid w:val="75DA08FB"/>
    <w:rsid w:val="75DC35E9"/>
    <w:rsid w:val="76342701"/>
    <w:rsid w:val="763F04CF"/>
    <w:rsid w:val="7671125F"/>
    <w:rsid w:val="767F69B6"/>
    <w:rsid w:val="768A0573"/>
    <w:rsid w:val="76C00701"/>
    <w:rsid w:val="76F61765"/>
    <w:rsid w:val="77184DE6"/>
    <w:rsid w:val="77AE2E62"/>
    <w:rsid w:val="77BE6726"/>
    <w:rsid w:val="77ED2E5B"/>
    <w:rsid w:val="77FA11D3"/>
    <w:rsid w:val="77FA5285"/>
    <w:rsid w:val="77FD1797"/>
    <w:rsid w:val="78112CFA"/>
    <w:rsid w:val="784C3D32"/>
    <w:rsid w:val="789E6834"/>
    <w:rsid w:val="78A73D3E"/>
    <w:rsid w:val="78ED1F7D"/>
    <w:rsid w:val="78FB3F8B"/>
    <w:rsid w:val="794A5D98"/>
    <w:rsid w:val="799815AF"/>
    <w:rsid w:val="79DD67E6"/>
    <w:rsid w:val="79E675CF"/>
    <w:rsid w:val="7A214D4A"/>
    <w:rsid w:val="7A545120"/>
    <w:rsid w:val="7A696DAB"/>
    <w:rsid w:val="7AAC05DE"/>
    <w:rsid w:val="7AD93877"/>
    <w:rsid w:val="7B3E36DA"/>
    <w:rsid w:val="7B615D46"/>
    <w:rsid w:val="7B9D48A5"/>
    <w:rsid w:val="7BAC19B7"/>
    <w:rsid w:val="7BCF79D9"/>
    <w:rsid w:val="7BDA1655"/>
    <w:rsid w:val="7C096E5E"/>
    <w:rsid w:val="7C1A4C7A"/>
    <w:rsid w:val="7C2974E5"/>
    <w:rsid w:val="7C444892"/>
    <w:rsid w:val="7C943EFA"/>
    <w:rsid w:val="7CAE7448"/>
    <w:rsid w:val="7CB24380"/>
    <w:rsid w:val="7CC7607D"/>
    <w:rsid w:val="7CCD4D16"/>
    <w:rsid w:val="7CF624BE"/>
    <w:rsid w:val="7D64746E"/>
    <w:rsid w:val="7D6F401F"/>
    <w:rsid w:val="7D9D293A"/>
    <w:rsid w:val="7DF36BF7"/>
    <w:rsid w:val="7DF764EE"/>
    <w:rsid w:val="7E543E84"/>
    <w:rsid w:val="7E6C1CCD"/>
    <w:rsid w:val="7EBB39C0"/>
    <w:rsid w:val="7EC5039A"/>
    <w:rsid w:val="7EC90255"/>
    <w:rsid w:val="7F565496"/>
    <w:rsid w:val="7F620EF8"/>
    <w:rsid w:val="7F871AF4"/>
    <w:rsid w:val="7FA97CBC"/>
    <w:rsid w:val="7FED310D"/>
    <w:rsid w:val="7FF54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spacing w:line="0" w:lineRule="atLeast"/>
      <w:jc w:val="center"/>
      <w:outlineLvl w:val="1"/>
    </w:pPr>
    <w:rPr>
      <w:kern w:val="0"/>
      <w:sz w:val="28"/>
    </w:rPr>
  </w:style>
  <w:style w:type="paragraph" w:styleId="4">
    <w:name w:val="heading 3"/>
    <w:basedOn w:val="1"/>
    <w:next w:val="1"/>
    <w:link w:val="42"/>
    <w:autoRedefine/>
    <w:qFormat/>
    <w:uiPriority w:val="0"/>
    <w:pPr>
      <w:keepNext/>
      <w:keepLines/>
      <w:spacing w:before="260" w:after="260" w:line="416" w:lineRule="auto"/>
      <w:outlineLvl w:val="2"/>
    </w:pPr>
    <w:rPr>
      <w:b/>
      <w:bCs/>
      <w:sz w:val="32"/>
      <w:szCs w:val="32"/>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caption"/>
    <w:basedOn w:val="1"/>
    <w:next w:val="1"/>
    <w:autoRedefine/>
    <w:qFormat/>
    <w:uiPriority w:val="0"/>
    <w:rPr>
      <w:rFonts w:ascii="Cambria" w:hAnsi="Cambria" w:eastAsia="黑体"/>
      <w:sz w:val="20"/>
    </w:rPr>
  </w:style>
  <w:style w:type="paragraph" w:styleId="6">
    <w:name w:val="Document Map"/>
    <w:basedOn w:val="1"/>
    <w:link w:val="50"/>
    <w:autoRedefine/>
    <w:qFormat/>
    <w:uiPriority w:val="0"/>
    <w:rPr>
      <w:rFonts w:ascii="宋体"/>
      <w:sz w:val="18"/>
      <w:szCs w:val="18"/>
    </w:rPr>
  </w:style>
  <w:style w:type="paragraph" w:styleId="7">
    <w:name w:val="annotation text"/>
    <w:basedOn w:val="1"/>
    <w:link w:val="49"/>
    <w:autoRedefine/>
    <w:qFormat/>
    <w:uiPriority w:val="0"/>
    <w:pPr>
      <w:jc w:val="left"/>
    </w:pPr>
  </w:style>
  <w:style w:type="paragraph" w:styleId="8">
    <w:name w:val="Body Text 3"/>
    <w:basedOn w:val="1"/>
    <w:autoRedefine/>
    <w:qFormat/>
    <w:uiPriority w:val="0"/>
    <w:pPr>
      <w:spacing w:after="120"/>
    </w:pPr>
    <w:rPr>
      <w:sz w:val="16"/>
      <w:szCs w:val="16"/>
    </w:rPr>
  </w:style>
  <w:style w:type="paragraph" w:styleId="9">
    <w:name w:val="Body Text"/>
    <w:basedOn w:val="1"/>
    <w:next w:val="1"/>
    <w:link w:val="47"/>
    <w:autoRedefine/>
    <w:qFormat/>
    <w:uiPriority w:val="99"/>
    <w:pPr>
      <w:spacing w:after="120"/>
    </w:pPr>
  </w:style>
  <w:style w:type="paragraph" w:styleId="10">
    <w:name w:val="Body Text Indent"/>
    <w:basedOn w:val="1"/>
    <w:next w:val="11"/>
    <w:autoRedefine/>
    <w:qFormat/>
    <w:uiPriority w:val="0"/>
    <w:pPr>
      <w:ind w:firstLine="632" w:firstLineChars="200"/>
    </w:pPr>
    <w:rPr>
      <w:rFonts w:ascii="仿宋_GB2312" w:hAnsi="华文楷体" w:eastAsia="仿宋_GB2312"/>
      <w:sz w:val="32"/>
    </w:rPr>
  </w:style>
  <w:style w:type="paragraph" w:styleId="11">
    <w:name w:val="envelope return"/>
    <w:basedOn w:val="1"/>
    <w:autoRedefine/>
    <w:qFormat/>
    <w:uiPriority w:val="99"/>
    <w:pPr>
      <w:snapToGrid w:val="0"/>
    </w:pPr>
    <w:rPr>
      <w:rFonts w:ascii="Arial" w:hAnsi="Arial"/>
    </w:rPr>
  </w:style>
  <w:style w:type="paragraph" w:styleId="12">
    <w:name w:val="List 2"/>
    <w:basedOn w:val="1"/>
    <w:autoRedefine/>
    <w:qFormat/>
    <w:uiPriority w:val="0"/>
    <w:pPr>
      <w:ind w:left="400" w:leftChars="200" w:hanging="200" w:hangingChars="200"/>
    </w:pPr>
  </w:style>
  <w:style w:type="paragraph" w:styleId="13">
    <w:name w:val="Plain Text"/>
    <w:basedOn w:val="1"/>
    <w:link w:val="55"/>
    <w:autoRedefine/>
    <w:qFormat/>
    <w:uiPriority w:val="99"/>
    <w:rPr>
      <w:rFonts w:ascii="宋体" w:hAnsi="Courier New"/>
      <w:szCs w:val="20"/>
    </w:rPr>
  </w:style>
  <w:style w:type="paragraph" w:styleId="14">
    <w:name w:val="Date"/>
    <w:basedOn w:val="1"/>
    <w:next w:val="1"/>
    <w:link w:val="51"/>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qFormat/>
    <w:uiPriority w:val="0"/>
    <w:rPr>
      <w:sz w:val="18"/>
      <w:szCs w:val="18"/>
    </w:rPr>
  </w:style>
  <w:style w:type="paragraph" w:styleId="17">
    <w:name w:val="footer"/>
    <w:basedOn w:val="1"/>
    <w:link w:val="72"/>
    <w:autoRedefine/>
    <w:qFormat/>
    <w:uiPriority w:val="99"/>
    <w:pPr>
      <w:tabs>
        <w:tab w:val="center" w:pos="4153"/>
        <w:tab w:val="right" w:pos="8306"/>
      </w:tabs>
      <w:snapToGrid w:val="0"/>
      <w:jc w:val="left"/>
    </w:pPr>
    <w:rPr>
      <w:sz w:val="18"/>
      <w:szCs w:val="18"/>
    </w:rPr>
  </w:style>
  <w:style w:type="paragraph" w:styleId="18">
    <w:name w:val="header"/>
    <w:basedOn w:val="1"/>
    <w:link w:val="71"/>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spacing w:before="120" w:after="120"/>
      <w:jc w:val="left"/>
    </w:pPr>
    <w:rPr>
      <w:caps/>
    </w:rPr>
  </w:style>
  <w:style w:type="paragraph" w:styleId="20">
    <w:name w:val="footnote text"/>
    <w:basedOn w:val="1"/>
    <w:autoRedefine/>
    <w:qFormat/>
    <w:uiPriority w:val="99"/>
    <w:pPr>
      <w:snapToGrid w:val="0"/>
      <w:jc w:val="left"/>
    </w:pPr>
    <w:rPr>
      <w:sz w:val="18"/>
      <w:szCs w:val="18"/>
    </w:rPr>
  </w:style>
  <w:style w:type="paragraph" w:styleId="21">
    <w:name w:val="Body Text 2"/>
    <w:basedOn w:val="1"/>
    <w:link w:val="69"/>
    <w:autoRedefine/>
    <w:qFormat/>
    <w:uiPriority w:val="0"/>
    <w:pPr>
      <w:spacing w:after="120" w:line="480" w:lineRule="auto"/>
    </w:pPr>
  </w:style>
  <w:style w:type="paragraph" w:styleId="22">
    <w:name w:val="Message Header"/>
    <w:basedOn w:val="1"/>
    <w:autoRedefine/>
    <w:qFormat/>
    <w:uiPriority w:val="0"/>
    <w:pPr>
      <w:widowControl/>
      <w:shd w:val="pct20" w:color="000000" w:fill="auto"/>
      <w:ind w:left="1080" w:hanging="1080"/>
    </w:pPr>
    <w:rPr>
      <w:rFonts w:ascii="Cambria" w:hAnsi="Cambria" w:eastAsia="Cambria"/>
      <w:sz w:val="24"/>
    </w:rPr>
  </w:style>
  <w:style w:type="paragraph" w:styleId="23">
    <w:name w:val="Normal (Web)"/>
    <w:basedOn w:val="1"/>
    <w:autoRedefine/>
    <w:unhideWhenUsed/>
    <w:qFormat/>
    <w:uiPriority w:val="99"/>
    <w:pPr>
      <w:widowControl/>
      <w:spacing w:before="100" w:beforeAutospacing="1" w:after="100" w:afterAutospacing="1"/>
      <w:jc w:val="left"/>
    </w:pPr>
    <w:rPr>
      <w:rFonts w:ascii="宋体" w:hAnsi="宋体"/>
      <w:kern w:val="0"/>
      <w:sz w:val="24"/>
      <w:szCs w:val="20"/>
    </w:rPr>
  </w:style>
  <w:style w:type="paragraph" w:styleId="24">
    <w:name w:val="Body Text First Indent"/>
    <w:basedOn w:val="9"/>
    <w:link w:val="46"/>
    <w:autoRedefine/>
    <w:qFormat/>
    <w:uiPriority w:val="0"/>
    <w:pPr>
      <w:ind w:firstLine="420" w:firstLineChars="100"/>
    </w:pPr>
  </w:style>
  <w:style w:type="paragraph" w:styleId="25">
    <w:name w:val="Body Text First Indent 2"/>
    <w:basedOn w:val="10"/>
    <w:next w:val="1"/>
    <w:autoRedefine/>
    <w:qFormat/>
    <w:uiPriority w:val="99"/>
    <w:pPr>
      <w:tabs>
        <w:tab w:val="left" w:pos="0"/>
        <w:tab w:val="left" w:pos="993"/>
        <w:tab w:val="left" w:pos="1134"/>
      </w:tabs>
      <w:ind w:firstLine="420"/>
    </w:pPr>
  </w:style>
  <w:style w:type="table" w:styleId="27">
    <w:name w:val="Table Grid"/>
    <w:basedOn w:val="26"/>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autoRedefine/>
    <w:qFormat/>
    <w:uiPriority w:val="22"/>
    <w:rPr>
      <w:b/>
      <w:bCs/>
    </w:rPr>
  </w:style>
  <w:style w:type="character" w:styleId="30">
    <w:name w:val="page number"/>
    <w:basedOn w:val="28"/>
    <w:autoRedefine/>
    <w:qFormat/>
    <w:uiPriority w:val="0"/>
  </w:style>
  <w:style w:type="character" w:styleId="31">
    <w:name w:val="FollowedHyperlink"/>
    <w:basedOn w:val="28"/>
    <w:autoRedefine/>
    <w:qFormat/>
    <w:uiPriority w:val="0"/>
    <w:rPr>
      <w:color w:val="000000"/>
      <w:u w:val="none"/>
    </w:rPr>
  </w:style>
  <w:style w:type="character" w:styleId="32">
    <w:name w:val="Hyperlink"/>
    <w:autoRedefine/>
    <w:qFormat/>
    <w:uiPriority w:val="0"/>
    <w:rPr>
      <w:color w:val="333333"/>
      <w:u w:val="none"/>
    </w:rPr>
  </w:style>
  <w:style w:type="character" w:styleId="33">
    <w:name w:val="annotation reference"/>
    <w:autoRedefine/>
    <w:qFormat/>
    <w:uiPriority w:val="99"/>
    <w:rPr>
      <w:sz w:val="21"/>
    </w:rPr>
  </w:style>
  <w:style w:type="paragraph" w:customStyle="1" w:styleId="34">
    <w:name w:val="Default"/>
    <w:next w:val="35"/>
    <w:autoRedefine/>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35">
    <w:name w:val="Char Char10 Char Char Char Char"/>
    <w:basedOn w:val="1"/>
    <w:next w:val="36"/>
    <w:autoRedefine/>
    <w:qFormat/>
    <w:uiPriority w:val="0"/>
    <w:rPr>
      <w:rFonts w:ascii="Times New Roman" w:hAnsi="Times New Roman" w:eastAsia="宋体" w:cs="Times New Roman"/>
    </w:rPr>
  </w:style>
  <w:style w:type="paragraph" w:customStyle="1" w:styleId="36">
    <w:name w:val="xl87"/>
    <w:basedOn w:val="1"/>
    <w:next w:val="37"/>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rPr>
  </w:style>
  <w:style w:type="paragraph" w:customStyle="1" w:styleId="37">
    <w:name w:val="xl72"/>
    <w:basedOn w:val="1"/>
    <w:next w:val="14"/>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仿宋_GB2312" w:hAnsi="宋体" w:eastAsia="仿宋_GB2312" w:cs="宋体"/>
      <w:kern w:val="0"/>
      <w:sz w:val="20"/>
    </w:rPr>
  </w:style>
  <w:style w:type="paragraph" w:customStyle="1" w:styleId="38">
    <w:name w:val="BodyText1I"/>
    <w:basedOn w:val="39"/>
    <w:autoRedefine/>
    <w:qFormat/>
    <w:uiPriority w:val="99"/>
    <w:pPr>
      <w:ind w:firstLine="420" w:firstLineChars="100"/>
    </w:pPr>
  </w:style>
  <w:style w:type="paragraph" w:customStyle="1" w:styleId="39">
    <w:name w:val="BodyText"/>
    <w:basedOn w:val="1"/>
    <w:next w:val="40"/>
    <w:autoRedefine/>
    <w:qFormat/>
    <w:uiPriority w:val="99"/>
    <w:pPr>
      <w:spacing w:after="120"/>
    </w:pPr>
  </w:style>
  <w:style w:type="paragraph" w:customStyle="1" w:styleId="40">
    <w:name w:val="UserStyle_217"/>
    <w:autoRedefine/>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41">
    <w:name w:val="无间隔1"/>
    <w:next w:val="5"/>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
    <w:name w:val="标题 3 字符"/>
    <w:link w:val="4"/>
    <w:autoRedefine/>
    <w:semiHidden/>
    <w:qFormat/>
    <w:uiPriority w:val="0"/>
    <w:rPr>
      <w:b/>
      <w:bCs/>
      <w:kern w:val="2"/>
      <w:sz w:val="32"/>
      <w:szCs w:val="32"/>
    </w:rPr>
  </w:style>
  <w:style w:type="character" w:customStyle="1" w:styleId="43">
    <w:name w:val="font231"/>
    <w:autoRedefine/>
    <w:qFormat/>
    <w:uiPriority w:val="0"/>
    <w:rPr>
      <w:rFonts w:hint="eastAsia" w:ascii="宋体" w:hAnsi="宋体" w:eastAsia="宋体" w:cs="宋体"/>
      <w:color w:val="000000"/>
      <w:sz w:val="22"/>
      <w:szCs w:val="22"/>
      <w:u w:val="none"/>
    </w:rPr>
  </w:style>
  <w:style w:type="character" w:customStyle="1" w:styleId="44">
    <w:name w:val="font11"/>
    <w:autoRedefine/>
    <w:qFormat/>
    <w:uiPriority w:val="0"/>
    <w:rPr>
      <w:rFonts w:hint="default" w:ascii="Times New Roman" w:hAnsi="Times New Roman" w:cs="Times New Roman"/>
      <w:color w:val="000000"/>
      <w:sz w:val="18"/>
      <w:szCs w:val="18"/>
      <w:u w:val="none"/>
    </w:rPr>
  </w:style>
  <w:style w:type="character" w:customStyle="1" w:styleId="45">
    <w:name w:val="font191"/>
    <w:autoRedefine/>
    <w:qFormat/>
    <w:uiPriority w:val="0"/>
    <w:rPr>
      <w:rFonts w:hint="default" w:ascii="Calibri" w:hAnsi="Calibri" w:cs="Calibri"/>
      <w:color w:val="000000"/>
      <w:sz w:val="22"/>
      <w:szCs w:val="22"/>
      <w:u w:val="none"/>
    </w:rPr>
  </w:style>
  <w:style w:type="character" w:customStyle="1" w:styleId="46">
    <w:name w:val="正文文本首行缩进 字符"/>
    <w:link w:val="24"/>
    <w:autoRedefine/>
    <w:qFormat/>
    <w:uiPriority w:val="0"/>
    <w:rPr>
      <w:kern w:val="2"/>
      <w:sz w:val="21"/>
      <w:szCs w:val="24"/>
    </w:rPr>
  </w:style>
  <w:style w:type="character" w:customStyle="1" w:styleId="47">
    <w:name w:val="正文文本 字符"/>
    <w:link w:val="9"/>
    <w:autoRedefine/>
    <w:qFormat/>
    <w:uiPriority w:val="99"/>
    <w:rPr>
      <w:kern w:val="2"/>
      <w:sz w:val="21"/>
      <w:szCs w:val="24"/>
    </w:rPr>
  </w:style>
  <w:style w:type="character" w:customStyle="1" w:styleId="48">
    <w:name w:val="font151"/>
    <w:autoRedefine/>
    <w:qFormat/>
    <w:uiPriority w:val="0"/>
    <w:rPr>
      <w:rFonts w:hint="default" w:ascii="Calibri" w:hAnsi="Calibri" w:cs="Calibri"/>
      <w:color w:val="000000"/>
      <w:sz w:val="22"/>
      <w:szCs w:val="22"/>
      <w:u w:val="none"/>
    </w:rPr>
  </w:style>
  <w:style w:type="character" w:customStyle="1" w:styleId="49">
    <w:name w:val="批注文字 字符"/>
    <w:link w:val="7"/>
    <w:autoRedefine/>
    <w:qFormat/>
    <w:uiPriority w:val="0"/>
    <w:rPr>
      <w:kern w:val="2"/>
      <w:sz w:val="21"/>
      <w:szCs w:val="24"/>
    </w:rPr>
  </w:style>
  <w:style w:type="character" w:customStyle="1" w:styleId="50">
    <w:name w:val="文档结构图 字符"/>
    <w:link w:val="6"/>
    <w:autoRedefine/>
    <w:qFormat/>
    <w:uiPriority w:val="0"/>
    <w:rPr>
      <w:rFonts w:ascii="宋体"/>
      <w:kern w:val="2"/>
      <w:sz w:val="18"/>
      <w:szCs w:val="18"/>
    </w:rPr>
  </w:style>
  <w:style w:type="character" w:customStyle="1" w:styleId="51">
    <w:name w:val="日期 字符"/>
    <w:link w:val="14"/>
    <w:autoRedefine/>
    <w:qFormat/>
    <w:uiPriority w:val="0"/>
    <w:rPr>
      <w:kern w:val="2"/>
      <w:sz w:val="21"/>
      <w:szCs w:val="24"/>
    </w:rPr>
  </w:style>
  <w:style w:type="character" w:customStyle="1" w:styleId="52">
    <w:name w:val="font221"/>
    <w:autoRedefine/>
    <w:qFormat/>
    <w:uiPriority w:val="0"/>
    <w:rPr>
      <w:rFonts w:hint="eastAsia" w:ascii="宋体" w:hAnsi="宋体" w:eastAsia="宋体" w:cs="宋体"/>
      <w:color w:val="000000"/>
      <w:sz w:val="20"/>
      <w:szCs w:val="20"/>
      <w:u w:val="none"/>
    </w:rPr>
  </w:style>
  <w:style w:type="character" w:customStyle="1" w:styleId="53">
    <w:name w:val="font61"/>
    <w:autoRedefine/>
    <w:qFormat/>
    <w:uiPriority w:val="0"/>
    <w:rPr>
      <w:rFonts w:hint="eastAsia" w:ascii="宋体" w:hAnsi="宋体" w:eastAsia="宋体" w:cs="宋体"/>
      <w:color w:val="FF0000"/>
      <w:sz w:val="22"/>
      <w:szCs w:val="22"/>
      <w:u w:val="none"/>
    </w:rPr>
  </w:style>
  <w:style w:type="character" w:customStyle="1" w:styleId="54">
    <w:name w:val="font31"/>
    <w:autoRedefine/>
    <w:qFormat/>
    <w:uiPriority w:val="0"/>
    <w:rPr>
      <w:rFonts w:hint="eastAsia" w:ascii="宋体" w:hAnsi="宋体" w:eastAsia="宋体" w:cs="宋体"/>
      <w:color w:val="000000"/>
      <w:sz w:val="18"/>
      <w:szCs w:val="18"/>
      <w:u w:val="none"/>
    </w:rPr>
  </w:style>
  <w:style w:type="character" w:customStyle="1" w:styleId="55">
    <w:name w:val="纯文本 字符"/>
    <w:link w:val="13"/>
    <w:autoRedefine/>
    <w:qFormat/>
    <w:uiPriority w:val="99"/>
    <w:rPr>
      <w:rFonts w:ascii="宋体" w:hAnsi="Courier New"/>
      <w:kern w:val="2"/>
      <w:sz w:val="21"/>
    </w:rPr>
  </w:style>
  <w:style w:type="character" w:customStyle="1" w:styleId="56">
    <w:name w:val="访问过的超链接1"/>
    <w:autoRedefine/>
    <w:qFormat/>
    <w:uiPriority w:val="0"/>
    <w:rPr>
      <w:color w:val="333333"/>
      <w:u w:val="none"/>
    </w:rPr>
  </w:style>
  <w:style w:type="character" w:customStyle="1" w:styleId="57">
    <w:name w:val="font01"/>
    <w:autoRedefine/>
    <w:qFormat/>
    <w:uiPriority w:val="0"/>
    <w:rPr>
      <w:rFonts w:hint="eastAsia" w:ascii="宋体" w:hAnsi="宋体" w:eastAsia="宋体" w:cs="宋体"/>
      <w:color w:val="000000"/>
      <w:sz w:val="22"/>
      <w:szCs w:val="22"/>
      <w:u w:val="none"/>
    </w:rPr>
  </w:style>
  <w:style w:type="character" w:customStyle="1" w:styleId="58">
    <w:name w:val="font21"/>
    <w:autoRedefine/>
    <w:qFormat/>
    <w:uiPriority w:val="0"/>
    <w:rPr>
      <w:rFonts w:hint="default" w:ascii="Times New Roman" w:hAnsi="Times New Roman" w:cs="Times New Roman"/>
      <w:color w:val="000000"/>
      <w:sz w:val="18"/>
      <w:szCs w:val="18"/>
      <w:u w:val="none"/>
    </w:rPr>
  </w:style>
  <w:style w:type="paragraph" w:customStyle="1" w:styleId="59">
    <w:name w:val="p0"/>
    <w:basedOn w:val="1"/>
    <w:autoRedefine/>
    <w:qFormat/>
    <w:uiPriority w:val="0"/>
    <w:pPr>
      <w:widowControl/>
    </w:pPr>
    <w:rPr>
      <w:rFonts w:ascii="Calibri" w:hAnsi="Calibri" w:cs="宋体"/>
      <w:kern w:val="0"/>
      <w:szCs w:val="21"/>
    </w:rPr>
  </w:style>
  <w:style w:type="paragraph" w:customStyle="1" w:styleId="60">
    <w:name w:val="List Paragraph1"/>
    <w:basedOn w:val="1"/>
    <w:autoRedefine/>
    <w:qFormat/>
    <w:uiPriority w:val="0"/>
    <w:pPr>
      <w:ind w:firstLine="420" w:firstLineChars="200"/>
    </w:pPr>
  </w:style>
  <w:style w:type="paragraph" w:customStyle="1" w:styleId="61">
    <w:name w:val="样式1"/>
    <w:basedOn w:val="1"/>
    <w:autoRedefine/>
    <w:qFormat/>
    <w:uiPriority w:val="0"/>
    <w:pPr>
      <w:tabs>
        <w:tab w:val="left" w:pos="709"/>
      </w:tabs>
      <w:adjustRightInd w:val="0"/>
      <w:ind w:left="709" w:hanging="709"/>
      <w:textAlignment w:val="baseline"/>
    </w:pPr>
    <w:rPr>
      <w:rFonts w:ascii="宋体" w:hAnsi="宋体"/>
      <w:kern w:val="0"/>
    </w:rPr>
  </w:style>
  <w:style w:type="paragraph" w:customStyle="1" w:styleId="62">
    <w:name w:val="Table Paragraph"/>
    <w:basedOn w:val="1"/>
    <w:autoRedefine/>
    <w:qFormat/>
    <w:uiPriority w:val="0"/>
    <w:pPr>
      <w:autoSpaceDE w:val="0"/>
      <w:autoSpaceDN w:val="0"/>
      <w:jc w:val="left"/>
    </w:pPr>
    <w:rPr>
      <w:rFonts w:ascii="宋体" w:hAnsi="宋体" w:cs="宋体"/>
      <w:kern w:val="0"/>
      <w:sz w:val="22"/>
      <w:szCs w:val="22"/>
      <w:lang w:val="zh-CN" w:bidi="zh-CN"/>
    </w:rPr>
  </w:style>
  <w:style w:type="paragraph" w:customStyle="1" w:styleId="63">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64">
    <w:name w:val="Char Char Char Char Char Char Char1 Char"/>
    <w:basedOn w:val="1"/>
    <w:autoRedefine/>
    <w:qFormat/>
    <w:uiPriority w:val="0"/>
    <w:rPr>
      <w:rFonts w:ascii="Tahoma" w:hAnsi="Tahoma"/>
      <w:sz w:val="24"/>
      <w:szCs w:val="20"/>
    </w:rPr>
  </w:style>
  <w:style w:type="paragraph" w:styleId="65">
    <w:name w:val="List Paragraph"/>
    <w:basedOn w:val="1"/>
    <w:autoRedefine/>
    <w:qFormat/>
    <w:uiPriority w:val="34"/>
    <w:pPr>
      <w:ind w:firstLine="420" w:firstLineChars="200"/>
    </w:pPr>
  </w:style>
  <w:style w:type="paragraph" w:customStyle="1" w:styleId="66">
    <w:name w:val="Char Char Char1 Char"/>
    <w:basedOn w:val="1"/>
    <w:autoRedefine/>
    <w:qFormat/>
    <w:uiPriority w:val="0"/>
    <w:pPr>
      <w:spacing w:line="360" w:lineRule="auto"/>
      <w:ind w:firstLine="200" w:firstLineChars="200"/>
    </w:pPr>
    <w:rPr>
      <w:rFonts w:ascii="宋体" w:hAnsi="宋体" w:cs="宋体"/>
      <w:sz w:val="24"/>
    </w:rPr>
  </w:style>
  <w:style w:type="paragraph" w:customStyle="1" w:styleId="67">
    <w:name w:val="默认段落字体 Para Char Char Char Char Char Char Char Char Char Char"/>
    <w:basedOn w:val="1"/>
    <w:autoRedefine/>
    <w:qFormat/>
    <w:uiPriority w:val="0"/>
    <w:pPr>
      <w:tabs>
        <w:tab w:val="right" w:pos="-2120"/>
      </w:tabs>
      <w:snapToGrid w:val="0"/>
    </w:pPr>
  </w:style>
  <w:style w:type="character" w:customStyle="1" w:styleId="68">
    <w:name w:val="generalinfo-address-text"/>
    <w:basedOn w:val="28"/>
    <w:autoRedefine/>
    <w:qFormat/>
    <w:uiPriority w:val="0"/>
  </w:style>
  <w:style w:type="character" w:customStyle="1" w:styleId="69">
    <w:name w:val="正文文本 2 字符"/>
    <w:link w:val="21"/>
    <w:autoRedefine/>
    <w:qFormat/>
    <w:uiPriority w:val="0"/>
    <w:rPr>
      <w:kern w:val="2"/>
      <w:sz w:val="21"/>
      <w:szCs w:val="24"/>
    </w:rPr>
  </w:style>
  <w:style w:type="character" w:customStyle="1" w:styleId="70">
    <w:name w:val="NormalCharacter"/>
    <w:autoRedefine/>
    <w:qFormat/>
    <w:uiPriority w:val="0"/>
  </w:style>
  <w:style w:type="character" w:customStyle="1" w:styleId="71">
    <w:name w:val="页眉 字符"/>
    <w:link w:val="18"/>
    <w:autoRedefine/>
    <w:qFormat/>
    <w:uiPriority w:val="99"/>
    <w:rPr>
      <w:kern w:val="2"/>
      <w:sz w:val="18"/>
      <w:szCs w:val="18"/>
    </w:rPr>
  </w:style>
  <w:style w:type="character" w:customStyle="1" w:styleId="72">
    <w:name w:val="页脚 字符"/>
    <w:link w:val="17"/>
    <w:autoRedefine/>
    <w:qFormat/>
    <w:uiPriority w:val="99"/>
    <w:rPr>
      <w:kern w:val="2"/>
      <w:sz w:val="18"/>
      <w:szCs w:val="18"/>
    </w:rPr>
  </w:style>
  <w:style w:type="paragraph" w:customStyle="1" w:styleId="73">
    <w:name w:val="普通(网站)1"/>
    <w:basedOn w:val="1"/>
    <w:autoRedefine/>
    <w:qFormat/>
    <w:uiPriority w:val="0"/>
    <w:pPr>
      <w:widowControl/>
      <w:spacing w:before="100" w:beforeAutospacing="1" w:after="100" w:afterAutospacing="1"/>
      <w:jc w:val="left"/>
    </w:pPr>
    <w:rPr>
      <w:rFonts w:ascii="宋体" w:hAnsi="宋体"/>
      <w:kern w:val="0"/>
      <w:sz w:val="24"/>
    </w:rPr>
  </w:style>
  <w:style w:type="character" w:customStyle="1" w:styleId="74">
    <w:name w:val="contentlabel"/>
    <w:autoRedefine/>
    <w:qFormat/>
    <w:uiPriority w:val="0"/>
  </w:style>
  <w:style w:type="paragraph" w:customStyle="1" w:styleId="75">
    <w:name w:val="Body Text First Indent1"/>
    <w:basedOn w:val="9"/>
    <w:autoRedefine/>
    <w:qFormat/>
    <w:uiPriority w:val="0"/>
    <w:pPr>
      <w:autoSpaceDE w:val="0"/>
      <w:autoSpaceDN w:val="0"/>
      <w:ind w:firstLine="420" w:firstLineChars="100"/>
      <w:jc w:val="left"/>
    </w:pPr>
    <w:rPr>
      <w:rFonts w:ascii="宋体" w:hAnsi="等线" w:eastAsia="等线" w:cs="宋体"/>
      <w:kern w:val="0"/>
      <w:lang w:val="zh-CN"/>
    </w:rPr>
  </w:style>
  <w:style w:type="paragraph" w:customStyle="1" w:styleId="76">
    <w:name w:val="D&amp;L"/>
    <w:basedOn w:val="18"/>
    <w:autoRedefine/>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7">
    <w:name w:val="icon_gys"/>
    <w:basedOn w:val="28"/>
    <w:autoRedefine/>
    <w:qFormat/>
    <w:uiPriority w:val="0"/>
    <w:rPr>
      <w:sz w:val="21"/>
      <w:szCs w:val="21"/>
    </w:rPr>
  </w:style>
  <w:style w:type="character" w:customStyle="1" w:styleId="78">
    <w:name w:val="first-child"/>
    <w:basedOn w:val="28"/>
    <w:autoRedefine/>
    <w:qFormat/>
    <w:uiPriority w:val="0"/>
    <w:rPr>
      <w:color w:val="1F3149"/>
      <w:sz w:val="24"/>
      <w:szCs w:val="24"/>
    </w:rPr>
  </w:style>
  <w:style w:type="character" w:customStyle="1" w:styleId="79">
    <w:name w:val="first-child1"/>
    <w:basedOn w:val="28"/>
    <w:autoRedefine/>
    <w:qFormat/>
    <w:uiPriority w:val="0"/>
    <w:rPr>
      <w:color w:val="1F3149"/>
      <w:sz w:val="24"/>
      <w:szCs w:val="24"/>
    </w:rPr>
  </w:style>
  <w:style w:type="character" w:customStyle="1" w:styleId="80">
    <w:name w:val="xiadan"/>
    <w:basedOn w:val="28"/>
    <w:autoRedefine/>
    <w:qFormat/>
    <w:uiPriority w:val="0"/>
    <w:rPr>
      <w:shd w:val="clear" w:color="auto" w:fill="E4393C"/>
    </w:rPr>
  </w:style>
  <w:style w:type="character" w:customStyle="1" w:styleId="81">
    <w:name w:val="fr"/>
    <w:basedOn w:val="28"/>
    <w:autoRedefine/>
    <w:qFormat/>
    <w:uiPriority w:val="0"/>
  </w:style>
  <w:style w:type="character" w:customStyle="1" w:styleId="82">
    <w:name w:val="icon_ds"/>
    <w:basedOn w:val="28"/>
    <w:autoRedefine/>
    <w:qFormat/>
    <w:uiPriority w:val="0"/>
  </w:style>
  <w:style w:type="paragraph" w:customStyle="1" w:styleId="83">
    <w:name w:val="正文1"/>
    <w:basedOn w:val="1"/>
    <w:autoRedefine/>
    <w:qFormat/>
    <w:uiPriority w:val="0"/>
    <w:pPr>
      <w:widowControl/>
      <w:topLinePunct/>
      <w:spacing w:beforeLines="50" w:afterLines="50" w:line="300" w:lineRule="auto"/>
      <w:ind w:left="420"/>
    </w:pPr>
  </w:style>
  <w:style w:type="table" w:customStyle="1" w:styleId="84">
    <w:name w:val="Table Normal"/>
    <w:basedOn w:val="26"/>
    <w:autoRedefine/>
    <w:semiHidden/>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85">
    <w:name w:val="前附表"/>
    <w:basedOn w:val="86"/>
    <w:autoRedefine/>
    <w:qFormat/>
    <w:uiPriority w:val="0"/>
    <w:pPr>
      <w:spacing w:line="440" w:lineRule="exact"/>
      <w:ind w:left="50" w:leftChars="50" w:right="50" w:rightChars="50" w:firstLine="0" w:firstLineChars="0"/>
      <w:jc w:val="left"/>
    </w:pPr>
    <w:rPr>
      <w:rFonts w:cs="宋体"/>
      <w:color w:val="000000"/>
      <w:kern w:val="0"/>
      <w:sz w:val="21"/>
      <w:szCs w:val="21"/>
    </w:rPr>
  </w:style>
  <w:style w:type="paragraph" w:customStyle="1" w:styleId="86">
    <w:name w:val="正文样式"/>
    <w:basedOn w:val="1"/>
    <w:autoRedefine/>
    <w:qFormat/>
    <w:uiPriority w:val="0"/>
  </w:style>
  <w:style w:type="character" w:customStyle="1" w:styleId="87">
    <w:name w:val="icon_ds1"/>
    <w:basedOn w:val="28"/>
    <w:autoRedefine/>
    <w:qFormat/>
    <w:uiPriority w:val="0"/>
    <w:rPr>
      <w:sz w:val="21"/>
      <w:szCs w:val="21"/>
    </w:rPr>
  </w:style>
  <w:style w:type="character" w:customStyle="1" w:styleId="88">
    <w:name w:val="font41"/>
    <w:basedOn w:val="28"/>
    <w:autoRedefine/>
    <w:qFormat/>
    <w:uiPriority w:val="0"/>
    <w:rPr>
      <w:rFonts w:hint="eastAsia" w:ascii="微软雅黑" w:hAnsi="微软雅黑" w:eastAsia="微软雅黑" w:cs="微软雅黑"/>
      <w:color w:val="000000"/>
      <w:sz w:val="20"/>
      <w:szCs w:val="20"/>
      <w:u w:val="none"/>
    </w:rPr>
  </w:style>
  <w:style w:type="paragraph" w:customStyle="1" w:styleId="89">
    <w:name w:val="表格小四"/>
    <w:basedOn w:val="1"/>
    <w:autoRedefine/>
    <w:qFormat/>
    <w:uiPriority w:val="0"/>
    <w:pPr>
      <w:spacing w:line="240" w:lineRule="auto"/>
      <w:ind w:firstLine="0" w:firstLineChars="0"/>
    </w:pPr>
    <w:rPr>
      <w:rFonts w:hint="eastAsia"/>
      <w:lang w:eastAsia="zh-CN"/>
    </w:rPr>
  </w:style>
  <w:style w:type="paragraph" w:customStyle="1" w:styleId="90">
    <w:name w:val="Body Text First Indent 21"/>
    <w:basedOn w:val="91"/>
    <w:autoRedefine/>
    <w:qFormat/>
    <w:uiPriority w:val="0"/>
    <w:pPr>
      <w:spacing w:after="0" w:afterLines="0" w:line="500" w:lineRule="exact"/>
      <w:ind w:left="0" w:leftChars="0" w:firstLine="420" w:firstLineChars="200"/>
    </w:pPr>
    <w:rPr>
      <w:rFonts w:ascii="Times New Roman" w:hAnsi="Times New Roman" w:eastAsia="宋体" w:cs="Times New Roman"/>
      <w:szCs w:val="20"/>
    </w:rPr>
  </w:style>
  <w:style w:type="paragraph" w:customStyle="1" w:styleId="91">
    <w:name w:val="Body Text Indent1"/>
    <w:basedOn w:val="1"/>
    <w:autoRedefine/>
    <w:qFormat/>
    <w:uiPriority w:val="0"/>
    <w:pPr>
      <w:ind w:firstLine="560" w:firstLineChars="200"/>
    </w:pPr>
    <w:rPr>
      <w:rFonts w:ascii="Calibri" w:hAnsi="Calibri" w:eastAsia="宋体" w:cs="Times New Roman"/>
      <w:sz w:val="28"/>
      <w:szCs w:val="24"/>
    </w:rPr>
  </w:style>
  <w:style w:type="paragraph" w:customStyle="1" w:styleId="92">
    <w:name w:val="Table Text"/>
    <w:basedOn w:val="1"/>
    <w:autoRedefine/>
    <w:semiHidden/>
    <w:qFormat/>
    <w:uiPriority w:val="0"/>
    <w:rPr>
      <w:rFonts w:ascii="宋体" w:hAnsi="宋体" w:eastAsia="宋体" w:cs="宋体"/>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889F62-DC44-404B-AA9E-4FABB5742B01}">
  <ds:schemaRefs/>
</ds:datastoreItem>
</file>

<file path=docProps/app.xml><?xml version="1.0" encoding="utf-8"?>
<Properties xmlns="http://schemas.openxmlformats.org/officeDocument/2006/extended-properties" xmlns:vt="http://schemas.openxmlformats.org/officeDocument/2006/docPropsVTypes">
  <Template>Normal</Template>
  <Pages>46</Pages>
  <Words>18779</Words>
  <Characters>19702</Characters>
  <Lines>146</Lines>
  <Paragraphs>41</Paragraphs>
  <TotalTime>6</TotalTime>
  <ScaleCrop>false</ScaleCrop>
  <LinksUpToDate>false</LinksUpToDate>
  <CharactersWithSpaces>20564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大海里的糖醋鱼</cp:lastModifiedBy>
  <cp:lastPrinted>2020-11-18T03:21:00Z</cp:lastPrinted>
  <dcterms:modified xsi:type="dcterms:W3CDTF">2024-05-20T07:25:46Z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90B4FA7F4C8847949DBC6BA5DD6F8965</vt:lpwstr>
  </property>
</Properties>
</file>