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jc w:val="center"/>
        <w:rPr>
          <w:rFonts w:hint="eastAsia" w:ascii="宋体" w:hAnsi="宋体" w:eastAsia="宋体" w:cs="宋体"/>
          <w:b/>
          <w:bCs/>
          <w:color w:val="000000"/>
          <w:kern w:val="0"/>
          <w:sz w:val="72"/>
          <w:szCs w:val="72"/>
          <w14:shadow w14:blurRad="50800" w14:dist="38100" w14:dir="2700000" w14:sx="100000" w14:sy="100000" w14:kx="0" w14:ky="0" w14:algn="tl">
            <w14:srgbClr w14:val="000000">
              <w14:alpha w14:val="60000"/>
            </w14:srgbClr>
          </w14:shadow>
        </w:rPr>
      </w:pPr>
    </w:p>
    <w:p>
      <w:pPr>
        <w:tabs>
          <w:tab w:val="left" w:pos="420"/>
        </w:tabs>
        <w:spacing w:line="1700" w:lineRule="exact"/>
        <w:jc w:val="center"/>
        <w:rPr>
          <w:rFonts w:hint="eastAsia" w:ascii="宋体" w:hAnsi="宋体" w:eastAsia="宋体" w:cs="宋体"/>
          <w:b/>
          <w:color w:val="000000"/>
          <w:spacing w:val="36"/>
          <w:sz w:val="72"/>
          <w:szCs w:val="72"/>
          <w14:shadow w14:blurRad="50800" w14:dist="38100" w14:dir="2700000" w14:sx="100000" w14:sy="100000" w14:kx="0" w14:ky="0" w14:algn="tl">
            <w14:srgbClr w14:val="000000">
              <w14:alpha w14:val="60000"/>
            </w14:srgbClr>
          </w14:shadow>
        </w:rPr>
      </w:pPr>
      <w:r>
        <w:rPr>
          <w:rFonts w:hint="eastAsia" w:ascii="宋体" w:hAnsi="宋体" w:eastAsia="宋体" w:cs="宋体"/>
          <w:b/>
          <w:bCs/>
          <w:color w:val="000000"/>
          <w:kern w:val="0"/>
          <w:sz w:val="72"/>
          <w:szCs w:val="72"/>
          <w14:shadow w14:blurRad="50800" w14:dist="38100" w14:dir="2700000" w14:sx="100000" w14:sy="100000" w14:kx="0" w14:ky="0" w14:algn="tl">
            <w14:srgbClr w14:val="000000">
              <w14:alpha w14:val="60000"/>
            </w14:srgbClr>
          </w14:shadow>
        </w:rPr>
        <w:t>周口市公共资源交易中心</w:t>
      </w:r>
    </w:p>
    <w:p>
      <w:pPr>
        <w:tabs>
          <w:tab w:val="left" w:pos="315"/>
          <w:tab w:val="left" w:pos="8820"/>
        </w:tabs>
        <w:spacing w:line="500" w:lineRule="exact"/>
        <w:ind w:right="267" w:rightChars="127"/>
        <w:jc w:val="center"/>
        <w:rPr>
          <w:rFonts w:hint="eastAsia" w:ascii="宋体" w:hAnsi="宋体" w:eastAsia="宋体" w:cs="宋体"/>
          <w:b/>
          <w:bCs/>
          <w:color w:val="000000"/>
          <w:sz w:val="48"/>
        </w:rPr>
      </w:pPr>
    </w:p>
    <w:p>
      <w:pPr>
        <w:tabs>
          <w:tab w:val="left" w:pos="315"/>
          <w:tab w:val="left" w:pos="8820"/>
        </w:tabs>
        <w:spacing w:line="500" w:lineRule="exact"/>
        <w:ind w:right="267" w:rightChars="127"/>
        <w:jc w:val="center"/>
        <w:rPr>
          <w:rFonts w:hint="eastAsia" w:ascii="宋体" w:hAnsi="宋体" w:eastAsia="宋体" w:cs="宋体"/>
          <w:b/>
          <w:bCs/>
          <w:color w:val="000000"/>
          <w:sz w:val="52"/>
        </w:rPr>
      </w:pPr>
      <w:r>
        <w:rPr>
          <w:rFonts w:hint="eastAsia" w:ascii="宋体" w:hAnsi="宋体" w:eastAsia="宋体" w:cs="宋体"/>
          <w:b/>
          <w:bCs/>
          <w:color w:val="000000"/>
          <w:sz w:val="52"/>
        </w:rPr>
        <w:t>政 府 采 购 招 标 文 件</w:t>
      </w:r>
    </w:p>
    <w:p>
      <w:pPr>
        <w:tabs>
          <w:tab w:val="left" w:pos="315"/>
          <w:tab w:val="left" w:pos="8820"/>
        </w:tabs>
        <w:spacing w:line="500" w:lineRule="exact"/>
        <w:ind w:right="267" w:rightChars="127"/>
        <w:jc w:val="center"/>
        <w:rPr>
          <w:rFonts w:hint="eastAsia" w:ascii="宋体" w:hAnsi="宋体" w:eastAsia="宋体" w:cs="宋体"/>
          <w:color w:val="000000"/>
          <w:sz w:val="44"/>
        </w:rPr>
      </w:pPr>
    </w:p>
    <w:p>
      <w:pPr>
        <w:tabs>
          <w:tab w:val="left" w:pos="315"/>
          <w:tab w:val="left" w:pos="8820"/>
        </w:tabs>
        <w:ind w:right="267" w:rightChars="127"/>
        <w:rPr>
          <w:rFonts w:hint="eastAsia" w:ascii="宋体" w:hAnsi="宋体" w:eastAsia="宋体" w:cs="宋体"/>
          <w:color w:val="000000"/>
          <w:sz w:val="44"/>
        </w:rPr>
      </w:pPr>
    </w:p>
    <w:p>
      <w:pPr>
        <w:tabs>
          <w:tab w:val="left" w:pos="315"/>
          <w:tab w:val="left" w:pos="8820"/>
        </w:tabs>
        <w:ind w:right="267" w:rightChars="127"/>
        <w:rPr>
          <w:rFonts w:hint="eastAsia" w:ascii="宋体" w:hAnsi="宋体" w:eastAsia="宋体" w:cs="宋体"/>
          <w:color w:val="000000"/>
          <w:sz w:val="44"/>
        </w:rPr>
      </w:pPr>
    </w:p>
    <w:p>
      <w:pPr>
        <w:tabs>
          <w:tab w:val="left" w:pos="315"/>
          <w:tab w:val="left" w:pos="8820"/>
        </w:tabs>
        <w:ind w:right="267" w:rightChars="127"/>
        <w:rPr>
          <w:rFonts w:hint="eastAsia" w:ascii="宋体" w:hAnsi="宋体" w:eastAsia="宋体" w:cs="宋体"/>
          <w:color w:val="000000"/>
          <w:sz w:val="44"/>
        </w:rPr>
      </w:pPr>
    </w:p>
    <w:p>
      <w:pPr>
        <w:tabs>
          <w:tab w:val="left" w:pos="315"/>
          <w:tab w:val="left" w:pos="8820"/>
        </w:tabs>
        <w:ind w:right="267" w:rightChars="127"/>
        <w:rPr>
          <w:rFonts w:hint="eastAsia" w:ascii="宋体" w:hAnsi="宋体" w:eastAsia="宋体" w:cs="宋体"/>
          <w:color w:val="000000"/>
          <w:sz w:val="44"/>
        </w:rPr>
      </w:pPr>
    </w:p>
    <w:p>
      <w:pPr>
        <w:tabs>
          <w:tab w:val="left" w:pos="315"/>
          <w:tab w:val="left" w:pos="8820"/>
        </w:tabs>
        <w:spacing w:line="500" w:lineRule="exact"/>
        <w:ind w:right="267" w:rightChars="127"/>
        <w:rPr>
          <w:rFonts w:hint="eastAsia" w:ascii="宋体" w:hAnsi="宋体" w:eastAsia="宋体" w:cs="宋体"/>
          <w:sz w:val="36"/>
        </w:rPr>
      </w:pPr>
    </w:p>
    <w:p>
      <w:pPr>
        <w:pStyle w:val="23"/>
        <w:spacing w:line="360" w:lineRule="auto"/>
        <w:rPr>
          <w:rFonts w:hint="default" w:ascii="宋体" w:hAnsi="宋体" w:eastAsia="宋体" w:cs="宋体"/>
          <w:sz w:val="32"/>
          <w:lang w:val="en-US" w:eastAsia="zh-CN"/>
        </w:rPr>
      </w:pPr>
      <w:r>
        <w:rPr>
          <w:rFonts w:hint="eastAsia" w:ascii="宋体" w:hAnsi="宋体" w:eastAsia="宋体" w:cs="宋体"/>
          <w:sz w:val="32"/>
          <w:szCs w:val="32"/>
        </w:rPr>
        <w:t>项目名称</w:t>
      </w:r>
      <w:r>
        <w:rPr>
          <w:rFonts w:hint="eastAsia" w:ascii="宋体" w:hAnsi="宋体" w:eastAsia="宋体" w:cs="宋体"/>
          <w:szCs w:val="28"/>
        </w:rPr>
        <w:t>：</w:t>
      </w:r>
      <w:r>
        <w:rPr>
          <w:rFonts w:hint="eastAsia" w:ascii="宋体" w:hAnsi="宋体" w:eastAsia="宋体" w:cs="宋体"/>
          <w:b/>
          <w:sz w:val="32"/>
          <w:lang w:val="en-US" w:eastAsia="zh-CN"/>
        </w:rPr>
        <w:t>周口市博物馆可移动文物预防性保护项目</w:t>
      </w:r>
    </w:p>
    <w:p>
      <w:pPr>
        <w:pStyle w:val="23"/>
        <w:spacing w:line="360" w:lineRule="auto"/>
        <w:rPr>
          <w:rFonts w:hint="default" w:ascii="宋体" w:hAnsi="宋体" w:eastAsia="宋体" w:cs="宋体"/>
          <w:sz w:val="32"/>
          <w:lang w:val="en-US" w:eastAsia="zh-CN"/>
        </w:rPr>
      </w:pPr>
      <w:r>
        <w:rPr>
          <w:rFonts w:hint="eastAsia" w:ascii="宋体" w:hAnsi="宋体" w:eastAsia="宋体" w:cs="宋体"/>
          <w:sz w:val="32"/>
        </w:rPr>
        <w:t>项目编号：</w:t>
      </w:r>
      <w:r>
        <w:rPr>
          <w:rFonts w:hint="eastAsia" w:ascii="宋体" w:hAnsi="宋体" w:eastAsia="宋体" w:cs="宋体"/>
          <w:sz w:val="32"/>
          <w:lang w:val="en-US" w:eastAsia="zh-CN"/>
        </w:rPr>
        <w:t xml:space="preserve"> 周财招标采购-2024-20</w:t>
      </w:r>
    </w:p>
    <w:p>
      <w:pPr>
        <w:pStyle w:val="23"/>
        <w:rPr>
          <w:rFonts w:hint="eastAsia" w:ascii="宋体" w:hAnsi="宋体" w:eastAsia="宋体" w:cs="宋体"/>
          <w:sz w:val="32"/>
        </w:rPr>
      </w:pPr>
    </w:p>
    <w:p>
      <w:pPr>
        <w:spacing w:line="360" w:lineRule="auto"/>
        <w:jc w:val="center"/>
        <w:rPr>
          <w:rFonts w:hint="eastAsia" w:ascii="宋体" w:hAnsi="宋体" w:eastAsia="宋体" w:cs="宋体"/>
          <w:b/>
          <w:color w:val="000000"/>
          <w:spacing w:val="-4"/>
          <w:sz w:val="84"/>
        </w:rPr>
      </w:pPr>
    </w:p>
    <w:p>
      <w:pPr>
        <w:spacing w:line="360" w:lineRule="auto"/>
        <w:jc w:val="center"/>
        <w:rPr>
          <w:rFonts w:hint="eastAsia" w:ascii="宋体" w:hAnsi="宋体" w:eastAsia="宋体" w:cs="宋体"/>
          <w:b/>
          <w:color w:val="000000"/>
          <w:spacing w:val="-4"/>
          <w:sz w:val="32"/>
          <w:szCs w:val="32"/>
        </w:rPr>
      </w:pPr>
    </w:p>
    <w:p>
      <w:pPr>
        <w:spacing w:line="360" w:lineRule="auto"/>
        <w:jc w:val="center"/>
        <w:rPr>
          <w:rFonts w:hint="eastAsia" w:ascii="宋体" w:hAnsi="宋体" w:eastAsia="宋体" w:cs="宋体"/>
          <w:b/>
          <w:color w:val="000000"/>
          <w:spacing w:val="-4"/>
          <w:sz w:val="32"/>
          <w:szCs w:val="32"/>
          <w:lang w:val="en-US" w:eastAsia="zh-CN"/>
        </w:rPr>
      </w:pPr>
      <w:r>
        <w:rPr>
          <w:rFonts w:hint="eastAsia" w:ascii="宋体" w:hAnsi="宋体" w:eastAsia="宋体" w:cs="宋体"/>
          <w:b/>
          <w:color w:val="000000"/>
          <w:spacing w:val="-4"/>
          <w:sz w:val="32"/>
          <w:szCs w:val="32"/>
          <w:lang w:val="en-US" w:eastAsia="zh-CN"/>
        </w:rPr>
        <w:t>2024年5月</w:t>
      </w: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pStyle w:val="23"/>
        <w:jc w:val="center"/>
        <w:rPr>
          <w:rFonts w:hint="eastAsia" w:ascii="宋体" w:hAnsi="宋体" w:eastAsia="宋体" w:cs="宋体"/>
        </w:rPr>
      </w:pPr>
    </w:p>
    <w:p>
      <w:pPr>
        <w:tabs>
          <w:tab w:val="left" w:pos="4620"/>
        </w:tabs>
        <w:spacing w:line="500" w:lineRule="exact"/>
        <w:jc w:val="center"/>
        <w:rPr>
          <w:rFonts w:hint="eastAsia" w:ascii="宋体" w:hAnsi="宋体" w:eastAsia="宋体" w:cs="宋体"/>
          <w:b/>
          <w:sz w:val="32"/>
        </w:rPr>
      </w:pPr>
      <w:r>
        <w:rPr>
          <w:rFonts w:hint="eastAsia" w:ascii="宋体" w:hAnsi="宋体" w:eastAsia="宋体" w:cs="宋体"/>
          <w:b/>
          <w:sz w:val="32"/>
        </w:rPr>
        <w:t>目  录</w:t>
      </w:r>
    </w:p>
    <w:p>
      <w:pPr>
        <w:pStyle w:val="57"/>
        <w:tabs>
          <w:tab w:val="right" w:leader="dot" w:pos="8390"/>
        </w:tabs>
        <w:jc w:val="left"/>
        <w:rPr>
          <w:rFonts w:hint="eastAsia" w:ascii="宋体" w:hAnsi="宋体" w:eastAsia="宋体" w:cs="宋体"/>
          <w:bCs/>
          <w:caps/>
          <w:smallCaps/>
          <w:sz w:val="32"/>
          <w:szCs w:val="32"/>
        </w:rPr>
      </w:pPr>
      <w:bookmarkStart w:id="0" w:name="_Hlt526418134"/>
      <w:bookmarkEnd w:id="0"/>
      <w:bookmarkStart w:id="1" w:name="_Hlt519045295"/>
      <w:bookmarkEnd w:id="1"/>
      <w:bookmarkStart w:id="2" w:name="_Hlt533241375"/>
      <w:bookmarkEnd w:id="2"/>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TOC \o "1-3" \h \z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_Toc20608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第一章  招标公告</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_Toc20608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3</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_Toc8586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第二章 投标人须知前附表</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_Toc8586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6</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_Toc22493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第三章</w:t>
      </w:r>
      <w:r>
        <w:rPr>
          <w:rFonts w:hint="eastAsia" w:ascii="宋体" w:hAnsi="宋体" w:eastAsia="宋体" w:cs="宋体"/>
          <w:bCs/>
          <w:caps/>
          <w:smallCaps/>
          <w:sz w:val="32"/>
          <w:szCs w:val="32"/>
          <w:lang w:eastAsia="zh-CN"/>
        </w:rPr>
        <w:t xml:space="preserve">  </w:t>
      </w:r>
      <w:r>
        <w:rPr>
          <w:rFonts w:hint="eastAsia" w:ascii="宋体" w:hAnsi="宋体" w:eastAsia="宋体" w:cs="宋体"/>
          <w:bCs/>
          <w:caps/>
          <w:smallCaps/>
          <w:sz w:val="32"/>
          <w:szCs w:val="32"/>
        </w:rPr>
        <w:t>需求一览表</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_Toc22493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8</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_Toc2172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第四章 评标办法</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_Toc2172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10</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_Toc20612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第五章 投标人须知</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_Toc20612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15</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_Toc13590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lang w:val="en-US"/>
        </w:rPr>
        <w:t>第六章 周口市政府采购合同（</w:t>
      </w:r>
      <w:r>
        <w:rPr>
          <w:rFonts w:hint="eastAsia" w:ascii="宋体" w:hAnsi="宋体" w:eastAsia="宋体" w:cs="宋体"/>
          <w:bCs/>
          <w:caps/>
          <w:smallCaps/>
          <w:sz w:val="32"/>
          <w:szCs w:val="32"/>
          <w:lang w:val="en-US" w:eastAsia="zh-CN"/>
        </w:rPr>
        <w:t>服务</w:t>
      </w:r>
      <w:r>
        <w:rPr>
          <w:rFonts w:hint="eastAsia" w:ascii="宋体" w:hAnsi="宋体" w:eastAsia="宋体" w:cs="宋体"/>
          <w:bCs/>
          <w:caps/>
          <w:smallCaps/>
          <w:sz w:val="32"/>
          <w:szCs w:val="32"/>
          <w:lang w:val="en-US"/>
        </w:rPr>
        <w:t>类）标准文本</w:t>
      </w:r>
      <w:r>
        <w:rPr>
          <w:rFonts w:hint="eastAsia" w:ascii="宋体" w:hAnsi="宋体" w:eastAsia="宋体" w:cs="宋体"/>
          <w:bCs/>
          <w:caps/>
          <w:smallCaps/>
          <w:sz w:val="32"/>
          <w:szCs w:val="32"/>
          <w:lang w:val="en-US" w:eastAsia="zh-CN"/>
        </w:rPr>
        <w:t>、</w:t>
      </w:r>
      <w:r>
        <w:rPr>
          <w:rFonts w:hint="eastAsia" w:ascii="宋体" w:hAnsi="宋体" w:eastAsia="宋体" w:cs="宋体"/>
          <w:bCs/>
          <w:caps/>
          <w:smallCaps/>
          <w:sz w:val="32"/>
          <w:szCs w:val="32"/>
        </w:rPr>
        <w:t>合同签订指引</w:t>
      </w:r>
      <w:r>
        <w:rPr>
          <w:rFonts w:hint="eastAsia" w:ascii="宋体" w:hAnsi="宋体" w:eastAsia="宋体" w:cs="宋体"/>
          <w:bCs/>
          <w:caps/>
          <w:smallCaps/>
          <w:sz w:val="32"/>
          <w:szCs w:val="32"/>
          <w:lang w:eastAsia="zh-CN"/>
        </w:rPr>
        <w:t>、</w:t>
      </w:r>
      <w:r>
        <w:rPr>
          <w:rFonts w:hint="eastAsia" w:ascii="宋体" w:hAnsi="宋体" w:eastAsia="宋体" w:cs="宋体"/>
          <w:bCs/>
          <w:caps/>
          <w:smallCaps/>
          <w:sz w:val="32"/>
          <w:szCs w:val="32"/>
        </w:rPr>
        <w:t>供应商履约验收指引</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_Toc13590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28</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_Toc30673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采购合同内容</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_Toc30673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30</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_Toc30894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第七章 投标文件格式</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_Toc30894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35</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HYPERLINK \l _Toc12913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周口市政府采购合同融资政策告知函</w:t>
      </w:r>
      <w:r>
        <w:rPr>
          <w:rFonts w:hint="eastAsia" w:ascii="宋体" w:hAnsi="宋体" w:eastAsia="宋体" w:cs="宋体"/>
          <w:bCs/>
          <w:caps/>
          <w:smallCaps/>
          <w:sz w:val="32"/>
          <w:szCs w:val="32"/>
        </w:rPr>
        <w:tab/>
      </w:r>
      <w:r>
        <w:rPr>
          <w:rFonts w:hint="eastAsia" w:ascii="宋体" w:hAnsi="宋体" w:eastAsia="宋体" w:cs="宋体"/>
          <w:bCs/>
          <w:caps/>
          <w:smallCaps/>
          <w:sz w:val="32"/>
          <w:szCs w:val="32"/>
        </w:rPr>
        <w:fldChar w:fldCharType="begin"/>
      </w:r>
      <w:r>
        <w:rPr>
          <w:rFonts w:hint="eastAsia" w:ascii="宋体" w:hAnsi="宋体" w:eastAsia="宋体" w:cs="宋体"/>
          <w:bCs/>
          <w:caps/>
          <w:smallCaps/>
          <w:sz w:val="32"/>
          <w:szCs w:val="32"/>
        </w:rPr>
        <w:instrText xml:space="preserve"> PAGEREF _Toc12913 \h </w:instrText>
      </w:r>
      <w:r>
        <w:rPr>
          <w:rFonts w:hint="eastAsia" w:ascii="宋体" w:hAnsi="宋体" w:eastAsia="宋体" w:cs="宋体"/>
          <w:bCs/>
          <w:caps/>
          <w:smallCaps/>
          <w:sz w:val="32"/>
          <w:szCs w:val="32"/>
        </w:rPr>
        <w:fldChar w:fldCharType="separate"/>
      </w:r>
      <w:r>
        <w:rPr>
          <w:rFonts w:hint="eastAsia" w:ascii="宋体" w:hAnsi="宋体" w:eastAsia="宋体" w:cs="宋体"/>
          <w:bCs/>
          <w:caps/>
          <w:smallCaps/>
          <w:sz w:val="32"/>
          <w:szCs w:val="32"/>
        </w:rPr>
        <w:t>47</w:t>
      </w:r>
      <w:r>
        <w:rPr>
          <w:rFonts w:hint="eastAsia" w:ascii="宋体" w:hAnsi="宋体" w:eastAsia="宋体" w:cs="宋体"/>
          <w:bCs/>
          <w:caps/>
          <w:smallCaps/>
          <w:sz w:val="32"/>
          <w:szCs w:val="32"/>
        </w:rPr>
        <w:fldChar w:fldCharType="end"/>
      </w: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r>
        <w:rPr>
          <w:rFonts w:hint="eastAsia" w:ascii="宋体" w:hAnsi="宋体" w:eastAsia="宋体" w:cs="宋体"/>
          <w:bCs/>
          <w:caps/>
          <w:smallCaps/>
          <w:sz w:val="32"/>
          <w:szCs w:val="32"/>
        </w:rPr>
        <w:fldChar w:fldCharType="end"/>
      </w:r>
    </w:p>
    <w:p>
      <w:pPr>
        <w:pStyle w:val="57"/>
        <w:tabs>
          <w:tab w:val="right" w:leader="dot" w:pos="8390"/>
        </w:tabs>
        <w:jc w:val="left"/>
        <w:rPr>
          <w:rFonts w:hint="eastAsia" w:ascii="宋体" w:hAnsi="宋体" w:eastAsia="宋体" w:cs="宋体"/>
          <w:bCs/>
          <w:caps/>
          <w:smallCaps/>
          <w:sz w:val="32"/>
          <w:szCs w:val="32"/>
        </w:rPr>
      </w:pPr>
    </w:p>
    <w:p>
      <w:pPr>
        <w:pStyle w:val="57"/>
        <w:tabs>
          <w:tab w:val="right" w:leader="dot" w:pos="8390"/>
        </w:tabs>
        <w:jc w:val="left"/>
        <w:rPr>
          <w:rFonts w:hint="eastAsia" w:ascii="宋体" w:hAnsi="宋体" w:eastAsia="宋体" w:cs="宋体"/>
          <w:bCs/>
          <w:caps/>
          <w:smallCaps/>
          <w:sz w:val="32"/>
          <w:szCs w:val="32"/>
        </w:rPr>
      </w:pPr>
    </w:p>
    <w:p>
      <w:pPr>
        <w:pStyle w:val="57"/>
        <w:tabs>
          <w:tab w:val="right" w:leader="dot" w:pos="8390"/>
        </w:tabs>
        <w:jc w:val="left"/>
        <w:rPr>
          <w:rFonts w:hint="eastAsia" w:ascii="宋体" w:hAnsi="宋体" w:eastAsia="宋体" w:cs="宋体"/>
          <w:bCs/>
          <w:caps/>
          <w:smallCaps/>
          <w:sz w:val="32"/>
          <w:szCs w:val="32"/>
        </w:rPr>
      </w:pPr>
    </w:p>
    <w:p>
      <w:pPr>
        <w:pStyle w:val="57"/>
        <w:tabs>
          <w:tab w:val="right" w:leader="dot" w:pos="8390"/>
        </w:tabs>
        <w:jc w:val="left"/>
        <w:rPr>
          <w:rFonts w:hint="eastAsia" w:ascii="宋体" w:hAnsi="宋体" w:eastAsia="宋体" w:cs="宋体"/>
          <w:bCs/>
          <w:caps/>
          <w:smallCaps/>
          <w:sz w:val="32"/>
          <w:szCs w:val="32"/>
        </w:rPr>
      </w:pPr>
    </w:p>
    <w:p>
      <w:pPr>
        <w:rPr>
          <w:rFonts w:hint="eastAsia" w:ascii="宋体" w:hAnsi="宋体" w:eastAsia="宋体" w:cs="宋体"/>
          <w:b/>
          <w:bCs/>
          <w:caps/>
          <w:sz w:val="24"/>
          <w:szCs w:val="24"/>
        </w:rPr>
      </w:pPr>
    </w:p>
    <w:p>
      <w:pPr>
        <w:rPr>
          <w:rFonts w:hint="eastAsia" w:ascii="宋体" w:hAnsi="宋体" w:eastAsia="宋体" w:cs="宋体"/>
          <w:b/>
          <w:bCs/>
          <w:caps/>
          <w:sz w:val="24"/>
          <w:szCs w:val="24"/>
        </w:rPr>
      </w:pPr>
    </w:p>
    <w:p>
      <w:pPr>
        <w:rPr>
          <w:rFonts w:hint="eastAsia" w:ascii="宋体" w:hAnsi="宋体" w:eastAsia="宋体" w:cs="宋体"/>
          <w:b/>
          <w:bCs/>
          <w:caps/>
          <w:sz w:val="24"/>
          <w:szCs w:val="24"/>
        </w:rPr>
      </w:pPr>
    </w:p>
    <w:p>
      <w:pPr>
        <w:rPr>
          <w:rFonts w:hint="eastAsia" w:ascii="宋体" w:hAnsi="宋体" w:eastAsia="宋体" w:cs="宋体"/>
          <w:b/>
          <w:bCs/>
          <w:caps/>
          <w:sz w:val="24"/>
          <w:szCs w:val="24"/>
        </w:rPr>
      </w:pPr>
    </w:p>
    <w:p>
      <w:pPr>
        <w:rPr>
          <w:rFonts w:hint="eastAsia" w:ascii="宋体" w:hAnsi="宋体" w:eastAsia="宋体" w:cs="宋体"/>
          <w:b/>
          <w:bCs/>
          <w:caps/>
          <w:sz w:val="24"/>
          <w:szCs w:val="24"/>
        </w:rPr>
      </w:pPr>
    </w:p>
    <w:p>
      <w:pPr>
        <w:jc w:val="center"/>
        <w:rPr>
          <w:rFonts w:hint="eastAsia" w:ascii="宋体" w:hAnsi="宋体" w:eastAsia="宋体" w:cs="宋体"/>
          <w:b/>
          <w:bCs/>
          <w:caps/>
          <w:sz w:val="24"/>
          <w:szCs w:val="24"/>
        </w:rPr>
      </w:pPr>
      <w:r>
        <w:rPr>
          <w:rFonts w:hint="eastAsia" w:ascii="宋体" w:hAnsi="宋体" w:eastAsia="宋体" w:cs="宋体"/>
          <w:b/>
          <w:bCs/>
          <w:caps/>
          <w:sz w:val="24"/>
          <w:szCs w:val="24"/>
        </w:rPr>
        <w:br w:type="page"/>
      </w:r>
    </w:p>
    <w:p>
      <w:pPr>
        <w:pStyle w:val="3"/>
        <w:numPr>
          <w:ilvl w:val="0"/>
          <w:numId w:val="17"/>
        </w:numPr>
        <w:spacing w:before="0" w:after="0" w:line="240" w:lineRule="auto"/>
        <w:ind w:firstLine="0"/>
        <w:rPr>
          <w:rFonts w:hint="eastAsia" w:ascii="宋体" w:hAnsi="宋体" w:eastAsia="宋体" w:cs="宋体"/>
        </w:rPr>
      </w:pPr>
      <w:bookmarkStart w:id="3" w:name="_Toc20608"/>
      <w:bookmarkStart w:id="4" w:name="_Toc28426_WPSOffice_Level1"/>
      <w:r>
        <w:rPr>
          <w:rFonts w:hint="eastAsia" w:ascii="宋体" w:hAnsi="宋体" w:eastAsia="宋体" w:cs="宋体"/>
        </w:rPr>
        <w:t xml:space="preserve"> 招标公告</w:t>
      </w:r>
      <w:bookmarkEnd w:id="3"/>
      <w:bookmarkEnd w:id="4"/>
    </w:p>
    <w:p>
      <w:pPr>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 xml:space="preserve"> 周口市博物馆可移动文物预防性保护项目(项目名称) 项目的潜在投标人应在周口市公共资源交易中心网（http://jyzx.zhoukou.gov.cn）获取招标文件，并于</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6</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13</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分（北京时间）前递交投标文件。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5" w:name="_Toc35393790"/>
      <w:bookmarkStart w:id="6" w:name="_Toc35393621"/>
      <w:bookmarkStart w:id="7" w:name="_Toc28359079"/>
      <w:bookmarkStart w:id="8" w:name="_Toc28359002"/>
      <w:bookmarkStart w:id="9" w:name="_Hlk24379207"/>
      <w:r>
        <w:rPr>
          <w:rFonts w:hint="eastAsia" w:ascii="宋体" w:hAnsi="宋体" w:eastAsia="宋体" w:cs="宋体"/>
          <w:i w:val="0"/>
          <w:iCs w:val="0"/>
          <w:sz w:val="24"/>
          <w:szCs w:val="24"/>
        </w:rPr>
        <w:t>一、项目基本情况</w:t>
      </w:r>
      <w:bookmarkEnd w:id="5"/>
      <w:bookmarkEnd w:id="6"/>
      <w:bookmarkEnd w:id="7"/>
      <w:bookmarkEnd w:id="8"/>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rPr>
        <w:t>项目编号：</w:t>
      </w:r>
      <w:r>
        <w:rPr>
          <w:rFonts w:hint="eastAsia" w:ascii="宋体" w:hAnsi="宋体" w:eastAsia="宋体" w:cs="宋体"/>
          <w:i w:val="0"/>
          <w:iCs w:val="0"/>
          <w:sz w:val="24"/>
          <w:szCs w:val="24"/>
          <w:lang w:val="en-US" w:eastAsia="zh-CN"/>
        </w:rPr>
        <w:t>周财招标采购-2024-20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项目名称：周口市博物馆可移动文物预防性保护项目</w:t>
      </w:r>
    </w:p>
    <w:bookmarkEnd w:id="9"/>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预算金额：</w:t>
      </w:r>
      <w:r>
        <w:rPr>
          <w:rFonts w:hint="eastAsia" w:ascii="宋体" w:hAnsi="宋体" w:eastAsia="宋体" w:cs="宋体"/>
          <w:i w:val="0"/>
          <w:iCs w:val="0"/>
          <w:sz w:val="24"/>
          <w:szCs w:val="24"/>
          <w:lang w:val="en-US" w:eastAsia="zh-CN"/>
        </w:rPr>
        <w:t>254万</w:t>
      </w:r>
      <w:r>
        <w:rPr>
          <w:rFonts w:hint="eastAsia" w:ascii="宋体" w:hAnsi="宋体" w:eastAsia="宋体" w:cs="宋体"/>
          <w:i w:val="0"/>
          <w:iCs w:val="0"/>
          <w:sz w:val="24"/>
          <w:szCs w:val="24"/>
        </w:rPr>
        <w:t>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最高限价（如有）：</w:t>
      </w:r>
      <w:r>
        <w:rPr>
          <w:rFonts w:hint="eastAsia" w:ascii="宋体" w:hAnsi="宋体" w:eastAsia="宋体" w:cs="宋体"/>
          <w:i w:val="0"/>
          <w:iCs w:val="0"/>
          <w:sz w:val="24"/>
          <w:szCs w:val="24"/>
          <w:lang w:val="en-US" w:eastAsia="zh-CN"/>
        </w:rPr>
        <w:t>254万</w:t>
      </w:r>
      <w:r>
        <w:rPr>
          <w:rFonts w:hint="eastAsia" w:ascii="宋体" w:hAnsi="宋体" w:eastAsia="宋体" w:cs="宋体"/>
          <w:i w:val="0"/>
          <w:iCs w:val="0"/>
          <w:sz w:val="24"/>
          <w:szCs w:val="24"/>
        </w:rPr>
        <w:t>元</w:t>
      </w:r>
    </w:p>
    <w:p>
      <w:pPr>
        <w:pStyle w:val="25"/>
        <w:adjustRightInd w:val="0"/>
        <w:snapToGrid w:val="0"/>
        <w:spacing w:line="360" w:lineRule="auto"/>
        <w:ind w:firstLine="480" w:firstLineChars="200"/>
        <w:rPr>
          <w:rFonts w:hint="eastAsia"/>
        </w:rPr>
      </w:pPr>
      <w:r>
        <w:rPr>
          <w:rFonts w:hint="eastAsia" w:ascii="宋体" w:hAnsi="宋体" w:eastAsia="宋体" w:cs="宋体"/>
          <w:color w:val="000000"/>
          <w:kern w:val="0"/>
          <w:sz w:val="24"/>
          <w:szCs w:val="24"/>
          <w:lang w:val="en-US" w:eastAsia="zh-CN"/>
        </w:rPr>
        <w:t>采购方式：公开招标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sz w:val="24"/>
          <w:szCs w:val="24"/>
        </w:rPr>
        <w:t>包别划分</w:t>
      </w:r>
      <w:r>
        <w:rPr>
          <w:rFonts w:hint="eastAsia" w:ascii="宋体" w:hAnsi="宋体" w:eastAsia="宋体" w:cs="宋体"/>
          <w:i w:val="0"/>
          <w:iCs w:val="0"/>
          <w:sz w:val="24"/>
          <w:szCs w:val="24"/>
          <w:lang w:val="en-US" w:eastAsia="zh-CN"/>
        </w:rPr>
        <w:t>：</w:t>
      </w:r>
      <w:r>
        <w:rPr>
          <w:rFonts w:hint="eastAsia" w:ascii="宋体" w:hAnsi="宋体" w:eastAsia="宋体" w:cs="宋体"/>
          <w:i w:val="0"/>
          <w:iCs w:val="0"/>
          <w:sz w:val="24"/>
          <w:szCs w:val="24"/>
          <w:u w:val="single"/>
          <w:lang w:val="en-US" w:eastAsia="zh-CN"/>
        </w:rPr>
        <w:t xml:space="preserve"> 1 </w:t>
      </w:r>
      <w:r>
        <w:rPr>
          <w:rFonts w:hint="eastAsia" w:ascii="宋体" w:hAnsi="宋体" w:eastAsia="宋体" w:cs="宋体"/>
          <w:i w:val="0"/>
          <w:iCs w:val="0"/>
          <w:sz w:val="24"/>
          <w:szCs w:val="24"/>
          <w:lang w:val="en-US" w:eastAsia="zh-CN"/>
        </w:rPr>
        <w:t>个包</w:t>
      </w:r>
    </w:p>
    <w:tbl>
      <w:tblPr>
        <w:tblStyle w:val="71"/>
        <w:tblpPr w:leftFromText="180" w:rightFromText="180" w:vertAnchor="text" w:horzAnchor="margin" w:tblpXSpec="center" w:tblpY="154"/>
        <w:tblW w:w="8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332"/>
        <w:gridCol w:w="2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包号</w:t>
            </w:r>
          </w:p>
        </w:tc>
        <w:tc>
          <w:tcPr>
            <w:tcW w:w="533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包名称</w:t>
            </w:r>
          </w:p>
        </w:tc>
        <w:tc>
          <w:tcPr>
            <w:tcW w:w="208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包最高限价</w:t>
            </w:r>
            <w:r>
              <w:rPr>
                <w:rFonts w:hint="eastAsia" w:ascii="宋体" w:hAnsi="宋体" w:eastAsia="宋体" w:cs="宋体"/>
                <w:i w:val="0"/>
                <w:iCs w:val="0"/>
                <w:sz w:val="24"/>
                <w:szCs w:val="24"/>
                <w:lang w:val="en-US" w:eastAsia="zh-CN"/>
              </w:rPr>
              <w:t>万</w:t>
            </w:r>
            <w:r>
              <w:rPr>
                <w:rFonts w:hint="eastAsia" w:ascii="宋体" w:hAnsi="宋体" w:eastAsia="宋体" w:cs="宋体"/>
                <w:i w:val="0"/>
                <w:iCs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w:t>
            </w:r>
          </w:p>
        </w:tc>
        <w:tc>
          <w:tcPr>
            <w:tcW w:w="533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lang w:val="en-US" w:eastAsia="zh-CN"/>
              </w:rPr>
              <w:t>周口市博物馆可移动文物预防性保护项目</w:t>
            </w:r>
          </w:p>
        </w:tc>
        <w:tc>
          <w:tcPr>
            <w:tcW w:w="208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lang w:val="en-US" w:eastAsia="zh-CN"/>
              </w:rPr>
              <w:t>254万</w:t>
            </w:r>
            <w:r>
              <w:rPr>
                <w:rFonts w:hint="eastAsia" w:ascii="宋体" w:hAnsi="宋体" w:eastAsia="宋体" w:cs="宋体"/>
                <w:i w:val="0"/>
                <w:iCs w:val="0"/>
                <w:sz w:val="24"/>
                <w:szCs w:val="24"/>
              </w:rPr>
              <w:t>元</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采购需求：</w:t>
      </w:r>
      <w:r>
        <w:rPr>
          <w:rFonts w:hint="eastAsia" w:ascii="宋体" w:hAnsi="宋体" w:eastAsia="宋体" w:cs="宋体"/>
          <w:i w:val="0"/>
          <w:iCs w:val="0"/>
          <w:sz w:val="24"/>
          <w:szCs w:val="24"/>
          <w:lang w:val="en-US" w:eastAsia="zh-CN"/>
        </w:rPr>
        <w:t>可移动文物预防性保护（</w:t>
      </w:r>
      <w:r>
        <w:rPr>
          <w:rFonts w:hint="eastAsia" w:ascii="宋体" w:hAnsi="宋体" w:eastAsia="宋体" w:cs="宋体"/>
          <w:i w:val="0"/>
          <w:iCs w:val="0"/>
          <w:sz w:val="24"/>
          <w:szCs w:val="24"/>
        </w:rPr>
        <w:t>标的的名称、数量、简要技术需求或服务要求等</w:t>
      </w:r>
      <w:r>
        <w:rPr>
          <w:rFonts w:hint="eastAsia" w:ascii="宋体" w:hAnsi="宋体" w:eastAsia="宋体" w:cs="宋体"/>
          <w:i w:val="0"/>
          <w:iCs w:val="0"/>
          <w:sz w:val="24"/>
          <w:szCs w:val="24"/>
          <w:lang w:val="en-US" w:eastAsia="zh-CN"/>
        </w:rPr>
        <w:t>见招标文件</w:t>
      </w:r>
      <w:r>
        <w:rPr>
          <w:rFonts w:hint="eastAsia" w:ascii="宋体" w:hAnsi="宋体" w:eastAsia="宋体" w:cs="宋体"/>
          <w:i w:val="0"/>
          <w:iCs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FF0000"/>
          <w:sz w:val="24"/>
          <w:szCs w:val="24"/>
        </w:rPr>
      </w:pPr>
      <w:r>
        <w:rPr>
          <w:rFonts w:hint="eastAsia" w:ascii="宋体" w:hAnsi="宋体" w:eastAsia="宋体" w:cs="宋体"/>
          <w:sz w:val="24"/>
          <w:szCs w:val="24"/>
        </w:rPr>
        <w:t>合同履行期限：合同签订后</w:t>
      </w:r>
      <w:r>
        <w:rPr>
          <w:rFonts w:hint="eastAsia" w:ascii="宋体" w:hAnsi="宋体" w:eastAsia="宋体" w:cs="宋体"/>
          <w:sz w:val="24"/>
          <w:szCs w:val="24"/>
          <w:lang w:val="en-US" w:eastAsia="zh-CN"/>
        </w:rPr>
        <w:t>90</w:t>
      </w:r>
      <w:r>
        <w:rPr>
          <w:rFonts w:hint="eastAsia" w:ascii="宋体" w:hAnsi="宋体" w:eastAsia="宋体" w:cs="宋体"/>
          <w:sz w:val="24"/>
          <w:szCs w:val="24"/>
        </w:rPr>
        <w:t>日历天内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val="en-US" w:eastAsia="zh-CN"/>
        </w:rPr>
      </w:pPr>
      <w:bookmarkStart w:id="10" w:name="_Toc35393622"/>
      <w:bookmarkStart w:id="11" w:name="_Toc28359003"/>
      <w:bookmarkStart w:id="12" w:name="_Toc28359080"/>
      <w:bookmarkStart w:id="13" w:name="_Toc35393791"/>
      <w:r>
        <w:rPr>
          <w:rFonts w:hint="eastAsia" w:ascii="宋体" w:hAnsi="宋体" w:eastAsia="宋体" w:cs="宋体"/>
          <w:i w:val="0"/>
          <w:iCs w:val="0"/>
          <w:color w:val="auto"/>
          <w:sz w:val="24"/>
          <w:szCs w:val="24"/>
        </w:rPr>
        <w:t>是否接受进口产品：否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本项目是否接受联合体投标</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FF0000"/>
          <w:sz w:val="24"/>
          <w:szCs w:val="24"/>
          <w:lang w:val="en-US" w:eastAsia="zh-CN"/>
        </w:rPr>
      </w:pPr>
      <w:r>
        <w:rPr>
          <w:rFonts w:hint="eastAsia" w:ascii="宋体" w:hAnsi="宋体" w:eastAsia="宋体" w:cs="宋体"/>
          <w:i w:val="0"/>
          <w:iCs w:val="0"/>
          <w:color w:val="auto"/>
          <w:sz w:val="24"/>
          <w:szCs w:val="24"/>
        </w:rPr>
        <w:t>本项目</w:t>
      </w:r>
      <w:r>
        <w:rPr>
          <w:rFonts w:hint="eastAsia" w:ascii="宋体" w:hAnsi="宋体" w:eastAsia="宋体" w:cs="宋体"/>
          <w:i w:val="0"/>
          <w:iCs w:val="0"/>
          <w:color w:val="auto"/>
          <w:sz w:val="24"/>
          <w:szCs w:val="24"/>
          <w:lang w:val="en-US" w:eastAsia="zh-CN"/>
        </w:rPr>
        <w:t>是否为只面向中小企业采购：否。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二、申请人的资格要求：</w:t>
      </w:r>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i w:val="0"/>
          <w:iCs w:val="0"/>
          <w:sz w:val="24"/>
          <w:szCs w:val="24"/>
        </w:rPr>
        <w:t>1.满足《中华人民共和国政府采购法》第二十二条规定；</w:t>
      </w:r>
    </w:p>
    <w:p>
      <w:pPr>
        <w:pStyle w:val="25"/>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（1）具有独立承担民事责任的能力（企业营业执照等证明文件）；</w:t>
      </w:r>
    </w:p>
    <w:p>
      <w:pPr>
        <w:pStyle w:val="25"/>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pPr>
        <w:pStyle w:val="25"/>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pPr>
        <w:pStyle w:val="25"/>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（4）有依法缴纳税收和社会保障资金的良好记录（缴纳的税收凭据、社会保险凭据，依法免税或不需要缴纳社会保障资金的供应商应提供相应的证明文件）；</w:t>
      </w:r>
    </w:p>
    <w:p>
      <w:pPr>
        <w:pStyle w:val="25"/>
        <w:adjustRightInd w:val="0"/>
        <w:snapToGrid w:val="0"/>
        <w:spacing w:line="360" w:lineRule="auto"/>
        <w:ind w:firstLine="480" w:firstLineChars="200"/>
        <w:rPr>
          <w:rFonts w:hint="eastAsia"/>
        </w:rPr>
      </w:pPr>
      <w:r>
        <w:rPr>
          <w:rFonts w:hint="eastAsia" w:ascii="宋体" w:hAnsi="宋体" w:eastAsia="宋体" w:cs="宋体"/>
          <w:sz w:val="24"/>
          <w:szCs w:val="24"/>
        </w:rPr>
        <w:t>（5）参加政府采购活动前三年内，在经营活动中没有重大违法记录（提供没有重大违法记录的书面声明函，格式自拟）；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14" w:name="_Toc28359081"/>
      <w:bookmarkStart w:id="15" w:name="_Toc28359004"/>
      <w:r>
        <w:rPr>
          <w:rFonts w:hint="eastAsia" w:ascii="宋体" w:hAnsi="宋体" w:eastAsia="宋体" w:cs="宋体"/>
          <w:i w:val="0"/>
          <w:iCs w:val="0"/>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3.本项目的特定资格要求：（1）根据《关于在政府采购活动中查询及使用信用记录有关问题的通知》(财库[2016]125号)和豫财购【2016】15号的规定，对列入“信用中国”网站（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"http://www.creditchina.gov.cn/"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www.creditchina.gov.cn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）的“失信被执行人”</w:t>
      </w:r>
      <w:r>
        <w:rPr>
          <w:rFonts w:hint="eastAsia" w:ascii="宋体" w:hAnsi="宋体" w:eastAsia="宋体" w:cs="宋体"/>
          <w:i w:val="0"/>
          <w:iCs w:val="0"/>
          <w:color w:val="000000"/>
          <w:sz w:val="24"/>
          <w:szCs w:val="24"/>
        </w:rPr>
        <w:t>、“重大税收违法案件当事人名单（</w:t>
      </w:r>
      <w:r>
        <w:rPr>
          <w:rFonts w:hint="eastAsia" w:ascii="宋体" w:hAnsi="宋体" w:eastAsia="宋体" w:cs="宋体"/>
          <w:i w:val="0"/>
          <w:iCs w:val="0"/>
          <w:color w:val="000000"/>
          <w:sz w:val="24"/>
          <w:szCs w:val="24"/>
          <w:lang w:val="en-US" w:eastAsia="zh-CN"/>
        </w:rPr>
        <w:t>重大税收违法失信主体</w:t>
      </w:r>
      <w:r>
        <w:rPr>
          <w:rFonts w:hint="eastAsia" w:ascii="宋体" w:hAnsi="宋体" w:eastAsia="宋体" w:cs="宋体"/>
          <w:i w:val="0"/>
          <w:iCs w:val="0"/>
          <w:color w:val="000000"/>
          <w:sz w:val="24"/>
          <w:szCs w:val="24"/>
        </w:rPr>
        <w:t>）”和“中国政府采购”网站(</w:t>
      </w:r>
      <w:r>
        <w:rPr>
          <w:rFonts w:hint="eastAsia" w:ascii="宋体" w:hAnsi="宋体" w:eastAsia="宋体" w:cs="宋体"/>
          <w:i w:val="0"/>
          <w:iCs w:val="0"/>
          <w:color w:val="000000"/>
          <w:sz w:val="24"/>
          <w:szCs w:val="24"/>
        </w:rPr>
        <w:fldChar w:fldCharType="begin"/>
      </w:r>
      <w:r>
        <w:rPr>
          <w:rFonts w:hint="eastAsia" w:ascii="宋体" w:hAnsi="宋体" w:eastAsia="宋体" w:cs="宋体"/>
          <w:i w:val="0"/>
          <w:iCs w:val="0"/>
          <w:color w:val="000000"/>
          <w:sz w:val="24"/>
          <w:szCs w:val="24"/>
        </w:rPr>
        <w:instrText xml:space="preserve">HYPERLINK "http://www.ccgp.gov.cn/"</w:instrText>
      </w:r>
      <w:r>
        <w:rPr>
          <w:rFonts w:hint="eastAsia" w:ascii="宋体" w:hAnsi="宋体" w:eastAsia="宋体" w:cs="宋体"/>
          <w:i w:val="0"/>
          <w:iCs w:val="0"/>
          <w:color w:val="000000"/>
          <w:sz w:val="24"/>
          <w:szCs w:val="24"/>
        </w:rPr>
        <w:fldChar w:fldCharType="separate"/>
      </w:r>
      <w:r>
        <w:rPr>
          <w:rFonts w:hint="eastAsia" w:ascii="宋体" w:hAnsi="宋体" w:eastAsia="宋体" w:cs="宋体"/>
          <w:i w:val="0"/>
          <w:iCs w:val="0"/>
          <w:color w:val="000000"/>
          <w:sz w:val="24"/>
          <w:szCs w:val="24"/>
        </w:rPr>
        <w:t>www.ccgp.gov.cn</w:t>
      </w:r>
      <w:r>
        <w:rPr>
          <w:rFonts w:hint="eastAsia" w:ascii="宋体" w:hAnsi="宋体" w:eastAsia="宋体" w:cs="宋体"/>
          <w:i w:val="0"/>
          <w:iCs w:val="0"/>
          <w:color w:val="000000"/>
          <w:sz w:val="24"/>
          <w:szCs w:val="24"/>
        </w:rPr>
        <w:fldChar w:fldCharType="end"/>
      </w:r>
      <w:r>
        <w:rPr>
          <w:rFonts w:hint="eastAsia" w:ascii="宋体" w:hAnsi="宋体" w:eastAsia="宋体" w:cs="宋体"/>
          <w:i w:val="0"/>
          <w:iCs w:val="0"/>
          <w:color w:val="000000"/>
          <w:sz w:val="24"/>
          <w:szCs w:val="24"/>
        </w:rPr>
        <w:t>)的“政府采购严重违法失信行为记录名单”的供应商，将拒绝其参加政</w:t>
      </w:r>
      <w:r>
        <w:rPr>
          <w:rFonts w:hint="eastAsia" w:ascii="宋体" w:hAnsi="宋体" w:eastAsia="宋体" w:cs="宋体"/>
          <w:i w:val="0"/>
          <w:iCs w:val="0"/>
          <w:sz w:val="24"/>
          <w:szCs w:val="24"/>
        </w:rPr>
        <w:t>府采购活动；在标书中附加盖公章的网页查询扫描件，查询日期为公告发布之日起至投标截止之日止。</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投标单位负责人为同一人或存在直接控股、管理关系的不同投标人，不得参加同一合同项下的政府采购活动（提供国家企业信用信息系统查询截图，包括公司基础信息和股东信息吗，</w:t>
      </w:r>
      <w:r>
        <w:rPr>
          <w:rFonts w:hint="eastAsia" w:ascii="宋体" w:hAnsi="宋体" w:eastAsia="宋体" w:cs="宋体"/>
          <w:sz w:val="24"/>
          <w:szCs w:val="24"/>
        </w:rPr>
        <w:t>投标文件中提供网站查询</w:t>
      </w:r>
      <w:r>
        <w:rPr>
          <w:rFonts w:hint="eastAsia" w:ascii="宋体" w:hAnsi="宋体" w:eastAsia="宋体" w:cs="宋体"/>
          <w:sz w:val="24"/>
          <w:szCs w:val="24"/>
          <w:lang w:eastAsia="zh-CN"/>
        </w:rPr>
        <w:t>和网页链接的扫描件、法定代表人和委托代理人签章并加盖公章。</w:t>
      </w:r>
      <w:r>
        <w:rPr>
          <w:rFonts w:hint="eastAsia" w:ascii="宋体" w:hAnsi="宋体" w:eastAsia="宋体" w:cs="宋体"/>
          <w:sz w:val="24"/>
          <w:szCs w:val="24"/>
        </w:rPr>
        <w:t>查询日期为公告发布之日起至投标截止之日止）。</w:t>
      </w:r>
    </w:p>
    <w:p>
      <w:pPr>
        <w:spacing w:line="360" w:lineRule="auto"/>
        <w:ind w:firstLine="480" w:firstLineChars="200"/>
        <w:jc w:val="left"/>
      </w:pPr>
      <w:r>
        <w:rPr>
          <w:rFonts w:hint="eastAsia" w:ascii="宋体" w:hAnsi="宋体" w:eastAsia="宋体" w:cs="宋体"/>
          <w:sz w:val="24"/>
          <w:szCs w:val="24"/>
        </w:rPr>
        <w:t>（3）法定代表人为同一个人的两个及两个以上法人，母公司、全资子公司及其控股公司，都不得在同一货物招标中同时投标。</w:t>
      </w:r>
    </w:p>
    <w:p>
      <w:pPr>
        <w:pStyle w:val="116"/>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16" w:name="_Toc35393623"/>
      <w:bookmarkStart w:id="17" w:name="_Toc35393792"/>
      <w:r>
        <w:rPr>
          <w:rFonts w:hint="eastAsia" w:ascii="宋体" w:hAnsi="宋体" w:eastAsia="宋体" w:cs="宋体"/>
          <w:i w:val="0"/>
          <w:iCs w:val="0"/>
          <w:sz w:val="24"/>
          <w:szCs w:val="24"/>
        </w:rPr>
        <w:t>三、获取招标文件</w:t>
      </w:r>
      <w:bookmarkEnd w:id="14"/>
      <w:bookmarkEnd w:id="15"/>
      <w:bookmarkEnd w:id="16"/>
      <w:bookmarkEnd w:id="1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时间： </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rPr>
        <w:t>年</w:t>
      </w:r>
      <w:r>
        <w:rPr>
          <w:rFonts w:hint="eastAsia" w:ascii="宋体" w:hAnsi="宋体" w:cs="宋体"/>
          <w:i w:val="0"/>
          <w:iCs w:val="0"/>
          <w:sz w:val="24"/>
          <w:szCs w:val="24"/>
          <w:lang w:val="en-US" w:eastAsia="zh-CN"/>
        </w:rPr>
        <w:t>5</w:t>
      </w:r>
      <w:r>
        <w:rPr>
          <w:rFonts w:hint="eastAsia" w:ascii="宋体" w:hAnsi="宋体" w:eastAsia="宋体" w:cs="宋体"/>
          <w:i w:val="0"/>
          <w:iCs w:val="0"/>
          <w:sz w:val="24"/>
          <w:szCs w:val="24"/>
        </w:rPr>
        <w:t>月</w:t>
      </w:r>
      <w:r>
        <w:rPr>
          <w:rFonts w:hint="eastAsia" w:ascii="宋体" w:hAnsi="宋体" w:cs="宋体"/>
          <w:i w:val="0"/>
          <w:iCs w:val="0"/>
          <w:sz w:val="24"/>
          <w:szCs w:val="24"/>
          <w:lang w:val="en-US" w:eastAsia="zh-CN"/>
        </w:rPr>
        <w:t>23</w:t>
      </w:r>
      <w:r>
        <w:rPr>
          <w:rFonts w:hint="eastAsia" w:ascii="宋体" w:hAnsi="宋体" w:eastAsia="宋体" w:cs="宋体"/>
          <w:i w:val="0"/>
          <w:iCs w:val="0"/>
          <w:sz w:val="24"/>
          <w:szCs w:val="24"/>
        </w:rPr>
        <w:t>日至</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rPr>
        <w:t>年</w:t>
      </w:r>
      <w:r>
        <w:rPr>
          <w:rFonts w:hint="eastAsia" w:ascii="宋体" w:hAnsi="宋体" w:cs="宋体"/>
          <w:i w:val="0"/>
          <w:iCs w:val="0"/>
          <w:sz w:val="24"/>
          <w:szCs w:val="24"/>
          <w:lang w:val="en-US" w:eastAsia="zh-CN"/>
        </w:rPr>
        <w:t>5</w:t>
      </w:r>
      <w:r>
        <w:rPr>
          <w:rFonts w:hint="eastAsia" w:ascii="宋体" w:hAnsi="宋体" w:eastAsia="宋体" w:cs="宋体"/>
          <w:i w:val="0"/>
          <w:iCs w:val="0"/>
          <w:sz w:val="24"/>
          <w:szCs w:val="24"/>
        </w:rPr>
        <w:t>月</w:t>
      </w:r>
      <w:r>
        <w:rPr>
          <w:rFonts w:hint="eastAsia" w:ascii="宋体" w:hAnsi="宋体" w:cs="宋体"/>
          <w:i w:val="0"/>
          <w:iCs w:val="0"/>
          <w:sz w:val="24"/>
          <w:szCs w:val="24"/>
          <w:lang w:val="en-US" w:eastAsia="zh-CN"/>
        </w:rPr>
        <w:t>30</w:t>
      </w:r>
      <w:r>
        <w:rPr>
          <w:rFonts w:hint="eastAsia" w:ascii="宋体" w:hAnsi="宋体" w:eastAsia="宋体" w:cs="宋体"/>
          <w:i w:val="0"/>
          <w:iCs w:val="0"/>
          <w:sz w:val="24"/>
          <w:szCs w:val="24"/>
        </w:rPr>
        <w:t>日，每天上午</w:t>
      </w:r>
      <w:r>
        <w:rPr>
          <w:rFonts w:hint="eastAsia" w:ascii="宋体" w:hAnsi="宋体" w:cs="宋体"/>
          <w:i w:val="0"/>
          <w:iCs w:val="0"/>
          <w:sz w:val="24"/>
          <w:szCs w:val="24"/>
          <w:lang w:val="en-US" w:eastAsia="zh-CN"/>
        </w:rPr>
        <w:t>00：00</w:t>
      </w:r>
      <w:r>
        <w:rPr>
          <w:rFonts w:hint="eastAsia" w:ascii="宋体" w:hAnsi="宋体" w:eastAsia="宋体" w:cs="宋体"/>
          <w:i w:val="0"/>
          <w:iCs w:val="0"/>
          <w:sz w:val="24"/>
          <w:szCs w:val="24"/>
        </w:rPr>
        <w:t>至</w:t>
      </w:r>
      <w:r>
        <w:rPr>
          <w:rFonts w:hint="eastAsia" w:ascii="宋体" w:hAnsi="宋体" w:cs="宋体"/>
          <w:i w:val="0"/>
          <w:iCs w:val="0"/>
          <w:sz w:val="24"/>
          <w:szCs w:val="24"/>
          <w:lang w:val="en-US" w:eastAsia="zh-CN"/>
        </w:rPr>
        <w:t>12：00</w:t>
      </w:r>
      <w:r>
        <w:rPr>
          <w:rFonts w:hint="eastAsia" w:ascii="宋体" w:hAnsi="宋体" w:eastAsia="宋体" w:cs="宋体"/>
          <w:i w:val="0"/>
          <w:iCs w:val="0"/>
          <w:sz w:val="24"/>
          <w:szCs w:val="24"/>
        </w:rPr>
        <w:t>，下午</w:t>
      </w:r>
      <w:r>
        <w:rPr>
          <w:rFonts w:hint="eastAsia" w:ascii="宋体" w:hAnsi="宋体" w:cs="宋体"/>
          <w:i w:val="0"/>
          <w:iCs w:val="0"/>
          <w:sz w:val="24"/>
          <w:szCs w:val="24"/>
          <w:lang w:val="en-US" w:eastAsia="zh-CN"/>
        </w:rPr>
        <w:t>12：00</w:t>
      </w:r>
      <w:r>
        <w:rPr>
          <w:rFonts w:hint="eastAsia" w:ascii="宋体" w:hAnsi="宋体" w:eastAsia="宋体" w:cs="宋体"/>
          <w:i w:val="0"/>
          <w:iCs w:val="0"/>
          <w:sz w:val="24"/>
          <w:szCs w:val="24"/>
        </w:rPr>
        <w:t>至</w:t>
      </w:r>
      <w:r>
        <w:rPr>
          <w:rFonts w:hint="eastAsia" w:ascii="宋体" w:hAnsi="宋体" w:cs="宋体"/>
          <w:i w:val="0"/>
          <w:iCs w:val="0"/>
          <w:sz w:val="24"/>
          <w:szCs w:val="24"/>
          <w:lang w:val="en-US" w:eastAsia="zh-CN"/>
        </w:rPr>
        <w:t>23：59</w:t>
      </w:r>
      <w:r>
        <w:rPr>
          <w:rFonts w:hint="eastAsia" w:ascii="宋体" w:hAnsi="宋体" w:eastAsia="宋体" w:cs="宋体"/>
          <w:i w:val="0"/>
          <w:iCs w:val="0"/>
          <w:sz w:val="24"/>
          <w:szCs w:val="24"/>
        </w:rPr>
        <w:t>（北京时间，法定节假日除外）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地点：周口市公共资源交易</w:t>
      </w:r>
      <w:r>
        <w:rPr>
          <w:rFonts w:hint="eastAsia" w:ascii="宋体" w:hAnsi="宋体" w:eastAsia="宋体" w:cs="宋体"/>
          <w:i w:val="0"/>
          <w:iCs w:val="0"/>
          <w:sz w:val="24"/>
          <w:szCs w:val="24"/>
          <w:lang w:eastAsia="zh-CN"/>
        </w:rPr>
        <w:t>中心网</w:t>
      </w:r>
      <w:r>
        <w:rPr>
          <w:rFonts w:hint="eastAsia" w:ascii="宋体" w:hAnsi="宋体" w:eastAsia="宋体" w:cs="宋体"/>
          <w:i w:val="0"/>
          <w:iCs w:val="0"/>
          <w:sz w:val="24"/>
          <w:szCs w:val="24"/>
        </w:rPr>
        <w:t>（http://jyzx.zhoukou.gov.cn）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方式：供应商</w:t>
      </w:r>
      <w:r>
        <w:rPr>
          <w:rFonts w:hint="eastAsia" w:ascii="宋体" w:hAnsi="宋体" w:eastAsia="宋体" w:cs="宋体"/>
          <w:i w:val="0"/>
          <w:iCs w:val="0"/>
          <w:sz w:val="24"/>
          <w:szCs w:val="24"/>
          <w:lang w:val="en-US" w:eastAsia="zh-CN"/>
        </w:rPr>
        <w:t>请在网站自主注册后</w:t>
      </w:r>
      <w:r>
        <w:rPr>
          <w:rFonts w:hint="eastAsia" w:ascii="宋体" w:hAnsi="宋体" w:eastAsia="宋体" w:cs="宋体"/>
          <w:i w:val="0"/>
          <w:iCs w:val="0"/>
          <w:sz w:val="24"/>
          <w:szCs w:val="24"/>
        </w:rPr>
        <w:t>下载采购文件（zkzf格式）及资料</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需</w:t>
      </w:r>
      <w:r>
        <w:rPr>
          <w:rFonts w:hint="eastAsia" w:ascii="宋体" w:hAnsi="宋体" w:eastAsia="宋体" w:cs="宋体"/>
          <w:i w:val="0"/>
          <w:iCs w:val="0"/>
          <w:sz w:val="24"/>
          <w:szCs w:val="24"/>
          <w:lang w:val="en-US" w:eastAsia="zh-CN"/>
        </w:rPr>
        <w:t>办理</w:t>
      </w:r>
      <w:r>
        <w:rPr>
          <w:rFonts w:hint="eastAsia" w:ascii="宋体" w:hAnsi="宋体" w:eastAsia="宋体" w:cs="宋体"/>
          <w:i w:val="0"/>
          <w:iCs w:val="0"/>
          <w:sz w:val="24"/>
          <w:szCs w:val="24"/>
        </w:rPr>
        <w:t>CA数字证书</w:t>
      </w:r>
      <w:r>
        <w:rPr>
          <w:rFonts w:hint="eastAsia" w:ascii="宋体" w:hAnsi="宋体" w:eastAsia="宋体" w:cs="宋体"/>
          <w:i w:val="0"/>
          <w:iCs w:val="0"/>
          <w:sz w:val="24"/>
          <w:szCs w:val="24"/>
          <w:lang w:val="en-US" w:eastAsia="zh-CN"/>
        </w:rPr>
        <w:t>后方可提交响应文件</w:t>
      </w:r>
      <w:r>
        <w:rPr>
          <w:rFonts w:hint="eastAsia" w:ascii="宋体" w:hAnsi="宋体" w:eastAsia="宋体" w:cs="宋体"/>
          <w:i w:val="0"/>
          <w:iCs w:val="0"/>
          <w:sz w:val="24"/>
          <w:szCs w:val="24"/>
        </w:rPr>
        <w:t>，具体办理事宜请查阅周口市公共资源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rPr>
        <w:t>网站。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rPr>
        <w:t>售价：</w:t>
      </w:r>
      <w:r>
        <w:rPr>
          <w:rFonts w:hint="eastAsia" w:ascii="宋体" w:hAnsi="宋体" w:eastAsia="宋体" w:cs="宋体"/>
          <w:i w:val="0"/>
          <w:iCs w:val="0"/>
          <w:sz w:val="24"/>
          <w:szCs w:val="24"/>
          <w:lang w:val="en-US" w:eastAsia="zh-CN"/>
        </w:rPr>
        <w:t>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18" w:name="_Toc28359005"/>
      <w:bookmarkStart w:id="19" w:name="_Toc28359082"/>
      <w:bookmarkStart w:id="20" w:name="_Toc35393793"/>
      <w:bookmarkStart w:id="21" w:name="_Toc35393624"/>
      <w:r>
        <w:rPr>
          <w:rFonts w:hint="eastAsia" w:ascii="宋体" w:hAnsi="宋体" w:eastAsia="宋体" w:cs="宋体"/>
          <w:i w:val="0"/>
          <w:iCs w:val="0"/>
          <w:sz w:val="24"/>
          <w:szCs w:val="24"/>
        </w:rPr>
        <w:t>四、提交投标文件</w:t>
      </w:r>
      <w:bookmarkEnd w:id="18"/>
      <w:bookmarkEnd w:id="19"/>
      <w:r>
        <w:rPr>
          <w:rFonts w:hint="eastAsia" w:ascii="宋体" w:hAnsi="宋体" w:eastAsia="宋体" w:cs="宋体"/>
          <w:i w:val="0"/>
          <w:iCs w:val="0"/>
          <w:sz w:val="24"/>
          <w:szCs w:val="24"/>
        </w:rPr>
        <w:t>截止时间、开标时间和地点</w:t>
      </w:r>
      <w:bookmarkEnd w:id="20"/>
      <w:bookmarkEnd w:id="2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时间：</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6</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13</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宋体" w:hAnsi="宋体" w:eastAsia="宋体" w:cs="宋体"/>
          <w:i w:val="0"/>
          <w:iCs w:val="0"/>
          <w:sz w:val="24"/>
          <w:szCs w:val="24"/>
        </w:rPr>
        <w:t>（北京时间）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lang w:val="en-US"/>
        </w:rPr>
      </w:pPr>
      <w:r>
        <w:rPr>
          <w:rFonts w:hint="eastAsia" w:ascii="宋体" w:hAnsi="宋体" w:eastAsia="宋体" w:cs="宋体"/>
          <w:i w:val="0"/>
          <w:iCs w:val="0"/>
          <w:sz w:val="24"/>
          <w:szCs w:val="24"/>
        </w:rPr>
        <w:t>地点：周口市公共资源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lang w:val="en-US" w:eastAsia="zh-CN"/>
        </w:rPr>
        <w:t>开标室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22" w:name="_Toc28359084"/>
      <w:bookmarkStart w:id="23" w:name="_Toc35393794"/>
      <w:bookmarkStart w:id="24" w:name="_Toc35393625"/>
      <w:bookmarkStart w:id="25" w:name="_Toc28359007"/>
      <w:r>
        <w:rPr>
          <w:rFonts w:hint="eastAsia" w:ascii="宋体" w:hAnsi="宋体" w:eastAsia="宋体" w:cs="宋体"/>
          <w:i w:val="0"/>
          <w:iCs w:val="0"/>
          <w:sz w:val="24"/>
          <w:szCs w:val="24"/>
        </w:rPr>
        <w:t>五、公告期限</w:t>
      </w:r>
      <w:bookmarkEnd w:id="22"/>
      <w:bookmarkEnd w:id="23"/>
      <w:bookmarkEnd w:id="24"/>
      <w:bookmarkEnd w:id="2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自本公告发布之日起5个工作日。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bookmarkStart w:id="26" w:name="_Toc35393795"/>
      <w:bookmarkStart w:id="27" w:name="_Toc35393626"/>
      <w:r>
        <w:rPr>
          <w:rFonts w:hint="eastAsia" w:ascii="宋体" w:hAnsi="宋体" w:eastAsia="宋体" w:cs="宋体"/>
          <w:i w:val="0"/>
          <w:iCs w:val="0"/>
          <w:sz w:val="24"/>
          <w:szCs w:val="24"/>
        </w:rPr>
        <w:t>六、其他补充事宜</w:t>
      </w:r>
      <w:bookmarkEnd w:id="26"/>
      <w:bookmarkEnd w:id="2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bookmarkStart w:id="28" w:name="_Toc28359085"/>
      <w:bookmarkStart w:id="29" w:name="_Toc35393796"/>
      <w:bookmarkStart w:id="30" w:name="_Toc35393627"/>
      <w:bookmarkStart w:id="31" w:name="_Toc28359008"/>
      <w:r>
        <w:rPr>
          <w:rFonts w:hint="eastAsia" w:ascii="宋体" w:hAnsi="宋体" w:eastAsia="宋体" w:cs="宋体"/>
          <w:i w:val="0"/>
          <w:iCs w:val="0"/>
          <w:sz w:val="24"/>
          <w:szCs w:val="24"/>
          <w:lang w:val="en-US" w:eastAsia="zh-CN"/>
        </w:rPr>
        <w:t>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七、对本次招标提出询问，请按以下方式联系。</w:t>
      </w:r>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w:t>
      </w:r>
      <w:r>
        <w:rPr>
          <w:rFonts w:hint="eastAsia" w:ascii="宋体" w:hAnsi="宋体" w:eastAsia="宋体" w:cs="宋体"/>
          <w:i w:val="0"/>
          <w:iCs w:val="0"/>
          <w:sz w:val="24"/>
          <w:szCs w:val="24"/>
          <w:lang w:val="en-US" w:eastAsia="zh-CN"/>
        </w:rPr>
        <w:t>周口市博物馆</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地址：</w:t>
      </w:r>
      <w:r>
        <w:rPr>
          <w:rFonts w:hint="eastAsia" w:ascii="宋体" w:hAnsi="宋体" w:eastAsia="宋体" w:cs="宋体"/>
          <w:i w:val="0"/>
          <w:iCs w:val="0"/>
          <w:sz w:val="24"/>
          <w:szCs w:val="24"/>
          <w:lang w:val="en-US" w:eastAsia="zh-CN"/>
        </w:rPr>
        <w:t>周口市文昌街道文昌大道东段2号</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ascii="宋体" w:hAnsi="宋体" w:eastAsia="宋体" w:cs="宋体"/>
          <w:sz w:val="24"/>
        </w:rPr>
        <w:t>项目联系人：</w:t>
      </w:r>
      <w:r>
        <w:rPr>
          <w:rFonts w:hint="eastAsia" w:ascii="宋体" w:hAnsi="宋体" w:cs="宋体"/>
          <w:sz w:val="24"/>
          <w:lang w:val="en-US" w:eastAsia="zh-CN"/>
        </w:rPr>
        <w:t>姚磊</w:t>
      </w:r>
      <w:r>
        <w:rPr>
          <w:rFonts w:ascii="宋体" w:hAnsi="宋体" w:eastAsia="宋体" w:cs="宋体"/>
          <w:sz w:val="24"/>
        </w:rPr>
        <w:t xml:space="preserve">    联系方式：</w:t>
      </w:r>
      <w:r>
        <w:rPr>
          <w:rFonts w:hint="eastAsia" w:ascii="宋体" w:hAnsi="宋体" w:eastAsia="宋体" w:cs="宋体"/>
          <w:sz w:val="24"/>
          <w:lang w:val="en-US" w:eastAsia="zh-CN"/>
        </w:rPr>
        <w:t>1</w:t>
      </w:r>
      <w:r>
        <w:rPr>
          <w:rFonts w:hint="eastAsia" w:ascii="宋体" w:hAnsi="宋体" w:cs="宋体"/>
          <w:sz w:val="24"/>
          <w:lang w:val="en-US" w:eastAsia="zh-CN"/>
        </w:rPr>
        <w:t>8238969993</w:t>
      </w:r>
      <w:r>
        <w:rPr>
          <w:rFonts w:hint="eastAsia" w:ascii="宋体" w:hAnsi="宋体" w:eastAsia="宋体" w:cs="宋体"/>
          <w:i w:val="0"/>
          <w:iCs w:val="0"/>
          <w:sz w:val="24"/>
          <w:szCs w:val="24"/>
        </w:rPr>
        <w:t xml:space="preserve">　　　　　　　　　　　 </w:t>
      </w:r>
      <w:bookmarkStart w:id="32" w:name="_Toc28359086"/>
      <w:bookmarkStart w:id="33" w:name="_Toc2835900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bookmarkEnd w:id="32"/>
      <w:bookmarkEnd w:id="33"/>
    </w:p>
    <w:p>
      <w:pPr>
        <w:pStyle w:val="25"/>
        <w:adjustRightInd w:val="0"/>
        <w:snapToGrid w:val="0"/>
        <w:spacing w:line="360" w:lineRule="auto"/>
        <w:ind w:firstLine="480" w:firstLineChars="200"/>
        <w:rPr>
          <w:rFonts w:hint="eastAsia" w:ascii="宋体" w:hAnsi="宋体" w:eastAsia="宋体" w:cs="宋体"/>
          <w:i w:val="0"/>
          <w:iCs w:val="0"/>
          <w:sz w:val="24"/>
          <w:szCs w:val="24"/>
        </w:rPr>
      </w:pPr>
      <w:r>
        <w:rPr>
          <w:rFonts w:hint="eastAsia" w:ascii="宋体" w:hAnsi="宋体" w:eastAsia="宋体" w:cs="宋体"/>
          <w:i w:val="0"/>
          <w:iCs w:val="0"/>
          <w:sz w:val="24"/>
          <w:szCs w:val="24"/>
        </w:rPr>
        <w:t>名 称：</w:t>
      </w:r>
      <w:r>
        <w:rPr>
          <w:rFonts w:hint="eastAsia" w:ascii="宋体" w:hAnsi="宋体" w:eastAsia="宋体" w:cs="宋体"/>
          <w:sz w:val="24"/>
          <w:szCs w:val="24"/>
        </w:rPr>
        <w:t>周口市公共资源交易中心政府采购中心</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　址：周口市光明路与政通路交叉口</w:t>
      </w:r>
      <w:r>
        <w:rPr>
          <w:rFonts w:hint="eastAsia" w:ascii="宋体" w:hAnsi="宋体" w:eastAsia="宋体" w:cs="宋体"/>
          <w:i w:val="0"/>
          <w:iCs w:val="0"/>
          <w:sz w:val="24"/>
          <w:szCs w:val="24"/>
          <w:lang w:val="en-US" w:eastAsia="zh-CN"/>
        </w:rPr>
        <w:t>向北100米路东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 xml:space="preserve">项目联系人： </w:t>
      </w:r>
      <w:r>
        <w:rPr>
          <w:rFonts w:hint="eastAsia" w:ascii="宋体" w:hAnsi="宋体" w:cs="宋体"/>
          <w:i w:val="0"/>
          <w:iCs w:val="0"/>
          <w:sz w:val="24"/>
          <w:szCs w:val="24"/>
          <w:lang w:val="en-US" w:eastAsia="zh-CN"/>
        </w:rPr>
        <w:t>张光</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bookmarkStart w:id="34" w:name="_Toc28359087"/>
      <w:bookmarkStart w:id="35" w:name="_Toc28359010"/>
      <w:r>
        <w:rPr>
          <w:rFonts w:hint="eastAsia" w:ascii="宋体" w:hAnsi="宋体" w:cs="宋体"/>
          <w:i w:val="0"/>
          <w:iCs w:val="0"/>
          <w:sz w:val="24"/>
          <w:szCs w:val="24"/>
          <w:lang w:val="en-US" w:eastAsia="zh-CN"/>
        </w:rPr>
        <w:t>0394-8106517</w:t>
      </w:r>
      <w:r>
        <w:rPr>
          <w:rFonts w:hint="eastAsia" w:ascii="宋体" w:hAnsi="宋体" w:eastAsia="宋体" w:cs="宋体"/>
          <w:i w:val="0"/>
          <w:iCs w:val="0"/>
          <w:sz w:val="24"/>
          <w:szCs w:val="24"/>
        </w:rPr>
        <w:t>　　　　　　　　</w:t>
      </w:r>
    </w:p>
    <w:bookmarkEnd w:id="34"/>
    <w:bookmarkEnd w:id="35"/>
    <w:p>
      <w:pPr>
        <w:spacing w:line="360" w:lineRule="auto"/>
        <w:ind w:firstLine="480"/>
        <w:jc w:val="left"/>
        <w:rPr>
          <w:rFonts w:hint="default" w:ascii="宋体" w:hAnsi="宋体" w:eastAsia="宋体" w:cs="宋体"/>
          <w:sz w:val="24"/>
          <w:lang w:val="en-US" w:eastAsia="zh-CN"/>
        </w:rPr>
      </w:pPr>
      <w:r>
        <w:rPr>
          <w:rFonts w:ascii="宋体" w:hAnsi="宋体" w:eastAsia="宋体" w:cs="宋体"/>
          <w:sz w:val="24"/>
        </w:rPr>
        <w:t>3.监督单位：</w:t>
      </w:r>
      <w:r>
        <w:rPr>
          <w:rFonts w:hint="eastAsia" w:ascii="宋体" w:hAnsi="宋体" w:eastAsia="宋体" w:cs="宋体"/>
          <w:sz w:val="24"/>
          <w:lang w:val="en-US" w:eastAsia="zh-CN"/>
        </w:rPr>
        <w:t>周口市财政局政府采购监督管理科</w:t>
      </w:r>
    </w:p>
    <w:p>
      <w:pPr>
        <w:ind w:firstLine="720"/>
        <w:jc w:val="left"/>
        <w:rPr>
          <w:rFonts w:ascii="Times New Roman" w:hAnsi="Times New Roman" w:eastAsia="Times New Roman" w:cs="Times New Roman"/>
          <w:sz w:val="24"/>
        </w:rPr>
      </w:pPr>
      <w:r>
        <w:rPr>
          <w:rFonts w:ascii="宋体" w:hAnsi="宋体" w:eastAsia="宋体" w:cs="宋体"/>
          <w:sz w:val="24"/>
        </w:rPr>
        <w:t xml:space="preserve">联系方式： </w:t>
      </w:r>
      <w:r>
        <w:rPr>
          <w:rFonts w:hint="eastAsia" w:ascii="宋体" w:hAnsi="宋体" w:cs="宋体"/>
          <w:sz w:val="24"/>
        </w:rPr>
        <w:t xml:space="preserve"> </w:t>
      </w:r>
      <w:r>
        <w:rPr>
          <w:rFonts w:hint="eastAsia" w:ascii="宋体" w:hAnsi="宋体" w:cs="宋体"/>
          <w:sz w:val="24"/>
          <w:lang w:val="en-US" w:eastAsia="zh-CN"/>
        </w:rPr>
        <w:t>0394-8106976</w:t>
      </w:r>
    </w:p>
    <w:p>
      <w:pPr>
        <w:pStyle w:val="117"/>
        <w:ind w:firstLine="480" w:firstLineChars="200"/>
        <w:rPr>
          <w:rFonts w:hint="default"/>
          <w:lang w:val="en-US" w:eastAsia="zh-CN"/>
        </w:rPr>
      </w:pPr>
      <w:r>
        <w:rPr>
          <w:rFonts w:hint="eastAsia" w:ascii="宋体" w:hAnsi="宋体" w:eastAsia="宋体" w:cs="宋体"/>
          <w:i w:val="0"/>
          <w:iCs w:val="0"/>
          <w:sz w:val="24"/>
          <w:szCs w:val="24"/>
          <w:lang w:val="en-US" w:eastAsia="zh-CN"/>
        </w:rPr>
        <w:t xml:space="preserve">  </w:t>
      </w:r>
    </w:p>
    <w:p>
      <w:pPr>
        <w:pStyle w:val="117"/>
        <w:numPr>
          <w:ilvl w:val="0"/>
          <w:numId w:val="0"/>
        </w:numPr>
        <w:rPr>
          <w:rFonts w:hint="default"/>
          <w:lang w:val="en-US" w:eastAsia="zh-CN"/>
        </w:rPr>
      </w:pPr>
    </w:p>
    <w:p>
      <w:pPr>
        <w:pStyle w:val="25"/>
        <w:adjustRightInd w:val="0"/>
        <w:snapToGrid w:val="0"/>
        <w:spacing w:line="360" w:lineRule="auto"/>
        <w:ind w:firstLine="2040" w:firstLineChars="850"/>
        <w:rPr>
          <w:rFonts w:hint="eastAsia" w:ascii="宋体" w:hAnsi="宋体" w:eastAsia="宋体" w:cs="宋体"/>
          <w:sz w:val="24"/>
          <w:szCs w:val="24"/>
          <w:lang w:eastAsia="zh-CN"/>
        </w:rPr>
      </w:pPr>
      <w:r>
        <w:rPr>
          <w:rFonts w:hint="eastAsia" w:ascii="宋体" w:hAnsi="宋体" w:eastAsia="宋体" w:cs="宋体"/>
          <w:sz w:val="24"/>
          <w:szCs w:val="24"/>
        </w:rPr>
        <w:t>周口市公共资源交易中心政府采购中心</w:t>
      </w:r>
    </w:p>
    <w:p>
      <w:pPr>
        <w:pStyle w:val="50"/>
        <w:adjustRightInd w:val="0"/>
        <w:spacing w:line="360" w:lineRule="auto"/>
        <w:ind w:firstLine="3360" w:firstLineChars="1400"/>
        <w:rPr>
          <w:rFonts w:hint="eastAsia" w:ascii="宋体" w:hAnsi="宋体" w:eastAsia="宋体" w:cs="宋体"/>
        </w:rPr>
      </w:pP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color w:val="000000"/>
          <w:sz w:val="24"/>
          <w:szCs w:val="24"/>
          <w:lang w:val="en-US" w:eastAsia="zh-CN"/>
        </w:rPr>
        <w:t xml:space="preserve"> 5</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hint="eastAsia" w:ascii="宋体" w:hAnsi="宋体" w:cs="宋体"/>
          <w:sz w:val="24"/>
          <w:szCs w:val="24"/>
          <w:lang w:val="en-US" w:eastAsia="zh-CN"/>
        </w:rPr>
        <w:t>3</w:t>
      </w:r>
      <w:r>
        <w:rPr>
          <w:rFonts w:hint="eastAsia" w:ascii="宋体" w:hAnsi="宋体" w:eastAsia="宋体" w:cs="宋体"/>
          <w:color w:val="000000"/>
          <w:sz w:val="24"/>
          <w:szCs w:val="24"/>
          <w:lang w:val="en-US" w:eastAsia="zh-CN"/>
        </w:rPr>
        <w:t xml:space="preserve"> </w:t>
      </w:r>
      <w:r>
        <w:rPr>
          <w:rFonts w:hint="eastAsia" w:ascii="宋体" w:hAnsi="宋体" w:eastAsia="宋体" w:cs="宋体"/>
          <w:sz w:val="24"/>
          <w:szCs w:val="24"/>
        </w:rPr>
        <w:t>日</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　　　　　　　　</w:t>
      </w:r>
    </w:p>
    <w:p>
      <w:pPr>
        <w:widowControl/>
        <w:jc w:val="left"/>
        <w:rPr>
          <w:rFonts w:ascii="仿宋" w:hAnsi="仿宋" w:eastAsia="仿宋"/>
          <w:sz w:val="28"/>
          <w:szCs w:val="28"/>
        </w:rPr>
      </w:pPr>
    </w:p>
    <w:p>
      <w:pPr>
        <w:numPr>
          <w:ilvl w:val="0"/>
          <w:numId w:val="0"/>
        </w:numPr>
        <w:rPr>
          <w:rFonts w:hint="eastAsia"/>
        </w:rPr>
      </w:pPr>
    </w:p>
    <w:p>
      <w:pPr>
        <w:pStyle w:val="50"/>
        <w:adjustRightInd w:val="0"/>
        <w:spacing w:line="360" w:lineRule="auto"/>
        <w:rPr>
          <w:rFonts w:hint="eastAsia" w:ascii="宋体" w:hAnsi="宋体" w:eastAsia="宋体" w:cs="宋体"/>
        </w:rPr>
      </w:pPr>
      <w:bookmarkStart w:id="36" w:name="OLE_LINK5"/>
      <w:bookmarkStart w:id="37" w:name="_Hlt510343011"/>
      <w:bookmarkStart w:id="38" w:name="_Hlt510342998"/>
      <w:bookmarkStart w:id="39" w:name="_Toc7329_WPSOffice_Level1"/>
    </w:p>
    <w:p>
      <w:pPr>
        <w:pStyle w:val="50"/>
        <w:adjustRightInd w:val="0"/>
        <w:spacing w:line="360" w:lineRule="auto"/>
        <w:rPr>
          <w:rFonts w:hint="eastAsia" w:ascii="宋体" w:hAnsi="宋体" w:eastAsia="宋体" w:cs="宋体"/>
        </w:rPr>
      </w:pPr>
    </w:p>
    <w:p>
      <w:pPr>
        <w:pStyle w:val="50"/>
        <w:adjustRightInd w:val="0"/>
        <w:spacing w:line="360" w:lineRule="auto"/>
        <w:rPr>
          <w:rFonts w:hint="eastAsia" w:ascii="宋体" w:hAnsi="宋体" w:eastAsia="宋体" w:cs="宋体"/>
        </w:rPr>
      </w:pPr>
    </w:p>
    <w:bookmarkEnd w:id="36"/>
    <w:p>
      <w:pPr>
        <w:pStyle w:val="50"/>
        <w:adjustRightInd w:val="0"/>
        <w:spacing w:line="360" w:lineRule="auto"/>
        <w:rPr>
          <w:rFonts w:hint="eastAsia" w:ascii="宋体" w:hAnsi="宋体" w:eastAsia="宋体" w:cs="宋体"/>
          <w:lang w:eastAsia="zh-CN"/>
        </w:rPr>
      </w:pPr>
    </w:p>
    <w:p>
      <w:pPr>
        <w:pStyle w:val="50"/>
        <w:adjustRightInd w:val="0"/>
        <w:spacing w:line="360" w:lineRule="auto"/>
        <w:rPr>
          <w:rFonts w:hint="eastAsia" w:ascii="宋体" w:hAnsi="宋体" w:eastAsia="宋体" w:cs="宋体"/>
          <w:lang w:eastAsia="zh-CN"/>
        </w:rPr>
      </w:pPr>
    </w:p>
    <w:p>
      <w:pPr>
        <w:pStyle w:val="50"/>
        <w:adjustRightInd w:val="0"/>
        <w:spacing w:line="360" w:lineRule="auto"/>
        <w:rPr>
          <w:rFonts w:hint="eastAsia" w:ascii="宋体" w:hAnsi="宋体" w:eastAsia="宋体" w:cs="宋体"/>
        </w:rPr>
      </w:pPr>
    </w:p>
    <w:p>
      <w:pPr>
        <w:pStyle w:val="50"/>
        <w:adjustRightInd w:val="0"/>
        <w:spacing w:line="360" w:lineRule="auto"/>
        <w:rPr>
          <w:rFonts w:hint="eastAsia" w:ascii="宋体" w:hAnsi="宋体" w:eastAsia="宋体" w:cs="宋体"/>
        </w:rPr>
      </w:pPr>
    </w:p>
    <w:p>
      <w:pPr>
        <w:pStyle w:val="50"/>
        <w:adjustRightInd w:val="0"/>
        <w:spacing w:line="360" w:lineRule="auto"/>
        <w:rPr>
          <w:rFonts w:hint="eastAsia" w:ascii="宋体" w:hAnsi="宋体" w:eastAsia="宋体" w:cs="宋体"/>
          <w:lang w:eastAsia="zh-CN"/>
        </w:rPr>
      </w:pPr>
    </w:p>
    <w:p>
      <w:pPr>
        <w:pStyle w:val="3"/>
        <w:ind w:firstLine="0"/>
        <w:rPr>
          <w:rFonts w:hint="eastAsia" w:ascii="宋体" w:hAnsi="宋体" w:eastAsia="宋体" w:cs="宋体"/>
          <w:lang w:eastAsia="zh-CN"/>
        </w:rPr>
      </w:pPr>
      <w:bookmarkStart w:id="40" w:name="_Toc8586"/>
      <w:r>
        <w:rPr>
          <w:rFonts w:hint="eastAsia" w:ascii="宋体" w:hAnsi="宋体" w:eastAsia="宋体" w:cs="宋体"/>
        </w:rPr>
        <w:t>第二章 投标人须</w:t>
      </w:r>
      <w:bookmarkEnd w:id="37"/>
      <w:r>
        <w:rPr>
          <w:rFonts w:hint="eastAsia" w:ascii="宋体" w:hAnsi="宋体" w:eastAsia="宋体" w:cs="宋体"/>
        </w:rPr>
        <w:t>知前</w:t>
      </w:r>
      <w:bookmarkEnd w:id="38"/>
      <w:r>
        <w:rPr>
          <w:rFonts w:hint="eastAsia" w:ascii="宋体" w:hAnsi="宋体" w:eastAsia="宋体" w:cs="宋体"/>
        </w:rPr>
        <w:t>附表</w:t>
      </w:r>
      <w:bookmarkEnd w:id="39"/>
      <w:bookmarkEnd w:id="40"/>
    </w:p>
    <w:tbl>
      <w:tblPr>
        <w:tblStyle w:val="71"/>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185"/>
        <w:gridCol w:w="6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序号</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内容</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采购人</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i w:val="0"/>
                <w:iCs w:val="0"/>
                <w:sz w:val="24"/>
                <w:szCs w:val="24"/>
                <w:lang w:val="en-US" w:eastAsia="zh-CN"/>
              </w:rPr>
              <w:t>周口市博物馆</w:t>
            </w:r>
            <w:r>
              <w:rPr>
                <w:rFonts w:hint="eastAsia" w:ascii="宋体" w:hAnsi="宋体" w:eastAsia="宋体" w:cs="宋体"/>
                <w:i w:val="0"/>
                <w:iCs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2</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委托人</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i w:val="0"/>
                <w:iCs w:val="0"/>
                <w:sz w:val="24"/>
                <w:szCs w:val="24"/>
                <w:lang w:val="en-US" w:eastAsia="zh-CN"/>
              </w:rPr>
              <w:t>周口市博物馆</w:t>
            </w:r>
            <w:r>
              <w:rPr>
                <w:rFonts w:hint="eastAsia" w:ascii="宋体" w:hAnsi="宋体" w:eastAsia="宋体" w:cs="宋体"/>
                <w:i w:val="0"/>
                <w:iCs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3</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采购代理机构</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名  称：周口市公共资源交易中心政府采购中心</w:t>
            </w:r>
          </w:p>
          <w:p>
            <w:pPr>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i w:val="0"/>
                <w:iCs w:val="0"/>
                <w:sz w:val="24"/>
                <w:szCs w:val="24"/>
              </w:rPr>
              <w:t>周口市光明路与政通路交叉口</w:t>
            </w:r>
            <w:r>
              <w:rPr>
                <w:rFonts w:hint="eastAsia" w:ascii="宋体" w:hAnsi="宋体" w:eastAsia="宋体" w:cs="宋体"/>
                <w:i w:val="0"/>
                <w:iCs w:val="0"/>
                <w:sz w:val="24"/>
                <w:szCs w:val="24"/>
                <w:lang w:val="en-US" w:eastAsia="zh-CN"/>
              </w:rPr>
              <w:t>向北100米路东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4</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项目名称</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i w:val="0"/>
                <w:iCs w:val="0"/>
                <w:sz w:val="24"/>
                <w:szCs w:val="24"/>
                <w:lang w:val="en-US" w:eastAsia="zh-CN"/>
              </w:rPr>
              <w:t>周口市博物馆可移动文物预防性保护项目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5</w:t>
            </w:r>
          </w:p>
        </w:tc>
        <w:tc>
          <w:tcPr>
            <w:tcW w:w="2185" w:type="dxa"/>
            <w:noWrap w:val="0"/>
            <w:vAlign w:val="center"/>
          </w:tcPr>
          <w:p>
            <w:pPr>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项目编号</w:t>
            </w:r>
          </w:p>
        </w:tc>
        <w:tc>
          <w:tcPr>
            <w:tcW w:w="6152" w:type="dxa"/>
            <w:noWrap w:val="0"/>
            <w:vAlign w:val="center"/>
          </w:tcPr>
          <w:p>
            <w:pPr>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周财招标采购-2024-20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6</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项目性质</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服务</w:t>
            </w:r>
            <w:r>
              <w:rPr>
                <w:rFonts w:hint="eastAsia" w:ascii="宋体" w:hAnsi="宋体" w:eastAsia="宋体" w:cs="宋体"/>
                <w:sz w:val="24"/>
                <w:szCs w:val="24"/>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7</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资金来源</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8</w:t>
            </w:r>
          </w:p>
        </w:tc>
        <w:tc>
          <w:tcPr>
            <w:tcW w:w="2185" w:type="dxa"/>
            <w:noWrap w:val="0"/>
            <w:vAlign w:val="top"/>
          </w:tcPr>
          <w:p>
            <w:pPr>
              <w:rPr>
                <w:rFonts w:hint="eastAsia" w:ascii="宋体" w:hAnsi="宋体" w:eastAsia="宋体" w:cs="宋体"/>
                <w:sz w:val="24"/>
                <w:szCs w:val="24"/>
              </w:rPr>
            </w:pPr>
            <w:r>
              <w:rPr>
                <w:rFonts w:hint="eastAsia" w:ascii="宋体" w:hAnsi="宋体" w:eastAsia="宋体" w:cs="宋体"/>
                <w:sz w:val="24"/>
                <w:szCs w:val="24"/>
              </w:rPr>
              <w:t>包别划分</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本次招标为</w:t>
            </w:r>
            <w:r>
              <w:rPr>
                <w:rFonts w:hint="eastAsia" w:ascii="宋体" w:hAnsi="宋体" w:eastAsia="宋体" w:cs="宋体"/>
                <w:color w:val="000000"/>
                <w:sz w:val="24"/>
                <w:szCs w:val="24"/>
                <w:lang w:val="en-US" w:eastAsia="zh-CN"/>
              </w:rPr>
              <w:t>1</w:t>
            </w:r>
            <w:r>
              <w:rPr>
                <w:rFonts w:hint="eastAsia" w:ascii="宋体" w:hAnsi="宋体" w:eastAsia="宋体" w:cs="宋体"/>
                <w:sz w:val="24"/>
                <w:szCs w:val="24"/>
              </w:rPr>
              <w:t>个包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9</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付款方式</w:t>
            </w:r>
          </w:p>
        </w:tc>
        <w:tc>
          <w:tcPr>
            <w:tcW w:w="6152" w:type="dxa"/>
            <w:noWrap w:val="0"/>
            <w:vAlign w:val="center"/>
          </w:tcPr>
          <w:p>
            <w:pPr>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详细付款方式：</w:t>
            </w:r>
          </w:p>
          <w:p>
            <w:pPr>
              <w:ind w:firstLine="480" w:firstLineChars="200"/>
              <w:rPr>
                <w:rFonts w:hint="default" w:ascii="宋体" w:hAnsi="宋体" w:eastAsia="宋体" w:cs="宋体"/>
                <w:lang w:val="en-US" w:eastAsia="zh-CN"/>
              </w:rPr>
            </w:pPr>
            <w:r>
              <w:rPr>
                <w:rFonts w:hint="eastAsia" w:ascii="宋体" w:hAnsi="宋体" w:eastAsia="宋体" w:cs="宋体"/>
                <w:i w:val="0"/>
                <w:iCs w:val="0"/>
                <w:sz w:val="24"/>
                <w:szCs w:val="24"/>
                <w:lang w:val="en-US" w:eastAsia="zh-CN"/>
              </w:rPr>
              <w:t>合同签订后付合同总价款的50%，验收合格后付合同总价款的47%，合同期满一年后付合同总价款的3%.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10</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联合体投标</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11</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投标有效期</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开标后60天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12</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服务</w:t>
            </w:r>
            <w:r>
              <w:rPr>
                <w:rFonts w:hint="eastAsia" w:ascii="宋体" w:hAnsi="宋体" w:eastAsia="宋体" w:cs="宋体"/>
                <w:sz w:val="24"/>
                <w:szCs w:val="24"/>
              </w:rPr>
              <w:t>地点</w:t>
            </w:r>
          </w:p>
        </w:tc>
        <w:tc>
          <w:tcPr>
            <w:tcW w:w="6152" w:type="dxa"/>
            <w:noWrap w:val="0"/>
            <w:vAlign w:val="center"/>
          </w:tcPr>
          <w:p>
            <w:pPr>
              <w:rPr>
                <w:rFonts w:hint="eastAsia" w:ascii="宋体" w:hAnsi="宋体" w:eastAsia="宋体" w:cs="宋体"/>
                <w:b/>
                <w:bCs/>
                <w:sz w:val="24"/>
                <w:szCs w:val="24"/>
              </w:rPr>
            </w:pPr>
            <w:r>
              <w:rPr>
                <w:rFonts w:hint="eastAsia" w:ascii="宋体" w:hAnsi="宋体" w:eastAsia="宋体" w:cs="宋体"/>
                <w:sz w:val="24"/>
                <w:szCs w:val="24"/>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627"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13</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服务</w:t>
            </w:r>
            <w:r>
              <w:rPr>
                <w:rFonts w:hint="eastAsia" w:ascii="宋体" w:hAnsi="宋体" w:eastAsia="宋体" w:cs="宋体"/>
                <w:sz w:val="24"/>
                <w:szCs w:val="24"/>
              </w:rPr>
              <w:t>期限</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合同签订后</w:t>
            </w:r>
            <w:r>
              <w:rPr>
                <w:rFonts w:hint="eastAsia" w:ascii="宋体" w:hAnsi="宋体" w:eastAsia="宋体" w:cs="宋体"/>
                <w:sz w:val="24"/>
                <w:szCs w:val="24"/>
                <w:lang w:val="en-US" w:eastAsia="zh-CN"/>
              </w:rPr>
              <w:t>90</w:t>
            </w:r>
            <w:r>
              <w:rPr>
                <w:rFonts w:hint="eastAsia" w:ascii="宋体" w:hAnsi="宋体" w:eastAsia="宋体" w:cs="宋体"/>
                <w:sz w:val="24"/>
                <w:szCs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blHeader/>
          <w:jc w:val="center"/>
        </w:trPr>
        <w:tc>
          <w:tcPr>
            <w:tcW w:w="627"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投标保证金金额</w:t>
            </w:r>
          </w:p>
        </w:tc>
        <w:tc>
          <w:tcPr>
            <w:tcW w:w="6152" w:type="dxa"/>
            <w:noWrap w:val="0"/>
            <w:vAlign w:val="center"/>
          </w:tcPr>
          <w:p>
            <w:pPr>
              <w:rPr>
                <w:rFonts w:hint="eastAsia"/>
                <w:lang w:eastAsia="zh-CN"/>
              </w:rPr>
            </w:pPr>
            <w:r>
              <w:rPr>
                <w:rFonts w:hint="eastAsia" w:ascii="宋体" w:hAnsi="宋体" w:eastAsia="宋体" w:cs="宋体"/>
                <w:sz w:val="24"/>
                <w:szCs w:val="24"/>
              </w:rPr>
              <w:t>不需要缴纳投标保证金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627"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答疑</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疑问的提出与答疑获取详见招标文件第二部分第五章投标人须知第36条。</w:t>
            </w:r>
          </w:p>
          <w:p>
            <w:pPr>
              <w:rPr>
                <w:rFonts w:hint="eastAsia" w:ascii="宋体" w:hAnsi="宋体" w:eastAsia="宋体" w:cs="宋体"/>
                <w:sz w:val="24"/>
                <w:szCs w:val="24"/>
              </w:rPr>
            </w:pPr>
            <w:r>
              <w:rPr>
                <w:rFonts w:hint="eastAsia" w:ascii="宋体" w:hAnsi="宋体" w:eastAsia="宋体" w:cs="宋体"/>
                <w:sz w:val="24"/>
                <w:szCs w:val="24"/>
              </w:rPr>
              <w:t>周口市公共资源交易中心政府采购中心对招标文件进行的澄清、更正或更改，将在网站上及时发布，该公告内容为招标文件的组成部分，对投标人具有同样约束力效力。投标人应主动上网查询。周口市公共资源交易中心政府采购中心不承担投标人未及时关注相关信息引发的相关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tblHeader/>
          <w:jc w:val="center"/>
        </w:trPr>
        <w:tc>
          <w:tcPr>
            <w:tcW w:w="627"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勘察现场</w:t>
            </w:r>
          </w:p>
        </w:tc>
        <w:tc>
          <w:tcPr>
            <w:tcW w:w="6152" w:type="dxa"/>
            <w:noWrap w:val="0"/>
            <w:vAlign w:val="center"/>
          </w:tcPr>
          <w:p>
            <w:pPr>
              <w:rPr>
                <w:rFonts w:hint="eastAsia" w:ascii="宋体" w:hAnsi="宋体" w:eastAsia="宋体" w:cs="宋体"/>
                <w:sz w:val="24"/>
                <w:lang w:val="en-US" w:eastAsia="zh-CN"/>
              </w:rPr>
            </w:pPr>
            <w:r>
              <w:rPr>
                <w:rFonts w:hint="eastAsia" w:ascii="宋体" w:hAnsi="宋体" w:eastAsia="宋体" w:cs="宋体"/>
                <w:sz w:val="24"/>
              </w:rPr>
              <w:t>为避免供应商盲目投标，确保项目顺利实施，请合格的供应商在下载采购文件截止后的第一个工作日内及时到现场</w:t>
            </w:r>
            <w:r>
              <w:rPr>
                <w:rFonts w:hint="eastAsia" w:ascii="宋体" w:hAnsi="宋体" w:eastAsia="宋体" w:cs="宋体"/>
                <w:sz w:val="24"/>
                <w:lang w:eastAsia="zh-CN"/>
              </w:rPr>
              <w:t>，进行实地勘查，</w:t>
            </w:r>
            <w:r>
              <w:rPr>
                <w:rFonts w:hint="eastAsia" w:ascii="宋体" w:hAnsi="宋体" w:eastAsia="宋体" w:cs="宋体"/>
                <w:sz w:val="24"/>
              </w:rPr>
              <w:t>以便获取有关编制投标文件所涉及现场的资料</w:t>
            </w:r>
            <w:r>
              <w:rPr>
                <w:rFonts w:hint="eastAsia" w:ascii="宋体" w:hAnsi="宋体" w:eastAsia="宋体" w:cs="宋体"/>
                <w:sz w:val="24"/>
                <w:lang w:eastAsia="zh-CN"/>
              </w:rPr>
              <w:t>。</w:t>
            </w:r>
            <w:r>
              <w:rPr>
                <w:rFonts w:hint="eastAsia" w:ascii="宋体" w:hAnsi="宋体" w:eastAsia="宋体" w:cs="宋体"/>
                <w:sz w:val="24"/>
                <w:lang w:val="en-US" w:eastAsia="zh-CN"/>
              </w:rPr>
              <w:t>具体如下：</w:t>
            </w:r>
          </w:p>
          <w:p>
            <w:pPr>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了解博物馆的历史、文化背景以及文物的特点</w:t>
            </w:r>
            <w:r>
              <w:rPr>
                <w:rFonts w:hint="eastAsia" w:ascii="宋体" w:hAnsi="宋体" w:eastAsia="宋体" w:cs="宋体"/>
                <w:sz w:val="24"/>
                <w:lang w:val="en-US" w:eastAsia="zh-CN"/>
              </w:rPr>
              <w:t>等</w:t>
            </w:r>
            <w:r>
              <w:rPr>
                <w:rFonts w:hint="eastAsia" w:ascii="宋体" w:hAnsi="宋体" w:eastAsia="宋体" w:cs="宋体"/>
                <w:sz w:val="24"/>
              </w:rPr>
              <w:t>。</w:t>
            </w:r>
          </w:p>
          <w:p>
            <w:pPr>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了解施工区域在博物馆内的具体位置，评估其与文物展区的相对距离，以及施工区域内部的布局和通道情况。</w:t>
            </w:r>
          </w:p>
          <w:p>
            <w:pPr>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了解施工区域的大小、形状、布局等，评估施工设备的进出、材料的堆放等是否便利。</w:t>
            </w:r>
          </w:p>
          <w:p>
            <w:pPr>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识别施工过程中可能存在的风险点，制定相应的风险应对措施。</w:t>
            </w:r>
          </w:p>
          <w:p>
            <w:pPr>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拍摄现场照片和视频，记录文物的状态、环境等细节。</w:t>
            </w:r>
          </w:p>
          <w:p>
            <w:pPr>
              <w:rPr>
                <w:rFonts w:hint="eastAsia" w:ascii="宋体" w:hAnsi="宋体" w:eastAsia="宋体" w:cs="宋体"/>
                <w:sz w:val="24"/>
              </w:rPr>
            </w:pPr>
            <w:r>
              <w:rPr>
                <w:rFonts w:hint="eastAsia" w:ascii="宋体" w:hAnsi="宋体" w:eastAsia="宋体" w:cs="宋体"/>
                <w:sz w:val="24"/>
              </w:rPr>
              <w:t>整理现场踏勘过程中收集的数据和信息，为投标方案的制定提供依据。</w:t>
            </w:r>
          </w:p>
          <w:p>
            <w:pPr>
              <w:rPr>
                <w:rFonts w:hint="eastAsia" w:ascii="宋体" w:hAnsi="宋体" w:eastAsia="宋体" w:cs="宋体"/>
                <w:sz w:val="24"/>
                <w:szCs w:val="24"/>
                <w:lang w:val="en-US" w:eastAsia="zh-CN"/>
              </w:rPr>
            </w:pPr>
            <w:r>
              <w:rPr>
                <w:rFonts w:hint="eastAsia" w:ascii="宋体" w:hAnsi="宋体" w:eastAsia="宋体" w:cs="宋体"/>
                <w:sz w:val="24"/>
              </w:rPr>
              <w:t>通过以上内容的踏勘与评估，投标方可以更加全面地了解项目的实际情况和需求，从而制定更加精准、可行的投标方案</w:t>
            </w:r>
            <w:r>
              <w:rPr>
                <w:rFonts w:hint="eastAsia" w:ascii="宋体" w:hAnsi="宋体" w:eastAsia="宋体" w:cs="宋体"/>
                <w:sz w:val="24"/>
                <w:lang w:eastAsia="zh-CN"/>
              </w:rPr>
              <w:t>，勘查现场由供应商自行与采</w:t>
            </w:r>
            <w:r>
              <w:rPr>
                <w:rFonts w:hint="eastAsia" w:ascii="宋体" w:hAnsi="宋体" w:eastAsia="宋体" w:cs="宋体"/>
                <w:sz w:val="24"/>
              </w:rPr>
              <w:t>购人联系</w:t>
            </w:r>
            <w:r>
              <w:rPr>
                <w:rFonts w:hint="eastAsia" w:ascii="宋体" w:hAnsi="宋体" w:eastAsia="宋体" w:cs="宋体"/>
                <w:sz w:val="24"/>
                <w:lang w:eastAsia="zh-CN"/>
              </w:rPr>
              <w:t>（</w:t>
            </w:r>
            <w:r>
              <w:rPr>
                <w:rFonts w:ascii="宋体" w:hAnsi="宋体" w:eastAsia="宋体" w:cs="宋体"/>
                <w:sz w:val="24"/>
              </w:rPr>
              <w:t>联系人：</w:t>
            </w:r>
            <w:r>
              <w:rPr>
                <w:rFonts w:hint="eastAsia" w:ascii="宋体" w:hAnsi="宋体" w:cs="宋体"/>
                <w:sz w:val="24"/>
                <w:lang w:val="en-US" w:eastAsia="zh-CN"/>
              </w:rPr>
              <w:t>姚磊</w:t>
            </w:r>
            <w:r>
              <w:rPr>
                <w:rFonts w:ascii="宋体" w:hAnsi="宋体" w:eastAsia="宋体" w:cs="宋体"/>
                <w:sz w:val="24"/>
              </w:rPr>
              <w:t xml:space="preserve">    联系方式：</w:t>
            </w:r>
            <w:r>
              <w:rPr>
                <w:rFonts w:hint="eastAsia" w:ascii="宋体" w:hAnsi="宋体" w:eastAsia="宋体" w:cs="宋体"/>
                <w:sz w:val="24"/>
                <w:lang w:val="en-US" w:eastAsia="zh-CN"/>
              </w:rPr>
              <w:t>1</w:t>
            </w:r>
            <w:r>
              <w:rPr>
                <w:rFonts w:hint="eastAsia" w:ascii="宋体" w:hAnsi="宋体" w:cs="宋体"/>
                <w:sz w:val="24"/>
                <w:lang w:val="en-US" w:eastAsia="zh-CN"/>
              </w:rPr>
              <w:t>8238969993</w:t>
            </w:r>
            <w:r>
              <w:rPr>
                <w:rFonts w:hint="eastAsia" w:ascii="宋体" w:hAnsi="宋体" w:eastAsia="宋体" w:cs="宋体"/>
                <w:sz w:val="24"/>
                <w:lang w:val="en-US" w:eastAsia="zh-CN"/>
              </w:rPr>
              <w:t>）。</w:t>
            </w:r>
            <w:r>
              <w:rPr>
                <w:rFonts w:hint="eastAsia" w:ascii="宋体" w:hAnsi="宋体" w:eastAsia="宋体" w:cs="宋体"/>
                <w:sz w:val="24"/>
              </w:rPr>
              <w:t>经采购单位证实供应商确实已到现场勘查，供应商将证明原件放在投标响应文件中（电子标为原件扫描件）。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627"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7</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投标文件</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1、投标文件为使用周口市公共资源交易中心提供的电子标书制作工具软件（</w:t>
            </w:r>
            <w:r>
              <w:rPr>
                <w:rFonts w:hint="eastAsia" w:ascii="宋体" w:hAnsi="宋体" w:eastAsia="宋体" w:cs="宋体"/>
                <w:color w:val="000000"/>
              </w:rPr>
              <w:t>http://jyzx.zhoukou.gov.cn</w:t>
            </w:r>
            <w:r>
              <w:rPr>
                <w:rFonts w:hint="eastAsia" w:ascii="宋体" w:hAnsi="宋体" w:eastAsia="宋体" w:cs="宋体"/>
                <w:sz w:val="24"/>
                <w:szCs w:val="24"/>
              </w:rPr>
              <w:t>网上下载）制作生成的电子加密文件，应在投标截止时间前通过周口市公共资源交易中心会员系统上传。投标截止时间前不上传电子投标文件或者在开标时间不进行电子投标文件解密，均视为自动放弃投标。</w:t>
            </w:r>
          </w:p>
          <w:p>
            <w:pPr>
              <w:pStyle w:val="50"/>
              <w:rPr>
                <w:rFonts w:hint="eastAsia" w:ascii="宋体" w:hAnsi="宋体" w:eastAsia="宋体" w:cs="宋体"/>
                <w:lang w:val="en-US" w:eastAsia="zh-CN"/>
              </w:rPr>
            </w:pPr>
            <w:r>
              <w:rPr>
                <w:rFonts w:hint="eastAsia" w:ascii="宋体" w:hAnsi="宋体" w:eastAsia="宋体" w:cs="宋体"/>
                <w:sz w:val="24"/>
                <w:szCs w:val="24"/>
                <w:lang w:val="en-US" w:eastAsia="zh-CN"/>
              </w:rPr>
              <w:t>2、本项目实行网上远程开标无须到现场提交响应文件，未加密的电子投标文件和纸质文件不再提交。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627"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8</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投标时间及地点</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投标截止时间：</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6</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13</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r>
              <w:rPr>
                <w:rFonts w:hint="eastAsia" w:ascii="宋体" w:hAnsi="宋体" w:eastAsia="宋体" w:cs="宋体"/>
                <w:sz w:val="24"/>
                <w:szCs w:val="24"/>
              </w:rPr>
              <w:t xml:space="preserve">（见招标公告）      </w:t>
            </w:r>
          </w:p>
          <w:p>
            <w:pPr>
              <w:rPr>
                <w:rFonts w:hint="eastAsia" w:ascii="宋体" w:hAnsi="宋体" w:eastAsia="宋体"/>
                <w:sz w:val="24"/>
                <w:lang w:val="en-US" w:eastAsia="zh-CN"/>
              </w:rPr>
            </w:pPr>
            <w:r>
              <w:rPr>
                <w:rFonts w:hint="eastAsia" w:ascii="宋体" w:hAnsi="宋体" w:eastAsia="宋体" w:cs="宋体"/>
                <w:sz w:val="24"/>
                <w:szCs w:val="24"/>
              </w:rPr>
              <w:t>标书递交地点：</w:t>
            </w:r>
            <w:r>
              <w:rPr>
                <w:rFonts w:hint="eastAsia" w:ascii="宋体" w:hAnsi="宋体"/>
                <w:sz w:val="24"/>
              </w:rPr>
              <w:t>周口市公共资源交易中心</w:t>
            </w:r>
            <w:r>
              <w:rPr>
                <w:rFonts w:hint="eastAsia" w:ascii="宋体" w:hAnsi="宋体"/>
                <w:sz w:val="24"/>
                <w:lang w:val="en-US" w:eastAsia="zh-CN"/>
              </w:rPr>
              <w:t>网</w:t>
            </w:r>
          </w:p>
          <w:p>
            <w:pPr>
              <w:rPr>
                <w:rFonts w:hint="eastAsia" w:ascii="宋体" w:hAnsi="宋体" w:eastAsia="宋体" w:cs="宋体"/>
                <w:sz w:val="24"/>
                <w:szCs w:val="24"/>
                <w:lang w:val="en-US" w:eastAsia="zh-CN"/>
              </w:rPr>
            </w:pPr>
            <w:r>
              <w:rPr>
                <w:rFonts w:hint="eastAsia" w:ascii="宋体" w:hAnsi="宋体"/>
                <w:sz w:val="24"/>
              </w:rPr>
              <w:t>网址：周口市公共资源电子交易服务平台会员系统（网址</w:t>
            </w:r>
            <w:r>
              <w:rPr>
                <w:rFonts w:hint="eastAsia" w:ascii="宋体" w:hAnsi="宋体" w:eastAsia="宋体"/>
                <w:color w:val="000000"/>
              </w:rPr>
              <w:t>http://jyzx.zhoukou.gov.cn</w:t>
            </w:r>
            <w:r>
              <w:rPr>
                <w:rFonts w:hint="eastAsia" w:ascii="宋体" w:hAnsi="宋体" w:eastAsia="宋体"/>
                <w:color w:val="000000"/>
                <w:lang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rPr>
              <w:t>（本项目实行网上远程开标无须到现场提交响应文件）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blHeader/>
          <w:jc w:val="center"/>
        </w:trPr>
        <w:tc>
          <w:tcPr>
            <w:tcW w:w="627" w:type="dxa"/>
            <w:noWrap w:val="0"/>
            <w:vAlign w:val="center"/>
          </w:tcPr>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开标时间及地点</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开标时间：</w:t>
            </w:r>
            <w:r>
              <w:rPr>
                <w:rFonts w:hint="eastAsia" w:ascii="宋体" w:hAnsi="宋体" w:cs="宋体"/>
                <w:i w:val="0"/>
                <w:iCs w:val="0"/>
                <w:sz w:val="24"/>
                <w:szCs w:val="24"/>
                <w:lang w:val="en-US" w:eastAsia="zh-CN"/>
              </w:rPr>
              <w:t>2024</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6</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13</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w:t>
            </w:r>
            <w:bookmarkStart w:id="221" w:name="_GoBack"/>
            <w:bookmarkEnd w:id="221"/>
            <w:r>
              <w:rPr>
                <w:rFonts w:hint="eastAsia" w:ascii="宋体" w:hAnsi="宋体" w:eastAsia="宋体" w:cs="宋体"/>
                <w:sz w:val="24"/>
                <w:szCs w:val="24"/>
              </w:rPr>
              <w:t xml:space="preserve">（见招标公告）      </w:t>
            </w:r>
          </w:p>
          <w:p>
            <w:pPr>
              <w:ind w:left="360" w:hanging="360" w:hangingChars="150"/>
              <w:rPr>
                <w:rFonts w:hint="default" w:ascii="宋体" w:hAnsi="宋体" w:eastAsia="宋体" w:cs="宋体"/>
                <w:sz w:val="24"/>
                <w:szCs w:val="24"/>
                <w:lang w:val="en-US" w:eastAsia="zh-CN"/>
              </w:rPr>
            </w:pPr>
            <w:r>
              <w:rPr>
                <w:rFonts w:hint="eastAsia" w:ascii="宋体" w:hAnsi="宋体" w:eastAsia="宋体" w:cs="宋体"/>
                <w:sz w:val="24"/>
                <w:szCs w:val="24"/>
              </w:rPr>
              <w:t>开标地点：</w:t>
            </w:r>
            <w:r>
              <w:rPr>
                <w:rFonts w:hint="eastAsia" w:ascii="宋体" w:hAnsi="宋体" w:eastAsia="宋体" w:cs="宋体"/>
                <w:i w:val="0"/>
                <w:iCs w:val="0"/>
                <w:sz w:val="24"/>
                <w:szCs w:val="24"/>
              </w:rPr>
              <w:t>周口市光明路与政通路交叉口</w:t>
            </w:r>
            <w:r>
              <w:rPr>
                <w:rFonts w:hint="eastAsia" w:ascii="宋体" w:hAnsi="宋体" w:eastAsia="宋体" w:cs="宋体"/>
                <w:i w:val="0"/>
                <w:iCs w:val="0"/>
                <w:sz w:val="24"/>
                <w:szCs w:val="24"/>
                <w:lang w:val="en-US" w:eastAsia="zh-CN"/>
              </w:rPr>
              <w:t>向北100米路东(</w:t>
            </w:r>
            <w:r>
              <w:rPr>
                <w:rFonts w:hint="eastAsia" w:ascii="宋体" w:hAnsi="宋体" w:eastAsia="宋体" w:cs="宋体"/>
                <w:sz w:val="24"/>
                <w:szCs w:val="24"/>
              </w:rPr>
              <w:t>周口市公共资源交易中心</w:t>
            </w:r>
            <w:r>
              <w:rPr>
                <w:rFonts w:hint="eastAsia" w:ascii="宋体" w:hAnsi="宋体" w:eastAsia="宋体" w:cs="宋体"/>
                <w:i w:val="0"/>
                <w:iCs w:val="0"/>
                <w:sz w:val="24"/>
                <w:szCs w:val="24"/>
                <w:lang w:val="en-US" w:eastAsia="zh-CN"/>
              </w:rPr>
              <w:t>四楼开标室)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627" w:type="dxa"/>
            <w:noWrap w:val="0"/>
            <w:vAlign w:val="center"/>
          </w:tcPr>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w:t>
            </w:r>
          </w:p>
        </w:tc>
        <w:tc>
          <w:tcPr>
            <w:tcW w:w="218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评标办法</w:t>
            </w:r>
          </w:p>
        </w:tc>
        <w:tc>
          <w:tcPr>
            <w:tcW w:w="6152"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综合评分法 详见招标文件第一部分第四章评标办法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jc w:val="center"/>
        </w:trPr>
        <w:tc>
          <w:tcPr>
            <w:tcW w:w="627" w:type="dxa"/>
            <w:noWrap w:val="0"/>
            <w:vAlign w:val="center"/>
          </w:tcPr>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2185" w:type="dxa"/>
            <w:noWrap w:val="0"/>
            <w:vAlign w:val="center"/>
          </w:tcPr>
          <w:p>
            <w:pP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其它</w:t>
            </w:r>
          </w:p>
        </w:tc>
        <w:tc>
          <w:tcPr>
            <w:tcW w:w="6152" w:type="dxa"/>
            <w:noWrap w:val="0"/>
            <w:vAlign w:val="center"/>
          </w:tcPr>
          <w:p>
            <w:pPr>
              <w:rPr>
                <w:rFonts w:hint="eastAsia" w:ascii="宋体" w:hAnsi="宋体" w:eastAsia="宋体" w:cs="宋体"/>
                <w:color w:val="FF0000"/>
                <w:kern w:val="2"/>
                <w:sz w:val="24"/>
                <w:szCs w:val="24"/>
                <w:lang w:val="en-US" w:eastAsia="zh-CN" w:bidi="ar-SA"/>
              </w:rPr>
            </w:pPr>
            <w:r>
              <w:rPr>
                <w:rFonts w:hint="eastAsia" w:ascii="宋体" w:hAnsi="宋体" w:eastAsia="宋体" w:cs="宋体"/>
                <w:sz w:val="24"/>
                <w:szCs w:val="24"/>
              </w:rPr>
              <w:t>采购人验收如需第三方质检部门介入，第三方质检验收所需费用由中标人负担。</w:t>
            </w:r>
          </w:p>
        </w:tc>
      </w:tr>
    </w:tbl>
    <w:p>
      <w:pPr>
        <w:pStyle w:val="25"/>
        <w:rPr>
          <w:rFonts w:hint="eastAsia" w:ascii="宋体" w:hAnsi="宋体" w:eastAsia="宋体" w:cs="宋体"/>
          <w:lang w:val="en-US" w:eastAsia="zh-CN"/>
        </w:rPr>
      </w:pPr>
    </w:p>
    <w:p>
      <w:pPr>
        <w:pStyle w:val="3"/>
        <w:ind w:firstLine="0"/>
        <w:rPr>
          <w:rFonts w:hint="eastAsia" w:ascii="宋体" w:hAnsi="宋体" w:eastAsia="宋体" w:cs="宋体"/>
        </w:rPr>
      </w:pPr>
      <w:bookmarkStart w:id="41" w:name="_Hlt516969057"/>
      <w:bookmarkEnd w:id="41"/>
      <w:bookmarkStart w:id="42" w:name="_Hlt509650351"/>
      <w:bookmarkEnd w:id="42"/>
      <w:bookmarkStart w:id="43" w:name="_Hlt519045778"/>
      <w:bookmarkEnd w:id="43"/>
      <w:bookmarkStart w:id="44" w:name="_Hlt509650027"/>
      <w:bookmarkEnd w:id="44"/>
      <w:bookmarkStart w:id="45" w:name="_Toc450_WPSOffice_Level1"/>
      <w:bookmarkStart w:id="46" w:name="_Toc22493"/>
      <w:bookmarkStart w:id="47" w:name="_Toc220232390"/>
      <w:r>
        <w:rPr>
          <w:rFonts w:hint="eastAsia" w:ascii="宋体" w:hAnsi="宋体" w:eastAsia="宋体" w:cs="宋体"/>
        </w:rPr>
        <w:t>第三章</w:t>
      </w:r>
      <w:r>
        <w:rPr>
          <w:rFonts w:hint="eastAsia" w:ascii="宋体" w:hAnsi="宋体" w:eastAsia="宋体" w:cs="宋体"/>
          <w:lang w:eastAsia="zh-CN"/>
        </w:rPr>
        <w:t xml:space="preserve">  </w:t>
      </w:r>
      <w:r>
        <w:rPr>
          <w:rFonts w:hint="eastAsia" w:ascii="宋体" w:hAnsi="宋体" w:eastAsia="宋体" w:cs="宋体"/>
        </w:rPr>
        <w:t>需求一览表</w:t>
      </w:r>
      <w:bookmarkEnd w:id="45"/>
      <w:bookmarkEnd w:id="46"/>
      <w:bookmarkEnd w:id="47"/>
    </w:p>
    <w:p>
      <w:pPr>
        <w:spacing w:line="360" w:lineRule="auto"/>
        <w:ind w:firstLine="480" w:firstLineChars="200"/>
        <w:rPr>
          <w:rFonts w:hint="eastAsia" w:ascii="宋体" w:hAnsi="宋体" w:eastAsia="宋体" w:cs="宋体"/>
          <w:sz w:val="24"/>
          <w:szCs w:val="28"/>
        </w:rPr>
      </w:pPr>
      <w:bookmarkStart w:id="48" w:name="_Hlt509716920"/>
      <w:bookmarkEnd w:id="48"/>
      <w:r>
        <w:rPr>
          <w:rFonts w:hint="eastAsia" w:ascii="宋体" w:hAnsi="宋体" w:eastAsia="宋体" w:cs="宋体"/>
          <w:sz w:val="24"/>
          <w:szCs w:val="28"/>
        </w:rPr>
        <w:t>前注：1） 本需求中提出的技术方案仅为参考，如无明确限制，投标人可以进行优化，提供满足用户实际需要的更优（或者性能实质上不低于的）</w:t>
      </w:r>
      <w:r>
        <w:rPr>
          <w:rFonts w:hint="eastAsia" w:ascii="宋体" w:hAnsi="宋体" w:eastAsia="宋体" w:cs="宋体"/>
          <w:sz w:val="24"/>
          <w:szCs w:val="24"/>
        </w:rPr>
        <w:t>技术方案或者设备配置，且此方案或配置须经评委会审核认可；</w:t>
      </w:r>
      <w:r>
        <w:rPr>
          <w:rFonts w:hint="eastAsia" w:ascii="宋体" w:hAnsi="宋体" w:eastAsia="宋体" w:cs="宋体"/>
          <w:sz w:val="24"/>
          <w:szCs w:val="24"/>
        </w:rPr>
        <w:cr/>
      </w:r>
      <w:r>
        <w:rPr>
          <w:rFonts w:hint="eastAsia" w:ascii="宋体" w:hAnsi="宋体" w:eastAsia="宋体" w:cs="宋体"/>
          <w:sz w:val="24"/>
          <w:szCs w:val="24"/>
        </w:rPr>
        <w:t xml:space="preserve">    2） 为鼓励不同品牌的充分竞争，如某设备的某技术参数或要求属于个别品牌专有，则该技术参数及要求不具有限制性，投标人可对该参数或要求进行适当调整，并应当说明调整的理由，且此调整须经评委会审核认可；</w:t>
      </w:r>
    </w:p>
    <w:p>
      <w:pPr>
        <w:spacing w:line="360" w:lineRule="auto"/>
        <w:ind w:firstLine="480" w:firstLineChars="200"/>
        <w:rPr>
          <w:rFonts w:hint="eastAsia" w:ascii="宋体" w:hAnsi="宋体" w:eastAsia="宋体" w:cs="宋体"/>
          <w:b/>
          <w:sz w:val="32"/>
          <w:szCs w:val="32"/>
        </w:rPr>
      </w:pPr>
      <w:r>
        <w:rPr>
          <w:rFonts w:hint="eastAsia" w:ascii="宋体" w:hAnsi="宋体" w:eastAsia="宋体" w:cs="宋体"/>
          <w:sz w:val="24"/>
          <w:szCs w:val="28"/>
        </w:rPr>
        <w:t>3） 为有助于投标人选择投标产品，项目需求中提供了推荐品牌（或型号）、参考品牌（或型号）等，但这些品牌（或型号）仅供参考，并无限制性。投标人可以选择性能不低于推荐（或参考）的品牌（或型号）的其他品牌产品，但投标时应当提供有关技术证明资料，未提供的可能导致投标无效；</w:t>
      </w:r>
      <w:r>
        <w:rPr>
          <w:rFonts w:hint="eastAsia" w:ascii="宋体" w:hAnsi="宋体" w:eastAsia="宋体" w:cs="宋体"/>
          <w:sz w:val="24"/>
          <w:szCs w:val="28"/>
        </w:rPr>
        <w:cr/>
      </w:r>
      <w:r>
        <w:rPr>
          <w:rFonts w:hint="eastAsia" w:ascii="宋体" w:hAnsi="宋体" w:eastAsia="宋体" w:cs="宋体"/>
          <w:sz w:val="24"/>
          <w:szCs w:val="28"/>
        </w:rPr>
        <w:t xml:space="preserve">    4） 投标人应当在投标文件中列出完成本项目并通过验收所需的所有各项服务等明细表及全部费用。中标人必须</w:t>
      </w:r>
      <w:r>
        <w:rPr>
          <w:rFonts w:hint="eastAsia" w:ascii="宋体" w:hAnsi="宋体" w:eastAsia="宋体" w:cs="宋体"/>
          <w:sz w:val="24"/>
          <w:szCs w:val="28"/>
          <w:lang w:val="en-US" w:eastAsia="zh-CN"/>
        </w:rPr>
        <w:t>承诺</w:t>
      </w:r>
      <w:r>
        <w:rPr>
          <w:rFonts w:hint="eastAsia" w:ascii="宋体" w:hAnsi="宋体" w:eastAsia="宋体" w:cs="宋体"/>
          <w:sz w:val="24"/>
          <w:szCs w:val="28"/>
        </w:rPr>
        <w:t>确保整体通过用户方及有关主管部门验收,所发生的验收费用由中标人承担；投标人应自行踏勘现场，如投标人因未及时踏勘现场而导致的报价缺项漏项废标、或中标后无法完工，投标人自行承担一切后果；</w:t>
      </w:r>
      <w:r>
        <w:rPr>
          <w:rFonts w:hint="eastAsia" w:ascii="宋体" w:hAnsi="宋体" w:eastAsia="宋体" w:cs="宋体"/>
          <w:sz w:val="24"/>
          <w:szCs w:val="28"/>
        </w:rPr>
        <w:cr/>
      </w:r>
      <w:r>
        <w:rPr>
          <w:rFonts w:hint="eastAsia" w:ascii="宋体" w:hAnsi="宋体" w:eastAsia="宋体" w:cs="宋体"/>
          <w:sz w:val="24"/>
          <w:szCs w:val="28"/>
        </w:rPr>
        <w:t xml:space="preserve">    5）如对本招标文件有任何疑问或澄清要求，请按本招标文件“投标人须知前附表”中约定联系周口市公共交资源交易中心政府采购中心，或接受答疑截止时间前联系采购人。否则视同理解和接受。</w:t>
      </w:r>
      <w:bookmarkStart w:id="49" w:name="_Toc6821_WPSOffice_Level2"/>
    </w:p>
    <w:p>
      <w:pPr>
        <w:spacing w:line="360" w:lineRule="auto"/>
        <w:ind w:firstLine="643" w:firstLineChars="200"/>
        <w:rPr>
          <w:rFonts w:hint="eastAsia" w:ascii="宋体" w:hAnsi="宋体" w:eastAsia="宋体" w:cs="宋体"/>
          <w:b/>
          <w:sz w:val="32"/>
          <w:szCs w:val="32"/>
        </w:rPr>
      </w:pPr>
    </w:p>
    <w:bookmarkEnd w:id="49"/>
    <w:p>
      <w:pPr>
        <w:jc w:val="left"/>
        <w:rPr>
          <w:rFonts w:hint="eastAsia" w:ascii="宋体" w:hAnsi="宋体" w:eastAsia="宋体" w:cs="宋体"/>
        </w:rPr>
        <w:sectPr>
          <w:footerReference r:id="rId3" w:type="default"/>
          <w:pgSz w:w="11906" w:h="16838"/>
          <w:pgMar w:top="1440" w:right="1758" w:bottom="1440" w:left="1758" w:header="851" w:footer="992" w:gutter="0"/>
          <w:cols w:space="720" w:num="1"/>
          <w:docGrid w:linePitch="312" w:charSpace="0"/>
        </w:sectPr>
      </w:pPr>
    </w:p>
    <w:p>
      <w:pPr>
        <w:pBdr>
          <w:bottom w:val="dotted" w:color="auto" w:sz="24" w:space="1"/>
        </w:pBd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服务需求</w:t>
      </w:r>
      <w:bookmarkStart w:id="50" w:name="_Toc11739_WPSOffice_Level1"/>
      <w:bookmarkStart w:id="51" w:name="_Toc14806_WPSOffice_Level2"/>
    </w:p>
    <w:p>
      <w:pPr>
        <w:spacing w:before="107" w:line="240" w:lineRule="auto"/>
        <w:ind w:left="480" w:hanging="480" w:hangingChars="200"/>
        <w:rPr>
          <w:rFonts w:hint="eastAsia"/>
          <w:sz w:val="24"/>
          <w:szCs w:val="24"/>
          <w:lang w:val="en-US" w:eastAsia="zh-CN"/>
        </w:rPr>
      </w:pPr>
    </w:p>
    <w:p>
      <w:pPr>
        <w:spacing w:line="360" w:lineRule="auto"/>
        <w:ind w:firstLine="480" w:firstLineChars="200"/>
        <w:rPr>
          <w:rFonts w:ascii="宋体" w:hAnsi="宋体"/>
          <w:color w:val="000000"/>
          <w:sz w:val="24"/>
          <w:szCs w:val="24"/>
        </w:rPr>
      </w:pPr>
      <w:r>
        <w:rPr>
          <w:rFonts w:hint="eastAsia" w:ascii="宋体" w:cs="宋体"/>
          <w:sz w:val="24"/>
          <w:szCs w:val="24"/>
        </w:rPr>
        <w:t>一、</w:t>
      </w:r>
      <w:bookmarkStart w:id="52" w:name="_Toc13642116"/>
      <w:r>
        <w:rPr>
          <w:rFonts w:hint="eastAsia" w:ascii="宋体" w:hAnsi="宋体"/>
          <w:color w:val="000000"/>
          <w:sz w:val="24"/>
          <w:szCs w:val="24"/>
        </w:rPr>
        <w:t>项目目标和采购内容</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1、项目设计：包括展陈文物保存设施定制、</w:t>
      </w:r>
      <w:r>
        <w:rPr>
          <w:rFonts w:hint="eastAsia" w:ascii="宋体" w:hAnsi="宋体"/>
          <w:color w:val="000000"/>
          <w:sz w:val="24"/>
          <w:szCs w:val="24"/>
          <w:lang w:val="en-US" w:eastAsia="zh-CN"/>
        </w:rPr>
        <w:t>环境调控设施定制</w:t>
      </w:r>
      <w:r>
        <w:rPr>
          <w:rFonts w:hint="eastAsia" w:ascii="宋体" w:hAnsi="宋体"/>
          <w:color w:val="000000"/>
          <w:sz w:val="24"/>
          <w:szCs w:val="24"/>
        </w:rPr>
        <w:t>等本项目所涉及的所有内容的图纸设计和施工图、竣工图编制等工作。</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2、定制设备设施：对符合项目设计要求的所有定制设备设施的采购、安装及保修期内的保修、缺陷修复等相关服务工作。</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3、</w:t>
      </w:r>
      <w:r>
        <w:rPr>
          <w:rFonts w:hint="eastAsia" w:ascii="宋体" w:hAnsi="宋体" w:cs="宋体"/>
          <w:color w:val="000000"/>
          <w:sz w:val="24"/>
          <w:szCs w:val="24"/>
        </w:rPr>
        <w:t>预防性保护</w:t>
      </w:r>
      <w:r>
        <w:rPr>
          <w:rFonts w:hint="eastAsia" w:ascii="宋体" w:hAnsi="宋体"/>
          <w:color w:val="000000"/>
          <w:sz w:val="24"/>
          <w:szCs w:val="24"/>
        </w:rPr>
        <w:t>管理服务：包括各项工作、各个专业、人员之间就</w:t>
      </w:r>
      <w:r>
        <w:rPr>
          <w:rFonts w:hint="eastAsia" w:ascii="宋体" w:hAnsi="宋体" w:cs="宋体"/>
          <w:color w:val="000000"/>
          <w:sz w:val="24"/>
          <w:szCs w:val="24"/>
        </w:rPr>
        <w:t>文物预防性保护方面的</w:t>
      </w:r>
      <w:r>
        <w:rPr>
          <w:rFonts w:hint="eastAsia" w:ascii="宋体" w:hAnsi="宋体"/>
          <w:color w:val="000000"/>
          <w:sz w:val="24"/>
          <w:szCs w:val="24"/>
        </w:rPr>
        <w:t>管理和协调工作，项目前、中、后期对相关展陈文物保存设施的密封性和恒湿性等的定期监测及相关手续办理、资料整理存档，配合各类专项验收及备案、项目移交，做好后续管理服务工作。</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二、</w:t>
      </w:r>
      <w:r>
        <w:rPr>
          <w:rFonts w:ascii="宋体" w:hAnsi="宋体" w:cs="宋体"/>
          <w:color w:val="000000"/>
          <w:sz w:val="24"/>
          <w:szCs w:val="24"/>
        </w:rPr>
        <w:t>设计依据</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1、《中华人民共和国文物保护法》</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2、《中华人民共和国文物保护法实施条例》（2017年修正本2）</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3、《十四五”文物保护和科技创新规划》</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4、《国家重点文物保护专项补助资金管理办法》</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5、《馆藏文物保存环境质量检测技术规范》（WW/T 0016-2008）</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6、《博物馆照明设计规范》（GB/T 23863-2009）</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7、《文物展柜密封技术要求及检测》</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8、《文物展柜基本技术要求及检测》</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9、《关于加强馆藏文物展陈安全工作的若干意见》</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10、《馆藏文物展藏 多功能展柜 技术要求》(WW/T 0109—2020)</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cs="宋体"/>
          <w:color w:val="000000"/>
          <w:sz w:val="24"/>
          <w:szCs w:val="24"/>
        </w:rPr>
        <w:t>11、《博物馆陈列展览形式设计与施工规范》（WW/T 0089-2018）</w:t>
      </w:r>
      <w:r>
        <w:rPr>
          <w:rFonts w:hint="eastAsia" w:ascii="宋体" w:hAnsi="宋体" w:cs="宋体"/>
          <w:color w:val="000000"/>
          <w:sz w:val="24"/>
          <w:szCs w:val="24"/>
          <w:lang w:eastAsia="zh-CN"/>
        </w:rPr>
        <w:t>。</w:t>
      </w:r>
    </w:p>
    <w:p>
      <w:pPr>
        <w:spacing w:line="360" w:lineRule="auto"/>
        <w:ind w:firstLine="480" w:firstLineChars="20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三、</w:t>
      </w:r>
      <w:r>
        <w:rPr>
          <w:rFonts w:hint="eastAsia" w:ascii="宋体" w:hAnsi="宋体" w:cs="宋体"/>
          <w:color w:val="000000"/>
          <w:sz w:val="24"/>
          <w:szCs w:val="24"/>
        </w:rPr>
        <w:t>展陈文物保存设施设计要求</w:t>
      </w:r>
    </w:p>
    <w:p>
      <w:pPr>
        <w:spacing w:line="360" w:lineRule="auto"/>
        <w:ind w:firstLine="480" w:firstLineChars="20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1、功能要求</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（1）操作性：可由一人独立操作，展示空间、设备维护空间、照明系统空间均为独立结构，独立开启，互不干扰。</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（2）协调性：材料使用和照明系统配置等，要从文物展品的风格、特质出发，使其融入展览环境中，尽量隐形，以重点突出文物展品。</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（3）安全性：采用</w:t>
      </w:r>
      <w:r>
        <w:rPr>
          <w:rFonts w:hint="eastAsia" w:ascii="宋体" w:hAnsi="宋体" w:cs="宋体"/>
          <w:color w:val="000000"/>
          <w:sz w:val="24"/>
          <w:szCs w:val="24"/>
          <w:lang w:val="en-US" w:eastAsia="zh-CN"/>
        </w:rPr>
        <w:t>金属</w:t>
      </w:r>
      <w:r>
        <w:rPr>
          <w:rFonts w:hint="eastAsia" w:ascii="宋体" w:hAnsi="宋体" w:cs="宋体"/>
          <w:color w:val="000000"/>
          <w:sz w:val="24"/>
          <w:szCs w:val="24"/>
        </w:rPr>
        <w:t>结构以保证整体结构的可靠性；玻璃采用符合防盗标准的双层超白夹层玻璃；锁具采用高保安性能锁具。</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照明控制性能：无论采用何种照明方式，达到《博物馆照明设计规范》的要求；营造氛围，突出文物展品，兼顾辅助物品的照明；隐蔽出光点，调控照度及角度，过滤红外光、紫外光以及热量，以防对文物展品造成损害。</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（5）耐用性：应确保结构在室内环境长期使用，不出现明显变化。</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（6）环境控制性能：应确保结构的密封性，密封性要做到空气交换率不大于0.</w:t>
      </w:r>
      <w:r>
        <w:rPr>
          <w:rFonts w:ascii="宋体" w:hAnsi="宋体" w:cs="宋体"/>
          <w:color w:val="000000"/>
          <w:sz w:val="24"/>
          <w:szCs w:val="24"/>
        </w:rPr>
        <w:t>5</w:t>
      </w:r>
      <w:r>
        <w:rPr>
          <w:rFonts w:hint="eastAsia" w:ascii="宋体" w:hAnsi="宋体" w:cs="宋体"/>
          <w:color w:val="000000"/>
          <w:sz w:val="24"/>
          <w:szCs w:val="24"/>
        </w:rPr>
        <w:t>次/每天 ，以实现内部微环境的调控。</w:t>
      </w:r>
    </w:p>
    <w:p>
      <w:pPr>
        <w:spacing w:line="360" w:lineRule="auto"/>
        <w:ind w:firstLine="480" w:firstLineChars="20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2、技术要求</w:t>
      </w:r>
    </w:p>
    <w:p>
      <w:pPr>
        <w:spacing w:line="360" w:lineRule="auto"/>
        <w:ind w:firstLine="480" w:firstLineChars="200"/>
        <w:rPr>
          <w:rFonts w:hint="default" w:ascii="宋体" w:hAnsi="宋体" w:cs="宋体"/>
          <w:color w:val="000000"/>
          <w:sz w:val="24"/>
          <w:szCs w:val="24"/>
          <w:lang w:val="en-US"/>
        </w:rPr>
      </w:pPr>
      <w:r>
        <w:rPr>
          <w:rFonts w:hint="eastAsia" w:ascii="宋体" w:hAnsi="宋体" w:cs="宋体"/>
          <w:color w:val="000000"/>
          <w:sz w:val="24"/>
          <w:szCs w:val="24"/>
        </w:rPr>
        <w:t>（1）</w:t>
      </w:r>
      <w:r>
        <w:rPr>
          <w:rFonts w:hint="eastAsia" w:ascii="宋体" w:hAnsi="宋体" w:cs="宋体"/>
          <w:color w:val="000000"/>
          <w:sz w:val="24"/>
          <w:szCs w:val="24"/>
          <w:lang w:eastAsia="zh-CN"/>
        </w:rPr>
        <w:t>主体框架结构</w:t>
      </w:r>
      <w:r>
        <w:rPr>
          <w:rFonts w:hint="eastAsia" w:ascii="宋体" w:hAnsi="宋体" w:cs="宋体"/>
          <w:color w:val="000000"/>
          <w:sz w:val="24"/>
          <w:szCs w:val="24"/>
          <w:lang w:val="en-US" w:eastAsia="zh-CN"/>
        </w:rPr>
        <w:t>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展柜结构由上灯箱、展示区和底座空间三部分组成，各部分具备独立空间，互不干扰。</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示柜整体为金属结构，根据不同柜型采用50*50*1.5-2.5mm、50*100*1.5-2.5mm、40*40*1.5-2.5mm等优质冷拔钢管型材经切割、打孔、焊接，焊接确保间距均匀、牢固。所有金属材料经过防锈处理，并设计有水平调节地脚装置，具有相当的自重稳定性和抗撞击稳固性。</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展柜箱体采用≥1.5mm的钢板，以确保展柜重量分布的合理性，表面做防锈防腐蚀处理，采用静电粉末喷涂工艺，光滑平整、无橘皮、无褶皱等现象。</w:t>
      </w:r>
    </w:p>
    <w:p>
      <w:pPr>
        <w:shd w:val="clear" w:color="auto" w:fill="auto"/>
        <w:spacing w:line="360" w:lineRule="auto"/>
        <w:ind w:firstLine="480" w:firstLineChars="200"/>
        <w:rPr>
          <w:rFonts w:hint="eastAsia" w:ascii="宋体" w:hAnsi="宋体" w:cs="宋体"/>
          <w:color w:val="000000"/>
          <w:sz w:val="24"/>
          <w:szCs w:val="24"/>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展柜箱体</w:t>
      </w:r>
      <w:r>
        <w:rPr>
          <w:rFonts w:hint="eastAsia" w:ascii="宋体" w:hAnsi="宋体" w:eastAsia="宋体" w:cs="宋体"/>
          <w:color w:val="auto"/>
          <w:sz w:val="24"/>
          <w:szCs w:val="24"/>
          <w:highlight w:val="none"/>
        </w:rPr>
        <w:t>饰面喷涂</w:t>
      </w:r>
      <w:r>
        <w:rPr>
          <w:rFonts w:hint="eastAsia" w:ascii="宋体" w:hAnsi="宋体" w:cs="宋体"/>
          <w:color w:val="auto"/>
          <w:sz w:val="24"/>
          <w:szCs w:val="24"/>
          <w:highlight w:val="none"/>
          <w:lang w:val="en-US" w:eastAsia="zh-CN"/>
        </w:rPr>
        <w:t>材料应</w:t>
      </w:r>
      <w:r>
        <w:rPr>
          <w:rFonts w:hint="eastAsia" w:ascii="宋体" w:hAnsi="宋体" w:eastAsia="宋体" w:cs="宋体"/>
          <w:color w:val="auto"/>
          <w:sz w:val="24"/>
          <w:szCs w:val="24"/>
          <w:highlight w:val="none"/>
        </w:rPr>
        <w:t xml:space="preserve">符合GB/T </w:t>
      </w:r>
      <w:r>
        <w:rPr>
          <w:rFonts w:hint="eastAsia" w:ascii="宋体" w:hAnsi="宋体" w:cs="宋体"/>
          <w:color w:val="auto"/>
          <w:sz w:val="24"/>
          <w:szCs w:val="24"/>
          <w:highlight w:val="none"/>
          <w:lang w:val="en-US" w:eastAsia="zh-CN"/>
        </w:rPr>
        <w:t>5237.4-2017要求，</w:t>
      </w:r>
      <w:r>
        <w:rPr>
          <w:rFonts w:hint="eastAsia" w:ascii="宋体" w:hAnsi="宋体" w:eastAsia="宋体" w:cs="宋体"/>
          <w:color w:val="auto"/>
          <w:sz w:val="24"/>
          <w:szCs w:val="24"/>
          <w:highlight w:val="none"/>
        </w:rPr>
        <w:t>喷涂附着</w:t>
      </w:r>
      <w:r>
        <w:rPr>
          <w:rFonts w:hint="eastAsia" w:ascii="宋体" w:hAnsi="宋体" w:cs="宋体"/>
          <w:color w:val="auto"/>
          <w:sz w:val="24"/>
          <w:szCs w:val="24"/>
          <w:highlight w:val="none"/>
          <w:lang w:val="en-US" w:eastAsia="zh-CN"/>
        </w:rPr>
        <w:t>力</w:t>
      </w:r>
      <w:r>
        <w:rPr>
          <w:rFonts w:hint="eastAsia" w:ascii="宋体" w:hAnsi="宋体" w:eastAsia="宋体" w:cs="宋体"/>
          <w:color w:val="auto"/>
          <w:sz w:val="24"/>
          <w:szCs w:val="24"/>
          <w:highlight w:val="none"/>
        </w:rPr>
        <w:t>要求为0级，</w:t>
      </w:r>
      <w:r>
        <w:rPr>
          <w:rFonts w:hint="eastAsia" w:ascii="宋体" w:hAnsi="宋体" w:cs="宋体"/>
          <w:color w:val="auto"/>
          <w:sz w:val="24"/>
          <w:szCs w:val="24"/>
          <w:highlight w:val="none"/>
          <w:lang w:val="en-US" w:eastAsia="zh-CN"/>
        </w:rPr>
        <w:t>喷涂材料挥发性化合物含量≤0.3mg/m</w:t>
      </w:r>
      <w:r>
        <w:rPr>
          <w:rFonts w:hint="eastAsia" w:ascii="宋体" w:hAnsi="宋体" w:cs="宋体"/>
          <w:color w:val="auto"/>
          <w:sz w:val="24"/>
          <w:szCs w:val="24"/>
          <w:highlight w:val="none"/>
          <w:vertAlign w:val="superscript"/>
          <w:lang w:val="en-US" w:eastAsia="zh-CN"/>
        </w:rPr>
        <w:t>3</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展柜内采用高性能铝型材（6063 牌号）生产，时效状态为T6，壁厚不小于3mm，韦氏硬度≥8.0HW，专用铝型材由专用螺栓与展柜龙骨连接牢固，玻璃与铝型材的安装为玻璃嵌入铝型材的“U”型槽内,槽底的连接处为“U”型硅橡胶垫层，铝型材与玻璃之间不直接接触，确保玻璃的安全性。</w:t>
      </w:r>
    </w:p>
    <w:p>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★所使用的铝型材应符合6063牌号，时效状态为T6，壁厚不小于3mm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符合GB/T </w:t>
      </w:r>
      <w:r>
        <w:rPr>
          <w:rFonts w:hint="eastAsia" w:ascii="宋体" w:hAnsi="宋体" w:cs="宋体"/>
          <w:color w:val="auto"/>
          <w:sz w:val="24"/>
          <w:szCs w:val="24"/>
          <w:highlight w:val="none"/>
          <w:lang w:val="en-US" w:eastAsia="zh-CN"/>
        </w:rPr>
        <w:t>5237.1-2017要求</w:t>
      </w:r>
      <w:r>
        <w:rPr>
          <w:rFonts w:hint="eastAsia" w:ascii="宋体" w:hAnsi="宋体" w:eastAsia="宋体" w:cs="宋体"/>
          <w:color w:val="auto"/>
          <w:sz w:val="24"/>
          <w:szCs w:val="24"/>
          <w:highlight w:val="none"/>
        </w:rPr>
        <w:t>，韦氏硬度≥</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HW，</w:t>
      </w:r>
      <w:r>
        <w:rPr>
          <w:rFonts w:hint="eastAsia" w:ascii="宋体" w:hAnsi="宋体" w:cs="宋体"/>
          <w:color w:val="auto"/>
          <w:sz w:val="24"/>
          <w:szCs w:val="24"/>
          <w:highlight w:val="none"/>
          <w:lang w:val="en-US" w:eastAsia="zh-CN"/>
        </w:rPr>
        <w:t>抗拉强度≥160N/mm</w:t>
      </w:r>
      <w:r>
        <w:rPr>
          <w:rFonts w:hint="eastAsia" w:ascii="宋体" w:hAnsi="宋体" w:cs="宋体"/>
          <w:color w:val="auto"/>
          <w:sz w:val="24"/>
          <w:szCs w:val="24"/>
          <w:highlight w:val="none"/>
          <w:vertAlign w:val="superscript"/>
          <w:lang w:val="en-US" w:eastAsia="zh-CN"/>
        </w:rPr>
        <w:t>2</w:t>
      </w:r>
      <w:r>
        <w:rPr>
          <w:rFonts w:hint="eastAsia" w:ascii="宋体" w:hAnsi="宋体" w:cs="宋体"/>
          <w:color w:val="auto"/>
          <w:sz w:val="24"/>
          <w:szCs w:val="24"/>
          <w:highlight w:val="none"/>
          <w:lang w:val="en-US" w:eastAsia="zh-CN"/>
        </w:rPr>
        <w:t>，延伸强度≥300MPa，断后伸长率≥8%</w:t>
      </w:r>
      <w:r>
        <w:rPr>
          <w:rFonts w:hint="eastAsia" w:ascii="宋体" w:hAnsi="宋体" w:eastAsia="宋体" w:cs="宋体"/>
          <w:color w:val="auto"/>
          <w:sz w:val="24"/>
          <w:szCs w:val="24"/>
          <w:highlight w:val="none"/>
        </w:rPr>
        <w:t>。</w:t>
      </w:r>
    </w:p>
    <w:p>
      <w:pPr>
        <w:numPr>
          <w:ilvl w:val="0"/>
          <w:numId w:val="0"/>
        </w:num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（2）玻璃要求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本项目展柜玻璃采用6mm+0.76PVB*6mm的超白夹胶玻璃，玻璃在加工过程中保证无划痕、无气泡、无杂质、无瑕疵等。材料不含任何酸、碱性物质、无异味、无挥发性，充分发挥密封材料的性能。</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工艺：玻璃经高压釜高温成型，通过切割、磨边、精磨、抛光，磨边规格为0.7mm×0.7mm。外露角为安全倒角处理；具有防爆功能，成品玻璃可见光透射比＞90%，紫外线透射比≤0.5%；玻璃罩直角拼接处45度角车边以无影胶密封粘结，可采用密封硅胶或密封胶条直角拼接方式。所有夹胶玻璃在加工过程中保证无划痕、气泡、内含物、细小纹路和其他瑕疵等。</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★超白夹胶玻璃光学性能符合EN410：2011</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，可见光透射比</w:t>
      </w:r>
      <w:r>
        <w:rPr>
          <w:rFonts w:hint="eastAsia" w:ascii="宋体" w:hAnsi="宋体" w:cs="宋体"/>
          <w:color w:val="auto"/>
          <w:sz w:val="24"/>
          <w:szCs w:val="24"/>
          <w:highlight w:val="none"/>
          <w:lang w:val="en-US" w:eastAsia="zh-CN"/>
        </w:rPr>
        <w:t>≥90</w:t>
      </w:r>
      <w:r>
        <w:rPr>
          <w:rFonts w:hint="eastAsia" w:ascii="宋体" w:hAnsi="宋体" w:eastAsia="宋体" w:cs="宋体"/>
          <w:color w:val="auto"/>
          <w:sz w:val="24"/>
          <w:szCs w:val="24"/>
          <w:highlight w:val="none"/>
        </w:rPr>
        <w:t>％，紫外线投射比≤</w:t>
      </w:r>
      <w:r>
        <w:rPr>
          <w:rFonts w:hint="eastAsia" w:ascii="宋体" w:hAnsi="宋体" w:cs="宋体"/>
          <w:color w:val="auto"/>
          <w:sz w:val="24"/>
          <w:szCs w:val="24"/>
          <w:highlight w:val="none"/>
          <w:lang w:val="en-US" w:eastAsia="zh-CN"/>
        </w:rPr>
        <w:t>0.5</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★超白夹胶玻璃厚度为6</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0.76PVB+</w:t>
      </w:r>
      <w:r>
        <w:rPr>
          <w:rFonts w:hint="eastAsia" w:ascii="宋体" w:hAnsi="宋体" w:eastAsia="宋体" w:cs="宋体"/>
          <w:color w:val="auto"/>
          <w:sz w:val="24"/>
          <w:szCs w:val="24"/>
          <w:highlight w:val="none"/>
        </w:rPr>
        <w:t>6mm，玻璃安全防爆性</w:t>
      </w:r>
      <w:r>
        <w:rPr>
          <w:rFonts w:hint="eastAsia" w:ascii="宋体" w:hAnsi="宋体" w:cs="宋体"/>
          <w:color w:val="auto"/>
          <w:sz w:val="24"/>
          <w:szCs w:val="24"/>
          <w:highlight w:val="none"/>
          <w:lang w:val="en-US" w:eastAsia="zh-CN"/>
        </w:rPr>
        <w:t>能</w:t>
      </w:r>
      <w:r>
        <w:rPr>
          <w:rFonts w:hint="eastAsia" w:ascii="宋体" w:hAnsi="宋体" w:eastAsia="宋体" w:cs="宋体"/>
          <w:color w:val="auto"/>
          <w:sz w:val="24"/>
          <w:szCs w:val="24"/>
          <w:highlight w:val="none"/>
        </w:rPr>
        <w:t>应符合 GB 15763. 3-2009的规定，</w:t>
      </w:r>
      <w:r>
        <w:rPr>
          <w:rFonts w:hint="eastAsia" w:ascii="宋体" w:hAnsi="宋体" w:cs="宋体"/>
          <w:color w:val="auto"/>
          <w:sz w:val="24"/>
          <w:szCs w:val="24"/>
          <w:highlight w:val="none"/>
          <w:lang w:val="en-US" w:eastAsia="zh-CN"/>
        </w:rPr>
        <w:t>当钢球质量为1040±10g，冲击高度分别在2400mm、3000mm、3800mm时，</w:t>
      </w:r>
      <w:r>
        <w:rPr>
          <w:rFonts w:hint="eastAsia" w:ascii="宋体" w:hAnsi="宋体" w:eastAsia="宋体" w:cs="宋体"/>
          <w:color w:val="auto"/>
          <w:sz w:val="24"/>
          <w:szCs w:val="24"/>
          <w:highlight w:val="none"/>
        </w:rPr>
        <w:t>玻璃受到落球冲击测试后，中间层不能出现断裂，未因碎片剥离而暴露。</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（3）开启系统要求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根据不同柜型采用不同的科学合理的玻璃门开启方式，所有开启方式操作简便灵活，无明显噪音及运行不顺畅的现象，安装展柜智能开启系统软件。</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eastAsia="zh-CN"/>
        </w:rPr>
        <w:t>开启遵循简便、安全要求，可由一人独立操作，并满足文物展品安全取放需求，确保柜门开启和使用时的安全与便捷，操作简便灵活。</w:t>
      </w:r>
    </w:p>
    <w:p>
      <w:pPr>
        <w:numPr>
          <w:ilvl w:val="0"/>
          <w:numId w:val="18"/>
        </w:numPr>
        <w:spacing w:line="360" w:lineRule="auto"/>
        <w:ind w:left="0" w:leftChars="0" w:firstLine="400" w:firstLineChars="0"/>
        <w:rPr>
          <w:rFonts w:hint="default"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提供本项目展柜智能开关控制系统相关计算机软件著作权登记证书。</w:t>
      </w:r>
    </w:p>
    <w:p>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4</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密闭性要求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型材密封：文物展柜为整体密闭型结构，展柜密封性能良好，无漏光现象。</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展柜密封采用专用双组密封胶和硅胶密封条密封，保证其密闭性：展示空间空气交换次数≤0.5次/天。</w:t>
      </w:r>
    </w:p>
    <w:p>
      <w:pPr>
        <w:shd w:val="clear" w:color="auto" w:fill="auto"/>
        <w:spacing w:line="360" w:lineRule="auto"/>
        <w:ind w:firstLine="480" w:firstLineChars="200"/>
        <w:rPr>
          <w:rFonts w:hint="eastAsia" w:ascii="宋体" w:hAnsi="宋体" w:cs="宋体"/>
          <w:color w:val="000000"/>
          <w:sz w:val="24"/>
          <w:szCs w:val="24"/>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展柜</w:t>
      </w:r>
      <w:r>
        <w:rPr>
          <w:rFonts w:hint="eastAsia" w:ascii="宋体" w:hAnsi="宋体" w:eastAsia="宋体" w:cs="宋体"/>
          <w:color w:val="auto"/>
          <w:sz w:val="24"/>
          <w:szCs w:val="24"/>
          <w:highlight w:val="none"/>
        </w:rPr>
        <w:t>内部空气质量应符合GB/T 18883-20</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，甲醛≤0.0</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；苯≤0.03mg/m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；甲苯≤0.</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；二甲苯≤0.</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；挥发性有机化合物总量（TVOC）≤0.</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；氨≤0.</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硅胶密封条采用优质有机硅，表面光滑，无明显的机械杂质，经专用设备挤压成型。密封接口缝隙填塞±≤2mm。具有抗氧化性、抗腐蚀性、抗老化、经久耐用，是密封不可缺少的部件。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5</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照明要求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一个展柜灯光通常由各种不同功能的照明种类组合而成，不同种类的照明可分别使用或一起使用。采用博物馆专用照明灯具，显色性能高，色温适中，材料利于散热，安装便捷。射灯角度可调，可180度倾斜，360度旋转。光源显色指数Ra＞90、色温3000</w:t>
      </w:r>
      <w:r>
        <w:rPr>
          <w:rFonts w:hint="eastAsia" w:ascii="宋体" w:hAnsi="宋体" w:eastAsia="宋体" w:cs="宋体"/>
          <w:color w:val="000000"/>
          <w:sz w:val="24"/>
          <w:szCs w:val="24"/>
          <w:lang w:eastAsia="zh-CN"/>
        </w:rPr>
        <w:t>～</w:t>
      </w:r>
      <w:r>
        <w:rPr>
          <w:rFonts w:hint="eastAsia" w:ascii="宋体" w:hAnsi="宋体" w:cs="宋体"/>
          <w:color w:val="000000"/>
          <w:sz w:val="24"/>
          <w:szCs w:val="24"/>
          <w:lang w:eastAsia="zh-CN"/>
        </w:rPr>
        <w:t>4000K、平均使用寿命≥50000小时。</w:t>
      </w:r>
    </w:p>
    <w:p>
      <w:pPr>
        <w:numPr>
          <w:ilvl w:val="0"/>
          <w:numId w:val="19"/>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eastAsia="zh-CN"/>
        </w:rPr>
        <w:t>通柜采用LED射灯+洗墙灯组合的形式；独立柜采用LED射灯的形式。</w:t>
      </w:r>
    </w:p>
    <w:p>
      <w:pPr>
        <w:numPr>
          <w:ilvl w:val="0"/>
          <w:numId w:val="19"/>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提供本项目灯光智能调控系统相关计算机软件著作权登记证书。</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6</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锁具要求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使用博物馆专用高安保性能锁具，具有安全牢固、操作简单方便等特性，锁具安装位置具有隐蔽性，使用的锁体及钥匙的材料为超硬度的耐磨、防锈材料，专用锁具钥匙</w:t>
      </w:r>
      <w:r>
        <w:rPr>
          <w:rFonts w:hint="eastAsia" w:ascii="宋体" w:hAnsi="宋体" w:cs="宋体"/>
          <w:color w:val="000000"/>
          <w:sz w:val="24"/>
          <w:szCs w:val="24"/>
          <w:lang w:val="en-US" w:eastAsia="zh-CN"/>
        </w:rPr>
        <w:t>互开率</w:t>
      </w:r>
      <w:r>
        <w:rPr>
          <w:rFonts w:hint="eastAsia" w:ascii="宋体" w:hAnsi="宋体" w:cs="宋体"/>
          <w:color w:val="000000"/>
          <w:sz w:val="24"/>
          <w:szCs w:val="24"/>
          <w:lang w:eastAsia="zh-CN"/>
        </w:rPr>
        <w:t>≤0.01%，</w:t>
      </w:r>
      <w:r>
        <w:rPr>
          <w:rFonts w:hint="eastAsia" w:ascii="宋体" w:hAnsi="宋体" w:cs="宋体"/>
          <w:color w:val="000000"/>
          <w:sz w:val="24"/>
          <w:szCs w:val="24"/>
          <w:lang w:val="en-US" w:eastAsia="zh-CN"/>
        </w:rPr>
        <w:t>差异量</w:t>
      </w:r>
      <w:r>
        <w:rPr>
          <w:rFonts w:hint="eastAsia" w:ascii="宋体" w:hAnsi="宋体" w:cs="宋体"/>
          <w:color w:val="000000"/>
          <w:sz w:val="24"/>
          <w:szCs w:val="24"/>
          <w:lang w:eastAsia="zh-CN"/>
        </w:rPr>
        <w:t>≥15</w:t>
      </w:r>
      <w:r>
        <w:rPr>
          <w:rFonts w:hint="eastAsia" w:ascii="宋体" w:hAnsi="宋体" w:cs="宋体"/>
          <w:color w:val="000000"/>
          <w:sz w:val="24"/>
          <w:szCs w:val="24"/>
          <w:lang w:val="en-US" w:eastAsia="zh-CN"/>
        </w:rPr>
        <w:t>°</w:t>
      </w:r>
      <w:r>
        <w:rPr>
          <w:rFonts w:hint="eastAsia" w:ascii="宋体" w:hAnsi="宋体" w:cs="宋体"/>
          <w:color w:val="000000"/>
          <w:sz w:val="24"/>
          <w:szCs w:val="24"/>
          <w:lang w:eastAsia="zh-CN"/>
        </w:rPr>
        <w:t>。</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7</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地脚要求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展柜底部配置支撑地脚和万向滚轮，单个地脚可承载≥100KG，单个万向滚轮可承载≥100KG，可方便移动，可固定。</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8</w:t>
      </w:r>
      <w:r>
        <w:rPr>
          <w:rFonts w:hint="eastAsia" w:ascii="宋体" w:hAnsi="宋体" w:cs="宋体"/>
          <w:color w:val="000000"/>
          <w:sz w:val="24"/>
          <w:szCs w:val="24"/>
          <w:lang w:eastAsia="zh-CN"/>
        </w:rPr>
        <w:t>）展柜维护管理性能</w:t>
      </w:r>
      <w:r>
        <w:rPr>
          <w:rFonts w:hint="eastAsia" w:ascii="宋体" w:hAnsi="宋体" w:cs="宋体"/>
          <w:color w:val="000000"/>
          <w:sz w:val="24"/>
          <w:szCs w:val="24"/>
          <w:lang w:val="en-US" w:eastAsia="zh-CN"/>
        </w:rPr>
        <w:t>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展柜为模块化设计，在今后可以对玻璃、灯光系统等进行升级更新。展柜除灯具需要定期检查维护，不需要其他维修。且灯具安装设有单独空间，灯具检修时无需打开柜门，不会影响展示空间环境，便于维护。</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9</w:t>
      </w:r>
      <w:r>
        <w:rPr>
          <w:rFonts w:hint="eastAsia" w:ascii="宋体" w:hAnsi="宋体" w:cs="宋体"/>
          <w:color w:val="000000"/>
          <w:sz w:val="24"/>
          <w:szCs w:val="24"/>
          <w:lang w:eastAsia="zh-CN"/>
        </w:rPr>
        <w:t>）展柜环保性能要求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展柜中所使用的喷漆、粘接剂、装饰布等为中性环保材料，不会散发有害气体污染展品和展厅空气环境。</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展柜内所有材料采用环保型、阻燃性材料，展台、背板、侧板采用中密度纤维板包亚麻布，采用免胶工艺固定。</w:t>
      </w:r>
    </w:p>
    <w:p>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★所使用的</w:t>
      </w:r>
      <w:r>
        <w:rPr>
          <w:rFonts w:hint="eastAsia" w:ascii="宋体" w:hAnsi="宋体" w:cs="宋体"/>
          <w:color w:val="000000"/>
          <w:sz w:val="24"/>
          <w:szCs w:val="24"/>
          <w:lang w:eastAsia="zh-CN"/>
        </w:rPr>
        <w:t>中密度纤维板</w:t>
      </w:r>
      <w:r>
        <w:rPr>
          <w:rFonts w:hint="eastAsia" w:ascii="宋体" w:hAnsi="宋体" w:eastAsia="宋体" w:cs="宋体"/>
          <w:color w:val="auto"/>
          <w:sz w:val="24"/>
          <w:szCs w:val="24"/>
          <w:highlight w:val="none"/>
        </w:rPr>
        <w:t>应符合GB/T 11718-2021</w:t>
      </w:r>
      <w:r>
        <w:rPr>
          <w:rFonts w:hint="eastAsia" w:ascii="宋体" w:hAnsi="宋体" w:cs="宋体"/>
          <w:color w:val="auto"/>
          <w:sz w:val="24"/>
          <w:szCs w:val="24"/>
          <w:highlight w:val="none"/>
          <w:lang w:val="en-US" w:eastAsia="zh-CN"/>
        </w:rPr>
        <w:t>H和</w:t>
      </w:r>
      <w:r>
        <w:rPr>
          <w:rFonts w:hint="eastAsia" w:ascii="宋体" w:hAnsi="宋体" w:eastAsia="宋体" w:cs="宋体"/>
          <w:color w:val="auto"/>
          <w:sz w:val="24"/>
          <w:szCs w:val="24"/>
          <w:highlight w:val="none"/>
        </w:rPr>
        <w:t>G8 18580-2017</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密度在0.65</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0.8g/cm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之间，内胶合强度≥0.45MPa，表面胶合强度≥0.9MPa，静曲强度≥24MPa，甲醛释放量≤0.124mg/m</w:t>
      </w:r>
      <w:r>
        <w:rPr>
          <w:rFonts w:hint="eastAsia" w:ascii="宋体" w:hAnsi="宋体" w:cs="宋体"/>
          <w:color w:val="auto"/>
          <w:sz w:val="24"/>
          <w:szCs w:val="24"/>
          <w:highlight w:val="none"/>
          <w:vertAlign w:val="superscript"/>
          <w:lang w:val="en-US" w:eastAsia="zh-CN"/>
        </w:rPr>
        <w:t>3</w:t>
      </w:r>
      <w:r>
        <w:rPr>
          <w:rFonts w:hint="eastAsia" w:ascii="宋体" w:hAnsi="宋体" w:eastAsia="宋体" w:cs="宋体"/>
          <w:color w:val="auto"/>
          <w:sz w:val="24"/>
          <w:szCs w:val="24"/>
          <w:highlight w:val="none"/>
        </w:rPr>
        <w:t>。</w:t>
      </w:r>
    </w:p>
    <w:p>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★所使用的</w:t>
      </w:r>
      <w:r>
        <w:rPr>
          <w:rFonts w:hint="eastAsia" w:ascii="宋体" w:hAnsi="宋体" w:cs="宋体"/>
          <w:color w:val="auto"/>
          <w:sz w:val="24"/>
          <w:szCs w:val="24"/>
          <w:highlight w:val="none"/>
          <w:lang w:val="en-US" w:eastAsia="zh-CN"/>
        </w:rPr>
        <w:t>布料（亚麻布）</w:t>
      </w:r>
      <w:r>
        <w:rPr>
          <w:rFonts w:hint="eastAsia" w:ascii="宋体" w:hAnsi="宋体" w:eastAsia="宋体" w:cs="宋体"/>
          <w:color w:val="auto"/>
          <w:sz w:val="24"/>
          <w:szCs w:val="24"/>
          <w:highlight w:val="none"/>
        </w:rPr>
        <w:t>应符合GB 18401-2010</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GB/T 18885-2020</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甲醛含量≤300mg/kg，PH值在4.0</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9.0之间，无异味</w:t>
      </w:r>
      <w:r>
        <w:rPr>
          <w:rFonts w:hint="eastAsia" w:ascii="宋体" w:hAnsi="宋体" w:eastAsia="宋体" w:cs="宋体"/>
          <w:color w:val="auto"/>
          <w:sz w:val="24"/>
          <w:szCs w:val="24"/>
          <w:highlight w:val="none"/>
        </w:rPr>
        <w:t>。</w:t>
      </w:r>
    </w:p>
    <w:p>
      <w:pPr>
        <w:shd w:val="clear" w:color="auto" w:fill="auto"/>
        <w:spacing w:line="360" w:lineRule="auto"/>
        <w:ind w:firstLine="480" w:firstLineChars="200"/>
        <w:rPr>
          <w:rFonts w:hint="eastAsia" w:ascii="宋体" w:hAnsi="宋体" w:cs="宋体"/>
          <w:color w:val="000000"/>
          <w:sz w:val="24"/>
          <w:szCs w:val="24"/>
          <w:lang w:eastAsia="zh-CN"/>
        </w:rPr>
      </w:pPr>
      <w:r>
        <w:rPr>
          <w:rFonts w:hint="eastAsia" w:ascii="宋体" w:hAnsi="宋体" w:eastAsia="宋体" w:cs="宋体"/>
          <w:color w:val="auto"/>
          <w:sz w:val="24"/>
          <w:szCs w:val="24"/>
          <w:highlight w:val="none"/>
        </w:rPr>
        <w:t>★所使用的</w:t>
      </w:r>
      <w:r>
        <w:rPr>
          <w:rFonts w:hint="eastAsia" w:ascii="宋体" w:hAnsi="宋体" w:cs="宋体"/>
          <w:color w:val="auto"/>
          <w:sz w:val="24"/>
          <w:szCs w:val="24"/>
          <w:highlight w:val="none"/>
          <w:lang w:val="en-US" w:eastAsia="zh-CN"/>
        </w:rPr>
        <w:t>密封胶</w:t>
      </w:r>
      <w:r>
        <w:rPr>
          <w:rFonts w:hint="eastAsia" w:ascii="宋体" w:hAnsi="宋体" w:eastAsia="宋体" w:cs="宋体"/>
          <w:color w:val="auto"/>
          <w:sz w:val="24"/>
          <w:szCs w:val="24"/>
          <w:highlight w:val="none"/>
        </w:rPr>
        <w:t>应符合GB/T 14683-2017</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下垂度≤3mm，表干时间≤3h，挤出性≥150mL/min，弹性恢复率≥80%</w:t>
      </w:r>
      <w:r>
        <w:rPr>
          <w:rFonts w:hint="eastAsia" w:ascii="宋体" w:hAnsi="宋体" w:eastAsia="宋体" w:cs="宋体"/>
          <w:color w:val="auto"/>
          <w:sz w:val="24"/>
          <w:szCs w:val="24"/>
          <w:highlight w:val="none"/>
        </w:rPr>
        <w:t>。</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（10）微环境调控系统（</w:t>
      </w:r>
      <w:r>
        <w:rPr>
          <w:rFonts w:hint="eastAsia" w:ascii="宋体" w:hAnsi="宋体" w:cs="宋体"/>
          <w:color w:val="000000"/>
          <w:sz w:val="24"/>
          <w:szCs w:val="24"/>
          <w:lang w:val="en-US" w:eastAsia="zh-CN"/>
        </w:rPr>
        <w:t>调控</w:t>
      </w:r>
      <w:r>
        <w:rPr>
          <w:rFonts w:hint="eastAsia" w:ascii="宋体" w:hAnsi="宋体" w:cs="宋体"/>
          <w:color w:val="000000"/>
          <w:sz w:val="24"/>
          <w:szCs w:val="24"/>
        </w:rPr>
        <w:t>设备）要求</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调控范围：5</w:t>
      </w:r>
      <w:r>
        <w:rPr>
          <w:rFonts w:hint="eastAsia" w:ascii="宋体" w:hAnsi="宋体" w:cs="宋体"/>
          <w:color w:val="000000"/>
          <w:sz w:val="24"/>
          <w:szCs w:val="24"/>
          <w:lang w:val="en-US" w:eastAsia="zh-CN"/>
        </w:rPr>
        <w:t>m³</w:t>
      </w:r>
      <w:r>
        <w:rPr>
          <w:rFonts w:hint="eastAsia" w:ascii="宋体" w:hAnsi="宋体" w:cs="宋体"/>
          <w:color w:val="000000"/>
          <w:sz w:val="24"/>
          <w:szCs w:val="24"/>
          <w:lang w:eastAsia="zh-CN"/>
        </w:rPr>
        <w:t>/台；</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控湿精度：±3%RH，有效湿度控制范围为30%RH—70%RH；</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供电电源：220VAC/50Hz；</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额定功率：</w:t>
      </w:r>
      <w:r>
        <w:rPr>
          <w:rFonts w:hint="eastAsia" w:ascii="宋体" w:hAnsi="宋体" w:cs="宋体"/>
          <w:color w:val="000000"/>
          <w:sz w:val="24"/>
          <w:szCs w:val="24"/>
          <w:lang w:val="en-US" w:eastAsia="zh-CN"/>
        </w:rPr>
        <w:t>≤</w:t>
      </w:r>
      <w:r>
        <w:rPr>
          <w:rFonts w:hint="eastAsia" w:ascii="宋体" w:hAnsi="宋体" w:cs="宋体"/>
          <w:color w:val="000000"/>
          <w:sz w:val="24"/>
          <w:szCs w:val="24"/>
          <w:lang w:eastAsia="zh-CN"/>
        </w:rPr>
        <w:t>150W；</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整机重量：＜20kg；</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尺寸：</w:t>
      </w:r>
      <w:r>
        <w:rPr>
          <w:rFonts w:hint="eastAsia" w:ascii="宋体" w:hAnsi="宋体" w:cs="宋体"/>
          <w:color w:val="000000"/>
          <w:sz w:val="24"/>
          <w:szCs w:val="24"/>
          <w:lang w:val="en-US" w:eastAsia="zh-CN"/>
        </w:rPr>
        <w:t>≤</w:t>
      </w:r>
      <w:r>
        <w:rPr>
          <w:rFonts w:hint="eastAsia" w:ascii="宋体" w:hAnsi="宋体" w:cs="宋体"/>
          <w:color w:val="000000"/>
          <w:sz w:val="24"/>
          <w:szCs w:val="24"/>
          <w:lang w:eastAsia="zh-CN"/>
        </w:rPr>
        <w:t>480*350*200mm；</w:t>
      </w:r>
    </w:p>
    <w:p>
      <w:pPr>
        <w:numPr>
          <w:ilvl w:val="0"/>
          <w:numId w:val="20"/>
        </w:numPr>
        <w:spacing w:line="360" w:lineRule="auto"/>
        <w:ind w:left="0" w:leftChars="0"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蓄水箱容积：1.7L；</w:t>
      </w:r>
    </w:p>
    <w:p>
      <w:pPr>
        <w:numPr>
          <w:ilvl w:val="0"/>
          <w:numId w:val="20"/>
        </w:numPr>
        <w:spacing w:line="360" w:lineRule="auto"/>
        <w:ind w:left="0" w:leftChars="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远程操控：无线网络远程监控，调控环境湿度；</w:t>
      </w:r>
    </w:p>
    <w:p>
      <w:pPr>
        <w:numPr>
          <w:ilvl w:val="0"/>
          <w:numId w:val="20"/>
        </w:numPr>
        <w:spacing w:line="360" w:lineRule="auto"/>
        <w:ind w:left="0" w:leftChars="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使用环境：0℃-40℃；</w:t>
      </w:r>
    </w:p>
    <w:p>
      <w:pPr>
        <w:numPr>
          <w:ilvl w:val="0"/>
          <w:numId w:val="20"/>
        </w:numPr>
        <w:spacing w:line="360" w:lineRule="auto"/>
        <w:ind w:left="0" w:leftChars="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具备净化功能，内置环境净化模块，对馆藏文物储藏环境中的甲醛、乙醛等污染物具有驱除功能。</w:t>
      </w:r>
    </w:p>
    <w:p>
      <w:pPr>
        <w:numPr>
          <w:ilvl w:val="0"/>
          <w:numId w:val="20"/>
        </w:numPr>
        <w:spacing w:line="360" w:lineRule="auto"/>
        <w:ind w:left="0" w:leftChars="0" w:firstLine="480" w:firstLineChars="200"/>
        <w:rPr>
          <w:rFonts w:hint="eastAsia"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提供本项目展柜恒温恒湿智能调节系统相关计算机软件著作权登记证书。</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（11）无线温湿度监测终端要求</w:t>
      </w:r>
    </w:p>
    <w:p>
      <w:pPr>
        <w:numPr>
          <w:ilvl w:val="0"/>
          <w:numId w:val="21"/>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温度测量</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测量范围： -5℃～+50℃；</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测量精确度：±0.3℃@ (15℃～30℃) ±0.9℃@ (-5℃～40℃)；</w:t>
      </w:r>
    </w:p>
    <w:p>
      <w:pPr>
        <w:numPr>
          <w:ilvl w:val="0"/>
          <w:numId w:val="21"/>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湿度测量</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测量范围：10%RH～90%RH；</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分辨率：0.1%RH</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测量精确度：±2%RH@ (40%～80%RH) ±4%RH@ (80%～90%RH)；</w:t>
      </w:r>
    </w:p>
    <w:p>
      <w:pPr>
        <w:numPr>
          <w:ilvl w:val="0"/>
          <w:numId w:val="21"/>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工作时长</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采用超低功耗电路设计，锂电池供电在30分钟采样频率下可工作1年；</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12</w:t>
      </w:r>
      <w:r>
        <w:rPr>
          <w:rFonts w:hint="eastAsia" w:ascii="宋体" w:hAnsi="宋体" w:cs="宋体"/>
          <w:color w:val="000000"/>
          <w:sz w:val="24"/>
          <w:szCs w:val="24"/>
          <w:lang w:eastAsia="zh-CN"/>
        </w:rPr>
        <w:t>）无线有机挥发物VOC温湿度监测终端</w:t>
      </w:r>
      <w:r>
        <w:rPr>
          <w:rFonts w:hint="eastAsia" w:ascii="宋体" w:hAnsi="宋体" w:cs="宋体"/>
          <w:color w:val="000000"/>
          <w:sz w:val="24"/>
          <w:szCs w:val="24"/>
          <w:lang w:val="en-US" w:eastAsia="zh-CN"/>
        </w:rPr>
        <w:t>要求</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测量范围：0-10mg/m3；</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分辨率：0.1ug/ m3；</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测量精确度：±15%； </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温度测量范围：-5℃~70℃；</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测量精确度：±0.3℃@(15"C～30℃) ±0.9℃@(-5"C～40℃)； </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湿度测量范围：0%RH～98%RH；</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分辨率：0.1%RH；测量精确度：±2%RH@ (40%～80%RH) ±4%RH@ (80%～-90%RH)； </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电源供电：12-24VDC； </w:t>
      </w:r>
    </w:p>
    <w:p>
      <w:pPr>
        <w:numPr>
          <w:ilvl w:val="0"/>
          <w:numId w:val="22"/>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工作时长：锂电池供电40分钟采样一次可以工作一年以上。</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13</w:t>
      </w:r>
      <w:r>
        <w:rPr>
          <w:rFonts w:hint="eastAsia" w:ascii="宋体" w:hAnsi="宋体" w:cs="宋体"/>
          <w:color w:val="000000"/>
          <w:sz w:val="24"/>
          <w:szCs w:val="24"/>
          <w:lang w:eastAsia="zh-CN"/>
        </w:rPr>
        <w:t>）无线二氧化碳温湿度监测终端</w:t>
      </w:r>
      <w:r>
        <w:rPr>
          <w:rFonts w:hint="eastAsia" w:ascii="宋体" w:hAnsi="宋体" w:cs="宋体"/>
          <w:color w:val="000000"/>
          <w:sz w:val="24"/>
          <w:szCs w:val="24"/>
          <w:lang w:val="en-US" w:eastAsia="zh-CN"/>
        </w:rPr>
        <w:t>要求</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测量范围：300~20000ppm；</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分辨率：5ppm；</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测量精确度：±50ppm； </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温度测量范围：-5℃~70℃；</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测量精确度：±0.3℃@(15"C～30℃) ±0.9℃@(-5"C～40℃)； </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湿度测量范围：0%RH～98%RH；</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分辨率：0.1%RH；</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 xml:space="preserve">测量精确度：±2%RH@(40%～80%RH) ±4%RH@(80%～-90%RH)； </w:t>
      </w:r>
    </w:p>
    <w:p>
      <w:pPr>
        <w:numPr>
          <w:ilvl w:val="0"/>
          <w:numId w:val="23"/>
        </w:numPr>
        <w:spacing w:line="360" w:lineRule="auto"/>
        <w:ind w:left="0" w:leftChars="0" w:firstLine="40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工作时长：锂电池供电40分钟采样一次可以工作一年以上。</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14</w:t>
      </w:r>
      <w:r>
        <w:rPr>
          <w:rFonts w:hint="eastAsia" w:ascii="宋体" w:hAnsi="宋体" w:cs="宋体"/>
          <w:color w:val="000000"/>
          <w:sz w:val="24"/>
          <w:szCs w:val="24"/>
          <w:lang w:eastAsia="zh-CN"/>
        </w:rPr>
        <w:t>）无线中继</w:t>
      </w:r>
      <w:r>
        <w:rPr>
          <w:rFonts w:hint="eastAsia" w:ascii="宋体" w:hAnsi="宋体" w:cs="宋体"/>
          <w:color w:val="000000"/>
          <w:sz w:val="24"/>
          <w:szCs w:val="24"/>
          <w:lang w:val="en-US" w:eastAsia="zh-CN"/>
        </w:rPr>
        <w:t>要求</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数据传输：具有数据校验的能力。在收到数据包时，能够根据数据包的CRC信息验证数据的正确性；转发的数据包中携带CRC校验信息，在数据包被父节点收到后，上位机能验证数据的正确性；具有反馈能力，成功接收到数据包后，予以回复，表明成功接收状态；具有数据重发机制，当数据发送失败后，具有回避及重发机制。如果数据发送多次不成功，能够优选父节点，并重新发送；具有下行转发能力，自父节点接收下行包，并根据路由机制，转发至目标子节点；无线数据转发中继与上位机通过远程方式连接，可以通过多种方式如网线、3G、4G、WIFI等连入Internet；发送功率≤22dBm；通讯距离大于1000米（空旷条件下）。</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组网方式:具有自组织网络的能力，能够自行搜索及加入网络；具有周期性心跳包，周期性向网关发送心跳包以表征工作状态；具有记录和上报路由信息的能力，发出的心跳包到达数据转发中继的路径能够被上位机解析，供其描绘网络拓扑关系图；具有链路质量侦测能力。在信号微弱或不稳定情况下，能够自行判别，并搜索和优选更优质的网络传输路径。</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提供本项目自组网控制系统相关计算机软件著作权登记证书。</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供电方式：具有灵活的供电方式，以便灵活安装，直流低压供电与交流市电供电可选。</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外壳材料：采用铝合金材质的工程机外壳。</w:t>
      </w:r>
    </w:p>
    <w:p>
      <w:pPr>
        <w:numPr>
          <w:ilvl w:val="0"/>
          <w:numId w:val="24"/>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外壳材料：应采用对文物保存环境无污染的材料。</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15</w:t>
      </w:r>
      <w:r>
        <w:rPr>
          <w:rFonts w:hint="eastAsia" w:ascii="宋体" w:hAnsi="宋体" w:cs="宋体"/>
          <w:color w:val="000000"/>
          <w:sz w:val="24"/>
          <w:szCs w:val="24"/>
          <w:lang w:eastAsia="zh-CN"/>
        </w:rPr>
        <w:t>）交换机</w:t>
      </w:r>
      <w:r>
        <w:rPr>
          <w:rFonts w:hint="eastAsia" w:ascii="宋体" w:hAnsi="宋体" w:cs="宋体"/>
          <w:color w:val="000000"/>
          <w:sz w:val="24"/>
          <w:szCs w:val="24"/>
          <w:lang w:val="en-US" w:eastAsia="zh-CN"/>
        </w:rPr>
        <w:t>要求</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网络：IEEE 802.3 、IEEE 802.3i、IEEE 802.3u、IEEE 802.3ab、IEEE 802.3x；</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全千兆交换机，企业级交换器，监控网络网线分线器；</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接入网关数据，数量根据建筑体实际数量可调整，装入网络通讯箱。</w:t>
      </w:r>
    </w:p>
    <w:p>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16</w:t>
      </w:r>
      <w:r>
        <w:rPr>
          <w:rFonts w:hint="eastAsia" w:ascii="宋体" w:hAnsi="宋体" w:cs="宋体"/>
          <w:color w:val="000000"/>
          <w:sz w:val="24"/>
          <w:szCs w:val="24"/>
          <w:lang w:eastAsia="zh-CN"/>
        </w:rPr>
        <w:t>）机柜</w:t>
      </w:r>
      <w:r>
        <w:rPr>
          <w:rFonts w:hint="eastAsia" w:ascii="宋体" w:hAnsi="宋体" w:cs="宋体"/>
          <w:color w:val="000000"/>
          <w:sz w:val="24"/>
          <w:szCs w:val="24"/>
          <w:lang w:val="en-US" w:eastAsia="zh-CN"/>
        </w:rPr>
        <w:t>要求</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包含配光纤终端盒、电源插板、空开、锁；</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功能：UPS稳压功能；</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长宽高：可根据实际情况调整。</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（17）博物馆文物保存环境监测系统软件</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可视化软件界面可实时显示温度、湿度、光照度、二氧化碳、大气有机挥发物等监测数值，提供软件截图并加盖公章。</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所有监测点要求采用一套监测系统（总控）来管理与控制。提供实时数据列表显示和图形化显示功能，用户可实时查看监测点的数据信息。总控计算机采用高性能 PC 服务器，能实现24小时不间断工作。</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监测点部署与显示：可设置监测点的数据接收检查周期、监测点自定义名称。数据接收检查周期用于避免监测网络受到干扰时产生无效数据，保证监测数据的连续性和有效性。监测点自定义名称用于以曲线图方式显示监测点数据时辨识监测点位置属性。</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历史数据查询：用户可查询已选监测点的历史数据及对多个监测参数进行图形化叠加对比分析，且图形化显示可按监测点编号、监测量类型、指定时间段等获取历史数据并以图形呈现。</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提供本项目文物预防性保护环境监测相关计算机软件著作权登记证书。</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eastAsia="宋体" w:cs="宋体"/>
          <w:color w:val="auto"/>
          <w:sz w:val="24"/>
          <w:szCs w:val="24"/>
          <w:highlight w:val="none"/>
        </w:rPr>
        <w:t>★</w:t>
      </w:r>
      <w:r>
        <w:rPr>
          <w:rFonts w:hint="eastAsia" w:ascii="宋体" w:hAnsi="宋体" w:cs="宋体"/>
          <w:color w:val="000000"/>
          <w:sz w:val="24"/>
          <w:szCs w:val="24"/>
          <w:lang w:val="en-US" w:eastAsia="zh-CN"/>
        </w:rPr>
        <w:t>提供本项目文物预防性保护环境调控相关计算机软件著作权登记证书。</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报警设置：当监测点的数据达到或超过用户设定的报警值时，系统通过信息推送或电子邮件等方式向指定人员发出报警，提示监测数据已达到或超过报警值。</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用户管理：提供应用管理机制，支持对应用程序的调度与管理，可以在进程/线程总数、每类应用程序总数和调度策略上进行管理；提供统一监控管理工具。支持对本地和其它远程节点消息中间件、消息及应用状态进行监控管理；提供完善的日志机制。支持多级别日志配置管理机制，支持产生系统日志、数据包日志等多种日志，支持通过日志审计、跟踪系统的运行状态，对系统和应用的运行状态进行跟踪、调试和排错处理。</w:t>
      </w:r>
    </w:p>
    <w:p>
      <w:pPr>
        <w:numPr>
          <w:ilvl w:val="0"/>
          <w:numId w:val="18"/>
        </w:numPr>
        <w:spacing w:line="360" w:lineRule="auto"/>
        <w:ind w:left="0" w:leftChars="0" w:firstLine="400" w:firstLineChars="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用户权限：系统管理员可针对不同的用户类别分别设置权限；可控制用户是否具有观察权限、用户管理权限、数据导出权限、节点管理等权限。</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18</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其他要求</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val="en-US" w:eastAsia="zh-CN"/>
        </w:rPr>
        <w:t>服务器：</w:t>
      </w:r>
      <w:r>
        <w:rPr>
          <w:rFonts w:hint="eastAsia" w:ascii="宋体" w:hAnsi="宋体" w:cs="宋体"/>
          <w:color w:val="000000"/>
          <w:sz w:val="24"/>
          <w:szCs w:val="24"/>
          <w:lang w:eastAsia="zh-CN"/>
        </w:rPr>
        <w:t>数据库/WEB/应用服务器。</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显示器：75寸展示大屏系统。</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专用网线：6类规格网线（根据实际情况调整数量）。</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布线辅料：穿线管，固定线卡，接线头，网线水晶头，防水胶带等。</w:t>
      </w:r>
    </w:p>
    <w:p>
      <w:pPr>
        <w:spacing w:line="360" w:lineRule="auto"/>
        <w:ind w:firstLine="480" w:firstLineChars="20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3、展陈文物保存设施清单</w:t>
      </w:r>
    </w:p>
    <w:tbl>
      <w:tblPr>
        <w:tblStyle w:val="71"/>
        <w:tblW w:w="4707" w:type="pct"/>
        <w:tblInd w:w="566" w:type="dxa"/>
        <w:tblLayout w:type="fixed"/>
        <w:tblCellMar>
          <w:top w:w="0" w:type="dxa"/>
          <w:left w:w="108" w:type="dxa"/>
          <w:bottom w:w="0" w:type="dxa"/>
          <w:right w:w="108" w:type="dxa"/>
        </w:tblCellMar>
      </w:tblPr>
      <w:tblGrid>
        <w:gridCol w:w="720"/>
        <w:gridCol w:w="1930"/>
        <w:gridCol w:w="1354"/>
        <w:gridCol w:w="1161"/>
        <w:gridCol w:w="1162"/>
        <w:gridCol w:w="1065"/>
        <w:gridCol w:w="816"/>
        <w:gridCol w:w="749"/>
      </w:tblGrid>
      <w:tr>
        <w:tblPrEx>
          <w:tblCellMar>
            <w:top w:w="0" w:type="dxa"/>
            <w:left w:w="108" w:type="dxa"/>
            <w:bottom w:w="0" w:type="dxa"/>
            <w:right w:w="108" w:type="dxa"/>
          </w:tblCellMar>
        </w:tblPrEx>
        <w:trPr>
          <w:trHeight w:val="336" w:hRule="atLeast"/>
        </w:trPr>
        <w:tc>
          <w:tcPr>
            <w:tcW w:w="401"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序号</w:t>
            </w:r>
          </w:p>
        </w:tc>
        <w:tc>
          <w:tcPr>
            <w:tcW w:w="1077"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类别</w:t>
            </w:r>
          </w:p>
        </w:tc>
        <w:tc>
          <w:tcPr>
            <w:tcW w:w="755"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名称</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规格尺寸（mm）</w:t>
            </w:r>
          </w:p>
        </w:tc>
        <w:tc>
          <w:tcPr>
            <w:tcW w:w="455"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数量</w:t>
            </w:r>
          </w:p>
        </w:tc>
        <w:tc>
          <w:tcPr>
            <w:tcW w:w="418"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单位</w:t>
            </w:r>
          </w:p>
        </w:tc>
      </w:tr>
      <w:tr>
        <w:tblPrEx>
          <w:tblCellMar>
            <w:top w:w="0" w:type="dxa"/>
            <w:left w:w="108" w:type="dxa"/>
            <w:bottom w:w="0" w:type="dxa"/>
            <w:right w:w="108" w:type="dxa"/>
          </w:tblCellMar>
        </w:tblPrEx>
        <w:trPr>
          <w:trHeight w:val="90" w:hRule="atLeast"/>
        </w:trPr>
        <w:tc>
          <w:tcPr>
            <w:tcW w:w="401"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1077"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755"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648" w:type="pct"/>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长</w:t>
            </w:r>
          </w:p>
        </w:tc>
        <w:tc>
          <w:tcPr>
            <w:tcW w:w="648" w:type="pct"/>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宽</w:t>
            </w:r>
          </w:p>
        </w:tc>
        <w:tc>
          <w:tcPr>
            <w:tcW w:w="594"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高</w:t>
            </w:r>
          </w:p>
        </w:tc>
        <w:tc>
          <w:tcPr>
            <w:tcW w:w="455"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418"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107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第一展厅展柜</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w:t>
            </w:r>
          </w:p>
        </w:tc>
        <w:tc>
          <w:tcPr>
            <w:tcW w:w="648" w:type="pct"/>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1855</w:t>
            </w:r>
          </w:p>
        </w:tc>
        <w:tc>
          <w:tcPr>
            <w:tcW w:w="648" w:type="pct"/>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3200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2217</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3200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通柜3</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2138</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3200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4</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第二展厅展柜</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独立柜</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1200</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1200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2200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5</w:t>
            </w:r>
          </w:p>
        </w:tc>
        <w:tc>
          <w:tcPr>
            <w:tcW w:w="107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第三展厅展柜</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4200</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6</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6017</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7</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通柜3</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5385</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8</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通柜4</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3070</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通柜5</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5781</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10</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通柜6</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6362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11</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通柜7</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3569</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12</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通柜8</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2549</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13</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通柜9</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2152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14</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通柜10</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3771</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15</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通柜11</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4029</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16</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3114</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17</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通柜13</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5392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18</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通柜14</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2933</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19</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通柜15</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2768</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20</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通柜16</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4192</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21</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通柜17</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6406</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22</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通柜18</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4158</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23</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通柜19</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3426</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40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24</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通柜20</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6421</w:t>
            </w:r>
          </w:p>
        </w:tc>
        <w:tc>
          <w:tcPr>
            <w:tcW w:w="6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900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3080</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25</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微环境调控设备</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恒湿机</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25</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26</w:t>
            </w:r>
          </w:p>
        </w:tc>
        <w:tc>
          <w:tcPr>
            <w:tcW w:w="107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馆藏文物保存环境监测系统</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无线温湿度监测终端</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20</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只</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27</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无线有机挥发物VOC温湿度监测终端</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45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只</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28</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无线二氧化碳温湿度监测终端</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45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只</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29</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无线中继</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只</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30</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交换机</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31</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服务器</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32</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机柜</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33</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显示器</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台</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34</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专用网线</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1300</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米</w:t>
            </w:r>
          </w:p>
        </w:tc>
      </w:tr>
      <w:tr>
        <w:tblPrEx>
          <w:tblCellMar>
            <w:top w:w="0" w:type="dxa"/>
            <w:left w:w="108" w:type="dxa"/>
            <w:bottom w:w="0" w:type="dxa"/>
            <w:right w:w="108" w:type="dxa"/>
          </w:tblCellMar>
        </w:tblPrEx>
        <w:trPr>
          <w:trHeight w:val="567"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35</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布线辅料</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项</w:t>
            </w:r>
          </w:p>
        </w:tc>
      </w:tr>
      <w:tr>
        <w:tblPrEx>
          <w:tblCellMar>
            <w:top w:w="0" w:type="dxa"/>
            <w:left w:w="108" w:type="dxa"/>
            <w:bottom w:w="0" w:type="dxa"/>
            <w:right w:w="108" w:type="dxa"/>
          </w:tblCellMar>
        </w:tblPrEx>
        <w:trPr>
          <w:trHeight w:val="212" w:hRule="atLeast"/>
        </w:trPr>
        <w:tc>
          <w:tcPr>
            <w:tcW w:w="4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36</w:t>
            </w:r>
          </w:p>
        </w:tc>
        <w:tc>
          <w:tcPr>
            <w:tcW w:w="107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p>
        </w:tc>
        <w:tc>
          <w:tcPr>
            <w:tcW w:w="75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博物馆文物保存环境监测系统软件</w:t>
            </w:r>
          </w:p>
        </w:tc>
        <w:tc>
          <w:tcPr>
            <w:tcW w:w="189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lang w:eastAsia="zh-CN"/>
              </w:rPr>
            </w:pPr>
          </w:p>
        </w:tc>
        <w:tc>
          <w:tcPr>
            <w:tcW w:w="4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套</w:t>
            </w:r>
          </w:p>
        </w:tc>
      </w:tr>
    </w:tbl>
    <w:p>
      <w:pPr>
        <w:spacing w:line="360" w:lineRule="auto"/>
        <w:ind w:firstLine="480" w:firstLineChars="200"/>
        <w:jc w:val="left"/>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、项目实施要求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（1）本项目实施期间不得影响采购人的正常运营开放，应设置外观具有一定美化性的围挡、悬挂等进行遮挡，并进行噪音控制。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（2）本项目实施期间需对相关文物展品进行提取转运，完成后再进行陈列布展，在此过程中标供应商须严格保障文物安全。</w:t>
      </w:r>
      <w:bookmarkEnd w:id="52"/>
    </w:p>
    <w:p>
      <w:pPr>
        <w:spacing w:before="107" w:line="240" w:lineRule="auto"/>
        <w:ind w:left="480" w:hanging="480" w:hangingChars="200"/>
        <w:rPr>
          <w:rFonts w:hint="eastAsia"/>
          <w:sz w:val="24"/>
          <w:szCs w:val="24"/>
          <w:lang w:val="en-US" w:eastAsia="zh-CN"/>
        </w:rPr>
      </w:pPr>
    </w:p>
    <w:p>
      <w:pPr>
        <w:spacing w:before="107" w:line="240" w:lineRule="auto"/>
        <w:ind w:left="480" w:hanging="480" w:hangingChars="200"/>
        <w:rPr>
          <w:rFonts w:hint="eastAsia"/>
          <w:sz w:val="24"/>
          <w:szCs w:val="24"/>
          <w:lang w:val="en-US" w:eastAsia="zh-CN"/>
        </w:rPr>
      </w:pPr>
    </w:p>
    <w:p>
      <w:pPr>
        <w:spacing w:before="107" w:line="240" w:lineRule="auto"/>
        <w:ind w:left="480" w:hanging="480" w:hangingChars="200"/>
        <w:rPr>
          <w:rFonts w:hint="eastAsia"/>
          <w:sz w:val="24"/>
          <w:szCs w:val="24"/>
          <w:lang w:val="en-US" w:eastAsia="zh-CN"/>
        </w:rPr>
      </w:pPr>
    </w:p>
    <w:p>
      <w:pPr>
        <w:spacing w:before="107" w:line="240" w:lineRule="auto"/>
        <w:ind w:left="480" w:hanging="480" w:hangingChars="200"/>
        <w:rPr>
          <w:rFonts w:hint="eastAsia"/>
          <w:sz w:val="24"/>
          <w:szCs w:val="24"/>
          <w:lang w:val="en-US" w:eastAsia="zh-CN"/>
        </w:rPr>
      </w:pPr>
    </w:p>
    <w:p>
      <w:pPr>
        <w:spacing w:before="107" w:line="240" w:lineRule="auto"/>
        <w:ind w:left="480" w:hanging="480" w:hangingChars="200"/>
        <w:rPr>
          <w:rFonts w:hint="eastAsia"/>
          <w:sz w:val="24"/>
          <w:szCs w:val="24"/>
          <w:lang w:val="en-US" w:eastAsia="zh-CN"/>
        </w:rPr>
      </w:pPr>
    </w:p>
    <w:p>
      <w:pPr>
        <w:spacing w:before="107" w:line="240" w:lineRule="auto"/>
        <w:ind w:left="480" w:hanging="480" w:hangingChars="200"/>
        <w:rPr>
          <w:rFonts w:hint="eastAsia"/>
          <w:sz w:val="24"/>
          <w:szCs w:val="24"/>
          <w:lang w:val="en-US" w:eastAsia="zh-CN"/>
        </w:rPr>
      </w:pPr>
    </w:p>
    <w:p>
      <w:pPr>
        <w:pBdr>
          <w:bottom w:val="dotted" w:color="auto" w:sz="24" w:space="1"/>
        </w:pBdr>
        <w:spacing w:line="240" w:lineRule="auto"/>
        <w:jc w:val="both"/>
        <w:rPr>
          <w:rFonts w:hint="eastAsia" w:ascii="宋体" w:hAnsi="宋体" w:eastAsia="宋体" w:cs="宋体"/>
        </w:rPr>
      </w:pPr>
      <w:bookmarkStart w:id="53" w:name="_Toc2172"/>
    </w:p>
    <w:p>
      <w:pPr>
        <w:pBdr>
          <w:bottom w:val="dotted" w:color="auto" w:sz="24" w:space="1"/>
        </w:pBdr>
        <w:spacing w:line="240" w:lineRule="auto"/>
        <w:jc w:val="center"/>
        <w:rPr>
          <w:rFonts w:hint="eastAsia" w:ascii="宋体" w:hAnsi="宋体" w:eastAsia="宋体" w:cs="宋体"/>
          <w:sz w:val="44"/>
          <w:szCs w:val="44"/>
        </w:rPr>
      </w:pPr>
      <w:r>
        <w:rPr>
          <w:rFonts w:hint="eastAsia" w:ascii="宋体" w:hAnsi="宋体" w:eastAsia="宋体" w:cs="宋体"/>
          <w:sz w:val="44"/>
          <w:szCs w:val="44"/>
        </w:rPr>
        <w:br w:type="page"/>
      </w:r>
      <w:r>
        <w:rPr>
          <w:rFonts w:hint="eastAsia" w:ascii="宋体" w:hAnsi="宋体" w:eastAsia="宋体" w:cs="宋体"/>
          <w:sz w:val="44"/>
          <w:szCs w:val="44"/>
        </w:rPr>
        <w:t>第</w:t>
      </w:r>
      <w:bookmarkStart w:id="54" w:name="_Hlt240110027"/>
      <w:bookmarkEnd w:id="54"/>
      <w:r>
        <w:rPr>
          <w:rFonts w:hint="eastAsia" w:ascii="宋体" w:hAnsi="宋体" w:eastAsia="宋体" w:cs="宋体"/>
          <w:sz w:val="44"/>
          <w:szCs w:val="44"/>
        </w:rPr>
        <w:t>四章 评标办法</w:t>
      </w:r>
      <w:bookmarkEnd w:id="50"/>
      <w:bookmarkEnd w:id="53"/>
    </w:p>
    <w:p>
      <w:pPr>
        <w:tabs>
          <w:tab w:val="left" w:pos="360"/>
          <w:tab w:val="left" w:pos="540"/>
          <w:tab w:val="left" w:pos="3600"/>
          <w:tab w:val="left" w:pos="3780"/>
          <w:tab w:val="left" w:pos="8460"/>
          <w:tab w:val="left" w:pos="9180"/>
        </w:tabs>
        <w:adjustRightInd w:val="0"/>
        <w:snapToGrid w:val="0"/>
        <w:spacing w:line="360" w:lineRule="auto"/>
        <w:ind w:firstLine="3313" w:firstLineChars="1375"/>
        <w:rPr>
          <w:rFonts w:hint="eastAsia" w:ascii="宋体" w:hAnsi="宋体" w:eastAsia="宋体" w:cs="宋体"/>
          <w:b/>
          <w:sz w:val="24"/>
        </w:rPr>
      </w:pPr>
      <w:bookmarkStart w:id="55" w:name="_Toc10750_WPSOffice_Level2"/>
      <w:r>
        <w:rPr>
          <w:rFonts w:hint="eastAsia" w:ascii="宋体" w:hAnsi="宋体" w:eastAsia="宋体" w:cs="宋体"/>
          <w:b/>
          <w:sz w:val="24"/>
        </w:rPr>
        <w:t>一．总  则</w:t>
      </w:r>
      <w:bookmarkEnd w:id="55"/>
    </w:p>
    <w:p>
      <w:pPr>
        <w:adjustRightInd w:val="0"/>
        <w:snapToGrid w:val="0"/>
        <w:spacing w:line="360" w:lineRule="auto"/>
        <w:ind w:right="-10" w:firstLine="422" w:firstLineChars="175"/>
        <w:rPr>
          <w:rFonts w:hint="eastAsia" w:ascii="宋体" w:hAnsi="宋体" w:eastAsia="宋体" w:cs="宋体"/>
          <w:b/>
          <w:bCs/>
          <w:sz w:val="24"/>
        </w:rPr>
      </w:pPr>
      <w:r>
        <w:rPr>
          <w:rFonts w:hint="eastAsia" w:ascii="宋体" w:hAnsi="宋体" w:eastAsia="宋体" w:cs="宋体"/>
          <w:b/>
          <w:bCs/>
          <w:sz w:val="24"/>
        </w:rPr>
        <w:t xml:space="preserve">第一条 </w:t>
      </w:r>
      <w:r>
        <w:rPr>
          <w:rFonts w:hint="eastAsia" w:ascii="宋体" w:hAnsi="宋体" w:eastAsia="宋体" w:cs="宋体"/>
          <w:sz w:val="24"/>
        </w:rPr>
        <w:t>为了做好</w:t>
      </w:r>
      <w:r>
        <w:rPr>
          <w:rFonts w:hint="eastAsia" w:ascii="宋体" w:hAnsi="宋体" w:eastAsia="宋体" w:cs="宋体"/>
          <w:b/>
          <w:bCs/>
          <w:sz w:val="24"/>
        </w:rPr>
        <w:t>本项目（</w:t>
      </w:r>
      <w:r>
        <w:rPr>
          <w:rFonts w:hint="eastAsia" w:ascii="宋体" w:hAnsi="宋体" w:eastAsia="宋体" w:cs="宋体"/>
          <w:b/>
          <w:sz w:val="24"/>
        </w:rPr>
        <w:t>项目编号:</w:t>
      </w:r>
      <w:r>
        <w:rPr>
          <w:rFonts w:hint="eastAsia" w:ascii="宋体" w:hAnsi="宋体" w:eastAsia="宋体" w:cs="宋体"/>
          <w:b/>
          <w:sz w:val="24"/>
          <w:lang w:val="en-US" w:eastAsia="zh-CN"/>
        </w:rPr>
        <w:t xml:space="preserve"> </w:t>
      </w:r>
      <w:r>
        <w:rPr>
          <w:rFonts w:hint="eastAsia" w:ascii="宋体" w:hAnsi="宋体" w:eastAsia="宋体" w:cs="宋体"/>
          <w:color w:val="000000"/>
          <w:sz w:val="24"/>
          <w:szCs w:val="24"/>
        </w:rPr>
        <w:t xml:space="preserve"> </w:t>
      </w:r>
      <w:r>
        <w:rPr>
          <w:rFonts w:hint="eastAsia" w:ascii="宋体" w:hAnsi="宋体" w:eastAsia="宋体" w:cs="宋体"/>
          <w:i w:val="0"/>
          <w:iCs w:val="0"/>
          <w:sz w:val="24"/>
          <w:szCs w:val="24"/>
          <w:lang w:val="en-US" w:eastAsia="zh-CN"/>
        </w:rPr>
        <w:t>周财招标采购-2024-20</w:t>
      </w:r>
      <w:r>
        <w:rPr>
          <w:rFonts w:hint="eastAsia" w:ascii="宋体" w:hAnsi="宋体" w:eastAsia="宋体" w:cs="宋体"/>
          <w:b/>
          <w:sz w:val="24"/>
        </w:rPr>
        <w:t>号</w:t>
      </w:r>
      <w:r>
        <w:rPr>
          <w:rFonts w:hint="eastAsia" w:ascii="宋体" w:hAnsi="宋体" w:eastAsia="宋体" w:cs="宋体"/>
          <w:b/>
          <w:bCs/>
          <w:sz w:val="24"/>
        </w:rPr>
        <w:t>）</w:t>
      </w:r>
      <w:r>
        <w:rPr>
          <w:rFonts w:hint="eastAsia" w:ascii="宋体" w:hAnsi="宋体" w:eastAsia="宋体" w:cs="宋体"/>
          <w:sz w:val="24"/>
        </w:rPr>
        <w:t>的招标评标工作，保证项目评审工作的正常有序进行，维护采购人、投标人的合法权益，依据《中华人民共和国政府采购法》及其它相关法律法规，本着公开、公平、公正的原则，制定评标办法。</w:t>
      </w:r>
    </w:p>
    <w:p>
      <w:pPr>
        <w:adjustRightInd w:val="0"/>
        <w:snapToGrid w:val="0"/>
        <w:spacing w:line="360" w:lineRule="auto"/>
        <w:ind w:right="-10" w:firstLine="422" w:firstLineChars="175"/>
        <w:rPr>
          <w:rFonts w:hint="eastAsia" w:ascii="宋体" w:hAnsi="宋体" w:eastAsia="宋体" w:cs="宋体"/>
          <w:sz w:val="24"/>
        </w:rPr>
      </w:pPr>
      <w:r>
        <w:rPr>
          <w:rFonts w:hint="eastAsia" w:ascii="宋体" w:hAnsi="宋体" w:eastAsia="宋体" w:cs="宋体"/>
          <w:b/>
          <w:bCs/>
          <w:sz w:val="24"/>
        </w:rPr>
        <w:t xml:space="preserve">第二条 </w:t>
      </w:r>
      <w:r>
        <w:rPr>
          <w:rFonts w:hint="eastAsia" w:ascii="宋体" w:hAnsi="宋体" w:eastAsia="宋体" w:cs="宋体"/>
          <w:sz w:val="24"/>
        </w:rPr>
        <w:t>本次项目评标采用</w:t>
      </w:r>
      <w:r>
        <w:rPr>
          <w:rFonts w:hint="eastAsia" w:ascii="宋体" w:hAnsi="宋体" w:eastAsia="宋体" w:cs="宋体"/>
          <w:b/>
          <w:sz w:val="24"/>
        </w:rPr>
        <w:t>综合评分法</w:t>
      </w:r>
      <w:r>
        <w:rPr>
          <w:rFonts w:hint="eastAsia" w:ascii="宋体" w:hAnsi="宋体" w:eastAsia="宋体" w:cs="宋体"/>
          <w:sz w:val="24"/>
        </w:rPr>
        <w:t>作为对投标人标书的比较方法。</w:t>
      </w:r>
    </w:p>
    <w:p>
      <w:pPr>
        <w:adjustRightInd w:val="0"/>
        <w:snapToGrid w:val="0"/>
        <w:spacing w:line="360" w:lineRule="auto"/>
        <w:ind w:left="-61" w:leftChars="-29" w:right="-10" w:firstLine="482" w:firstLineChars="200"/>
        <w:rPr>
          <w:rFonts w:hint="eastAsia" w:ascii="宋体" w:hAnsi="宋体" w:eastAsia="宋体" w:cs="宋体"/>
          <w:sz w:val="24"/>
        </w:rPr>
      </w:pPr>
      <w:r>
        <w:rPr>
          <w:rFonts w:hint="eastAsia" w:ascii="宋体" w:hAnsi="宋体" w:eastAsia="宋体" w:cs="宋体"/>
          <w:b/>
          <w:sz w:val="24"/>
        </w:rPr>
        <w:t xml:space="preserve">第三条 </w:t>
      </w:r>
      <w:r>
        <w:rPr>
          <w:rFonts w:hint="eastAsia" w:ascii="宋体" w:hAnsi="宋体" w:eastAsia="宋体" w:cs="宋体"/>
          <w:sz w:val="24"/>
        </w:rPr>
        <w:t>按照《中华人民共和国政府采购法》及其相关规定组成评标委员会负责本项目的评审工作。评标委员会</w:t>
      </w:r>
      <w:r>
        <w:rPr>
          <w:rFonts w:hint="eastAsia" w:ascii="宋体" w:hAnsi="宋体" w:eastAsia="宋体" w:cs="宋体"/>
          <w:sz w:val="24"/>
          <w:szCs w:val="22"/>
        </w:rPr>
        <w:t>在政府采购专家库中随机抽取。</w:t>
      </w:r>
    </w:p>
    <w:p>
      <w:pPr>
        <w:adjustRightInd w:val="0"/>
        <w:snapToGrid w:val="0"/>
        <w:spacing w:line="360" w:lineRule="auto"/>
        <w:ind w:right="-10" w:firstLine="482" w:firstLineChars="200"/>
        <w:rPr>
          <w:rFonts w:hint="eastAsia" w:ascii="宋体" w:hAnsi="宋体" w:eastAsia="宋体" w:cs="宋体"/>
          <w:sz w:val="24"/>
        </w:rPr>
      </w:pPr>
      <w:r>
        <w:rPr>
          <w:rFonts w:hint="eastAsia" w:ascii="宋体" w:hAnsi="宋体" w:eastAsia="宋体" w:cs="宋体"/>
          <w:b/>
          <w:sz w:val="24"/>
        </w:rPr>
        <w:t xml:space="preserve">第四条 </w:t>
      </w:r>
      <w:r>
        <w:rPr>
          <w:rFonts w:hint="eastAsia" w:ascii="宋体" w:hAnsi="宋体" w:eastAsia="宋体" w:cs="宋体"/>
          <w:sz w:val="24"/>
        </w:rPr>
        <w:t>评委会按照“客观公正，实事求是”的原则，评价参加本次招标的投标人所提供的产品价格、性能、质量、服务及对招标文件的符合性及响应性。</w:t>
      </w:r>
    </w:p>
    <w:p>
      <w:pPr>
        <w:adjustRightInd w:val="0"/>
        <w:snapToGrid w:val="0"/>
        <w:spacing w:line="360" w:lineRule="auto"/>
        <w:jc w:val="center"/>
        <w:rPr>
          <w:rFonts w:hint="eastAsia" w:ascii="宋体" w:hAnsi="宋体" w:eastAsia="宋体" w:cs="宋体"/>
          <w:sz w:val="24"/>
        </w:rPr>
      </w:pPr>
      <w:bookmarkStart w:id="56" w:name="_Toc31922_WPSOffice_Level2"/>
      <w:r>
        <w:rPr>
          <w:rFonts w:hint="eastAsia" w:ascii="宋体" w:hAnsi="宋体" w:eastAsia="宋体" w:cs="宋体"/>
          <w:b/>
          <w:sz w:val="24"/>
        </w:rPr>
        <w:t>二．评标程序及评审细则</w:t>
      </w:r>
      <w:bookmarkEnd w:id="56"/>
    </w:p>
    <w:p>
      <w:pPr>
        <w:adjustRightInd w:val="0"/>
        <w:snapToGrid w:val="0"/>
        <w:spacing w:line="360" w:lineRule="auto"/>
        <w:ind w:right="-10" w:firstLine="422" w:firstLineChars="175"/>
        <w:rPr>
          <w:rFonts w:hint="eastAsia" w:ascii="宋体" w:hAnsi="宋体" w:eastAsia="宋体" w:cs="宋体"/>
          <w:bCs/>
          <w:sz w:val="24"/>
        </w:rPr>
      </w:pPr>
      <w:r>
        <w:rPr>
          <w:rFonts w:hint="eastAsia" w:ascii="宋体" w:hAnsi="宋体" w:eastAsia="宋体" w:cs="宋体"/>
          <w:b/>
          <w:bCs/>
          <w:sz w:val="24"/>
        </w:rPr>
        <w:t>第五条</w:t>
      </w:r>
      <w:r>
        <w:rPr>
          <w:rFonts w:hint="eastAsia" w:ascii="宋体" w:hAnsi="宋体" w:eastAsia="宋体" w:cs="宋体"/>
          <w:bCs/>
          <w:sz w:val="24"/>
        </w:rPr>
        <w:t xml:space="preserve"> 评标工作于开标后进行。评委会应认真研究招标文件，至少应了解和熟悉以下内容：</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（一）招标的目标；</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（二）招标项目的范围和性质；</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（三）招标文件中规定的主要技术要求、标准和商务条款；</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（四）招标文件规定的评标标准、评标方法和在评标过程中考虑的相关因素。</w:t>
      </w:r>
    </w:p>
    <w:p>
      <w:pPr>
        <w:adjustRightInd w:val="0"/>
        <w:snapToGrid w:val="0"/>
        <w:spacing w:line="360" w:lineRule="auto"/>
        <w:ind w:right="-10" w:firstLine="422" w:firstLineChars="175"/>
        <w:rPr>
          <w:rFonts w:hint="eastAsia" w:ascii="宋体" w:hAnsi="宋体" w:eastAsia="宋体" w:cs="宋体"/>
          <w:bCs/>
          <w:sz w:val="24"/>
        </w:rPr>
      </w:pPr>
      <w:r>
        <w:rPr>
          <w:rFonts w:hint="eastAsia" w:ascii="宋体" w:hAnsi="宋体" w:eastAsia="宋体" w:cs="宋体"/>
          <w:b/>
          <w:bCs/>
          <w:sz w:val="24"/>
        </w:rPr>
        <w:t>第六条</w:t>
      </w:r>
      <w:r>
        <w:rPr>
          <w:rFonts w:hint="eastAsia" w:ascii="宋体" w:hAnsi="宋体" w:eastAsia="宋体" w:cs="宋体"/>
          <w:bCs/>
          <w:sz w:val="24"/>
        </w:rPr>
        <w:t xml:space="preserve"> 有效投标应符合以下原则：</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（一）满足招标文件的实质性要求；</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（二）无重大偏离、保留或采购人不能接受的附加条件；</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（三）通过投标符合性审查；</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（四）评委会依据招标文件认定的其他原则；</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（五）商务偏差表或技术偏差表数据不存在弄虚作假现象；</w:t>
      </w:r>
    </w:p>
    <w:p>
      <w:pPr>
        <w:adjustRightInd w:val="0"/>
        <w:snapToGrid w:val="0"/>
        <w:spacing w:line="360" w:lineRule="auto"/>
        <w:ind w:right="-10" w:firstLine="420" w:firstLineChars="175"/>
        <w:rPr>
          <w:rFonts w:hint="eastAsia" w:ascii="宋体" w:hAnsi="宋体" w:eastAsia="宋体" w:cs="宋体"/>
          <w:bCs/>
          <w:sz w:val="24"/>
        </w:rPr>
      </w:pPr>
      <w:r>
        <w:rPr>
          <w:rFonts w:hint="eastAsia" w:ascii="宋体" w:hAnsi="宋体" w:eastAsia="宋体" w:cs="宋体"/>
          <w:bCs/>
          <w:sz w:val="24"/>
        </w:rPr>
        <w:t>（六）投标人报价未超过采购人的采购预算；</w:t>
      </w:r>
    </w:p>
    <w:p>
      <w:pPr>
        <w:adjustRightInd w:val="0"/>
        <w:snapToGrid w:val="0"/>
        <w:spacing w:line="360" w:lineRule="auto"/>
        <w:ind w:right="-10" w:firstLine="482" w:firstLineChars="200"/>
        <w:rPr>
          <w:rFonts w:hint="eastAsia" w:ascii="宋体" w:hAnsi="宋体" w:eastAsia="宋体" w:cs="宋体"/>
          <w:bCs/>
          <w:sz w:val="24"/>
          <w:szCs w:val="22"/>
        </w:rPr>
      </w:pPr>
      <w:r>
        <w:rPr>
          <w:rFonts w:hint="eastAsia" w:ascii="宋体" w:hAnsi="宋体" w:eastAsia="宋体" w:cs="宋体"/>
          <w:b/>
          <w:sz w:val="24"/>
        </w:rPr>
        <w:t xml:space="preserve">第七条 </w:t>
      </w:r>
      <w:r>
        <w:rPr>
          <w:rFonts w:hint="eastAsia" w:ascii="宋体" w:hAnsi="宋体" w:eastAsia="宋体" w:cs="宋体"/>
          <w:sz w:val="24"/>
        </w:rPr>
        <w:t>评委会从每个投标人的投标文件开始独立评审，对开标后投标人所提出的优惠条件不予以考虑。按</w:t>
      </w:r>
      <w:r>
        <w:rPr>
          <w:rFonts w:hint="eastAsia" w:ascii="宋体" w:hAnsi="宋体" w:eastAsia="宋体" w:cs="宋体"/>
          <w:bCs/>
          <w:sz w:val="24"/>
          <w:szCs w:val="22"/>
        </w:rPr>
        <w:t>综合得分从高到低的顺序评出中标候选人。</w:t>
      </w:r>
    </w:p>
    <w:p>
      <w:pPr>
        <w:adjustRightInd w:val="0"/>
        <w:snapToGrid w:val="0"/>
        <w:spacing w:line="360" w:lineRule="auto"/>
        <w:ind w:right="-10" w:firstLine="482" w:firstLineChars="200"/>
        <w:rPr>
          <w:rFonts w:hint="eastAsia" w:ascii="宋体" w:hAnsi="宋体" w:eastAsia="宋体" w:cs="宋体"/>
          <w:sz w:val="24"/>
        </w:rPr>
      </w:pPr>
      <w:r>
        <w:rPr>
          <w:rFonts w:hint="eastAsia" w:ascii="宋体" w:hAnsi="宋体" w:eastAsia="宋体" w:cs="宋体"/>
          <w:b/>
          <w:sz w:val="24"/>
        </w:rPr>
        <w:t xml:space="preserve">第八条 </w:t>
      </w:r>
      <w:r>
        <w:rPr>
          <w:rFonts w:hint="eastAsia" w:ascii="宋体" w:hAnsi="宋体" w:eastAsia="宋体" w:cs="宋体"/>
          <w:sz w:val="24"/>
        </w:rPr>
        <w:t>评审中，评委会发现投标人的投标文件中对同类问题表述不一致、前后矛盾、有明显文字和计算错误的内容、有可能不符合招标文件规定等情况需要澄清时，评委会将以询标的方式告知并要求投标人以书面方式进行必要的澄清、说明或补正。对于询标后判定为不符合招标文件的投标文件，评委要提出充足的否定理由。</w:t>
      </w:r>
    </w:p>
    <w:p>
      <w:pPr>
        <w:adjustRightInd w:val="0"/>
        <w:snapToGrid w:val="0"/>
        <w:spacing w:line="360" w:lineRule="auto"/>
        <w:ind w:right="-10" w:firstLine="482" w:firstLineChars="200"/>
        <w:rPr>
          <w:rFonts w:hint="eastAsia" w:ascii="宋体" w:hAnsi="宋体" w:eastAsia="宋体" w:cs="宋体"/>
          <w:sz w:val="24"/>
        </w:rPr>
      </w:pPr>
      <w:r>
        <w:rPr>
          <w:rFonts w:hint="eastAsia" w:ascii="宋体" w:hAnsi="宋体" w:eastAsia="宋体" w:cs="宋体"/>
          <w:b/>
          <w:sz w:val="24"/>
        </w:rPr>
        <w:t>第九条</w:t>
      </w:r>
      <w:r>
        <w:rPr>
          <w:rFonts w:hint="eastAsia" w:ascii="宋体" w:hAnsi="宋体" w:eastAsia="宋体" w:cs="宋体"/>
          <w:sz w:val="24"/>
        </w:rPr>
        <w:t xml:space="preserve"> 评委会首先对各投标人进行符合性审查，通过符合性审查的投标人为有效投标人，有效投标人进入综合评分环节，按招标文件约定由评委会推荐中标候选人；没有通过符合性审查的投标人为无效投标。</w:t>
      </w:r>
    </w:p>
    <w:p>
      <w:pPr>
        <w:rPr>
          <w:rFonts w:hint="eastAsia" w:ascii="宋体" w:hAnsi="宋体" w:eastAsia="宋体" w:cs="宋体"/>
          <w:sz w:val="24"/>
        </w:rPr>
      </w:pPr>
    </w:p>
    <w:p>
      <w:pPr>
        <w:pStyle w:val="50"/>
        <w:ind w:firstLine="480" w:firstLineChars="200"/>
        <w:rPr>
          <w:rFonts w:hint="eastAsia" w:ascii="宋体" w:hAnsi="宋体" w:eastAsia="宋体" w:cs="宋体"/>
          <w:sz w:val="24"/>
          <w:szCs w:val="20"/>
        </w:rPr>
      </w:pPr>
    </w:p>
    <w:p>
      <w:pPr>
        <w:pStyle w:val="50"/>
        <w:rPr>
          <w:rFonts w:hint="eastAsia" w:ascii="宋体" w:hAnsi="宋体" w:eastAsia="宋体" w:cs="宋体"/>
        </w:rPr>
      </w:pPr>
    </w:p>
    <w:tbl>
      <w:tblPr>
        <w:tblStyle w:val="7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2005"/>
        <w:gridCol w:w="2353"/>
        <w:gridCol w:w="1052"/>
        <w:gridCol w:w="3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9358" w:type="dxa"/>
            <w:gridSpan w:val="5"/>
            <w:noWrap w:val="0"/>
            <w:vAlign w:val="center"/>
          </w:tcPr>
          <w:p>
            <w:pPr>
              <w:pStyle w:val="448"/>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b/>
                <w:kern w:val="2"/>
                <w:lang w:val="en-US" w:eastAsia="zh-CN"/>
              </w:rPr>
            </w:pPr>
            <w:r>
              <w:rPr>
                <w:rFonts w:hint="eastAsia" w:ascii="宋体" w:hAnsi="宋体" w:eastAsia="宋体" w:cs="宋体"/>
                <w:b/>
                <w:kern w:val="2"/>
                <w:lang w:val="en-US" w:eastAsia="zh-CN"/>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712"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序号</w:t>
            </w:r>
          </w:p>
        </w:tc>
        <w:tc>
          <w:tcPr>
            <w:tcW w:w="2005" w:type="dxa"/>
            <w:tcBorders>
              <w:bottom w:val="single" w:color="auto" w:sz="4" w:space="0"/>
            </w:tcBorders>
            <w:noWrap w:val="0"/>
            <w:vAlign w:val="center"/>
          </w:tcPr>
          <w:p>
            <w:pPr>
              <w:pStyle w:val="448"/>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kern w:val="2"/>
                <w:szCs w:val="24"/>
                <w:lang w:val="en-US" w:eastAsia="zh-CN"/>
              </w:rPr>
            </w:pPr>
            <w:r>
              <w:rPr>
                <w:rFonts w:hint="eastAsia" w:ascii="宋体" w:hAnsi="宋体" w:eastAsia="宋体" w:cs="宋体"/>
                <w:kern w:val="2"/>
                <w:szCs w:val="24"/>
                <w:lang w:val="en-US" w:eastAsia="zh-CN"/>
              </w:rPr>
              <w:t>指标名称</w:t>
            </w:r>
          </w:p>
        </w:tc>
        <w:tc>
          <w:tcPr>
            <w:tcW w:w="2353"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指标要求</w:t>
            </w:r>
          </w:p>
        </w:tc>
        <w:tc>
          <w:tcPr>
            <w:tcW w:w="1052"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是否</w:t>
            </w:r>
          </w:p>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通过</w:t>
            </w:r>
          </w:p>
        </w:tc>
        <w:tc>
          <w:tcPr>
            <w:tcW w:w="3236"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投标文件格式及</w:t>
            </w:r>
          </w:p>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712"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1</w:t>
            </w:r>
          </w:p>
        </w:tc>
        <w:tc>
          <w:tcPr>
            <w:tcW w:w="2005"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投标人资格</w:t>
            </w:r>
          </w:p>
        </w:tc>
        <w:tc>
          <w:tcPr>
            <w:tcW w:w="2353"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见招标文件</w:t>
            </w:r>
          </w:p>
        </w:tc>
        <w:tc>
          <w:tcPr>
            <w:tcW w:w="1052" w:type="dxa"/>
            <w:noWrap w:val="0"/>
            <w:vAlign w:val="center"/>
          </w:tcPr>
          <w:p>
            <w:pPr>
              <w:adjustRightInd w:val="0"/>
              <w:snapToGrid w:val="0"/>
              <w:spacing w:line="360" w:lineRule="auto"/>
              <w:ind w:right="-10"/>
              <w:rPr>
                <w:rFonts w:hint="eastAsia" w:ascii="宋体" w:hAnsi="宋体" w:eastAsia="宋体" w:cs="宋体"/>
                <w:sz w:val="24"/>
              </w:rPr>
            </w:pPr>
          </w:p>
        </w:tc>
        <w:tc>
          <w:tcPr>
            <w:tcW w:w="3236"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712"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2</w:t>
            </w:r>
          </w:p>
        </w:tc>
        <w:tc>
          <w:tcPr>
            <w:tcW w:w="2005"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技术要求</w:t>
            </w:r>
          </w:p>
        </w:tc>
        <w:tc>
          <w:tcPr>
            <w:tcW w:w="2353"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按评标办法</w:t>
            </w:r>
          </w:p>
        </w:tc>
        <w:tc>
          <w:tcPr>
            <w:tcW w:w="1052" w:type="dxa"/>
            <w:noWrap w:val="0"/>
            <w:vAlign w:val="center"/>
          </w:tcPr>
          <w:p>
            <w:pPr>
              <w:adjustRightInd w:val="0"/>
              <w:snapToGrid w:val="0"/>
              <w:spacing w:line="360" w:lineRule="auto"/>
              <w:ind w:right="-10"/>
              <w:rPr>
                <w:rFonts w:hint="eastAsia" w:ascii="宋体" w:hAnsi="宋体" w:eastAsia="宋体" w:cs="宋体"/>
                <w:sz w:val="24"/>
              </w:rPr>
            </w:pPr>
          </w:p>
        </w:tc>
        <w:tc>
          <w:tcPr>
            <w:tcW w:w="3236"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712"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3</w:t>
            </w:r>
          </w:p>
        </w:tc>
        <w:tc>
          <w:tcPr>
            <w:tcW w:w="2005"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质保及售后等</w:t>
            </w:r>
          </w:p>
        </w:tc>
        <w:tc>
          <w:tcPr>
            <w:tcW w:w="2353" w:type="dxa"/>
            <w:noWrap w:val="0"/>
            <w:vAlign w:val="center"/>
          </w:tcPr>
          <w:p>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见招标文件</w:t>
            </w:r>
          </w:p>
        </w:tc>
        <w:tc>
          <w:tcPr>
            <w:tcW w:w="1052" w:type="dxa"/>
            <w:noWrap w:val="0"/>
            <w:vAlign w:val="center"/>
          </w:tcPr>
          <w:p>
            <w:pPr>
              <w:adjustRightInd w:val="0"/>
              <w:snapToGrid w:val="0"/>
              <w:spacing w:line="360" w:lineRule="auto"/>
              <w:ind w:right="-10"/>
              <w:rPr>
                <w:rFonts w:hint="eastAsia" w:ascii="宋体" w:hAnsi="宋体" w:eastAsia="宋体" w:cs="宋体"/>
                <w:sz w:val="24"/>
              </w:rPr>
            </w:pPr>
          </w:p>
        </w:tc>
        <w:tc>
          <w:tcPr>
            <w:tcW w:w="3236" w:type="dxa"/>
            <w:noWrap w:val="0"/>
            <w:vAlign w:val="center"/>
          </w:tcPr>
          <w:p>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见投标文件</w:t>
            </w:r>
          </w:p>
        </w:tc>
      </w:tr>
    </w:tbl>
    <w:p>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rPr>
        <w:t>评分标准（满分为100分）</w:t>
      </w:r>
      <w:r>
        <w:rPr>
          <w:rFonts w:hint="eastAsia" w:ascii="宋体" w:hAnsi="宋体" w:eastAsia="宋体" w:cs="宋体"/>
          <w:sz w:val="24"/>
        </w:rPr>
        <w:t>说明:</w:t>
      </w:r>
      <w:r>
        <w:rPr>
          <w:rFonts w:hint="eastAsia" w:ascii="宋体" w:hAnsi="宋体" w:eastAsia="宋体" w:cs="宋体"/>
          <w:sz w:val="24"/>
          <w:szCs w:val="24"/>
        </w:rPr>
        <w:t>各投标人的最终得分为各评委得分的算术平均值；评分分值计算保留小数点后两位，小数点后第三位“四舍五入”。</w:t>
      </w:r>
    </w:p>
    <w:p>
      <w:pPr>
        <w:pStyle w:val="64"/>
        <w:spacing w:before="0" w:beforeAutospacing="0" w:after="0" w:afterAutospacing="0"/>
        <w:contextualSpacing/>
        <w:jc w:val="center"/>
        <w:rPr>
          <w:rFonts w:hint="eastAsia" w:ascii="宋体" w:hAnsi="宋体" w:eastAsia="宋体" w:cs="宋体"/>
          <w:sz w:val="32"/>
          <w:szCs w:val="32"/>
        </w:rPr>
      </w:pPr>
      <w:r>
        <w:rPr>
          <w:rFonts w:hint="eastAsia" w:ascii="宋体" w:hAnsi="宋体" w:eastAsia="宋体" w:cs="宋体"/>
          <w:sz w:val="32"/>
          <w:szCs w:val="32"/>
          <w:highlight w:val="yellow"/>
        </w:rPr>
        <w:br w:type="page"/>
      </w:r>
      <w:r>
        <w:rPr>
          <w:rFonts w:hint="eastAsia" w:ascii="宋体" w:hAnsi="宋体" w:eastAsia="宋体" w:cs="宋体"/>
          <w:sz w:val="32"/>
          <w:szCs w:val="32"/>
        </w:rPr>
        <w:t>评标办法</w:t>
      </w:r>
    </w:p>
    <w:p>
      <w:pPr>
        <w:pStyle w:val="64"/>
        <w:spacing w:before="0" w:beforeAutospacing="0" w:after="0" w:afterAutospacing="0"/>
        <w:contextualSpacing/>
        <w:jc w:val="center"/>
        <w:rPr>
          <w:rFonts w:hint="eastAsia" w:ascii="宋体" w:hAnsi="宋体" w:eastAsia="宋体" w:cs="宋体"/>
          <w:sz w:val="32"/>
          <w:szCs w:val="32"/>
        </w:rPr>
      </w:pPr>
    </w:p>
    <w:bookmarkEnd w:id="51"/>
    <w:tbl>
      <w:tblPr>
        <w:tblStyle w:val="7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7"/>
        <w:gridCol w:w="1293"/>
        <w:gridCol w:w="66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6" w:hRule="atLeast"/>
          <w:jc w:val="center"/>
        </w:trPr>
        <w:tc>
          <w:tcPr>
            <w:tcW w:w="1437" w:type="dxa"/>
            <w:tcBorders>
              <w:left w:val="single" w:color="auto" w:sz="4" w:space="0"/>
            </w:tcBorders>
            <w:noWrap w:val="0"/>
            <w:vAlign w:val="center"/>
          </w:tcPr>
          <w:p>
            <w:pPr>
              <w:tabs>
                <w:tab w:val="left" w:pos="5130"/>
              </w:tabs>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投标报价评分标准</w:t>
            </w:r>
            <w:r>
              <w:rPr>
                <w:rFonts w:hint="eastAsia" w:ascii="宋体" w:hAnsi="宋体" w:eastAsia="宋体" w:cs="宋体"/>
                <w:sz w:val="24"/>
                <w:szCs w:val="24"/>
                <w:lang w:val="en-US" w:eastAsia="zh-CN"/>
              </w:rPr>
              <w:t>20</w:t>
            </w:r>
            <w:r>
              <w:rPr>
                <w:rFonts w:hint="eastAsia" w:ascii="宋体" w:hAnsi="宋体" w:eastAsia="宋体" w:cs="宋体"/>
                <w:sz w:val="24"/>
                <w:szCs w:val="24"/>
              </w:rPr>
              <w:t>分（</w:t>
            </w:r>
            <w:r>
              <w:rPr>
                <w:rFonts w:hint="eastAsia" w:ascii="宋体" w:hAnsi="宋体" w:eastAsia="宋体" w:cs="宋体"/>
                <w:sz w:val="24"/>
                <w:szCs w:val="24"/>
                <w:lang w:val="en-US" w:eastAsia="zh-CN"/>
              </w:rPr>
              <w:t>2</w:t>
            </w:r>
            <w:r>
              <w:rPr>
                <w:rFonts w:hint="eastAsia" w:ascii="宋体" w:hAnsi="宋体" w:eastAsia="宋体" w:cs="宋体"/>
                <w:sz w:val="24"/>
                <w:szCs w:val="24"/>
              </w:rPr>
              <w:t>0分）</w:t>
            </w:r>
          </w:p>
        </w:tc>
        <w:tc>
          <w:tcPr>
            <w:tcW w:w="1293" w:type="dxa"/>
            <w:noWrap w:val="0"/>
            <w:vAlign w:val="center"/>
          </w:tcPr>
          <w:p>
            <w:pPr>
              <w:tabs>
                <w:tab w:val="left" w:pos="5130"/>
              </w:tabs>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投标报价（</w:t>
            </w:r>
            <w:r>
              <w:rPr>
                <w:rFonts w:hint="eastAsia" w:ascii="宋体" w:hAnsi="宋体" w:eastAsia="宋体" w:cs="宋体"/>
                <w:sz w:val="24"/>
                <w:szCs w:val="24"/>
                <w:lang w:val="en-US" w:eastAsia="zh-CN"/>
              </w:rPr>
              <w:t>2</w:t>
            </w:r>
            <w:r>
              <w:rPr>
                <w:rFonts w:hint="eastAsia" w:ascii="宋体" w:hAnsi="宋体" w:eastAsia="宋体" w:cs="宋体"/>
                <w:sz w:val="24"/>
                <w:szCs w:val="24"/>
              </w:rPr>
              <w:t>0分）</w:t>
            </w:r>
          </w:p>
        </w:tc>
        <w:tc>
          <w:tcPr>
            <w:tcW w:w="6615" w:type="dxa"/>
            <w:noWrap w:val="0"/>
            <w:vAlign w:val="center"/>
          </w:tcPr>
          <w:p>
            <w:pPr>
              <w:tabs>
                <w:tab w:val="left" w:pos="5130"/>
              </w:tabs>
              <w:adjustRightInd w:val="0"/>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价格分应当采用低价优先法计算，即满足招标文件要求且投标价格最低的投标报价为评标基准价，其价格分为满分。其他投标人的价格分统一按照下列公式计算：</w:t>
            </w:r>
          </w:p>
          <w:p>
            <w:pPr>
              <w:tabs>
                <w:tab w:val="left" w:pos="5130"/>
              </w:tabs>
              <w:adjustRightInd w:val="0"/>
              <w:snapToGrid w:val="0"/>
              <w:spacing w:line="360" w:lineRule="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投标报价得分=(评标基准价／投标报价)×20</w:t>
            </w:r>
          </w:p>
          <w:p>
            <w:pPr>
              <w:tabs>
                <w:tab w:val="left" w:pos="5130"/>
              </w:tabs>
              <w:adjustRightInd w:val="0"/>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注：价格分计算保留小数点后二位。</w:t>
            </w:r>
          </w:p>
          <w:p>
            <w:pPr>
              <w:pStyle w:val="69"/>
              <w:ind w:right="-21" w:firstLine="0" w:firstLineChars="0"/>
              <w:rPr>
                <w:rFonts w:hint="eastAsia" w:ascii="宋体" w:hAnsi="宋体" w:eastAsia="宋体" w:cs="宋体"/>
                <w:color w:val="000000"/>
                <w:kern w:val="2"/>
                <w:sz w:val="24"/>
                <w:szCs w:val="24"/>
                <w:lang w:val="en-US" w:eastAsia="zh-CN"/>
              </w:rPr>
            </w:pPr>
            <w:r>
              <w:rPr>
                <w:rFonts w:hint="eastAsia" w:ascii="宋体" w:hAnsi="宋体" w:eastAsia="宋体" w:cs="宋体"/>
                <w:kern w:val="2"/>
                <w:sz w:val="24"/>
                <w:szCs w:val="24"/>
                <w:lang w:val="en-US" w:eastAsia="zh-CN"/>
              </w:rPr>
              <w:t>备注：根据财政部、工信部关于印发《政府采购促进中小企业发展管理办法》的通知（</w:t>
            </w:r>
            <w:r>
              <w:rPr>
                <w:rFonts w:hint="eastAsia" w:ascii="宋体" w:hAnsi="宋体" w:eastAsia="宋体" w:cs="宋体"/>
                <w:color w:val="000000"/>
                <w:kern w:val="2"/>
                <w:sz w:val="24"/>
                <w:szCs w:val="24"/>
                <w:lang w:val="en-US" w:eastAsia="zh-CN"/>
              </w:rPr>
              <w:t>财库〔2020〕46号 ）文件规定：</w:t>
            </w:r>
          </w:p>
          <w:p>
            <w:pPr>
              <w:pStyle w:val="69"/>
              <w:ind w:right="-21" w:firstLine="0" w:firstLineChars="0"/>
              <w:rPr>
                <w:rFonts w:hint="eastAsia" w:ascii="宋体" w:hAnsi="宋体" w:eastAsia="宋体" w:cs="宋体"/>
                <w:kern w:val="2"/>
                <w:sz w:val="24"/>
                <w:szCs w:val="24"/>
                <w:lang w:val="en-US" w:eastAsia="zh-CN"/>
              </w:rPr>
            </w:pPr>
            <w:r>
              <w:rPr>
                <w:rFonts w:hint="eastAsia" w:ascii="宋体" w:hAnsi="宋体" w:eastAsia="宋体" w:cs="宋体"/>
                <w:color w:val="000000"/>
                <w:kern w:val="2"/>
                <w:sz w:val="24"/>
                <w:szCs w:val="24"/>
                <w:lang w:val="en-US" w:eastAsia="zh-CN"/>
              </w:rPr>
              <w:t>（1）对小微企业报价给</w:t>
            </w:r>
            <w:r>
              <w:rPr>
                <w:rFonts w:hint="eastAsia" w:ascii="宋体" w:hAnsi="宋体" w:eastAsia="宋体" w:cs="宋体"/>
                <w:kern w:val="2"/>
                <w:sz w:val="24"/>
                <w:szCs w:val="24"/>
                <w:lang w:val="en-US" w:eastAsia="zh-CN"/>
              </w:rPr>
              <w:t>予10%扣除，</w:t>
            </w:r>
            <w:r>
              <w:rPr>
                <w:rFonts w:hint="eastAsia" w:ascii="宋体" w:hAnsi="宋体" w:eastAsia="宋体" w:cs="宋体"/>
                <w:color w:val="000000"/>
                <w:kern w:val="2"/>
                <w:sz w:val="24"/>
                <w:szCs w:val="24"/>
                <w:lang w:val="en-US" w:eastAsia="zh-CN"/>
              </w:rPr>
              <w:t>请按照《政府采购促进中小企业发展管理办法》要求提供中小企业声</w:t>
            </w:r>
            <w:r>
              <w:rPr>
                <w:rFonts w:hint="eastAsia" w:ascii="宋体" w:hAnsi="宋体" w:eastAsia="宋体" w:cs="宋体"/>
                <w:kern w:val="2"/>
                <w:sz w:val="24"/>
                <w:szCs w:val="24"/>
                <w:lang w:val="en-US" w:eastAsia="zh-CN"/>
              </w:rPr>
              <w:t>明函。</w:t>
            </w:r>
          </w:p>
          <w:p>
            <w:pPr>
              <w:pStyle w:val="69"/>
              <w:ind w:right="-21" w:firstLine="0" w:firstLineChars="0"/>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（2）关于监狱企业：视同小微企业。须提供由省级以上监狱管理局、戒毒管理局（含新疆生产建设兵团）出具的属于监狱企业的证明文件，否则不考虑价格扣除。</w:t>
            </w:r>
          </w:p>
          <w:p>
            <w:pPr>
              <w:pStyle w:val="69"/>
              <w:ind w:right="-21" w:firstLine="0" w:firstLineChars="0"/>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（3）关于残疾人福利性单位：视同小微企业。须提供完整的“残疾人福利性单位声明函”，否则在价格评审时不予考虑价格扣除。残疾人福利性单位属于小型、微型企业的，不重复享受政策。</w:t>
            </w:r>
          </w:p>
          <w:p>
            <w:pPr>
              <w:tabs>
                <w:tab w:val="left" w:pos="5130"/>
              </w:tabs>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（4）没有提供有效证明材料的供应商将被视为不接受投标总价的扣除，用原投标总价参与评审。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437" w:type="dxa"/>
            <w:tcBorders>
              <w:left w:val="single" w:color="auto" w:sz="4" w:space="0"/>
            </w:tcBorders>
            <w:noWrap w:val="0"/>
            <w:vAlign w:val="center"/>
          </w:tcPr>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技术部分</w:t>
            </w:r>
          </w:p>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40</w:t>
            </w:r>
            <w:r>
              <w:rPr>
                <w:rFonts w:hint="eastAsia" w:ascii="宋体" w:hAnsi="宋体" w:eastAsia="宋体" w:cs="宋体"/>
                <w:kern w:val="2"/>
                <w:sz w:val="24"/>
                <w:szCs w:val="24"/>
                <w:lang w:val="en-US" w:eastAsia="zh-CN" w:bidi="ar-SA"/>
              </w:rPr>
              <w:t>分）</w:t>
            </w:r>
          </w:p>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p>
        </w:tc>
        <w:tc>
          <w:tcPr>
            <w:tcW w:w="1293" w:type="dxa"/>
            <w:noWrap w:val="0"/>
            <w:vAlign w:val="center"/>
          </w:tcPr>
          <w:p>
            <w:pPr>
              <w:pStyle w:val="69"/>
              <w:ind w:right="-21" w:firstLine="0" w:firstLineChars="0"/>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技术参数(</w:t>
            </w:r>
            <w:r>
              <w:rPr>
                <w:rFonts w:hint="eastAsia" w:ascii="宋体" w:hAnsi="宋体" w:cs="宋体"/>
                <w:kern w:val="2"/>
                <w:sz w:val="24"/>
                <w:szCs w:val="24"/>
                <w:lang w:val="en-US" w:eastAsia="zh-CN" w:bidi="ar-SA"/>
              </w:rPr>
              <w:t>40</w:t>
            </w:r>
            <w:r>
              <w:rPr>
                <w:rFonts w:hint="eastAsia" w:ascii="宋体" w:hAnsi="宋体" w:eastAsia="宋体" w:cs="宋体"/>
                <w:kern w:val="2"/>
                <w:sz w:val="24"/>
                <w:szCs w:val="24"/>
                <w:lang w:val="en-US" w:eastAsia="zh-CN" w:bidi="ar-SA"/>
              </w:rPr>
              <w:t>分）</w:t>
            </w:r>
          </w:p>
        </w:tc>
        <w:tc>
          <w:tcPr>
            <w:tcW w:w="6615" w:type="dxa"/>
            <w:noWrap w:val="0"/>
            <w:vAlign w:val="center"/>
          </w:tcPr>
          <w:p>
            <w:pPr>
              <w:pStyle w:val="69"/>
              <w:ind w:right="-21"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所投产品技术性能、产品规格符合招标文件的得基础分</w:t>
            </w:r>
            <w:r>
              <w:rPr>
                <w:rFonts w:hint="eastAsia" w:ascii="宋体" w:hAnsi="宋体" w:eastAsia="宋体" w:cs="宋体"/>
                <w:color w:val="auto"/>
                <w:sz w:val="24"/>
                <w:szCs w:val="24"/>
                <w:highlight w:val="none"/>
                <w:lang w:val="en-US" w:eastAsia="zh-CN"/>
              </w:rPr>
              <w:t>40</w:t>
            </w:r>
            <w:r>
              <w:rPr>
                <w:rFonts w:hint="eastAsia" w:ascii="宋体" w:hAnsi="宋体" w:eastAsia="宋体" w:cs="宋体"/>
                <w:color w:val="auto"/>
                <w:sz w:val="24"/>
                <w:szCs w:val="24"/>
                <w:highlight w:val="none"/>
              </w:rPr>
              <w:t>分；重要技术参数（本招标文件带“★”号标注的部分）须完全满足招标文件要求，每有一条不满足扣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kern w:val="2"/>
                <w:sz w:val="24"/>
                <w:szCs w:val="24"/>
                <w:lang w:val="en-US" w:eastAsia="zh-CN"/>
              </w:rPr>
              <w:t>其他未标注的技术参数</w:t>
            </w:r>
            <w:r>
              <w:rPr>
                <w:rFonts w:hint="eastAsia" w:ascii="宋体" w:hAnsi="宋体" w:eastAsia="宋体" w:cs="宋体"/>
                <w:color w:val="auto"/>
                <w:sz w:val="24"/>
                <w:szCs w:val="24"/>
                <w:highlight w:val="none"/>
              </w:rPr>
              <w:t>每有一条不满足扣</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扣完为止。</w:t>
            </w:r>
            <w:r>
              <w:rPr>
                <w:rFonts w:hint="eastAsia" w:ascii="宋体" w:hAnsi="宋体" w:eastAsia="宋体" w:cs="宋体"/>
                <w:kern w:val="2"/>
                <w:sz w:val="24"/>
                <w:szCs w:val="24"/>
                <w:lang w:val="en-US" w:eastAsia="zh-CN"/>
              </w:rPr>
              <w:t>正偏离不加分。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须提供</w:t>
            </w:r>
            <w:r>
              <w:rPr>
                <w:rFonts w:hint="eastAsia" w:ascii="宋体" w:hAnsi="宋体" w:eastAsia="宋体" w:cs="宋体"/>
                <w:color w:val="auto"/>
                <w:sz w:val="24"/>
                <w:szCs w:val="24"/>
                <w:highlight w:val="none"/>
                <w:lang w:val="en-US" w:eastAsia="zh-CN"/>
              </w:rPr>
              <w:t>产品检测报告及软件著作权登记证书、系统截图等复印件加盖公章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提供的检测报告需由法定计量检定机构出具并标记CMA标识的检验（检测）报告，并以此作为评审得分的判定依据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招标文件要求的资质证书</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原件的</w:t>
            </w:r>
            <w:r>
              <w:rPr>
                <w:rFonts w:hint="eastAsia" w:ascii="宋体" w:hAnsi="宋体" w:eastAsia="宋体" w:cs="宋体"/>
                <w:color w:val="auto"/>
                <w:sz w:val="24"/>
                <w:szCs w:val="24"/>
                <w:highlight w:val="none"/>
              </w:rPr>
              <w:t>复印件，未提供的按不满足要求扣相应分数。</w:t>
            </w:r>
            <w:r>
              <w:rPr>
                <w:rFonts w:hint="eastAsia" w:ascii="宋体" w:hAnsi="宋体" w:eastAsia="宋体" w:cs="宋体"/>
                <w:color w:val="auto"/>
                <w:sz w:val="24"/>
                <w:szCs w:val="24"/>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437" w:type="dxa"/>
            <w:vMerge w:val="restart"/>
            <w:tcBorders>
              <w:left w:val="single" w:color="auto" w:sz="4" w:space="0"/>
            </w:tcBorders>
            <w:noWrap w:val="0"/>
            <w:vAlign w:val="center"/>
          </w:tcPr>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商务部分</w:t>
            </w:r>
          </w:p>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40</w:t>
            </w:r>
            <w:r>
              <w:rPr>
                <w:rFonts w:hint="eastAsia" w:ascii="宋体" w:hAnsi="宋体" w:eastAsia="宋体" w:cs="宋体"/>
                <w:kern w:val="2"/>
                <w:sz w:val="24"/>
                <w:szCs w:val="24"/>
                <w:lang w:val="en-US" w:eastAsia="zh-CN" w:bidi="ar-SA"/>
              </w:rPr>
              <w:t>分）</w:t>
            </w:r>
          </w:p>
        </w:tc>
        <w:tc>
          <w:tcPr>
            <w:tcW w:w="1293" w:type="dxa"/>
            <w:noWrap w:val="0"/>
            <w:vAlign w:val="center"/>
          </w:tcPr>
          <w:p>
            <w:pPr>
              <w:pStyle w:val="69"/>
              <w:ind w:right="-21" w:firstLine="0" w:firstLineChars="0"/>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方案及售后（22分）</w:t>
            </w:r>
          </w:p>
        </w:tc>
        <w:tc>
          <w:tcPr>
            <w:tcW w:w="6615" w:type="dxa"/>
            <w:noWrap w:val="0"/>
            <w:vAlign w:val="center"/>
          </w:tcPr>
          <w:p>
            <w:pPr>
              <w:pStyle w:val="69"/>
              <w:ind w:right="-21" w:firstLine="0" w:firstLineChars="0"/>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1、投标人提供的项目实施方案（包含但不限于① 项目进度计划、</w:t>
            </w:r>
            <w:r>
              <w:rPr>
                <w:rFonts w:hint="default" w:ascii="宋体" w:hAnsi="宋体" w:eastAsia="宋体" w:cs="宋体"/>
                <w:color w:val="auto"/>
                <w:kern w:val="2"/>
                <w:sz w:val="24"/>
                <w:szCs w:val="24"/>
                <w:lang w:val="en-US" w:eastAsia="zh-CN" w:bidi="ar-SA"/>
              </w:rPr>
              <w:t>②</w:t>
            </w:r>
            <w:r>
              <w:rPr>
                <w:rFonts w:hint="eastAsia" w:ascii="宋体" w:hAnsi="宋体" w:eastAsia="宋体" w:cs="宋体"/>
                <w:color w:val="auto"/>
                <w:kern w:val="2"/>
                <w:sz w:val="24"/>
                <w:szCs w:val="24"/>
                <w:lang w:val="en-US" w:eastAsia="zh-CN" w:bidi="ar-SA"/>
              </w:rPr>
              <w:t>项目设计、</w:t>
            </w:r>
            <w:r>
              <w:rPr>
                <w:rFonts w:hint="default" w:ascii="宋体" w:hAnsi="宋体" w:eastAsia="宋体" w:cs="宋体"/>
                <w:color w:val="auto"/>
                <w:kern w:val="2"/>
                <w:sz w:val="24"/>
                <w:szCs w:val="24"/>
                <w:lang w:val="en-US" w:eastAsia="zh-CN" w:bidi="ar-SA"/>
              </w:rPr>
              <w:t>③</w:t>
            </w:r>
            <w:r>
              <w:rPr>
                <w:rFonts w:hint="eastAsia" w:ascii="宋体" w:hAnsi="宋体" w:eastAsia="宋体" w:cs="宋体"/>
                <w:color w:val="auto"/>
                <w:kern w:val="2"/>
                <w:sz w:val="24"/>
                <w:szCs w:val="24"/>
                <w:lang w:val="en-US" w:eastAsia="zh-CN" w:bidi="ar-SA"/>
              </w:rPr>
              <w:t>项目实施、验收等）得6分，不提供不得分。</w:t>
            </w:r>
          </w:p>
          <w:p>
            <w:pPr>
              <w:pStyle w:val="69"/>
              <w:ind w:right="-21" w:firstLine="0" w:firstLineChars="0"/>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2、投标人提供的项目质量保证方案（包含但不限于① 项目质量保障、</w:t>
            </w:r>
            <w:r>
              <w:rPr>
                <w:rFonts w:hint="default" w:ascii="宋体" w:hAnsi="宋体" w:eastAsia="宋体" w:cs="宋体"/>
                <w:color w:val="auto"/>
                <w:kern w:val="2"/>
                <w:sz w:val="24"/>
                <w:szCs w:val="24"/>
                <w:lang w:val="en-US" w:eastAsia="zh-CN" w:bidi="ar-SA"/>
              </w:rPr>
              <w:t>②</w:t>
            </w:r>
            <w:r>
              <w:rPr>
                <w:rFonts w:hint="eastAsia" w:ascii="宋体" w:hAnsi="宋体" w:eastAsia="宋体" w:cs="宋体"/>
                <w:color w:val="auto"/>
                <w:kern w:val="2"/>
                <w:sz w:val="24"/>
                <w:szCs w:val="24"/>
                <w:lang w:val="en-US" w:eastAsia="zh-CN" w:bidi="ar-SA"/>
              </w:rPr>
              <w:t>安全保障方案、</w:t>
            </w:r>
            <w:r>
              <w:rPr>
                <w:rFonts w:hint="default" w:ascii="宋体" w:hAnsi="宋体" w:eastAsia="宋体" w:cs="宋体"/>
                <w:color w:val="auto"/>
                <w:kern w:val="2"/>
                <w:sz w:val="24"/>
                <w:szCs w:val="24"/>
                <w:lang w:val="en-US" w:eastAsia="zh-CN" w:bidi="ar-SA"/>
              </w:rPr>
              <w:t>③</w:t>
            </w:r>
            <w:r>
              <w:rPr>
                <w:rFonts w:hint="eastAsia" w:ascii="宋体" w:hAnsi="宋体" w:eastAsia="宋体" w:cs="宋体"/>
                <w:color w:val="auto"/>
                <w:kern w:val="2"/>
                <w:sz w:val="24"/>
                <w:szCs w:val="24"/>
                <w:lang w:val="en-US" w:eastAsia="zh-CN" w:bidi="ar-SA"/>
              </w:rPr>
              <w:t>项目工期保障、</w:t>
            </w:r>
            <w:r>
              <w:rPr>
                <w:rFonts w:hint="eastAsia" w:ascii="微软雅黑" w:hAnsi="微软雅黑" w:eastAsia="微软雅黑" w:cs="微软雅黑"/>
                <w:color w:val="auto"/>
                <w:kern w:val="2"/>
                <w:sz w:val="24"/>
                <w:szCs w:val="24"/>
                <w:lang w:val="en-US" w:eastAsia="zh-CN" w:bidi="ar-SA"/>
              </w:rPr>
              <w:t>④</w:t>
            </w:r>
            <w:r>
              <w:rPr>
                <w:rFonts w:hint="eastAsia" w:ascii="宋体" w:hAnsi="宋体" w:eastAsia="宋体" w:cs="宋体"/>
                <w:color w:val="auto"/>
                <w:kern w:val="2"/>
                <w:sz w:val="24"/>
                <w:szCs w:val="24"/>
                <w:lang w:val="en-US" w:eastAsia="zh-CN" w:bidi="ar-SA"/>
              </w:rPr>
              <w:t>风险管理机制等）的得8分；不提供不得分。</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3、投标人提供培训方案（包括具体培训方式 、时间、地点、对象以及培训内容）得</w:t>
            </w:r>
            <w:r>
              <w:rPr>
                <w:rFonts w:hint="default" w:ascii="宋体" w:hAnsi="宋体" w:eastAsia="宋体" w:cs="宋体"/>
                <w:color w:val="auto"/>
                <w:kern w:val="2"/>
                <w:sz w:val="24"/>
                <w:szCs w:val="24"/>
                <w:lang w:val="en-US" w:eastAsia="zh-CN" w:bidi="ar-SA"/>
              </w:rPr>
              <w:t>2</w:t>
            </w:r>
            <w:r>
              <w:rPr>
                <w:rFonts w:hint="eastAsia" w:ascii="宋体" w:hAnsi="宋体" w:eastAsia="宋体" w:cs="宋体"/>
                <w:color w:val="auto"/>
                <w:kern w:val="2"/>
                <w:sz w:val="24"/>
                <w:szCs w:val="24"/>
                <w:lang w:val="en-US" w:eastAsia="zh-CN" w:bidi="ar-SA"/>
              </w:rPr>
              <w:t>分；不提供不得分。</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4、投标人提供售后服务方案（包含但不限于① 完善的售后服务体系完善程度、</w:t>
            </w:r>
            <w:r>
              <w:rPr>
                <w:rFonts w:hint="default" w:ascii="宋体" w:hAnsi="宋体" w:eastAsia="宋体" w:cs="宋体"/>
                <w:color w:val="auto"/>
                <w:kern w:val="2"/>
                <w:sz w:val="24"/>
                <w:szCs w:val="24"/>
                <w:lang w:val="en-US" w:eastAsia="zh-CN" w:bidi="ar-SA"/>
              </w:rPr>
              <w:t>②</w:t>
            </w:r>
            <w:r>
              <w:rPr>
                <w:rFonts w:hint="eastAsia" w:ascii="宋体" w:hAnsi="宋体" w:eastAsia="宋体" w:cs="宋体"/>
                <w:color w:val="auto"/>
                <w:kern w:val="2"/>
                <w:sz w:val="24"/>
                <w:szCs w:val="24"/>
                <w:lang w:val="en-US" w:eastAsia="zh-CN" w:bidi="ar-SA"/>
              </w:rPr>
              <w:t>针对本项目的具体服务内容等）得 4分；不提供不得分。</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r>
              <w:rPr>
                <w:rFonts w:hint="default" w:ascii="宋体" w:hAnsi="宋体" w:eastAsia="宋体" w:cs="宋体"/>
                <w:color w:val="auto"/>
                <w:kern w:val="2"/>
                <w:sz w:val="24"/>
                <w:szCs w:val="24"/>
                <w:lang w:val="en-US" w:eastAsia="zh-CN" w:bidi="ar-SA"/>
              </w:rPr>
              <w:t>投标人</w:t>
            </w:r>
            <w:r>
              <w:rPr>
                <w:rFonts w:hint="eastAsia" w:ascii="宋体" w:hAnsi="宋体" w:eastAsia="宋体" w:cs="宋体"/>
                <w:color w:val="auto"/>
                <w:kern w:val="2"/>
                <w:sz w:val="24"/>
                <w:szCs w:val="24"/>
                <w:lang w:val="en-US" w:eastAsia="zh-CN" w:bidi="ar-SA"/>
              </w:rPr>
              <w:t>提供售后服务认证证书</w:t>
            </w:r>
            <w:r>
              <w:rPr>
                <w:rFonts w:hint="default" w:ascii="宋体" w:hAnsi="宋体" w:eastAsia="宋体" w:cs="宋体"/>
                <w:color w:val="auto"/>
                <w:kern w:val="2"/>
                <w:sz w:val="24"/>
                <w:szCs w:val="24"/>
                <w:lang w:val="en-US" w:eastAsia="zh-CN" w:bidi="ar-SA"/>
              </w:rPr>
              <w:t>，该项得</w:t>
            </w:r>
            <w:r>
              <w:rPr>
                <w:rFonts w:hint="eastAsia"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t>分，须提供相应证书</w:t>
            </w:r>
            <w:r>
              <w:rPr>
                <w:rFonts w:hint="eastAsia" w:ascii="宋体" w:hAnsi="宋体" w:eastAsia="宋体" w:cs="宋体"/>
                <w:color w:val="auto"/>
                <w:kern w:val="2"/>
                <w:sz w:val="24"/>
                <w:szCs w:val="24"/>
                <w:lang w:val="en-US" w:eastAsia="zh-CN" w:bidi="ar-SA"/>
              </w:rPr>
              <w:t>扫描</w:t>
            </w:r>
            <w:r>
              <w:rPr>
                <w:rFonts w:hint="default" w:ascii="宋体" w:hAnsi="宋体" w:eastAsia="宋体" w:cs="宋体"/>
                <w:color w:val="auto"/>
                <w:kern w:val="2"/>
                <w:sz w:val="24"/>
                <w:szCs w:val="24"/>
                <w:lang w:val="en-US" w:eastAsia="zh-CN" w:bidi="ar-SA"/>
              </w:rPr>
              <w:t>复印件</w:t>
            </w:r>
            <w:r>
              <w:rPr>
                <w:rFonts w:hint="eastAsia" w:ascii="宋体" w:hAnsi="宋体" w:eastAsia="宋体" w:cs="宋体"/>
                <w:color w:val="auto"/>
                <w:kern w:val="2"/>
                <w:sz w:val="24"/>
                <w:szCs w:val="24"/>
                <w:lang w:val="en-US" w:eastAsia="zh-CN" w:bidi="ar-SA"/>
              </w:rPr>
              <w:t>，且证书须在中国国家认证认可监督管理委员会官网可查并在投标文件中提供查询页面完整截图</w:t>
            </w:r>
            <w:r>
              <w:rPr>
                <w:rFonts w:hint="default" w:ascii="宋体" w:hAnsi="宋体" w:eastAsia="宋体" w:cs="宋体"/>
                <w:color w:val="auto"/>
                <w:kern w:val="2"/>
                <w:sz w:val="24"/>
                <w:szCs w:val="24"/>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437" w:type="dxa"/>
            <w:vMerge w:val="continue"/>
            <w:tcBorders>
              <w:left w:val="single" w:color="auto" w:sz="4" w:space="0"/>
            </w:tcBorders>
            <w:noWrap w:val="0"/>
            <w:vAlign w:val="center"/>
          </w:tcPr>
          <w:p>
            <w:pPr>
              <w:tabs>
                <w:tab w:val="left" w:pos="5130"/>
              </w:tabs>
              <w:adjustRightInd w:val="0"/>
              <w:snapToGrid w:val="0"/>
              <w:spacing w:line="360" w:lineRule="auto"/>
              <w:jc w:val="center"/>
              <w:rPr>
                <w:rFonts w:hint="eastAsia" w:ascii="宋体" w:hAnsi="宋体" w:eastAsia="宋体" w:cs="宋体"/>
                <w:kern w:val="2"/>
                <w:sz w:val="24"/>
                <w:szCs w:val="24"/>
                <w:lang w:val="en-US" w:eastAsia="zh-CN" w:bidi="ar-SA"/>
              </w:rPr>
            </w:pPr>
          </w:p>
        </w:tc>
        <w:tc>
          <w:tcPr>
            <w:tcW w:w="1293" w:type="dxa"/>
            <w:noWrap w:val="0"/>
            <w:vAlign w:val="center"/>
          </w:tcPr>
          <w:p>
            <w:pPr>
              <w:pStyle w:val="69"/>
              <w:ind w:right="-21" w:firstLine="0" w:firstLineChars="0"/>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公司实力（18分）</w:t>
            </w:r>
          </w:p>
        </w:tc>
        <w:tc>
          <w:tcPr>
            <w:tcW w:w="6615" w:type="dxa"/>
            <w:noWrap w:val="0"/>
            <w:vAlign w:val="center"/>
          </w:tcPr>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1、投标人提供质量管理体系认证证书的得1分；环境管理体系认证证书的得1分；职业健康安全管理体系认证证书的得1分；</w:t>
            </w:r>
            <w:r>
              <w:rPr>
                <w:rFonts w:hint="eastAsia" w:ascii="宋体" w:hAnsi="宋体" w:eastAsia="宋体" w:cs="宋体"/>
                <w:bCs/>
                <w:color w:val="auto"/>
                <w:sz w:val="24"/>
                <w:szCs w:val="24"/>
                <w:lang w:val="en-US" w:eastAsia="zh-CN"/>
              </w:rPr>
              <w:t>信息安全管理体系认证证书</w:t>
            </w:r>
            <w:r>
              <w:rPr>
                <w:rFonts w:hint="eastAsia" w:ascii="宋体" w:hAnsi="宋体" w:eastAsia="宋体" w:cs="宋体"/>
                <w:color w:val="auto"/>
                <w:kern w:val="2"/>
                <w:sz w:val="24"/>
                <w:szCs w:val="24"/>
                <w:lang w:val="en-US" w:eastAsia="zh-CN" w:bidi="ar-SA"/>
              </w:rPr>
              <w:t>的得1分。本项最高4分（上述认证范围需恒湿机、文物展柜、文物保存微环境控制技术等范围，且证书须在中国国家认证认可监督管理委员会官网可查并在投标文件中提供查询页面完整截图）。</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投标人提供自2020年1月1日至今（以合同签订日期为准）由供应商独立承担（非联合体）的类似项目业绩，每份1分，最高4分，须在其响应文件中同时提供对应项目中标公告网页截图及网址，中标通知书及合同复印件，发票任一张复印件。</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3、投标人提供现场勘察证明函的（由采购人出具,投标文件中附扫描件)得4分，不提供不得分。</w:t>
            </w:r>
          </w:p>
          <w:p>
            <w:pPr>
              <w:pStyle w:val="69"/>
              <w:ind w:right="-21" w:firstLine="0" w:firstLineChars="0"/>
              <w:rPr>
                <w:rFonts w:hint="eastAsia" w:eastAsia="宋体"/>
                <w:color w:val="auto"/>
                <w:lang w:val="en-US" w:eastAsia="zh-CN"/>
              </w:rPr>
            </w:pPr>
            <w:r>
              <w:rPr>
                <w:rFonts w:hint="eastAsia" w:ascii="宋体" w:hAnsi="宋体" w:eastAsia="宋体" w:cs="宋体"/>
                <w:color w:val="auto"/>
                <w:kern w:val="2"/>
                <w:sz w:val="24"/>
                <w:szCs w:val="24"/>
                <w:lang w:val="en-US" w:eastAsia="zh-CN" w:bidi="ar-SA"/>
              </w:rPr>
              <w:t>4、</w:t>
            </w:r>
            <w:r>
              <w:rPr>
                <w:rFonts w:hint="eastAsia" w:ascii="宋体" w:hAnsi="宋体" w:eastAsia="宋体" w:cs="宋体"/>
                <w:bCs/>
                <w:color w:val="auto"/>
                <w:sz w:val="24"/>
                <w:szCs w:val="24"/>
                <w:lang w:val="en-US" w:eastAsia="zh-CN"/>
              </w:rPr>
              <w:t>投标人</w:t>
            </w:r>
            <w:r>
              <w:rPr>
                <w:rFonts w:ascii="宋体" w:hAnsi="宋体" w:eastAsia="宋体" w:cs="宋体"/>
                <w:bCs/>
                <w:color w:val="auto"/>
                <w:sz w:val="24"/>
                <w:szCs w:val="24"/>
              </w:rPr>
              <w:t>提供与本项目技术有关的职业</w:t>
            </w:r>
            <w:r>
              <w:rPr>
                <w:rFonts w:ascii="宋体" w:hAnsi="宋体" w:eastAsia="宋体" w:cs="宋体"/>
                <w:bCs/>
                <w:color w:val="auto"/>
                <w:sz w:val="24"/>
                <w:szCs w:val="24"/>
                <w:lang w:eastAsia="zh-CN"/>
              </w:rPr>
              <w:t>资格证书(如：</w:t>
            </w:r>
            <w:r>
              <w:rPr>
                <w:rFonts w:hint="eastAsia" w:ascii="宋体" w:hAnsi="宋体" w:eastAsia="宋体" w:cs="宋体"/>
                <w:bCs/>
                <w:color w:val="auto"/>
                <w:sz w:val="24"/>
                <w:szCs w:val="24"/>
                <w:lang w:eastAsia="zh-CN"/>
              </w:rPr>
              <w:t>国家信息安全水平证书、</w:t>
            </w:r>
            <w:r>
              <w:rPr>
                <w:rFonts w:hint="eastAsia" w:ascii="宋体" w:hAnsi="宋体" w:eastAsia="宋体" w:cs="宋体"/>
                <w:bCs/>
                <w:color w:val="auto"/>
                <w:sz w:val="24"/>
                <w:szCs w:val="24"/>
                <w:lang w:val="en-US" w:eastAsia="zh-CN"/>
              </w:rPr>
              <w:t>物联网应用工程师证书、智能化系统工程师证书、网络信息安全工程师证书、展陈设计人才证书、</w:t>
            </w:r>
            <w:r>
              <w:rPr>
                <w:rFonts w:ascii="宋体" w:hAnsi="宋体" w:eastAsia="宋体" w:cs="宋体"/>
                <w:bCs/>
                <w:color w:val="auto"/>
                <w:sz w:val="24"/>
                <w:szCs w:val="24"/>
                <w:lang w:eastAsia="zh-CN"/>
              </w:rPr>
              <w:t>机械工程师初级及以上职称证书</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电工证书、电气设备安装工证书</w:t>
            </w:r>
            <w:r>
              <w:rPr>
                <w:rFonts w:ascii="宋体" w:hAnsi="宋体" w:eastAsia="宋体" w:cs="宋体"/>
                <w:bCs/>
                <w:color w:val="auto"/>
                <w:sz w:val="24"/>
                <w:szCs w:val="24"/>
              </w:rPr>
              <w:t>)，每提供一份证书得</w:t>
            </w:r>
            <w:r>
              <w:rPr>
                <w:rFonts w:hint="eastAsia" w:ascii="宋体" w:hAnsi="宋体" w:eastAsia="宋体" w:cs="宋体"/>
                <w:bCs/>
                <w:color w:val="auto"/>
                <w:sz w:val="24"/>
                <w:szCs w:val="24"/>
                <w:lang w:val="en-US" w:eastAsia="zh-CN"/>
              </w:rPr>
              <w:t>0.5</w:t>
            </w:r>
            <w:r>
              <w:rPr>
                <w:rFonts w:ascii="宋体" w:hAnsi="宋体" w:eastAsia="宋体" w:cs="宋体"/>
                <w:bCs/>
                <w:color w:val="auto"/>
                <w:sz w:val="24"/>
                <w:szCs w:val="24"/>
              </w:rPr>
              <w:t>分，须提供由投标人为上述人员缴纳的最近</w:t>
            </w:r>
            <w:r>
              <w:rPr>
                <w:rFonts w:ascii="宋体" w:hAnsi="宋体" w:eastAsia="宋体" w:cs="宋体"/>
                <w:bCs/>
                <w:color w:val="auto"/>
                <w:sz w:val="24"/>
                <w:szCs w:val="24"/>
                <w:lang w:eastAsia="zh-CN"/>
              </w:rPr>
              <w:t>三</w:t>
            </w:r>
            <w:r>
              <w:rPr>
                <w:rFonts w:ascii="宋体" w:hAnsi="宋体" w:eastAsia="宋体" w:cs="宋体"/>
                <w:bCs/>
                <w:color w:val="auto"/>
                <w:sz w:val="24"/>
                <w:szCs w:val="24"/>
              </w:rPr>
              <w:t>个月（不含投标当月）的社保缴费证明（须盖社保部门章，非补缴，否则无效）</w:t>
            </w:r>
            <w:r>
              <w:rPr>
                <w:rFonts w:ascii="宋体" w:hAnsi="宋体" w:eastAsia="宋体" w:cs="宋体"/>
                <w:bCs/>
                <w:color w:val="auto"/>
                <w:sz w:val="24"/>
                <w:szCs w:val="24"/>
                <w:lang w:eastAsia="zh-CN"/>
              </w:rPr>
              <w:t>或劳动合同复印件（加盖公章），</w:t>
            </w:r>
            <w:r>
              <w:rPr>
                <w:rFonts w:ascii="宋体" w:hAnsi="宋体" w:eastAsia="宋体" w:cs="宋体"/>
                <w:bCs/>
                <w:color w:val="auto"/>
                <w:sz w:val="24"/>
                <w:szCs w:val="24"/>
              </w:rPr>
              <w:t>本项最高得</w:t>
            </w:r>
            <w:r>
              <w:rPr>
                <w:rFonts w:hint="eastAsia" w:ascii="宋体" w:hAnsi="宋体" w:eastAsia="宋体" w:cs="宋体"/>
                <w:bCs/>
                <w:color w:val="auto"/>
                <w:sz w:val="24"/>
                <w:szCs w:val="24"/>
                <w:lang w:val="en-US" w:eastAsia="zh-CN"/>
              </w:rPr>
              <w:t>4</w:t>
            </w:r>
            <w:r>
              <w:rPr>
                <w:rFonts w:ascii="宋体" w:hAnsi="宋体" w:eastAsia="宋体" w:cs="宋体"/>
                <w:bCs/>
                <w:color w:val="auto"/>
                <w:sz w:val="24"/>
                <w:szCs w:val="24"/>
              </w:rPr>
              <w:t>分。 注:同一人员不重复计取</w:t>
            </w:r>
            <w:r>
              <w:rPr>
                <w:rFonts w:hint="eastAsia" w:ascii="宋体" w:hAnsi="宋体" w:eastAsia="宋体" w:cs="宋体"/>
                <w:bCs/>
                <w:color w:val="auto"/>
                <w:sz w:val="24"/>
                <w:szCs w:val="24"/>
                <w:lang w:eastAsia="zh-CN"/>
              </w:rPr>
              <w:t>。</w:t>
            </w:r>
          </w:p>
          <w:p>
            <w:pPr>
              <w:pStyle w:val="69"/>
              <w:ind w:right="-21"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r>
              <w:rPr>
                <w:rFonts w:hint="default" w:ascii="宋体" w:hAnsi="宋体" w:eastAsia="宋体" w:cs="宋体"/>
                <w:color w:val="auto"/>
                <w:kern w:val="2"/>
                <w:sz w:val="24"/>
                <w:szCs w:val="24"/>
                <w:lang w:val="en-US" w:eastAsia="zh-CN" w:bidi="ar-SA"/>
              </w:rPr>
              <w:t>投标人</w:t>
            </w:r>
            <w:r>
              <w:rPr>
                <w:rFonts w:hint="eastAsia" w:ascii="宋体" w:hAnsi="宋体" w:eastAsia="宋体" w:cs="宋体"/>
                <w:color w:val="auto"/>
                <w:kern w:val="2"/>
                <w:sz w:val="24"/>
                <w:szCs w:val="24"/>
                <w:lang w:val="en-US" w:eastAsia="zh-CN" w:bidi="ar-SA"/>
              </w:rPr>
              <w:t>提供售后管理师证书</w:t>
            </w:r>
            <w:r>
              <w:rPr>
                <w:rFonts w:hint="default" w:ascii="宋体" w:hAnsi="宋体" w:eastAsia="宋体" w:cs="宋体"/>
                <w:color w:val="auto"/>
                <w:kern w:val="2"/>
                <w:sz w:val="24"/>
                <w:szCs w:val="24"/>
                <w:lang w:val="en-US" w:eastAsia="zh-CN" w:bidi="ar-SA"/>
              </w:rPr>
              <w:t>，每提供一份得</w:t>
            </w:r>
            <w:r>
              <w:rPr>
                <w:rFonts w:hint="eastAsia" w:ascii="宋体" w:hAnsi="宋体" w:eastAsia="宋体" w:cs="宋体"/>
                <w:color w:val="auto"/>
                <w:kern w:val="2"/>
                <w:sz w:val="24"/>
                <w:szCs w:val="24"/>
                <w:lang w:val="en-US" w:eastAsia="zh-CN" w:bidi="ar-SA"/>
              </w:rPr>
              <w:t>1</w:t>
            </w:r>
            <w:r>
              <w:rPr>
                <w:rFonts w:hint="default" w:ascii="宋体" w:hAnsi="宋体" w:eastAsia="宋体" w:cs="宋体"/>
                <w:color w:val="auto"/>
                <w:kern w:val="2"/>
                <w:sz w:val="24"/>
                <w:szCs w:val="24"/>
                <w:lang w:val="en-US" w:eastAsia="zh-CN" w:bidi="ar-SA"/>
              </w:rPr>
              <w:t>分，该项最多得</w:t>
            </w:r>
            <w:r>
              <w:rPr>
                <w:rFonts w:hint="eastAsia"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t>分，须提供相应证书</w:t>
            </w:r>
            <w:r>
              <w:rPr>
                <w:rFonts w:hint="eastAsia" w:ascii="宋体" w:hAnsi="宋体" w:eastAsia="宋体" w:cs="宋体"/>
                <w:color w:val="auto"/>
                <w:kern w:val="2"/>
                <w:sz w:val="24"/>
                <w:szCs w:val="24"/>
                <w:lang w:val="en-US" w:eastAsia="zh-CN" w:bidi="ar-SA"/>
              </w:rPr>
              <w:t>扫描</w:t>
            </w:r>
            <w:r>
              <w:rPr>
                <w:rFonts w:hint="default" w:ascii="宋体" w:hAnsi="宋体" w:eastAsia="宋体" w:cs="宋体"/>
                <w:color w:val="auto"/>
                <w:kern w:val="2"/>
                <w:sz w:val="24"/>
                <w:szCs w:val="24"/>
                <w:lang w:val="en-US" w:eastAsia="zh-CN" w:bidi="ar-SA"/>
              </w:rPr>
              <w:t>复印件</w:t>
            </w:r>
            <w:r>
              <w:rPr>
                <w:rFonts w:hint="eastAsia" w:ascii="宋体" w:hAnsi="宋体" w:eastAsia="宋体" w:cs="宋体"/>
                <w:color w:val="auto"/>
                <w:kern w:val="2"/>
                <w:sz w:val="24"/>
                <w:szCs w:val="24"/>
                <w:lang w:val="en-US" w:eastAsia="zh-CN" w:bidi="ar-SA"/>
              </w:rPr>
              <w:t>和相关认证机构网站查询截图作为佐证材料</w:t>
            </w:r>
            <w:r>
              <w:rPr>
                <w:rFonts w:hint="default" w:ascii="宋体" w:hAnsi="宋体" w:eastAsia="宋体" w:cs="宋体"/>
                <w:color w:val="auto"/>
                <w:kern w:val="2"/>
                <w:sz w:val="24"/>
                <w:szCs w:val="24"/>
                <w:lang w:val="en-US" w:eastAsia="zh-CN" w:bidi="ar-SA"/>
              </w:rPr>
              <w:t>，否则不得分</w:t>
            </w:r>
          </w:p>
        </w:tc>
      </w:tr>
    </w:tbl>
    <w:p>
      <w:pPr>
        <w:pStyle w:val="27"/>
        <w:spacing w:line="360" w:lineRule="auto"/>
        <w:ind w:right="-10" w:firstLine="0"/>
        <w:rPr>
          <w:rFonts w:hint="eastAsia" w:ascii="宋体" w:hAnsi="宋体" w:eastAsia="宋体" w:cs="宋体"/>
          <w:sz w:val="20"/>
          <w:szCs w:val="21"/>
        </w:rPr>
      </w:pPr>
    </w:p>
    <w:p>
      <w:pPr>
        <w:pStyle w:val="27"/>
        <w:spacing w:line="360" w:lineRule="auto"/>
        <w:ind w:right="-10" w:firstLine="482" w:firstLineChars="200"/>
        <w:rPr>
          <w:rFonts w:hint="eastAsia" w:ascii="宋体" w:hAnsi="宋体" w:eastAsia="宋体" w:cs="宋体"/>
          <w:b/>
          <w:kern w:val="1"/>
          <w:sz w:val="24"/>
        </w:rPr>
      </w:pPr>
      <w:r>
        <w:rPr>
          <w:rFonts w:hint="eastAsia" w:ascii="宋体" w:hAnsi="宋体" w:eastAsia="宋体" w:cs="宋体"/>
          <w:b/>
          <w:kern w:val="1"/>
          <w:sz w:val="24"/>
        </w:rPr>
        <w:t>注：</w:t>
      </w:r>
      <w:r>
        <w:rPr>
          <w:rFonts w:hint="eastAsia" w:ascii="宋体" w:hAnsi="宋体" w:eastAsia="宋体" w:cs="宋体"/>
          <w:b/>
          <w:kern w:val="1"/>
          <w:sz w:val="24"/>
          <w:lang w:val="en-US" w:eastAsia="zh-CN"/>
        </w:rPr>
        <w:t>1.</w:t>
      </w:r>
      <w:r>
        <w:rPr>
          <w:rFonts w:hint="eastAsia" w:ascii="宋体" w:hAnsi="宋体" w:eastAsia="宋体" w:cs="宋体"/>
          <w:b/>
          <w:kern w:val="1"/>
          <w:sz w:val="24"/>
        </w:rPr>
        <w:t>评标结束后，由采购人对评审结果及响应文件等进行复核，并在法定的时间内确定中标人。</w:t>
      </w:r>
    </w:p>
    <w:p>
      <w:pPr>
        <w:pStyle w:val="27"/>
        <w:numPr>
          <w:ilvl w:val="0"/>
          <w:numId w:val="25"/>
        </w:numPr>
        <w:spacing w:line="360" w:lineRule="auto"/>
        <w:ind w:right="-10" w:firstLine="482" w:firstLineChars="200"/>
        <w:rPr>
          <w:rFonts w:hint="eastAsia" w:ascii="宋体" w:hAnsi="宋体" w:eastAsia="宋体" w:cs="宋体"/>
          <w:b/>
          <w:kern w:val="1"/>
          <w:sz w:val="24"/>
          <w:lang w:val="en-US" w:eastAsia="zh-CN"/>
        </w:rPr>
      </w:pPr>
      <w:r>
        <w:rPr>
          <w:rFonts w:hint="eastAsia" w:ascii="宋体" w:hAnsi="宋体" w:eastAsia="宋体" w:cs="宋体"/>
          <w:b/>
          <w:kern w:val="1"/>
          <w:sz w:val="24"/>
          <w:lang w:val="en-US" w:eastAsia="zh-CN"/>
        </w:rPr>
        <w:t>中标人需在网上中标结果公示后2个工作日内到采购人指定地点现场演示以下内容，演示内容不合格或不提供现场演示，视为中标人无承担本项目的能力，自动放弃其中标资格。</w:t>
      </w:r>
    </w:p>
    <w:tbl>
      <w:tblPr>
        <w:tblStyle w:val="71"/>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5"/>
        <w:gridCol w:w="829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639" w:type="pct"/>
            <w:vAlign w:val="center"/>
          </w:tcPr>
          <w:p>
            <w:pPr>
              <w:keepNext w:val="0"/>
              <w:keepLines w:val="0"/>
              <w:pageBreakBefore w:val="0"/>
              <w:widowControl w:val="0"/>
              <w:kinsoku/>
              <w:wordWrap/>
              <w:overflowPunct/>
              <w:topLinePunct w:val="0"/>
              <w:autoSpaceDE w:val="0"/>
              <w:autoSpaceDN w:val="0"/>
              <w:bidi w:val="0"/>
              <w:adjustRightInd/>
              <w:snapToGrid/>
              <w:spacing w:after="0" w:afterLines="0" w:line="240" w:lineRule="auto"/>
              <w:jc w:val="center"/>
              <w:textAlignment w:val="auto"/>
              <w:rPr>
                <w:rFonts w:ascii="宋体" w:hAnsi="宋体" w:eastAsia="宋体" w:cs="宋体"/>
                <w:bCs/>
                <w:color w:val="auto"/>
                <w:kern w:val="0"/>
                <w:sz w:val="24"/>
                <w:szCs w:val="24"/>
                <w:lang w:val="en-US" w:eastAsia="zh-CN" w:bidi="ar-SA"/>
              </w:rPr>
            </w:pPr>
            <w:r>
              <w:rPr>
                <w:rFonts w:ascii="宋体" w:hAnsi="宋体" w:eastAsia="宋体" w:cs="宋体"/>
                <w:bCs/>
                <w:color w:val="auto"/>
                <w:kern w:val="0"/>
                <w:sz w:val="24"/>
                <w:szCs w:val="24"/>
                <w:lang w:val="en-US" w:eastAsia="zh-CN" w:bidi="ar-SA"/>
              </w:rPr>
              <w:t>项目</w:t>
            </w:r>
          </w:p>
        </w:tc>
        <w:tc>
          <w:tcPr>
            <w:tcW w:w="4360" w:type="pct"/>
            <w:vAlign w:val="center"/>
          </w:tcPr>
          <w:p>
            <w:pPr>
              <w:keepNext w:val="0"/>
              <w:keepLines w:val="0"/>
              <w:pageBreakBefore w:val="0"/>
              <w:widowControl w:val="0"/>
              <w:kinsoku/>
              <w:wordWrap/>
              <w:overflowPunct/>
              <w:topLinePunct w:val="0"/>
              <w:autoSpaceDE w:val="0"/>
              <w:autoSpaceDN w:val="0"/>
              <w:bidi w:val="0"/>
              <w:adjustRightInd/>
              <w:snapToGrid/>
              <w:spacing w:after="0" w:afterLines="0" w:line="240" w:lineRule="auto"/>
              <w:jc w:val="center"/>
              <w:textAlignment w:val="auto"/>
              <w:rPr>
                <w:rFonts w:ascii="宋体" w:hAnsi="宋体" w:eastAsia="宋体" w:cs="宋体"/>
                <w:bCs/>
                <w:color w:val="auto"/>
                <w:kern w:val="0"/>
                <w:sz w:val="24"/>
                <w:szCs w:val="24"/>
                <w:lang w:val="en-US" w:eastAsia="zh-CN" w:bidi="ar-SA"/>
              </w:rPr>
            </w:pPr>
            <w:r>
              <w:rPr>
                <w:rFonts w:hint="eastAsia" w:ascii="宋体" w:hAnsi="宋体" w:eastAsia="宋体" w:cs="宋体"/>
                <w:bCs/>
                <w:color w:val="auto"/>
                <w:kern w:val="0"/>
                <w:sz w:val="24"/>
                <w:szCs w:val="24"/>
                <w:lang w:val="en-US" w:eastAsia="zh-CN" w:bidi="ar-SA"/>
              </w:rPr>
              <w:t>演示内容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639" w:type="pct"/>
            <w:vAlign w:val="center"/>
          </w:tcPr>
          <w:p>
            <w:pPr>
              <w:pStyle w:val="69"/>
              <w:ind w:right="-21"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周口市博物馆可移动文物预防性保护项目</w:t>
            </w:r>
          </w:p>
        </w:tc>
        <w:tc>
          <w:tcPr>
            <w:tcW w:w="4360" w:type="pct"/>
            <w:vAlign w:val="center"/>
          </w:tcPr>
          <w:p>
            <w:pPr>
              <w:pStyle w:val="69"/>
              <w:ind w:right="-21" w:firstLine="0" w:firstLineChars="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恒湿机功能演示：</w:t>
            </w:r>
          </w:p>
          <w:p>
            <w:pPr>
              <w:pStyle w:val="69"/>
              <w:numPr>
                <w:ilvl w:val="0"/>
                <w:numId w:val="26"/>
              </w:numPr>
              <w:ind w:right="-21" w:firstLine="0" w:firstLineChars="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具备可视化中文操作界面；</w:t>
            </w:r>
          </w:p>
          <w:p>
            <w:pPr>
              <w:pStyle w:val="69"/>
              <w:numPr>
                <w:ilvl w:val="0"/>
                <w:numId w:val="26"/>
              </w:numPr>
              <w:ind w:right="-21" w:firstLine="0" w:firstLineChars="0"/>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具备联网功能；</w:t>
            </w:r>
          </w:p>
          <w:p>
            <w:pPr>
              <w:pStyle w:val="69"/>
              <w:numPr>
                <w:ilvl w:val="0"/>
                <w:numId w:val="26"/>
              </w:numPr>
              <w:ind w:right="-21" w:firstLine="0" w:firstLineChars="0"/>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可远程查看或监测恒湿机微环境工作状态。</w:t>
            </w:r>
          </w:p>
          <w:p>
            <w:pPr>
              <w:pStyle w:val="69"/>
              <w:numPr>
                <w:ilvl w:val="0"/>
                <w:numId w:val="0"/>
              </w:numPr>
              <w:ind w:right="-21" w:rightChars="-1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恒湿机净化模块演示：</w:t>
            </w:r>
          </w:p>
          <w:p>
            <w:pPr>
              <w:pStyle w:val="69"/>
              <w:numPr>
                <w:ilvl w:val="0"/>
                <w:numId w:val="27"/>
              </w:numPr>
              <w:ind w:left="-425" w:leftChars="0" w:right="-21" w:rightChars="-10" w:firstLineChars="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明确指出恒湿机内外部具体位置；</w:t>
            </w:r>
          </w:p>
          <w:p>
            <w:pPr>
              <w:pStyle w:val="69"/>
              <w:numPr>
                <w:ilvl w:val="0"/>
                <w:numId w:val="27"/>
              </w:numPr>
              <w:ind w:left="-425" w:leftChars="0" w:right="-21" w:rightChars="-10" w:firstLineChars="0"/>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讲解其净化功能的原理及净化材料的介绍；</w:t>
            </w:r>
          </w:p>
          <w:p>
            <w:pPr>
              <w:pStyle w:val="69"/>
              <w:numPr>
                <w:ilvl w:val="0"/>
                <w:numId w:val="27"/>
              </w:numPr>
              <w:ind w:left="-425" w:leftChars="0" w:right="-21" w:rightChars="-10" w:firstLineChars="0"/>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净化材料或整体净化模块的更换。</w:t>
            </w:r>
          </w:p>
          <w:p>
            <w:pPr>
              <w:pStyle w:val="69"/>
              <w:numPr>
                <w:ilvl w:val="0"/>
                <w:numId w:val="0"/>
              </w:numPr>
              <w:ind w:leftChars="0" w:right="-21" w:rightChars="-10"/>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要求：以上现场演示过程及内容需符合招标文件要求，同时提供能够在台式计算机正常播放的演示视频（流畅、清晰）的光盘（或U盘）一份。</w:t>
            </w:r>
          </w:p>
        </w:tc>
      </w:tr>
    </w:tbl>
    <w:p>
      <w:pPr>
        <w:pStyle w:val="27"/>
        <w:numPr>
          <w:ilvl w:val="0"/>
          <w:numId w:val="0"/>
        </w:numPr>
        <w:spacing w:line="360" w:lineRule="auto"/>
        <w:ind w:right="-10" w:rightChars="0"/>
        <w:rPr>
          <w:rFonts w:hint="default" w:ascii="宋体" w:hAnsi="宋体" w:eastAsia="宋体" w:cs="宋体"/>
          <w:b/>
          <w:kern w:val="1"/>
          <w:sz w:val="24"/>
          <w:lang w:val="en-US" w:eastAsia="zh-CN"/>
        </w:rPr>
      </w:pPr>
    </w:p>
    <w:p>
      <w:pPr>
        <w:adjustRightInd w:val="0"/>
        <w:snapToGrid w:val="0"/>
        <w:spacing w:line="360" w:lineRule="auto"/>
        <w:ind w:right="-10" w:firstLine="480" w:firstLineChars="200"/>
        <w:rPr>
          <w:rFonts w:hint="eastAsia" w:ascii="宋体" w:hAnsi="宋体" w:eastAsia="宋体" w:cs="宋体"/>
          <w:bCs/>
          <w:sz w:val="24"/>
          <w:lang w:eastAsia="zh-CN"/>
        </w:rPr>
      </w:pPr>
      <w:r>
        <w:rPr>
          <w:rFonts w:hint="eastAsia" w:ascii="宋体" w:hAnsi="宋体" w:eastAsia="宋体" w:cs="宋体"/>
          <w:bCs/>
          <w:sz w:val="24"/>
        </w:rPr>
        <w:t>1、依据中华人民共和国财政部令第87号令《政府采购货物和服务招标投标管理办法》第三十一条要求，不同投标人所投核心产品对应品牌完全相同且通过资格审查、符合性审查的，将按照一家投标人计算。审后得分最高的同品牌投标人获得中标人推荐资格；评审得分相同的，按照除价格分外得分最高（商务+技术参数）的同品牌投标人获得中标人推荐资格，其他同品牌投标人不作为中标候选人</w:t>
      </w:r>
      <w:r>
        <w:rPr>
          <w:rFonts w:hint="eastAsia" w:ascii="宋体" w:hAnsi="宋体" w:eastAsia="宋体" w:cs="宋体"/>
          <w:bCs/>
          <w:sz w:val="24"/>
          <w:lang w:eastAsia="zh-CN"/>
        </w:rPr>
        <w:t>。</w:t>
      </w:r>
    </w:p>
    <w:p>
      <w:pPr>
        <w:adjustRightInd w:val="0"/>
        <w:snapToGrid w:val="0"/>
        <w:spacing w:line="360" w:lineRule="auto"/>
        <w:ind w:right="-10" w:firstLine="480" w:firstLineChars="200"/>
        <w:rPr>
          <w:rFonts w:hint="eastAsia" w:ascii="宋体" w:hAnsi="宋体" w:eastAsia="宋体" w:cs="宋体"/>
          <w:bCs/>
          <w:sz w:val="24"/>
        </w:rPr>
      </w:pPr>
      <w:r>
        <w:rPr>
          <w:rFonts w:hint="eastAsia" w:ascii="宋体" w:hAnsi="宋体" w:eastAsia="宋体" w:cs="宋体"/>
          <w:bCs/>
          <w:sz w:val="24"/>
        </w:rPr>
        <w:t>2、按照周口市交易中心规定，本项目投标人所需提供原件在评标时无需提供，仅作为采购单位核实时使用，评审委员会评审时仅以投标人投标文件中扫描件为准。</w:t>
      </w:r>
    </w:p>
    <w:p>
      <w:pPr>
        <w:pStyle w:val="27"/>
        <w:spacing w:line="360" w:lineRule="auto"/>
        <w:ind w:right="-10" w:firstLine="482" w:firstLineChars="200"/>
        <w:rPr>
          <w:rFonts w:hint="eastAsia" w:ascii="宋体" w:hAnsi="宋体" w:eastAsia="宋体" w:cs="宋体"/>
          <w:bCs/>
          <w:sz w:val="24"/>
        </w:rPr>
      </w:pPr>
      <w:r>
        <w:rPr>
          <w:rFonts w:hint="eastAsia" w:ascii="宋体" w:hAnsi="宋体" w:eastAsia="宋体" w:cs="宋体"/>
          <w:b/>
          <w:bCs/>
          <w:sz w:val="24"/>
        </w:rPr>
        <w:t>第十条</w:t>
      </w:r>
      <w:r>
        <w:rPr>
          <w:rFonts w:hint="eastAsia" w:ascii="宋体" w:hAnsi="宋体" w:eastAsia="宋体" w:cs="宋体"/>
          <w:bCs/>
          <w:sz w:val="24"/>
        </w:rPr>
        <w:t xml:space="preserve"> 评委独立评审后，评委会对投标人某项指标如有不同意见，按照少数服从多数的原则，确定该项指标是否通过。</w:t>
      </w:r>
    </w:p>
    <w:p>
      <w:pPr>
        <w:spacing w:line="360" w:lineRule="auto"/>
        <w:ind w:firstLine="482" w:firstLineChars="200"/>
        <w:rPr>
          <w:rFonts w:hint="eastAsia" w:ascii="宋体" w:hAnsi="宋体" w:eastAsia="宋体" w:cs="宋体"/>
          <w:bCs/>
          <w:sz w:val="24"/>
        </w:rPr>
      </w:pPr>
      <w:r>
        <w:rPr>
          <w:rFonts w:hint="eastAsia" w:ascii="宋体" w:hAnsi="宋体" w:eastAsia="宋体" w:cs="宋体"/>
          <w:b/>
          <w:bCs/>
          <w:sz w:val="24"/>
        </w:rPr>
        <w:t>第十一条</w:t>
      </w:r>
      <w:r>
        <w:rPr>
          <w:rFonts w:hint="eastAsia" w:ascii="宋体" w:hAnsi="宋体" w:eastAsia="宋体" w:cs="宋体"/>
          <w:bCs/>
          <w:sz w:val="24"/>
        </w:rPr>
        <w:t xml:space="preserve"> 商务、技术满足招标文件要求，综合得分最高的投标人将作为中标候选人。如果综合得分中出现两家或两家以上相同者，投标报价较低者优先中标，报价也相同的，由采购人自行确定。</w:t>
      </w:r>
    </w:p>
    <w:p>
      <w:pPr>
        <w:pStyle w:val="27"/>
        <w:spacing w:line="360" w:lineRule="auto"/>
        <w:ind w:right="-10" w:firstLine="482"/>
        <w:rPr>
          <w:rFonts w:hint="eastAsia" w:ascii="宋体" w:hAnsi="宋体" w:eastAsia="宋体" w:cs="宋体"/>
          <w:bCs/>
          <w:sz w:val="24"/>
        </w:rPr>
      </w:pPr>
      <w:r>
        <w:rPr>
          <w:rFonts w:hint="eastAsia" w:ascii="宋体" w:hAnsi="宋体" w:eastAsia="宋体" w:cs="宋体"/>
          <w:b/>
          <w:bCs/>
          <w:sz w:val="24"/>
        </w:rPr>
        <w:t>第十二条</w:t>
      </w:r>
      <w:r>
        <w:rPr>
          <w:rFonts w:hint="eastAsia" w:ascii="宋体" w:hAnsi="宋体" w:eastAsia="宋体" w:cs="宋体"/>
          <w:bCs/>
          <w:sz w:val="24"/>
        </w:rPr>
        <w:t xml:space="preserve"> 评委会在评标过程中发现的问题，应当及时作出处理或者向采购人提出处理建议，并作书面记录。</w:t>
      </w:r>
    </w:p>
    <w:p>
      <w:pPr>
        <w:adjustRightInd w:val="0"/>
        <w:snapToGrid w:val="0"/>
        <w:spacing w:line="360" w:lineRule="auto"/>
        <w:ind w:right="-10" w:firstLine="482" w:firstLineChars="200"/>
        <w:rPr>
          <w:rFonts w:hint="eastAsia" w:ascii="宋体" w:hAnsi="宋体" w:eastAsia="宋体" w:cs="宋体"/>
          <w:bCs/>
          <w:sz w:val="24"/>
        </w:rPr>
      </w:pPr>
      <w:r>
        <w:rPr>
          <w:rFonts w:hint="eastAsia" w:ascii="宋体" w:hAnsi="宋体" w:eastAsia="宋体" w:cs="宋体"/>
          <w:b/>
          <w:bCs/>
          <w:sz w:val="24"/>
        </w:rPr>
        <w:t>第十三条</w:t>
      </w:r>
      <w:r>
        <w:rPr>
          <w:rFonts w:hint="eastAsia" w:ascii="宋体" w:hAnsi="宋体" w:eastAsia="宋体" w:cs="宋体"/>
          <w:bCs/>
          <w:sz w:val="24"/>
        </w:rPr>
        <w:t xml:space="preserve"> 评标后，评委会应填写评审记录并签字。评审记录是评委会根据全体评标成员电子签字的原始评标记录和评标结果编制的报告，评委会全体成员均须在评审纪要上电子签字。评审记录应如实记录本次评标的主要过程，全面反映评标过程中的各种不同的意见，以及其他澄清、说明、补正事项。</w:t>
      </w:r>
    </w:p>
    <w:p>
      <w:pPr>
        <w:rPr>
          <w:rFonts w:hint="eastAsia" w:ascii="宋体" w:hAnsi="宋体" w:eastAsia="宋体" w:cs="宋体"/>
        </w:rPr>
      </w:pPr>
    </w:p>
    <w:p>
      <w:pPr>
        <w:adjustRightInd w:val="0"/>
        <w:snapToGrid w:val="0"/>
        <w:spacing w:line="360" w:lineRule="auto"/>
        <w:jc w:val="center"/>
        <w:rPr>
          <w:rFonts w:hint="eastAsia" w:ascii="宋体" w:hAnsi="宋体" w:eastAsia="宋体" w:cs="宋体"/>
          <w:b/>
          <w:bCs/>
          <w:sz w:val="24"/>
        </w:rPr>
      </w:pPr>
      <w:bookmarkStart w:id="57" w:name="_Toc40_WPSOffice_Level2"/>
      <w:r>
        <w:rPr>
          <w:rFonts w:hint="eastAsia" w:ascii="宋体" w:hAnsi="宋体" w:eastAsia="宋体" w:cs="宋体"/>
          <w:b/>
          <w:bCs/>
          <w:sz w:val="24"/>
        </w:rPr>
        <w:t>三．评标纪律</w:t>
      </w:r>
      <w:bookmarkEnd w:id="57"/>
    </w:p>
    <w:p>
      <w:pPr>
        <w:adjustRightInd w:val="0"/>
        <w:snapToGrid w:val="0"/>
        <w:spacing w:line="360" w:lineRule="auto"/>
        <w:ind w:right="-10" w:firstLine="482" w:firstLineChars="200"/>
        <w:rPr>
          <w:rFonts w:hint="eastAsia" w:ascii="宋体" w:hAnsi="宋体" w:eastAsia="宋体" w:cs="宋体"/>
          <w:sz w:val="24"/>
        </w:rPr>
      </w:pPr>
      <w:r>
        <w:rPr>
          <w:rFonts w:hint="eastAsia" w:ascii="宋体" w:hAnsi="宋体" w:eastAsia="宋体" w:cs="宋体"/>
          <w:b/>
          <w:bCs/>
          <w:sz w:val="24"/>
        </w:rPr>
        <w:t>第十四条</w:t>
      </w:r>
      <w:r>
        <w:rPr>
          <w:rFonts w:hint="eastAsia" w:ascii="宋体" w:hAnsi="宋体" w:eastAsia="宋体" w:cs="宋体"/>
          <w:bCs/>
          <w:sz w:val="24"/>
        </w:rPr>
        <w:t xml:space="preserve"> 评委会和评标工作人员应严格遵守国家的法律、法规和规章制度；</w:t>
      </w:r>
      <w:r>
        <w:rPr>
          <w:rFonts w:hint="eastAsia" w:ascii="宋体" w:hAnsi="宋体" w:eastAsia="宋体" w:cs="宋体"/>
          <w:sz w:val="24"/>
        </w:rPr>
        <w:t>严格按照本次招标文件进行评标；公正廉洁、不徇私情，不得损害国家利益；保护招、投标人的合法权益。</w:t>
      </w:r>
    </w:p>
    <w:p>
      <w:pPr>
        <w:adjustRightInd w:val="0"/>
        <w:snapToGrid w:val="0"/>
        <w:spacing w:line="360" w:lineRule="auto"/>
        <w:ind w:right="-10" w:firstLine="482" w:firstLineChars="200"/>
        <w:rPr>
          <w:rFonts w:hint="eastAsia" w:ascii="宋体" w:hAnsi="宋体" w:eastAsia="宋体" w:cs="宋体"/>
          <w:sz w:val="24"/>
        </w:rPr>
      </w:pPr>
      <w:r>
        <w:rPr>
          <w:rFonts w:hint="eastAsia" w:ascii="宋体" w:hAnsi="宋体" w:eastAsia="宋体" w:cs="宋体"/>
          <w:b/>
          <w:bCs/>
          <w:sz w:val="24"/>
        </w:rPr>
        <w:t xml:space="preserve">第十五条 </w:t>
      </w:r>
      <w:r>
        <w:rPr>
          <w:rFonts w:hint="eastAsia" w:ascii="宋体" w:hAnsi="宋体" w:eastAsia="宋体" w:cs="宋体"/>
          <w:sz w:val="24"/>
        </w:rPr>
        <w:t>在评标过程中，评委必须对评标情况严格保密，任何人不得将评标情况透露给与投标人有关的单位和个人。如有违反评标纪律的情况发生，将依据《中华人民共和国政府采购法》及其他有关法律法规的规定，追究有关当事人的责任。</w:t>
      </w:r>
    </w:p>
    <w:p>
      <w:pPr>
        <w:spacing w:line="360" w:lineRule="auto"/>
        <w:ind w:firstLine="482" w:firstLineChars="200"/>
        <w:jc w:val="left"/>
        <w:rPr>
          <w:rFonts w:hint="eastAsia" w:ascii="宋体" w:hAnsi="宋体" w:eastAsia="宋体" w:cs="宋体"/>
          <w:sz w:val="24"/>
        </w:rPr>
      </w:pPr>
      <w:r>
        <w:rPr>
          <w:rFonts w:hint="eastAsia" w:ascii="宋体" w:hAnsi="宋体" w:eastAsia="宋体" w:cs="宋体"/>
          <w:b/>
          <w:sz w:val="24"/>
        </w:rPr>
        <w:t>第十六条</w:t>
      </w:r>
      <w:r>
        <w:rPr>
          <w:rFonts w:hint="eastAsia" w:ascii="宋体" w:hAnsi="宋体" w:eastAsia="宋体" w:cs="宋体"/>
          <w:sz w:val="24"/>
        </w:rPr>
        <w:t xml:space="preserve"> 在招标采购中，出现下列情形之一的，应予废标：</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1.出现影响采购公正的违法、违规行为的。</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2.投标时有弄虚作假的行为。</w:t>
      </w:r>
    </w:p>
    <w:p>
      <w:pPr>
        <w:spacing w:line="360" w:lineRule="auto"/>
        <w:ind w:firstLine="475" w:firstLineChars="197"/>
        <w:rPr>
          <w:rFonts w:hint="eastAsia" w:ascii="宋体" w:hAnsi="宋体" w:eastAsia="宋体" w:cs="宋体"/>
          <w:sz w:val="24"/>
        </w:rPr>
      </w:pPr>
      <w:r>
        <w:rPr>
          <w:rFonts w:hint="eastAsia" w:ascii="宋体" w:hAnsi="宋体" w:eastAsia="宋体" w:cs="宋体"/>
          <w:b/>
          <w:sz w:val="24"/>
        </w:rPr>
        <w:t xml:space="preserve">第十七条 </w:t>
      </w:r>
      <w:r>
        <w:rPr>
          <w:rFonts w:hint="eastAsia" w:ascii="宋体" w:hAnsi="宋体" w:eastAsia="宋体" w:cs="宋体"/>
          <w:sz w:val="24"/>
        </w:rPr>
        <w:t>在投标过程中，出现下列情况之一的，按照无效投标处理：</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1.未按照招标文件规定要求签署、签章的</w:t>
      </w:r>
      <w:r>
        <w:rPr>
          <w:rFonts w:hint="eastAsia" w:ascii="宋体" w:hAnsi="宋体" w:eastAsia="宋体" w:cs="宋体"/>
          <w:b/>
          <w:sz w:val="24"/>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授权代表的名字直接打印在签章处即可）；</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2.不具备招标文件中规定资格要求的；</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3.不符合法律、法规和招标文件中规定的其他实质性要求的。</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4.投标人的报价超过了采购预算，采购人不能支付的；</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5.投标文件附有</w:t>
      </w:r>
      <w:r>
        <w:rPr>
          <w:rFonts w:hint="eastAsia" w:ascii="宋体" w:hAnsi="宋体" w:eastAsia="宋体" w:cs="宋体"/>
          <w:sz w:val="24"/>
          <w:lang w:val="en-US" w:eastAsia="zh-CN"/>
        </w:rPr>
        <w:t>采购人</w:t>
      </w:r>
      <w:r>
        <w:rPr>
          <w:rFonts w:hint="eastAsia" w:ascii="宋体" w:hAnsi="宋体" w:eastAsia="宋体" w:cs="宋体"/>
          <w:sz w:val="24"/>
        </w:rPr>
        <w:t>不能接受的条件；</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6.投标文件中对同一服务或标段提供选择性报价的；</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7.商务偏差表或技术偏差表存在弄虚作假的；</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8.不同供应商的电子投标（响应）文件上传计算机的网卡 MAC 地址、CPU 序列号和硬盘序列号等硬件信息相同的;</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val="en-US" w:eastAsia="zh-CN"/>
        </w:rPr>
        <w:t>9.</w:t>
      </w:r>
      <w:r>
        <w:rPr>
          <w:rFonts w:hint="eastAsia" w:ascii="宋体" w:hAnsi="宋体" w:eastAsia="宋体" w:cs="宋体"/>
          <w:color w:val="000000"/>
          <w:sz w:val="24"/>
        </w:rPr>
        <w:t>不同供应商的投标（响应）文件由同一电子设备编制，打印</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复印、</w:t>
      </w:r>
      <w:r>
        <w:rPr>
          <w:rFonts w:hint="eastAsia" w:ascii="宋体" w:hAnsi="宋体" w:eastAsia="宋体" w:cs="宋体"/>
          <w:color w:val="000000"/>
          <w:sz w:val="24"/>
        </w:rPr>
        <w:t>加密或者上传</w:t>
      </w:r>
      <w:r>
        <w:rPr>
          <w:rFonts w:hint="eastAsia" w:ascii="宋体" w:hAnsi="宋体" w:eastAsia="宋体" w:cs="宋体"/>
          <w:color w:val="000000"/>
          <w:sz w:val="24"/>
          <w:lang w:val="en-US" w:eastAsia="zh-CN"/>
        </w:rPr>
        <w:t>的</w:t>
      </w:r>
      <w:r>
        <w:rPr>
          <w:rFonts w:hint="eastAsia" w:ascii="宋体" w:hAnsi="宋体" w:eastAsia="宋体" w:cs="宋体"/>
          <w:color w:val="000000"/>
          <w:sz w:val="24"/>
        </w:rPr>
        <w:t>；</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val="en-US" w:eastAsia="zh-CN"/>
        </w:rPr>
        <w:t>10.</w:t>
      </w:r>
      <w:r>
        <w:rPr>
          <w:rFonts w:hint="eastAsia" w:ascii="宋体" w:hAnsi="宋体" w:eastAsia="宋体" w:cs="宋体"/>
          <w:color w:val="000000"/>
          <w:sz w:val="24"/>
        </w:rPr>
        <w:t>不同供应商的投标（响应）文件由同一人送达或者分发，或者不同供应商联系人为同一人或不同联系人的联系电话一致的；</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val="en-US" w:eastAsia="zh-CN"/>
        </w:rPr>
        <w:t>11.</w:t>
      </w:r>
      <w:r>
        <w:rPr>
          <w:rFonts w:hint="eastAsia" w:ascii="宋体" w:hAnsi="宋体" w:eastAsia="宋体" w:cs="宋体"/>
          <w:color w:val="000000"/>
          <w:sz w:val="24"/>
        </w:rPr>
        <w:t>不同供应商的投标（响应）文件的内容存在两处以上细节错误一致；</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val="en-US" w:eastAsia="zh-CN"/>
        </w:rPr>
        <w:t>12.</w:t>
      </w:r>
      <w:r>
        <w:rPr>
          <w:rFonts w:hint="eastAsia" w:ascii="宋体" w:hAnsi="宋体" w:eastAsia="宋体" w:cs="宋体"/>
          <w:color w:val="000000"/>
          <w:sz w:val="24"/>
        </w:rPr>
        <w:t>不同供应商的法定代表人、委托代理人、项目经理、项目负责人等由同一个单位缴纳社会保险或者领取报酬的；</w:t>
      </w:r>
    </w:p>
    <w:p>
      <w:pPr>
        <w:spacing w:line="360" w:lineRule="auto"/>
        <w:ind w:firstLine="480" w:firstLineChars="200"/>
        <w:rPr>
          <w:rFonts w:hint="eastAsia" w:eastAsia="宋体"/>
          <w:color w:val="000000"/>
          <w:lang w:eastAsia="zh-CN"/>
        </w:rPr>
      </w:pPr>
      <w:r>
        <w:rPr>
          <w:rFonts w:hint="eastAsia" w:ascii="宋体" w:hAnsi="宋体" w:eastAsia="宋体" w:cs="宋体"/>
          <w:color w:val="000000"/>
          <w:sz w:val="24"/>
          <w:lang w:val="en-US" w:eastAsia="zh-CN"/>
        </w:rPr>
        <w:t>13.</w:t>
      </w:r>
      <w:r>
        <w:rPr>
          <w:rFonts w:hint="eastAsia" w:ascii="宋体" w:hAnsi="宋体" w:eastAsia="宋体" w:cs="宋体"/>
          <w:color w:val="000000"/>
          <w:sz w:val="24"/>
        </w:rPr>
        <w:t>不同供应商投标（响应）文件中法定代表人或者负责人签字出自同一人之手</w:t>
      </w:r>
      <w:r>
        <w:rPr>
          <w:rFonts w:hint="eastAsia" w:ascii="宋体" w:hAnsi="宋体" w:eastAsia="宋体" w:cs="宋体"/>
          <w:color w:val="000000"/>
          <w:sz w:val="24"/>
          <w:lang w:eastAsia="zh-CN"/>
        </w:rPr>
        <w:t>。</w:t>
      </w:r>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第十</w:t>
      </w:r>
      <w:r>
        <w:rPr>
          <w:rFonts w:hint="eastAsia" w:ascii="宋体" w:hAnsi="宋体" w:eastAsia="宋体" w:cs="宋体"/>
          <w:b/>
          <w:bCs/>
          <w:sz w:val="24"/>
        </w:rPr>
        <w:t>八</w:t>
      </w:r>
      <w:r>
        <w:rPr>
          <w:rFonts w:hint="eastAsia" w:ascii="宋体" w:hAnsi="宋体" w:eastAsia="宋体" w:cs="宋体"/>
          <w:b/>
          <w:sz w:val="24"/>
        </w:rPr>
        <w:t xml:space="preserve">条 </w:t>
      </w:r>
      <w:r>
        <w:rPr>
          <w:rFonts w:hint="eastAsia" w:ascii="宋体" w:hAnsi="宋体" w:eastAsia="宋体" w:cs="宋体"/>
          <w:sz w:val="24"/>
        </w:rPr>
        <w:t>在投标文件中，出现下列情形之一的，其投标有可能被拒绝：</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服务</w:t>
      </w:r>
      <w:r>
        <w:rPr>
          <w:rFonts w:hint="eastAsia" w:ascii="宋体" w:hAnsi="宋体" w:eastAsia="宋体" w:cs="宋体"/>
          <w:sz w:val="24"/>
        </w:rPr>
        <w:t>工期不确切、不肯定的投标；</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2.对售后服务、付款方式不满足招标文件要求的； </w:t>
      </w:r>
    </w:p>
    <w:p>
      <w:pPr>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3.投标人没有实质性响应招标文件的要求和条件的；</w:t>
      </w:r>
    </w:p>
    <w:p>
      <w:pPr>
        <w:tabs>
          <w:tab w:val="left" w:pos="2730"/>
        </w:tabs>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4.评标委员会认为投标人的报价明显低于其他通过符合性审查投标人的报价，有可能影响产品质量或者不能诚信履约的；</w:t>
      </w:r>
      <w:r>
        <w:rPr>
          <w:rFonts w:hint="eastAsia" w:ascii="宋体" w:hAnsi="宋体" w:eastAsia="宋体" w:cs="宋体"/>
          <w:color w:val="000000"/>
          <w:sz w:val="24"/>
          <w:lang w:val="en-US" w:eastAsia="zh-CN"/>
        </w:rPr>
        <w:t>且</w:t>
      </w:r>
      <w:r>
        <w:rPr>
          <w:rFonts w:hint="eastAsia" w:ascii="宋体" w:hAnsi="宋体" w:eastAsia="宋体" w:cs="宋体"/>
          <w:color w:val="000000"/>
          <w:sz w:val="24"/>
        </w:rPr>
        <w:t>提供</w:t>
      </w:r>
      <w:r>
        <w:rPr>
          <w:rFonts w:hint="eastAsia" w:ascii="宋体" w:hAnsi="宋体" w:eastAsia="宋体" w:cs="宋体"/>
          <w:color w:val="000000"/>
          <w:sz w:val="24"/>
          <w:lang w:val="en-US" w:eastAsia="zh-CN"/>
        </w:rPr>
        <w:t>的</w:t>
      </w:r>
      <w:r>
        <w:rPr>
          <w:rFonts w:hint="eastAsia" w:ascii="宋体" w:hAnsi="宋体" w:eastAsia="宋体" w:cs="宋体"/>
          <w:color w:val="000000"/>
          <w:sz w:val="24"/>
        </w:rPr>
        <w:t>书面说明</w:t>
      </w:r>
      <w:r>
        <w:rPr>
          <w:rFonts w:hint="eastAsia" w:ascii="宋体" w:hAnsi="宋体" w:eastAsia="宋体" w:cs="宋体"/>
          <w:color w:val="000000"/>
          <w:sz w:val="24"/>
          <w:lang w:val="en-US" w:eastAsia="zh-CN"/>
        </w:rPr>
        <w:t>和</w:t>
      </w:r>
      <w:r>
        <w:rPr>
          <w:rFonts w:hint="eastAsia" w:ascii="宋体" w:hAnsi="宋体" w:eastAsia="宋体" w:cs="宋体"/>
          <w:color w:val="000000"/>
          <w:sz w:val="24"/>
        </w:rPr>
        <w:t>相关证明材料；投标人不能证明其报价合理性的，评标委员会应当将其作为无效投标处理</w:t>
      </w:r>
      <w:r>
        <w:rPr>
          <w:rFonts w:hint="eastAsia" w:ascii="宋体" w:hAnsi="宋体" w:eastAsia="宋体" w:cs="宋体"/>
          <w:color w:val="000000"/>
          <w:sz w:val="24"/>
          <w:lang w:eastAsia="zh-CN"/>
        </w:rPr>
        <w:t>。</w:t>
      </w:r>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第十九条</w:t>
      </w:r>
      <w:r>
        <w:rPr>
          <w:rFonts w:hint="eastAsia" w:ascii="宋体" w:hAnsi="宋体" w:eastAsia="宋体" w:cs="宋体"/>
          <w:sz w:val="24"/>
        </w:rPr>
        <w:t xml:space="preserve"> 本评标办法的解释权属于采购人。</w:t>
      </w:r>
    </w:p>
    <w:p>
      <w:pPr>
        <w:spacing w:line="360" w:lineRule="auto"/>
        <w:rPr>
          <w:rFonts w:hint="eastAsia" w:ascii="宋体" w:hAnsi="宋体" w:eastAsia="宋体" w:cs="宋体"/>
          <w:sz w:val="24"/>
        </w:rPr>
      </w:pPr>
    </w:p>
    <w:p>
      <w:pPr>
        <w:pStyle w:val="2"/>
        <w:spacing w:before="0" w:after="0" w:line="400" w:lineRule="exact"/>
        <w:jc w:val="center"/>
        <w:rPr>
          <w:rFonts w:hint="eastAsia" w:ascii="宋体" w:hAnsi="宋体" w:eastAsia="宋体" w:cs="宋体"/>
          <w:sz w:val="32"/>
        </w:rPr>
      </w:pPr>
      <w:bookmarkStart w:id="58" w:name="_Toc527725920"/>
      <w:r>
        <w:rPr>
          <w:rFonts w:hint="eastAsia" w:ascii="宋体" w:hAnsi="宋体" w:eastAsia="宋体" w:cs="宋体"/>
          <w:sz w:val="32"/>
        </w:rPr>
        <w:br w:type="page"/>
      </w:r>
      <w:bookmarkStart w:id="59" w:name="_Toc19953"/>
      <w:bookmarkStart w:id="60" w:name="_Toc40975440"/>
      <w:bookmarkStart w:id="61" w:name="_Toc19468"/>
      <w:bookmarkStart w:id="62" w:name="_Toc28050"/>
      <w:r>
        <w:rPr>
          <w:rFonts w:hint="eastAsia" w:ascii="宋体" w:hAnsi="宋体" w:eastAsia="宋体" w:cs="宋体"/>
          <w:sz w:val="32"/>
        </w:rPr>
        <w:t>招标文件第二部分</w:t>
      </w:r>
      <w:bookmarkEnd w:id="58"/>
      <w:bookmarkEnd w:id="59"/>
      <w:bookmarkEnd w:id="60"/>
      <w:bookmarkEnd w:id="61"/>
      <w:bookmarkEnd w:id="62"/>
    </w:p>
    <w:p>
      <w:pPr>
        <w:pStyle w:val="3"/>
        <w:spacing w:line="500" w:lineRule="exact"/>
        <w:ind w:firstLine="0"/>
        <w:rPr>
          <w:rFonts w:hint="eastAsia" w:ascii="宋体" w:hAnsi="宋体" w:eastAsia="宋体" w:cs="宋体"/>
        </w:rPr>
      </w:pPr>
      <w:bookmarkStart w:id="63" w:name="_Toc527725921"/>
    </w:p>
    <w:p>
      <w:pPr>
        <w:pStyle w:val="3"/>
        <w:spacing w:line="500" w:lineRule="exact"/>
        <w:ind w:firstLine="0"/>
        <w:rPr>
          <w:rFonts w:hint="eastAsia" w:ascii="宋体" w:hAnsi="宋体" w:eastAsia="宋体" w:cs="宋体"/>
        </w:rPr>
      </w:pPr>
      <w:bookmarkStart w:id="64" w:name="_Toc20612"/>
      <w:r>
        <w:rPr>
          <w:rFonts w:hint="eastAsia" w:ascii="宋体" w:hAnsi="宋体" w:eastAsia="宋体" w:cs="宋体"/>
        </w:rPr>
        <w:t>第五章 投标人须知</w:t>
      </w:r>
      <w:bookmarkEnd w:id="63"/>
      <w:bookmarkEnd w:id="64"/>
    </w:p>
    <w:p>
      <w:pPr>
        <w:pStyle w:val="4"/>
        <w:spacing w:line="500" w:lineRule="exact"/>
        <w:rPr>
          <w:rFonts w:hint="eastAsia" w:ascii="宋体" w:hAnsi="宋体" w:eastAsia="宋体" w:cs="宋体"/>
          <w:sz w:val="28"/>
        </w:rPr>
      </w:pPr>
      <w:bookmarkStart w:id="65" w:name="_Hlt509650126"/>
      <w:bookmarkEnd w:id="65"/>
      <w:bookmarkStart w:id="66" w:name="_Hlt526418143"/>
      <w:bookmarkEnd w:id="66"/>
      <w:bookmarkStart w:id="67" w:name="_Hlt509650686"/>
      <w:bookmarkEnd w:id="67"/>
      <w:bookmarkStart w:id="68" w:name="_Hlt509649722"/>
      <w:bookmarkEnd w:id="68"/>
      <w:bookmarkStart w:id="69" w:name="_Hlt509649998"/>
      <w:bookmarkEnd w:id="69"/>
      <w:bookmarkStart w:id="70" w:name="_Hlt509650955"/>
      <w:bookmarkEnd w:id="70"/>
      <w:bookmarkStart w:id="71" w:name="_Toc32160"/>
      <w:bookmarkStart w:id="72" w:name="_Toc10068"/>
      <w:bookmarkStart w:id="73" w:name="_Toc527725922"/>
      <w:bookmarkStart w:id="74" w:name="_Toc23614"/>
      <w:bookmarkStart w:id="75" w:name="_Toc40975442"/>
      <w:r>
        <w:rPr>
          <w:rFonts w:hint="eastAsia" w:ascii="宋体" w:hAnsi="宋体" w:eastAsia="宋体" w:cs="宋体"/>
          <w:sz w:val="28"/>
        </w:rPr>
        <w:t>一．总    则</w:t>
      </w:r>
      <w:bookmarkEnd w:id="71"/>
      <w:bookmarkEnd w:id="72"/>
      <w:bookmarkEnd w:id="73"/>
      <w:bookmarkEnd w:id="74"/>
      <w:bookmarkEnd w:id="75"/>
    </w:p>
    <w:p>
      <w:pPr>
        <w:spacing w:line="360" w:lineRule="auto"/>
        <w:ind w:firstLine="550"/>
        <w:rPr>
          <w:rFonts w:hint="eastAsia" w:ascii="宋体" w:hAnsi="宋体" w:eastAsia="宋体" w:cs="宋体"/>
          <w:b/>
          <w:sz w:val="24"/>
        </w:rPr>
      </w:pPr>
      <w:r>
        <w:rPr>
          <w:rFonts w:hint="eastAsia" w:ascii="宋体" w:hAnsi="宋体" w:eastAsia="宋体" w:cs="宋体"/>
          <w:b/>
          <w:sz w:val="24"/>
        </w:rPr>
        <w:t>1.适用范围</w:t>
      </w:r>
    </w:p>
    <w:p>
      <w:pPr>
        <w:spacing w:line="360" w:lineRule="auto"/>
        <w:ind w:firstLine="550"/>
        <w:rPr>
          <w:rFonts w:hint="eastAsia" w:ascii="宋体" w:hAnsi="宋体" w:eastAsia="宋体" w:cs="宋体"/>
          <w:sz w:val="24"/>
        </w:rPr>
      </w:pPr>
      <w:r>
        <w:rPr>
          <w:rFonts w:hint="eastAsia" w:ascii="宋体" w:hAnsi="宋体" w:eastAsia="宋体" w:cs="宋体"/>
          <w:sz w:val="24"/>
        </w:rPr>
        <w:t>1.1本招标文件仅适用于本次公开招标所述的服务项目采购。</w:t>
      </w:r>
    </w:p>
    <w:p>
      <w:pPr>
        <w:spacing w:line="360" w:lineRule="auto"/>
        <w:ind w:firstLine="550"/>
        <w:rPr>
          <w:rFonts w:hint="eastAsia" w:ascii="宋体" w:hAnsi="宋体" w:eastAsia="宋体" w:cs="宋体"/>
          <w:b/>
          <w:sz w:val="24"/>
        </w:rPr>
      </w:pPr>
      <w:r>
        <w:rPr>
          <w:rFonts w:hint="eastAsia" w:ascii="宋体" w:hAnsi="宋体" w:eastAsia="宋体" w:cs="宋体"/>
          <w:b/>
          <w:sz w:val="24"/>
        </w:rPr>
        <w:t>2.有关定义</w:t>
      </w:r>
    </w:p>
    <w:p>
      <w:pPr>
        <w:spacing w:line="360" w:lineRule="auto"/>
        <w:ind w:firstLine="550"/>
        <w:rPr>
          <w:rFonts w:hint="eastAsia" w:ascii="宋体" w:hAnsi="宋体" w:eastAsia="宋体" w:cs="宋体"/>
          <w:sz w:val="24"/>
        </w:rPr>
      </w:pPr>
      <w:r>
        <w:rPr>
          <w:rFonts w:hint="eastAsia" w:ascii="宋体" w:hAnsi="宋体" w:eastAsia="宋体" w:cs="宋体"/>
          <w:sz w:val="24"/>
        </w:rPr>
        <w:t>2.1采购人：</w:t>
      </w:r>
      <w:r>
        <w:rPr>
          <w:rFonts w:hint="eastAsia" w:ascii="宋体" w:hAnsi="宋体" w:eastAsia="宋体" w:cs="宋体"/>
          <w:sz w:val="24"/>
          <w:lang w:val="en-US" w:eastAsia="zh-CN"/>
        </w:rPr>
        <w:t>周口市博物馆</w:t>
      </w:r>
      <w:r>
        <w:rPr>
          <w:rFonts w:hint="eastAsia" w:ascii="宋体" w:hAnsi="宋体" w:eastAsia="宋体" w:cs="宋体"/>
          <w:sz w:val="24"/>
        </w:rPr>
        <w:t>。</w:t>
      </w:r>
    </w:p>
    <w:p>
      <w:pPr>
        <w:spacing w:line="360" w:lineRule="auto"/>
        <w:ind w:firstLine="550"/>
        <w:rPr>
          <w:rFonts w:hint="eastAsia" w:ascii="宋体" w:hAnsi="宋体" w:eastAsia="宋体" w:cs="宋体"/>
          <w:sz w:val="24"/>
        </w:rPr>
      </w:pPr>
      <w:r>
        <w:rPr>
          <w:rFonts w:hint="eastAsia" w:ascii="宋体" w:hAnsi="宋体" w:eastAsia="宋体" w:cs="宋体"/>
          <w:sz w:val="24"/>
        </w:rPr>
        <w:t>2.2招标代理机构（集中采购机构）：系指周口市公共资源交易中心政府采购中心，以下简称“采购中心”。</w:t>
      </w:r>
    </w:p>
    <w:p>
      <w:pPr>
        <w:spacing w:line="360" w:lineRule="auto"/>
        <w:ind w:firstLine="550"/>
        <w:rPr>
          <w:rFonts w:hint="eastAsia" w:ascii="宋体" w:hAnsi="宋体" w:eastAsia="宋体" w:cs="宋体"/>
          <w:sz w:val="24"/>
        </w:rPr>
      </w:pPr>
      <w:r>
        <w:rPr>
          <w:rFonts w:hint="eastAsia" w:ascii="宋体" w:hAnsi="宋体" w:eastAsia="宋体" w:cs="宋体"/>
          <w:sz w:val="24"/>
        </w:rPr>
        <w:t>2.3政府采购监督管理部门：系指</w:t>
      </w:r>
      <w:r>
        <w:rPr>
          <w:rFonts w:hint="eastAsia" w:ascii="宋体" w:hAnsi="宋体" w:eastAsia="宋体" w:cs="宋体"/>
          <w:color w:val="000000"/>
          <w:sz w:val="24"/>
          <w:szCs w:val="24"/>
          <w:lang w:val="en-US" w:eastAsia="zh-CN"/>
        </w:rPr>
        <w:t>周口市财政局</w:t>
      </w:r>
      <w:r>
        <w:rPr>
          <w:rFonts w:hint="eastAsia" w:ascii="宋体" w:hAnsi="宋体" w:eastAsia="宋体" w:cs="宋体"/>
          <w:sz w:val="24"/>
        </w:rPr>
        <w:t>。</w:t>
      </w:r>
    </w:p>
    <w:p>
      <w:pPr>
        <w:spacing w:line="360" w:lineRule="auto"/>
        <w:ind w:firstLine="550"/>
        <w:rPr>
          <w:rFonts w:hint="eastAsia" w:ascii="宋体" w:hAnsi="宋体" w:eastAsia="宋体" w:cs="宋体"/>
          <w:sz w:val="24"/>
        </w:rPr>
      </w:pPr>
      <w:r>
        <w:rPr>
          <w:rFonts w:hint="eastAsia" w:ascii="宋体" w:hAnsi="宋体" w:eastAsia="宋体" w:cs="宋体"/>
          <w:sz w:val="24"/>
        </w:rPr>
        <w:t>2.4投标人：系指已经在周口市公共资源交易中心网上下载招标文件的投标人，且已经提交或准备提交本次投标文件的制造商、供应商或服务商。</w:t>
      </w:r>
    </w:p>
    <w:p>
      <w:pPr>
        <w:spacing w:line="360" w:lineRule="auto"/>
        <w:ind w:firstLine="550"/>
        <w:rPr>
          <w:rFonts w:hint="eastAsia" w:ascii="宋体" w:hAnsi="宋体" w:eastAsia="宋体" w:cs="宋体"/>
          <w:sz w:val="24"/>
        </w:rPr>
      </w:pPr>
      <w:r>
        <w:rPr>
          <w:rFonts w:hint="eastAsia" w:ascii="宋体" w:hAnsi="宋体" w:eastAsia="宋体" w:cs="宋体"/>
          <w:sz w:val="24"/>
        </w:rPr>
        <w:t>2.服务：系指本项目所采购内容。</w:t>
      </w:r>
    </w:p>
    <w:p>
      <w:pPr>
        <w:spacing w:line="360" w:lineRule="auto"/>
        <w:ind w:firstLine="550"/>
        <w:rPr>
          <w:rFonts w:hint="eastAsia" w:ascii="宋体" w:hAnsi="宋体" w:eastAsia="宋体" w:cs="宋体"/>
          <w:sz w:val="24"/>
        </w:rPr>
      </w:pPr>
      <w:r>
        <w:rPr>
          <w:rFonts w:hint="eastAsia" w:ascii="宋体" w:hAnsi="宋体" w:eastAsia="宋体" w:cs="宋体"/>
          <w:sz w:val="24"/>
        </w:rPr>
        <w:t>2.6业绩：系指符合本招标文件规定且已供货（安装）完毕的合同及相关证明。</w:t>
      </w:r>
    </w:p>
    <w:p>
      <w:pPr>
        <w:spacing w:line="360" w:lineRule="auto"/>
        <w:ind w:firstLine="550"/>
        <w:rPr>
          <w:rFonts w:hint="eastAsia" w:ascii="宋体" w:hAnsi="宋体" w:eastAsia="宋体" w:cs="宋体"/>
          <w:sz w:val="24"/>
        </w:rPr>
      </w:pPr>
      <w:r>
        <w:rPr>
          <w:rFonts w:hint="eastAsia" w:ascii="宋体" w:hAnsi="宋体" w:eastAsia="宋体" w:cs="宋体"/>
          <w:sz w:val="24"/>
        </w:rPr>
        <w:t>2.7投标人公章：在电子投标文件中系指投标人电子签章。</w:t>
      </w:r>
    </w:p>
    <w:p>
      <w:pPr>
        <w:spacing w:line="360" w:lineRule="auto"/>
        <w:ind w:firstLine="550"/>
        <w:rPr>
          <w:rFonts w:hint="eastAsia" w:ascii="宋体" w:hAnsi="宋体" w:eastAsia="宋体" w:cs="宋体"/>
          <w:sz w:val="24"/>
        </w:rPr>
      </w:pPr>
      <w:r>
        <w:rPr>
          <w:rFonts w:hint="eastAsia" w:ascii="宋体" w:hAnsi="宋体" w:eastAsia="宋体" w:cs="宋体"/>
          <w:sz w:val="24"/>
          <w:lang w:val="en-US" w:eastAsia="zh-CN"/>
        </w:rPr>
        <w:t>2.8供应商应在响应文件中承诺未被纳入重大税收违法失信主体名单且未存在不诚信记录，如若实际情况与供应商承诺内容不一致，一经查实将取消其中标资格。</w:t>
      </w:r>
    </w:p>
    <w:p>
      <w:pPr>
        <w:spacing w:line="360" w:lineRule="auto"/>
        <w:ind w:firstLine="550"/>
        <w:rPr>
          <w:rFonts w:hint="eastAsia" w:ascii="宋体" w:hAnsi="宋体" w:eastAsia="宋体" w:cs="宋体"/>
          <w:b/>
          <w:sz w:val="24"/>
        </w:rPr>
      </w:pPr>
      <w:r>
        <w:rPr>
          <w:rFonts w:hint="eastAsia" w:ascii="宋体" w:hAnsi="宋体" w:eastAsia="宋体" w:cs="宋体"/>
          <w:b/>
          <w:sz w:val="24"/>
        </w:rPr>
        <w:t>3.投标费用</w:t>
      </w:r>
    </w:p>
    <w:p>
      <w:pPr>
        <w:spacing w:line="360" w:lineRule="auto"/>
        <w:ind w:firstLine="550"/>
        <w:rPr>
          <w:rFonts w:hint="eastAsia" w:ascii="宋体" w:hAnsi="宋体" w:eastAsia="宋体" w:cs="宋体"/>
          <w:sz w:val="24"/>
        </w:rPr>
      </w:pPr>
      <w:r>
        <w:rPr>
          <w:rFonts w:hint="eastAsia" w:ascii="宋体" w:hAnsi="宋体" w:eastAsia="宋体" w:cs="宋体"/>
          <w:sz w:val="24"/>
        </w:rPr>
        <w:t>3.1无论投标结果如何，投标人应自行承担其编制与递交投标文件所涉及的一切费用。</w:t>
      </w:r>
      <w:r>
        <w:rPr>
          <w:rFonts w:hint="eastAsia" w:ascii="宋体" w:hAnsi="宋体" w:eastAsia="宋体" w:cs="宋体"/>
          <w:b/>
          <w:sz w:val="24"/>
        </w:rPr>
        <w:t>评标委员会评标费用由采购人</w:t>
      </w:r>
      <w:r>
        <w:rPr>
          <w:rFonts w:hint="eastAsia" w:ascii="宋体" w:hAnsi="宋体" w:eastAsia="宋体" w:cs="宋体"/>
          <w:b/>
          <w:sz w:val="24"/>
          <w:lang w:val="en-US" w:eastAsia="zh-CN"/>
        </w:rPr>
        <w:t>支付</w:t>
      </w:r>
      <w:r>
        <w:rPr>
          <w:rFonts w:hint="eastAsia" w:ascii="宋体" w:hAnsi="宋体" w:eastAsia="宋体" w:cs="宋体"/>
          <w:b/>
          <w:sz w:val="24"/>
        </w:rPr>
        <w:t>。</w:t>
      </w:r>
    </w:p>
    <w:p>
      <w:pPr>
        <w:spacing w:line="360" w:lineRule="auto"/>
        <w:ind w:firstLine="550"/>
        <w:rPr>
          <w:rFonts w:hint="eastAsia" w:ascii="宋体" w:hAnsi="宋体" w:eastAsia="宋体" w:cs="宋体"/>
          <w:b/>
          <w:bCs/>
          <w:sz w:val="24"/>
        </w:rPr>
      </w:pPr>
      <w:r>
        <w:rPr>
          <w:rFonts w:hint="eastAsia" w:ascii="宋体" w:hAnsi="宋体" w:eastAsia="宋体" w:cs="宋体"/>
          <w:b/>
          <w:bCs/>
          <w:sz w:val="24"/>
        </w:rPr>
        <w:t>4.合格的投标人</w:t>
      </w:r>
    </w:p>
    <w:p>
      <w:pPr>
        <w:pageBreakBefore w:val="0"/>
        <w:kinsoku/>
        <w:wordWrap/>
        <w:overflowPunct/>
        <w:topLinePunct w:val="0"/>
        <w:autoSpaceDE/>
        <w:autoSpaceDN/>
        <w:bidi w:val="0"/>
        <w:spacing w:line="460" w:lineRule="exact"/>
        <w:ind w:firstLine="480"/>
        <w:textAlignment w:val="auto"/>
        <w:rPr>
          <w:rFonts w:hint="eastAsia" w:ascii="宋体" w:hAnsi="宋体" w:eastAsia="宋体" w:cs="宋体"/>
          <w:sz w:val="24"/>
        </w:rPr>
      </w:pPr>
      <w:r>
        <w:rPr>
          <w:rFonts w:hint="eastAsia" w:ascii="宋体" w:hAnsi="宋体" w:eastAsia="宋体" w:cs="宋体"/>
          <w:sz w:val="24"/>
        </w:rPr>
        <w:t>4.1合格的投标人应符合招标文件载明的投标资格。</w:t>
      </w:r>
    </w:p>
    <w:p>
      <w:pPr>
        <w:pageBreakBefore w:val="0"/>
        <w:kinsoku/>
        <w:wordWrap/>
        <w:overflowPunct/>
        <w:topLinePunct w:val="0"/>
        <w:autoSpaceDE/>
        <w:autoSpaceDN/>
        <w:bidi w:val="0"/>
        <w:spacing w:line="460" w:lineRule="exact"/>
        <w:ind w:firstLine="480"/>
        <w:textAlignment w:val="auto"/>
        <w:rPr>
          <w:rFonts w:hint="eastAsia" w:ascii="宋体" w:hAnsi="宋体" w:eastAsia="宋体" w:cs="宋体"/>
          <w:sz w:val="24"/>
        </w:rPr>
      </w:pPr>
      <w:r>
        <w:rPr>
          <w:rFonts w:hint="eastAsia" w:ascii="宋体" w:hAnsi="宋体" w:eastAsia="宋体" w:cs="宋体"/>
          <w:sz w:val="24"/>
        </w:rPr>
        <w:t>4.1.2参加政府采购活动前三年内，在经营活动中没有重大违法记录的声明函；</w:t>
      </w:r>
    </w:p>
    <w:p>
      <w:pPr>
        <w:pageBreakBefore w:val="0"/>
        <w:kinsoku/>
        <w:wordWrap/>
        <w:overflowPunct/>
        <w:topLinePunct w:val="0"/>
        <w:autoSpaceDE/>
        <w:autoSpaceDN/>
        <w:bidi w:val="0"/>
        <w:spacing w:line="460" w:lineRule="exact"/>
        <w:ind w:firstLine="480"/>
        <w:textAlignment w:val="auto"/>
        <w:rPr>
          <w:rFonts w:hint="eastAsia" w:ascii="宋体" w:hAnsi="宋体" w:eastAsia="宋体" w:cs="宋体"/>
          <w:sz w:val="24"/>
        </w:rPr>
      </w:pPr>
      <w:r>
        <w:rPr>
          <w:rFonts w:hint="eastAsia" w:ascii="宋体" w:hAnsi="宋体" w:eastAsia="宋体" w:cs="宋体"/>
          <w:sz w:val="24"/>
        </w:rPr>
        <w:t>4.1.3政府采购供应商诚信承诺书；</w:t>
      </w:r>
    </w:p>
    <w:p>
      <w:pPr>
        <w:pageBreakBefore w:val="0"/>
        <w:kinsoku/>
        <w:wordWrap/>
        <w:overflowPunct/>
        <w:topLinePunct w:val="0"/>
        <w:autoSpaceDE/>
        <w:autoSpaceDN/>
        <w:bidi w:val="0"/>
        <w:spacing w:line="460" w:lineRule="exact"/>
        <w:ind w:firstLine="480"/>
        <w:textAlignment w:val="auto"/>
        <w:rPr>
          <w:rFonts w:hint="eastAsia" w:ascii="宋体" w:hAnsi="宋体" w:eastAsia="宋体" w:cs="宋体"/>
          <w:sz w:val="24"/>
        </w:rPr>
      </w:pPr>
      <w:r>
        <w:rPr>
          <w:rFonts w:hint="eastAsia" w:ascii="宋体" w:hAnsi="宋体" w:eastAsia="宋体" w:cs="宋体"/>
          <w:sz w:val="24"/>
        </w:rPr>
        <w:t>4.1.4供应商自觉抵制政府采购领域商业贿赂行为承诺书；</w:t>
      </w:r>
    </w:p>
    <w:p>
      <w:pPr>
        <w:pageBreakBefore w:val="0"/>
        <w:kinsoku/>
        <w:wordWrap/>
        <w:overflowPunct/>
        <w:topLinePunct w:val="0"/>
        <w:autoSpaceDE/>
        <w:autoSpaceDN/>
        <w:bidi w:val="0"/>
        <w:spacing w:line="460" w:lineRule="exact"/>
        <w:ind w:firstLine="480"/>
        <w:textAlignment w:val="auto"/>
        <w:rPr>
          <w:rFonts w:hint="eastAsia" w:ascii="宋体" w:hAnsi="宋体" w:eastAsia="宋体" w:cs="宋体"/>
          <w:sz w:val="24"/>
        </w:rPr>
      </w:pPr>
      <w:r>
        <w:rPr>
          <w:rFonts w:hint="eastAsia" w:ascii="宋体" w:hAnsi="宋体" w:eastAsia="宋体" w:cs="宋体"/>
          <w:sz w:val="24"/>
        </w:rPr>
        <w:t>4.1.5供应商需提供近三年内政府采购活动无重大违法记录声明、无诉讼声明。</w:t>
      </w:r>
    </w:p>
    <w:p>
      <w:pPr>
        <w:pageBreakBefore w:val="0"/>
        <w:kinsoku/>
        <w:wordWrap/>
        <w:overflowPunct/>
        <w:topLinePunct w:val="0"/>
        <w:autoSpaceDE/>
        <w:autoSpaceDN/>
        <w:bidi w:val="0"/>
        <w:spacing w:line="460" w:lineRule="exact"/>
        <w:ind w:firstLine="480"/>
        <w:textAlignment w:val="auto"/>
        <w:rPr>
          <w:rFonts w:hint="eastAsia"/>
        </w:rPr>
      </w:pPr>
      <w:r>
        <w:rPr>
          <w:rFonts w:hint="eastAsia" w:ascii="宋体" w:hAnsi="宋体" w:eastAsia="宋体" w:cs="宋体"/>
          <w:sz w:val="24"/>
        </w:rPr>
        <w:t>4.1.6未被工商行政管理机关在全国企业信用信息公示系统中列入严重违法失信企业名单和经营异常名录</w:t>
      </w:r>
      <w:r>
        <w:rPr>
          <w:rFonts w:hint="eastAsia" w:ascii="宋体" w:hAnsi="宋体" w:eastAsia="宋体" w:cs="宋体"/>
          <w:sz w:val="24"/>
          <w:lang w:eastAsia="zh-CN"/>
        </w:rPr>
        <w:t>，</w:t>
      </w:r>
      <w:r>
        <w:rPr>
          <w:rFonts w:hint="eastAsia" w:ascii="宋体" w:hAnsi="宋体" w:eastAsia="宋体" w:cs="宋体"/>
          <w:sz w:val="24"/>
          <w:lang w:val="zh-CN" w:eastAsia="zh-CN"/>
        </w:rPr>
        <w:t>（</w:t>
      </w:r>
      <w:r>
        <w:rPr>
          <w:rFonts w:hint="eastAsia" w:ascii="宋体" w:hAnsi="宋体" w:eastAsia="宋体" w:cs="宋体"/>
          <w:i w:val="0"/>
          <w:iCs w:val="0"/>
          <w:color w:val="auto"/>
          <w:sz w:val="24"/>
          <w:szCs w:val="24"/>
          <w:lang w:val="zh-CN" w:eastAsia="zh-CN" w:bidi="zh-CN"/>
        </w:rPr>
        <w:t>查询日期为公告发布之后）；</w:t>
      </w:r>
    </w:p>
    <w:p>
      <w:pPr>
        <w:spacing w:line="360" w:lineRule="auto"/>
        <w:ind w:firstLine="523" w:firstLineChars="218"/>
        <w:rPr>
          <w:rFonts w:hint="eastAsia" w:ascii="宋体" w:hAnsi="宋体" w:eastAsia="宋体" w:cs="宋体"/>
          <w:sz w:val="24"/>
        </w:rPr>
      </w:pP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4.2投标人之间如果存在下列情形之一的，不得同时参加同一标段（包别）或者不分标段（包别）的同一项目投标：</w:t>
      </w:r>
    </w:p>
    <w:p>
      <w:pPr>
        <w:spacing w:line="360" w:lineRule="auto"/>
        <w:ind w:left="420" w:leftChars="200" w:firstLine="88" w:firstLineChars="37"/>
        <w:rPr>
          <w:rFonts w:hint="eastAsia" w:ascii="宋体" w:hAnsi="宋体" w:eastAsia="宋体" w:cs="宋体"/>
          <w:sz w:val="24"/>
        </w:rPr>
      </w:pPr>
      <w:r>
        <w:rPr>
          <w:rFonts w:hint="eastAsia" w:ascii="宋体" w:hAnsi="宋体" w:eastAsia="宋体" w:cs="宋体"/>
          <w:sz w:val="24"/>
        </w:rPr>
        <w:t>4.2.1法定代表人为同一个人的两个及两个以上法人；</w:t>
      </w:r>
    </w:p>
    <w:p>
      <w:pPr>
        <w:spacing w:line="360" w:lineRule="auto"/>
        <w:ind w:left="420" w:leftChars="200" w:firstLine="88" w:firstLineChars="37"/>
        <w:rPr>
          <w:rFonts w:hint="eastAsia" w:ascii="宋体" w:hAnsi="宋体" w:eastAsia="宋体" w:cs="宋体"/>
          <w:sz w:val="24"/>
        </w:rPr>
      </w:pPr>
      <w:r>
        <w:rPr>
          <w:rFonts w:hint="eastAsia" w:ascii="宋体" w:hAnsi="宋体" w:eastAsia="宋体" w:cs="宋体"/>
          <w:sz w:val="24"/>
        </w:rPr>
        <w:t>4.2.2母公司、全资子公司及其控股公司；</w:t>
      </w:r>
    </w:p>
    <w:p>
      <w:pPr>
        <w:pStyle w:val="21"/>
        <w:spacing w:line="360" w:lineRule="auto"/>
        <w:ind w:firstLine="480" w:firstLineChars="200"/>
        <w:rPr>
          <w:rFonts w:hint="eastAsia" w:ascii="宋体" w:hAnsi="宋体" w:eastAsia="宋体" w:cs="宋体"/>
          <w:sz w:val="24"/>
        </w:rPr>
      </w:pPr>
      <w:r>
        <w:rPr>
          <w:rFonts w:hint="eastAsia" w:ascii="宋体" w:hAnsi="宋体" w:eastAsia="宋体" w:cs="宋体"/>
          <w:sz w:val="24"/>
        </w:rPr>
        <w:t>4.2.3参加投标的其他组织之间存在特殊的利害关系的；</w:t>
      </w:r>
    </w:p>
    <w:p>
      <w:pPr>
        <w:spacing w:line="360" w:lineRule="auto"/>
        <w:ind w:left="420" w:leftChars="200" w:firstLine="88" w:firstLineChars="37"/>
        <w:rPr>
          <w:rFonts w:hint="eastAsia" w:ascii="宋体" w:hAnsi="宋体" w:eastAsia="宋体" w:cs="宋体"/>
          <w:sz w:val="24"/>
        </w:rPr>
      </w:pPr>
      <w:r>
        <w:rPr>
          <w:rFonts w:hint="eastAsia" w:ascii="宋体" w:hAnsi="宋体" w:eastAsia="宋体" w:cs="宋体"/>
          <w:sz w:val="24"/>
        </w:rPr>
        <w:t>4.2.4法律和行政法规规定的其他情形。</w:t>
      </w:r>
    </w:p>
    <w:p>
      <w:pPr>
        <w:spacing w:line="360" w:lineRule="auto"/>
        <w:ind w:firstLine="550"/>
        <w:rPr>
          <w:rFonts w:hint="eastAsia" w:ascii="宋体" w:hAnsi="宋体" w:eastAsia="宋体" w:cs="宋体"/>
          <w:b/>
          <w:sz w:val="24"/>
        </w:rPr>
      </w:pPr>
      <w:r>
        <w:rPr>
          <w:rFonts w:hint="eastAsia" w:ascii="宋体" w:hAnsi="宋体" w:eastAsia="宋体" w:cs="宋体"/>
          <w:b/>
          <w:sz w:val="24"/>
        </w:rPr>
        <w:t>5.勘察现场</w:t>
      </w:r>
    </w:p>
    <w:p>
      <w:pPr>
        <w:spacing w:line="360" w:lineRule="auto"/>
        <w:ind w:firstLine="550"/>
        <w:rPr>
          <w:rFonts w:hint="eastAsia" w:ascii="宋体" w:hAnsi="宋体" w:eastAsia="宋体" w:cs="宋体"/>
          <w:sz w:val="24"/>
        </w:rPr>
      </w:pPr>
      <w:r>
        <w:rPr>
          <w:rFonts w:hint="eastAsia" w:ascii="宋体" w:hAnsi="宋体" w:eastAsia="宋体" w:cs="宋体"/>
          <w:sz w:val="24"/>
        </w:rPr>
        <w:t>5.1投标人应自行对供货现场和周围环境进行勘察，以获取编制投标文件和签署合同所需的资料。勘察现场的方式、地址及联系方式见投标人须知前附表。</w:t>
      </w:r>
    </w:p>
    <w:p>
      <w:pPr>
        <w:spacing w:line="360" w:lineRule="auto"/>
        <w:ind w:firstLine="550"/>
        <w:rPr>
          <w:rFonts w:hint="eastAsia" w:ascii="宋体" w:hAnsi="宋体" w:eastAsia="宋体" w:cs="宋体"/>
          <w:sz w:val="24"/>
        </w:rPr>
      </w:pPr>
      <w:r>
        <w:rPr>
          <w:rFonts w:hint="eastAsia" w:ascii="宋体" w:hAnsi="宋体" w:eastAsia="宋体" w:cs="宋体"/>
          <w:sz w:val="24"/>
        </w:rPr>
        <w:t>5.2勘察现场所发生的费用由投标人自行承担。采购人向投标人提供的有关供货现场的资料和数据，是采购人现有的能使投标人利用的资料。采购人对投标人由此而做出的推论、理解和结论概不负责。投标人未到供货现场实地踏勘的，中标后签订合同时和履约过程中，不得以不完全了解现场情况为由，提出任何形式的增加合同价款或索赔的要求。</w:t>
      </w:r>
    </w:p>
    <w:p>
      <w:pPr>
        <w:spacing w:line="360" w:lineRule="auto"/>
        <w:ind w:firstLine="550"/>
        <w:rPr>
          <w:rFonts w:hint="eastAsia" w:ascii="宋体" w:hAnsi="宋体" w:eastAsia="宋体" w:cs="宋体"/>
          <w:sz w:val="24"/>
        </w:rPr>
      </w:pPr>
      <w:r>
        <w:rPr>
          <w:rFonts w:hint="eastAsia" w:ascii="宋体" w:hAnsi="宋体" w:eastAsia="宋体" w:cs="宋体"/>
          <w:sz w:val="24"/>
        </w:rPr>
        <w:t>5.3除非有特殊要求，招标文件不单独提供供货使用地的自然环境、气候条件、公用设施等情况，投标人被视为熟悉上述与履行合同有关的一切情况。</w:t>
      </w:r>
    </w:p>
    <w:p>
      <w:pPr>
        <w:spacing w:line="360" w:lineRule="auto"/>
        <w:ind w:firstLine="550"/>
        <w:rPr>
          <w:rFonts w:hint="eastAsia" w:ascii="宋体" w:hAnsi="宋体" w:eastAsia="宋体" w:cs="宋体"/>
          <w:bCs/>
          <w:sz w:val="24"/>
        </w:rPr>
      </w:pPr>
      <w:r>
        <w:rPr>
          <w:rFonts w:hint="eastAsia" w:ascii="宋体" w:hAnsi="宋体" w:eastAsia="宋体" w:cs="宋体"/>
          <w:b/>
          <w:sz w:val="24"/>
        </w:rPr>
        <w:t>6.知识产权</w:t>
      </w:r>
    </w:p>
    <w:p>
      <w:pPr>
        <w:spacing w:line="360" w:lineRule="auto"/>
        <w:ind w:firstLine="549"/>
        <w:rPr>
          <w:rFonts w:hint="eastAsia" w:ascii="宋体" w:hAnsi="宋体" w:eastAsia="宋体" w:cs="宋体"/>
          <w:bCs/>
          <w:sz w:val="24"/>
        </w:rPr>
      </w:pPr>
      <w:r>
        <w:rPr>
          <w:rFonts w:hint="eastAsia" w:ascii="宋体" w:hAnsi="宋体" w:eastAsia="宋体" w:cs="宋体"/>
          <w:sz w:val="24"/>
        </w:rPr>
        <w:t>6.1</w:t>
      </w:r>
      <w:r>
        <w:rPr>
          <w:rFonts w:hint="eastAsia" w:ascii="宋体" w:hAnsi="宋体" w:eastAsia="宋体" w:cs="宋体"/>
          <w:bCs/>
          <w:sz w:val="24"/>
        </w:rPr>
        <w:t>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相应的知识产权，则在投标报价中必须包括合法获取该知识产权的一切相关费用。</w:t>
      </w:r>
      <w:r>
        <w:rPr>
          <w:rFonts w:hint="eastAsia" w:ascii="宋体" w:hAnsi="宋体" w:eastAsia="宋体" w:cs="宋体"/>
          <w:sz w:val="24"/>
        </w:rPr>
        <w:t>如因此导致采购人损失的，投标人须承担全部赔偿责任。</w:t>
      </w:r>
    </w:p>
    <w:p>
      <w:pPr>
        <w:spacing w:line="360" w:lineRule="auto"/>
        <w:ind w:firstLine="549"/>
        <w:rPr>
          <w:rFonts w:hint="eastAsia" w:ascii="宋体" w:hAnsi="宋体" w:eastAsia="宋体" w:cs="宋体"/>
          <w:bCs/>
          <w:sz w:val="24"/>
        </w:rPr>
      </w:pPr>
      <w:r>
        <w:rPr>
          <w:rFonts w:hint="eastAsia" w:ascii="宋体" w:hAnsi="宋体" w:eastAsia="宋体" w:cs="宋体"/>
          <w:bCs/>
          <w:sz w:val="24"/>
        </w:rPr>
        <w:t>6.2投标人如欲在项目实施过程中采用自有知识成果，须在投标文件中声明，并提供相关知识产权证明文件。使用该知识成果后，投标人须提供开发接口和开发手册等技术文档。</w:t>
      </w:r>
    </w:p>
    <w:p>
      <w:pPr>
        <w:spacing w:line="360" w:lineRule="auto"/>
        <w:ind w:firstLine="549"/>
        <w:rPr>
          <w:rFonts w:hint="eastAsia" w:ascii="宋体" w:hAnsi="宋体" w:eastAsia="宋体" w:cs="宋体"/>
          <w:b/>
          <w:sz w:val="24"/>
        </w:rPr>
      </w:pPr>
      <w:r>
        <w:rPr>
          <w:rFonts w:hint="eastAsia" w:ascii="宋体" w:hAnsi="宋体" w:eastAsia="宋体" w:cs="宋体"/>
          <w:b/>
          <w:sz w:val="24"/>
        </w:rPr>
        <w:t>7.纪律与保密</w:t>
      </w:r>
    </w:p>
    <w:p>
      <w:pPr>
        <w:spacing w:line="360" w:lineRule="auto"/>
        <w:ind w:firstLine="549"/>
        <w:rPr>
          <w:rFonts w:hint="eastAsia" w:ascii="宋体" w:hAnsi="宋体" w:eastAsia="宋体" w:cs="宋体"/>
          <w:sz w:val="24"/>
        </w:rPr>
      </w:pPr>
      <w:r>
        <w:rPr>
          <w:rFonts w:hint="eastAsia" w:ascii="宋体" w:hAnsi="宋体" w:eastAsia="宋体" w:cs="宋体"/>
          <w:sz w:val="24"/>
        </w:rPr>
        <w:t>7.1投标人的投标行为应遵守中国的有关法律、法规和规章。</w:t>
      </w:r>
    </w:p>
    <w:p>
      <w:pPr>
        <w:spacing w:line="360" w:lineRule="auto"/>
        <w:ind w:firstLine="549"/>
        <w:rPr>
          <w:rFonts w:hint="eastAsia" w:ascii="宋体" w:hAnsi="宋体" w:eastAsia="宋体" w:cs="宋体"/>
          <w:sz w:val="24"/>
        </w:rPr>
      </w:pPr>
      <w:r>
        <w:rPr>
          <w:rFonts w:hint="eastAsia" w:ascii="宋体" w:hAnsi="宋体" w:eastAsia="宋体" w:cs="宋体"/>
          <w:sz w:val="24"/>
        </w:rPr>
        <w:t>7.2投标人</w:t>
      </w:r>
      <w:r>
        <w:rPr>
          <w:rFonts w:hint="eastAsia" w:ascii="宋体" w:hAnsi="宋体" w:eastAsia="宋体" w:cs="宋体"/>
          <w:sz w:val="24"/>
          <w:lang w:eastAsia="zh-CN"/>
        </w:rPr>
        <w:t>须书面保证</w:t>
      </w:r>
      <w:r>
        <w:rPr>
          <w:rFonts w:hint="eastAsia" w:ascii="宋体" w:hAnsi="宋体" w:eastAsia="宋体" w:cs="宋体"/>
          <w:sz w:val="24"/>
        </w:rPr>
        <w:t>不得相互串通投标报价，不得妨碍其他投标人的公平竞争，不得损害采购人或其他投标人的合法权益，投标人不得以向采购人、评委会成员行贿或者采取其他不正当手段谋取中标。</w:t>
      </w:r>
    </w:p>
    <w:p>
      <w:pPr>
        <w:spacing w:line="360" w:lineRule="auto"/>
        <w:ind w:firstLine="549"/>
        <w:rPr>
          <w:rFonts w:hint="eastAsia" w:ascii="宋体" w:hAnsi="宋体" w:eastAsia="宋体" w:cs="宋体"/>
          <w:sz w:val="24"/>
        </w:rPr>
      </w:pPr>
      <w:r>
        <w:rPr>
          <w:rFonts w:hint="eastAsia" w:ascii="宋体" w:hAnsi="宋体" w:eastAsia="宋体" w:cs="宋体"/>
          <w:sz w:val="24"/>
        </w:rPr>
        <w:t>7.2.1有下列情形之一的，属于投标人相互串通投标：</w:t>
      </w:r>
    </w:p>
    <w:p>
      <w:pPr>
        <w:spacing w:line="360" w:lineRule="auto"/>
        <w:ind w:firstLine="1024" w:firstLineChars="427"/>
        <w:rPr>
          <w:rFonts w:hint="eastAsia" w:ascii="宋体" w:hAnsi="宋体" w:eastAsia="宋体" w:cs="宋体"/>
          <w:sz w:val="24"/>
        </w:rPr>
      </w:pPr>
      <w:r>
        <w:rPr>
          <w:rFonts w:hint="eastAsia" w:ascii="宋体" w:hAnsi="宋体" w:eastAsia="宋体" w:cs="宋体"/>
          <w:sz w:val="24"/>
        </w:rPr>
        <w:t>7.2.1.1不同投标人的投标文件由同一单位或者个人编制；</w:t>
      </w:r>
    </w:p>
    <w:p>
      <w:pPr>
        <w:spacing w:line="360" w:lineRule="auto"/>
        <w:ind w:firstLine="549"/>
        <w:rPr>
          <w:rFonts w:hint="eastAsia" w:ascii="宋体" w:hAnsi="宋体" w:eastAsia="宋体" w:cs="宋体"/>
          <w:sz w:val="24"/>
        </w:rPr>
      </w:pPr>
      <w:r>
        <w:rPr>
          <w:rFonts w:hint="eastAsia" w:ascii="宋体" w:hAnsi="宋体" w:eastAsia="宋体" w:cs="宋体"/>
          <w:sz w:val="24"/>
        </w:rPr>
        <w:t>　  7.2.1.2不同投标人委托同一单位或者个人办理投标事宜；</w:t>
      </w:r>
    </w:p>
    <w:p>
      <w:pPr>
        <w:spacing w:line="360" w:lineRule="auto"/>
        <w:ind w:firstLine="549"/>
        <w:rPr>
          <w:rFonts w:hint="eastAsia" w:ascii="宋体" w:hAnsi="宋体" w:eastAsia="宋体" w:cs="宋体"/>
          <w:sz w:val="24"/>
        </w:rPr>
      </w:pPr>
      <w:r>
        <w:rPr>
          <w:rFonts w:hint="eastAsia" w:ascii="宋体" w:hAnsi="宋体" w:eastAsia="宋体" w:cs="宋体"/>
          <w:sz w:val="24"/>
        </w:rPr>
        <w:t>　　7.2.1.3不同投标人的投标文件载明的项目管理成员或者联系人员为同一人；</w:t>
      </w:r>
    </w:p>
    <w:p>
      <w:pPr>
        <w:spacing w:line="360" w:lineRule="auto"/>
        <w:ind w:firstLine="549"/>
        <w:rPr>
          <w:rFonts w:hint="eastAsia" w:ascii="宋体" w:hAnsi="宋体" w:eastAsia="宋体" w:cs="宋体"/>
          <w:sz w:val="24"/>
        </w:rPr>
      </w:pPr>
      <w:r>
        <w:rPr>
          <w:rFonts w:hint="eastAsia" w:ascii="宋体" w:hAnsi="宋体" w:eastAsia="宋体" w:cs="宋体"/>
          <w:sz w:val="24"/>
        </w:rPr>
        <w:t>　　7.2.1.4不同投标人的投标文件异常一致或者投标报价呈规律性差异；</w:t>
      </w:r>
    </w:p>
    <w:p>
      <w:pPr>
        <w:spacing w:line="360" w:lineRule="auto"/>
        <w:ind w:firstLine="549"/>
        <w:rPr>
          <w:rFonts w:hint="eastAsia" w:ascii="宋体" w:hAnsi="宋体" w:eastAsia="宋体" w:cs="宋体"/>
          <w:sz w:val="24"/>
          <w:lang w:val="en-US" w:eastAsia="zh-CN"/>
        </w:rPr>
      </w:pPr>
      <w:r>
        <w:rPr>
          <w:rFonts w:hint="eastAsia" w:ascii="宋体" w:hAnsi="宋体" w:eastAsia="宋体" w:cs="宋体"/>
          <w:sz w:val="24"/>
        </w:rPr>
        <w:t>　　7.2.1.5不同投标人的投标文件相互混装</w:t>
      </w:r>
      <w:r>
        <w:rPr>
          <w:rFonts w:hint="eastAsia" w:ascii="宋体" w:hAnsi="宋体" w:eastAsia="宋体" w:cs="宋体"/>
          <w:sz w:val="24"/>
          <w:lang w:eastAsia="zh-CN"/>
        </w:rPr>
        <w:t>。</w:t>
      </w:r>
    </w:p>
    <w:p>
      <w:pPr>
        <w:spacing w:line="360" w:lineRule="auto"/>
        <w:ind w:firstLine="549"/>
        <w:rPr>
          <w:rFonts w:hint="eastAsia" w:ascii="宋体" w:hAnsi="宋体" w:eastAsia="宋体" w:cs="宋体"/>
          <w:sz w:val="24"/>
        </w:rPr>
      </w:pPr>
      <w:r>
        <w:rPr>
          <w:rFonts w:hint="eastAsia" w:ascii="宋体" w:hAnsi="宋体" w:eastAsia="宋体" w:cs="宋体"/>
          <w:sz w:val="24"/>
        </w:rPr>
        <w:t>7.3在确定中标人之前，投标人不得与采购人就投标价格、投标方案等实质性内容进行谈判，也不得私下接触评委会成员。</w:t>
      </w:r>
    </w:p>
    <w:p>
      <w:pPr>
        <w:spacing w:line="360" w:lineRule="auto"/>
        <w:ind w:firstLine="549"/>
        <w:rPr>
          <w:rFonts w:hint="eastAsia" w:ascii="宋体" w:hAnsi="宋体" w:eastAsia="宋体" w:cs="宋体"/>
          <w:sz w:val="24"/>
        </w:rPr>
      </w:pPr>
      <w:r>
        <w:rPr>
          <w:rFonts w:hint="eastAsia" w:ascii="宋体" w:hAnsi="宋体" w:eastAsia="宋体" w:cs="宋体"/>
          <w:sz w:val="24"/>
        </w:rPr>
        <w:t>7.4在确定中标人之前，投标人试图在投标文件审查、澄清、比较和评价时对评委会、采购人和采购中心施加任何影响都可能导致其投标无效。</w:t>
      </w:r>
    </w:p>
    <w:p>
      <w:pPr>
        <w:spacing w:line="360" w:lineRule="auto"/>
        <w:ind w:firstLine="549"/>
        <w:rPr>
          <w:rFonts w:hint="eastAsia" w:ascii="宋体" w:hAnsi="宋体" w:eastAsia="宋体" w:cs="宋体"/>
          <w:b/>
          <w:bCs/>
          <w:sz w:val="24"/>
        </w:rPr>
      </w:pPr>
      <w:r>
        <w:rPr>
          <w:rFonts w:hint="eastAsia" w:ascii="宋体" w:hAnsi="宋体" w:eastAsia="宋体" w:cs="宋体"/>
          <w:sz w:val="24"/>
        </w:rPr>
        <w:t>7.5由采购人向投标人提供的图纸、详细资料、样品、模型、模件和所有其它资料，被视为保密资料，仅被用于它所规定的用途。除非得到采购人的同意，不能向任何第三方透露。开标结束后，应采购人要求，投标人应归还所有从采购人处获得的保密资料。</w:t>
      </w:r>
    </w:p>
    <w:p>
      <w:pPr>
        <w:spacing w:line="360" w:lineRule="auto"/>
        <w:ind w:firstLine="549"/>
        <w:rPr>
          <w:rFonts w:hint="eastAsia" w:ascii="宋体" w:hAnsi="宋体" w:eastAsia="宋体" w:cs="宋体"/>
          <w:b/>
          <w:sz w:val="24"/>
        </w:rPr>
      </w:pPr>
      <w:r>
        <w:rPr>
          <w:rFonts w:hint="eastAsia" w:ascii="宋体" w:hAnsi="宋体" w:eastAsia="宋体" w:cs="宋体"/>
          <w:b/>
          <w:sz w:val="24"/>
        </w:rPr>
        <w:t>8.联合体投标</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不接受联合体投标</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9.投标品牌</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9.1招标文件中提供的参考商标、品牌或标准（包括工艺、材料、设备、样本目录号码、标准等），是采购人为了方便投标人更准确、更清楚说明拟采购货物、服务的技术规格和标准，并无限制性。投标人在投标中若选用替代商标、品牌或标准，应优于或相当于参考商标、品牌或标准。</w:t>
      </w:r>
    </w:p>
    <w:p>
      <w:pPr>
        <w:spacing w:line="360" w:lineRule="auto"/>
        <w:ind w:firstLine="525"/>
        <w:rPr>
          <w:rFonts w:hint="eastAsia" w:ascii="宋体" w:hAnsi="宋体" w:eastAsia="宋体" w:cs="宋体"/>
          <w:b/>
          <w:bCs/>
          <w:sz w:val="24"/>
        </w:rPr>
      </w:pPr>
      <w:r>
        <w:rPr>
          <w:rFonts w:hint="eastAsia" w:ascii="宋体" w:hAnsi="宋体" w:eastAsia="宋体" w:cs="宋体"/>
          <w:b/>
          <w:bCs/>
          <w:sz w:val="24"/>
        </w:rPr>
        <w:t>10.投标专用章的效力</w:t>
      </w:r>
    </w:p>
    <w:p>
      <w:pPr>
        <w:spacing w:line="360" w:lineRule="auto"/>
        <w:ind w:firstLine="525"/>
        <w:rPr>
          <w:rFonts w:hint="eastAsia" w:ascii="宋体" w:hAnsi="宋体" w:eastAsia="宋体" w:cs="宋体"/>
          <w:sz w:val="24"/>
        </w:rPr>
      </w:pPr>
      <w:r>
        <w:rPr>
          <w:rFonts w:hint="eastAsia" w:ascii="宋体" w:hAnsi="宋体" w:eastAsia="宋体" w:cs="宋体"/>
          <w:sz w:val="24"/>
        </w:rPr>
        <w:t>10.1招标文件中明确要求加盖电子签章的，投标人必须加盖投标人电子签章。</w:t>
      </w:r>
    </w:p>
    <w:p>
      <w:pPr>
        <w:spacing w:line="360" w:lineRule="auto"/>
        <w:ind w:firstLine="550"/>
        <w:rPr>
          <w:rFonts w:hint="eastAsia" w:ascii="宋体" w:hAnsi="宋体" w:eastAsia="宋体" w:cs="宋体"/>
          <w:b/>
          <w:bCs/>
          <w:sz w:val="24"/>
        </w:rPr>
      </w:pPr>
      <w:r>
        <w:rPr>
          <w:rFonts w:hint="eastAsia" w:ascii="宋体" w:hAnsi="宋体" w:eastAsia="宋体" w:cs="宋体"/>
          <w:b/>
          <w:bCs/>
          <w:sz w:val="24"/>
        </w:rPr>
        <w:t>11.合同标的转让</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 xml:space="preserve">11.1合同未约定或者未经采购人同意，中标人不得向他人转让中标项目，也不得将中标项目肢解后分别向他人转让。 </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11.2合同约定或者经采购人同意，中标人可以将中标项目的部分非主体、非关键性工作分包给他人完成。接受分包的人应当具备相应的资格条件，并不得再次分包。如果本项目允许分包，采购人根据采购项目的实际情况，拟在中标后将中标项目的非主体、非关键性工作交由他人完成的，应在投标文件中载明。</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11.3中标人应当就分包项目向采购人负责，接受分包的人就分包项目承担连带责任。</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11.4未经政府采购管理部门批准，进口设备不得转包。</w:t>
      </w:r>
    </w:p>
    <w:p>
      <w:pPr>
        <w:spacing w:line="360" w:lineRule="auto"/>
        <w:ind w:firstLine="525" w:firstLineChars="218"/>
        <w:rPr>
          <w:rFonts w:hint="eastAsia" w:ascii="宋体" w:hAnsi="宋体" w:eastAsia="宋体" w:cs="宋体"/>
          <w:sz w:val="24"/>
        </w:rPr>
      </w:pPr>
      <w:r>
        <w:rPr>
          <w:rFonts w:hint="eastAsia" w:ascii="宋体" w:hAnsi="宋体" w:eastAsia="宋体" w:cs="宋体"/>
          <w:b/>
          <w:bCs/>
          <w:sz w:val="24"/>
        </w:rPr>
        <w:t>12.会员信息库</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12.1为进一步规范招投标行为，提高招投标工作效率，降低投标成本，加强对投标人诚信信息的管理，加快周口市招投标工作电子化、信息化建设，为周口市公共资源交易中心实行网上招投标奠定基础，经周口市公共资源交易管理办公室研究决定，周口市公共资源交易中心实行投标人会员信息库制度，并面向全国免费征集注册投标企业会员。</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12.2入库资料的真实性、有效性、完整性、准确性、合法性及清晰度由投标人负责。周口市公共资源交易中心只负责对投标人所提供的入库资料原件与上传扫描件进行比对；本项目所需会员库资料有效性由本项目评委会负责审核。</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为确保投标文件通过评审，投标人应及时对入库资料进行补充、更新。</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如因前款原因未通过本项目评委会评审，由投标人承担全部责任。</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12.3网上会员库中文字资料与扫描件资料不一致时，以扫描件资料为准。</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12.4有关会员库的更多信息，请登陆周口市公共资源交易中心网查询。</w:t>
      </w:r>
    </w:p>
    <w:p>
      <w:pPr>
        <w:spacing w:line="360" w:lineRule="auto"/>
        <w:ind w:firstLine="550"/>
        <w:rPr>
          <w:rFonts w:hint="eastAsia" w:ascii="宋体" w:hAnsi="宋体" w:eastAsia="宋体" w:cs="宋体"/>
          <w:b/>
          <w:bCs/>
          <w:sz w:val="24"/>
        </w:rPr>
      </w:pPr>
      <w:r>
        <w:rPr>
          <w:rFonts w:hint="eastAsia" w:ascii="宋体" w:hAnsi="宋体" w:eastAsia="宋体" w:cs="宋体"/>
          <w:b/>
          <w:bCs/>
          <w:sz w:val="24"/>
        </w:rPr>
        <w:t>13.采购信息的发布</w:t>
      </w:r>
    </w:p>
    <w:p>
      <w:pPr>
        <w:spacing w:line="360" w:lineRule="auto"/>
        <w:ind w:firstLine="550"/>
        <w:rPr>
          <w:rFonts w:hint="eastAsia" w:ascii="宋体" w:hAnsi="宋体" w:eastAsia="宋体" w:cs="宋体"/>
          <w:sz w:val="28"/>
        </w:rPr>
      </w:pPr>
      <w:r>
        <w:rPr>
          <w:rFonts w:hint="eastAsia" w:ascii="宋体" w:hAnsi="宋体" w:eastAsia="宋体" w:cs="宋体"/>
          <w:sz w:val="24"/>
        </w:rPr>
        <w:t>13.1与本次采购活动相关的信息，将发布在周口市公共资源交易中心网(</w:t>
      </w:r>
      <w:r>
        <w:rPr>
          <w:rFonts w:hint="eastAsia" w:ascii="宋体" w:hAnsi="宋体" w:eastAsia="宋体" w:cs="宋体"/>
          <w:sz w:val="24"/>
        </w:rPr>
        <w:fldChar w:fldCharType="begin"/>
      </w:r>
      <w:r>
        <w:rPr>
          <w:rFonts w:hint="eastAsia" w:ascii="宋体" w:hAnsi="宋体" w:eastAsia="宋体" w:cs="宋体"/>
          <w:sz w:val="24"/>
        </w:rPr>
        <w:instrText xml:space="preserve"> HYPERLINK "http://jyzx.zhoukou.gov.cn" </w:instrText>
      </w:r>
      <w:r>
        <w:rPr>
          <w:rFonts w:hint="eastAsia" w:ascii="宋体" w:hAnsi="宋体" w:eastAsia="宋体" w:cs="宋体"/>
          <w:sz w:val="24"/>
        </w:rPr>
        <w:fldChar w:fldCharType="separate"/>
      </w:r>
      <w:r>
        <w:rPr>
          <w:rFonts w:hint="eastAsia" w:ascii="宋体" w:hAnsi="宋体" w:eastAsia="宋体" w:cs="宋体"/>
          <w:sz w:val="24"/>
        </w:rPr>
        <w:t>http://jyzx.zhoukou.gov.cn</w:t>
      </w:r>
      <w:r>
        <w:rPr>
          <w:rFonts w:hint="eastAsia" w:ascii="宋体" w:hAnsi="宋体" w:eastAsia="宋体" w:cs="宋体"/>
          <w:sz w:val="24"/>
        </w:rPr>
        <w:fldChar w:fldCharType="end"/>
      </w:r>
      <w:r>
        <w:rPr>
          <w:rFonts w:hint="eastAsia" w:ascii="宋体" w:hAnsi="宋体" w:eastAsia="宋体" w:cs="宋体"/>
          <w:sz w:val="24"/>
        </w:rPr>
        <w:t>)及河南省政府采购网（www.hngp.gov.cn），以下简称“网站”。</w:t>
      </w:r>
    </w:p>
    <w:p>
      <w:pPr>
        <w:pStyle w:val="4"/>
        <w:spacing w:line="360" w:lineRule="auto"/>
        <w:ind w:firstLine="3418" w:firstLineChars="1216"/>
        <w:jc w:val="both"/>
        <w:rPr>
          <w:rFonts w:hint="eastAsia" w:ascii="宋体" w:hAnsi="宋体" w:eastAsia="宋体" w:cs="宋体"/>
          <w:sz w:val="28"/>
        </w:rPr>
      </w:pPr>
      <w:bookmarkStart w:id="76" w:name="_Hlt509650116"/>
      <w:bookmarkEnd w:id="76"/>
      <w:bookmarkStart w:id="77" w:name="_Hlt509649330"/>
      <w:bookmarkEnd w:id="77"/>
      <w:bookmarkStart w:id="78" w:name="_Hlt509650103"/>
      <w:bookmarkEnd w:id="78"/>
      <w:bookmarkStart w:id="79" w:name="_Hlt509650690"/>
      <w:bookmarkEnd w:id="79"/>
      <w:bookmarkStart w:id="80" w:name="_Hlt509650333"/>
      <w:bookmarkEnd w:id="80"/>
      <w:bookmarkStart w:id="81" w:name="_Hlt526418153"/>
      <w:bookmarkEnd w:id="81"/>
      <w:bookmarkStart w:id="82" w:name="_Hlt509649678"/>
      <w:bookmarkEnd w:id="82"/>
      <w:bookmarkStart w:id="83" w:name="_Hlt509650936"/>
      <w:bookmarkEnd w:id="83"/>
      <w:bookmarkStart w:id="84" w:name="_Hlt509649795"/>
      <w:bookmarkEnd w:id="84"/>
      <w:bookmarkStart w:id="85" w:name="_Hlt509650929"/>
      <w:bookmarkEnd w:id="85"/>
      <w:bookmarkStart w:id="86" w:name="_Hlt509649645"/>
      <w:bookmarkEnd w:id="86"/>
      <w:bookmarkStart w:id="87" w:name="_Hlt509650932"/>
      <w:bookmarkEnd w:id="87"/>
      <w:bookmarkStart w:id="88" w:name="_Hlt509649669"/>
      <w:bookmarkEnd w:id="88"/>
      <w:bookmarkStart w:id="89" w:name="_Hlt509650961"/>
      <w:bookmarkEnd w:id="89"/>
      <w:bookmarkStart w:id="90" w:name="_Toc16689"/>
      <w:bookmarkStart w:id="91" w:name="_Toc5653"/>
      <w:bookmarkStart w:id="92" w:name="_Toc40975443"/>
      <w:bookmarkStart w:id="93" w:name="_Toc7614"/>
      <w:bookmarkStart w:id="94" w:name="_Toc527725923"/>
      <w:r>
        <w:rPr>
          <w:rFonts w:hint="eastAsia" w:ascii="宋体" w:hAnsi="宋体" w:eastAsia="宋体" w:cs="宋体"/>
          <w:sz w:val="28"/>
        </w:rPr>
        <w:t>二．招标文件</w:t>
      </w:r>
      <w:bookmarkEnd w:id="90"/>
      <w:bookmarkEnd w:id="91"/>
      <w:bookmarkEnd w:id="92"/>
      <w:bookmarkEnd w:id="93"/>
      <w:bookmarkEnd w:id="94"/>
      <w:bookmarkStart w:id="95" w:name="_Hlt509650361"/>
      <w:bookmarkEnd w:id="95"/>
      <w:bookmarkStart w:id="96" w:name="_Hlt509649791"/>
      <w:bookmarkEnd w:id="96"/>
      <w:bookmarkStart w:id="97" w:name="_Hlt509649930"/>
      <w:bookmarkEnd w:id="97"/>
    </w:p>
    <w:p>
      <w:pPr>
        <w:spacing w:line="360" w:lineRule="auto"/>
        <w:ind w:firstLine="549"/>
        <w:rPr>
          <w:rFonts w:hint="eastAsia" w:ascii="宋体" w:hAnsi="宋体" w:eastAsia="宋体" w:cs="宋体"/>
          <w:b/>
          <w:sz w:val="24"/>
        </w:rPr>
      </w:pPr>
      <w:bookmarkStart w:id="98" w:name="_Hlt509650734"/>
      <w:bookmarkEnd w:id="98"/>
      <w:r>
        <w:rPr>
          <w:rFonts w:hint="eastAsia" w:ascii="宋体" w:hAnsi="宋体" w:eastAsia="宋体" w:cs="宋体"/>
          <w:b/>
          <w:sz w:val="24"/>
        </w:rPr>
        <w:t>14.招标文件构成</w:t>
      </w:r>
    </w:p>
    <w:p>
      <w:pPr>
        <w:spacing w:line="360" w:lineRule="auto"/>
        <w:ind w:firstLine="549"/>
        <w:rPr>
          <w:rFonts w:hint="eastAsia" w:ascii="宋体" w:hAnsi="宋体" w:eastAsia="宋体" w:cs="宋体"/>
          <w:sz w:val="24"/>
        </w:rPr>
      </w:pPr>
      <w:r>
        <w:rPr>
          <w:rFonts w:hint="eastAsia" w:ascii="宋体" w:hAnsi="宋体" w:eastAsia="宋体" w:cs="宋体"/>
          <w:sz w:val="24"/>
        </w:rPr>
        <w:t>14.1招标文件包括以下部分：</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14.1.1第一章：</w:t>
      </w:r>
      <w:r>
        <w:rPr>
          <w:rFonts w:hint="eastAsia" w:ascii="宋体" w:hAnsi="宋体" w:eastAsia="宋体" w:cs="宋体"/>
          <w:bCs/>
          <w:sz w:val="24"/>
        </w:rPr>
        <w:t>投标邀请（招标公告）；</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14.1.2第二章：</w:t>
      </w:r>
      <w:bookmarkStart w:id="99" w:name="_Hlt509650925"/>
      <w:bookmarkEnd w:id="99"/>
      <w:r>
        <w:rPr>
          <w:rFonts w:hint="eastAsia" w:ascii="宋体" w:hAnsi="宋体" w:eastAsia="宋体" w:cs="宋体"/>
          <w:bCs/>
          <w:sz w:val="24"/>
        </w:rPr>
        <w:t>投标人须知前附表；</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14.1.3第三章：</w:t>
      </w:r>
      <w:r>
        <w:rPr>
          <w:rFonts w:hint="eastAsia" w:ascii="宋体" w:hAnsi="宋体" w:eastAsia="宋体" w:cs="宋体"/>
          <w:bCs/>
          <w:sz w:val="24"/>
        </w:rPr>
        <w:t>需求一览表；</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14.1.4第四章：</w:t>
      </w:r>
      <w:r>
        <w:rPr>
          <w:rFonts w:hint="eastAsia" w:ascii="宋体" w:hAnsi="宋体" w:eastAsia="宋体" w:cs="宋体"/>
          <w:bCs/>
          <w:sz w:val="24"/>
        </w:rPr>
        <w:t>评标办法；</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14.1.5第五章：</w:t>
      </w:r>
      <w:r>
        <w:rPr>
          <w:rFonts w:hint="eastAsia" w:ascii="宋体" w:hAnsi="宋体" w:eastAsia="宋体" w:cs="宋体"/>
          <w:bCs/>
          <w:sz w:val="24"/>
        </w:rPr>
        <w:t>投标人须知；</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14.1.6第六章：</w:t>
      </w:r>
      <w:r>
        <w:rPr>
          <w:rFonts w:hint="eastAsia" w:ascii="宋体" w:hAnsi="宋体" w:eastAsia="宋体" w:cs="宋体"/>
          <w:bCs/>
          <w:sz w:val="24"/>
        </w:rPr>
        <w:t>采购合同；</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14.1.7第七章：</w:t>
      </w:r>
      <w:r>
        <w:rPr>
          <w:rFonts w:hint="eastAsia" w:ascii="宋体" w:hAnsi="宋体" w:eastAsia="宋体" w:cs="宋体"/>
          <w:bCs/>
          <w:sz w:val="24"/>
        </w:rPr>
        <w:t>投标文件格式；</w:t>
      </w:r>
    </w:p>
    <w:p>
      <w:pPr>
        <w:spacing w:line="360" w:lineRule="auto"/>
        <w:ind w:firstLine="523" w:firstLineChars="218"/>
        <w:rPr>
          <w:rFonts w:hint="eastAsia" w:ascii="宋体" w:hAnsi="宋体" w:eastAsia="宋体" w:cs="宋体"/>
          <w:sz w:val="24"/>
        </w:rPr>
      </w:pPr>
      <w:r>
        <w:rPr>
          <w:rFonts w:hint="eastAsia" w:ascii="宋体" w:hAnsi="宋体" w:eastAsia="宋体" w:cs="宋体"/>
          <w:bCs/>
          <w:sz w:val="24"/>
        </w:rPr>
        <w:t>14.1.8周口市公共资源交易中心政府采购中心发布的</w:t>
      </w:r>
      <w:r>
        <w:rPr>
          <w:rFonts w:hint="eastAsia" w:ascii="宋体" w:hAnsi="宋体" w:eastAsia="宋体" w:cs="宋体"/>
          <w:sz w:val="24"/>
        </w:rPr>
        <w:t>图纸、答疑、补遗、补充通知等。</w:t>
      </w:r>
    </w:p>
    <w:p>
      <w:pPr>
        <w:spacing w:line="360" w:lineRule="auto"/>
        <w:ind w:firstLine="549"/>
        <w:rPr>
          <w:rFonts w:ascii="宋体" w:hAnsi="宋体" w:cs="宋体"/>
          <w:color w:val="000000"/>
          <w:spacing w:val="0"/>
          <w:sz w:val="24"/>
        </w:rPr>
      </w:pPr>
      <w:r>
        <w:rPr>
          <w:rFonts w:hint="eastAsia" w:ascii="宋体" w:hAnsi="宋体" w:cs="宋体"/>
          <w:sz w:val="24"/>
        </w:rPr>
        <w:t xml:space="preserve">14.2 </w:t>
      </w:r>
      <w:r>
        <w:rPr>
          <w:rFonts w:hint="eastAsia" w:ascii="宋体" w:hAnsi="宋体" w:eastAsia="宋体" w:cs="宋体"/>
          <w:sz w:val="24"/>
        </w:rPr>
        <w:t>投标人应认真阅读招标文件中所有的事项、格式、条件、条款和规范等要求。</w:t>
      </w:r>
      <w:r>
        <w:rPr>
          <w:rFonts w:ascii="宋体" w:hAnsi="宋体" w:cs="宋体"/>
          <w:color w:val="000000"/>
          <w:spacing w:val="-2"/>
          <w:sz w:val="24"/>
        </w:rPr>
        <w:t>如果有异议在规定的时间内提出，没有异议需做出</w:t>
      </w:r>
      <w:r>
        <w:rPr>
          <w:rFonts w:hint="eastAsia" w:ascii="宋体" w:hAnsi="宋体" w:eastAsia="宋体" w:cs="宋体"/>
          <w:b w:val="0"/>
          <w:bCs w:val="0"/>
          <w:color w:val="auto"/>
          <w:sz w:val="24"/>
        </w:rPr>
        <w:t>“无异议”承诺书，承</w:t>
      </w:r>
      <w:r>
        <w:rPr>
          <w:rFonts w:ascii="宋体" w:hAnsi="宋体" w:cs="宋体"/>
          <w:color w:val="000000"/>
          <w:spacing w:val="-2"/>
          <w:sz w:val="24"/>
        </w:rPr>
        <w:t>诺书作为响应文</w:t>
      </w:r>
      <w:r>
        <w:rPr>
          <w:rFonts w:ascii="宋体" w:hAnsi="宋体" w:cs="宋体"/>
          <w:color w:val="000000"/>
          <w:spacing w:val="0"/>
          <w:sz w:val="24"/>
        </w:rPr>
        <w:t>件的组织部分，否则为无效响应文件。</w:t>
      </w:r>
    </w:p>
    <w:p>
      <w:pPr>
        <w:spacing w:line="360" w:lineRule="auto"/>
        <w:ind w:firstLine="549"/>
        <w:rPr>
          <w:rFonts w:hint="eastAsia" w:ascii="宋体" w:hAnsi="宋体" w:cs="宋体"/>
          <w:color w:val="auto"/>
          <w:sz w:val="24"/>
        </w:rPr>
      </w:pPr>
      <w:r>
        <w:rPr>
          <w:rFonts w:hint="eastAsia" w:ascii="宋体" w:hAnsi="宋体" w:cs="宋体"/>
          <w:sz w:val="24"/>
        </w:rPr>
        <w:t>14.3</w:t>
      </w:r>
      <w:r>
        <w:rPr>
          <w:rFonts w:hint="eastAsia" w:ascii="宋体" w:hAnsi="宋体" w:eastAsia="宋体" w:cs="宋体"/>
          <w:sz w:val="24"/>
        </w:rPr>
        <w:t>投标人应当按照招标文件的要求编制投标文件。投标文件应对招标文件提出的要求和条件作出实质性响应。</w:t>
      </w:r>
      <w:r>
        <w:rPr>
          <w:rFonts w:hint="eastAsia" w:ascii="宋体" w:hAnsi="宋体" w:eastAsia="宋体" w:cs="宋体"/>
          <w:b w:val="0"/>
          <w:bCs w:val="0"/>
          <w:color w:val="auto"/>
          <w:sz w:val="24"/>
        </w:rPr>
        <w:t>投标人需对投标文件中提供的资料作出真实性承诺，供应商提交的资料应证明其满足招标文件要求并在材料上面标注“与原件一致”字样，该</w:t>
      </w:r>
      <w:r>
        <w:rPr>
          <w:rFonts w:ascii="宋体" w:hAnsi="宋体" w:cs="宋体"/>
          <w:color w:val="000000"/>
          <w:spacing w:val="-2"/>
          <w:sz w:val="24"/>
        </w:rPr>
        <w:t>文件包括资格材料、文字资料、图纸和数据</w:t>
      </w:r>
      <w:r>
        <w:rPr>
          <w:rFonts w:ascii="宋体" w:hAnsi="宋体" w:cs="宋体"/>
          <w:color w:val="000000"/>
          <w:spacing w:val="0"/>
          <w:sz w:val="24"/>
        </w:rPr>
        <w:t>等详细描述的资料</w:t>
      </w:r>
      <w:r>
        <w:rPr>
          <w:rFonts w:ascii="宋体"/>
          <w:color w:val="000000"/>
          <w:spacing w:val="0"/>
          <w:sz w:val="24"/>
        </w:rPr>
        <w:t>,</w:t>
      </w:r>
      <w:r>
        <w:rPr>
          <w:rFonts w:hint="eastAsia" w:ascii="宋体" w:hAnsi="宋体" w:eastAsia="宋体" w:cs="宋体"/>
          <w:b w:val="0"/>
          <w:bCs w:val="0"/>
          <w:color w:val="auto"/>
          <w:sz w:val="24"/>
        </w:rPr>
        <w:t>否则视为不响应招标文件</w:t>
      </w:r>
      <w:r>
        <w:rPr>
          <w:rFonts w:hint="eastAsia" w:ascii="宋体" w:hAnsi="宋体" w:eastAsia="宋体" w:cs="宋体"/>
          <w:b w:val="0"/>
          <w:bCs w:val="0"/>
          <w:color w:val="auto"/>
          <w:sz w:val="24"/>
          <w:lang w:val="en-US" w:eastAsia="zh-CN"/>
        </w:rPr>
        <w:t>。</w:t>
      </w:r>
    </w:p>
    <w:p>
      <w:pPr>
        <w:spacing w:line="360" w:lineRule="auto"/>
        <w:ind w:firstLine="550"/>
        <w:rPr>
          <w:rFonts w:hint="eastAsia" w:ascii="宋体" w:hAnsi="宋体" w:eastAsia="宋体" w:cs="宋体"/>
          <w:sz w:val="24"/>
        </w:rPr>
      </w:pPr>
      <w:r>
        <w:rPr>
          <w:rFonts w:hint="eastAsia" w:ascii="宋体" w:hAnsi="宋体" w:eastAsia="宋体" w:cs="宋体"/>
          <w:sz w:val="24"/>
        </w:rPr>
        <w:t>14.4投标人获取招标文件后，应仔细检查招标文件的所有内容，如有残缺等问题应在获得招标文件3日内向</w:t>
      </w:r>
      <w:r>
        <w:rPr>
          <w:rFonts w:hint="eastAsia" w:ascii="宋体" w:hAnsi="宋体" w:eastAsia="宋体" w:cs="宋体"/>
          <w:bCs/>
          <w:sz w:val="24"/>
        </w:rPr>
        <w:t>周口市公共资源交易中心政府采购中心或采购人</w:t>
      </w:r>
      <w:r>
        <w:rPr>
          <w:rFonts w:hint="eastAsia" w:ascii="宋体" w:hAnsi="宋体" w:eastAsia="宋体" w:cs="宋体"/>
          <w:sz w:val="24"/>
        </w:rPr>
        <w:t>提出，否则，由此引起的损失由投标人自行承担。</w:t>
      </w:r>
    </w:p>
    <w:p>
      <w:pPr>
        <w:spacing w:line="360" w:lineRule="auto"/>
        <w:ind w:firstLine="550"/>
        <w:rPr>
          <w:rFonts w:hint="eastAsia" w:ascii="宋体" w:hAnsi="宋体" w:eastAsia="宋体" w:cs="宋体"/>
          <w:sz w:val="24"/>
        </w:rPr>
      </w:pPr>
      <w:r>
        <w:rPr>
          <w:rFonts w:hint="eastAsia" w:ascii="宋体" w:hAnsi="宋体" w:eastAsia="宋体" w:cs="宋体"/>
          <w:sz w:val="24"/>
        </w:rPr>
        <w:t>15.招标文件的澄清与修改</w:t>
      </w:r>
    </w:p>
    <w:p>
      <w:pPr>
        <w:spacing w:line="360" w:lineRule="auto"/>
        <w:ind w:firstLine="550"/>
        <w:rPr>
          <w:rFonts w:hint="eastAsia" w:ascii="宋体" w:hAnsi="宋体" w:eastAsia="宋体" w:cs="宋体"/>
          <w:sz w:val="24"/>
        </w:rPr>
      </w:pPr>
      <w:r>
        <w:rPr>
          <w:rFonts w:hint="eastAsia" w:ascii="宋体" w:hAnsi="宋体" w:eastAsia="宋体" w:cs="宋体"/>
          <w:sz w:val="24"/>
        </w:rPr>
        <w:t>15.1</w:t>
      </w:r>
      <w:r>
        <w:rPr>
          <w:rFonts w:hint="eastAsia" w:ascii="宋体" w:hAnsi="宋体" w:eastAsia="宋体" w:cs="宋体"/>
          <w:bCs/>
          <w:sz w:val="24"/>
        </w:rPr>
        <w:t>周口市公共资源交易中心政府采购中心或采购人</w:t>
      </w:r>
      <w:r>
        <w:rPr>
          <w:rFonts w:hint="eastAsia" w:ascii="宋体" w:hAnsi="宋体" w:eastAsia="宋体" w:cs="宋体"/>
          <w:sz w:val="24"/>
        </w:rPr>
        <w:t>对招标文件进行的澄清、更正或更改，将在网站上及时发布，该公告内容为招标文件的组成部分，对投标人具有同样约束力。澄清或者修改的内容可能影响投标文件编制的，采购人或者采购代理机构在投标截止时间至少15日前，将在网站上及时发布</w:t>
      </w:r>
      <w:r>
        <w:rPr>
          <w:rFonts w:hint="eastAsia" w:ascii="宋体" w:hAnsi="宋体" w:eastAsia="宋体" w:cs="宋体"/>
          <w:sz w:val="24"/>
          <w:lang w:val="en-US" w:eastAsia="zh-CN"/>
        </w:rPr>
        <w:t>通知</w:t>
      </w:r>
      <w:r>
        <w:rPr>
          <w:rFonts w:hint="eastAsia" w:ascii="宋体" w:hAnsi="宋体" w:eastAsia="宋体" w:cs="宋体"/>
          <w:sz w:val="24"/>
        </w:rPr>
        <w:t>所有获取招标文件的潜在投标人；不足15日的，采购人或者采购代理机构应当顺延提交投标文件的截止时间</w:t>
      </w:r>
      <w:r>
        <w:rPr>
          <w:rFonts w:hint="eastAsia" w:ascii="宋体" w:hAnsi="宋体" w:eastAsia="宋体" w:cs="宋体"/>
          <w:sz w:val="24"/>
          <w:lang w:eastAsia="zh-CN"/>
        </w:rPr>
        <w:t>。</w:t>
      </w:r>
      <w:r>
        <w:rPr>
          <w:rFonts w:hint="eastAsia" w:ascii="宋体" w:hAnsi="宋体" w:eastAsia="宋体" w:cs="宋体"/>
          <w:sz w:val="24"/>
        </w:rPr>
        <w:t>投标人应主动上网查询。</w:t>
      </w:r>
      <w:r>
        <w:rPr>
          <w:rFonts w:hint="eastAsia" w:ascii="宋体" w:hAnsi="宋体" w:eastAsia="宋体" w:cs="宋体"/>
          <w:bCs/>
          <w:sz w:val="24"/>
        </w:rPr>
        <w:t>周口市公共资源交易中心政府采购中心或采购人</w:t>
      </w:r>
      <w:r>
        <w:rPr>
          <w:rFonts w:hint="eastAsia" w:ascii="宋体" w:hAnsi="宋体" w:eastAsia="宋体" w:cs="宋体"/>
          <w:sz w:val="24"/>
        </w:rPr>
        <w:t>不承担投标人未及时关注相关信息引发的相关责任。</w:t>
      </w:r>
    </w:p>
    <w:p>
      <w:pPr>
        <w:spacing w:line="360" w:lineRule="auto"/>
        <w:ind w:firstLine="550"/>
        <w:rPr>
          <w:rFonts w:hint="eastAsia" w:ascii="宋体" w:hAnsi="宋体" w:eastAsia="宋体" w:cs="宋体"/>
          <w:sz w:val="24"/>
        </w:rPr>
      </w:pPr>
      <w:r>
        <w:rPr>
          <w:rFonts w:hint="eastAsia" w:ascii="宋体" w:hAnsi="宋体" w:eastAsia="宋体" w:cs="宋体"/>
          <w:sz w:val="24"/>
        </w:rPr>
        <w:t>15.2在投标截止时间前，</w:t>
      </w:r>
      <w:r>
        <w:rPr>
          <w:rFonts w:hint="eastAsia" w:ascii="宋体" w:hAnsi="宋体" w:eastAsia="宋体" w:cs="宋体"/>
          <w:bCs/>
          <w:sz w:val="24"/>
        </w:rPr>
        <w:t>采购人</w:t>
      </w:r>
      <w:r>
        <w:rPr>
          <w:rFonts w:hint="eastAsia" w:ascii="宋体" w:hAnsi="宋体" w:eastAsia="宋体" w:cs="宋体"/>
          <w:sz w:val="24"/>
        </w:rPr>
        <w:t>可以视采购具体情况，延长投标截止时间和开标时间，并在招标文件要求提交投标文件的截止时间三日前，在网站上发布变更公告。在上述情况下，</w:t>
      </w:r>
      <w:r>
        <w:rPr>
          <w:rFonts w:hint="eastAsia" w:ascii="宋体" w:hAnsi="宋体" w:eastAsia="宋体" w:cs="宋体"/>
          <w:bCs/>
          <w:sz w:val="24"/>
        </w:rPr>
        <w:t>采购人</w:t>
      </w:r>
      <w:r>
        <w:rPr>
          <w:rFonts w:hint="eastAsia" w:ascii="宋体" w:hAnsi="宋体" w:eastAsia="宋体" w:cs="宋体"/>
          <w:sz w:val="24"/>
        </w:rPr>
        <w:t>和投标人在投标截止期方面的全部权力、责任和义务，将适用于延长后新的投标截止期。</w:t>
      </w:r>
    </w:p>
    <w:p>
      <w:pPr>
        <w:spacing w:line="360" w:lineRule="auto"/>
        <w:ind w:firstLine="550"/>
        <w:rPr>
          <w:rFonts w:hint="eastAsia" w:ascii="宋体" w:hAnsi="宋体" w:eastAsia="宋体" w:cs="宋体"/>
          <w:sz w:val="28"/>
        </w:rPr>
      </w:pPr>
      <w:r>
        <w:rPr>
          <w:rFonts w:hint="eastAsia" w:ascii="宋体" w:hAnsi="宋体" w:eastAsia="宋体" w:cs="宋体"/>
          <w:sz w:val="24"/>
        </w:rPr>
        <w:t>15.3特殊情况下，</w:t>
      </w:r>
      <w:r>
        <w:rPr>
          <w:rFonts w:hint="eastAsia" w:ascii="宋体" w:hAnsi="宋体" w:eastAsia="宋体" w:cs="宋体"/>
          <w:bCs/>
          <w:sz w:val="24"/>
        </w:rPr>
        <w:t>采购人</w:t>
      </w:r>
      <w:r>
        <w:rPr>
          <w:rFonts w:hint="eastAsia" w:ascii="宋体" w:hAnsi="宋体" w:eastAsia="宋体" w:cs="宋体"/>
          <w:sz w:val="24"/>
        </w:rPr>
        <w:t>发布澄清、更正或更改公告后，可不改变投标截止时间和开标时间。</w:t>
      </w:r>
    </w:p>
    <w:p>
      <w:pPr>
        <w:pStyle w:val="4"/>
        <w:spacing w:line="360" w:lineRule="auto"/>
        <w:ind w:firstLine="2715" w:firstLineChars="966"/>
        <w:jc w:val="both"/>
        <w:rPr>
          <w:rFonts w:hint="eastAsia" w:ascii="宋体" w:hAnsi="宋体" w:eastAsia="宋体" w:cs="宋体"/>
          <w:sz w:val="28"/>
        </w:rPr>
      </w:pPr>
      <w:bookmarkStart w:id="100" w:name="_Hlt510342861"/>
      <w:bookmarkEnd w:id="100"/>
      <w:bookmarkStart w:id="101" w:name="_Hlt509649724"/>
      <w:bookmarkEnd w:id="101"/>
      <w:bookmarkStart w:id="102" w:name="_Hlt509650697"/>
      <w:bookmarkEnd w:id="102"/>
      <w:bookmarkStart w:id="103" w:name="_Toc29307"/>
      <w:bookmarkStart w:id="104" w:name="_Toc25639"/>
      <w:bookmarkStart w:id="105" w:name="_Toc30687"/>
      <w:bookmarkStart w:id="106" w:name="_Toc527725924"/>
      <w:bookmarkStart w:id="107" w:name="_Toc40975444"/>
      <w:r>
        <w:rPr>
          <w:rFonts w:hint="eastAsia" w:ascii="宋体" w:hAnsi="宋体" w:eastAsia="宋体" w:cs="宋体"/>
          <w:sz w:val="28"/>
        </w:rPr>
        <w:t>三．投标文件的编制</w:t>
      </w:r>
      <w:bookmarkEnd w:id="103"/>
      <w:bookmarkEnd w:id="104"/>
      <w:bookmarkEnd w:id="105"/>
      <w:bookmarkEnd w:id="106"/>
      <w:bookmarkEnd w:id="107"/>
    </w:p>
    <w:p>
      <w:pPr>
        <w:spacing w:line="360" w:lineRule="auto"/>
        <w:ind w:firstLine="550"/>
        <w:rPr>
          <w:rFonts w:hint="eastAsia" w:ascii="宋体" w:hAnsi="宋体" w:eastAsia="宋体" w:cs="宋体"/>
          <w:b/>
          <w:sz w:val="24"/>
        </w:rPr>
      </w:pPr>
      <w:r>
        <w:rPr>
          <w:rFonts w:hint="eastAsia" w:ascii="宋体" w:hAnsi="宋体" w:eastAsia="宋体" w:cs="宋体"/>
          <w:b/>
          <w:sz w:val="24"/>
        </w:rPr>
        <w:t>16.投标文件构成与格式</w:t>
      </w:r>
    </w:p>
    <w:p>
      <w:pPr>
        <w:spacing w:line="360" w:lineRule="auto"/>
        <w:ind w:firstLine="550"/>
        <w:rPr>
          <w:rFonts w:hint="eastAsia" w:ascii="宋体" w:hAnsi="宋体" w:eastAsia="宋体" w:cs="宋体"/>
          <w:sz w:val="24"/>
        </w:rPr>
      </w:pPr>
      <w:bookmarkStart w:id="108" w:name="_Hlt509650345"/>
      <w:bookmarkEnd w:id="108"/>
      <w:r>
        <w:rPr>
          <w:rFonts w:hint="eastAsia" w:ascii="宋体" w:hAnsi="宋体" w:eastAsia="宋体" w:cs="宋体"/>
          <w:sz w:val="24"/>
        </w:rPr>
        <w:t>16.1投标文件是对招标文件的实质性响应及承诺文件。</w:t>
      </w:r>
    </w:p>
    <w:p>
      <w:pPr>
        <w:spacing w:line="360" w:lineRule="auto"/>
        <w:ind w:firstLine="550"/>
        <w:jc w:val="left"/>
        <w:rPr>
          <w:rFonts w:hint="eastAsia" w:ascii="宋体" w:hAnsi="宋体" w:eastAsia="宋体" w:cs="宋体"/>
          <w:sz w:val="24"/>
        </w:rPr>
      </w:pPr>
      <w:r>
        <w:rPr>
          <w:rFonts w:hint="eastAsia" w:ascii="宋体" w:hAnsi="宋体" w:eastAsia="宋体" w:cs="宋体"/>
          <w:sz w:val="24"/>
        </w:rPr>
        <w:t>16.2</w:t>
      </w:r>
      <w:r>
        <w:rPr>
          <w:rFonts w:hint="eastAsia" w:ascii="宋体" w:hAnsi="宋体" w:eastAsia="宋体" w:cs="宋体"/>
          <w:bCs/>
          <w:sz w:val="24"/>
        </w:rPr>
        <w:t>除非注明“投标人可自行制作格式”，投标文件应使用招标文件提供的格式。</w:t>
      </w:r>
    </w:p>
    <w:p>
      <w:pPr>
        <w:spacing w:line="360" w:lineRule="auto"/>
        <w:ind w:firstLine="550"/>
        <w:rPr>
          <w:rFonts w:hint="eastAsia" w:ascii="宋体" w:hAnsi="宋体" w:eastAsia="宋体" w:cs="宋体"/>
          <w:sz w:val="24"/>
        </w:rPr>
      </w:pPr>
      <w:r>
        <w:rPr>
          <w:rFonts w:hint="eastAsia" w:ascii="宋体" w:hAnsi="宋体" w:eastAsia="宋体" w:cs="宋体"/>
          <w:bCs/>
          <w:sz w:val="24"/>
        </w:rPr>
        <w:t>16.3除专用术语外，投标文件以及投标人与采购人就有关投标的往来函电均应使用中文。投标人提交的支持性文件和印制的文件可以用另一种语言，但相应内容应翻译成中文，对不同文字文本投标文件的解释发生异议的，以中文文本为准。</w:t>
      </w:r>
    </w:p>
    <w:p>
      <w:pPr>
        <w:spacing w:line="360" w:lineRule="auto"/>
        <w:ind w:firstLine="550"/>
        <w:rPr>
          <w:rFonts w:hint="eastAsia" w:ascii="宋体" w:hAnsi="宋体" w:eastAsia="宋体" w:cs="宋体"/>
          <w:sz w:val="24"/>
        </w:rPr>
      </w:pPr>
      <w:r>
        <w:rPr>
          <w:rFonts w:hint="eastAsia" w:ascii="宋体" w:hAnsi="宋体" w:eastAsia="宋体" w:cs="宋体"/>
          <w:sz w:val="24"/>
        </w:rPr>
        <w:t>16.4除非招标文件另有规定，投标文件应使用中华人民共和国法定计量单位。</w:t>
      </w:r>
    </w:p>
    <w:p>
      <w:pPr>
        <w:spacing w:line="360" w:lineRule="auto"/>
        <w:ind w:firstLine="550"/>
        <w:rPr>
          <w:rFonts w:hint="eastAsia" w:ascii="宋体" w:hAnsi="宋体" w:eastAsia="宋体" w:cs="宋体"/>
          <w:sz w:val="24"/>
        </w:rPr>
      </w:pPr>
      <w:r>
        <w:rPr>
          <w:rFonts w:hint="eastAsia" w:ascii="宋体" w:hAnsi="宋体" w:eastAsia="宋体" w:cs="宋体"/>
          <w:sz w:val="24"/>
        </w:rPr>
        <w:t>16.5除非招标文件另有规定，投标文件应使用人民币填报所有报价。允许以多种货币报价的，应当按照中国银行在开标日公布的汇率中间价换算成人民币。</w:t>
      </w:r>
    </w:p>
    <w:p>
      <w:pPr>
        <w:spacing w:line="360" w:lineRule="auto"/>
        <w:ind w:firstLine="550"/>
        <w:rPr>
          <w:rFonts w:hint="eastAsia" w:ascii="宋体" w:hAnsi="宋体" w:eastAsia="宋体" w:cs="宋体"/>
          <w:sz w:val="24"/>
        </w:rPr>
      </w:pPr>
      <w:r>
        <w:rPr>
          <w:rFonts w:hint="eastAsia" w:ascii="宋体" w:hAnsi="宋体" w:eastAsia="宋体" w:cs="宋体"/>
          <w:sz w:val="24"/>
        </w:rPr>
        <w:t>16.6投标文件应编制连续页码，并编制目录，每个页面应在明显位置编制页码和总页码；除特殊规格的图纸或方案、图片资料等外，均应按A4规格制作。响应文件封面要求:列明项目名称、采购编号、供应商名称和地址等信息。</w:t>
      </w:r>
    </w:p>
    <w:p>
      <w:pPr>
        <w:spacing w:line="360" w:lineRule="auto"/>
        <w:ind w:firstLine="550"/>
        <w:rPr>
          <w:rFonts w:hint="eastAsia" w:ascii="宋体" w:hAnsi="宋体" w:eastAsia="宋体" w:cs="宋体"/>
          <w:sz w:val="24"/>
        </w:rPr>
      </w:pPr>
      <w:r>
        <w:rPr>
          <w:rFonts w:hint="eastAsia" w:ascii="宋体" w:hAnsi="宋体" w:eastAsia="宋体" w:cs="宋体"/>
          <w:sz w:val="24"/>
        </w:rPr>
        <w:t>16.7电报、电话、传真形式的投标概不接受。</w:t>
      </w:r>
    </w:p>
    <w:p>
      <w:pPr>
        <w:spacing w:line="360" w:lineRule="auto"/>
        <w:ind w:firstLine="550"/>
        <w:rPr>
          <w:rFonts w:hint="default" w:eastAsia="宋体"/>
          <w:color w:val="000000"/>
          <w:lang w:val="en-US" w:eastAsia="zh-CN"/>
        </w:rPr>
      </w:pPr>
      <w:r>
        <w:rPr>
          <w:rFonts w:hint="eastAsia" w:ascii="宋体" w:hAnsi="宋体" w:eastAsia="宋体" w:cs="宋体"/>
          <w:kern w:val="2"/>
          <w:sz w:val="24"/>
          <w:lang w:val="en-US" w:eastAsia="zh-CN" w:bidi="ar-SA"/>
        </w:rPr>
        <w:t>16.8电子投标文</w:t>
      </w:r>
      <w:r>
        <w:rPr>
          <w:rFonts w:hint="eastAsia" w:ascii="宋体" w:hAnsi="宋体" w:cs="宋体"/>
          <w:kern w:val="2"/>
          <w:sz w:val="24"/>
          <w:lang w:val="en-US" w:eastAsia="zh-CN" w:bidi="ar-SA"/>
        </w:rPr>
        <w:t>件</w:t>
      </w:r>
      <w:r>
        <w:rPr>
          <w:rFonts w:hint="eastAsia" w:ascii="宋体" w:hAnsi="宋体" w:eastAsia="宋体" w:cs="宋体"/>
          <w:kern w:val="2"/>
          <w:sz w:val="24"/>
          <w:lang w:val="en-US" w:eastAsia="zh-CN" w:bidi="ar-SA"/>
        </w:rPr>
        <w:t>制作</w:t>
      </w:r>
      <w:r>
        <w:rPr>
          <w:rFonts w:hint="eastAsia" w:ascii="宋体" w:hAnsi="宋体" w:eastAsia="宋体" w:cs="宋体"/>
          <w:sz w:val="24"/>
          <w:lang w:eastAsia="zh-CN"/>
        </w:rPr>
        <w:t>，</w:t>
      </w:r>
      <w:r>
        <w:rPr>
          <w:rFonts w:hint="eastAsia" w:ascii="宋体" w:hAnsi="宋体" w:eastAsia="宋体" w:cs="宋体"/>
          <w:sz w:val="24"/>
        </w:rPr>
        <w:t>见周口市公共资源交易中心</w:t>
      </w:r>
      <w:r>
        <w:rPr>
          <w:rFonts w:hint="eastAsia" w:ascii="宋体" w:hAnsi="宋体" w:eastAsia="宋体" w:cs="宋体"/>
          <w:sz w:val="24"/>
          <w:lang w:val="en-US" w:eastAsia="zh-CN"/>
        </w:rPr>
        <w:t>网站下载中心版</w:t>
      </w:r>
      <w:r>
        <w:rPr>
          <w:rFonts w:hint="eastAsia" w:ascii="宋体" w:hAnsi="宋体" w:eastAsia="宋体" w:cs="宋体"/>
          <w:color w:val="000000"/>
          <w:sz w:val="24"/>
          <w:lang w:val="en-US" w:eastAsia="zh-CN"/>
        </w:rPr>
        <w:t>块</w:t>
      </w:r>
      <w:r>
        <w:rPr>
          <w:rFonts w:hint="eastAsia" w:ascii="宋体" w:hAnsi="宋体" w:eastAsia="宋体" w:cs="宋体"/>
          <w:color w:val="000000"/>
          <w:sz w:val="24"/>
        </w:rPr>
        <w:t>《投标单位-电子投标文件视频制作手册》的相关规定。</w:t>
      </w:r>
    </w:p>
    <w:p>
      <w:pPr>
        <w:spacing w:line="360" w:lineRule="auto"/>
        <w:ind w:firstLine="550"/>
        <w:rPr>
          <w:rFonts w:hint="eastAsia" w:ascii="宋体" w:hAnsi="宋体" w:eastAsia="宋体" w:cs="宋体"/>
          <w:sz w:val="24"/>
        </w:rPr>
      </w:pPr>
      <w:r>
        <w:rPr>
          <w:rFonts w:hint="eastAsia" w:ascii="宋体" w:hAnsi="宋体" w:eastAsia="宋体" w:cs="宋体"/>
          <w:b/>
          <w:sz w:val="24"/>
        </w:rPr>
        <w:t>17.报价</w:t>
      </w:r>
    </w:p>
    <w:p>
      <w:pPr>
        <w:keepNext w:val="0"/>
        <w:keepLines w:val="0"/>
        <w:pageBreakBefore w:val="0"/>
        <w:kinsoku/>
        <w:wordWrap/>
        <w:overflowPunct/>
        <w:topLinePunct w:val="0"/>
        <w:autoSpaceDE/>
        <w:autoSpaceDN/>
        <w:bidi w:val="0"/>
        <w:spacing w:line="360" w:lineRule="auto"/>
        <w:ind w:firstLine="550"/>
        <w:textAlignment w:val="auto"/>
        <w:rPr>
          <w:rFonts w:hint="eastAsia" w:ascii="宋体" w:hAnsi="宋体" w:eastAsia="宋体" w:cs="宋体"/>
          <w:sz w:val="24"/>
        </w:rPr>
      </w:pPr>
      <w:r>
        <w:rPr>
          <w:rFonts w:hint="eastAsia" w:ascii="宋体" w:hAnsi="宋体" w:eastAsia="宋体" w:cs="宋体"/>
          <w:sz w:val="24"/>
        </w:rPr>
        <w:t>17.1投标人应以“包”为报价的基本单位。若整个需求分为若干包，则投标人可选择其中的部分或所有包报价。包内所有项目均应报价（免费赠送的除外），否则将导致投标无效。</w:t>
      </w:r>
    </w:p>
    <w:p>
      <w:pPr>
        <w:pStyle w:val="227"/>
        <w:keepNext w:val="0"/>
        <w:keepLines w:val="0"/>
        <w:pageBreakBefore w:val="0"/>
        <w:numPr>
          <w:ilvl w:val="0"/>
          <w:numId w:val="0"/>
        </w:numPr>
        <w:tabs>
          <w:tab w:val="left" w:pos="93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17.2投标人的报价应包含所投服务、保险、税费、包装、加工及加工损耗、运输、现场落地、安装及安装损耗、调试、检测验收和交付后约定期限内免费维保等工作所发生的一切应有费用。投标报价为签订合同的依据。供应商必须保证确保整体通过用户方及有关主管部门验收,所发生的验收费用由供应商承担；</w:t>
      </w:r>
    </w:p>
    <w:p>
      <w:pPr>
        <w:pStyle w:val="227"/>
        <w:keepNext w:val="0"/>
        <w:keepLines w:val="0"/>
        <w:pageBreakBefore w:val="0"/>
        <w:numPr>
          <w:ilvl w:val="0"/>
          <w:numId w:val="0"/>
        </w:numPr>
        <w:tabs>
          <w:tab w:val="left" w:pos="93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17.3投标人应在投标文件中注明拟提供服务的单价明细和总价。并在开标一览表最终投标报价处加盖公章。</w:t>
      </w:r>
    </w:p>
    <w:p>
      <w:pPr>
        <w:pStyle w:val="227"/>
        <w:keepNext w:val="0"/>
        <w:keepLines w:val="0"/>
        <w:pageBreakBefore w:val="0"/>
        <w:numPr>
          <w:ilvl w:val="0"/>
          <w:numId w:val="0"/>
        </w:numPr>
        <w:tabs>
          <w:tab w:val="left" w:pos="93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17.4除非招标文件另有规定，每一包只允许有一个最终报价，任何有选择的报价或替代方案将导致投标无效。</w:t>
      </w:r>
    </w:p>
    <w:p>
      <w:pPr>
        <w:spacing w:line="360" w:lineRule="auto"/>
        <w:ind w:firstLine="550"/>
        <w:rPr>
          <w:rFonts w:hint="eastAsia" w:ascii="宋体" w:hAnsi="宋体" w:eastAsia="宋体" w:cs="宋体"/>
          <w:sz w:val="24"/>
        </w:rPr>
      </w:pPr>
      <w:r>
        <w:rPr>
          <w:rFonts w:hint="eastAsia" w:ascii="宋体" w:hAnsi="宋体" w:eastAsia="宋体" w:cs="宋体"/>
          <w:sz w:val="24"/>
        </w:rPr>
        <w:t>17.5采购人不建议投标人采用总价优惠或以总价百分比优惠的方式进行投标报价，其优惠可直接计算并体现在各项投标报价的单价中。</w:t>
      </w:r>
    </w:p>
    <w:p>
      <w:pPr>
        <w:spacing w:line="360" w:lineRule="auto"/>
        <w:ind w:firstLine="550"/>
        <w:rPr>
          <w:rFonts w:hint="eastAsia" w:ascii="宋体" w:hAnsi="宋体" w:eastAsia="宋体" w:cs="宋体"/>
          <w:sz w:val="24"/>
        </w:rPr>
      </w:pPr>
      <w:r>
        <w:rPr>
          <w:rFonts w:hint="eastAsia" w:ascii="宋体" w:hAnsi="宋体" w:eastAsia="宋体" w:cs="宋体"/>
          <w:sz w:val="24"/>
        </w:rPr>
        <w:t>17.6除政策性文件规定以外，投标人所报价格在合同实施期间不因市场变化因素而变动。</w:t>
      </w:r>
    </w:p>
    <w:p>
      <w:pPr>
        <w:spacing w:line="360" w:lineRule="auto"/>
        <w:ind w:firstLine="549"/>
        <w:rPr>
          <w:rFonts w:hint="eastAsia" w:ascii="宋体" w:hAnsi="宋体" w:eastAsia="宋体" w:cs="宋体"/>
          <w:b/>
          <w:bCs/>
          <w:sz w:val="24"/>
        </w:rPr>
      </w:pPr>
      <w:r>
        <w:rPr>
          <w:rFonts w:hint="eastAsia" w:ascii="宋体" w:hAnsi="宋体" w:eastAsia="宋体" w:cs="宋体"/>
          <w:b/>
          <w:bCs/>
          <w:sz w:val="24"/>
        </w:rPr>
        <w:t>18.投标内容填写及说明</w:t>
      </w:r>
    </w:p>
    <w:p>
      <w:pPr>
        <w:spacing w:line="360" w:lineRule="auto"/>
        <w:ind w:firstLine="549"/>
        <w:rPr>
          <w:rFonts w:hint="eastAsia" w:ascii="宋体" w:hAnsi="宋体" w:eastAsia="宋体" w:cs="宋体"/>
          <w:sz w:val="24"/>
          <w:u w:val="single"/>
        </w:rPr>
      </w:pPr>
      <w:r>
        <w:rPr>
          <w:rFonts w:hint="eastAsia" w:ascii="宋体" w:hAnsi="宋体" w:eastAsia="宋体" w:cs="宋体"/>
          <w:sz w:val="24"/>
        </w:rPr>
        <w:t>18.1投标文件须</w:t>
      </w:r>
      <w:r>
        <w:rPr>
          <w:rFonts w:hint="eastAsia" w:ascii="宋体" w:hAnsi="宋体" w:eastAsia="宋体" w:cs="宋体"/>
          <w:sz w:val="24"/>
          <w:lang w:eastAsia="zh-CN"/>
        </w:rPr>
        <w:t>书面保证</w:t>
      </w:r>
      <w:r>
        <w:rPr>
          <w:rFonts w:hint="eastAsia" w:ascii="宋体" w:hAnsi="宋体" w:eastAsia="宋体" w:cs="宋体"/>
          <w:sz w:val="24"/>
        </w:rPr>
        <w:t>对招标文件载明的投标资格、技术、资信、服务、报价等全部要求和条件做出实质性和完整的响应，如果投标文件填报的内容资料不详，或没有提供招标文件中所要求的全部资料、证明及数据，将导致投标无效。</w:t>
      </w:r>
    </w:p>
    <w:p>
      <w:pPr>
        <w:spacing w:line="360" w:lineRule="auto"/>
        <w:ind w:firstLine="549"/>
        <w:rPr>
          <w:rFonts w:hint="eastAsia" w:ascii="宋体" w:hAnsi="宋体" w:eastAsia="宋体" w:cs="宋体"/>
          <w:sz w:val="24"/>
        </w:rPr>
      </w:pPr>
      <w:r>
        <w:rPr>
          <w:rFonts w:hint="eastAsia" w:ascii="宋体" w:hAnsi="宋体" w:eastAsia="宋体" w:cs="宋体"/>
          <w:sz w:val="24"/>
        </w:rPr>
        <w:t>18.2投标人应在投标文件中提交招标文件要求的有关证明文件（扫描或影印件上传），作为其投标文件的一部分。</w:t>
      </w:r>
    </w:p>
    <w:p>
      <w:pPr>
        <w:spacing w:line="360" w:lineRule="auto"/>
        <w:ind w:firstLine="549"/>
        <w:rPr>
          <w:rFonts w:hint="eastAsia" w:ascii="宋体" w:hAnsi="宋体" w:eastAsia="宋体" w:cs="宋体"/>
          <w:sz w:val="24"/>
        </w:rPr>
      </w:pPr>
      <w:r>
        <w:rPr>
          <w:rFonts w:hint="eastAsia" w:ascii="宋体" w:hAnsi="宋体" w:eastAsia="宋体" w:cs="宋体"/>
          <w:sz w:val="24"/>
        </w:rPr>
        <w:t>18.3投标人应在投标文件中提交（以扫描件或影印件上传）招标文件要求的所有服务的合格性以及符合招标文件规定的证明文件（可以是手册、图纸和资料）等，并作为其投标文件的一部分。包括：</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18.3.1服务主要性能（内容）的详细描述；</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18.3.2保证所投服务正常、安全、连续运行期间所需的所有备品、备件及专用工具的详细清单。</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18.4投标文件应编排有序、内容齐全、不得任意涂改或增删。如有错漏处必须修改，应在修改处加盖投标人电子公章。</w:t>
      </w:r>
    </w:p>
    <w:p>
      <w:pPr>
        <w:spacing w:line="360" w:lineRule="auto"/>
        <w:ind w:firstLine="549"/>
        <w:rPr>
          <w:rFonts w:hint="eastAsia" w:ascii="宋体" w:hAnsi="宋体" w:eastAsia="宋体" w:cs="宋体"/>
          <w:b/>
          <w:sz w:val="24"/>
        </w:rPr>
      </w:pPr>
      <w:r>
        <w:rPr>
          <w:rFonts w:hint="eastAsia" w:ascii="宋体" w:hAnsi="宋体" w:eastAsia="宋体" w:cs="宋体"/>
          <w:b/>
          <w:sz w:val="24"/>
        </w:rPr>
        <w:t>19.投标保证金（免收）</w:t>
      </w:r>
    </w:p>
    <w:p>
      <w:pPr>
        <w:spacing w:line="360" w:lineRule="auto"/>
        <w:ind w:firstLine="550"/>
        <w:rPr>
          <w:rFonts w:hint="eastAsia" w:ascii="宋体" w:hAnsi="宋体" w:eastAsia="宋体" w:cs="宋体"/>
          <w:b/>
          <w:sz w:val="24"/>
        </w:rPr>
      </w:pPr>
      <w:r>
        <w:rPr>
          <w:rFonts w:hint="eastAsia" w:ascii="宋体" w:hAnsi="宋体" w:eastAsia="宋体" w:cs="宋体"/>
          <w:b/>
          <w:sz w:val="24"/>
        </w:rPr>
        <w:t>20.投标有效期</w:t>
      </w:r>
    </w:p>
    <w:p>
      <w:pPr>
        <w:spacing w:line="360" w:lineRule="auto"/>
        <w:ind w:firstLine="550"/>
        <w:rPr>
          <w:rFonts w:hint="eastAsia" w:ascii="宋体" w:hAnsi="宋体" w:eastAsia="宋体" w:cs="宋体"/>
          <w:sz w:val="24"/>
        </w:rPr>
      </w:pPr>
      <w:r>
        <w:rPr>
          <w:rFonts w:hint="eastAsia" w:ascii="宋体" w:hAnsi="宋体" w:eastAsia="宋体" w:cs="宋体"/>
          <w:sz w:val="24"/>
        </w:rPr>
        <w:t>20.1为保证采购人有足够的时间完成评标和与中标人签订合同，规定投标有效期。投标有效期期限见投标人须知前附表。</w:t>
      </w:r>
    </w:p>
    <w:p>
      <w:pPr>
        <w:spacing w:line="360" w:lineRule="auto"/>
        <w:ind w:firstLine="550"/>
        <w:rPr>
          <w:rFonts w:hint="eastAsia" w:ascii="宋体" w:hAnsi="宋体" w:eastAsia="宋体" w:cs="宋体"/>
          <w:sz w:val="24"/>
        </w:rPr>
      </w:pPr>
      <w:r>
        <w:rPr>
          <w:rFonts w:hint="eastAsia" w:ascii="宋体" w:hAnsi="宋体" w:eastAsia="宋体" w:cs="宋体"/>
          <w:sz w:val="24"/>
        </w:rPr>
        <w:t>20.2在投标有效期内，投标人的投标保持有效，投标人不得要求撤销或修改其投标文件。</w:t>
      </w:r>
    </w:p>
    <w:p>
      <w:pPr>
        <w:spacing w:line="360" w:lineRule="auto"/>
        <w:ind w:firstLine="550"/>
        <w:rPr>
          <w:rFonts w:hint="eastAsia" w:ascii="宋体" w:hAnsi="宋体" w:eastAsia="宋体" w:cs="宋体"/>
          <w:sz w:val="24"/>
        </w:rPr>
      </w:pPr>
      <w:r>
        <w:rPr>
          <w:rFonts w:hint="eastAsia" w:ascii="宋体" w:hAnsi="宋体" w:eastAsia="宋体" w:cs="宋体"/>
          <w:sz w:val="24"/>
        </w:rPr>
        <w:t>20.3投标有效期从投标截止日起计算。</w:t>
      </w:r>
    </w:p>
    <w:p>
      <w:pPr>
        <w:spacing w:line="360" w:lineRule="auto"/>
        <w:ind w:firstLine="550"/>
        <w:rPr>
          <w:rFonts w:hint="eastAsia" w:ascii="宋体" w:hAnsi="宋体" w:eastAsia="宋体" w:cs="宋体"/>
          <w:sz w:val="24"/>
        </w:rPr>
      </w:pPr>
      <w:r>
        <w:rPr>
          <w:rFonts w:hint="eastAsia" w:ascii="宋体" w:hAnsi="宋体" w:eastAsia="宋体" w:cs="宋体"/>
          <w:sz w:val="24"/>
        </w:rPr>
        <w:t>20.4在原定投标有效期满之前，如果出现特殊情况，</w:t>
      </w:r>
      <w:r>
        <w:rPr>
          <w:rFonts w:hint="eastAsia" w:ascii="宋体" w:hAnsi="宋体" w:eastAsia="宋体" w:cs="宋体"/>
          <w:bCs/>
          <w:sz w:val="24"/>
        </w:rPr>
        <w:t>采购人</w:t>
      </w:r>
      <w:r>
        <w:rPr>
          <w:rFonts w:hint="eastAsia" w:ascii="宋体" w:hAnsi="宋体" w:eastAsia="宋体" w:cs="宋体"/>
          <w:sz w:val="24"/>
        </w:rPr>
        <w:t>可以书面形式提出延长投标有效期的要求。投标人以书面形式予以答复，投标人可以拒绝这种要求而不被没收投标保证金。同意延长投标有效期的投标人不允许修改其投标文件的实质性内容，且需要相应地延长投标保证金的有效期。</w:t>
      </w:r>
    </w:p>
    <w:p>
      <w:pPr>
        <w:spacing w:line="360" w:lineRule="auto"/>
        <w:ind w:firstLine="550"/>
        <w:rPr>
          <w:rFonts w:hint="eastAsia" w:ascii="宋体" w:hAnsi="宋体" w:eastAsia="宋体" w:cs="宋体"/>
          <w:b/>
          <w:sz w:val="24"/>
        </w:rPr>
      </w:pPr>
      <w:r>
        <w:rPr>
          <w:rFonts w:hint="eastAsia" w:ascii="宋体" w:hAnsi="宋体" w:eastAsia="宋体" w:cs="宋体"/>
          <w:b/>
          <w:sz w:val="24"/>
        </w:rPr>
        <w:t>21.投标文件份数和签署</w:t>
      </w:r>
    </w:p>
    <w:p>
      <w:pPr>
        <w:spacing w:line="360" w:lineRule="auto"/>
        <w:ind w:firstLine="550"/>
        <w:rPr>
          <w:rFonts w:hint="eastAsia" w:ascii="宋体" w:hAnsi="宋体" w:eastAsia="宋体" w:cs="宋体"/>
          <w:sz w:val="24"/>
        </w:rPr>
      </w:pPr>
      <w:r>
        <w:rPr>
          <w:rFonts w:hint="eastAsia" w:ascii="宋体" w:hAnsi="宋体" w:eastAsia="宋体" w:cs="宋体"/>
          <w:sz w:val="24"/>
        </w:rPr>
        <w:t>21.1 投标人应按照投标人须知前附表的要求准备投标文件。</w:t>
      </w:r>
    </w:p>
    <w:p>
      <w:pPr>
        <w:spacing w:line="360" w:lineRule="auto"/>
        <w:ind w:firstLine="550"/>
        <w:rPr>
          <w:rFonts w:hint="eastAsia" w:ascii="宋体" w:hAnsi="宋体" w:eastAsia="宋体" w:cs="宋体"/>
          <w:sz w:val="24"/>
        </w:rPr>
      </w:pPr>
      <w:r>
        <w:rPr>
          <w:rFonts w:hint="eastAsia" w:ascii="宋体" w:hAnsi="宋体" w:eastAsia="宋体" w:cs="宋体"/>
          <w:sz w:val="24"/>
        </w:rPr>
        <w:t>21.2投标文件均应依招标文件要求加盖投标人电子签章</w:t>
      </w:r>
      <w:r>
        <w:rPr>
          <w:rFonts w:hint="eastAsia" w:ascii="宋体" w:hAnsi="宋体" w:eastAsia="宋体" w:cs="宋体"/>
          <w:b/>
          <w:sz w:val="24"/>
        </w:rPr>
        <w:t>。</w:t>
      </w:r>
      <w:r>
        <w:rPr>
          <w:rFonts w:hint="eastAsia" w:ascii="宋体" w:hAnsi="宋体" w:eastAsia="宋体" w:cs="宋体"/>
          <w:sz w:val="24"/>
        </w:rPr>
        <w:t>投标文件需要加盖骑缝公章。</w:t>
      </w:r>
    </w:p>
    <w:p>
      <w:pPr>
        <w:spacing w:line="360" w:lineRule="auto"/>
        <w:ind w:firstLine="550"/>
        <w:rPr>
          <w:rFonts w:hint="eastAsia" w:ascii="宋体" w:hAnsi="宋体" w:eastAsia="宋体" w:cs="宋体"/>
          <w:b/>
          <w:sz w:val="24"/>
        </w:rPr>
      </w:pPr>
    </w:p>
    <w:p>
      <w:pPr>
        <w:pStyle w:val="4"/>
        <w:spacing w:line="360" w:lineRule="auto"/>
        <w:ind w:firstLine="2715" w:firstLineChars="966"/>
        <w:jc w:val="both"/>
        <w:rPr>
          <w:rFonts w:hint="eastAsia" w:ascii="宋体" w:hAnsi="宋体" w:eastAsia="宋体" w:cs="宋体"/>
          <w:sz w:val="28"/>
        </w:rPr>
      </w:pPr>
      <w:bookmarkStart w:id="109" w:name="_Hlt509650572"/>
      <w:bookmarkEnd w:id="109"/>
      <w:bookmarkStart w:id="110" w:name="_Toc40975445"/>
      <w:bookmarkStart w:id="111" w:name="_Toc3045"/>
      <w:bookmarkStart w:id="112" w:name="_Toc860"/>
      <w:bookmarkStart w:id="113" w:name="_Toc527725925"/>
      <w:bookmarkStart w:id="114" w:name="_Toc26995"/>
      <w:r>
        <w:rPr>
          <w:rFonts w:hint="eastAsia" w:ascii="宋体" w:hAnsi="宋体" w:eastAsia="宋体" w:cs="宋体"/>
          <w:sz w:val="28"/>
        </w:rPr>
        <w:t>四．投标文件的递交</w:t>
      </w:r>
      <w:bookmarkEnd w:id="110"/>
      <w:bookmarkEnd w:id="111"/>
      <w:bookmarkEnd w:id="112"/>
      <w:bookmarkEnd w:id="113"/>
      <w:bookmarkEnd w:id="114"/>
      <w:bookmarkStart w:id="115" w:name="_Hlt509649414"/>
      <w:bookmarkEnd w:id="115"/>
    </w:p>
    <w:p>
      <w:pPr>
        <w:spacing w:line="360" w:lineRule="auto"/>
        <w:ind w:firstLine="550"/>
        <w:rPr>
          <w:rFonts w:hint="eastAsia" w:ascii="宋体" w:hAnsi="宋体" w:eastAsia="宋体" w:cs="宋体"/>
          <w:b/>
          <w:sz w:val="24"/>
        </w:rPr>
      </w:pPr>
      <w:r>
        <w:rPr>
          <w:rFonts w:hint="eastAsia" w:ascii="宋体" w:hAnsi="宋体" w:eastAsia="宋体" w:cs="宋体"/>
          <w:b/>
          <w:sz w:val="24"/>
        </w:rPr>
        <w:t>22.投标文件的密封和标记</w:t>
      </w:r>
    </w:p>
    <w:p>
      <w:pPr>
        <w:spacing w:line="360" w:lineRule="auto"/>
        <w:ind w:firstLine="550"/>
        <w:rPr>
          <w:rFonts w:hint="eastAsia" w:ascii="宋体" w:hAnsi="宋体" w:eastAsia="宋体" w:cs="宋体"/>
          <w:sz w:val="24"/>
        </w:rPr>
      </w:pPr>
      <w:r>
        <w:rPr>
          <w:rFonts w:hint="eastAsia" w:ascii="宋体" w:hAnsi="宋体" w:eastAsia="宋体" w:cs="宋体"/>
          <w:sz w:val="24"/>
        </w:rPr>
        <w:t>加密的电子投标文件的递交</w:t>
      </w:r>
      <w:r>
        <w:rPr>
          <w:rFonts w:hint="eastAsia" w:ascii="宋体" w:hAnsi="宋体" w:eastAsia="宋体" w:cs="宋体"/>
          <w:color w:val="000000"/>
          <w:sz w:val="24"/>
          <w:lang w:eastAsia="zh-CN"/>
        </w:rPr>
        <w:t>，</w:t>
      </w:r>
      <w:r>
        <w:rPr>
          <w:rFonts w:hint="eastAsia" w:ascii="宋体" w:hAnsi="宋体" w:eastAsia="宋体" w:cs="宋体"/>
          <w:color w:val="000000"/>
          <w:sz w:val="24"/>
        </w:rPr>
        <w:t>见周口市公共资源交易中心</w:t>
      </w:r>
      <w:r>
        <w:rPr>
          <w:rFonts w:hint="eastAsia" w:ascii="宋体" w:hAnsi="宋体" w:eastAsia="宋体" w:cs="宋体"/>
          <w:color w:val="000000"/>
          <w:sz w:val="24"/>
          <w:lang w:val="en-US" w:eastAsia="zh-CN"/>
        </w:rPr>
        <w:t>网站下载中心版块</w:t>
      </w:r>
      <w:r>
        <w:rPr>
          <w:rFonts w:hint="eastAsia" w:ascii="宋体" w:hAnsi="宋体" w:eastAsia="宋体" w:cs="宋体"/>
          <w:color w:val="000000"/>
          <w:sz w:val="24"/>
        </w:rPr>
        <w:t>《投标单位-电子投标文件视频制作手册》的相关规定。</w:t>
      </w:r>
    </w:p>
    <w:p>
      <w:pPr>
        <w:spacing w:line="360" w:lineRule="auto"/>
        <w:ind w:firstLine="550"/>
        <w:rPr>
          <w:rFonts w:hint="eastAsia" w:ascii="宋体" w:hAnsi="宋体" w:eastAsia="宋体" w:cs="宋体"/>
          <w:b/>
          <w:sz w:val="24"/>
        </w:rPr>
      </w:pPr>
      <w:r>
        <w:rPr>
          <w:rFonts w:hint="eastAsia" w:ascii="宋体" w:hAnsi="宋体" w:eastAsia="宋体" w:cs="宋体"/>
          <w:b/>
          <w:sz w:val="24"/>
        </w:rPr>
        <w:t xml:space="preserve">23.投标文件的递交 </w:t>
      </w:r>
    </w:p>
    <w:p>
      <w:pPr>
        <w:spacing w:line="360" w:lineRule="auto"/>
        <w:ind w:firstLine="550"/>
        <w:rPr>
          <w:rFonts w:hint="eastAsia" w:ascii="宋体" w:hAnsi="宋体" w:eastAsia="宋体" w:cs="宋体"/>
          <w:sz w:val="24"/>
        </w:rPr>
      </w:pPr>
      <w:r>
        <w:rPr>
          <w:rFonts w:hint="eastAsia" w:ascii="宋体" w:hAnsi="宋体" w:eastAsia="宋体" w:cs="宋体"/>
          <w:sz w:val="24"/>
        </w:rPr>
        <w:t>23.1投标人应当在招标文件要求提交投标文件的截止时间前网上投标。</w:t>
      </w:r>
    </w:p>
    <w:p>
      <w:pPr>
        <w:spacing w:line="360" w:lineRule="auto"/>
        <w:ind w:firstLine="550"/>
        <w:rPr>
          <w:rFonts w:hint="eastAsia" w:ascii="宋体" w:hAnsi="宋体" w:eastAsia="宋体" w:cs="宋体"/>
          <w:sz w:val="24"/>
        </w:rPr>
      </w:pPr>
      <w:r>
        <w:rPr>
          <w:rFonts w:hint="eastAsia" w:ascii="宋体" w:hAnsi="宋体" w:eastAsia="宋体" w:cs="宋体"/>
          <w:sz w:val="24"/>
        </w:rPr>
        <w:t>23.2在招标文件要求提交投标文件的截止时间之后制作上传的投标文件为无效投标文件，</w:t>
      </w:r>
      <w:r>
        <w:rPr>
          <w:rFonts w:hint="eastAsia" w:ascii="宋体" w:hAnsi="宋体" w:eastAsia="宋体" w:cs="宋体"/>
          <w:bCs/>
          <w:sz w:val="24"/>
        </w:rPr>
        <w:t>采购人</w:t>
      </w:r>
      <w:r>
        <w:rPr>
          <w:rFonts w:hint="eastAsia" w:ascii="宋体" w:hAnsi="宋体" w:eastAsia="宋体" w:cs="宋体"/>
          <w:sz w:val="24"/>
        </w:rPr>
        <w:t>将拒绝接收。</w:t>
      </w:r>
    </w:p>
    <w:p>
      <w:pPr>
        <w:spacing w:line="360" w:lineRule="auto"/>
        <w:ind w:firstLine="550"/>
        <w:rPr>
          <w:rFonts w:hint="eastAsia" w:ascii="宋体" w:hAnsi="宋体" w:eastAsia="宋体" w:cs="宋体"/>
          <w:b/>
          <w:sz w:val="24"/>
        </w:rPr>
      </w:pPr>
      <w:r>
        <w:rPr>
          <w:rFonts w:hint="eastAsia" w:ascii="宋体" w:hAnsi="宋体" w:eastAsia="宋体" w:cs="宋体"/>
          <w:b/>
          <w:sz w:val="24"/>
        </w:rPr>
        <w:t>24.投标文件的修改和撤回</w:t>
      </w:r>
    </w:p>
    <w:p>
      <w:pPr>
        <w:spacing w:line="360" w:lineRule="auto"/>
        <w:ind w:firstLine="550"/>
        <w:rPr>
          <w:rFonts w:hint="eastAsia" w:ascii="宋体" w:hAnsi="宋体" w:eastAsia="宋体" w:cs="宋体"/>
          <w:sz w:val="24"/>
        </w:rPr>
      </w:pPr>
      <w:r>
        <w:rPr>
          <w:rFonts w:hint="eastAsia" w:ascii="宋体" w:hAnsi="宋体" w:eastAsia="宋体" w:cs="宋体"/>
          <w:sz w:val="24"/>
        </w:rPr>
        <w:t>投标截止日期前，投标人可以修改或撤回其投标文件；在投标截止时间后，投标人不得再要求修改或撤回其投标文件。</w:t>
      </w:r>
    </w:p>
    <w:p>
      <w:pPr>
        <w:pStyle w:val="4"/>
        <w:spacing w:line="360" w:lineRule="auto"/>
        <w:ind w:firstLine="2996" w:firstLineChars="1066"/>
        <w:jc w:val="both"/>
        <w:rPr>
          <w:rFonts w:hint="eastAsia" w:ascii="宋体" w:hAnsi="宋体" w:eastAsia="宋体" w:cs="宋体"/>
          <w:sz w:val="28"/>
        </w:rPr>
      </w:pPr>
      <w:bookmarkStart w:id="116" w:name="_Hlt509649294"/>
      <w:bookmarkEnd w:id="116"/>
      <w:bookmarkStart w:id="117" w:name="_Toc527725926"/>
      <w:bookmarkStart w:id="118" w:name="_Toc5128"/>
      <w:bookmarkStart w:id="119" w:name="_Toc40975446"/>
      <w:bookmarkStart w:id="120" w:name="_Toc11404"/>
      <w:bookmarkStart w:id="121" w:name="_Toc21729"/>
      <w:r>
        <w:rPr>
          <w:rFonts w:hint="eastAsia" w:ascii="宋体" w:hAnsi="宋体" w:eastAsia="宋体" w:cs="宋体"/>
          <w:sz w:val="28"/>
        </w:rPr>
        <w:t>五．开标与评标</w:t>
      </w:r>
      <w:bookmarkEnd w:id="117"/>
      <w:bookmarkEnd w:id="118"/>
      <w:bookmarkEnd w:id="119"/>
      <w:bookmarkEnd w:id="120"/>
      <w:bookmarkEnd w:id="121"/>
    </w:p>
    <w:p>
      <w:pPr>
        <w:snapToGrid w:val="0"/>
        <w:spacing w:line="300" w:lineRule="auto"/>
        <w:ind w:firstLine="550"/>
        <w:rPr>
          <w:rFonts w:hint="eastAsia" w:ascii="宋体" w:hAnsi="宋体" w:eastAsia="宋体" w:cs="宋体"/>
          <w:b/>
          <w:sz w:val="24"/>
          <w:szCs w:val="24"/>
        </w:rPr>
      </w:pPr>
      <w:r>
        <w:rPr>
          <w:rFonts w:hint="eastAsia" w:ascii="宋体" w:hAnsi="宋体" w:eastAsia="宋体" w:cs="宋体"/>
          <w:b/>
          <w:sz w:val="24"/>
          <w:szCs w:val="24"/>
        </w:rPr>
        <w:t>25.开标</w:t>
      </w:r>
    </w:p>
    <w:p>
      <w:pPr>
        <w:spacing w:line="360" w:lineRule="auto"/>
        <w:ind w:firstLine="549"/>
        <w:rPr>
          <w:rFonts w:hint="eastAsia" w:ascii="宋体" w:hAnsi="宋体" w:eastAsia="宋体" w:cs="宋体"/>
          <w:bCs/>
          <w:sz w:val="24"/>
        </w:rPr>
      </w:pPr>
      <w:r>
        <w:rPr>
          <w:rFonts w:hint="eastAsia" w:ascii="宋体" w:hAnsi="宋体" w:eastAsia="宋体" w:cs="宋体"/>
          <w:bCs/>
          <w:sz w:val="24"/>
        </w:rPr>
        <w:t>25.1本项目实行网上远程开标无须到现场提交投标文件。投标文件提交及解密详见周口市公共资源交易中心网</w:t>
      </w:r>
      <w:r>
        <w:rPr>
          <w:rFonts w:hint="eastAsia" w:hAnsi="宋体" w:eastAsia="宋体" w:cs="宋体"/>
          <w:sz w:val="24"/>
          <w:szCs w:val="24"/>
          <w:lang w:val="en-US" w:eastAsia="zh-CN"/>
        </w:rPr>
        <w:t>办事指南</w:t>
      </w:r>
      <w:r>
        <w:rPr>
          <w:rFonts w:hint="eastAsia" w:ascii="宋体" w:hAnsi="宋体" w:eastAsia="宋体" w:cs="宋体"/>
          <w:bCs/>
          <w:sz w:val="24"/>
          <w:lang w:val="en-US" w:eastAsia="zh-CN"/>
        </w:rPr>
        <w:t>《</w:t>
      </w:r>
      <w:r>
        <w:rPr>
          <w:rFonts w:hint="eastAsia" w:ascii="宋体" w:hAnsi="宋体" w:eastAsia="宋体" w:cs="宋体"/>
          <w:bCs/>
          <w:sz w:val="24"/>
        </w:rPr>
        <w:t>不见面开标远程在线解密会员端操作手册操作指南</w:t>
      </w:r>
      <w:r>
        <w:rPr>
          <w:rFonts w:hint="eastAsia" w:ascii="宋体" w:hAnsi="宋体" w:eastAsia="宋体" w:cs="宋体"/>
          <w:bCs/>
          <w:sz w:val="24"/>
          <w:lang w:val="en-US" w:eastAsia="zh-CN"/>
        </w:rPr>
        <w:t>》</w:t>
      </w:r>
      <w:r>
        <w:rPr>
          <w:rFonts w:hint="eastAsia" w:ascii="宋体" w:hAnsi="宋体" w:eastAsia="宋体" w:cs="宋体"/>
          <w:bCs/>
          <w:sz w:val="24"/>
        </w:rPr>
        <w:t>。</w:t>
      </w:r>
    </w:p>
    <w:p>
      <w:pPr>
        <w:spacing w:line="360" w:lineRule="auto"/>
        <w:ind w:firstLine="549"/>
        <w:jc w:val="left"/>
        <w:rPr>
          <w:rFonts w:hint="eastAsia" w:ascii="宋体" w:hAnsi="宋体" w:eastAsia="宋体" w:cs="宋体"/>
          <w:bCs/>
          <w:sz w:val="24"/>
        </w:rPr>
      </w:pPr>
      <w:r>
        <w:rPr>
          <w:rFonts w:hint="eastAsia" w:ascii="宋体" w:hAnsi="宋体" w:eastAsia="宋体" w:cs="宋体"/>
          <w:bCs/>
          <w:sz w:val="24"/>
        </w:rPr>
        <w:t>25.2开标时，各投标单位应在规定时间内对本单位的投标文件现场解密。在解密投标文件开始时30分钟内进行解密，超时视为放弃递交投标文件。</w:t>
      </w:r>
    </w:p>
    <w:p>
      <w:pPr>
        <w:spacing w:line="360" w:lineRule="auto"/>
        <w:ind w:firstLine="549"/>
        <w:rPr>
          <w:rFonts w:hint="eastAsia" w:ascii="宋体" w:hAnsi="宋体" w:eastAsia="宋体" w:cs="宋体"/>
          <w:bCs/>
          <w:sz w:val="24"/>
        </w:rPr>
      </w:pPr>
      <w:r>
        <w:rPr>
          <w:rFonts w:hint="eastAsia" w:ascii="宋体" w:hAnsi="宋体" w:eastAsia="宋体" w:cs="宋体"/>
          <w:bCs/>
          <w:sz w:val="24"/>
        </w:rPr>
        <w:t>25.3投标资格及投标文件的法律文本将由评审委员会在评标前进行审查。资格不符合招标文件要求和相关法律规定的，投标无效。</w:t>
      </w:r>
    </w:p>
    <w:p>
      <w:pPr>
        <w:spacing w:line="360" w:lineRule="auto"/>
        <w:ind w:firstLine="549"/>
        <w:rPr>
          <w:rFonts w:hint="eastAsia" w:ascii="宋体" w:hAnsi="宋体" w:eastAsia="宋体" w:cs="宋体"/>
          <w:bCs/>
          <w:sz w:val="24"/>
        </w:rPr>
      </w:pPr>
      <w:r>
        <w:rPr>
          <w:rFonts w:hint="eastAsia" w:ascii="宋体" w:hAnsi="宋体" w:eastAsia="宋体" w:cs="宋体"/>
          <w:bCs/>
          <w:sz w:val="24"/>
        </w:rPr>
        <w:t>25.4开标时，周口市公共资源交易中心政府采购中心将通过网上开标系统公布投标人名称、投标价格，以及周口市公共资源交易中心政府采购中心认为合适的其它详细内容。</w:t>
      </w:r>
    </w:p>
    <w:p>
      <w:pPr>
        <w:spacing w:line="360" w:lineRule="auto"/>
        <w:ind w:firstLine="549"/>
        <w:rPr>
          <w:rFonts w:hint="eastAsia" w:ascii="宋体" w:hAnsi="宋体" w:eastAsia="宋体" w:cs="宋体"/>
          <w:bCs/>
          <w:sz w:val="24"/>
        </w:rPr>
      </w:pPr>
      <w:r>
        <w:rPr>
          <w:rFonts w:hint="eastAsia" w:ascii="宋体" w:hAnsi="宋体" w:eastAsia="宋体" w:cs="宋体"/>
          <w:bCs/>
          <w:sz w:val="24"/>
        </w:rPr>
        <w:t>25.5在评审结束前，未得到周口市公共资源交易中心政府采购中心允许，投标人授权代表不得离开开标现场。</w:t>
      </w:r>
    </w:p>
    <w:p>
      <w:pPr>
        <w:spacing w:line="360" w:lineRule="auto"/>
        <w:ind w:firstLine="549"/>
        <w:rPr>
          <w:rFonts w:hint="eastAsia" w:ascii="宋体" w:hAnsi="宋体" w:eastAsia="宋体" w:cs="宋体"/>
          <w:b/>
          <w:sz w:val="24"/>
        </w:rPr>
      </w:pPr>
      <w:r>
        <w:rPr>
          <w:rFonts w:hint="eastAsia" w:ascii="宋体" w:hAnsi="宋体" w:eastAsia="宋体" w:cs="宋体"/>
          <w:b/>
          <w:sz w:val="24"/>
        </w:rPr>
        <w:t>26.投标文件的澄清、说明或补正</w:t>
      </w:r>
    </w:p>
    <w:p>
      <w:pPr>
        <w:spacing w:line="360" w:lineRule="auto"/>
        <w:ind w:firstLine="549"/>
        <w:rPr>
          <w:rFonts w:hint="eastAsia" w:ascii="宋体" w:hAnsi="宋体" w:eastAsia="宋体" w:cs="宋体"/>
          <w:bCs/>
          <w:sz w:val="24"/>
        </w:rPr>
      </w:pPr>
      <w:r>
        <w:rPr>
          <w:rFonts w:hint="eastAsia" w:ascii="宋体" w:hAnsi="宋体" w:eastAsia="宋体" w:cs="宋体"/>
          <w:bCs/>
          <w:sz w:val="24"/>
        </w:rPr>
        <w:t>26.1为有助于投标的审查、评价和比较，评标委员会可以书面方式要求投标人对投标文件中含义不明确、对同类问题表述不一致或者有明显文字和计算错误的内容作必要的澄清、说明或补正。澄清、说明或补正不得超出投标文件的范围或改变投标文件的实质性内容。</w:t>
      </w:r>
    </w:p>
    <w:p>
      <w:pPr>
        <w:spacing w:line="360" w:lineRule="auto"/>
        <w:ind w:firstLine="549"/>
        <w:rPr>
          <w:rFonts w:hint="eastAsia" w:ascii="宋体" w:hAnsi="宋体" w:eastAsia="宋体" w:cs="宋体"/>
          <w:sz w:val="24"/>
        </w:rPr>
      </w:pPr>
      <w:r>
        <w:rPr>
          <w:rFonts w:hint="eastAsia" w:ascii="宋体" w:hAnsi="宋体" w:eastAsia="宋体" w:cs="宋体"/>
          <w:sz w:val="24"/>
        </w:rPr>
        <w:t>26.2投标文件中大写金额和小写金额不一致的，以大写金额为准；总价金额与按单价汇总金额不一致的，以单价金额计算结果为准；单价金额小数点有明显错位的，应以总价为准，并修改单价。</w:t>
      </w:r>
    </w:p>
    <w:p>
      <w:pPr>
        <w:spacing w:line="360" w:lineRule="auto"/>
        <w:ind w:firstLine="549"/>
        <w:rPr>
          <w:rFonts w:hint="eastAsia" w:ascii="宋体" w:hAnsi="宋体" w:eastAsia="宋体" w:cs="宋体"/>
          <w:bCs/>
          <w:sz w:val="24"/>
        </w:rPr>
      </w:pPr>
      <w:r>
        <w:rPr>
          <w:rFonts w:hint="eastAsia" w:ascii="宋体" w:hAnsi="宋体" w:eastAsia="宋体" w:cs="宋体"/>
          <w:sz w:val="24"/>
        </w:rPr>
        <w:t>26.3</w:t>
      </w:r>
      <w:r>
        <w:rPr>
          <w:rFonts w:hint="eastAsia" w:ascii="宋体" w:hAnsi="宋体" w:eastAsia="宋体" w:cs="宋体"/>
          <w:bCs/>
          <w:sz w:val="24"/>
        </w:rPr>
        <w:t>开标一览表内容与投标文件中明细表内容不一致的，以开标一览表为准。</w:t>
      </w:r>
    </w:p>
    <w:p>
      <w:pPr>
        <w:spacing w:line="360" w:lineRule="auto"/>
        <w:ind w:firstLine="549"/>
        <w:rPr>
          <w:rFonts w:hint="eastAsia" w:ascii="宋体" w:hAnsi="宋体" w:eastAsia="宋体" w:cs="宋体"/>
          <w:bCs/>
          <w:sz w:val="24"/>
        </w:rPr>
      </w:pPr>
      <w:r>
        <w:rPr>
          <w:rFonts w:hint="eastAsia" w:ascii="宋体" w:hAnsi="宋体" w:eastAsia="宋体" w:cs="宋体"/>
          <w:bCs/>
          <w:sz w:val="24"/>
        </w:rPr>
        <w:t>26.4 如同时出现26.2条和26.3条所述的不一致情况，以开标一览表为准。</w:t>
      </w:r>
    </w:p>
    <w:p>
      <w:pPr>
        <w:spacing w:line="360" w:lineRule="auto"/>
        <w:ind w:firstLine="549"/>
        <w:rPr>
          <w:rFonts w:hint="eastAsia"/>
        </w:rPr>
      </w:pPr>
      <w:r>
        <w:rPr>
          <w:rFonts w:hint="eastAsia" w:ascii="宋体" w:hAnsi="宋体" w:eastAsia="宋体" w:cs="宋体"/>
          <w:b w:val="0"/>
          <w:bCs w:val="0"/>
          <w:color w:val="auto"/>
          <w:sz w:val="24"/>
          <w:lang w:val="en-US" w:eastAsia="zh-CN"/>
        </w:rPr>
        <w:t>26.5供应商应仔细阅读招标文件的所有内容，如果有异议在规定时间内提出，没有异议须做出“无异议”承诺书，承诺书作为响应文件的组成部分，否则为无效响应文件。</w:t>
      </w:r>
    </w:p>
    <w:p>
      <w:pPr>
        <w:spacing w:line="360" w:lineRule="auto"/>
        <w:ind w:firstLine="549"/>
        <w:rPr>
          <w:rFonts w:hint="eastAsia" w:ascii="宋体" w:hAnsi="宋体" w:eastAsia="宋体" w:cs="宋体"/>
          <w:bCs/>
          <w:sz w:val="24"/>
        </w:rPr>
      </w:pPr>
    </w:p>
    <w:p>
      <w:pPr>
        <w:spacing w:line="360" w:lineRule="auto"/>
        <w:ind w:firstLine="549"/>
        <w:rPr>
          <w:rFonts w:hint="eastAsia" w:ascii="宋体" w:hAnsi="宋体" w:eastAsia="宋体" w:cs="宋体"/>
          <w:b/>
          <w:sz w:val="24"/>
        </w:rPr>
      </w:pPr>
      <w:r>
        <w:rPr>
          <w:rFonts w:hint="eastAsia" w:ascii="宋体" w:hAnsi="宋体" w:eastAsia="宋体" w:cs="宋体"/>
          <w:b/>
          <w:sz w:val="24"/>
        </w:rPr>
        <w:t>27.评标</w:t>
      </w:r>
    </w:p>
    <w:p>
      <w:pPr>
        <w:spacing w:line="360" w:lineRule="auto"/>
        <w:ind w:firstLine="523" w:firstLineChars="218"/>
        <w:rPr>
          <w:rFonts w:hint="eastAsia" w:ascii="宋体" w:hAnsi="宋体" w:eastAsia="宋体" w:cs="宋体"/>
          <w:b/>
          <w:sz w:val="24"/>
        </w:rPr>
      </w:pPr>
      <w:r>
        <w:rPr>
          <w:rFonts w:hint="eastAsia" w:ascii="宋体" w:hAnsi="宋体" w:eastAsia="宋体" w:cs="宋体"/>
          <w:sz w:val="24"/>
        </w:rPr>
        <w:t>27.1 评委会将按照招标文件规定的评标办法对投标人独立进行投标评审。投标评审分为符合性审查和综合评分。</w:t>
      </w:r>
    </w:p>
    <w:p>
      <w:pPr>
        <w:spacing w:line="360" w:lineRule="auto"/>
        <w:ind w:firstLine="549"/>
        <w:rPr>
          <w:rFonts w:hint="eastAsia" w:ascii="宋体" w:hAnsi="宋体" w:eastAsia="宋体" w:cs="宋体"/>
          <w:sz w:val="24"/>
        </w:rPr>
      </w:pPr>
      <w:r>
        <w:rPr>
          <w:rFonts w:hint="eastAsia" w:ascii="宋体" w:hAnsi="宋体" w:eastAsia="宋体" w:cs="宋体"/>
          <w:sz w:val="24"/>
        </w:rPr>
        <w:t>27.2符合性审查时，评委会将首先审查投标文件是否实质上响应招标文件的各项指标要求。实质上响应的投标应与招标文件的全部条款、条件和规格相符，没有重大偏离或保留。所谓重大偏离或保留是指影响合同的供货范围、质量和性能等；或者在实质上与招标文件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pPr>
        <w:spacing w:line="360" w:lineRule="auto"/>
        <w:ind w:firstLine="549"/>
        <w:rPr>
          <w:rFonts w:hint="eastAsia" w:ascii="宋体" w:hAnsi="宋体" w:eastAsia="宋体" w:cs="宋体"/>
          <w:sz w:val="24"/>
        </w:rPr>
      </w:pPr>
      <w:r>
        <w:rPr>
          <w:rFonts w:hint="eastAsia" w:ascii="宋体" w:hAnsi="宋体" w:eastAsia="宋体" w:cs="宋体"/>
          <w:sz w:val="24"/>
        </w:rPr>
        <w:t>有下列情形之一的，评标委员会应当否决其投标：</w:t>
      </w:r>
    </w:p>
    <w:p>
      <w:pPr>
        <w:spacing w:line="360" w:lineRule="auto"/>
        <w:ind w:firstLine="549"/>
        <w:rPr>
          <w:rFonts w:hint="eastAsia" w:ascii="宋体" w:hAnsi="宋体" w:eastAsia="宋体" w:cs="宋体"/>
          <w:sz w:val="24"/>
        </w:rPr>
      </w:pPr>
      <w:r>
        <w:rPr>
          <w:rFonts w:hint="eastAsia" w:ascii="宋体" w:hAnsi="宋体" w:eastAsia="宋体" w:cs="宋体"/>
          <w:sz w:val="24"/>
        </w:rPr>
        <w:t>27.2.1投标文件未经投标单位电子签章的；</w:t>
      </w:r>
    </w:p>
    <w:p>
      <w:pPr>
        <w:spacing w:line="360" w:lineRule="auto"/>
        <w:ind w:firstLine="549"/>
        <w:rPr>
          <w:rFonts w:hint="eastAsia" w:ascii="宋体" w:hAnsi="宋体" w:eastAsia="宋体" w:cs="宋体"/>
          <w:sz w:val="24"/>
        </w:rPr>
      </w:pPr>
      <w:r>
        <w:rPr>
          <w:rFonts w:hint="eastAsia" w:ascii="宋体" w:hAnsi="宋体" w:eastAsia="宋体" w:cs="宋体"/>
          <w:sz w:val="24"/>
        </w:rPr>
        <w:t>27.2.2投标联合体没有提交共同投标协议；</w:t>
      </w:r>
    </w:p>
    <w:p>
      <w:pPr>
        <w:spacing w:line="360" w:lineRule="auto"/>
        <w:ind w:firstLine="549"/>
        <w:rPr>
          <w:rFonts w:hint="eastAsia" w:ascii="宋体" w:hAnsi="宋体" w:eastAsia="宋体" w:cs="宋体"/>
          <w:sz w:val="24"/>
        </w:rPr>
      </w:pPr>
      <w:r>
        <w:rPr>
          <w:rFonts w:hint="eastAsia" w:ascii="宋体" w:hAnsi="宋体" w:eastAsia="宋体" w:cs="宋体"/>
          <w:sz w:val="24"/>
        </w:rPr>
        <w:t>27.2.3投标人不符合国家或者招标文件规定的资格条件；</w:t>
      </w:r>
    </w:p>
    <w:p>
      <w:pPr>
        <w:spacing w:line="360" w:lineRule="auto"/>
        <w:ind w:firstLine="549"/>
        <w:rPr>
          <w:rFonts w:hint="eastAsia" w:ascii="宋体" w:hAnsi="宋体" w:eastAsia="宋体" w:cs="宋体"/>
          <w:sz w:val="24"/>
        </w:rPr>
      </w:pPr>
      <w:r>
        <w:rPr>
          <w:rFonts w:hint="eastAsia" w:ascii="宋体" w:hAnsi="宋体" w:eastAsia="宋体" w:cs="宋体"/>
          <w:sz w:val="24"/>
        </w:rPr>
        <w:t>27.2.4同一投标人提交两个以上不同的投标文件或者投标报价，但招标文件要求提交备选投标的除外；</w:t>
      </w:r>
    </w:p>
    <w:p>
      <w:pPr>
        <w:spacing w:line="360" w:lineRule="auto"/>
        <w:ind w:firstLine="549"/>
        <w:rPr>
          <w:rFonts w:hint="eastAsia" w:ascii="宋体" w:hAnsi="宋体" w:eastAsia="宋体" w:cs="宋体"/>
          <w:sz w:val="24"/>
        </w:rPr>
      </w:pPr>
      <w:r>
        <w:rPr>
          <w:rFonts w:hint="eastAsia" w:ascii="宋体" w:hAnsi="宋体" w:eastAsia="宋体" w:cs="宋体"/>
          <w:sz w:val="24"/>
        </w:rPr>
        <w:t>27.2.5投标报价或者某些分项报价明显不合理或者低于成本，有可能影响商品质量和不能诚信履约；</w:t>
      </w:r>
    </w:p>
    <w:p>
      <w:pPr>
        <w:spacing w:line="360" w:lineRule="auto"/>
        <w:ind w:firstLine="549"/>
        <w:rPr>
          <w:rFonts w:hint="eastAsia" w:ascii="宋体" w:hAnsi="宋体" w:eastAsia="宋体" w:cs="宋体"/>
          <w:sz w:val="24"/>
        </w:rPr>
      </w:pPr>
      <w:r>
        <w:rPr>
          <w:rFonts w:hint="eastAsia" w:ascii="宋体" w:hAnsi="宋体" w:eastAsia="宋体" w:cs="宋体"/>
          <w:sz w:val="24"/>
        </w:rPr>
        <w:t>27.2.6投标报价高于招标文件设定的最高投标限价；</w:t>
      </w:r>
    </w:p>
    <w:p>
      <w:pPr>
        <w:spacing w:line="360" w:lineRule="auto"/>
        <w:ind w:firstLine="549"/>
        <w:rPr>
          <w:rFonts w:hint="eastAsia" w:ascii="宋体" w:hAnsi="宋体" w:eastAsia="宋体" w:cs="宋体"/>
          <w:sz w:val="24"/>
        </w:rPr>
      </w:pPr>
      <w:r>
        <w:rPr>
          <w:rFonts w:hint="eastAsia" w:ascii="宋体" w:hAnsi="宋体" w:eastAsia="宋体" w:cs="宋体"/>
          <w:sz w:val="24"/>
        </w:rPr>
        <w:t>27.2.7投标文件没有对招标文件的实质性要求和条件作出响应；</w:t>
      </w:r>
    </w:p>
    <w:p>
      <w:pPr>
        <w:spacing w:line="360" w:lineRule="auto"/>
        <w:ind w:firstLine="549"/>
        <w:rPr>
          <w:rFonts w:hint="eastAsia" w:ascii="宋体" w:hAnsi="宋体" w:eastAsia="宋体" w:cs="宋体"/>
          <w:sz w:val="24"/>
        </w:rPr>
      </w:pPr>
      <w:r>
        <w:rPr>
          <w:rFonts w:hint="eastAsia" w:ascii="宋体" w:hAnsi="宋体" w:eastAsia="宋体" w:cs="宋体"/>
          <w:sz w:val="24"/>
        </w:rPr>
        <w:t>27.2.8投标人有串通投标、弄虚作假、行贿等违法行为；</w:t>
      </w:r>
    </w:p>
    <w:p>
      <w:pPr>
        <w:spacing w:line="360" w:lineRule="auto"/>
        <w:ind w:firstLine="549"/>
        <w:rPr>
          <w:rFonts w:hint="eastAsia" w:ascii="宋体" w:hAnsi="宋体" w:eastAsia="宋体" w:cs="宋体"/>
          <w:sz w:val="24"/>
        </w:rPr>
      </w:pPr>
      <w:r>
        <w:rPr>
          <w:rFonts w:hint="eastAsia" w:ascii="宋体" w:hAnsi="宋体" w:eastAsia="宋体" w:cs="宋体"/>
          <w:sz w:val="24"/>
        </w:rPr>
        <w:t>27.2.8 不同投标人在同一台计算机上制作投标文件的；</w:t>
      </w:r>
    </w:p>
    <w:p>
      <w:pPr>
        <w:spacing w:line="360" w:lineRule="auto"/>
        <w:ind w:firstLine="549"/>
        <w:rPr>
          <w:rFonts w:hint="eastAsia" w:ascii="宋体" w:hAnsi="宋体" w:eastAsia="宋体" w:cs="宋体"/>
          <w:sz w:val="24"/>
        </w:rPr>
      </w:pPr>
      <w:r>
        <w:rPr>
          <w:rFonts w:hint="eastAsia" w:ascii="宋体" w:hAnsi="宋体" w:eastAsia="宋体" w:cs="宋体"/>
          <w:sz w:val="24"/>
        </w:rPr>
        <w:t>27.3如果投标文件未通过投标符合性审查，投标无效。</w:t>
      </w:r>
    </w:p>
    <w:p>
      <w:pPr>
        <w:pageBreakBefore w:val="0"/>
        <w:kinsoku/>
        <w:wordWrap/>
        <w:overflowPunct/>
        <w:topLinePunct w:val="0"/>
        <w:autoSpaceDE/>
        <w:autoSpaceDN/>
        <w:bidi w:val="0"/>
        <w:spacing w:line="460" w:lineRule="exact"/>
        <w:ind w:firstLine="549"/>
        <w:textAlignment w:val="auto"/>
        <w:rPr>
          <w:rFonts w:hint="eastAsia" w:ascii="宋体" w:hAnsi="宋体" w:eastAsia="宋体" w:cs="宋体"/>
          <w:sz w:val="24"/>
        </w:rPr>
      </w:pPr>
      <w:r>
        <w:rPr>
          <w:rFonts w:hint="eastAsia" w:ascii="宋体" w:hAnsi="宋体" w:eastAsia="宋体" w:cs="宋体"/>
          <w:sz w:val="24"/>
        </w:rPr>
        <w:t>27.4评委会决定投标文件的响应性及符合性只根据投标文件本身的内容，不寻求其他外部证据。</w:t>
      </w:r>
    </w:p>
    <w:p>
      <w:pPr>
        <w:pageBreakBefore w:val="0"/>
        <w:kinsoku/>
        <w:wordWrap/>
        <w:overflowPunct/>
        <w:topLinePunct w:val="0"/>
        <w:autoSpaceDE/>
        <w:autoSpaceDN/>
        <w:bidi w:val="0"/>
        <w:spacing w:line="460" w:lineRule="exact"/>
        <w:ind w:firstLine="549"/>
        <w:textAlignment w:val="auto"/>
        <w:rPr>
          <w:rFonts w:hint="eastAsia" w:ascii="宋体" w:hAnsi="宋体" w:eastAsia="宋体" w:cs="宋体"/>
          <w:color w:val="auto"/>
          <w:sz w:val="24"/>
          <w:lang w:eastAsia="zh-CN"/>
        </w:rPr>
      </w:pPr>
      <w:r>
        <w:rPr>
          <w:rFonts w:hint="eastAsia" w:ascii="宋体" w:hAnsi="宋体" w:eastAsia="宋体" w:cs="宋体"/>
          <w:color w:val="auto"/>
          <w:sz w:val="24"/>
        </w:rPr>
        <w:t>27.5</w:t>
      </w:r>
      <w:r>
        <w:rPr>
          <w:rFonts w:hint="eastAsia" w:ascii="宋体" w:hAnsi="宋体" w:eastAsia="宋体" w:cs="宋体"/>
          <w:color w:val="auto"/>
          <w:sz w:val="24"/>
          <w:lang w:eastAsia="zh-CN"/>
        </w:rPr>
        <w:t>投</w:t>
      </w:r>
      <w:r>
        <w:rPr>
          <w:rFonts w:hint="eastAsia" w:ascii="宋体" w:hAnsi="宋体" w:eastAsia="宋体" w:cs="宋体"/>
          <w:color w:val="auto"/>
          <w:sz w:val="24"/>
        </w:rPr>
        <w:t>标文件中供应商代表未在</w:t>
      </w:r>
      <w:r>
        <w:rPr>
          <w:rFonts w:hint="eastAsia" w:ascii="宋体" w:hAnsi="宋体" w:eastAsia="宋体" w:cs="宋体"/>
          <w:sz w:val="24"/>
        </w:rPr>
        <w:t>身份证正面签字和盖章的</w:t>
      </w:r>
      <w:r>
        <w:rPr>
          <w:rFonts w:hint="eastAsia" w:ascii="宋体" w:hAnsi="宋体" w:eastAsia="宋体" w:cs="宋体"/>
          <w:sz w:val="24"/>
          <w:lang w:eastAsia="zh-CN"/>
        </w:rPr>
        <w:t>；</w:t>
      </w:r>
    </w:p>
    <w:p>
      <w:pPr>
        <w:spacing w:line="360" w:lineRule="auto"/>
        <w:ind w:firstLine="549"/>
        <w:rPr>
          <w:rFonts w:hint="eastAsia" w:ascii="宋体" w:hAnsi="宋体" w:eastAsia="宋体" w:cs="宋体"/>
          <w:sz w:val="24"/>
        </w:rPr>
      </w:pPr>
    </w:p>
    <w:p>
      <w:pPr>
        <w:spacing w:line="360" w:lineRule="auto"/>
        <w:ind w:firstLine="549"/>
        <w:rPr>
          <w:rFonts w:hint="eastAsia" w:ascii="宋体" w:hAnsi="宋体" w:eastAsia="宋体" w:cs="宋体"/>
          <w:b/>
          <w:bCs/>
          <w:sz w:val="24"/>
        </w:rPr>
      </w:pPr>
      <w:r>
        <w:rPr>
          <w:rFonts w:hint="eastAsia" w:ascii="宋体" w:hAnsi="宋体" w:eastAsia="宋体" w:cs="宋体"/>
          <w:b/>
          <w:bCs/>
          <w:sz w:val="24"/>
        </w:rPr>
        <w:t>28</w:t>
      </w:r>
      <w:r>
        <w:rPr>
          <w:rFonts w:hint="eastAsia" w:ascii="宋体" w:hAnsi="宋体" w:eastAsia="宋体" w:cs="宋体"/>
          <w:b/>
          <w:sz w:val="24"/>
        </w:rPr>
        <w:t>.</w:t>
      </w:r>
      <w:r>
        <w:rPr>
          <w:rFonts w:hint="eastAsia" w:ascii="宋体" w:hAnsi="宋体" w:eastAsia="宋体" w:cs="宋体"/>
          <w:b/>
          <w:bCs/>
          <w:sz w:val="24"/>
        </w:rPr>
        <w:t>废标处理</w:t>
      </w:r>
    </w:p>
    <w:p>
      <w:pPr>
        <w:spacing w:line="360" w:lineRule="auto"/>
        <w:ind w:firstLine="549"/>
        <w:rPr>
          <w:rFonts w:hint="eastAsia" w:ascii="宋体" w:hAnsi="宋体" w:eastAsia="宋体" w:cs="宋体"/>
          <w:sz w:val="24"/>
        </w:rPr>
      </w:pPr>
      <w:r>
        <w:rPr>
          <w:rFonts w:hint="eastAsia" w:ascii="宋体" w:hAnsi="宋体" w:eastAsia="宋体" w:cs="宋体"/>
          <w:sz w:val="24"/>
        </w:rPr>
        <w:t>28.1在招标采购中，出现下列情形之一的，周口市公共资源交易中心政府采购中心有权宣布废标：</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28.1.1符合专业条件的投标人或对招标文件作实质响应的投标人不足三家的；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28.1.2投标人的报价均超过采购预算，采购人不能支付的；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28.1.3出现影响采购公正的违法、违规行为的；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28.1.4因重大变故，采购任务取消的。</w:t>
      </w:r>
    </w:p>
    <w:p>
      <w:pPr>
        <w:spacing w:line="360" w:lineRule="auto"/>
        <w:ind w:firstLine="549"/>
        <w:rPr>
          <w:rFonts w:hint="eastAsia" w:ascii="宋体" w:hAnsi="宋体" w:eastAsia="宋体" w:cs="宋体"/>
          <w:sz w:val="24"/>
        </w:rPr>
      </w:pPr>
      <w:r>
        <w:rPr>
          <w:rFonts w:hint="eastAsia" w:ascii="宋体" w:hAnsi="宋体" w:eastAsia="宋体" w:cs="宋体"/>
          <w:sz w:val="24"/>
        </w:rPr>
        <w:t>废标后，周口市公共资源交易中心政府采购中心会把废标理由通知所有投标人。</w:t>
      </w:r>
    </w:p>
    <w:p>
      <w:pPr>
        <w:spacing w:line="360" w:lineRule="auto"/>
        <w:ind w:firstLine="549"/>
        <w:rPr>
          <w:rFonts w:hint="eastAsia" w:ascii="宋体" w:hAnsi="宋体" w:eastAsia="宋体" w:cs="宋体"/>
          <w:sz w:val="24"/>
        </w:rPr>
      </w:pPr>
      <w:r>
        <w:rPr>
          <w:rFonts w:hint="eastAsia" w:ascii="宋体" w:hAnsi="宋体" w:eastAsia="宋体" w:cs="宋体"/>
          <w:sz w:val="24"/>
        </w:rPr>
        <w:t>28.2 因上条第一款、第二款规定情形导致废标的，若采购人提出申请，报经政府采购监督管理部门批准，可现场改为竞争性谈判，投标人有下列情形之一的，不得参加谈判：</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28.2.1放弃参加投标的；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28.2.2未经周口市公共资源交易中心政府采购中心允许，离开开标现场通知不上的；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28.2.3不符合招标文件列明的专业条件的；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28.2.4未按规定交纳谈判保证金的；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28.2.5有影响采购公正的违法、违规行为造成项目废标的；</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28.2.6其他不符合竞争性谈判条件的情况。</w:t>
      </w:r>
    </w:p>
    <w:p>
      <w:pPr>
        <w:spacing w:line="360" w:lineRule="auto"/>
        <w:ind w:firstLine="549"/>
        <w:rPr>
          <w:rFonts w:hint="eastAsia" w:ascii="宋体" w:hAnsi="宋体" w:eastAsia="宋体" w:cs="宋体"/>
          <w:sz w:val="24"/>
          <w:szCs w:val="24"/>
        </w:rPr>
      </w:pPr>
      <w:r>
        <w:rPr>
          <w:rFonts w:hint="eastAsia" w:ascii="宋体" w:hAnsi="宋体" w:eastAsia="宋体" w:cs="宋体"/>
          <w:sz w:val="24"/>
          <w:szCs w:val="24"/>
        </w:rPr>
        <w:t>28.3采购方式现场改为竞争性谈判时，</w:t>
      </w:r>
      <w:r>
        <w:rPr>
          <w:rFonts w:hint="eastAsia" w:ascii="宋体" w:hAnsi="宋体" w:eastAsia="宋体" w:cs="宋体"/>
          <w:sz w:val="24"/>
        </w:rPr>
        <w:t>周口市公共资源交易中心政府采购中心</w:t>
      </w:r>
      <w:r>
        <w:rPr>
          <w:rFonts w:hint="eastAsia" w:ascii="宋体" w:hAnsi="宋体" w:eastAsia="宋体" w:cs="宋体"/>
          <w:sz w:val="24"/>
          <w:szCs w:val="24"/>
        </w:rPr>
        <w:t>以《招标流标现场转谈判邀请函》方式函告投标现场各投标人，投标人授权代表签字确认参加谈判。放弃谈判的视同自动放弃本项目的投标资格。竞争性谈判应当至少有两家及以上投标人参加。如参加谈判的投标人少于两家，谈判做流标处理。</w:t>
      </w:r>
    </w:p>
    <w:p>
      <w:pPr>
        <w:spacing w:line="360" w:lineRule="auto"/>
        <w:ind w:firstLine="549"/>
        <w:rPr>
          <w:rFonts w:hint="eastAsia" w:ascii="宋体" w:hAnsi="宋体" w:eastAsia="宋体" w:cs="宋体"/>
          <w:sz w:val="24"/>
          <w:szCs w:val="24"/>
        </w:rPr>
      </w:pPr>
      <w:r>
        <w:rPr>
          <w:rFonts w:hint="eastAsia" w:ascii="宋体" w:hAnsi="宋体" w:eastAsia="宋体" w:cs="宋体"/>
          <w:sz w:val="24"/>
          <w:szCs w:val="24"/>
        </w:rPr>
        <w:t>28.3.1谈判时，若投标人未能在评委会指定时间内（原则上不超过60分钟）提交符合要求的补充资料或未作出实质性响应的，投标无效。经过审查符合谈判要求的有效投标人少于两家的，谈判做流标处理。</w:t>
      </w:r>
    </w:p>
    <w:p>
      <w:pPr>
        <w:spacing w:line="360" w:lineRule="auto"/>
        <w:ind w:firstLine="549"/>
        <w:rPr>
          <w:rFonts w:hint="eastAsia" w:ascii="宋体" w:hAnsi="宋体" w:eastAsia="宋体" w:cs="宋体"/>
          <w:sz w:val="24"/>
          <w:szCs w:val="24"/>
        </w:rPr>
      </w:pPr>
      <w:r>
        <w:rPr>
          <w:rFonts w:hint="eastAsia" w:ascii="宋体" w:hAnsi="宋体" w:eastAsia="宋体" w:cs="宋体"/>
          <w:sz w:val="24"/>
          <w:szCs w:val="24"/>
        </w:rPr>
        <w:t>28.3.2投标文件的报价视为谈判时的首次报价，未唱标转谈判的，谈判时不公开投标人各轮报价。已经唱标而转谈判的，谈判前公布各参与谈判的投标人首轮报价。</w:t>
      </w:r>
    </w:p>
    <w:p>
      <w:pPr>
        <w:spacing w:line="360" w:lineRule="auto"/>
        <w:ind w:firstLine="549"/>
        <w:rPr>
          <w:rFonts w:hint="eastAsia" w:ascii="宋体" w:hAnsi="宋体" w:eastAsia="宋体" w:cs="宋体"/>
          <w:sz w:val="24"/>
          <w:szCs w:val="24"/>
        </w:rPr>
      </w:pPr>
      <w:r>
        <w:rPr>
          <w:rFonts w:hint="eastAsia" w:ascii="宋体" w:hAnsi="宋体" w:eastAsia="宋体" w:cs="宋体"/>
          <w:sz w:val="24"/>
          <w:szCs w:val="24"/>
        </w:rPr>
        <w:t>28.3.3在谈判内容不作实质性变更及重大调整的前提下，投标人次轮报价不得高于上一轮报价。</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29</w:t>
      </w:r>
      <w:r>
        <w:rPr>
          <w:rFonts w:hint="eastAsia" w:ascii="宋体" w:hAnsi="宋体" w:eastAsia="宋体" w:cs="宋体"/>
          <w:b/>
          <w:sz w:val="24"/>
        </w:rPr>
        <w:t>.</w:t>
      </w:r>
      <w:r>
        <w:rPr>
          <w:rFonts w:hint="eastAsia" w:ascii="宋体" w:hAnsi="宋体" w:eastAsia="宋体" w:cs="宋体"/>
          <w:b/>
          <w:bCs/>
          <w:sz w:val="24"/>
        </w:rPr>
        <w:t>二次采购</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项目废标后，周口市公共资源交易中心政府采购中心可能发布二次公告（投标邀请），进行二次采购。</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前款所述“二次”，系指项目废标后的重新公告及采购，并不仅限于项目的第二次公告及采购。</w:t>
      </w:r>
    </w:p>
    <w:p>
      <w:pPr>
        <w:pStyle w:val="4"/>
        <w:spacing w:line="360" w:lineRule="auto"/>
        <w:ind w:firstLine="2715" w:firstLineChars="966"/>
        <w:jc w:val="both"/>
        <w:rPr>
          <w:rFonts w:hint="eastAsia" w:ascii="宋体" w:hAnsi="宋体" w:eastAsia="宋体" w:cs="宋体"/>
          <w:sz w:val="28"/>
        </w:rPr>
      </w:pPr>
      <w:bookmarkStart w:id="122" w:name="_Toc7660"/>
      <w:bookmarkStart w:id="123" w:name="_Toc527725927"/>
      <w:bookmarkStart w:id="124" w:name="_Toc32663"/>
      <w:bookmarkStart w:id="125" w:name="_Toc20916"/>
      <w:bookmarkStart w:id="126" w:name="_Toc40975447"/>
      <w:bookmarkStart w:id="127" w:name="_Toc516969091"/>
      <w:r>
        <w:rPr>
          <w:rFonts w:hint="eastAsia" w:ascii="宋体" w:hAnsi="宋体" w:eastAsia="宋体" w:cs="宋体"/>
          <w:sz w:val="28"/>
        </w:rPr>
        <w:t>六．定标与签订合同</w:t>
      </w:r>
      <w:bookmarkEnd w:id="122"/>
      <w:bookmarkEnd w:id="123"/>
      <w:bookmarkEnd w:id="124"/>
      <w:bookmarkEnd w:id="125"/>
      <w:bookmarkEnd w:id="126"/>
      <w:bookmarkEnd w:id="127"/>
    </w:p>
    <w:p>
      <w:pPr>
        <w:spacing w:line="360" w:lineRule="auto"/>
        <w:ind w:firstLine="549"/>
        <w:rPr>
          <w:rFonts w:hint="eastAsia" w:ascii="宋体" w:hAnsi="宋体" w:eastAsia="宋体" w:cs="宋体"/>
          <w:b/>
          <w:sz w:val="24"/>
        </w:rPr>
      </w:pPr>
      <w:r>
        <w:rPr>
          <w:rFonts w:hint="eastAsia" w:ascii="宋体" w:hAnsi="宋体" w:eastAsia="宋体" w:cs="宋体"/>
          <w:b/>
          <w:sz w:val="24"/>
        </w:rPr>
        <w:t>30.定标</w:t>
      </w:r>
    </w:p>
    <w:p>
      <w:pPr>
        <w:spacing w:line="360" w:lineRule="auto"/>
        <w:ind w:firstLine="549"/>
        <w:rPr>
          <w:rFonts w:hint="eastAsia" w:ascii="宋体" w:hAnsi="宋体" w:eastAsia="宋体" w:cs="宋体"/>
          <w:sz w:val="24"/>
        </w:rPr>
      </w:pPr>
      <w:r>
        <w:rPr>
          <w:rFonts w:hint="eastAsia" w:ascii="宋体" w:hAnsi="宋体" w:eastAsia="宋体" w:cs="宋体"/>
          <w:sz w:val="24"/>
        </w:rPr>
        <w:t>30.1 投标符合性审查后，评委会应当按招标文件规定的综合评分办法提出独立评审意见，推荐中标候选人。</w:t>
      </w:r>
    </w:p>
    <w:p>
      <w:pPr>
        <w:spacing w:line="360" w:lineRule="auto"/>
        <w:ind w:firstLine="549"/>
        <w:rPr>
          <w:rFonts w:hint="eastAsia" w:ascii="宋体" w:hAnsi="宋体" w:eastAsia="宋体" w:cs="宋体"/>
          <w:sz w:val="24"/>
        </w:rPr>
      </w:pPr>
      <w:r>
        <w:rPr>
          <w:rFonts w:hint="eastAsia" w:ascii="宋体" w:hAnsi="宋体" w:eastAsia="宋体" w:cs="宋体"/>
          <w:sz w:val="24"/>
        </w:rPr>
        <w:t>30.2采购人应当自收到评审报告之日起5个工作日内在评审报告推荐的中标或者成交候选人中按顺序确定中标或者成交供应商。</w:t>
      </w:r>
    </w:p>
    <w:p>
      <w:pPr>
        <w:spacing w:line="360" w:lineRule="auto"/>
        <w:ind w:firstLine="549"/>
        <w:rPr>
          <w:rFonts w:hint="eastAsia" w:ascii="宋体" w:hAnsi="宋体" w:eastAsia="宋体" w:cs="宋体"/>
          <w:sz w:val="24"/>
        </w:rPr>
      </w:pPr>
      <w:r>
        <w:rPr>
          <w:rFonts w:hint="eastAsia" w:ascii="宋体" w:hAnsi="宋体" w:eastAsia="宋体" w:cs="宋体"/>
          <w:sz w:val="24"/>
        </w:rPr>
        <w:t>30.3如评委会认为有必要，首先对第一中标候选人就投标文件所提供的内容是否符合招标文件的要求进行资格后审。资格后审视为本项目采购活动的延续，以书面报告作为最终审查的结果。如果确定第一中标候选人无法履行合同，将按排名依次对其余中标候选人进行类似的审查。</w:t>
      </w:r>
    </w:p>
    <w:p>
      <w:pPr>
        <w:spacing w:line="360" w:lineRule="auto"/>
        <w:ind w:firstLine="549"/>
        <w:rPr>
          <w:rFonts w:hint="eastAsia" w:ascii="宋体" w:hAnsi="宋体" w:eastAsia="宋体" w:cs="宋体"/>
          <w:sz w:val="24"/>
        </w:rPr>
      </w:pPr>
      <w:r>
        <w:rPr>
          <w:rFonts w:hint="eastAsia" w:ascii="宋体" w:hAnsi="宋体" w:eastAsia="宋体" w:cs="宋体"/>
          <w:sz w:val="24"/>
        </w:rPr>
        <w:t>排名第一的中标候选人放弃中标、因不可抗力不能履行合同、不按照合同约定提交履约保证金，或者被查实存在影响中标结果的违法行为等情形，不符合中标条件的，采购人可以按照评标委员会提出的中标候选人名单排序依次确定其他中标候选人为中标人，也可以重新招标。</w:t>
      </w:r>
    </w:p>
    <w:p>
      <w:pPr>
        <w:spacing w:line="360" w:lineRule="auto"/>
        <w:ind w:firstLine="549"/>
        <w:rPr>
          <w:rFonts w:hint="eastAsia" w:ascii="宋体" w:hAnsi="宋体" w:eastAsia="宋体" w:cs="宋体"/>
          <w:sz w:val="24"/>
        </w:rPr>
      </w:pPr>
      <w:r>
        <w:rPr>
          <w:rFonts w:hint="eastAsia" w:ascii="宋体" w:hAnsi="宋体" w:eastAsia="宋体" w:cs="宋体"/>
          <w:sz w:val="24"/>
        </w:rPr>
        <w:t>30.4原则上把合同授予实质上响应招标文件要求的排名最前的中标候选人或通过上条资格审查的中标候选人。</w:t>
      </w:r>
    </w:p>
    <w:p>
      <w:pPr>
        <w:spacing w:line="360" w:lineRule="auto"/>
        <w:ind w:firstLine="549"/>
        <w:rPr>
          <w:rFonts w:hint="eastAsia" w:ascii="宋体" w:hAnsi="宋体" w:eastAsia="宋体" w:cs="宋体"/>
          <w:sz w:val="24"/>
        </w:rPr>
      </w:pPr>
      <w:r>
        <w:rPr>
          <w:rFonts w:hint="eastAsia" w:ascii="宋体" w:hAnsi="宋体" w:eastAsia="宋体" w:cs="宋体"/>
          <w:sz w:val="24"/>
        </w:rPr>
        <w:t>30.5 最低报价并不是中标的保证。</w:t>
      </w:r>
    </w:p>
    <w:p>
      <w:pPr>
        <w:spacing w:line="360" w:lineRule="auto"/>
        <w:ind w:firstLine="549"/>
        <w:rPr>
          <w:rFonts w:hint="eastAsia" w:ascii="宋体" w:hAnsi="宋体" w:eastAsia="宋体" w:cs="宋体"/>
          <w:sz w:val="24"/>
        </w:rPr>
      </w:pPr>
      <w:r>
        <w:rPr>
          <w:rFonts w:hint="eastAsia" w:ascii="宋体" w:hAnsi="宋体" w:eastAsia="宋体" w:cs="宋体"/>
          <w:sz w:val="24"/>
        </w:rPr>
        <w:t>30.6凡发现中标候选人有下列行为之一的，其中标无效，并移交政府采购监督管理部门依法处理：</w:t>
      </w:r>
    </w:p>
    <w:p>
      <w:pPr>
        <w:spacing w:line="360" w:lineRule="auto"/>
        <w:ind w:left="549"/>
        <w:rPr>
          <w:rFonts w:hint="eastAsia" w:ascii="宋体" w:hAnsi="宋体" w:eastAsia="宋体" w:cs="宋体"/>
          <w:sz w:val="24"/>
        </w:rPr>
      </w:pPr>
      <w:r>
        <w:rPr>
          <w:rFonts w:hint="eastAsia" w:ascii="宋体" w:hAnsi="宋体" w:eastAsia="宋体" w:cs="宋体"/>
          <w:sz w:val="24"/>
        </w:rPr>
        <w:t>30.6.1 以他人名义投标、或提供虚假材料弄虚作假谋取中标的；</w:t>
      </w:r>
    </w:p>
    <w:p>
      <w:pPr>
        <w:spacing w:line="360" w:lineRule="auto"/>
        <w:ind w:left="549"/>
        <w:rPr>
          <w:rFonts w:hint="eastAsia" w:ascii="宋体" w:hAnsi="宋体" w:eastAsia="宋体" w:cs="宋体"/>
          <w:sz w:val="24"/>
        </w:rPr>
      </w:pPr>
      <w:r>
        <w:rPr>
          <w:rFonts w:hint="eastAsia" w:ascii="宋体" w:hAnsi="宋体" w:eastAsia="宋体" w:cs="宋体"/>
          <w:sz w:val="24"/>
        </w:rPr>
        <w:t>30.6.1.1以他人名义投标，是指使用通过受让或者租借等方式获取的资格、资质证书投标。</w:t>
      </w:r>
    </w:p>
    <w:p>
      <w:pPr>
        <w:spacing w:line="360" w:lineRule="auto"/>
        <w:ind w:left="549"/>
        <w:rPr>
          <w:rFonts w:hint="eastAsia" w:ascii="宋体" w:hAnsi="宋体" w:eastAsia="宋体" w:cs="宋体"/>
          <w:sz w:val="24"/>
        </w:rPr>
      </w:pPr>
      <w:r>
        <w:rPr>
          <w:rFonts w:hint="eastAsia" w:ascii="宋体" w:hAnsi="宋体" w:eastAsia="宋体" w:cs="宋体"/>
          <w:sz w:val="24"/>
        </w:rPr>
        <w:t>30.6.1.2有投标人有下列情形之一的，属于弄虚作假的行为：</w:t>
      </w:r>
    </w:p>
    <w:p>
      <w:pPr>
        <w:spacing w:line="360" w:lineRule="auto"/>
        <w:ind w:left="549"/>
        <w:rPr>
          <w:rFonts w:hint="eastAsia" w:ascii="宋体" w:hAnsi="宋体" w:eastAsia="宋体" w:cs="宋体"/>
          <w:sz w:val="24"/>
        </w:rPr>
      </w:pPr>
      <w:r>
        <w:rPr>
          <w:rFonts w:hint="eastAsia" w:ascii="宋体" w:hAnsi="宋体" w:eastAsia="宋体" w:cs="宋体"/>
          <w:sz w:val="24"/>
        </w:rPr>
        <w:t>30.6.1.2.1使用伪造、变造的许可证件；</w:t>
      </w:r>
    </w:p>
    <w:p>
      <w:pPr>
        <w:spacing w:line="360" w:lineRule="auto"/>
        <w:ind w:left="549"/>
        <w:rPr>
          <w:rFonts w:hint="eastAsia" w:ascii="宋体" w:hAnsi="宋体" w:eastAsia="宋体" w:cs="宋体"/>
          <w:sz w:val="24"/>
        </w:rPr>
      </w:pPr>
      <w:r>
        <w:rPr>
          <w:rFonts w:hint="eastAsia" w:ascii="宋体" w:hAnsi="宋体" w:eastAsia="宋体" w:cs="宋体"/>
          <w:sz w:val="24"/>
        </w:rPr>
        <w:t>30.6.1.2.2提供虚假的财务状况或者业绩；</w:t>
      </w:r>
    </w:p>
    <w:p>
      <w:pPr>
        <w:spacing w:line="360" w:lineRule="auto"/>
        <w:ind w:left="549"/>
        <w:rPr>
          <w:rFonts w:hint="eastAsia" w:ascii="宋体" w:hAnsi="宋体" w:eastAsia="宋体" w:cs="宋体"/>
          <w:sz w:val="24"/>
        </w:rPr>
      </w:pPr>
      <w:r>
        <w:rPr>
          <w:rFonts w:hint="eastAsia" w:ascii="宋体" w:hAnsi="宋体" w:eastAsia="宋体" w:cs="宋体"/>
          <w:sz w:val="24"/>
        </w:rPr>
        <w:t>30.6.1.2.3提供虚假的项目负责人或者主要技术人员简历、劳动关系证明；</w:t>
      </w:r>
    </w:p>
    <w:p>
      <w:pPr>
        <w:spacing w:line="360" w:lineRule="auto"/>
        <w:ind w:left="549"/>
        <w:rPr>
          <w:rFonts w:hint="eastAsia" w:ascii="宋体" w:hAnsi="宋体" w:eastAsia="宋体" w:cs="宋体"/>
          <w:sz w:val="24"/>
        </w:rPr>
      </w:pPr>
      <w:r>
        <w:rPr>
          <w:rFonts w:hint="eastAsia" w:ascii="宋体" w:hAnsi="宋体" w:eastAsia="宋体" w:cs="宋体"/>
          <w:sz w:val="24"/>
        </w:rPr>
        <w:t>30.6.1.2.4提供虚假的信用状况；</w:t>
      </w:r>
    </w:p>
    <w:p>
      <w:pPr>
        <w:spacing w:line="360" w:lineRule="auto"/>
        <w:ind w:left="549"/>
        <w:rPr>
          <w:rFonts w:hint="eastAsia" w:ascii="宋体" w:hAnsi="宋体" w:eastAsia="宋体" w:cs="宋体"/>
          <w:sz w:val="24"/>
        </w:rPr>
      </w:pPr>
      <w:r>
        <w:rPr>
          <w:rFonts w:hint="eastAsia" w:ascii="宋体" w:hAnsi="宋体" w:eastAsia="宋体" w:cs="宋体"/>
          <w:sz w:val="24"/>
        </w:rPr>
        <w:t>30.6.1.2.5其他弄虚作假的行为。</w:t>
      </w:r>
    </w:p>
    <w:p>
      <w:pPr>
        <w:spacing w:line="360" w:lineRule="auto"/>
        <w:ind w:left="549"/>
        <w:rPr>
          <w:rFonts w:hint="eastAsia" w:ascii="宋体" w:hAnsi="宋体" w:eastAsia="宋体" w:cs="宋体"/>
          <w:sz w:val="24"/>
        </w:rPr>
      </w:pPr>
      <w:r>
        <w:rPr>
          <w:rFonts w:hint="eastAsia" w:ascii="宋体" w:hAnsi="宋体" w:eastAsia="宋体" w:cs="宋体"/>
          <w:sz w:val="24"/>
        </w:rPr>
        <w:t>30.6.2与采购人、其他供应商或者采购代理机构名称工作人员恶意串通的；</w:t>
      </w:r>
    </w:p>
    <w:p>
      <w:pPr>
        <w:spacing w:line="360" w:lineRule="auto"/>
        <w:ind w:left="549"/>
        <w:rPr>
          <w:rFonts w:hint="eastAsia" w:ascii="宋体" w:hAnsi="宋体" w:eastAsia="宋体" w:cs="宋体"/>
          <w:sz w:val="24"/>
        </w:rPr>
      </w:pPr>
      <w:r>
        <w:rPr>
          <w:rFonts w:hint="eastAsia" w:ascii="宋体" w:hAnsi="宋体" w:eastAsia="宋体" w:cs="宋体"/>
          <w:sz w:val="24"/>
        </w:rPr>
        <w:t>30.6.3向采购人、评审专家、采购代理机构工作人员行贿或者提供其他不正当利益的；</w:t>
      </w:r>
    </w:p>
    <w:p>
      <w:pPr>
        <w:spacing w:line="360" w:lineRule="auto"/>
        <w:ind w:firstLine="549"/>
        <w:rPr>
          <w:rFonts w:hint="eastAsia" w:ascii="宋体" w:hAnsi="宋体" w:eastAsia="宋体" w:cs="宋体"/>
          <w:sz w:val="24"/>
        </w:rPr>
      </w:pPr>
      <w:r>
        <w:rPr>
          <w:rFonts w:hint="eastAsia" w:ascii="宋体" w:hAnsi="宋体" w:eastAsia="宋体" w:cs="宋体"/>
          <w:sz w:val="24"/>
        </w:rPr>
        <w:t>30.6.4有法律、法规规定的其他损害采购人利益和社会公共利益情形的；</w:t>
      </w:r>
    </w:p>
    <w:p>
      <w:pPr>
        <w:spacing w:line="360" w:lineRule="auto"/>
        <w:ind w:firstLine="549"/>
        <w:rPr>
          <w:rFonts w:hint="eastAsia" w:ascii="宋体" w:hAnsi="宋体" w:eastAsia="宋体" w:cs="宋体"/>
          <w:sz w:val="24"/>
        </w:rPr>
      </w:pPr>
      <w:r>
        <w:rPr>
          <w:rFonts w:hint="eastAsia" w:ascii="宋体" w:hAnsi="宋体" w:eastAsia="宋体" w:cs="宋体"/>
          <w:sz w:val="24"/>
        </w:rPr>
        <w:t>30.6.5其他违反招投标法律、法规和规章强制性规定的行为。</w:t>
      </w:r>
    </w:p>
    <w:p>
      <w:pPr>
        <w:spacing w:line="360" w:lineRule="auto"/>
        <w:ind w:firstLine="549"/>
        <w:rPr>
          <w:rFonts w:hint="eastAsia" w:ascii="宋体" w:hAnsi="宋体" w:eastAsia="宋体" w:cs="宋体"/>
          <w:sz w:val="24"/>
        </w:rPr>
      </w:pPr>
      <w:r>
        <w:rPr>
          <w:rFonts w:hint="eastAsia" w:ascii="宋体" w:hAnsi="宋体" w:eastAsia="宋体" w:cs="宋体"/>
          <w:sz w:val="24"/>
        </w:rPr>
        <w:t>30.7周口市公共资源交易中心政府采购中心将在政府采购相关网站上发布评审结果公告。</w:t>
      </w:r>
    </w:p>
    <w:p>
      <w:pPr>
        <w:spacing w:line="360" w:lineRule="auto"/>
        <w:ind w:firstLine="549"/>
        <w:rPr>
          <w:rFonts w:hint="eastAsia" w:ascii="宋体" w:hAnsi="宋体" w:eastAsia="宋体" w:cs="宋体"/>
          <w:b/>
          <w:sz w:val="24"/>
        </w:rPr>
      </w:pPr>
      <w:r>
        <w:rPr>
          <w:rFonts w:hint="eastAsia" w:ascii="宋体" w:hAnsi="宋体" w:eastAsia="宋体" w:cs="宋体"/>
          <w:b/>
          <w:sz w:val="24"/>
        </w:rPr>
        <w:t>31.中标通知书</w:t>
      </w:r>
    </w:p>
    <w:p>
      <w:pPr>
        <w:spacing w:line="360" w:lineRule="auto"/>
        <w:ind w:firstLine="549"/>
        <w:rPr>
          <w:rFonts w:hint="eastAsia" w:ascii="宋体" w:hAnsi="宋体" w:eastAsia="宋体" w:cs="宋体"/>
          <w:sz w:val="24"/>
        </w:rPr>
      </w:pPr>
      <w:r>
        <w:rPr>
          <w:rFonts w:hint="eastAsia" w:ascii="宋体" w:hAnsi="宋体" w:eastAsia="宋体" w:cs="宋体"/>
          <w:sz w:val="24"/>
        </w:rPr>
        <w:t>31.1</w:t>
      </w:r>
      <w:r>
        <w:rPr>
          <w:rFonts w:hint="eastAsia" w:ascii="宋体" w:hAnsi="宋体" w:cs="宋体"/>
          <w:sz w:val="24"/>
          <w:lang w:val="en-US" w:eastAsia="zh-CN"/>
        </w:rPr>
        <w:t>在发出中标公告后</w:t>
      </w:r>
      <w:r>
        <w:rPr>
          <w:rFonts w:hint="eastAsia" w:ascii="宋体" w:hAnsi="宋体" w:eastAsia="宋体" w:cs="宋体"/>
          <w:sz w:val="24"/>
          <w:lang w:val="en-US" w:eastAsia="zh-CN"/>
        </w:rPr>
        <w:t>请采购人、中标人登录</w:t>
      </w:r>
      <w:r>
        <w:rPr>
          <w:rFonts w:hint="eastAsia" w:ascii="宋体" w:hAnsi="宋体" w:eastAsia="宋体" w:cs="宋体"/>
          <w:sz w:val="24"/>
        </w:rPr>
        <w:t>周口市公共资源</w:t>
      </w:r>
      <w:r>
        <w:rPr>
          <w:rFonts w:hint="eastAsia" w:ascii="宋体" w:hAnsi="宋体" w:eastAsia="宋体" w:cs="宋体"/>
          <w:sz w:val="24"/>
          <w:szCs w:val="24"/>
        </w:rPr>
        <w:t>交易</w:t>
      </w:r>
      <w:r>
        <w:rPr>
          <w:rFonts w:hint="eastAsia" w:ascii="宋体" w:hAnsi="宋体" w:eastAsia="宋体" w:cs="宋体"/>
          <w:sz w:val="24"/>
          <w:lang w:eastAsia="zh-CN"/>
        </w:rPr>
        <w:t>中心网</w:t>
      </w:r>
      <w:r>
        <w:rPr>
          <w:rFonts w:hint="eastAsia" w:ascii="宋体" w:hAnsi="宋体" w:eastAsia="宋体" w:cs="宋体"/>
          <w:sz w:val="24"/>
          <w:szCs w:val="24"/>
        </w:rPr>
        <w:t>（http://jyzx.zhoukou.gov.cn）</w:t>
      </w:r>
      <w:r>
        <w:rPr>
          <w:rFonts w:hint="eastAsia" w:ascii="宋体" w:hAnsi="宋体" w:eastAsia="宋体" w:cs="宋体"/>
          <w:sz w:val="24"/>
          <w:szCs w:val="24"/>
          <w:lang w:val="en-US" w:eastAsia="zh-CN"/>
        </w:rPr>
        <w:t>自行下载</w:t>
      </w:r>
      <w:r>
        <w:rPr>
          <w:rFonts w:hint="eastAsia" w:ascii="宋体" w:hAnsi="宋体" w:eastAsia="宋体" w:cs="宋体"/>
          <w:sz w:val="24"/>
        </w:rPr>
        <w:t>中标通知书。</w:t>
      </w:r>
    </w:p>
    <w:p>
      <w:pPr>
        <w:spacing w:line="360" w:lineRule="auto"/>
        <w:ind w:firstLine="549"/>
        <w:rPr>
          <w:rFonts w:hint="eastAsia" w:ascii="宋体" w:hAnsi="宋体" w:eastAsia="宋体" w:cs="宋体"/>
          <w:sz w:val="24"/>
        </w:rPr>
      </w:pPr>
      <w:r>
        <w:rPr>
          <w:rFonts w:hint="eastAsia" w:ascii="宋体" w:hAnsi="宋体" w:eastAsia="宋体" w:cs="宋体"/>
          <w:sz w:val="24"/>
        </w:rPr>
        <w:t>31.2周口市公共资源交易中心政府采购中心对未中标的投标人不做未中标原因的解释。</w:t>
      </w:r>
    </w:p>
    <w:p>
      <w:pPr>
        <w:spacing w:line="360" w:lineRule="auto"/>
        <w:ind w:firstLine="549"/>
        <w:rPr>
          <w:rFonts w:hint="eastAsia" w:ascii="宋体" w:hAnsi="宋体" w:eastAsia="宋体" w:cs="宋体"/>
          <w:sz w:val="24"/>
        </w:rPr>
      </w:pPr>
      <w:r>
        <w:rPr>
          <w:rFonts w:hint="eastAsia" w:ascii="宋体" w:hAnsi="宋体" w:eastAsia="宋体" w:cs="宋体"/>
          <w:sz w:val="24"/>
        </w:rPr>
        <w:t>31.3评审结果确定后，中标人请及时到周口市公共资源交易中心政府采购中心领取中标通知书。</w:t>
      </w:r>
    </w:p>
    <w:p>
      <w:pPr>
        <w:spacing w:line="360" w:lineRule="auto"/>
        <w:ind w:firstLine="549"/>
        <w:rPr>
          <w:rFonts w:hint="eastAsia" w:ascii="宋体" w:hAnsi="宋体" w:eastAsia="宋体" w:cs="宋体"/>
          <w:sz w:val="24"/>
          <w:szCs w:val="22"/>
        </w:rPr>
      </w:pPr>
      <w:r>
        <w:rPr>
          <w:rFonts w:hint="eastAsia" w:ascii="宋体" w:hAnsi="宋体" w:eastAsia="宋体" w:cs="宋体"/>
          <w:sz w:val="24"/>
          <w:szCs w:val="22"/>
        </w:rPr>
        <w:t>32.中标服务费</w:t>
      </w:r>
    </w:p>
    <w:p>
      <w:pPr>
        <w:spacing w:line="360" w:lineRule="auto"/>
        <w:rPr>
          <w:rFonts w:hint="eastAsia" w:ascii="宋体" w:hAnsi="宋体" w:eastAsia="宋体" w:cs="宋体"/>
          <w:bCs/>
          <w:sz w:val="24"/>
        </w:rPr>
      </w:pPr>
      <w:r>
        <w:rPr>
          <w:rFonts w:hint="eastAsia" w:ascii="宋体" w:hAnsi="宋体" w:eastAsia="宋体" w:cs="宋体"/>
          <w:b/>
          <w:sz w:val="24"/>
        </w:rPr>
        <w:t xml:space="preserve">    </w:t>
      </w:r>
      <w:r>
        <w:rPr>
          <w:rFonts w:hint="eastAsia" w:ascii="宋体" w:hAnsi="宋体" w:eastAsia="宋体" w:cs="宋体"/>
          <w:bCs/>
          <w:sz w:val="24"/>
        </w:rPr>
        <w:t>本项目免收中标服务费</w:t>
      </w:r>
    </w:p>
    <w:p>
      <w:pPr>
        <w:spacing w:line="360" w:lineRule="auto"/>
        <w:ind w:firstLine="549"/>
        <w:rPr>
          <w:rFonts w:hint="eastAsia" w:ascii="宋体" w:hAnsi="宋体" w:eastAsia="宋体" w:cs="宋体"/>
          <w:b/>
          <w:sz w:val="24"/>
        </w:rPr>
      </w:pPr>
      <w:r>
        <w:rPr>
          <w:rFonts w:hint="eastAsia" w:ascii="宋体" w:hAnsi="宋体" w:eastAsia="宋体" w:cs="宋体"/>
          <w:b/>
          <w:sz w:val="24"/>
        </w:rPr>
        <w:t>33.履约保证金</w:t>
      </w:r>
    </w:p>
    <w:p>
      <w:pPr>
        <w:spacing w:line="360" w:lineRule="auto"/>
        <w:ind w:firstLine="549"/>
        <w:rPr>
          <w:rFonts w:hint="eastAsia" w:ascii="宋体" w:hAnsi="宋体" w:eastAsia="宋体" w:cs="宋体"/>
          <w:sz w:val="24"/>
          <w:lang w:val="en-US" w:eastAsia="zh-CN"/>
        </w:rPr>
      </w:pPr>
      <w:r>
        <w:rPr>
          <w:rFonts w:hint="eastAsia" w:ascii="宋体" w:hAnsi="宋体" w:eastAsia="宋体" w:cs="宋体"/>
          <w:sz w:val="24"/>
          <w:lang w:val="en-US" w:eastAsia="zh-CN"/>
        </w:rPr>
        <w:t>无</w:t>
      </w:r>
    </w:p>
    <w:p>
      <w:pPr>
        <w:spacing w:line="360" w:lineRule="auto"/>
        <w:ind w:firstLine="549"/>
        <w:rPr>
          <w:rFonts w:hint="eastAsia" w:ascii="宋体" w:hAnsi="宋体" w:eastAsia="宋体" w:cs="宋体"/>
          <w:b/>
          <w:sz w:val="24"/>
        </w:rPr>
      </w:pPr>
      <w:r>
        <w:rPr>
          <w:rFonts w:hint="eastAsia" w:ascii="宋体" w:hAnsi="宋体" w:eastAsia="宋体" w:cs="宋体"/>
          <w:b/>
          <w:sz w:val="24"/>
        </w:rPr>
        <w:t>34.签订合同</w:t>
      </w:r>
    </w:p>
    <w:p>
      <w:pPr>
        <w:spacing w:line="360" w:lineRule="auto"/>
        <w:ind w:firstLine="549"/>
        <w:rPr>
          <w:rFonts w:hint="eastAsia" w:ascii="宋体" w:hAnsi="宋体" w:eastAsia="宋体" w:cs="宋体"/>
          <w:sz w:val="24"/>
        </w:rPr>
      </w:pPr>
      <w:r>
        <w:rPr>
          <w:rFonts w:hint="eastAsia" w:ascii="宋体" w:hAnsi="宋体" w:eastAsia="宋体" w:cs="宋体"/>
          <w:sz w:val="24"/>
        </w:rPr>
        <w:t>34.1中标人应在中标通知书发出之日起七日历日内（具体时间、地点见中标通知书）与采购人签订合同。招标文件、中标人的投标文件及澄清文件等，均作为合同的附件。</w:t>
      </w:r>
    </w:p>
    <w:p>
      <w:pPr>
        <w:spacing w:line="360" w:lineRule="auto"/>
        <w:ind w:firstLine="549"/>
        <w:rPr>
          <w:rFonts w:hint="eastAsia" w:ascii="宋体" w:hAnsi="宋体" w:eastAsia="宋体" w:cs="宋体"/>
          <w:sz w:val="24"/>
        </w:rPr>
      </w:pPr>
      <w:r>
        <w:rPr>
          <w:rFonts w:hint="eastAsia" w:ascii="宋体" w:hAnsi="宋体" w:eastAsia="宋体" w:cs="宋体"/>
          <w:sz w:val="24"/>
        </w:rPr>
        <w:t>34.2 采购双方必须严格按照招标文件、投标文件及有关承诺签订采购合同，不得擅自变更。合同的标的、价款、质量、履行期限等主要条款应当与招标文件和中标人的投标文件的内容一致，</w:t>
      </w:r>
      <w:r>
        <w:rPr>
          <w:rFonts w:hint="eastAsia" w:ascii="宋体" w:hAnsi="宋体" w:eastAsia="宋体" w:cs="宋体"/>
          <w:sz w:val="24"/>
          <w:lang w:val="en-US" w:eastAsia="zh-CN"/>
        </w:rPr>
        <w:t>采购人</w:t>
      </w:r>
      <w:r>
        <w:rPr>
          <w:rFonts w:hint="eastAsia" w:ascii="宋体" w:hAnsi="宋体" w:eastAsia="宋体" w:cs="宋体"/>
          <w:sz w:val="24"/>
        </w:rPr>
        <w:t>和中标人不得再行订立背离合同实质性内容的其他协议。对任何因双方擅自变更合同引起的问题周口市公共资源交易中心政府采购中心概不负责，合同风险由双方自行承担。</w:t>
      </w:r>
    </w:p>
    <w:p>
      <w:pPr>
        <w:spacing w:line="360" w:lineRule="auto"/>
        <w:ind w:firstLine="523" w:firstLineChars="218"/>
        <w:rPr>
          <w:rFonts w:hint="eastAsia" w:ascii="宋体" w:hAnsi="宋体" w:eastAsia="宋体" w:cs="宋体"/>
          <w:sz w:val="24"/>
        </w:rPr>
      </w:pPr>
      <w:r>
        <w:rPr>
          <w:rFonts w:hint="eastAsia" w:ascii="宋体" w:hAnsi="宋体" w:eastAsia="宋体" w:cs="宋体"/>
          <w:sz w:val="24"/>
        </w:rPr>
        <w:t>34.3采购人保留以书面形式要求合同的卖方对其所投服务的装运方式、交货地点及服务细则等作适当调整的权利。</w:t>
      </w:r>
    </w:p>
    <w:p>
      <w:pPr>
        <w:spacing w:line="360" w:lineRule="auto"/>
        <w:ind w:firstLine="549"/>
        <w:rPr>
          <w:rFonts w:hint="eastAsia" w:ascii="宋体" w:hAnsi="宋体" w:eastAsia="宋体" w:cs="宋体"/>
          <w:sz w:val="24"/>
        </w:rPr>
      </w:pPr>
      <w:r>
        <w:rPr>
          <w:rFonts w:hint="eastAsia" w:ascii="宋体" w:hAnsi="宋体" w:eastAsia="宋体" w:cs="宋体"/>
          <w:b/>
          <w:sz w:val="24"/>
        </w:rPr>
        <w:t>35.验收</w:t>
      </w:r>
    </w:p>
    <w:p>
      <w:pPr>
        <w:spacing w:line="360" w:lineRule="auto"/>
        <w:ind w:firstLine="549"/>
        <w:rPr>
          <w:rFonts w:hint="eastAsia" w:ascii="宋体" w:hAnsi="宋体" w:eastAsia="宋体" w:cs="宋体"/>
          <w:sz w:val="24"/>
        </w:rPr>
      </w:pPr>
      <w:r>
        <w:rPr>
          <w:rFonts w:hint="eastAsia" w:ascii="宋体" w:hAnsi="宋体" w:eastAsia="宋体" w:cs="宋体"/>
          <w:sz w:val="24"/>
        </w:rPr>
        <w:t>由采购人自行组织对供应商的履约验收。</w:t>
      </w:r>
    </w:p>
    <w:p>
      <w:pPr>
        <w:spacing w:line="360" w:lineRule="auto"/>
        <w:ind w:firstLine="549"/>
        <w:rPr>
          <w:rFonts w:hint="eastAsia" w:ascii="宋体" w:hAnsi="宋体" w:eastAsia="宋体" w:cs="宋体"/>
          <w:b/>
          <w:bCs/>
          <w:sz w:val="24"/>
        </w:rPr>
      </w:pPr>
      <w:r>
        <w:rPr>
          <w:rFonts w:hint="eastAsia" w:ascii="宋体" w:hAnsi="宋体" w:eastAsia="宋体" w:cs="宋体"/>
          <w:b/>
          <w:bCs/>
          <w:sz w:val="24"/>
        </w:rPr>
        <w:t>36</w:t>
      </w:r>
      <w:r>
        <w:rPr>
          <w:rFonts w:hint="eastAsia" w:ascii="宋体" w:hAnsi="宋体" w:eastAsia="宋体" w:cs="宋体"/>
          <w:b/>
          <w:sz w:val="24"/>
        </w:rPr>
        <w:t>.</w:t>
      </w:r>
      <w:r>
        <w:rPr>
          <w:rFonts w:hint="eastAsia" w:ascii="宋体" w:hAnsi="宋体" w:eastAsia="宋体" w:cs="宋体"/>
          <w:b/>
          <w:bCs/>
          <w:sz w:val="24"/>
        </w:rPr>
        <w:t>质疑</w:t>
      </w:r>
    </w:p>
    <w:p>
      <w:pPr>
        <w:spacing w:line="360" w:lineRule="auto"/>
        <w:ind w:firstLine="523" w:firstLineChars="218"/>
        <w:rPr>
          <w:rFonts w:hint="eastAsia" w:ascii="宋体" w:hAnsi="宋体" w:eastAsia="宋体" w:cs="宋体"/>
          <w:bCs/>
          <w:sz w:val="24"/>
          <w:lang w:eastAsia="zh-CN"/>
        </w:rPr>
      </w:pPr>
      <w:r>
        <w:rPr>
          <w:rFonts w:hint="eastAsia" w:ascii="宋体" w:hAnsi="宋体" w:eastAsia="宋体" w:cs="宋体"/>
          <w:bCs/>
          <w:sz w:val="24"/>
        </w:rPr>
        <w:t>36.1</w:t>
      </w:r>
      <w:r>
        <w:rPr>
          <w:rFonts w:hint="eastAsia" w:ascii="宋体" w:hAnsi="宋体" w:cs="宋体"/>
          <w:bCs/>
          <w:sz w:val="24"/>
        </w:rPr>
        <w:t>投标人认为采购过程、中标结果使自己的合法权益受到损害的，可以在知道或应当知道自己的权益受到损害之日起7个工作日内，由投标人授权代表（或法人代表）</w:t>
      </w:r>
      <w:r>
        <w:rPr>
          <w:rFonts w:hint="eastAsia" w:ascii="宋体" w:hAnsi="宋体" w:cs="宋体"/>
          <w:bCs/>
          <w:sz w:val="24"/>
          <w:lang w:val="en-US" w:eastAsia="zh-CN"/>
        </w:rPr>
        <w:t>按照相关规定</w:t>
      </w:r>
      <w:r>
        <w:rPr>
          <w:rFonts w:hint="eastAsia" w:ascii="宋体" w:hAnsi="宋体" w:cs="宋体"/>
          <w:bCs/>
          <w:sz w:val="24"/>
        </w:rPr>
        <w:t>，向</w:t>
      </w:r>
      <w:r>
        <w:rPr>
          <w:rFonts w:hint="eastAsia" w:ascii="宋体" w:hAnsi="宋体" w:cs="宋体"/>
          <w:sz w:val="24"/>
        </w:rPr>
        <w:t>采购人</w:t>
      </w:r>
      <w:r>
        <w:rPr>
          <w:rFonts w:hint="eastAsia" w:ascii="宋体" w:hAnsi="宋体" w:cs="宋体"/>
          <w:bCs/>
          <w:sz w:val="24"/>
        </w:rPr>
        <w:t>提出质疑，逾期不予受理。</w:t>
      </w:r>
    </w:p>
    <w:p>
      <w:pPr>
        <w:spacing w:line="360" w:lineRule="auto"/>
        <w:ind w:firstLine="523" w:firstLineChars="218"/>
        <w:rPr>
          <w:rFonts w:hint="eastAsia" w:ascii="宋体" w:hAnsi="宋体" w:eastAsia="宋体" w:cs="宋体"/>
          <w:bCs/>
          <w:sz w:val="24"/>
        </w:rPr>
      </w:pPr>
      <w:r>
        <w:rPr>
          <w:rFonts w:hint="eastAsia" w:ascii="宋体" w:hAnsi="宋体" w:eastAsia="宋体" w:cs="宋体"/>
          <w:bCs/>
          <w:sz w:val="24"/>
        </w:rPr>
        <w:t>36.2质疑书内容应包括质疑的详细理由和依据，并提供有关证明资料。</w:t>
      </w:r>
    </w:p>
    <w:p>
      <w:pPr>
        <w:spacing w:line="360" w:lineRule="auto"/>
        <w:ind w:firstLine="523" w:firstLineChars="218"/>
        <w:rPr>
          <w:rFonts w:hint="eastAsia" w:ascii="宋体" w:hAnsi="宋体" w:eastAsia="宋体" w:cs="宋体"/>
          <w:bCs/>
          <w:sz w:val="24"/>
        </w:rPr>
      </w:pPr>
      <w:r>
        <w:rPr>
          <w:rFonts w:hint="eastAsia" w:ascii="宋体" w:hAnsi="宋体" w:eastAsia="宋体" w:cs="宋体"/>
          <w:bCs/>
          <w:sz w:val="24"/>
        </w:rPr>
        <w:t>36.3 有以下情形之一的，视为无效质疑：</w:t>
      </w:r>
    </w:p>
    <w:p>
      <w:pPr>
        <w:spacing w:line="360" w:lineRule="auto"/>
        <w:ind w:firstLine="549"/>
        <w:rPr>
          <w:rFonts w:hint="eastAsia" w:ascii="宋体" w:hAnsi="宋体" w:eastAsia="宋体" w:cs="宋体"/>
          <w:bCs/>
          <w:sz w:val="24"/>
        </w:rPr>
      </w:pPr>
      <w:r>
        <w:rPr>
          <w:rFonts w:hint="eastAsia" w:ascii="宋体" w:hAnsi="宋体" w:eastAsia="宋体" w:cs="宋体"/>
          <w:bCs/>
          <w:sz w:val="24"/>
        </w:rPr>
        <w:t>36.3.1 未按规定时间或规定手续提交质疑的；</w:t>
      </w:r>
    </w:p>
    <w:p>
      <w:pPr>
        <w:spacing w:line="360" w:lineRule="auto"/>
        <w:ind w:firstLine="549"/>
        <w:rPr>
          <w:rFonts w:hint="eastAsia" w:ascii="宋体" w:hAnsi="宋体" w:eastAsia="宋体" w:cs="宋体"/>
          <w:bCs/>
          <w:sz w:val="24"/>
        </w:rPr>
      </w:pPr>
      <w:r>
        <w:rPr>
          <w:rFonts w:hint="eastAsia" w:ascii="宋体" w:hAnsi="宋体" w:eastAsia="宋体" w:cs="宋体"/>
          <w:bCs/>
          <w:sz w:val="24"/>
        </w:rPr>
        <w:t>36.3.2 质疑内容含糊不清、没有提供详细理由和依据，无法进行核查的；</w:t>
      </w:r>
    </w:p>
    <w:p>
      <w:pPr>
        <w:spacing w:line="360" w:lineRule="auto"/>
        <w:ind w:firstLine="549"/>
        <w:rPr>
          <w:rFonts w:hint="eastAsia" w:ascii="宋体" w:hAnsi="宋体" w:eastAsia="宋体" w:cs="宋体"/>
          <w:bCs/>
          <w:sz w:val="24"/>
        </w:rPr>
      </w:pPr>
      <w:r>
        <w:rPr>
          <w:rFonts w:hint="eastAsia" w:ascii="宋体" w:hAnsi="宋体" w:eastAsia="宋体" w:cs="宋体"/>
          <w:bCs/>
          <w:sz w:val="24"/>
        </w:rPr>
        <w:t>36.3.3 其他不符合质疑程序和有关规定的。</w:t>
      </w:r>
    </w:p>
    <w:p>
      <w:pPr>
        <w:spacing w:line="360" w:lineRule="auto"/>
        <w:ind w:firstLine="549"/>
        <w:rPr>
          <w:rFonts w:hint="eastAsia" w:ascii="宋体" w:hAnsi="宋体" w:eastAsia="宋体" w:cs="宋体"/>
          <w:bCs/>
          <w:sz w:val="24"/>
        </w:rPr>
      </w:pPr>
      <w:r>
        <w:rPr>
          <w:rFonts w:hint="eastAsia" w:ascii="宋体" w:hAnsi="宋体" w:eastAsia="宋体" w:cs="宋体"/>
          <w:bCs/>
          <w:sz w:val="24"/>
        </w:rPr>
        <w:t>被判定无效质疑的，采购人将书面回复投标单位其质疑无效的理由，并记录无效质疑一次。</w:t>
      </w:r>
    </w:p>
    <w:p>
      <w:pPr>
        <w:spacing w:line="360" w:lineRule="auto"/>
        <w:ind w:firstLine="549"/>
        <w:rPr>
          <w:rFonts w:hint="eastAsia" w:ascii="宋体" w:hAnsi="宋体" w:eastAsia="宋体" w:cs="宋体"/>
          <w:bCs/>
          <w:sz w:val="24"/>
        </w:rPr>
      </w:pPr>
      <w:r>
        <w:rPr>
          <w:rFonts w:hint="eastAsia" w:ascii="宋体" w:hAnsi="宋体" w:eastAsia="宋体" w:cs="宋体"/>
          <w:bCs/>
          <w:sz w:val="24"/>
        </w:rPr>
        <w:t>36.4</w:t>
      </w:r>
      <w:r>
        <w:rPr>
          <w:rFonts w:hint="eastAsia" w:ascii="宋体" w:hAnsi="宋体" w:eastAsia="宋体" w:cs="宋体"/>
          <w:sz w:val="24"/>
        </w:rPr>
        <w:t>采购人</w:t>
      </w:r>
      <w:r>
        <w:rPr>
          <w:rFonts w:hint="eastAsia" w:ascii="宋体" w:hAnsi="宋体" w:eastAsia="宋体" w:cs="宋体"/>
          <w:bCs/>
          <w:sz w:val="24"/>
        </w:rPr>
        <w:t>将在受到书面质疑后7个工作日内审查质疑事项，作出答复或相关处理决定，并以书面形式通知质疑人，但答复的内容不涉及商业秘密。</w:t>
      </w:r>
    </w:p>
    <w:p>
      <w:pPr>
        <w:spacing w:line="360" w:lineRule="auto"/>
        <w:ind w:firstLine="549"/>
        <w:rPr>
          <w:rFonts w:hint="eastAsia" w:ascii="宋体" w:hAnsi="宋体" w:eastAsia="宋体" w:cs="宋体"/>
          <w:bCs/>
          <w:sz w:val="24"/>
        </w:rPr>
      </w:pPr>
      <w:r>
        <w:rPr>
          <w:rFonts w:hint="eastAsia" w:ascii="宋体" w:hAnsi="宋体" w:eastAsia="宋体" w:cs="宋体"/>
          <w:sz w:val="24"/>
        </w:rPr>
        <w:t>36.5</w:t>
      </w:r>
      <w:r>
        <w:rPr>
          <w:rFonts w:hint="eastAsia" w:ascii="宋体" w:hAnsi="宋体" w:eastAsia="宋体" w:cs="宋体"/>
          <w:bCs/>
          <w:sz w:val="24"/>
        </w:rPr>
        <w:t>投诉人有下列情形之一的，属于虚假、恶意投诉，</w:t>
      </w:r>
      <w:r>
        <w:rPr>
          <w:rFonts w:hint="eastAsia" w:ascii="宋体" w:hAnsi="宋体" w:eastAsia="宋体" w:cs="宋体"/>
          <w:sz w:val="24"/>
        </w:rPr>
        <w:t>政府采购监督管理部门</w:t>
      </w:r>
      <w:r>
        <w:rPr>
          <w:rFonts w:hint="eastAsia" w:ascii="宋体" w:hAnsi="宋体" w:eastAsia="宋体" w:cs="宋体"/>
          <w:bCs/>
          <w:sz w:val="24"/>
        </w:rPr>
        <w:t>将驳回投诉，将其列入不良行为记录名单，并依法予以处罚：</w:t>
      </w:r>
    </w:p>
    <w:p>
      <w:pPr>
        <w:spacing w:line="360" w:lineRule="auto"/>
        <w:ind w:firstLine="523" w:firstLineChars="218"/>
        <w:rPr>
          <w:rFonts w:hint="eastAsia" w:ascii="宋体" w:hAnsi="宋体" w:eastAsia="宋体" w:cs="宋体"/>
          <w:bCs/>
          <w:sz w:val="24"/>
        </w:rPr>
      </w:pPr>
      <w:r>
        <w:rPr>
          <w:rFonts w:hint="eastAsia" w:ascii="宋体" w:hAnsi="宋体" w:eastAsia="宋体" w:cs="宋体"/>
          <w:bCs/>
          <w:sz w:val="24"/>
        </w:rPr>
        <w:t>36.5.1一年内三次以上投诉均查无实据的；</w:t>
      </w:r>
    </w:p>
    <w:p>
      <w:pPr>
        <w:spacing w:line="360" w:lineRule="auto"/>
        <w:ind w:firstLine="523" w:firstLineChars="218"/>
        <w:rPr>
          <w:rFonts w:hint="eastAsia" w:ascii="宋体" w:hAnsi="宋体" w:eastAsia="宋体" w:cs="宋体"/>
          <w:bCs/>
          <w:sz w:val="24"/>
        </w:rPr>
      </w:pPr>
      <w:r>
        <w:rPr>
          <w:rFonts w:hint="eastAsia" w:ascii="宋体" w:hAnsi="宋体" w:eastAsia="宋体" w:cs="宋体"/>
          <w:bCs/>
          <w:sz w:val="24"/>
        </w:rPr>
        <w:t>36.5.2捏造事实、提供虚假投诉材料或提供以非法手段取得的证明材料质疑的；</w:t>
      </w:r>
    </w:p>
    <w:p>
      <w:pPr>
        <w:spacing w:line="360" w:lineRule="auto"/>
        <w:ind w:firstLine="523" w:firstLineChars="218"/>
        <w:rPr>
          <w:rFonts w:hint="eastAsia" w:ascii="宋体" w:hAnsi="宋体" w:eastAsia="宋体" w:cs="宋体"/>
          <w:bCs/>
          <w:sz w:val="24"/>
        </w:rPr>
      </w:pPr>
      <w:r>
        <w:rPr>
          <w:rFonts w:hint="eastAsia" w:ascii="宋体" w:hAnsi="宋体" w:eastAsia="宋体" w:cs="宋体"/>
          <w:sz w:val="24"/>
        </w:rPr>
        <w:t>36.5.3其他经认定属于虚假、恶意投诉的行为</w:t>
      </w:r>
      <w:r>
        <w:rPr>
          <w:rFonts w:hint="eastAsia" w:ascii="宋体" w:hAnsi="宋体" w:eastAsia="宋体" w:cs="宋体"/>
          <w:bCs/>
          <w:sz w:val="24"/>
        </w:rPr>
        <w:t>。</w:t>
      </w:r>
    </w:p>
    <w:p>
      <w:pPr>
        <w:spacing w:line="360" w:lineRule="auto"/>
        <w:ind w:firstLine="549"/>
        <w:rPr>
          <w:rFonts w:hint="eastAsia" w:ascii="宋体" w:hAnsi="宋体" w:eastAsia="宋体" w:cs="宋体"/>
          <w:b/>
          <w:sz w:val="24"/>
        </w:rPr>
      </w:pPr>
      <w:r>
        <w:rPr>
          <w:rFonts w:hint="eastAsia" w:ascii="宋体" w:hAnsi="宋体" w:eastAsia="宋体" w:cs="宋体"/>
          <w:b/>
          <w:sz w:val="24"/>
        </w:rPr>
        <w:t>37.未尽事宜</w:t>
      </w:r>
    </w:p>
    <w:p>
      <w:pPr>
        <w:spacing w:line="360" w:lineRule="auto"/>
        <w:ind w:firstLine="549"/>
        <w:rPr>
          <w:rFonts w:hint="eastAsia" w:ascii="宋体" w:hAnsi="宋体" w:eastAsia="宋体" w:cs="宋体"/>
          <w:sz w:val="24"/>
        </w:rPr>
      </w:pPr>
      <w:r>
        <w:rPr>
          <w:rFonts w:hint="eastAsia" w:ascii="宋体" w:hAnsi="宋体" w:eastAsia="宋体" w:cs="宋体"/>
          <w:sz w:val="24"/>
        </w:rPr>
        <w:t>37.1按《中华人民共和国政府采购法》及其他有关法律法规的规定执行。</w:t>
      </w:r>
    </w:p>
    <w:p>
      <w:pPr>
        <w:spacing w:line="360" w:lineRule="auto"/>
        <w:ind w:firstLine="549"/>
        <w:rPr>
          <w:rFonts w:hint="eastAsia" w:ascii="宋体" w:hAnsi="宋体" w:eastAsia="宋体" w:cs="宋体"/>
          <w:bCs/>
          <w:sz w:val="24"/>
        </w:rPr>
      </w:pPr>
      <w:r>
        <w:rPr>
          <w:rFonts w:hint="eastAsia" w:ascii="宋体" w:hAnsi="宋体" w:eastAsia="宋体" w:cs="宋体"/>
          <w:b/>
          <w:sz w:val="24"/>
        </w:rPr>
        <w:t>38.解释权</w:t>
      </w:r>
    </w:p>
    <w:p>
      <w:pPr>
        <w:spacing w:line="360" w:lineRule="auto"/>
        <w:ind w:firstLine="549"/>
        <w:rPr>
          <w:rFonts w:hint="eastAsia" w:ascii="宋体" w:hAnsi="宋体" w:eastAsia="宋体" w:cs="宋体"/>
          <w:bCs/>
          <w:sz w:val="24"/>
        </w:rPr>
      </w:pPr>
      <w:r>
        <w:rPr>
          <w:rFonts w:hint="eastAsia" w:ascii="宋体" w:hAnsi="宋体" w:eastAsia="宋体" w:cs="宋体"/>
          <w:bCs/>
          <w:sz w:val="24"/>
        </w:rPr>
        <w:t>38.1本招标文件的解释权属于采购人。</w:t>
      </w:r>
    </w:p>
    <w:p>
      <w:pPr>
        <w:spacing w:line="360" w:lineRule="auto"/>
        <w:rPr>
          <w:rFonts w:hint="eastAsia" w:ascii="宋体" w:hAnsi="宋体" w:eastAsia="宋体" w:cs="宋体"/>
          <w:bCs/>
          <w:sz w:val="24"/>
        </w:rPr>
      </w:pPr>
    </w:p>
    <w:p>
      <w:pPr>
        <w:pStyle w:val="574"/>
        <w:spacing w:beforeLines="0" w:afterLines="0" w:line="460" w:lineRule="exact"/>
        <w:ind w:left="0" w:firstLine="420" w:firstLineChars="200"/>
        <w:jc w:val="center"/>
        <w:rPr>
          <w:rFonts w:hint="eastAsia" w:ascii="宋体" w:hAnsi="宋体" w:eastAsia="宋体" w:cs="宋体"/>
          <w:sz w:val="32"/>
          <w:szCs w:val="32"/>
        </w:rPr>
      </w:pPr>
      <w:bookmarkStart w:id="128" w:name="_Toc26087_WPSOffice_Level1"/>
      <w:bookmarkStart w:id="129" w:name="_Toc220232391"/>
      <w:r>
        <w:rPr>
          <w:rFonts w:hint="eastAsia" w:ascii="宋体" w:hAnsi="宋体" w:eastAsia="宋体" w:cs="宋体"/>
        </w:rPr>
        <w:br w:type="page"/>
      </w:r>
      <w:bookmarkEnd w:id="128"/>
      <w:bookmarkEnd w:id="129"/>
    </w:p>
    <w:p>
      <w:pPr>
        <w:pStyle w:val="574"/>
        <w:spacing w:beforeLines="0" w:afterLines="0" w:line="460" w:lineRule="exact"/>
        <w:ind w:left="0"/>
        <w:jc w:val="center"/>
        <w:rPr>
          <w:rFonts w:hint="eastAsia" w:ascii="宋体" w:hAnsi="宋体" w:eastAsia="宋体" w:cs="宋体"/>
          <w:b/>
          <w:bCs/>
          <w:kern w:val="2"/>
          <w:sz w:val="32"/>
          <w:szCs w:val="32"/>
          <w:lang w:val="en-US" w:eastAsia="zh-CN" w:bidi="ar-SA"/>
        </w:rPr>
      </w:pPr>
    </w:p>
    <w:p>
      <w:pPr>
        <w:pStyle w:val="3"/>
        <w:spacing w:before="0" w:after="0" w:line="500" w:lineRule="exact"/>
        <w:ind w:firstLine="0"/>
        <w:jc w:val="center"/>
        <w:rPr>
          <w:rFonts w:hint="eastAsia" w:ascii="宋体" w:hAnsi="宋体" w:eastAsia="宋体" w:cs="宋体"/>
          <w:w w:val="92"/>
          <w:lang w:val="en-US"/>
        </w:rPr>
      </w:pPr>
      <w:bookmarkStart w:id="130" w:name="_Toc17699_WPSOffice_Level1"/>
      <w:r>
        <w:rPr>
          <w:rFonts w:hint="eastAsia" w:ascii="宋体" w:hAnsi="宋体" w:eastAsia="宋体" w:cs="宋体"/>
          <w:bCs/>
          <w:caps/>
          <w:smallCaps/>
          <w:sz w:val="32"/>
          <w:szCs w:val="32"/>
          <w:lang w:val="en-US"/>
        </w:rPr>
        <w:t>第六章</w:t>
      </w:r>
    </w:p>
    <w:p>
      <w:pPr>
        <w:pStyle w:val="3"/>
        <w:spacing w:before="0" w:after="0" w:line="500" w:lineRule="exact"/>
        <w:ind w:firstLine="0"/>
        <w:rPr>
          <w:rFonts w:hint="eastAsia" w:ascii="宋体" w:hAnsi="宋体" w:eastAsia="宋体" w:cs="宋体"/>
          <w:b w:val="0"/>
          <w:sz w:val="32"/>
          <w:szCs w:val="32"/>
          <w:lang w:val="en-US"/>
        </w:rPr>
      </w:pPr>
      <w:r>
        <w:rPr>
          <w:rFonts w:hint="eastAsia" w:ascii="宋体" w:hAnsi="宋体" w:eastAsia="宋体" w:cs="宋体"/>
          <w:b w:val="0"/>
          <w:w w:val="92"/>
          <w:sz w:val="32"/>
          <w:szCs w:val="32"/>
          <w:lang w:val="en-US"/>
        </w:rPr>
        <w:t>周口市</w:t>
      </w:r>
      <w:r>
        <w:rPr>
          <w:rFonts w:hint="eastAsia" w:ascii="宋体" w:hAnsi="宋体" w:eastAsia="宋体" w:cs="宋体"/>
          <w:b w:val="0"/>
          <w:sz w:val="32"/>
          <w:szCs w:val="32"/>
          <w:lang w:val="en-US"/>
        </w:rPr>
        <w:t>政府采购合同（服务类）标准文本</w:t>
      </w:r>
    </w:p>
    <w:p>
      <w:pPr>
        <w:ind w:firstLine="640" w:firstLineChars="200"/>
        <w:jc w:val="both"/>
        <w:rPr>
          <w:rFonts w:hint="eastAsia" w:ascii="宋体" w:hAnsi="宋体" w:eastAsia="宋体" w:cs="宋体"/>
          <w:sz w:val="32"/>
          <w:szCs w:val="32"/>
          <w:lang w:val="en-US"/>
        </w:rPr>
      </w:pPr>
    </w:p>
    <w:p>
      <w:pPr>
        <w:pStyle w:val="574"/>
        <w:spacing w:beforeLines="0" w:afterLines="0"/>
        <w:ind w:left="0" w:firstLine="640" w:firstLineChars="200"/>
        <w:jc w:val="both"/>
        <w:rPr>
          <w:rFonts w:hint="eastAsia" w:ascii="宋体" w:hAnsi="宋体" w:eastAsia="宋体" w:cs="宋体"/>
          <w:sz w:val="32"/>
          <w:szCs w:val="32"/>
          <w:lang w:val="en-US"/>
        </w:rPr>
      </w:pPr>
    </w:p>
    <w:p>
      <w:pPr>
        <w:pStyle w:val="574"/>
        <w:spacing w:beforeLines="0" w:afterLines="0"/>
        <w:ind w:left="0" w:firstLine="640" w:firstLineChars="200"/>
        <w:jc w:val="both"/>
        <w:rPr>
          <w:rFonts w:hint="eastAsia" w:ascii="宋体" w:hAnsi="宋体" w:eastAsia="宋体" w:cs="宋体"/>
          <w:sz w:val="32"/>
          <w:szCs w:val="32"/>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政府采购项目名称：</w:t>
      </w: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政府采购项目编号：</w:t>
      </w: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采      购    人：</w:t>
      </w: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供      应    商：</w:t>
      </w: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 订 地：</w:t>
      </w:r>
    </w:p>
    <w:p>
      <w:pPr>
        <w:pStyle w:val="574"/>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签订 时 间：</w:t>
      </w: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ind w:left="0" w:firstLine="600" w:firstLineChars="200"/>
        <w:jc w:val="both"/>
        <w:rPr>
          <w:rFonts w:hint="eastAsia" w:ascii="宋体" w:hAnsi="宋体" w:eastAsia="宋体" w:cs="宋体"/>
          <w:sz w:val="30"/>
          <w:szCs w:val="30"/>
          <w:lang w:val="en-US"/>
        </w:rPr>
      </w:pPr>
    </w:p>
    <w:p>
      <w:pPr>
        <w:pStyle w:val="574"/>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sz w:val="32"/>
          <w:szCs w:val="32"/>
        </w:rPr>
        <w:t>合同签订指引</w:t>
      </w:r>
    </w:p>
    <w:p>
      <w:pPr>
        <w:pStyle w:val="574"/>
        <w:spacing w:beforeLines="0" w:afterLines="0" w:line="440" w:lineRule="exact"/>
        <w:ind w:left="0"/>
        <w:jc w:val="both"/>
        <w:rPr>
          <w:rFonts w:hint="eastAsia" w:ascii="宋体" w:hAnsi="宋体" w:eastAsia="宋体" w:cs="宋体"/>
          <w:sz w:val="30"/>
          <w:szCs w:val="30"/>
        </w:rPr>
      </w:pP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rPr>
        <w:t>一、采购人在签订合同时应提供的资料：</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招标采购文件（以网上发布内容为准）；</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2、该政府采购项目</w:t>
      </w:r>
      <w:r>
        <w:rPr>
          <w:rFonts w:hint="eastAsia" w:ascii="宋体" w:hAnsi="宋体" w:eastAsia="宋体" w:cs="宋体"/>
          <w:sz w:val="21"/>
          <w:szCs w:val="21"/>
        </w:rPr>
        <w:t>招标文件的澄清和修改内容（公告内容）；</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3、该政府采购项目评审报告；</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4、采购单位法人授权委托书（法人到场并签字的除外）；</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5、采购单位被授权人身份证件（法人到场并签字的除外）；</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6、采购人和中标供应商（或服务商，下同）约定的其它内容（不得超出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二、</w:t>
      </w:r>
      <w:r>
        <w:rPr>
          <w:rFonts w:hint="eastAsia" w:ascii="宋体" w:hAnsi="宋体" w:eastAsia="宋体" w:cs="宋体"/>
          <w:sz w:val="21"/>
          <w:szCs w:val="21"/>
        </w:rPr>
        <w:t>供应商在签订合同时应提供的资料：</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投标文件（纸质或</w:t>
      </w:r>
      <w:r>
        <w:rPr>
          <w:rFonts w:hint="eastAsia" w:ascii="宋体" w:hAnsi="宋体" w:eastAsia="宋体" w:cs="宋体"/>
          <w:sz w:val="21"/>
          <w:szCs w:val="21"/>
          <w:lang w:val="en-US"/>
        </w:rPr>
        <w:t>DPF格式的电子</w:t>
      </w:r>
      <w:r>
        <w:rPr>
          <w:rFonts w:hint="eastAsia" w:ascii="宋体" w:hAnsi="宋体" w:eastAsia="宋体" w:cs="宋体"/>
          <w:sz w:val="21"/>
          <w:szCs w:val="21"/>
        </w:rPr>
        <w:t>投标文件）；</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2、针对该项目评审时评审委员会提出的质询答复（纸质并签章）；</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3、该政府采购项目中标通知书；</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4、供应商法人授权委托书（法人到场并签字的除外）；</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5、供应商被授权人身份证件（法人到场并签字的除外）；</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6、供应商和采购人约定的其它内容（不得超出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pPr>
        <w:pStyle w:val="574"/>
        <w:spacing w:beforeLines="0" w:afterLines="0" w:line="440" w:lineRule="exact"/>
        <w:ind w:left="0" w:firstLine="420" w:firstLineChars="200"/>
        <w:jc w:val="both"/>
        <w:rPr>
          <w:rFonts w:hint="eastAsia" w:ascii="宋体" w:hAnsi="宋体" w:eastAsia="宋体" w:cs="宋体"/>
          <w:sz w:val="30"/>
          <w:szCs w:val="30"/>
        </w:rPr>
      </w:pPr>
      <w:r>
        <w:rPr>
          <w:rFonts w:hint="eastAsia" w:ascii="宋体" w:hAnsi="宋体" w:eastAsia="宋体" w:cs="宋体"/>
          <w:sz w:val="21"/>
          <w:szCs w:val="21"/>
        </w:rPr>
        <w:t>三、本合同签订后二个工作日内有采购人在“周口市政府采购网”上进行合同公示。</w:t>
      </w:r>
    </w:p>
    <w:p>
      <w:pPr>
        <w:pStyle w:val="574"/>
        <w:spacing w:beforeLines="0" w:afterLines="0" w:line="440" w:lineRule="exact"/>
        <w:ind w:left="0"/>
        <w:jc w:val="center"/>
        <w:rPr>
          <w:rFonts w:hint="eastAsia" w:ascii="宋体" w:hAnsi="宋体" w:eastAsia="宋体" w:cs="宋体"/>
          <w:bCs/>
          <w:sz w:val="32"/>
          <w:szCs w:val="32"/>
        </w:rPr>
      </w:pPr>
    </w:p>
    <w:p>
      <w:pPr>
        <w:pStyle w:val="574"/>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bCs/>
          <w:sz w:val="32"/>
          <w:szCs w:val="32"/>
        </w:rPr>
        <w:t>供应商履约验收指引</w:t>
      </w:r>
    </w:p>
    <w:p>
      <w:pPr>
        <w:pStyle w:val="574"/>
        <w:spacing w:beforeLines="0" w:afterLines="0" w:line="440" w:lineRule="exact"/>
        <w:ind w:left="0" w:firstLine="420" w:firstLineChars="200"/>
        <w:jc w:val="both"/>
        <w:rPr>
          <w:rFonts w:hint="eastAsia" w:ascii="宋体" w:hAnsi="宋体" w:eastAsia="宋体" w:cs="宋体"/>
          <w:szCs w:val="27"/>
        </w:rPr>
      </w:pPr>
      <w:r>
        <w:rPr>
          <w:rFonts w:hint="eastAsia" w:ascii="宋体" w:hAnsi="宋体" w:eastAsia="宋体" w:cs="宋体"/>
          <w:sz w:val="21"/>
          <w:szCs w:val="21"/>
          <w:lang w:val="en-US"/>
        </w:rPr>
        <w:t>1、供应商不得</w:t>
      </w:r>
      <w:r>
        <w:rPr>
          <w:rFonts w:hint="eastAsia" w:ascii="宋体" w:hAnsi="宋体" w:eastAsia="宋体" w:cs="宋体"/>
          <w:sz w:val="21"/>
          <w:szCs w:val="21"/>
        </w:rPr>
        <w:t>擅自变更合同标的服务内容；</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w:t>
      </w:r>
      <w:r>
        <w:rPr>
          <w:rFonts w:hint="eastAsia" w:ascii="宋体" w:hAnsi="宋体" w:eastAsia="宋体" w:cs="宋体"/>
          <w:sz w:val="21"/>
          <w:szCs w:val="21"/>
        </w:rPr>
        <w:t>不得以次充优，随意降低服务标准和水平；</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对因客观上采购人采购需求发生变化造成的，应提供采、供双方的纸质备忘录材料；</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4、在满足</w:t>
      </w:r>
      <w:r>
        <w:rPr>
          <w:rFonts w:hint="eastAsia" w:ascii="宋体" w:hAnsi="宋体" w:eastAsia="宋体" w:cs="宋体"/>
          <w:sz w:val="21"/>
          <w:szCs w:val="21"/>
        </w:rPr>
        <w:t>验收条件</w:t>
      </w:r>
      <w:r>
        <w:rPr>
          <w:rFonts w:hint="eastAsia" w:ascii="宋体" w:hAnsi="宋体" w:eastAsia="宋体" w:cs="宋体"/>
          <w:sz w:val="21"/>
          <w:szCs w:val="21"/>
          <w:lang w:val="en-US"/>
        </w:rPr>
        <w:t>5个工作日</w:t>
      </w:r>
      <w:r>
        <w:rPr>
          <w:rFonts w:hint="eastAsia" w:ascii="宋体" w:hAnsi="宋体" w:eastAsia="宋体" w:cs="宋体"/>
          <w:sz w:val="21"/>
          <w:szCs w:val="21"/>
        </w:rPr>
        <w:t>内通知采购人组织验收；</w:t>
      </w:r>
    </w:p>
    <w:p>
      <w:pPr>
        <w:pStyle w:val="574"/>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5、供应商应提供需验收服务的清单、标准、达到的水平等量化资料；</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6、采、供</w:t>
      </w:r>
      <w:r>
        <w:rPr>
          <w:rFonts w:hint="eastAsia" w:ascii="宋体" w:hAnsi="宋体" w:eastAsia="宋体" w:cs="宋体"/>
          <w:sz w:val="21"/>
          <w:szCs w:val="21"/>
        </w:rPr>
        <w:t>双方约定的验收机构及相关人员组成情况。</w:t>
      </w:r>
    </w:p>
    <w:p>
      <w:pPr>
        <w:pStyle w:val="574"/>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7、督促采购人在项目验收结束并达到相关要求后一个工作日内，在</w:t>
      </w:r>
      <w:r>
        <w:rPr>
          <w:rFonts w:hint="eastAsia" w:ascii="宋体" w:hAnsi="宋体" w:eastAsia="宋体" w:cs="宋体"/>
          <w:sz w:val="21"/>
          <w:szCs w:val="21"/>
        </w:rPr>
        <w:t>“周口市政府采购网”上进行“履约验收”公示。</w:t>
      </w:r>
    </w:p>
    <w:p>
      <w:pPr>
        <w:pStyle w:val="3"/>
        <w:spacing w:before="0" w:after="0" w:line="500" w:lineRule="exact"/>
        <w:ind w:firstLine="0"/>
        <w:jc w:val="both"/>
        <w:rPr>
          <w:rFonts w:hint="eastAsia" w:ascii="宋体" w:hAnsi="宋体" w:eastAsia="宋体" w:cs="宋体"/>
          <w:b w:val="0"/>
          <w:bCs w:val="0"/>
          <w:sz w:val="21"/>
          <w:szCs w:val="21"/>
        </w:rPr>
      </w:pPr>
    </w:p>
    <w:p>
      <w:pPr>
        <w:pStyle w:val="3"/>
        <w:spacing w:before="0" w:after="0" w:line="500" w:lineRule="exact"/>
        <w:ind w:firstLine="0"/>
        <w:rPr>
          <w:rFonts w:hint="eastAsia" w:ascii="宋体" w:hAnsi="宋体" w:eastAsia="宋体" w:cs="宋体"/>
          <w:b w:val="0"/>
          <w:sz w:val="44"/>
          <w:szCs w:val="44"/>
        </w:rPr>
      </w:pPr>
      <w:r>
        <w:rPr>
          <w:rFonts w:hint="eastAsia" w:ascii="宋体" w:hAnsi="宋体" w:eastAsia="宋体" w:cs="宋体"/>
          <w:b w:val="0"/>
          <w:sz w:val="44"/>
          <w:szCs w:val="44"/>
        </w:rPr>
        <w:t>服务合同内容</w:t>
      </w:r>
    </w:p>
    <w:p>
      <w:pPr>
        <w:spacing w:line="360" w:lineRule="auto"/>
        <w:ind w:firstLine="420" w:firstLineChars="200"/>
        <w:jc w:val="both"/>
        <w:rPr>
          <w:rFonts w:hint="eastAsia" w:ascii="宋体" w:hAnsi="宋体" w:eastAsia="宋体" w:cs="宋体"/>
          <w:szCs w:val="27"/>
        </w:rPr>
      </w:pPr>
    </w:p>
    <w:p>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 xml:space="preserve">采购人（甲方）： </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供应商（乙方）：</w:t>
      </w:r>
    </w:p>
    <w:p>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签订地点：</w:t>
      </w:r>
    </w:p>
    <w:p>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项目名称：</w:t>
      </w:r>
    </w:p>
    <w:p>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项目编号：</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财政委托号：</w:t>
      </w:r>
      <w:r>
        <w:rPr>
          <w:rFonts w:hint="eastAsia" w:ascii="宋体" w:hAnsi="宋体" w:eastAsia="宋体" w:cs="宋体"/>
          <w:szCs w:val="27"/>
          <w:u w:val="single"/>
        </w:rPr>
        <w:t xml:space="preserve">      </w:t>
      </w:r>
      <w:r>
        <w:rPr>
          <w:rFonts w:hint="eastAsia" w:ascii="宋体" w:hAnsi="宋体" w:eastAsia="宋体" w:cs="宋体"/>
          <w:szCs w:val="27"/>
        </w:rPr>
        <w:t>(财政资金项目必须填写)</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本项目经批准采用</w:t>
      </w:r>
      <w:r>
        <w:rPr>
          <w:rFonts w:hint="eastAsia" w:ascii="宋体" w:hAnsi="宋体" w:eastAsia="宋体" w:cs="宋体"/>
          <w:szCs w:val="27"/>
          <w:u w:val="single"/>
        </w:rPr>
        <w:t xml:space="preserve">           </w:t>
      </w:r>
      <w:r>
        <w:rPr>
          <w:rFonts w:hint="eastAsia" w:ascii="宋体" w:hAnsi="宋体" w:eastAsia="宋体" w:cs="宋体"/>
          <w:szCs w:val="27"/>
        </w:rPr>
        <w:t>采购方式，经本项目评审委员会认真评审，决定将采购合同授予乙方。为进一步明确双方的责任，确保合同的顺利履行，根据《中华人民共和国</w:t>
      </w:r>
      <w:r>
        <w:rPr>
          <w:rFonts w:hint="eastAsia" w:ascii="宋体" w:hAnsi="宋体" w:eastAsia="宋体" w:cs="宋体"/>
          <w:szCs w:val="27"/>
          <w:lang w:val="en-US" w:eastAsia="zh-CN"/>
        </w:rPr>
        <w:t>政府</w:t>
      </w:r>
      <w:r>
        <w:rPr>
          <w:rFonts w:hint="eastAsia" w:ascii="宋体" w:hAnsi="宋体" w:eastAsia="宋体" w:cs="宋体"/>
          <w:szCs w:val="27"/>
        </w:rPr>
        <w:t>采购法》、《中华人民共和国合同法》之规定，经甲乙双方充分协商，特订立本合同，以便共同遵守。</w:t>
      </w:r>
    </w:p>
    <w:p>
      <w:pPr>
        <w:spacing w:line="360" w:lineRule="auto"/>
        <w:ind w:firstLine="422" w:firstLineChars="200"/>
        <w:jc w:val="both"/>
        <w:rPr>
          <w:rFonts w:hint="eastAsia" w:ascii="宋体" w:hAnsi="宋体" w:eastAsia="宋体" w:cs="宋体"/>
          <w:u w:val="single"/>
        </w:rPr>
      </w:pPr>
      <w:r>
        <w:rPr>
          <w:rFonts w:hint="eastAsia" w:ascii="宋体" w:hAnsi="宋体" w:eastAsia="宋体" w:cs="宋体"/>
          <w:b/>
          <w:bCs/>
          <w:szCs w:val="27"/>
        </w:rPr>
        <w:t>第一条</w:t>
      </w:r>
      <w:r>
        <w:rPr>
          <w:rFonts w:hint="eastAsia" w:ascii="宋体" w:hAnsi="宋体" w:eastAsia="宋体" w:cs="宋体"/>
          <w:szCs w:val="27"/>
        </w:rPr>
        <w:t>   服务的内容、标准、数量和价格：（若服务项目过多则见附表，如有附表则必须加盖印章）</w:t>
      </w:r>
    </w:p>
    <w:tbl>
      <w:tblPr>
        <w:tblStyle w:val="71"/>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服务内容</w:t>
            </w:r>
          </w:p>
        </w:tc>
        <w:tc>
          <w:tcPr>
            <w:tcW w:w="1623"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标准水平</w:t>
            </w:r>
          </w:p>
        </w:tc>
        <w:tc>
          <w:tcPr>
            <w:tcW w:w="902"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单位</w:t>
            </w:r>
          </w:p>
        </w:tc>
        <w:tc>
          <w:tcPr>
            <w:tcW w:w="902"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数量</w:t>
            </w:r>
          </w:p>
        </w:tc>
        <w:tc>
          <w:tcPr>
            <w:tcW w:w="1071"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单价</w:t>
            </w:r>
          </w:p>
        </w:tc>
        <w:tc>
          <w:tcPr>
            <w:tcW w:w="1250"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小计</w:t>
            </w:r>
          </w:p>
        </w:tc>
        <w:tc>
          <w:tcPr>
            <w:tcW w:w="1106" w:type="dxa"/>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20" w:firstLineChars="200"/>
              <w:jc w:val="both"/>
              <w:rPr>
                <w:rFonts w:hint="eastAsia" w:ascii="宋体" w:hAnsi="宋体" w:eastAsia="宋体" w:cs="宋体"/>
              </w:rPr>
            </w:pPr>
          </w:p>
        </w:tc>
        <w:tc>
          <w:tcPr>
            <w:tcW w:w="1623"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1071" w:type="dxa"/>
            <w:noWrap w:val="0"/>
            <w:vAlign w:val="top"/>
          </w:tcPr>
          <w:p>
            <w:pPr>
              <w:spacing w:line="360" w:lineRule="auto"/>
              <w:ind w:firstLine="420" w:firstLineChars="200"/>
              <w:jc w:val="both"/>
              <w:rPr>
                <w:rFonts w:hint="eastAsia" w:ascii="宋体" w:hAnsi="宋体" w:eastAsia="宋体" w:cs="宋体"/>
              </w:rPr>
            </w:pPr>
          </w:p>
        </w:tc>
        <w:tc>
          <w:tcPr>
            <w:tcW w:w="1250" w:type="dxa"/>
            <w:noWrap w:val="0"/>
            <w:vAlign w:val="top"/>
          </w:tcPr>
          <w:p>
            <w:pPr>
              <w:spacing w:line="360" w:lineRule="auto"/>
              <w:ind w:firstLine="420" w:firstLineChars="200"/>
              <w:jc w:val="both"/>
              <w:rPr>
                <w:rFonts w:hint="eastAsia" w:ascii="宋体" w:hAnsi="宋体" w:eastAsia="宋体" w:cs="宋体"/>
              </w:rPr>
            </w:pPr>
          </w:p>
        </w:tc>
        <w:tc>
          <w:tcPr>
            <w:tcW w:w="1106" w:type="dxa"/>
            <w:noWrap w:val="0"/>
            <w:vAlign w:val="top"/>
          </w:tcPr>
          <w:p>
            <w:pPr>
              <w:spacing w:line="360" w:lineRule="auto"/>
              <w:ind w:firstLine="42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20" w:firstLineChars="200"/>
              <w:jc w:val="both"/>
              <w:rPr>
                <w:rFonts w:hint="eastAsia" w:ascii="宋体" w:hAnsi="宋体" w:eastAsia="宋体" w:cs="宋体"/>
              </w:rPr>
            </w:pPr>
          </w:p>
        </w:tc>
        <w:tc>
          <w:tcPr>
            <w:tcW w:w="1623"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1071" w:type="dxa"/>
            <w:noWrap w:val="0"/>
            <w:vAlign w:val="top"/>
          </w:tcPr>
          <w:p>
            <w:pPr>
              <w:spacing w:line="360" w:lineRule="auto"/>
              <w:ind w:firstLine="420" w:firstLineChars="200"/>
              <w:jc w:val="both"/>
              <w:rPr>
                <w:rFonts w:hint="eastAsia" w:ascii="宋体" w:hAnsi="宋体" w:eastAsia="宋体" w:cs="宋体"/>
              </w:rPr>
            </w:pPr>
          </w:p>
        </w:tc>
        <w:tc>
          <w:tcPr>
            <w:tcW w:w="1250" w:type="dxa"/>
            <w:noWrap w:val="0"/>
            <w:vAlign w:val="top"/>
          </w:tcPr>
          <w:p>
            <w:pPr>
              <w:spacing w:line="360" w:lineRule="auto"/>
              <w:ind w:firstLine="420" w:firstLineChars="200"/>
              <w:jc w:val="both"/>
              <w:rPr>
                <w:rFonts w:hint="eastAsia" w:ascii="宋体" w:hAnsi="宋体" w:eastAsia="宋体" w:cs="宋体"/>
              </w:rPr>
            </w:pPr>
          </w:p>
        </w:tc>
        <w:tc>
          <w:tcPr>
            <w:tcW w:w="1106" w:type="dxa"/>
            <w:noWrap w:val="0"/>
            <w:vAlign w:val="top"/>
          </w:tcPr>
          <w:p>
            <w:pPr>
              <w:spacing w:line="360" w:lineRule="auto"/>
              <w:ind w:firstLine="42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pPr>
              <w:spacing w:line="360" w:lineRule="auto"/>
              <w:ind w:firstLine="420" w:firstLineChars="200"/>
              <w:jc w:val="both"/>
              <w:rPr>
                <w:rFonts w:hint="eastAsia" w:ascii="宋体" w:hAnsi="宋体" w:eastAsia="宋体" w:cs="宋体"/>
              </w:rPr>
            </w:pPr>
          </w:p>
        </w:tc>
        <w:tc>
          <w:tcPr>
            <w:tcW w:w="1623"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902" w:type="dxa"/>
            <w:noWrap w:val="0"/>
            <w:vAlign w:val="top"/>
          </w:tcPr>
          <w:p>
            <w:pPr>
              <w:spacing w:line="360" w:lineRule="auto"/>
              <w:ind w:firstLine="420" w:firstLineChars="200"/>
              <w:jc w:val="both"/>
              <w:rPr>
                <w:rFonts w:hint="eastAsia" w:ascii="宋体" w:hAnsi="宋体" w:eastAsia="宋体" w:cs="宋体"/>
              </w:rPr>
            </w:pPr>
          </w:p>
        </w:tc>
        <w:tc>
          <w:tcPr>
            <w:tcW w:w="1071" w:type="dxa"/>
            <w:noWrap w:val="0"/>
            <w:vAlign w:val="top"/>
          </w:tcPr>
          <w:p>
            <w:pPr>
              <w:spacing w:line="360" w:lineRule="auto"/>
              <w:ind w:firstLine="420" w:firstLineChars="200"/>
              <w:jc w:val="both"/>
              <w:rPr>
                <w:rFonts w:hint="eastAsia" w:ascii="宋体" w:hAnsi="宋体" w:eastAsia="宋体" w:cs="宋体"/>
              </w:rPr>
            </w:pPr>
          </w:p>
        </w:tc>
        <w:tc>
          <w:tcPr>
            <w:tcW w:w="1250" w:type="dxa"/>
            <w:noWrap w:val="0"/>
            <w:vAlign w:val="top"/>
          </w:tcPr>
          <w:p>
            <w:pPr>
              <w:spacing w:line="360" w:lineRule="auto"/>
              <w:ind w:firstLine="420" w:firstLineChars="200"/>
              <w:jc w:val="both"/>
              <w:rPr>
                <w:rFonts w:hint="eastAsia" w:ascii="宋体" w:hAnsi="宋体" w:eastAsia="宋体" w:cs="宋体"/>
              </w:rPr>
            </w:pPr>
          </w:p>
        </w:tc>
        <w:tc>
          <w:tcPr>
            <w:tcW w:w="1106" w:type="dxa"/>
            <w:noWrap w:val="0"/>
            <w:vAlign w:val="top"/>
          </w:tcPr>
          <w:p>
            <w:pPr>
              <w:spacing w:line="360" w:lineRule="auto"/>
              <w:ind w:firstLine="42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noWrap w:val="0"/>
            <w:vAlign w:val="top"/>
          </w:tcPr>
          <w:p>
            <w:pPr>
              <w:spacing w:line="360" w:lineRule="auto"/>
              <w:ind w:firstLine="420" w:firstLineChars="200"/>
              <w:jc w:val="both"/>
              <w:rPr>
                <w:rFonts w:hint="eastAsia" w:ascii="宋体" w:hAnsi="宋体" w:eastAsia="宋体" w:cs="宋体"/>
              </w:rPr>
            </w:pPr>
            <w:r>
              <w:rPr>
                <w:rFonts w:hint="eastAsia" w:ascii="宋体" w:hAnsi="宋体" w:eastAsia="宋体" w:cs="宋体"/>
              </w:rPr>
              <w:t>合同总价款（大小写）：</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8"/>
              </w:rPr>
              <w:t>备注：上述服务包含相关设备购置、人员工资及售后服务、税金、劳保基金、人员培训等费用。</w:t>
            </w:r>
          </w:p>
        </w:tc>
      </w:tr>
    </w:tbl>
    <w:p>
      <w:pPr>
        <w:spacing w:line="360" w:lineRule="auto"/>
        <w:ind w:firstLine="422" w:firstLineChars="200"/>
        <w:jc w:val="both"/>
        <w:rPr>
          <w:rFonts w:hint="eastAsia" w:ascii="宋体" w:hAnsi="宋体" w:eastAsia="宋体" w:cs="宋体"/>
        </w:rPr>
      </w:pPr>
      <w:r>
        <w:rPr>
          <w:rFonts w:hint="eastAsia" w:ascii="宋体" w:hAnsi="宋体" w:eastAsia="宋体" w:cs="宋体"/>
          <w:b/>
          <w:bCs/>
          <w:szCs w:val="27"/>
        </w:rPr>
        <w:t xml:space="preserve">第二条  </w:t>
      </w:r>
      <w:r>
        <w:rPr>
          <w:rFonts w:hint="eastAsia" w:ascii="宋体" w:hAnsi="宋体" w:eastAsia="宋体" w:cs="宋体"/>
          <w:szCs w:val="27"/>
        </w:rPr>
        <w:t>服务标准（包括达到的水平要求），按下列第（ ）项执行：</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①按国家标准执行；②按部颁标准执行；③若无以上标准，则应不低于同行业服务标准；④有特殊要求的，按甲乙双方在合同中商定的要求执行；</w:t>
      </w:r>
    </w:p>
    <w:p>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rPr>
        <w:t>乙方提供的服务标准和水平应与招标采购文件规定的标准和水平相一致。</w:t>
      </w:r>
    </w:p>
    <w:p>
      <w:pPr>
        <w:spacing w:line="360" w:lineRule="auto"/>
        <w:ind w:firstLine="422" w:firstLineChars="200"/>
        <w:jc w:val="both"/>
        <w:rPr>
          <w:rFonts w:hint="eastAsia" w:ascii="宋体" w:hAnsi="宋体" w:eastAsia="宋体" w:cs="宋体"/>
          <w:szCs w:val="27"/>
        </w:rPr>
      </w:pPr>
      <w:r>
        <w:rPr>
          <w:rFonts w:hint="eastAsia" w:ascii="宋体" w:hAnsi="宋体" w:eastAsia="宋体" w:cs="宋体"/>
          <w:b/>
          <w:bCs/>
          <w:szCs w:val="27"/>
        </w:rPr>
        <w:t xml:space="preserve">第三条  </w:t>
      </w:r>
      <w:r>
        <w:rPr>
          <w:rFonts w:hint="eastAsia" w:ascii="宋体" w:hAnsi="宋体" w:eastAsia="宋体" w:cs="宋体"/>
          <w:szCs w:val="27"/>
        </w:rPr>
        <w:t>服务的方式、方法、、地点和期限</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1、服务方式：</w:t>
      </w:r>
    </w:p>
    <w:p>
      <w:pPr>
        <w:spacing w:line="360" w:lineRule="auto"/>
        <w:ind w:firstLine="420" w:firstLineChars="200"/>
        <w:jc w:val="both"/>
        <w:rPr>
          <w:rFonts w:hint="eastAsia" w:ascii="宋体" w:hAnsi="宋体" w:eastAsia="宋体" w:cs="宋体"/>
          <w:lang w:val="en-US"/>
        </w:rPr>
      </w:pPr>
      <w:r>
        <w:rPr>
          <w:rFonts w:hint="eastAsia" w:ascii="宋体" w:hAnsi="宋体" w:eastAsia="宋体" w:cs="宋体"/>
          <w:lang w:val="en-US"/>
        </w:rPr>
        <w:t>2、服务方法：</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2、服务地点：</w:t>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3、服务期限：</w:t>
      </w:r>
    </w:p>
    <w:p>
      <w:pPr>
        <w:spacing w:line="360" w:lineRule="auto"/>
        <w:ind w:firstLine="420" w:firstLineChars="200"/>
        <w:jc w:val="both"/>
        <w:rPr>
          <w:rFonts w:hint="eastAsia" w:ascii="宋体" w:hAnsi="宋体" w:eastAsia="宋体" w:cs="宋体"/>
        </w:rPr>
      </w:pPr>
      <w:r>
        <w:rPr>
          <w:rFonts w:hint="eastAsia" w:ascii="宋体" w:hAnsi="宋体" w:eastAsia="宋体" w:cs="宋体"/>
        </w:rPr>
        <w:t>第四条</w:t>
      </w:r>
      <w:r>
        <w:rPr>
          <w:rFonts w:hint="eastAsia" w:ascii="宋体" w:hAnsi="宋体" w:eastAsia="宋体" w:cs="宋体"/>
          <w:lang w:val="en-US"/>
        </w:rPr>
        <w:t xml:space="preserve">  </w:t>
      </w:r>
      <w:r>
        <w:rPr>
          <w:rFonts w:hint="eastAsia" w:ascii="宋体" w:hAnsi="宋体" w:eastAsia="宋体" w:cs="宋体"/>
        </w:rPr>
        <w:t>费用及支付方式</w:t>
      </w:r>
    </w:p>
    <w:p>
      <w:pPr>
        <w:pStyle w:val="25"/>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sz w:val="21"/>
        </w:rPr>
        <w:t>(一)</w:t>
      </w:r>
      <w:r>
        <w:rPr>
          <w:rFonts w:hint="eastAsia" w:ascii="宋体" w:hAnsi="宋体" w:eastAsia="宋体" w:cs="宋体"/>
          <w:b/>
        </w:rPr>
        <w:t>本项目</w:t>
      </w:r>
      <w:r>
        <w:rPr>
          <w:rFonts w:hint="eastAsia" w:ascii="宋体" w:hAnsi="宋体" w:eastAsia="宋体" w:cs="宋体"/>
          <w:b/>
          <w:lang w:val="en-US"/>
        </w:rPr>
        <w:t>费用有以</w:t>
      </w:r>
      <w:r>
        <w:rPr>
          <w:rFonts w:hint="eastAsia" w:ascii="宋体" w:hAnsi="宋体" w:eastAsia="宋体" w:cs="宋体"/>
          <w:b/>
        </w:rPr>
        <w:t>下组成：</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 xml:space="preserve"> 1、XX 万元；</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 万元；</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w:t>
      </w:r>
    </w:p>
    <w:p>
      <w:pPr>
        <w:pStyle w:val="25"/>
        <w:kinsoku w:val="0"/>
        <w:overflowPunct w:val="0"/>
        <w:ind w:left="0" w:firstLine="422" w:firstLineChars="200"/>
        <w:jc w:val="both"/>
        <w:rPr>
          <w:rFonts w:hint="eastAsia" w:ascii="宋体" w:hAnsi="宋体" w:eastAsia="宋体" w:cs="宋体"/>
          <w:b/>
        </w:rPr>
      </w:pPr>
      <w:r>
        <w:rPr>
          <w:rFonts w:hint="eastAsia" w:ascii="宋体" w:hAnsi="宋体" w:eastAsia="宋体" w:cs="宋体"/>
          <w:b/>
          <w:sz w:val="21"/>
        </w:rPr>
        <w:t>(二)</w:t>
      </w:r>
      <w:r>
        <w:rPr>
          <w:rFonts w:hint="eastAsia" w:ascii="宋体" w:hAnsi="宋体" w:eastAsia="宋体" w:cs="宋体"/>
          <w:b/>
        </w:rPr>
        <w:t>费用支付方式：</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1、XXXX；</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2、XXXX ；</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3、在支付前甲方对乙方的服务进行考核或验收，合格的支付相应款 项。乙方须向甲方出具合法有效完整的完税发票及凭证资料进行支付结算。</w:t>
      </w:r>
    </w:p>
    <w:p>
      <w:pPr>
        <w:pStyle w:val="25"/>
        <w:kinsoku w:val="0"/>
        <w:overflowPunct w:val="0"/>
        <w:ind w:left="0" w:firstLine="562" w:firstLineChars="200"/>
        <w:jc w:val="both"/>
        <w:rPr>
          <w:rFonts w:hint="eastAsia" w:ascii="宋体" w:hAnsi="宋体" w:eastAsia="宋体" w:cs="宋体"/>
        </w:rPr>
      </w:pPr>
      <w:r>
        <w:rPr>
          <w:rFonts w:hint="eastAsia" w:ascii="宋体" w:hAnsi="宋体" w:eastAsia="宋体" w:cs="宋体"/>
          <w:b/>
        </w:rPr>
        <w:t>第五条</w:t>
      </w:r>
      <w:r>
        <w:rPr>
          <w:rFonts w:hint="eastAsia" w:ascii="宋体" w:hAnsi="宋体" w:eastAsia="宋体" w:cs="宋体"/>
          <w:b/>
          <w:lang w:val="en-US"/>
        </w:rPr>
        <w:t xml:space="preserve">  </w:t>
      </w:r>
      <w:r>
        <w:rPr>
          <w:rFonts w:hint="eastAsia" w:ascii="宋体" w:hAnsi="宋体" w:eastAsia="宋体" w:cs="宋体"/>
          <w:b/>
        </w:rPr>
        <w:t xml:space="preserve">付款条件   </w:t>
      </w:r>
      <w:r>
        <w:rPr>
          <w:rFonts w:hint="eastAsia" w:ascii="宋体" w:hAnsi="宋体" w:eastAsia="宋体" w:cs="宋体"/>
        </w:rPr>
        <w:t xml:space="preserve">               </w:t>
      </w:r>
    </w:p>
    <w:p>
      <w:pPr>
        <w:spacing w:line="360" w:lineRule="auto"/>
        <w:ind w:firstLine="420" w:firstLineChars="200"/>
        <w:jc w:val="both"/>
        <w:rPr>
          <w:rFonts w:hint="eastAsia" w:ascii="宋体" w:hAnsi="宋体" w:eastAsia="宋体" w:cs="宋体"/>
        </w:rPr>
      </w:pPr>
      <w:r>
        <w:rPr>
          <w:rFonts w:hint="eastAsia" w:ascii="宋体" w:hAnsi="宋体" w:eastAsia="宋体" w:cs="宋体"/>
        </w:rPr>
        <w:t>本合同以人民币付款。</w:t>
      </w:r>
    </w:p>
    <w:p>
      <w:pPr>
        <w:spacing w:line="360" w:lineRule="auto"/>
        <w:ind w:firstLine="420" w:firstLineChars="200"/>
        <w:jc w:val="both"/>
        <w:rPr>
          <w:rFonts w:hint="eastAsia" w:ascii="宋体" w:hAnsi="宋体" w:eastAsia="宋体" w:cs="宋体"/>
        </w:rPr>
      </w:pPr>
      <w:r>
        <w:rPr>
          <w:rFonts w:hint="eastAsia" w:ascii="宋体" w:hAnsi="宋体" w:eastAsia="宋体" w:cs="宋体"/>
        </w:rPr>
        <w:t>该项目是否实行预付款：</w:t>
      </w:r>
    </w:p>
    <w:p>
      <w:pPr>
        <w:spacing w:line="360" w:lineRule="auto"/>
        <w:ind w:firstLine="420" w:firstLineChars="200"/>
        <w:jc w:val="both"/>
        <w:rPr>
          <w:rFonts w:hint="eastAsia" w:ascii="宋体" w:hAnsi="宋体" w:eastAsia="宋体" w:cs="宋体"/>
        </w:rPr>
      </w:pPr>
      <w:r>
        <w:rPr>
          <w:rFonts w:hint="eastAsia" w:ascii="宋体" w:hAnsi="宋体" w:eastAsia="宋体" w:cs="宋体"/>
        </w:rPr>
        <w:t>实行预付款的条件和比例：</w:t>
      </w:r>
    </w:p>
    <w:p>
      <w:pPr>
        <w:spacing w:line="360" w:lineRule="auto"/>
        <w:ind w:firstLine="420" w:firstLineChars="200"/>
        <w:jc w:val="both"/>
        <w:rPr>
          <w:rFonts w:hint="eastAsia" w:ascii="宋体" w:hAnsi="宋体" w:eastAsia="宋体" w:cs="宋体"/>
        </w:rPr>
      </w:pPr>
      <w:r>
        <w:rPr>
          <w:rFonts w:hint="eastAsia" w:ascii="宋体" w:hAnsi="宋体" w:eastAsia="宋体" w:cs="宋体"/>
        </w:rPr>
        <w:t>合同款项结算方式和支付比例：</w:t>
      </w:r>
      <w:r>
        <w:rPr>
          <w:rFonts w:hint="eastAsia" w:ascii="宋体" w:hAnsi="宋体" w:eastAsia="宋体" w:cs="宋体"/>
          <w:lang w:val="en-US"/>
        </w:rPr>
        <w:t xml:space="preserve">   </w:t>
      </w:r>
    </w:p>
    <w:p>
      <w:pPr>
        <w:spacing w:line="360" w:lineRule="auto"/>
        <w:ind w:firstLine="420" w:firstLineChars="200"/>
        <w:jc w:val="both"/>
        <w:rPr>
          <w:rFonts w:hint="eastAsia" w:ascii="宋体" w:hAnsi="宋体" w:eastAsia="宋体" w:cs="宋体"/>
          <w:u w:val="single"/>
        </w:rPr>
      </w:pPr>
      <w:r>
        <w:rPr>
          <w:rFonts w:hint="eastAsia" w:ascii="宋体" w:hAnsi="宋体" w:eastAsia="宋体" w:cs="宋体"/>
          <w:lang w:val="en-US"/>
        </w:rPr>
        <w:t>(</w:t>
      </w:r>
      <w:r>
        <w:rPr>
          <w:rFonts w:hint="eastAsia" w:ascii="宋体" w:hAnsi="宋体" w:eastAsia="宋体" w:cs="宋体"/>
        </w:rPr>
        <w:t>具体付款方式</w:t>
      </w:r>
      <w:r>
        <w:rPr>
          <w:rFonts w:hint="eastAsia" w:ascii="宋体" w:hAnsi="宋体" w:eastAsia="宋体" w:cs="宋体"/>
          <w:u w:val="single"/>
        </w:rPr>
        <w:t>按投标人须知前附表以及采、购双方的具体约定</w:t>
      </w:r>
    </w:p>
    <w:p>
      <w:pPr>
        <w:pStyle w:val="574"/>
        <w:spacing w:beforeLines="0" w:afterLines="0"/>
        <w:ind w:left="0" w:firstLine="562" w:firstLineChars="200"/>
        <w:jc w:val="both"/>
        <w:rPr>
          <w:rFonts w:hint="eastAsia" w:ascii="宋体" w:hAnsi="宋体" w:eastAsia="宋体" w:cs="宋体"/>
          <w:b/>
          <w:kern w:val="2"/>
          <w:sz w:val="28"/>
          <w:szCs w:val="20"/>
          <w:lang w:val="en-US" w:eastAsia="zh-CN" w:bidi="ar-SA"/>
        </w:rPr>
      </w:pPr>
      <w:r>
        <w:rPr>
          <w:rFonts w:hint="eastAsia" w:ascii="宋体" w:hAnsi="宋体" w:eastAsia="宋体" w:cs="宋体"/>
          <w:b/>
          <w:kern w:val="2"/>
          <w:sz w:val="28"/>
          <w:szCs w:val="20"/>
          <w:lang w:val="en-US" w:eastAsia="zh-CN" w:bidi="ar-SA"/>
        </w:rPr>
        <w:t>第六条  验收方法</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3、甲方视情况可以邀请参加本项目的其他投标人或者第三方机构参与验收，参与验收的投标人或者第三方机构的意见作为验收书的参考资料一并存档。</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检测、验收费用承担方式：</w:t>
      </w:r>
    </w:p>
    <w:p>
      <w:pPr>
        <w:pStyle w:val="25"/>
        <w:kinsoku w:val="0"/>
        <w:overflowPunct w:val="0"/>
        <w:spacing w:line="364" w:lineRule="auto"/>
        <w:ind w:left="0" w:firstLine="562" w:firstLineChars="200"/>
        <w:jc w:val="both"/>
        <w:rPr>
          <w:rFonts w:hint="eastAsia" w:ascii="宋体" w:hAnsi="宋体" w:eastAsia="宋体" w:cs="宋体"/>
          <w:b/>
        </w:rPr>
      </w:pPr>
      <w:r>
        <w:rPr>
          <w:rFonts w:hint="eastAsia" w:ascii="宋体" w:hAnsi="宋体" w:eastAsia="宋体" w:cs="宋体"/>
          <w:b/>
        </w:rPr>
        <w:t>第七条 知识产权</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乙方应保证所提供的服务或其任何一部分均不会侵犯任何第三方的专利权、商标权或著作权。</w:t>
      </w:r>
    </w:p>
    <w:p>
      <w:pPr>
        <w:pStyle w:val="2"/>
        <w:kinsoku w:val="0"/>
        <w:overflowPunct w:val="0"/>
        <w:ind w:left="0" w:firstLine="602" w:firstLineChars="200"/>
        <w:jc w:val="both"/>
        <w:rPr>
          <w:rFonts w:hint="eastAsia" w:ascii="宋体" w:hAnsi="宋体" w:eastAsia="宋体" w:cs="宋体"/>
        </w:rPr>
      </w:pPr>
      <w:r>
        <w:rPr>
          <w:rFonts w:hint="eastAsia" w:ascii="宋体" w:hAnsi="宋体" w:eastAsia="宋体" w:cs="宋体"/>
        </w:rPr>
        <w:t>第八条 无产权瑕疵条款</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乙方保证所提供的服务的所有权完全属于乙方且无任何抵押、查封等产权瑕疵。如有产权瑕疵的，视为乙方违约。乙方应负担由此而产生的一切损失。</w:t>
      </w:r>
    </w:p>
    <w:p>
      <w:pPr>
        <w:spacing w:line="400" w:lineRule="exact"/>
        <w:ind w:firstLine="422" w:firstLineChars="200"/>
        <w:jc w:val="both"/>
        <w:rPr>
          <w:rFonts w:hint="eastAsia" w:ascii="宋体" w:hAnsi="宋体" w:eastAsia="宋体" w:cs="宋体"/>
          <w:b/>
          <w:bCs/>
          <w:szCs w:val="27"/>
        </w:rPr>
      </w:pPr>
      <w:r>
        <w:rPr>
          <w:rFonts w:hint="eastAsia" w:ascii="宋体" w:hAnsi="宋体" w:eastAsia="宋体" w:cs="宋体"/>
          <w:b/>
          <w:bCs/>
          <w:szCs w:val="27"/>
        </w:rPr>
        <w:t xml:space="preserve">第九条  </w:t>
      </w:r>
      <w:r>
        <w:rPr>
          <w:rFonts w:hint="eastAsia" w:ascii="宋体" w:hAnsi="宋体" w:eastAsia="宋体" w:cs="宋体"/>
          <w:szCs w:val="27"/>
        </w:rPr>
        <w:t>履约（或质量）保证金</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2.若确需质量保证金的，质量保证金不得超过合同总价款的5%</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3.如乙方未能履行其合同规定的任何义务，甲方有权从履约保证金中取得补偿。</w:t>
      </w:r>
    </w:p>
    <w:p>
      <w:pPr>
        <w:pStyle w:val="2"/>
        <w:kinsoku w:val="0"/>
        <w:overflowPunct w:val="0"/>
        <w:spacing w:line="400" w:lineRule="exact"/>
        <w:ind w:left="0" w:firstLine="602" w:firstLineChars="200"/>
        <w:jc w:val="both"/>
        <w:rPr>
          <w:rFonts w:hint="eastAsia" w:ascii="宋体" w:hAnsi="宋体" w:eastAsia="宋体" w:cs="宋体"/>
        </w:rPr>
      </w:pPr>
      <w:r>
        <w:rPr>
          <w:rFonts w:hint="eastAsia" w:ascii="宋体" w:hAnsi="宋体" w:eastAsia="宋体" w:cs="宋体"/>
        </w:rPr>
        <w:t>第十条 甲方的权利和义务</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1、甲方有权对合同规定范围内乙方的行为进行监督和检查，拥有监管权。有权定期核对乙方提供服务所配备的人员数量。对甲方认为不合理的部分有权下达整改通知书，并要求乙方限期整改。</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2、甲方有权依据双方签订的考评办法对乙方提供的服务进行定期考评。当考评结果未达到标准时，有权依据考评办法约定的数额扣除履约保证金。</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3、负责检查监督乙方管理工作的实施及制度的执行情况。</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4、根据本合同规定，按时向乙方支付应付服务费用。</w:t>
      </w:r>
    </w:p>
    <w:p>
      <w:pPr>
        <w:spacing w:line="360" w:lineRule="auto"/>
        <w:ind w:firstLine="420" w:firstLineChars="200"/>
        <w:jc w:val="both"/>
        <w:rPr>
          <w:rFonts w:hint="eastAsia" w:ascii="宋体" w:hAnsi="宋体" w:eastAsia="宋体" w:cs="宋体"/>
        </w:rPr>
      </w:pPr>
      <w:r>
        <w:rPr>
          <w:rFonts w:hint="eastAsia" w:ascii="宋体" w:hAnsi="宋体" w:eastAsia="宋体" w:cs="宋体"/>
          <w:lang w:val="en-US" w:eastAsia="zh-CN"/>
        </w:rPr>
        <w:t xml:space="preserve">5、国家法律、法规所规定由甲方承担的其他责任    </w:t>
      </w:r>
      <w:r>
        <w:rPr>
          <w:rFonts w:hint="eastAsia" w:ascii="宋体" w:hAnsi="宋体" w:eastAsia="宋体" w:cs="宋体"/>
          <w:lang w:val="en-US"/>
        </w:rPr>
        <w:t xml:space="preserve">           </w:t>
      </w:r>
    </w:p>
    <w:p>
      <w:pPr>
        <w:pStyle w:val="25"/>
        <w:kinsoku w:val="0"/>
        <w:overflowPunct w:val="0"/>
        <w:spacing w:line="364" w:lineRule="auto"/>
        <w:ind w:left="0" w:firstLine="562" w:firstLineChars="200"/>
        <w:jc w:val="both"/>
        <w:rPr>
          <w:rFonts w:hint="eastAsia" w:ascii="宋体" w:hAnsi="宋体" w:eastAsia="宋体" w:cs="宋体"/>
          <w:b/>
        </w:rPr>
      </w:pPr>
      <w:r>
        <w:rPr>
          <w:rFonts w:hint="eastAsia" w:ascii="宋体" w:hAnsi="宋体" w:eastAsia="宋体" w:cs="宋体"/>
          <w:b/>
        </w:rPr>
        <w:t>第十一条 乙方的权利和义务</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1、对本合同规定的委托服务范围内的项目享有管理权及服务义务。</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2、根据本合同的规定向甲方收取相关服务费用，并有权在本项目管理范围内管理及合理使用。</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3、及时向甲方通告本项目服务范围内有关服务的重大事项，及时配合处理投诉。</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4、接受项目行业管理部门及政府有关部门的指导，接受甲方的监督。</w:t>
      </w:r>
    </w:p>
    <w:p>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5、国家法律、法规所规定由乙方承担的其它责任。</w:t>
      </w:r>
    </w:p>
    <w:p>
      <w:pPr>
        <w:pStyle w:val="25"/>
        <w:kinsoku w:val="0"/>
        <w:overflowPunct w:val="0"/>
        <w:spacing w:line="364" w:lineRule="auto"/>
        <w:ind w:left="0" w:firstLine="562" w:firstLineChars="200"/>
        <w:jc w:val="both"/>
        <w:rPr>
          <w:rFonts w:hint="eastAsia" w:ascii="宋体" w:hAnsi="宋体" w:eastAsia="宋体" w:cs="宋体"/>
          <w:b/>
        </w:rPr>
      </w:pPr>
      <w:r>
        <w:rPr>
          <w:rFonts w:hint="eastAsia" w:ascii="宋体" w:hAnsi="宋体" w:eastAsia="宋体" w:cs="宋体"/>
          <w:b/>
        </w:rPr>
        <w:t>第十二条 违约责任</w:t>
      </w:r>
    </w:p>
    <w:p>
      <w:pPr>
        <w:pStyle w:val="25"/>
        <w:kinsoku w:val="0"/>
        <w:overflowPunct w:val="0"/>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1、甲乙双方必须遵守本合同并执行合同中的各项规定，保证本合同的正常履行。</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2、甲方逾期付款的，除应及时付足款项外，应向乙方偿付欠款总额万分之 /天的违约金；逾期付款超过 天的，乙方有权终止合同。</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pStyle w:val="25"/>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4、变更、中止或者终止合同，有过错的一方应当承担赔偿责任，双方都有过错的，各自承担相应的责任。</w:t>
      </w:r>
    </w:p>
    <w:p>
      <w:pPr>
        <w:spacing w:line="360" w:lineRule="auto"/>
        <w:ind w:firstLine="422" w:firstLineChars="200"/>
        <w:jc w:val="both"/>
        <w:rPr>
          <w:rFonts w:hint="eastAsia" w:ascii="宋体" w:hAnsi="宋体" w:eastAsia="宋体" w:cs="宋体"/>
          <w:b/>
        </w:rPr>
      </w:pPr>
      <w:r>
        <w:rPr>
          <w:rFonts w:hint="eastAsia" w:ascii="宋体" w:hAnsi="宋体" w:eastAsia="宋体" w:cs="宋体"/>
          <w:b/>
          <w:bCs/>
          <w:szCs w:val="27"/>
        </w:rPr>
        <w:t xml:space="preserve">第十三条 </w:t>
      </w:r>
      <w:r>
        <w:rPr>
          <w:rFonts w:hint="eastAsia" w:ascii="宋体" w:hAnsi="宋体" w:eastAsia="宋体" w:cs="宋体"/>
          <w:bCs/>
        </w:rPr>
        <w:t>转让与分包</w:t>
      </w:r>
    </w:p>
    <w:p>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除甲方事先书面同意外，乙方不得部分转让或全部转让其应履行的合同义务。</w:t>
      </w:r>
    </w:p>
    <w:p>
      <w:pPr>
        <w:spacing w:line="360" w:lineRule="auto"/>
        <w:ind w:firstLine="42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firstLineChars="200"/>
        <w:jc w:val="both"/>
        <w:rPr>
          <w:rFonts w:hint="eastAsia" w:ascii="宋体" w:hAnsi="宋体" w:eastAsia="宋体" w:cs="宋体"/>
          <w:b/>
        </w:rPr>
      </w:pPr>
      <w:r>
        <w:rPr>
          <w:rFonts w:hint="eastAsia" w:ascii="宋体" w:hAnsi="宋体" w:eastAsia="宋体" w:cs="宋体"/>
          <w:b/>
          <w:bCs/>
          <w:szCs w:val="27"/>
        </w:rPr>
        <w:t xml:space="preserve">第十四条 </w:t>
      </w:r>
      <w:r>
        <w:rPr>
          <w:rFonts w:hint="eastAsia" w:ascii="宋体" w:hAnsi="宋体" w:eastAsia="宋体" w:cs="宋体"/>
          <w:bCs/>
        </w:rPr>
        <w:t>合同文件及资料的使用</w:t>
      </w:r>
    </w:p>
    <w:p>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乙方在未经甲方同意的情况下，不得将合同、合同中的规定、有关计划、图纸、样本或甲方为上述内容向乙方提供的资料透露给任何人。</w:t>
      </w:r>
    </w:p>
    <w:p>
      <w:pPr>
        <w:spacing w:line="360" w:lineRule="auto"/>
        <w:ind w:firstLine="42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除非执行合同需要，在事先未得到甲方同意的情况下，乙方不得使用前款所列的任何文件和资料。</w:t>
      </w:r>
    </w:p>
    <w:p>
      <w:pPr>
        <w:pStyle w:val="2"/>
        <w:kinsoku w:val="0"/>
        <w:overflowPunct w:val="0"/>
        <w:ind w:left="0" w:firstLine="602" w:firstLineChars="200"/>
        <w:jc w:val="both"/>
        <w:rPr>
          <w:rFonts w:hint="eastAsia" w:ascii="宋体" w:hAnsi="宋体" w:eastAsia="宋体" w:cs="宋体"/>
        </w:rPr>
      </w:pPr>
      <w:r>
        <w:rPr>
          <w:rFonts w:hint="eastAsia" w:ascii="宋体" w:hAnsi="宋体" w:eastAsia="宋体" w:cs="宋体"/>
        </w:rPr>
        <w:t>第十五条 不可抗力事件处理</w:t>
      </w:r>
    </w:p>
    <w:p>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pStyle w:val="2"/>
        <w:kinsoku w:val="0"/>
        <w:overflowPunct w:val="0"/>
        <w:ind w:left="0" w:firstLine="602" w:firstLineChars="200"/>
        <w:jc w:val="both"/>
        <w:rPr>
          <w:rFonts w:hint="eastAsia" w:ascii="宋体" w:hAnsi="宋体" w:eastAsia="宋体" w:cs="宋体"/>
        </w:rPr>
      </w:pPr>
      <w:r>
        <w:rPr>
          <w:rFonts w:hint="eastAsia" w:ascii="宋体" w:hAnsi="宋体" w:eastAsia="宋体" w:cs="宋体"/>
        </w:rPr>
        <w:t>第十六条 合同纠纷调处</w:t>
      </w:r>
    </w:p>
    <w:p>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.按本合同规定应该偿付的违约金、赔偿金、保管保养费和各种经济损失，应当在明确责任后10天内，按银行规定的结算办法付清，否则按逾期付款处理。</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Cs w:val="27"/>
          <w:u w:val="single"/>
        </w:rPr>
        <w:t>周口仲裁委员会</w:t>
      </w:r>
      <w:r>
        <w:rPr>
          <w:rFonts w:hint="eastAsia" w:ascii="宋体" w:hAnsi="宋体" w:eastAsia="宋体" w:cs="宋体"/>
          <w:szCs w:val="27"/>
        </w:rPr>
        <w:t>申请仲裁。②向</w:t>
      </w:r>
      <w:r>
        <w:rPr>
          <w:rFonts w:hint="eastAsia" w:ascii="宋体" w:hAnsi="宋体" w:eastAsia="宋体" w:cs="宋体"/>
        </w:rPr>
        <w:t>合同签订地有级别管辖权的</w:t>
      </w:r>
      <w:r>
        <w:rPr>
          <w:rFonts w:hint="eastAsia" w:ascii="宋体" w:hAnsi="宋体" w:eastAsia="宋体" w:cs="宋体"/>
          <w:szCs w:val="27"/>
        </w:rPr>
        <w:t>人民法院起诉。</w:t>
      </w:r>
    </w:p>
    <w:p>
      <w:pPr>
        <w:pStyle w:val="2"/>
        <w:kinsoku w:val="0"/>
        <w:overflowPunct w:val="0"/>
        <w:ind w:left="0" w:firstLine="602" w:firstLineChars="200"/>
        <w:jc w:val="both"/>
        <w:rPr>
          <w:rFonts w:hint="eastAsia" w:ascii="宋体" w:hAnsi="宋体" w:eastAsia="宋体" w:cs="宋体"/>
          <w:szCs w:val="27"/>
          <w:lang w:val="en-US"/>
        </w:rPr>
      </w:pPr>
      <w:r>
        <w:rPr>
          <w:rFonts w:hint="eastAsia" w:ascii="宋体" w:hAnsi="宋体" w:eastAsia="宋体" w:cs="宋体"/>
          <w:szCs w:val="27"/>
          <w:lang w:val="en-US"/>
        </w:rPr>
        <w:t>3、</w:t>
      </w:r>
      <w:r>
        <w:rPr>
          <w:rFonts w:hint="eastAsia" w:ascii="宋体" w:hAnsi="宋体" w:eastAsia="宋体" w:cs="宋体"/>
          <w:b w:val="0"/>
          <w:bCs w:val="0"/>
          <w:kern w:val="2"/>
          <w:sz w:val="21"/>
          <w:szCs w:val="27"/>
          <w:lang w:val="en-US" w:eastAsia="zh-CN" w:bidi="ar-SA"/>
        </w:rPr>
        <w:t>甲、乙双方均有权利向本项目具有监管职能的政府采购监督管理部门举报反映对方在合同履约中的违法违纪行为。</w:t>
      </w:r>
    </w:p>
    <w:p>
      <w:pPr>
        <w:spacing w:line="360" w:lineRule="auto"/>
        <w:ind w:firstLine="422" w:firstLineChars="200"/>
        <w:jc w:val="both"/>
        <w:rPr>
          <w:rFonts w:hint="eastAsia" w:ascii="宋体" w:hAnsi="宋体" w:eastAsia="宋体" w:cs="宋体"/>
          <w:b/>
          <w:bCs/>
          <w:szCs w:val="27"/>
        </w:rPr>
      </w:pPr>
      <w:r>
        <w:rPr>
          <w:rFonts w:hint="eastAsia" w:ascii="宋体" w:hAnsi="宋体" w:eastAsia="宋体" w:cs="宋体"/>
          <w:b/>
          <w:bCs/>
          <w:szCs w:val="27"/>
        </w:rPr>
        <w:t>第十七条 其他</w:t>
      </w:r>
    </w:p>
    <w:p>
      <w:pPr>
        <w:spacing w:line="360" w:lineRule="auto"/>
        <w:ind w:firstLine="422" w:firstLineChars="200"/>
        <w:jc w:val="both"/>
        <w:rPr>
          <w:rFonts w:hint="eastAsia" w:ascii="宋体" w:hAnsi="宋体" w:eastAsia="宋体" w:cs="宋体"/>
          <w:szCs w:val="27"/>
        </w:rPr>
      </w:pPr>
      <w:r>
        <w:rPr>
          <w:rFonts w:hint="eastAsia" w:ascii="宋体" w:hAnsi="宋体" w:eastAsia="宋体" w:cs="宋体"/>
          <w:b/>
          <w:bCs/>
          <w:szCs w:val="27"/>
        </w:rPr>
        <w:t xml:space="preserve"> </w:t>
      </w:r>
      <w:r>
        <w:rPr>
          <w:rFonts w:hint="eastAsia" w:ascii="宋体" w:hAnsi="宋体" w:eastAsia="宋体" w:cs="宋体"/>
          <w:szCs w:val="27"/>
        </w:rPr>
        <w:t>下列关于周口市公共资源交易中心政府采购代理机构名称</w:t>
      </w:r>
      <w:r>
        <w:rPr>
          <w:rFonts w:hint="eastAsia" w:ascii="宋体" w:hAnsi="宋体" w:eastAsia="宋体" w:cs="宋体"/>
          <w:szCs w:val="27"/>
          <w:u w:val="single"/>
        </w:rPr>
        <w:t>某项目（项目编号：某编号）</w:t>
      </w:r>
      <w:r>
        <w:rPr>
          <w:rFonts w:hint="eastAsia" w:ascii="宋体" w:hAnsi="宋体" w:eastAsia="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 xml:space="preserve">    </w:t>
      </w:r>
      <w:r>
        <w:rPr>
          <w:rFonts w:hint="eastAsia" w:ascii="宋体" w:hAnsi="宋体" w:eastAsia="宋体" w:cs="宋体"/>
        </w:rPr>
        <w:t>本合同一式</w:t>
      </w:r>
      <w:r>
        <w:rPr>
          <w:rFonts w:hint="eastAsia" w:ascii="宋体" w:hAnsi="宋体" w:eastAsia="宋体" w:cs="宋体"/>
          <w:u w:val="single"/>
        </w:rPr>
        <w:t xml:space="preserve">   </w:t>
      </w:r>
      <w:r>
        <w:rPr>
          <w:rFonts w:hint="eastAsia" w:ascii="宋体" w:hAnsi="宋体" w:eastAsia="宋体" w:cs="宋体"/>
        </w:rPr>
        <w:t>份，甲乙双方各执</w:t>
      </w:r>
      <w:r>
        <w:rPr>
          <w:rFonts w:hint="eastAsia" w:ascii="宋体" w:hAnsi="宋体" w:eastAsia="宋体" w:cs="宋体"/>
          <w:u w:val="single"/>
        </w:rPr>
        <w:t xml:space="preserve">   </w:t>
      </w:r>
      <w:r>
        <w:rPr>
          <w:rFonts w:hint="eastAsia" w:ascii="宋体" w:hAnsi="宋体" w:eastAsia="宋体" w:cs="宋体"/>
        </w:rPr>
        <w:t>份，自双方当事人签字盖章之日起生效。</w:t>
      </w:r>
    </w:p>
    <w:p>
      <w:pPr>
        <w:spacing w:line="360" w:lineRule="auto"/>
        <w:ind w:firstLine="420" w:firstLineChars="200"/>
        <w:jc w:val="both"/>
        <w:rPr>
          <w:rFonts w:hint="eastAsia" w:ascii="宋体" w:hAnsi="宋体" w:eastAsia="宋体" w:cs="宋体"/>
          <w:szCs w:val="27"/>
        </w:rPr>
      </w:pPr>
    </w:p>
    <w:p>
      <w:pPr>
        <w:pStyle w:val="117"/>
        <w:ind w:firstLine="240"/>
        <w:rPr>
          <w:rFonts w:hint="eastAsia" w:ascii="宋体" w:hAnsi="宋体" w:eastAsia="宋体" w:cs="宋体"/>
        </w:rPr>
      </w:pP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 xml:space="preserve">采购人（甲方）：    （公章）           供货人（乙方）：     （公章）  </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地址：                               地址：</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法定代表人：                         法定代表人：</w:t>
      </w:r>
    </w:p>
    <w:p>
      <w:pPr>
        <w:spacing w:line="360" w:lineRule="auto"/>
        <w:ind w:firstLine="420" w:firstLineChars="200"/>
        <w:jc w:val="both"/>
        <w:rPr>
          <w:rFonts w:hint="eastAsia" w:ascii="宋体" w:hAnsi="宋体" w:eastAsia="宋体" w:cs="宋体"/>
          <w:u w:val="single"/>
        </w:rPr>
      </w:pPr>
      <w:r>
        <w:rPr>
          <w:rFonts w:hint="eastAsia" w:ascii="宋体" w:hAnsi="宋体" w:eastAsia="宋体" w:cs="宋体"/>
          <w:szCs w:val="27"/>
        </w:rPr>
        <w:t>委托代理人：                         委托代理人：</w:t>
      </w:r>
    </w:p>
    <w:p>
      <w:pPr>
        <w:spacing w:line="360" w:lineRule="auto"/>
        <w:ind w:firstLine="420" w:firstLineChars="200"/>
        <w:jc w:val="both"/>
        <w:rPr>
          <w:rFonts w:hint="eastAsia" w:ascii="宋体" w:hAnsi="宋体" w:eastAsia="宋体" w:cs="宋体"/>
        </w:rPr>
      </w:pPr>
      <w:r>
        <w:rPr>
          <w:rFonts w:hint="eastAsia" w:ascii="宋体" w:hAnsi="宋体" w:eastAsia="宋体" w:cs="宋体"/>
        </w:rPr>
        <w:t>电话：                               电话：</w:t>
      </w:r>
    </w:p>
    <w:p>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开户银行：                           开户银行：</w:t>
      </w:r>
    </w:p>
    <w:p>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账号：                               账号：</w:t>
      </w:r>
    </w:p>
    <w:p>
      <w:pPr>
        <w:spacing w:line="640" w:lineRule="exact"/>
        <w:ind w:firstLine="420" w:firstLineChars="200"/>
        <w:jc w:val="both"/>
        <w:rPr>
          <w:rFonts w:hint="eastAsia" w:ascii="宋体" w:hAnsi="宋体" w:eastAsia="宋体" w:cs="宋体"/>
          <w:szCs w:val="27"/>
          <w:u w:val="single"/>
        </w:rPr>
      </w:pPr>
    </w:p>
    <w:p>
      <w:pPr>
        <w:spacing w:line="900" w:lineRule="exact"/>
        <w:jc w:val="center"/>
        <w:rPr>
          <w:rFonts w:hint="eastAsia" w:ascii="宋体" w:hAnsi="宋体" w:eastAsia="宋体" w:cs="宋体"/>
          <w:szCs w:val="27"/>
        </w:rPr>
      </w:pPr>
      <w:r>
        <w:rPr>
          <w:rFonts w:hint="eastAsia" w:ascii="宋体" w:hAnsi="宋体" w:eastAsia="宋体" w:cs="宋体"/>
          <w:szCs w:val="27"/>
          <w:u w:val="single"/>
        </w:rPr>
        <w:t>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 xml:space="preserve">日           </w:t>
      </w:r>
      <w:r>
        <w:rPr>
          <w:rFonts w:hint="eastAsia" w:ascii="宋体" w:hAnsi="宋体" w:eastAsia="宋体" w:cs="宋体"/>
          <w:szCs w:val="27"/>
          <w:lang w:val="en-US"/>
        </w:rPr>
        <w:t xml:space="preserve">             </w:t>
      </w:r>
      <w:r>
        <w:rPr>
          <w:rFonts w:hint="eastAsia" w:ascii="宋体" w:hAnsi="宋体" w:eastAsia="宋体" w:cs="宋体"/>
          <w:szCs w:val="27"/>
          <w:u w:val="single"/>
        </w:rPr>
        <w:t xml:space="preserve">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 xml:space="preserve">日     </w:t>
      </w: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pStyle w:val="117"/>
        <w:rPr>
          <w:rFonts w:hint="eastAsia" w:ascii="宋体" w:hAnsi="宋体" w:eastAsia="宋体" w:cs="宋体"/>
          <w:szCs w:val="27"/>
        </w:rPr>
      </w:pPr>
    </w:p>
    <w:p>
      <w:pPr>
        <w:spacing w:line="900" w:lineRule="exact"/>
        <w:jc w:val="center"/>
        <w:rPr>
          <w:rFonts w:hint="eastAsia" w:ascii="宋体" w:hAnsi="宋体" w:eastAsia="宋体" w:cs="宋体"/>
          <w:b/>
          <w:bCs/>
          <w:sz w:val="32"/>
          <w:szCs w:val="32"/>
        </w:rPr>
      </w:pPr>
    </w:p>
    <w:p>
      <w:pPr>
        <w:spacing w:line="900" w:lineRule="exact"/>
        <w:jc w:val="center"/>
        <w:rPr>
          <w:rFonts w:hint="eastAsia" w:ascii="宋体" w:hAnsi="宋体" w:eastAsia="宋体" w:cs="宋体"/>
          <w:b/>
          <w:bCs/>
          <w:sz w:val="32"/>
          <w:szCs w:val="32"/>
        </w:rPr>
      </w:pPr>
    </w:p>
    <w:p>
      <w:pPr>
        <w:pStyle w:val="2"/>
        <w:bidi w:val="0"/>
        <w:rPr>
          <w:rFonts w:hint="eastAsia" w:ascii="宋体" w:hAnsi="宋体" w:eastAsia="宋体" w:cs="宋体"/>
        </w:rPr>
      </w:pPr>
      <w:bookmarkStart w:id="131" w:name="_Toc30894"/>
      <w:r>
        <w:rPr>
          <w:rFonts w:hint="eastAsia" w:ascii="宋体" w:hAnsi="宋体" w:eastAsia="宋体" w:cs="宋体"/>
        </w:rPr>
        <w:t>第七章 投标文件格式</w:t>
      </w:r>
      <w:bookmarkEnd w:id="130"/>
      <w:bookmarkEnd w:id="131"/>
    </w:p>
    <w:p>
      <w:pPr>
        <w:spacing w:line="900" w:lineRule="exact"/>
        <w:jc w:val="center"/>
        <w:rPr>
          <w:rFonts w:hint="eastAsia" w:ascii="宋体" w:hAnsi="宋体" w:eastAsia="宋体" w:cs="宋体"/>
          <w:b/>
          <w:bCs/>
          <w:sz w:val="32"/>
          <w:szCs w:val="32"/>
        </w:rPr>
      </w:pPr>
      <w:r>
        <w:rPr>
          <w:rFonts w:hint="eastAsia" w:ascii="宋体" w:hAnsi="宋体" w:eastAsia="宋体" w:cs="宋体"/>
          <w:b/>
          <w:bCs/>
          <w:sz w:val="32"/>
          <w:szCs w:val="32"/>
        </w:rPr>
        <w:t>****项目</w:t>
      </w:r>
    </w:p>
    <w:p>
      <w:pPr>
        <w:pStyle w:val="50"/>
        <w:rPr>
          <w:rFonts w:hint="eastAsia" w:ascii="宋体" w:hAnsi="宋体" w:eastAsia="宋体" w:cs="宋体"/>
        </w:rPr>
      </w:pPr>
    </w:p>
    <w:p>
      <w:pPr>
        <w:spacing w:line="900" w:lineRule="exact"/>
        <w:jc w:val="center"/>
        <w:rPr>
          <w:rFonts w:hint="eastAsia" w:ascii="宋体" w:hAnsi="宋体" w:eastAsia="宋体" w:cs="宋体"/>
          <w:b/>
          <w:sz w:val="72"/>
        </w:rPr>
      </w:pPr>
      <w:r>
        <w:rPr>
          <w:rFonts w:hint="eastAsia" w:ascii="宋体" w:hAnsi="宋体" w:eastAsia="宋体" w:cs="宋体"/>
          <w:b/>
          <w:sz w:val="72"/>
        </w:rPr>
        <w:t>投</w:t>
      </w:r>
    </w:p>
    <w:p>
      <w:pPr>
        <w:spacing w:line="900" w:lineRule="exact"/>
        <w:jc w:val="center"/>
        <w:rPr>
          <w:rFonts w:hint="eastAsia" w:ascii="宋体" w:hAnsi="宋体" w:eastAsia="宋体" w:cs="宋体"/>
          <w:b/>
          <w:sz w:val="72"/>
        </w:rPr>
      </w:pPr>
    </w:p>
    <w:p>
      <w:pPr>
        <w:spacing w:line="900" w:lineRule="exact"/>
        <w:jc w:val="center"/>
        <w:rPr>
          <w:rFonts w:hint="eastAsia" w:ascii="宋体" w:hAnsi="宋体" w:eastAsia="宋体" w:cs="宋体"/>
          <w:b/>
          <w:sz w:val="72"/>
        </w:rPr>
      </w:pPr>
      <w:r>
        <w:rPr>
          <w:rFonts w:hint="eastAsia" w:ascii="宋体" w:hAnsi="宋体" w:eastAsia="宋体" w:cs="宋体"/>
          <w:b/>
          <w:sz w:val="72"/>
        </w:rPr>
        <w:t>标</w:t>
      </w:r>
    </w:p>
    <w:p>
      <w:pPr>
        <w:spacing w:line="900" w:lineRule="exact"/>
        <w:jc w:val="center"/>
        <w:rPr>
          <w:rFonts w:hint="eastAsia" w:ascii="宋体" w:hAnsi="宋体" w:eastAsia="宋体" w:cs="宋体"/>
          <w:b/>
          <w:sz w:val="72"/>
        </w:rPr>
      </w:pPr>
    </w:p>
    <w:p>
      <w:pPr>
        <w:spacing w:line="900" w:lineRule="exact"/>
        <w:jc w:val="center"/>
        <w:rPr>
          <w:rFonts w:hint="eastAsia" w:ascii="宋体" w:hAnsi="宋体" w:eastAsia="宋体" w:cs="宋体"/>
          <w:b/>
          <w:sz w:val="72"/>
        </w:rPr>
      </w:pPr>
      <w:r>
        <w:rPr>
          <w:rFonts w:hint="eastAsia" w:ascii="宋体" w:hAnsi="宋体" w:eastAsia="宋体" w:cs="宋体"/>
          <w:b/>
          <w:sz w:val="72"/>
        </w:rPr>
        <w:t>文</w:t>
      </w:r>
    </w:p>
    <w:p>
      <w:pPr>
        <w:spacing w:line="900" w:lineRule="exact"/>
        <w:jc w:val="center"/>
        <w:rPr>
          <w:rFonts w:hint="eastAsia" w:ascii="宋体" w:hAnsi="宋体" w:eastAsia="宋体" w:cs="宋体"/>
          <w:b/>
          <w:sz w:val="72"/>
        </w:rPr>
      </w:pPr>
    </w:p>
    <w:p>
      <w:pPr>
        <w:jc w:val="center"/>
        <w:rPr>
          <w:rFonts w:hint="eastAsia" w:ascii="宋体" w:hAnsi="宋体" w:eastAsia="宋体" w:cs="宋体"/>
          <w:b/>
          <w:sz w:val="72"/>
        </w:rPr>
      </w:pPr>
      <w:r>
        <w:rPr>
          <w:rFonts w:hint="eastAsia" w:ascii="宋体" w:hAnsi="宋体" w:eastAsia="宋体" w:cs="宋体"/>
          <w:b/>
          <w:sz w:val="72"/>
        </w:rPr>
        <w:t>件</w:t>
      </w:r>
    </w:p>
    <w:p>
      <w:pPr>
        <w:spacing w:after="120" w:afterLines="50" w:line="500" w:lineRule="exact"/>
        <w:rPr>
          <w:rFonts w:hint="eastAsia" w:ascii="宋体" w:hAnsi="宋体" w:eastAsia="宋体" w:cs="宋体"/>
          <w:b/>
          <w:sz w:val="32"/>
          <w:u w:val="single"/>
        </w:rPr>
      </w:pPr>
      <w:r>
        <w:rPr>
          <w:rFonts w:hint="eastAsia" w:ascii="宋体" w:hAnsi="宋体" w:eastAsia="宋体" w:cs="宋体"/>
          <w:b/>
          <w:sz w:val="30"/>
        </w:rPr>
        <w:t xml:space="preserve">                 </w:t>
      </w:r>
      <w:r>
        <w:rPr>
          <w:rFonts w:hint="eastAsia" w:ascii="宋体" w:hAnsi="宋体" w:eastAsia="宋体" w:cs="宋体"/>
          <w:b/>
          <w:sz w:val="32"/>
        </w:rPr>
        <w:t>投标人：</w:t>
      </w:r>
      <w:r>
        <w:rPr>
          <w:rFonts w:hint="eastAsia" w:ascii="宋体" w:hAnsi="宋体" w:eastAsia="宋体" w:cs="宋体"/>
          <w:b/>
          <w:sz w:val="32"/>
          <w:u w:val="single"/>
        </w:rPr>
        <w:t xml:space="preserve">               </w:t>
      </w:r>
    </w:p>
    <w:p>
      <w:pPr>
        <w:spacing w:after="120" w:afterLines="50" w:line="500" w:lineRule="exact"/>
        <w:jc w:val="center"/>
        <w:rPr>
          <w:rFonts w:hint="eastAsia" w:ascii="宋体" w:hAnsi="宋体" w:eastAsia="宋体" w:cs="宋体"/>
        </w:rPr>
      </w:pPr>
      <w:r>
        <w:rPr>
          <w:rFonts w:hint="eastAsia" w:ascii="宋体" w:hAnsi="宋体" w:eastAsia="宋体" w:cs="宋体"/>
          <w:b/>
          <w:sz w:val="32"/>
          <w:u w:val="single"/>
        </w:rPr>
        <w:t xml:space="preserve"> </w:t>
      </w:r>
      <w:bookmarkStart w:id="132" w:name="_Toc5567_WPSOffice_Level2"/>
      <w:r>
        <w:rPr>
          <w:rFonts w:hint="eastAsia" w:ascii="宋体" w:hAnsi="宋体" w:eastAsia="宋体" w:cs="宋体"/>
          <w:b/>
          <w:sz w:val="32"/>
        </w:rPr>
        <w:t>年</w:t>
      </w:r>
      <w:r>
        <w:rPr>
          <w:rFonts w:hint="eastAsia" w:ascii="宋体" w:hAnsi="宋体" w:eastAsia="宋体" w:cs="宋体"/>
          <w:b/>
          <w:sz w:val="32"/>
          <w:u w:val="single"/>
        </w:rPr>
        <w:t xml:space="preserve"> </w:t>
      </w:r>
      <w:r>
        <w:rPr>
          <w:rFonts w:hint="eastAsia" w:ascii="宋体" w:hAnsi="宋体" w:eastAsia="宋体" w:cs="宋体"/>
          <w:b/>
          <w:sz w:val="32"/>
        </w:rPr>
        <w:t>月</w:t>
      </w:r>
      <w:r>
        <w:rPr>
          <w:rFonts w:hint="eastAsia" w:ascii="宋体" w:hAnsi="宋体" w:eastAsia="宋体" w:cs="宋体"/>
          <w:b/>
          <w:sz w:val="32"/>
          <w:u w:val="single"/>
        </w:rPr>
        <w:t xml:space="preserve"> </w:t>
      </w:r>
      <w:r>
        <w:rPr>
          <w:rFonts w:hint="eastAsia" w:ascii="宋体" w:hAnsi="宋体" w:eastAsia="宋体" w:cs="宋体"/>
          <w:b/>
          <w:sz w:val="32"/>
        </w:rPr>
        <w:t>日</w:t>
      </w:r>
      <w:bookmarkEnd w:id="132"/>
      <w:bookmarkStart w:id="133" w:name="_Hlt519068595"/>
      <w:bookmarkEnd w:id="133"/>
      <w:bookmarkStart w:id="134" w:name="_Hlt50174722"/>
      <w:bookmarkEnd w:id="134"/>
      <w:bookmarkStart w:id="135" w:name="_Hlt50174972"/>
      <w:bookmarkEnd w:id="135"/>
      <w:bookmarkStart w:id="136" w:name="_Hlt533408877"/>
      <w:bookmarkEnd w:id="136"/>
      <w:bookmarkStart w:id="137" w:name="_Hlt50174708"/>
      <w:bookmarkEnd w:id="137"/>
      <w:bookmarkStart w:id="138" w:name="_Hlt519045470"/>
      <w:bookmarkEnd w:id="138"/>
      <w:bookmarkStart w:id="139" w:name="_Hlt519045391"/>
      <w:bookmarkStart w:id="140" w:name="_Hlt509738521"/>
      <w:bookmarkStart w:id="141" w:name="_Hlt509738509"/>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47"/>
        <w:rPr>
          <w:rFonts w:hint="eastAsia" w:ascii="宋体" w:hAnsi="宋体" w:eastAsia="宋体" w:cs="宋体"/>
        </w:rPr>
      </w:pPr>
      <w:bookmarkStart w:id="142" w:name="_Toc20284_WPSOffice_Level2"/>
      <w:r>
        <w:rPr>
          <w:rFonts w:hint="eastAsia" w:ascii="宋体" w:hAnsi="宋体" w:eastAsia="宋体" w:cs="宋体"/>
        </w:rPr>
        <w:t>投标文件资料清单</w:t>
      </w:r>
      <w:bookmarkEnd w:id="142"/>
    </w:p>
    <w:tbl>
      <w:tblPr>
        <w:tblStyle w:val="7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5460"/>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spacing w:line="400" w:lineRule="exact"/>
              <w:jc w:val="center"/>
              <w:rPr>
                <w:rFonts w:hint="eastAsia" w:ascii="宋体" w:hAnsi="宋体" w:eastAsia="宋体" w:cs="宋体"/>
                <w:b/>
                <w:sz w:val="24"/>
              </w:rPr>
            </w:pPr>
            <w:r>
              <w:rPr>
                <w:rFonts w:hint="eastAsia" w:ascii="宋体" w:hAnsi="宋体" w:eastAsia="宋体" w:cs="宋体"/>
                <w:b/>
                <w:sz w:val="24"/>
              </w:rPr>
              <w:t>序号</w:t>
            </w:r>
          </w:p>
        </w:tc>
        <w:tc>
          <w:tcPr>
            <w:tcW w:w="5460" w:type="dxa"/>
            <w:noWrap w:val="0"/>
            <w:vAlign w:val="center"/>
          </w:tcPr>
          <w:p>
            <w:pPr>
              <w:spacing w:line="400" w:lineRule="exact"/>
              <w:jc w:val="center"/>
              <w:rPr>
                <w:rFonts w:hint="eastAsia" w:ascii="宋体" w:hAnsi="宋体" w:eastAsia="宋体" w:cs="宋体"/>
                <w:b/>
                <w:sz w:val="24"/>
              </w:rPr>
            </w:pPr>
            <w:r>
              <w:rPr>
                <w:rFonts w:hint="eastAsia" w:ascii="宋体" w:hAnsi="宋体" w:eastAsia="宋体" w:cs="宋体"/>
                <w:b/>
                <w:sz w:val="24"/>
              </w:rPr>
              <w:t>资料名称</w:t>
            </w:r>
          </w:p>
        </w:tc>
        <w:tc>
          <w:tcPr>
            <w:tcW w:w="1854" w:type="dxa"/>
            <w:noWrap w:val="0"/>
            <w:vAlign w:val="center"/>
          </w:tcPr>
          <w:p>
            <w:pPr>
              <w:spacing w:line="400" w:lineRule="exact"/>
              <w:jc w:val="center"/>
              <w:rPr>
                <w:rFonts w:hint="eastAsia" w:ascii="宋体" w:hAnsi="宋体" w:eastAsia="宋体" w:cs="宋体"/>
                <w:b/>
                <w:sz w:val="24"/>
              </w:rPr>
            </w:pPr>
            <w:r>
              <w:rPr>
                <w:rFonts w:hint="eastAsia" w:ascii="宋体" w:hAnsi="宋体" w:eastAsia="宋体" w:cs="宋体"/>
                <w:b/>
                <w:sz w:val="24"/>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一</w:t>
            </w:r>
          </w:p>
        </w:tc>
        <w:tc>
          <w:tcPr>
            <w:tcW w:w="5460" w:type="dxa"/>
            <w:noWrap w:val="0"/>
            <w:vAlign w:val="center"/>
          </w:tcPr>
          <w:p>
            <w:pPr>
              <w:rPr>
                <w:rFonts w:hint="eastAsia" w:ascii="宋体" w:hAnsi="宋体" w:eastAsia="宋体" w:cs="宋体"/>
                <w:u w:val="single"/>
              </w:rPr>
            </w:pPr>
            <w:r>
              <w:rPr>
                <w:rFonts w:hint="eastAsia" w:ascii="宋体" w:hAnsi="宋体" w:eastAsia="宋体" w:cs="宋体"/>
                <w:bCs/>
                <w:sz w:val="24"/>
              </w:rPr>
              <w:t>开标一览表</w:t>
            </w:r>
          </w:p>
        </w:tc>
        <w:tc>
          <w:tcPr>
            <w:tcW w:w="1854" w:type="dxa"/>
            <w:noWrap w:val="0"/>
            <w:vAlign w:val="center"/>
          </w:tcPr>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二</w:t>
            </w:r>
          </w:p>
        </w:tc>
        <w:tc>
          <w:tcPr>
            <w:tcW w:w="5460" w:type="dxa"/>
            <w:noWrap w:val="0"/>
            <w:vAlign w:val="center"/>
          </w:tcPr>
          <w:p>
            <w:pPr>
              <w:rPr>
                <w:rFonts w:hint="eastAsia" w:ascii="宋体" w:hAnsi="宋体" w:eastAsia="宋体" w:cs="宋体"/>
                <w:bCs/>
                <w:sz w:val="24"/>
              </w:rPr>
            </w:pPr>
            <w:r>
              <w:rPr>
                <w:rFonts w:hint="eastAsia" w:ascii="宋体" w:hAnsi="宋体" w:eastAsia="宋体" w:cs="宋体"/>
                <w:sz w:val="24"/>
              </w:rPr>
              <w:t>投标人情况综合简介</w:t>
            </w:r>
          </w:p>
        </w:tc>
        <w:tc>
          <w:tcPr>
            <w:tcW w:w="1854" w:type="dxa"/>
            <w:noWrap w:val="0"/>
            <w:vAlign w:val="center"/>
          </w:tcPr>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jc w:val="center"/>
              <w:rPr>
                <w:rFonts w:hint="eastAsia" w:ascii="宋体" w:hAnsi="宋体" w:eastAsia="宋体" w:cs="宋体"/>
                <w:bCs/>
                <w:sz w:val="24"/>
              </w:rPr>
            </w:pPr>
            <w:r>
              <w:rPr>
                <w:rFonts w:hint="eastAsia" w:ascii="宋体" w:hAnsi="宋体" w:eastAsia="宋体" w:cs="宋体"/>
                <w:bCs/>
                <w:sz w:val="24"/>
              </w:rPr>
              <w:t>三</w:t>
            </w:r>
          </w:p>
        </w:tc>
        <w:tc>
          <w:tcPr>
            <w:tcW w:w="5460" w:type="dxa"/>
            <w:noWrap w:val="0"/>
            <w:vAlign w:val="center"/>
          </w:tcPr>
          <w:p>
            <w:pPr>
              <w:rPr>
                <w:rFonts w:hint="eastAsia" w:ascii="宋体" w:hAnsi="宋体" w:eastAsia="宋体" w:cs="宋体"/>
                <w:bCs/>
                <w:sz w:val="24"/>
              </w:rPr>
            </w:pPr>
            <w:r>
              <w:rPr>
                <w:rFonts w:hint="eastAsia" w:ascii="宋体" w:hAnsi="宋体" w:eastAsia="宋体" w:cs="宋体"/>
                <w:bCs/>
                <w:sz w:val="24"/>
              </w:rPr>
              <w:t>投标函</w:t>
            </w:r>
          </w:p>
        </w:tc>
        <w:tc>
          <w:tcPr>
            <w:tcW w:w="1854" w:type="dxa"/>
            <w:noWrap w:val="0"/>
            <w:vAlign w:val="center"/>
          </w:tcPr>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四</w:t>
            </w:r>
          </w:p>
        </w:tc>
        <w:tc>
          <w:tcPr>
            <w:tcW w:w="5460" w:type="dxa"/>
            <w:noWrap w:val="0"/>
            <w:vAlign w:val="center"/>
          </w:tcPr>
          <w:p>
            <w:pPr>
              <w:pStyle w:val="455"/>
              <w:rPr>
                <w:rFonts w:hint="eastAsia" w:ascii="宋体" w:hAnsi="宋体" w:eastAsia="宋体" w:cs="宋体"/>
                <w:bCs/>
              </w:rPr>
            </w:pPr>
            <w:r>
              <w:rPr>
                <w:rFonts w:hint="eastAsia" w:ascii="宋体" w:hAnsi="宋体" w:eastAsia="宋体" w:cs="宋体"/>
                <w:bCs/>
              </w:rPr>
              <w:t>投标分项报价表</w:t>
            </w:r>
          </w:p>
        </w:tc>
        <w:tc>
          <w:tcPr>
            <w:tcW w:w="1854" w:type="dxa"/>
            <w:noWrap w:val="0"/>
            <w:vAlign w:val="center"/>
          </w:tcPr>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五</w:t>
            </w:r>
          </w:p>
        </w:tc>
        <w:tc>
          <w:tcPr>
            <w:tcW w:w="5460" w:type="dxa"/>
            <w:noWrap w:val="0"/>
            <w:vAlign w:val="center"/>
          </w:tcPr>
          <w:p>
            <w:pPr>
              <w:rPr>
                <w:rFonts w:hint="eastAsia" w:ascii="宋体" w:hAnsi="宋体" w:eastAsia="宋体" w:cs="宋体"/>
                <w:bCs/>
                <w:sz w:val="24"/>
              </w:rPr>
            </w:pPr>
            <w:r>
              <w:rPr>
                <w:rFonts w:hint="eastAsia" w:ascii="宋体" w:hAnsi="宋体" w:eastAsia="宋体" w:cs="宋体"/>
                <w:sz w:val="24"/>
              </w:rPr>
              <w:t>投标响应表</w:t>
            </w:r>
          </w:p>
        </w:tc>
        <w:tc>
          <w:tcPr>
            <w:tcW w:w="1854" w:type="dxa"/>
            <w:noWrap w:val="0"/>
            <w:vAlign w:val="center"/>
          </w:tcPr>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noWrap w:val="0"/>
            <w:vAlign w:val="center"/>
          </w:tcPr>
          <w:p>
            <w:pPr>
              <w:jc w:val="center"/>
              <w:rPr>
                <w:rFonts w:hint="eastAsia" w:ascii="宋体" w:hAnsi="宋体" w:eastAsia="宋体" w:cs="宋体"/>
                <w:sz w:val="24"/>
                <w:lang w:eastAsia="zh-CN"/>
              </w:rPr>
            </w:pPr>
            <w:r>
              <w:rPr>
                <w:rFonts w:hint="eastAsia" w:ascii="宋体" w:hAnsi="宋体" w:cs="宋体"/>
                <w:sz w:val="24"/>
                <w:lang w:val="en-US" w:eastAsia="zh-CN"/>
              </w:rPr>
              <w:t>六</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服务质量承诺</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50" w:type="dxa"/>
            <w:noWrap w:val="0"/>
            <w:vAlign w:val="center"/>
          </w:tcPr>
          <w:p>
            <w:pPr>
              <w:jc w:val="center"/>
              <w:rPr>
                <w:rFonts w:hint="eastAsia" w:ascii="宋体" w:hAnsi="宋体" w:eastAsia="宋体" w:cs="宋体"/>
                <w:sz w:val="24"/>
                <w:lang w:val="en-US" w:eastAsia="zh-CN"/>
              </w:rPr>
            </w:pPr>
            <w:r>
              <w:rPr>
                <w:rFonts w:hint="eastAsia" w:ascii="宋体" w:hAnsi="宋体" w:cs="宋体"/>
                <w:sz w:val="24"/>
                <w:lang w:val="en-US" w:eastAsia="zh-CN"/>
              </w:rPr>
              <w:t>七</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有关证明文件</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noWrap w:val="0"/>
            <w:vAlign w:val="center"/>
          </w:tcPr>
          <w:p>
            <w:pPr>
              <w:ind w:firstLine="240" w:firstLineChars="100"/>
              <w:rPr>
                <w:rFonts w:hint="eastAsia" w:ascii="宋体" w:hAnsi="宋体" w:eastAsia="宋体" w:cs="宋体"/>
                <w:sz w:val="24"/>
                <w:lang w:val="en-US" w:eastAsia="zh-CN"/>
              </w:rPr>
            </w:pPr>
            <w:r>
              <w:rPr>
                <w:rFonts w:hint="eastAsia" w:ascii="宋体" w:hAnsi="宋体" w:eastAsia="宋体" w:cs="宋体"/>
                <w:sz w:val="24"/>
                <w:lang w:val="en-US" w:eastAsia="zh-CN"/>
              </w:rPr>
              <w:t>八</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中小企业声明函</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pPr>
              <w:jc w:val="center"/>
              <w:rPr>
                <w:rFonts w:hint="eastAsia" w:ascii="宋体" w:hAnsi="宋体" w:eastAsia="宋体" w:cs="宋体"/>
                <w:sz w:val="24"/>
                <w:lang w:val="en-US" w:eastAsia="zh-CN"/>
              </w:rPr>
            </w:pPr>
            <w:r>
              <w:rPr>
                <w:rFonts w:hint="eastAsia" w:ascii="宋体" w:hAnsi="宋体" w:cs="宋体"/>
                <w:sz w:val="24"/>
                <w:lang w:val="en-US" w:eastAsia="zh-CN"/>
              </w:rPr>
              <w:t>九</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售后服务</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十</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所投服务的技术资料等</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pPr>
              <w:jc w:val="center"/>
              <w:rPr>
                <w:rFonts w:hint="eastAsia" w:ascii="宋体" w:hAnsi="宋体" w:eastAsia="宋体" w:cs="宋体"/>
                <w:sz w:val="24"/>
                <w:lang w:val="en-US" w:eastAsia="zh-CN"/>
              </w:rPr>
            </w:pPr>
            <w:r>
              <w:rPr>
                <w:rFonts w:hint="eastAsia" w:ascii="宋体" w:hAnsi="宋体" w:eastAsia="宋体" w:cs="宋体"/>
                <w:sz w:val="24"/>
              </w:rPr>
              <w:t>十</w:t>
            </w:r>
            <w:r>
              <w:rPr>
                <w:rFonts w:hint="eastAsia" w:ascii="宋体" w:hAnsi="宋体" w:cs="宋体"/>
                <w:sz w:val="24"/>
                <w:lang w:val="en-US" w:eastAsia="zh-CN"/>
              </w:rPr>
              <w:t>一</w:t>
            </w:r>
          </w:p>
        </w:tc>
        <w:tc>
          <w:tcPr>
            <w:tcW w:w="5460" w:type="dxa"/>
            <w:noWrap w:val="0"/>
            <w:vAlign w:val="center"/>
          </w:tcPr>
          <w:p>
            <w:pPr>
              <w:rPr>
                <w:rFonts w:hint="eastAsia" w:ascii="宋体" w:hAnsi="宋体" w:eastAsia="宋体" w:cs="宋体"/>
                <w:sz w:val="24"/>
              </w:rPr>
            </w:pPr>
            <w:r>
              <w:rPr>
                <w:rFonts w:hint="eastAsia" w:ascii="宋体" w:hAnsi="宋体" w:eastAsia="宋体" w:cs="宋体"/>
                <w:sz w:val="24"/>
              </w:rPr>
              <w:t>其他投标人认为需要提供得材料等</w:t>
            </w: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noWrap w:val="0"/>
            <w:vAlign w:val="center"/>
          </w:tcPr>
          <w:p>
            <w:pPr>
              <w:jc w:val="center"/>
              <w:rPr>
                <w:rFonts w:hint="eastAsia" w:ascii="宋体" w:hAnsi="宋体" w:eastAsia="宋体" w:cs="宋体"/>
                <w:sz w:val="24"/>
              </w:rPr>
            </w:pPr>
            <w:r>
              <w:rPr>
                <w:rFonts w:hint="eastAsia" w:ascii="宋体" w:hAnsi="宋体" w:eastAsia="宋体" w:cs="宋体"/>
                <w:sz w:val="24"/>
              </w:rPr>
              <w:t>十二</w:t>
            </w:r>
          </w:p>
        </w:tc>
        <w:tc>
          <w:tcPr>
            <w:tcW w:w="5460" w:type="dxa"/>
            <w:noWrap w:val="0"/>
            <w:vAlign w:val="center"/>
          </w:tcPr>
          <w:p>
            <w:pPr>
              <w:jc w:val="both"/>
              <w:rPr>
                <w:rFonts w:hint="eastAsia" w:ascii="宋体" w:hAnsi="宋体" w:eastAsia="宋体" w:cs="宋体"/>
                <w:sz w:val="24"/>
              </w:rPr>
            </w:pPr>
            <w:r>
              <w:rPr>
                <w:rFonts w:hint="eastAsia" w:ascii="宋体" w:hAnsi="宋体" w:eastAsia="宋体" w:cs="宋体"/>
                <w:sz w:val="24"/>
              </w:rPr>
              <w:t>政府采购供应商诚信承诺书</w:t>
            </w:r>
          </w:p>
          <w:p>
            <w:pPr>
              <w:jc w:val="center"/>
              <w:rPr>
                <w:rFonts w:hint="eastAsia" w:ascii="宋体" w:hAnsi="宋体" w:eastAsia="宋体" w:cs="宋体"/>
                <w:sz w:val="24"/>
              </w:rPr>
            </w:pPr>
          </w:p>
        </w:tc>
        <w:tc>
          <w:tcPr>
            <w:tcW w:w="1854" w:type="dxa"/>
            <w:noWrap w:val="0"/>
            <w:vAlign w:val="center"/>
          </w:tcPr>
          <w:p>
            <w:pPr>
              <w:spacing w:line="360" w:lineRule="auto"/>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364" w:type="dxa"/>
            <w:gridSpan w:val="3"/>
            <w:noWrap w:val="0"/>
            <w:vAlign w:val="center"/>
          </w:tcPr>
          <w:p>
            <w:pPr>
              <w:spacing w:line="500" w:lineRule="exact"/>
              <w:rPr>
                <w:rFonts w:hint="eastAsia" w:ascii="宋体" w:hAnsi="宋体" w:eastAsia="宋体" w:cs="宋体"/>
                <w:b/>
                <w:sz w:val="28"/>
              </w:rPr>
            </w:pPr>
            <w:r>
              <w:rPr>
                <w:rFonts w:hint="eastAsia" w:ascii="宋体" w:hAnsi="宋体" w:eastAsia="宋体" w:cs="宋体"/>
                <w:b/>
                <w:sz w:val="28"/>
              </w:rPr>
              <w:t>备注：投标文件资料清单是投标人制作投标文件的参考格式，并非必须格式，请各位投标人根据所投项目需要自行增减，是否依据了本格式或自行增减了多少格式并不是废标的条款。</w:t>
            </w:r>
          </w:p>
        </w:tc>
      </w:tr>
    </w:tbl>
    <w:p>
      <w:pPr>
        <w:spacing w:line="500" w:lineRule="exact"/>
        <w:rPr>
          <w:rFonts w:hint="eastAsia" w:ascii="宋体" w:hAnsi="宋体" w:eastAsia="宋体" w:cs="宋体"/>
          <w:sz w:val="28"/>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4"/>
        <w:rPr>
          <w:rFonts w:hint="eastAsia" w:ascii="宋体" w:hAnsi="宋体" w:eastAsia="宋体" w:cs="宋体"/>
          <w:sz w:val="28"/>
          <w:lang w:eastAsia="zh-CN"/>
        </w:rPr>
      </w:pPr>
      <w:bookmarkStart w:id="143" w:name="_Toc40975449"/>
      <w:bookmarkStart w:id="144" w:name="_Toc197934561"/>
      <w:bookmarkStart w:id="145" w:name="_Toc2396_WPSOffice_Level2"/>
    </w:p>
    <w:p>
      <w:pPr>
        <w:bidi w:val="0"/>
        <w:jc w:val="center"/>
        <w:rPr>
          <w:rFonts w:hint="eastAsia" w:ascii="宋体" w:hAnsi="宋体" w:eastAsia="宋体" w:cs="宋体"/>
          <w:b/>
          <w:bCs/>
          <w:sz w:val="28"/>
          <w:szCs w:val="28"/>
        </w:rPr>
      </w:pPr>
      <w:bookmarkStart w:id="146" w:name="_Toc5255"/>
      <w:bookmarkStart w:id="147" w:name="_Toc11226"/>
      <w:bookmarkStart w:id="148" w:name="_Toc17431"/>
      <w:r>
        <w:rPr>
          <w:rFonts w:hint="eastAsia" w:ascii="宋体" w:hAnsi="宋体" w:eastAsia="宋体" w:cs="宋体"/>
          <w:b/>
          <w:bCs/>
          <w:sz w:val="28"/>
          <w:szCs w:val="28"/>
        </w:rPr>
        <w:t>一．开标一览表</w:t>
      </w:r>
      <w:bookmarkEnd w:id="143"/>
      <w:bookmarkEnd w:id="144"/>
      <w:bookmarkEnd w:id="145"/>
      <w:bookmarkEnd w:id="146"/>
      <w:bookmarkEnd w:id="147"/>
      <w:bookmarkEnd w:id="148"/>
    </w:p>
    <w:tbl>
      <w:tblPr>
        <w:tblStyle w:val="7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6"/>
        <w:gridCol w:w="6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056" w:type="dxa"/>
            <w:tcBorders>
              <w:top w:val="single" w:color="auto" w:sz="4" w:space="0"/>
              <w:bottom w:val="single" w:color="auto" w:sz="4" w:space="0"/>
              <w:right w:val="single" w:color="auto" w:sz="4" w:space="0"/>
            </w:tcBorders>
            <w:noWrap w:val="0"/>
            <w:vAlign w:val="center"/>
          </w:tcPr>
          <w:p>
            <w:pPr>
              <w:widowControl/>
              <w:spacing w:line="360" w:lineRule="exact"/>
              <w:jc w:val="center"/>
              <w:rPr>
                <w:rFonts w:hint="eastAsia" w:ascii="宋体" w:hAnsi="宋体" w:eastAsia="宋体" w:cs="宋体"/>
                <w:b/>
                <w:sz w:val="24"/>
              </w:rPr>
            </w:pPr>
            <w:r>
              <w:rPr>
                <w:rFonts w:hint="eastAsia" w:ascii="宋体" w:hAnsi="宋体" w:eastAsia="宋体" w:cs="宋体"/>
                <w:b/>
                <w:sz w:val="24"/>
              </w:rPr>
              <w:t>项目名称</w:t>
            </w:r>
          </w:p>
        </w:tc>
        <w:tc>
          <w:tcPr>
            <w:tcW w:w="6309" w:type="dxa"/>
            <w:tcBorders>
              <w:top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bCs/>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pPr>
              <w:spacing w:line="360" w:lineRule="exact"/>
              <w:jc w:val="center"/>
              <w:rPr>
                <w:rFonts w:hint="eastAsia" w:ascii="宋体" w:hAnsi="宋体" w:eastAsia="宋体" w:cs="宋体"/>
                <w:b/>
                <w:sz w:val="24"/>
              </w:rPr>
            </w:pPr>
            <w:r>
              <w:rPr>
                <w:rFonts w:hint="eastAsia" w:ascii="宋体" w:hAnsi="宋体" w:eastAsia="宋体" w:cs="宋体"/>
                <w:b/>
                <w:sz w:val="24"/>
              </w:rPr>
              <w:t>投标人全称</w:t>
            </w:r>
          </w:p>
        </w:tc>
        <w:tc>
          <w:tcPr>
            <w:tcW w:w="6309" w:type="dxa"/>
            <w:tcBorders>
              <w:top w:val="nil"/>
            </w:tcBorders>
            <w:noWrap w:val="0"/>
            <w:vAlign w:val="center"/>
          </w:tcPr>
          <w:p>
            <w:pPr>
              <w:spacing w:line="36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pPr>
              <w:spacing w:line="360" w:lineRule="exact"/>
              <w:jc w:val="center"/>
              <w:rPr>
                <w:rFonts w:hint="eastAsia" w:ascii="宋体" w:hAnsi="宋体" w:eastAsia="宋体" w:cs="宋体"/>
                <w:b/>
                <w:sz w:val="24"/>
              </w:rPr>
            </w:pPr>
            <w:r>
              <w:rPr>
                <w:rFonts w:hint="eastAsia" w:ascii="宋体" w:hAnsi="宋体" w:eastAsia="宋体" w:cs="宋体"/>
                <w:b/>
                <w:sz w:val="24"/>
              </w:rPr>
              <w:t>投标范围</w:t>
            </w:r>
          </w:p>
        </w:tc>
        <w:tc>
          <w:tcPr>
            <w:tcW w:w="6309" w:type="dxa"/>
            <w:tcBorders>
              <w:top w:val="nil"/>
            </w:tcBorders>
            <w:noWrap w:val="0"/>
            <w:vAlign w:val="center"/>
          </w:tcPr>
          <w:p>
            <w:pPr>
              <w:widowControl/>
              <w:spacing w:line="360" w:lineRule="exact"/>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pPr>
              <w:spacing w:line="360" w:lineRule="exact"/>
              <w:jc w:val="center"/>
              <w:rPr>
                <w:rFonts w:hint="eastAsia" w:ascii="宋体" w:hAnsi="宋体" w:eastAsia="宋体" w:cs="宋体"/>
                <w:b/>
                <w:sz w:val="24"/>
              </w:rPr>
            </w:pPr>
            <w:r>
              <w:rPr>
                <w:rFonts w:hint="eastAsia" w:ascii="宋体" w:hAnsi="宋体" w:eastAsia="宋体" w:cs="宋体"/>
                <w:b/>
                <w:sz w:val="24"/>
              </w:rPr>
              <w:t>1、最终投标报价</w:t>
            </w:r>
          </w:p>
          <w:p>
            <w:pPr>
              <w:spacing w:line="360" w:lineRule="exact"/>
              <w:jc w:val="center"/>
              <w:rPr>
                <w:rFonts w:hint="eastAsia" w:ascii="宋体" w:hAnsi="宋体" w:eastAsia="宋体" w:cs="宋体"/>
                <w:b/>
                <w:sz w:val="24"/>
              </w:rPr>
            </w:pPr>
            <w:r>
              <w:rPr>
                <w:rFonts w:hint="eastAsia" w:ascii="宋体" w:hAnsi="宋体" w:eastAsia="宋体" w:cs="宋体"/>
                <w:b/>
                <w:sz w:val="24"/>
              </w:rPr>
              <w:t>（人民币）</w:t>
            </w:r>
          </w:p>
          <w:p>
            <w:pPr>
              <w:spacing w:line="360" w:lineRule="exact"/>
              <w:rPr>
                <w:rFonts w:hint="eastAsia" w:ascii="宋体" w:hAnsi="宋体" w:eastAsia="宋体" w:cs="宋体"/>
              </w:rPr>
            </w:pPr>
          </w:p>
        </w:tc>
        <w:tc>
          <w:tcPr>
            <w:tcW w:w="6309" w:type="dxa"/>
            <w:tcBorders>
              <w:top w:val="nil"/>
            </w:tcBorders>
            <w:noWrap w:val="0"/>
            <w:vAlign w:val="center"/>
          </w:tcPr>
          <w:p>
            <w:pPr>
              <w:spacing w:line="360" w:lineRule="exact"/>
              <w:jc w:val="center"/>
              <w:rPr>
                <w:rFonts w:hint="eastAsia" w:ascii="宋体" w:hAnsi="宋体" w:eastAsia="宋体" w:cs="宋体"/>
                <w:b/>
                <w:sz w:val="24"/>
              </w:rPr>
            </w:pPr>
            <w:r>
              <w:rPr>
                <w:rFonts w:hint="eastAsia" w:ascii="宋体" w:hAnsi="宋体" w:eastAsia="宋体" w:cs="宋体"/>
                <w:b/>
                <w:sz w:val="24"/>
              </w:rPr>
              <w:t xml:space="preserve">1、投标报价：        元、大写：         </w:t>
            </w:r>
          </w:p>
          <w:p>
            <w:pPr>
              <w:pStyle w:val="69"/>
              <w:ind w:right="-21" w:firstLine="540"/>
              <w:rPr>
                <w:rFonts w:hint="eastAsia" w:ascii="宋体" w:hAnsi="宋体" w:eastAsia="宋体" w:cs="宋体"/>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056" w:type="dxa"/>
            <w:tcBorders>
              <w:top w:val="nil"/>
            </w:tcBorders>
            <w:noWrap w:val="0"/>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备注</w:t>
            </w:r>
          </w:p>
        </w:tc>
        <w:tc>
          <w:tcPr>
            <w:tcW w:w="6309" w:type="dxa"/>
            <w:tcBorders>
              <w:top w:val="nil"/>
            </w:tcBorders>
            <w:noWrap w:val="0"/>
            <w:vAlign w:val="center"/>
          </w:tcPr>
          <w:p>
            <w:pPr>
              <w:spacing w:line="360" w:lineRule="auto"/>
              <w:jc w:val="left"/>
              <w:rPr>
                <w:rFonts w:hint="eastAsia" w:ascii="宋体" w:hAnsi="宋体" w:eastAsia="宋体" w:cs="宋体"/>
                <w:sz w:val="24"/>
                <w:szCs w:val="28"/>
              </w:rPr>
            </w:pPr>
          </w:p>
        </w:tc>
      </w:tr>
    </w:tbl>
    <w:p>
      <w:pPr>
        <w:spacing w:line="380" w:lineRule="exact"/>
        <w:ind w:firstLine="3600" w:firstLineChars="1500"/>
        <w:rPr>
          <w:rFonts w:hint="eastAsia" w:ascii="宋体" w:hAnsi="宋体" w:eastAsia="宋体" w:cs="宋体"/>
          <w:sz w:val="24"/>
        </w:rPr>
      </w:pPr>
      <w:r>
        <w:rPr>
          <w:rFonts w:hint="eastAsia" w:ascii="宋体" w:hAnsi="宋体" w:eastAsia="宋体" w:cs="宋体"/>
          <w:sz w:val="24"/>
        </w:rPr>
        <w:t>供应商名称：（电子签章）</w:t>
      </w:r>
    </w:p>
    <w:p>
      <w:pPr>
        <w:spacing w:line="380" w:lineRule="exact"/>
        <w:ind w:right="640" w:firstLine="1560" w:firstLineChars="650"/>
        <w:rPr>
          <w:rFonts w:hint="eastAsia" w:ascii="宋体" w:hAnsi="宋体" w:eastAsia="宋体" w:cs="宋体"/>
          <w:sz w:val="24"/>
        </w:rPr>
      </w:pPr>
    </w:p>
    <w:p>
      <w:pPr>
        <w:spacing w:line="380" w:lineRule="exact"/>
        <w:ind w:right="640" w:firstLine="3600" w:firstLineChars="1500"/>
        <w:rPr>
          <w:rFonts w:hint="eastAsia" w:ascii="宋体" w:hAnsi="宋体" w:eastAsia="宋体" w:cs="宋体"/>
          <w:sz w:val="24"/>
        </w:rPr>
      </w:pPr>
      <w:r>
        <w:rPr>
          <w:rFonts w:hint="eastAsia" w:ascii="宋体" w:hAnsi="宋体" w:eastAsia="宋体" w:cs="宋体"/>
          <w:sz w:val="24"/>
        </w:rPr>
        <w:t>授权委托人：</w:t>
      </w:r>
    </w:p>
    <w:p>
      <w:pPr>
        <w:spacing w:line="380" w:lineRule="exact"/>
        <w:jc w:val="center"/>
        <w:rPr>
          <w:rFonts w:hint="eastAsia" w:ascii="宋体" w:hAnsi="宋体" w:eastAsia="宋体" w:cs="宋体"/>
          <w:sz w:val="24"/>
        </w:rPr>
      </w:pPr>
    </w:p>
    <w:p>
      <w:pPr>
        <w:jc w:val="center"/>
        <w:rPr>
          <w:rFonts w:hint="eastAsia" w:ascii="宋体" w:hAnsi="宋体" w:eastAsia="宋体" w:cs="宋体"/>
          <w:sz w:val="24"/>
        </w:rPr>
      </w:pPr>
      <w:r>
        <w:rPr>
          <w:rFonts w:hint="eastAsia" w:ascii="宋体" w:hAnsi="宋体" w:eastAsia="宋体" w:cs="宋体"/>
          <w:sz w:val="24"/>
        </w:rPr>
        <w:t xml:space="preserve">               日期：      年   月    日</w:t>
      </w:r>
    </w:p>
    <w:p>
      <w:pPr>
        <w:spacing w:before="100" w:beforeAutospacing="1" w:after="100" w:afterAutospacing="1" w:line="360" w:lineRule="auto"/>
        <w:rPr>
          <w:rFonts w:hint="eastAsia" w:ascii="宋体" w:hAnsi="宋体" w:eastAsia="宋体" w:cs="宋体"/>
          <w:b/>
          <w:sz w:val="24"/>
        </w:rPr>
      </w:pPr>
      <w:r>
        <w:rPr>
          <w:rFonts w:hint="eastAsia" w:ascii="宋体" w:hAnsi="宋体" w:eastAsia="宋体" w:cs="宋体"/>
          <w:b/>
          <w:sz w:val="24"/>
        </w:rPr>
        <w:t xml:space="preserve">                                           </w:t>
      </w:r>
    </w:p>
    <w:p>
      <w:pPr>
        <w:spacing w:line="500" w:lineRule="exact"/>
        <w:jc w:val="center"/>
        <w:rPr>
          <w:rFonts w:hint="eastAsia" w:ascii="宋体" w:hAnsi="宋体" w:eastAsia="宋体" w:cs="宋体"/>
          <w:b/>
          <w:bCs/>
          <w:sz w:val="30"/>
        </w:rPr>
      </w:pPr>
    </w:p>
    <w:p>
      <w:pPr>
        <w:spacing w:line="500" w:lineRule="exact"/>
        <w:jc w:val="center"/>
        <w:rPr>
          <w:rFonts w:hint="eastAsia" w:ascii="宋体" w:hAnsi="宋体" w:eastAsia="宋体" w:cs="宋体"/>
          <w:b/>
          <w:bCs/>
          <w:sz w:val="30"/>
        </w:rPr>
      </w:pPr>
    </w:p>
    <w:p>
      <w:pPr>
        <w:spacing w:line="500" w:lineRule="exact"/>
        <w:jc w:val="center"/>
        <w:rPr>
          <w:rFonts w:hint="eastAsia" w:ascii="宋体" w:hAnsi="宋体" w:eastAsia="宋体" w:cs="宋体"/>
          <w:b/>
          <w:bCs/>
          <w:sz w:val="30"/>
        </w:rPr>
      </w:pPr>
    </w:p>
    <w:p>
      <w:pPr>
        <w:pStyle w:val="4"/>
        <w:rPr>
          <w:rFonts w:hint="eastAsia" w:ascii="宋体" w:hAnsi="宋体" w:eastAsia="宋体" w:cs="宋体"/>
          <w:sz w:val="28"/>
        </w:rPr>
      </w:pPr>
      <w:bookmarkStart w:id="149" w:name="_Hlt519045798"/>
      <w:bookmarkEnd w:id="149"/>
      <w:bookmarkStart w:id="150" w:name="_Hlt533409360"/>
      <w:bookmarkEnd w:id="150"/>
      <w:bookmarkStart w:id="151" w:name="_Hlt509716873"/>
      <w:bookmarkEnd w:id="151"/>
      <w:bookmarkStart w:id="152" w:name="_Hlt533408409"/>
      <w:bookmarkEnd w:id="152"/>
      <w:bookmarkStart w:id="153" w:name="_Hlt533408916"/>
      <w:bookmarkEnd w:id="153"/>
      <w:bookmarkStart w:id="154" w:name="_Toc32321"/>
      <w:bookmarkStart w:id="155" w:name="_Toc11175_WPSOffice_Level2"/>
      <w:bookmarkStart w:id="156" w:name="_Toc18070"/>
      <w:bookmarkStart w:id="157" w:name="_Toc6108"/>
      <w:bookmarkStart w:id="158" w:name="_Toc516969097"/>
      <w:bookmarkStart w:id="159" w:name="_Toc40975450"/>
      <w:bookmarkStart w:id="160" w:name="_Toc197934563"/>
      <w:r>
        <w:rPr>
          <w:rFonts w:hint="eastAsia" w:ascii="宋体" w:hAnsi="宋体" w:eastAsia="宋体" w:cs="宋体"/>
          <w:sz w:val="28"/>
        </w:rPr>
        <w:t>二．投标人综合情况简介</w:t>
      </w:r>
      <w:bookmarkEnd w:id="154"/>
      <w:bookmarkEnd w:id="155"/>
      <w:bookmarkEnd w:id="156"/>
      <w:bookmarkEnd w:id="157"/>
      <w:bookmarkEnd w:id="158"/>
      <w:bookmarkEnd w:id="159"/>
    </w:p>
    <w:p>
      <w:pPr>
        <w:spacing w:line="500" w:lineRule="exact"/>
        <w:jc w:val="center"/>
        <w:rPr>
          <w:rFonts w:hint="eastAsia" w:ascii="宋体" w:hAnsi="宋体" w:eastAsia="宋体" w:cs="宋体"/>
          <w:sz w:val="24"/>
        </w:rPr>
      </w:pPr>
      <w:r>
        <w:rPr>
          <w:rFonts w:hint="eastAsia" w:ascii="宋体" w:hAnsi="宋体" w:eastAsia="宋体" w:cs="宋体"/>
          <w:sz w:val="24"/>
        </w:rPr>
        <w:t>(投标人可自行制作格式)</w:t>
      </w:r>
    </w:p>
    <w:p>
      <w:pPr>
        <w:pStyle w:val="50"/>
        <w:rPr>
          <w:rFonts w:hint="eastAsia" w:ascii="宋体" w:hAnsi="宋体" w:eastAsia="宋体" w:cs="宋体"/>
        </w:rPr>
      </w:pPr>
    </w:p>
    <w:p>
      <w:pPr>
        <w:pStyle w:val="4"/>
        <w:spacing w:after="240"/>
        <w:rPr>
          <w:rFonts w:hint="eastAsia" w:ascii="宋体" w:hAnsi="宋体" w:eastAsia="宋体" w:cs="宋体"/>
          <w:sz w:val="28"/>
        </w:rPr>
      </w:pPr>
      <w:bookmarkStart w:id="161" w:name="_Hlt509739007"/>
      <w:bookmarkEnd w:id="161"/>
      <w:bookmarkStart w:id="162" w:name="_Toc516969098"/>
      <w:bookmarkStart w:id="163" w:name="_Toc15297"/>
      <w:bookmarkStart w:id="164" w:name="_Toc40975451"/>
      <w:bookmarkStart w:id="165" w:name="_Toc23480"/>
      <w:bookmarkStart w:id="166" w:name="_Toc1391_WPSOffice_Level2"/>
      <w:bookmarkStart w:id="167" w:name="_Toc25232"/>
      <w:r>
        <w:rPr>
          <w:rFonts w:hint="eastAsia" w:ascii="宋体" w:hAnsi="宋体" w:eastAsia="宋体" w:cs="宋体"/>
          <w:sz w:val="28"/>
        </w:rPr>
        <w:t>三．投标函</w:t>
      </w:r>
      <w:bookmarkEnd w:id="162"/>
      <w:bookmarkEnd w:id="163"/>
      <w:bookmarkEnd w:id="164"/>
      <w:bookmarkEnd w:id="165"/>
      <w:bookmarkEnd w:id="166"/>
      <w:bookmarkEnd w:id="167"/>
    </w:p>
    <w:p>
      <w:pPr>
        <w:pStyle w:val="38"/>
        <w:spacing w:line="360" w:lineRule="auto"/>
        <w:rPr>
          <w:rFonts w:hint="eastAsia" w:ascii="宋体" w:hAnsi="宋体" w:eastAsia="宋体" w:cs="宋体"/>
          <w:b w:val="0"/>
          <w:kern w:val="2"/>
          <w:sz w:val="24"/>
          <w:lang w:val="en-US" w:eastAsia="zh-CN" w:bidi="ar-SA"/>
        </w:rPr>
      </w:pPr>
      <w:r>
        <w:rPr>
          <w:rFonts w:hint="eastAsia" w:ascii="宋体" w:hAnsi="宋体" w:eastAsia="宋体" w:cs="宋体"/>
          <w:b w:val="0"/>
          <w:kern w:val="2"/>
          <w:sz w:val="24"/>
          <w:lang w:val="en-US" w:eastAsia="zh-CN" w:bidi="ar-SA"/>
        </w:rPr>
        <w:t>致：（采购人或采购代理机构）</w:t>
      </w:r>
    </w:p>
    <w:p>
      <w:pPr>
        <w:spacing w:line="360" w:lineRule="auto"/>
        <w:ind w:left="239" w:leftChars="114" w:firstLine="386" w:firstLineChars="161"/>
        <w:rPr>
          <w:rFonts w:hint="eastAsia" w:ascii="宋体" w:hAnsi="宋体" w:eastAsia="宋体" w:cs="宋体"/>
          <w:b/>
          <w:bCs/>
          <w:sz w:val="24"/>
          <w:u w:val="single"/>
        </w:rPr>
      </w:pPr>
      <w:r>
        <w:rPr>
          <w:rFonts w:hint="eastAsia" w:ascii="宋体" w:hAnsi="宋体" w:eastAsia="宋体" w:cs="宋体"/>
          <w:sz w:val="24"/>
        </w:rPr>
        <w:t>根据贵方“</w:t>
      </w:r>
      <w:r>
        <w:rPr>
          <w:rFonts w:hint="eastAsia" w:ascii="宋体" w:hAnsi="宋体" w:eastAsia="宋体" w:cs="宋体"/>
          <w:sz w:val="24"/>
          <w:lang w:eastAsia="zh-CN"/>
        </w:rPr>
        <w:t>（</w:t>
      </w:r>
      <w:r>
        <w:rPr>
          <w:rFonts w:hint="eastAsia" w:ascii="宋体" w:hAnsi="宋体" w:eastAsia="宋体" w:cs="宋体"/>
          <w:b/>
          <w:bCs/>
          <w:sz w:val="24"/>
          <w:u w:val="single"/>
          <w:lang w:val="en-US" w:eastAsia="zh-CN"/>
        </w:rPr>
        <w:t>项目名称、项目编号</w:t>
      </w:r>
      <w:r>
        <w:rPr>
          <w:rFonts w:hint="eastAsia" w:ascii="宋体" w:hAnsi="宋体" w:eastAsia="宋体" w:cs="宋体"/>
          <w:b/>
          <w:bCs/>
          <w:sz w:val="24"/>
          <w:u w:val="single"/>
        </w:rPr>
        <w:t>)</w:t>
      </w:r>
      <w:r>
        <w:rPr>
          <w:rFonts w:hint="eastAsia" w:ascii="宋体" w:hAnsi="宋体" w:eastAsia="宋体" w:cs="宋体"/>
          <w:sz w:val="24"/>
        </w:rPr>
        <w:t>”项目招标邀请书或招标公告，正式授权下述签字人</w:t>
      </w:r>
      <w:r>
        <w:rPr>
          <w:rFonts w:hint="eastAsia" w:ascii="宋体" w:hAnsi="宋体" w:eastAsia="宋体" w:cs="宋体"/>
          <w:sz w:val="24"/>
          <w:u w:val="single"/>
        </w:rPr>
        <w:t xml:space="preserve">         　</w:t>
      </w:r>
      <w:r>
        <w:rPr>
          <w:rFonts w:hint="eastAsia" w:ascii="宋体" w:hAnsi="宋体" w:eastAsia="宋体" w:cs="宋体"/>
          <w:sz w:val="24"/>
        </w:rPr>
        <w:t>（姓名）代表投标人</w:t>
      </w:r>
      <w:r>
        <w:rPr>
          <w:rFonts w:hint="eastAsia" w:ascii="宋体" w:hAnsi="宋体" w:eastAsia="宋体" w:cs="宋体"/>
          <w:sz w:val="24"/>
          <w:u w:val="single"/>
        </w:rPr>
        <w:t xml:space="preserve">        　   </w:t>
      </w:r>
      <w:r>
        <w:rPr>
          <w:rFonts w:hint="eastAsia" w:ascii="宋体" w:hAnsi="宋体" w:eastAsia="宋体" w:cs="宋体"/>
          <w:sz w:val="24"/>
        </w:rPr>
        <w:t>（投标人全称），提交规定形式的投标文件。</w:t>
      </w:r>
    </w:p>
    <w:p>
      <w:pPr>
        <w:spacing w:line="360" w:lineRule="auto"/>
        <w:ind w:firstLine="630"/>
        <w:rPr>
          <w:rFonts w:hint="eastAsia" w:ascii="宋体" w:hAnsi="宋体" w:eastAsia="宋体" w:cs="宋体"/>
          <w:sz w:val="24"/>
        </w:rPr>
      </w:pPr>
      <w:r>
        <w:rPr>
          <w:rFonts w:hint="eastAsia" w:ascii="宋体" w:hAnsi="宋体" w:eastAsia="宋体" w:cs="宋体"/>
          <w:sz w:val="24"/>
        </w:rPr>
        <w:t>据此函，我方兹宣布同意如下：</w:t>
      </w:r>
    </w:p>
    <w:p>
      <w:pPr>
        <w:spacing w:line="360" w:lineRule="auto"/>
        <w:ind w:firstLine="630"/>
        <w:rPr>
          <w:rFonts w:hint="eastAsia" w:ascii="宋体" w:hAnsi="宋体" w:eastAsia="宋体" w:cs="宋体"/>
          <w:sz w:val="24"/>
        </w:rPr>
      </w:pPr>
      <w:r>
        <w:rPr>
          <w:rFonts w:hint="eastAsia" w:ascii="宋体" w:hAnsi="宋体" w:eastAsia="宋体" w:cs="宋体"/>
          <w:sz w:val="24"/>
        </w:rPr>
        <w:t>（1）如我公司中标，愿意按招标文件规定提供交付服务（包括税费等工作）的总报价为人民币</w:t>
      </w:r>
      <w:r>
        <w:rPr>
          <w:rFonts w:hint="eastAsia" w:ascii="宋体" w:hAnsi="宋体" w:eastAsia="宋体" w:cs="宋体"/>
          <w:sz w:val="24"/>
          <w:u w:val="single"/>
        </w:rPr>
        <w:t xml:space="preserve">             </w:t>
      </w:r>
      <w:r>
        <w:rPr>
          <w:rFonts w:hint="eastAsia" w:ascii="宋体" w:hAnsi="宋体" w:eastAsia="宋体" w:cs="宋体"/>
          <w:sz w:val="24"/>
        </w:rPr>
        <w:t>元，服务期</w:t>
      </w:r>
      <w:r>
        <w:rPr>
          <w:rFonts w:hint="eastAsia" w:ascii="宋体" w:hAnsi="宋体" w:eastAsia="宋体" w:cs="宋体"/>
          <w:sz w:val="24"/>
          <w:u w:val="single"/>
        </w:rPr>
        <w:t xml:space="preserve">        </w:t>
      </w:r>
      <w:r>
        <w:rPr>
          <w:rFonts w:hint="eastAsia" w:ascii="宋体" w:hAnsi="宋体" w:eastAsia="宋体" w:cs="宋体"/>
          <w:sz w:val="24"/>
        </w:rPr>
        <w:t>。</w:t>
      </w:r>
    </w:p>
    <w:p>
      <w:pPr>
        <w:spacing w:line="360" w:lineRule="auto"/>
        <w:ind w:firstLine="630"/>
        <w:rPr>
          <w:rFonts w:hint="eastAsia" w:ascii="宋体" w:hAnsi="宋体" w:eastAsia="宋体" w:cs="宋体"/>
          <w:sz w:val="24"/>
        </w:rPr>
      </w:pPr>
      <w:r>
        <w:rPr>
          <w:rFonts w:hint="eastAsia" w:ascii="宋体" w:hAnsi="宋体" w:eastAsia="宋体" w:cs="宋体"/>
          <w:sz w:val="24"/>
        </w:rPr>
        <w:t>（2）我方根据招标文件的规定，严格履行合同的责任和义务,并保证于买方要求的日期内完成服务，并通过买方验收。</w:t>
      </w:r>
    </w:p>
    <w:p>
      <w:pPr>
        <w:spacing w:line="360" w:lineRule="auto"/>
        <w:ind w:firstLine="630"/>
        <w:rPr>
          <w:rFonts w:hint="eastAsia" w:ascii="宋体" w:hAnsi="宋体" w:eastAsia="宋体" w:cs="宋体"/>
          <w:sz w:val="24"/>
        </w:rPr>
      </w:pPr>
      <w:r>
        <w:rPr>
          <w:rFonts w:hint="eastAsia" w:ascii="宋体" w:hAnsi="宋体" w:eastAsia="宋体" w:cs="宋体"/>
          <w:sz w:val="24"/>
        </w:rPr>
        <w:t>（3）我方承诺报价低于同类货物和服务的市场平均价格。</w:t>
      </w:r>
    </w:p>
    <w:p>
      <w:pPr>
        <w:spacing w:line="360" w:lineRule="auto"/>
        <w:ind w:firstLine="630"/>
        <w:rPr>
          <w:rFonts w:hint="eastAsia" w:ascii="宋体" w:hAnsi="宋体" w:eastAsia="宋体" w:cs="宋体"/>
          <w:sz w:val="24"/>
        </w:rPr>
      </w:pPr>
      <w:r>
        <w:rPr>
          <w:rFonts w:hint="eastAsia" w:ascii="宋体" w:hAnsi="宋体" w:eastAsia="宋体" w:cs="宋体"/>
          <w:sz w:val="24"/>
        </w:rPr>
        <w:t>（4）我方已详细审核全部招标文件，包括招标文件修改书（如有），参考资料及有关附件，我方正式认可本次招标文件，并对招标文件各项条款（包括开标时间）均无异议。我方知道必须放弃提出含糊不清或误解的问题的权利。</w:t>
      </w:r>
    </w:p>
    <w:p>
      <w:pPr>
        <w:spacing w:line="360" w:lineRule="auto"/>
        <w:ind w:firstLine="630"/>
        <w:rPr>
          <w:rFonts w:hint="eastAsia" w:ascii="宋体" w:hAnsi="宋体" w:eastAsia="宋体" w:cs="宋体"/>
          <w:sz w:val="24"/>
        </w:rPr>
      </w:pPr>
      <w:r>
        <w:rPr>
          <w:rFonts w:hint="eastAsia" w:ascii="宋体" w:hAnsi="宋体" w:eastAsia="宋体" w:cs="宋体"/>
          <w:sz w:val="24"/>
        </w:rPr>
        <w:t>（5）我方同意从招标文件规定的开标日期起遵循本投标文件，并在招标文件规定的投标有效期之前均具有约束力。</w:t>
      </w:r>
    </w:p>
    <w:p>
      <w:pPr>
        <w:spacing w:line="360" w:lineRule="auto"/>
        <w:ind w:firstLine="630"/>
        <w:rPr>
          <w:rFonts w:hint="eastAsia" w:ascii="宋体" w:hAnsi="宋体" w:eastAsia="宋体" w:cs="宋体"/>
          <w:sz w:val="24"/>
        </w:rPr>
      </w:pPr>
      <w:r>
        <w:rPr>
          <w:rFonts w:hint="eastAsia" w:ascii="宋体" w:hAnsi="宋体" w:eastAsia="宋体" w:cs="宋体"/>
          <w:sz w:val="24"/>
        </w:rPr>
        <w:t>（6）我方声明投标文件所提供的一切资料及周口市公共资源交易中心会员库申报资料均真实、及时、有效。由于我方提供资料不实而造成的责任和后果由我方承担。我方同意按照贵方提出的要求，提供与投标有关的任何证据、数据或资料。</w:t>
      </w:r>
    </w:p>
    <w:p>
      <w:pPr>
        <w:spacing w:line="360" w:lineRule="auto"/>
        <w:ind w:firstLine="630"/>
        <w:rPr>
          <w:rFonts w:hint="eastAsia" w:ascii="宋体" w:hAnsi="宋体" w:eastAsia="宋体" w:cs="宋体"/>
          <w:sz w:val="24"/>
        </w:rPr>
      </w:pPr>
      <w:r>
        <w:rPr>
          <w:rFonts w:hint="eastAsia" w:ascii="宋体" w:hAnsi="宋体" w:eastAsia="宋体" w:cs="宋体"/>
          <w:sz w:val="24"/>
        </w:rPr>
        <w:t>（7）我方完全理解贵方不一定接受最低报价的投标。</w:t>
      </w:r>
    </w:p>
    <w:p>
      <w:pPr>
        <w:spacing w:line="360" w:lineRule="auto"/>
        <w:ind w:firstLine="630"/>
        <w:rPr>
          <w:rFonts w:hint="eastAsia" w:ascii="宋体" w:hAnsi="宋体" w:eastAsia="宋体" w:cs="宋体"/>
          <w:sz w:val="24"/>
        </w:rPr>
      </w:pPr>
      <w:r>
        <w:rPr>
          <w:rFonts w:hint="eastAsia" w:ascii="宋体" w:hAnsi="宋体" w:eastAsia="宋体" w:cs="宋体"/>
          <w:sz w:val="24"/>
        </w:rPr>
        <w:t>（8）我方同意招标文件规定的付款方式。</w:t>
      </w:r>
    </w:p>
    <w:p>
      <w:pPr>
        <w:spacing w:line="360" w:lineRule="auto"/>
        <w:ind w:firstLine="630"/>
        <w:rPr>
          <w:rFonts w:hint="eastAsia" w:ascii="宋体" w:hAnsi="宋体" w:eastAsia="宋体" w:cs="宋体"/>
          <w:sz w:val="24"/>
          <w:u w:val="single"/>
        </w:rPr>
      </w:pPr>
      <w:r>
        <w:rPr>
          <w:rFonts w:hint="eastAsia" w:ascii="宋体" w:hAnsi="宋体" w:eastAsia="宋体" w:cs="宋体"/>
          <w:sz w:val="24"/>
        </w:rPr>
        <w:t>（9）与本投标有关的通讯地址：</w:t>
      </w:r>
      <w:r>
        <w:rPr>
          <w:rFonts w:hint="eastAsia" w:ascii="宋体" w:hAnsi="宋体" w:eastAsia="宋体" w:cs="宋体"/>
          <w:sz w:val="24"/>
          <w:u w:val="single"/>
        </w:rPr>
        <w:t xml:space="preserve">                                  </w:t>
      </w:r>
    </w:p>
    <w:p>
      <w:pPr>
        <w:pStyle w:val="117"/>
        <w:ind w:firstLine="720" w:firstLineChars="300"/>
        <w:rPr>
          <w:rFonts w:hint="default" w:ascii="宋体" w:hAnsi="宋体" w:eastAsia="宋体" w:cs="宋体"/>
          <w:kern w:val="2"/>
          <w:sz w:val="24"/>
          <w:lang w:val="en-US" w:eastAsia="zh-CN" w:bidi="ar-SA"/>
        </w:rPr>
      </w:pPr>
      <w:r>
        <w:rPr>
          <w:rFonts w:hint="eastAsia" w:ascii="宋体" w:hAnsi="宋体" w:eastAsia="宋体" w:cs="宋体"/>
          <w:kern w:val="2"/>
          <w:sz w:val="24"/>
          <w:lang w:val="en-US" w:eastAsia="zh-CN" w:bidi="ar-SA"/>
        </w:rPr>
        <w:t>（10）本项目项目责任人：   电话：</w:t>
      </w:r>
    </w:p>
    <w:p>
      <w:pPr>
        <w:spacing w:line="380" w:lineRule="exact"/>
        <w:ind w:firstLine="3600" w:firstLineChars="1500"/>
        <w:rPr>
          <w:rFonts w:hint="eastAsia" w:ascii="宋体" w:hAnsi="宋体" w:eastAsia="宋体" w:cs="宋体"/>
          <w:sz w:val="24"/>
        </w:rPr>
      </w:pPr>
      <w:r>
        <w:rPr>
          <w:rFonts w:hint="eastAsia" w:ascii="宋体" w:hAnsi="宋体" w:eastAsia="宋体" w:cs="宋体"/>
          <w:sz w:val="24"/>
        </w:rPr>
        <w:t>供应商名称：（电子</w:t>
      </w:r>
      <w:r>
        <w:rPr>
          <w:rFonts w:hint="eastAsia" w:ascii="宋体" w:hAnsi="宋体" w:eastAsia="宋体" w:cs="宋体"/>
          <w:sz w:val="24"/>
          <w:lang w:val="en-US" w:eastAsia="zh-CN"/>
        </w:rPr>
        <w:t>公</w:t>
      </w:r>
      <w:r>
        <w:rPr>
          <w:rFonts w:hint="eastAsia" w:ascii="宋体" w:hAnsi="宋体" w:eastAsia="宋体" w:cs="宋体"/>
          <w:sz w:val="24"/>
        </w:rPr>
        <w:t>章）</w:t>
      </w:r>
    </w:p>
    <w:p>
      <w:pPr>
        <w:spacing w:line="380" w:lineRule="exact"/>
        <w:ind w:right="640" w:firstLine="1560" w:firstLineChars="650"/>
        <w:rPr>
          <w:rFonts w:hint="eastAsia" w:ascii="宋体" w:hAnsi="宋体" w:eastAsia="宋体" w:cs="宋体"/>
          <w:sz w:val="24"/>
        </w:rPr>
      </w:pPr>
    </w:p>
    <w:p>
      <w:pPr>
        <w:spacing w:line="380" w:lineRule="exact"/>
        <w:ind w:right="640" w:firstLine="3600" w:firstLineChars="1500"/>
        <w:rPr>
          <w:rFonts w:hint="eastAsia" w:ascii="宋体" w:hAnsi="宋体" w:eastAsia="宋体" w:cs="宋体"/>
          <w:sz w:val="24"/>
        </w:rPr>
      </w:pPr>
      <w:r>
        <w:rPr>
          <w:rFonts w:hint="eastAsia" w:ascii="宋体" w:hAnsi="宋体" w:eastAsia="宋体" w:cs="宋体"/>
          <w:sz w:val="24"/>
        </w:rPr>
        <w:t>法人代表：（签</w:t>
      </w:r>
      <w:r>
        <w:rPr>
          <w:rFonts w:hint="eastAsia" w:ascii="宋体" w:hAnsi="宋体" w:eastAsia="宋体" w:cs="宋体"/>
          <w:sz w:val="24"/>
          <w:lang w:val="en-US" w:eastAsia="zh-CN"/>
        </w:rPr>
        <w:t>字</w:t>
      </w:r>
      <w:r>
        <w:rPr>
          <w:rFonts w:hint="eastAsia" w:ascii="宋体" w:hAnsi="宋体" w:eastAsia="宋体" w:cs="宋体"/>
          <w:sz w:val="24"/>
        </w:rPr>
        <w:t>）</w:t>
      </w:r>
    </w:p>
    <w:p>
      <w:pPr>
        <w:spacing w:line="380" w:lineRule="exact"/>
        <w:jc w:val="center"/>
        <w:rPr>
          <w:rFonts w:hint="eastAsia" w:ascii="宋体" w:hAnsi="宋体" w:eastAsia="宋体" w:cs="宋体"/>
          <w:sz w:val="24"/>
        </w:rPr>
      </w:pPr>
    </w:p>
    <w:p>
      <w:pPr>
        <w:jc w:val="center"/>
        <w:rPr>
          <w:rFonts w:hint="eastAsia" w:ascii="宋体" w:hAnsi="宋体" w:eastAsia="宋体" w:cs="宋体"/>
          <w:sz w:val="24"/>
        </w:rPr>
      </w:pPr>
      <w:r>
        <w:rPr>
          <w:rFonts w:hint="eastAsia" w:ascii="宋体" w:hAnsi="宋体" w:eastAsia="宋体" w:cs="宋体"/>
          <w:sz w:val="24"/>
        </w:rPr>
        <w:t xml:space="preserve">               日期：      年   月    日</w:t>
      </w:r>
    </w:p>
    <w:bookmarkEnd w:id="160"/>
    <w:p>
      <w:pPr>
        <w:pStyle w:val="4"/>
        <w:rPr>
          <w:rFonts w:hint="eastAsia" w:ascii="宋体" w:hAnsi="宋体" w:eastAsia="宋体" w:cs="宋体"/>
          <w:sz w:val="28"/>
          <w:szCs w:val="36"/>
        </w:rPr>
      </w:pPr>
      <w:bookmarkStart w:id="168" w:name="_Toc24077_WPSOffice_Level2"/>
      <w:bookmarkStart w:id="169" w:name="_Toc27702"/>
      <w:bookmarkStart w:id="170" w:name="_Toc200"/>
      <w:bookmarkStart w:id="171" w:name="_Toc40975452"/>
      <w:bookmarkStart w:id="172" w:name="_Toc220232409"/>
      <w:bookmarkStart w:id="173" w:name="_Toc15353"/>
      <w:r>
        <w:rPr>
          <w:rFonts w:hint="eastAsia" w:ascii="宋体" w:hAnsi="宋体" w:eastAsia="宋体" w:cs="宋体"/>
          <w:sz w:val="28"/>
        </w:rPr>
        <w:t>四．投标分项报价表</w:t>
      </w:r>
      <w:bookmarkEnd w:id="168"/>
      <w:bookmarkEnd w:id="169"/>
      <w:bookmarkEnd w:id="170"/>
      <w:bookmarkEnd w:id="171"/>
      <w:bookmarkEnd w:id="172"/>
      <w:bookmarkEnd w:id="173"/>
    </w:p>
    <w:tbl>
      <w:tblPr>
        <w:tblStyle w:val="7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noWrap w:val="0"/>
            <w:vAlign w:val="center"/>
          </w:tcPr>
          <w:p>
            <w:pPr>
              <w:pStyle w:val="425"/>
              <w:widowControl w:val="0"/>
              <w:spacing w:before="0" w:beforeAutospacing="0" w:after="0" w:afterAutospacing="0"/>
              <w:rPr>
                <w:rFonts w:hint="eastAsia" w:ascii="宋体" w:hAnsi="宋体" w:eastAsia="宋体" w:cs="宋体"/>
                <w:bCs w:val="0"/>
                <w:kern w:val="2"/>
                <w:sz w:val="24"/>
                <w:szCs w:val="20"/>
              </w:rPr>
            </w:pPr>
            <w:r>
              <w:rPr>
                <w:rFonts w:hint="eastAsia" w:ascii="宋体" w:hAnsi="宋体" w:eastAsia="宋体" w:cs="宋体"/>
                <w:bCs w:val="0"/>
                <w:kern w:val="2"/>
                <w:sz w:val="24"/>
                <w:szCs w:val="20"/>
              </w:rPr>
              <w:t>序号</w:t>
            </w:r>
          </w:p>
        </w:tc>
        <w:tc>
          <w:tcPr>
            <w:tcW w:w="2205" w:type="dxa"/>
            <w:noWrap w:val="0"/>
            <w:vAlign w:val="center"/>
          </w:tcPr>
          <w:p>
            <w:pPr>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名称</w:t>
            </w:r>
          </w:p>
        </w:tc>
        <w:tc>
          <w:tcPr>
            <w:tcW w:w="957" w:type="dxa"/>
            <w:noWrap w:val="0"/>
            <w:vAlign w:val="center"/>
          </w:tcPr>
          <w:p>
            <w:pPr>
              <w:jc w:val="center"/>
              <w:rPr>
                <w:rFonts w:hint="eastAsia" w:ascii="宋体" w:hAnsi="宋体" w:eastAsia="宋体" w:cs="宋体"/>
                <w:b/>
                <w:sz w:val="24"/>
              </w:rPr>
            </w:pPr>
            <w:r>
              <w:rPr>
                <w:rFonts w:hint="eastAsia" w:ascii="宋体" w:hAnsi="宋体" w:eastAsia="宋体" w:cs="宋体"/>
                <w:b/>
                <w:sz w:val="24"/>
              </w:rPr>
              <w:t>单位</w:t>
            </w:r>
          </w:p>
        </w:tc>
        <w:tc>
          <w:tcPr>
            <w:tcW w:w="840" w:type="dxa"/>
            <w:noWrap w:val="0"/>
            <w:vAlign w:val="center"/>
          </w:tcPr>
          <w:p>
            <w:pPr>
              <w:jc w:val="center"/>
              <w:rPr>
                <w:rFonts w:hint="eastAsia" w:ascii="宋体" w:hAnsi="宋体" w:eastAsia="宋体" w:cs="宋体"/>
                <w:b/>
                <w:sz w:val="24"/>
              </w:rPr>
            </w:pPr>
            <w:r>
              <w:rPr>
                <w:rFonts w:hint="eastAsia" w:ascii="宋体" w:hAnsi="宋体" w:eastAsia="宋体" w:cs="宋体"/>
                <w:b/>
                <w:sz w:val="24"/>
              </w:rPr>
              <w:t>数量</w:t>
            </w:r>
          </w:p>
        </w:tc>
        <w:tc>
          <w:tcPr>
            <w:tcW w:w="1260" w:type="dxa"/>
            <w:noWrap w:val="0"/>
            <w:vAlign w:val="center"/>
          </w:tcPr>
          <w:p>
            <w:pPr>
              <w:jc w:val="center"/>
              <w:rPr>
                <w:rFonts w:hint="eastAsia" w:ascii="宋体" w:hAnsi="宋体" w:eastAsia="宋体" w:cs="宋体"/>
                <w:b/>
                <w:sz w:val="24"/>
              </w:rPr>
            </w:pPr>
            <w:r>
              <w:rPr>
                <w:rFonts w:hint="eastAsia" w:ascii="宋体" w:hAnsi="宋体" w:eastAsia="宋体" w:cs="宋体"/>
                <w:b/>
                <w:sz w:val="24"/>
              </w:rPr>
              <w:t>单价</w:t>
            </w:r>
          </w:p>
        </w:tc>
        <w:tc>
          <w:tcPr>
            <w:tcW w:w="1340" w:type="dxa"/>
            <w:noWrap w:val="0"/>
            <w:vAlign w:val="center"/>
          </w:tcPr>
          <w:p>
            <w:pPr>
              <w:jc w:val="center"/>
              <w:rPr>
                <w:rFonts w:hint="eastAsia" w:ascii="宋体" w:hAnsi="宋体" w:eastAsia="宋体" w:cs="宋体"/>
                <w:b/>
                <w:sz w:val="24"/>
              </w:rPr>
            </w:pPr>
            <w:r>
              <w:rPr>
                <w:rFonts w:hint="eastAsia" w:ascii="宋体" w:hAnsi="宋体" w:eastAsia="宋体" w:cs="宋体"/>
                <w:b/>
                <w:sz w:val="24"/>
              </w:rPr>
              <w:t>小计</w:t>
            </w:r>
          </w:p>
        </w:tc>
        <w:tc>
          <w:tcPr>
            <w:tcW w:w="922" w:type="dxa"/>
            <w:noWrap w:val="0"/>
            <w:vAlign w:val="center"/>
          </w:tcPr>
          <w:p>
            <w:pPr>
              <w:jc w:val="center"/>
              <w:rPr>
                <w:rFonts w:hint="eastAsia" w:ascii="宋体" w:hAnsi="宋体" w:eastAsia="宋体" w:cs="宋体"/>
                <w:b/>
                <w:sz w:val="24"/>
              </w:rPr>
            </w:pPr>
            <w:r>
              <w:rPr>
                <w:rFonts w:hint="eastAsia" w:ascii="宋体" w:hAnsi="宋体" w:eastAsia="宋体" w:cs="宋体"/>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noWrap w:val="0"/>
            <w:vAlign w:val="top"/>
          </w:tcPr>
          <w:p>
            <w:pPr>
              <w:jc w:val="center"/>
              <w:rPr>
                <w:rFonts w:hint="eastAsia" w:ascii="宋体" w:hAnsi="宋体" w:eastAsia="宋体" w:cs="宋体"/>
                <w:sz w:val="24"/>
              </w:rPr>
            </w:pPr>
            <w:r>
              <w:rPr>
                <w:rFonts w:hint="eastAsia" w:ascii="宋体" w:hAnsi="宋体" w:eastAsia="宋体" w:cs="宋体"/>
                <w:sz w:val="24"/>
              </w:rPr>
              <w:t>1</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2</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3</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4</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5</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6</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7</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8</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9</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10</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11</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12</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r>
              <w:rPr>
                <w:rFonts w:hint="eastAsia" w:ascii="宋体" w:hAnsi="宋体" w:eastAsia="宋体" w:cs="宋体"/>
                <w:sz w:val="24"/>
              </w:rPr>
              <w:t>13</w:t>
            </w:r>
          </w:p>
        </w:tc>
        <w:tc>
          <w:tcPr>
            <w:tcW w:w="2205" w:type="dxa"/>
            <w:noWrap w:val="0"/>
            <w:vAlign w:val="top"/>
          </w:tcPr>
          <w:p>
            <w:pPr>
              <w:rPr>
                <w:rFonts w:hint="eastAsia" w:ascii="宋体" w:hAnsi="宋体" w:eastAsia="宋体" w:cs="宋体"/>
                <w:sz w:val="24"/>
              </w:rPr>
            </w:pP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p>
        </w:tc>
        <w:tc>
          <w:tcPr>
            <w:tcW w:w="2205" w:type="dxa"/>
            <w:noWrap w:val="0"/>
            <w:vAlign w:val="center"/>
          </w:tcPr>
          <w:p>
            <w:pPr>
              <w:pStyle w:val="455"/>
              <w:rPr>
                <w:rFonts w:hint="eastAsia" w:ascii="宋体" w:hAnsi="宋体" w:eastAsia="宋体" w:cs="宋体"/>
              </w:rPr>
            </w:pPr>
            <w:r>
              <w:rPr>
                <w:rFonts w:hint="eastAsia" w:ascii="宋体" w:hAnsi="宋体" w:eastAsia="宋体" w:cs="宋体"/>
              </w:rPr>
              <w:t>其他费用</w:t>
            </w: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noWrap w:val="0"/>
            <w:vAlign w:val="top"/>
          </w:tcPr>
          <w:p>
            <w:pPr>
              <w:jc w:val="center"/>
              <w:rPr>
                <w:rFonts w:hint="eastAsia" w:ascii="宋体" w:hAnsi="宋体" w:eastAsia="宋体" w:cs="宋体"/>
                <w:sz w:val="24"/>
              </w:rPr>
            </w:pPr>
          </w:p>
        </w:tc>
        <w:tc>
          <w:tcPr>
            <w:tcW w:w="2205" w:type="dxa"/>
            <w:noWrap w:val="0"/>
            <w:vAlign w:val="center"/>
          </w:tcPr>
          <w:p>
            <w:pPr>
              <w:pStyle w:val="455"/>
              <w:rPr>
                <w:rFonts w:hint="eastAsia" w:ascii="宋体" w:hAnsi="宋体" w:eastAsia="宋体" w:cs="宋体"/>
              </w:rPr>
            </w:pPr>
            <w:r>
              <w:rPr>
                <w:rFonts w:hint="eastAsia" w:ascii="宋体" w:hAnsi="宋体" w:eastAsia="宋体" w:cs="宋体"/>
              </w:rPr>
              <w:t>合计</w:t>
            </w:r>
          </w:p>
        </w:tc>
        <w:tc>
          <w:tcPr>
            <w:tcW w:w="957" w:type="dxa"/>
            <w:noWrap w:val="0"/>
            <w:vAlign w:val="top"/>
          </w:tcPr>
          <w:p>
            <w:pPr>
              <w:rPr>
                <w:rFonts w:hint="eastAsia" w:ascii="宋体" w:hAnsi="宋体" w:eastAsia="宋体" w:cs="宋体"/>
                <w:sz w:val="24"/>
              </w:rPr>
            </w:pPr>
          </w:p>
        </w:tc>
        <w:tc>
          <w:tcPr>
            <w:tcW w:w="840" w:type="dxa"/>
            <w:noWrap w:val="0"/>
            <w:vAlign w:val="top"/>
          </w:tcPr>
          <w:p>
            <w:pPr>
              <w:rPr>
                <w:rFonts w:hint="eastAsia" w:ascii="宋体" w:hAnsi="宋体" w:eastAsia="宋体" w:cs="宋体"/>
                <w:sz w:val="24"/>
              </w:rPr>
            </w:pPr>
          </w:p>
        </w:tc>
        <w:tc>
          <w:tcPr>
            <w:tcW w:w="1260" w:type="dxa"/>
            <w:noWrap w:val="0"/>
            <w:vAlign w:val="top"/>
          </w:tcPr>
          <w:p>
            <w:pPr>
              <w:rPr>
                <w:rFonts w:hint="eastAsia" w:ascii="宋体" w:hAnsi="宋体" w:eastAsia="宋体" w:cs="宋体"/>
                <w:sz w:val="24"/>
              </w:rPr>
            </w:pPr>
          </w:p>
        </w:tc>
        <w:tc>
          <w:tcPr>
            <w:tcW w:w="1340" w:type="dxa"/>
            <w:noWrap w:val="0"/>
            <w:vAlign w:val="top"/>
          </w:tcPr>
          <w:p>
            <w:pPr>
              <w:rPr>
                <w:rFonts w:hint="eastAsia" w:ascii="宋体" w:hAnsi="宋体" w:eastAsia="宋体" w:cs="宋体"/>
                <w:sz w:val="24"/>
              </w:rPr>
            </w:pPr>
          </w:p>
        </w:tc>
        <w:tc>
          <w:tcPr>
            <w:tcW w:w="922" w:type="dxa"/>
            <w:noWrap w:val="0"/>
            <w:vAlign w:val="top"/>
          </w:tcPr>
          <w:p>
            <w:pPr>
              <w:rPr>
                <w:rFonts w:hint="eastAsia" w:ascii="宋体" w:hAnsi="宋体" w:eastAsia="宋体" w:cs="宋体"/>
                <w:sz w:val="24"/>
              </w:rPr>
            </w:pPr>
          </w:p>
        </w:tc>
        <w:bookmarkStart w:id="174" w:name="_Hlt514495724"/>
        <w:bookmarkStart w:id="175" w:name="_Hlt533408944"/>
      </w:tr>
      <w:bookmarkEnd w:id="139"/>
      <w:bookmarkEnd w:id="140"/>
      <w:bookmarkEnd w:id="141"/>
      <w:bookmarkEnd w:id="174"/>
      <w:bookmarkEnd w:id="175"/>
    </w:tbl>
    <w:p>
      <w:pPr>
        <w:pStyle w:val="38"/>
        <w:spacing w:line="360" w:lineRule="auto"/>
        <w:rPr>
          <w:rFonts w:hint="eastAsia" w:ascii="宋体" w:hAnsi="宋体" w:eastAsia="宋体" w:cs="宋体"/>
          <w:sz w:val="24"/>
        </w:rPr>
      </w:pPr>
      <w:bookmarkStart w:id="176" w:name="_Toc27270_WPSOffice_Level2"/>
      <w:bookmarkStart w:id="177" w:name="_Toc197934552"/>
    </w:p>
    <w:p>
      <w:pPr>
        <w:spacing w:line="380" w:lineRule="exact"/>
        <w:ind w:firstLine="3600" w:firstLineChars="1500"/>
        <w:rPr>
          <w:rFonts w:hint="eastAsia" w:ascii="宋体" w:hAnsi="宋体" w:eastAsia="宋体" w:cs="宋体"/>
          <w:sz w:val="24"/>
        </w:rPr>
      </w:pPr>
      <w:r>
        <w:rPr>
          <w:rFonts w:hint="eastAsia" w:ascii="宋体" w:hAnsi="宋体" w:eastAsia="宋体" w:cs="宋体"/>
          <w:sz w:val="24"/>
        </w:rPr>
        <w:t>供应商名称：（电子</w:t>
      </w:r>
      <w:r>
        <w:rPr>
          <w:rFonts w:hint="eastAsia" w:ascii="宋体" w:hAnsi="宋体" w:eastAsia="宋体" w:cs="宋体"/>
          <w:sz w:val="24"/>
          <w:lang w:val="en-US" w:eastAsia="zh-CN"/>
        </w:rPr>
        <w:t>公</w:t>
      </w:r>
      <w:r>
        <w:rPr>
          <w:rFonts w:hint="eastAsia" w:ascii="宋体" w:hAnsi="宋体" w:eastAsia="宋体" w:cs="宋体"/>
          <w:sz w:val="24"/>
        </w:rPr>
        <w:t>章）</w:t>
      </w:r>
    </w:p>
    <w:p>
      <w:pPr>
        <w:spacing w:line="380" w:lineRule="exact"/>
        <w:ind w:right="640" w:firstLine="1560" w:firstLineChars="650"/>
        <w:rPr>
          <w:rFonts w:hint="eastAsia" w:ascii="宋体" w:hAnsi="宋体" w:eastAsia="宋体" w:cs="宋体"/>
          <w:sz w:val="24"/>
        </w:rPr>
      </w:pPr>
    </w:p>
    <w:p>
      <w:pPr>
        <w:spacing w:line="380" w:lineRule="exact"/>
        <w:ind w:right="640" w:firstLine="3600" w:firstLineChars="1500"/>
        <w:rPr>
          <w:rFonts w:hint="eastAsia" w:ascii="宋体" w:hAnsi="宋体" w:eastAsia="宋体" w:cs="宋体"/>
          <w:sz w:val="24"/>
        </w:rPr>
      </w:pPr>
      <w:r>
        <w:rPr>
          <w:rFonts w:hint="eastAsia" w:ascii="宋体" w:hAnsi="宋体" w:eastAsia="宋体" w:cs="宋体"/>
          <w:sz w:val="24"/>
        </w:rPr>
        <w:t>法人代表：（签</w:t>
      </w:r>
      <w:r>
        <w:rPr>
          <w:rFonts w:hint="eastAsia" w:ascii="宋体" w:hAnsi="宋体" w:eastAsia="宋体" w:cs="宋体"/>
          <w:sz w:val="24"/>
          <w:lang w:val="en-US" w:eastAsia="zh-CN"/>
        </w:rPr>
        <w:t>字</w:t>
      </w:r>
      <w:r>
        <w:rPr>
          <w:rFonts w:hint="eastAsia" w:ascii="宋体" w:hAnsi="宋体" w:eastAsia="宋体" w:cs="宋体"/>
          <w:sz w:val="24"/>
        </w:rPr>
        <w:t>）</w:t>
      </w:r>
    </w:p>
    <w:p>
      <w:pPr>
        <w:spacing w:line="380" w:lineRule="exact"/>
        <w:jc w:val="center"/>
        <w:rPr>
          <w:rFonts w:hint="eastAsia" w:ascii="宋体" w:hAnsi="宋体" w:eastAsia="宋体" w:cs="宋体"/>
          <w:sz w:val="24"/>
        </w:rPr>
      </w:pPr>
    </w:p>
    <w:p>
      <w:pPr>
        <w:jc w:val="center"/>
        <w:rPr>
          <w:rFonts w:hint="eastAsia" w:ascii="宋体" w:hAnsi="宋体" w:eastAsia="宋体" w:cs="宋体"/>
          <w:sz w:val="24"/>
        </w:rPr>
      </w:pPr>
      <w:r>
        <w:rPr>
          <w:rFonts w:hint="eastAsia" w:ascii="宋体" w:hAnsi="宋体" w:eastAsia="宋体" w:cs="宋体"/>
          <w:sz w:val="24"/>
        </w:rPr>
        <w:t xml:space="preserve">               日期：      年   月    日</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备注：</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报价为所投服务的单价组成。包括税金及其它。</w:t>
      </w: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4"/>
        <w:rPr>
          <w:rFonts w:hint="eastAsia" w:ascii="宋体" w:hAnsi="宋体" w:eastAsia="宋体" w:cs="宋体"/>
          <w:sz w:val="28"/>
        </w:rPr>
      </w:pPr>
      <w:bookmarkStart w:id="178" w:name="_Toc3380"/>
      <w:bookmarkStart w:id="179" w:name="_Toc22823"/>
      <w:bookmarkStart w:id="180" w:name="_Toc30168"/>
      <w:bookmarkStart w:id="181" w:name="_Toc40975453"/>
      <w:r>
        <w:rPr>
          <w:rFonts w:hint="eastAsia" w:ascii="宋体" w:hAnsi="宋体" w:eastAsia="宋体" w:cs="宋体"/>
          <w:sz w:val="28"/>
        </w:rPr>
        <w:t>五．投标响应表</w:t>
      </w:r>
      <w:bookmarkEnd w:id="176"/>
      <w:bookmarkEnd w:id="177"/>
      <w:bookmarkEnd w:id="178"/>
      <w:bookmarkEnd w:id="179"/>
      <w:bookmarkEnd w:id="180"/>
      <w:bookmarkEnd w:id="181"/>
    </w:p>
    <w:tbl>
      <w:tblPr>
        <w:tblStyle w:val="7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470"/>
        <w:gridCol w:w="2520"/>
        <w:gridCol w:w="2310"/>
        <w:gridCol w:w="1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4830" w:type="dxa"/>
            <w:gridSpan w:val="3"/>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按招标文件规定填写</w:t>
            </w:r>
          </w:p>
        </w:tc>
        <w:tc>
          <w:tcPr>
            <w:tcW w:w="3534" w:type="dxa"/>
            <w:gridSpan w:val="2"/>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按投标人所投内容填写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8364" w:type="dxa"/>
            <w:gridSpan w:val="5"/>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第一部分：技术部分响应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84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序号</w:t>
            </w:r>
          </w:p>
        </w:tc>
        <w:tc>
          <w:tcPr>
            <w:tcW w:w="147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品名</w:t>
            </w:r>
          </w:p>
        </w:tc>
        <w:tc>
          <w:tcPr>
            <w:tcW w:w="252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招标文件要求</w:t>
            </w:r>
          </w:p>
        </w:tc>
        <w:tc>
          <w:tcPr>
            <w:tcW w:w="2310" w:type="dxa"/>
            <w:noWrap w:val="0"/>
            <w:vAlign w:val="center"/>
          </w:tcPr>
          <w:p>
            <w:pPr>
              <w:pStyle w:val="35"/>
              <w:rPr>
                <w:rFonts w:hint="eastAsia" w:ascii="宋体" w:hAnsi="宋体" w:eastAsia="宋体" w:cs="宋体"/>
                <w:b/>
                <w:sz w:val="24"/>
                <w:lang w:val="en-US" w:eastAsia="zh-CN"/>
              </w:rPr>
            </w:pPr>
            <w:r>
              <w:rPr>
                <w:rFonts w:hint="eastAsia" w:ascii="宋体" w:hAnsi="宋体" w:eastAsia="宋体" w:cs="宋体"/>
                <w:b/>
                <w:sz w:val="24"/>
                <w:lang w:val="en-US" w:eastAsia="zh-CN"/>
              </w:rPr>
              <w:t>投标响应</w:t>
            </w:r>
          </w:p>
          <w:p>
            <w:pPr>
              <w:pStyle w:val="35"/>
              <w:rPr>
                <w:rFonts w:hint="eastAsia" w:ascii="宋体" w:hAnsi="宋体" w:eastAsia="宋体" w:cs="宋体"/>
                <w:b/>
                <w:sz w:val="24"/>
                <w:lang w:val="en-US" w:eastAsia="zh-CN"/>
              </w:rPr>
            </w:pPr>
          </w:p>
        </w:tc>
        <w:tc>
          <w:tcPr>
            <w:tcW w:w="1224"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1</w:t>
            </w:r>
          </w:p>
        </w:tc>
        <w:tc>
          <w:tcPr>
            <w:tcW w:w="1470" w:type="dxa"/>
            <w:noWrap w:val="0"/>
            <w:vAlign w:val="top"/>
          </w:tcPr>
          <w:p>
            <w:pPr>
              <w:rPr>
                <w:rFonts w:hint="eastAsia" w:ascii="宋体" w:hAnsi="宋体" w:eastAsia="宋体" w:cs="宋体"/>
                <w:sz w:val="24"/>
              </w:rPr>
            </w:pP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2</w:t>
            </w:r>
          </w:p>
        </w:tc>
        <w:tc>
          <w:tcPr>
            <w:tcW w:w="1470" w:type="dxa"/>
            <w:noWrap w:val="0"/>
            <w:vAlign w:val="top"/>
          </w:tcPr>
          <w:p>
            <w:pPr>
              <w:rPr>
                <w:rFonts w:hint="eastAsia" w:ascii="宋体" w:hAnsi="宋体" w:eastAsia="宋体" w:cs="宋体"/>
                <w:sz w:val="24"/>
              </w:rPr>
            </w:pP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3</w:t>
            </w:r>
          </w:p>
        </w:tc>
        <w:tc>
          <w:tcPr>
            <w:tcW w:w="1470" w:type="dxa"/>
            <w:noWrap w:val="0"/>
            <w:vAlign w:val="top"/>
          </w:tcPr>
          <w:p>
            <w:pPr>
              <w:rPr>
                <w:rFonts w:hint="eastAsia" w:ascii="宋体" w:hAnsi="宋体" w:eastAsia="宋体" w:cs="宋体"/>
                <w:sz w:val="24"/>
              </w:rPr>
            </w:pPr>
          </w:p>
        </w:tc>
        <w:tc>
          <w:tcPr>
            <w:tcW w:w="2520" w:type="dxa"/>
            <w:noWrap w:val="0"/>
            <w:vAlign w:val="top"/>
          </w:tcPr>
          <w:p>
            <w:pPr>
              <w:rPr>
                <w:rFonts w:hint="eastAsia" w:ascii="宋体" w:hAnsi="宋体" w:eastAsia="宋体" w:cs="宋体"/>
                <w:sz w:val="24"/>
              </w:rPr>
            </w:pPr>
          </w:p>
        </w:tc>
        <w:tc>
          <w:tcPr>
            <w:tcW w:w="2310" w:type="dxa"/>
            <w:noWrap w:val="0"/>
            <w:vAlign w:val="top"/>
          </w:tcPr>
          <w:p>
            <w:pPr>
              <w:pStyle w:val="455"/>
              <w:rPr>
                <w:rFonts w:hint="eastAsia" w:ascii="宋体" w:hAnsi="宋体" w:eastAsia="宋体" w:cs="宋体"/>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4</w:t>
            </w:r>
          </w:p>
        </w:tc>
        <w:tc>
          <w:tcPr>
            <w:tcW w:w="1470" w:type="dxa"/>
            <w:noWrap w:val="0"/>
            <w:vAlign w:val="top"/>
          </w:tcPr>
          <w:p>
            <w:pPr>
              <w:rPr>
                <w:rFonts w:hint="eastAsia" w:ascii="宋体" w:hAnsi="宋体" w:eastAsia="宋体" w:cs="宋体"/>
                <w:sz w:val="24"/>
              </w:rPr>
            </w:pP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364" w:type="dxa"/>
            <w:gridSpan w:val="5"/>
            <w:noWrap w:val="0"/>
            <w:vAlign w:val="center"/>
          </w:tcPr>
          <w:p>
            <w:pPr>
              <w:pStyle w:val="35"/>
              <w:jc w:val="center"/>
              <w:rPr>
                <w:rFonts w:hint="eastAsia" w:ascii="宋体" w:hAnsi="宋体" w:eastAsia="宋体" w:cs="宋体"/>
                <w:sz w:val="24"/>
                <w:lang w:val="en-US" w:eastAsia="zh-CN"/>
              </w:rPr>
            </w:pPr>
            <w:r>
              <w:rPr>
                <w:rFonts w:hint="eastAsia" w:ascii="宋体" w:hAnsi="宋体" w:eastAsia="宋体" w:cs="宋体"/>
                <w:b/>
                <w:sz w:val="24"/>
                <w:lang w:val="en-US" w:eastAsia="zh-CN"/>
              </w:rPr>
              <w:t>第二部分：资信及报价部分响应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序号</w:t>
            </w:r>
          </w:p>
        </w:tc>
        <w:tc>
          <w:tcPr>
            <w:tcW w:w="147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内容</w:t>
            </w:r>
          </w:p>
        </w:tc>
        <w:tc>
          <w:tcPr>
            <w:tcW w:w="252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招标要求</w:t>
            </w:r>
          </w:p>
        </w:tc>
        <w:tc>
          <w:tcPr>
            <w:tcW w:w="2310"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投标承诺</w:t>
            </w:r>
          </w:p>
        </w:tc>
        <w:tc>
          <w:tcPr>
            <w:tcW w:w="1224" w:type="dxa"/>
            <w:noWrap w:val="0"/>
            <w:vAlign w:val="center"/>
          </w:tcPr>
          <w:p>
            <w:pPr>
              <w:pStyle w:val="35"/>
              <w:jc w:val="center"/>
              <w:rPr>
                <w:rFonts w:hint="eastAsia" w:ascii="宋体" w:hAnsi="宋体" w:eastAsia="宋体" w:cs="宋体"/>
                <w:b/>
                <w:sz w:val="24"/>
                <w:lang w:val="en-US" w:eastAsia="zh-CN"/>
              </w:rPr>
            </w:pPr>
            <w:r>
              <w:rPr>
                <w:rFonts w:hint="eastAsia" w:ascii="宋体" w:hAnsi="宋体" w:eastAsia="宋体" w:cs="宋体"/>
                <w:b/>
                <w:sz w:val="24"/>
                <w:lang w:val="en-US" w:eastAsia="zh-C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1</w:t>
            </w:r>
          </w:p>
        </w:tc>
        <w:tc>
          <w:tcPr>
            <w:tcW w:w="1470" w:type="dxa"/>
            <w:noWrap w:val="0"/>
            <w:vAlign w:val="center"/>
          </w:tcPr>
          <w:p>
            <w:pPr>
              <w:jc w:val="center"/>
              <w:rPr>
                <w:rFonts w:hint="eastAsia" w:ascii="宋体" w:hAnsi="宋体" w:eastAsia="宋体" w:cs="宋体"/>
                <w:sz w:val="24"/>
              </w:rPr>
            </w:pPr>
            <w:r>
              <w:rPr>
                <w:rFonts w:hint="eastAsia" w:ascii="宋体" w:hAnsi="宋体" w:eastAsia="宋体" w:cs="宋体"/>
                <w:sz w:val="24"/>
              </w:rPr>
              <w:t>供货期</w:t>
            </w: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2</w:t>
            </w:r>
          </w:p>
        </w:tc>
        <w:tc>
          <w:tcPr>
            <w:tcW w:w="1470" w:type="dxa"/>
            <w:noWrap w:val="0"/>
            <w:vAlign w:val="center"/>
          </w:tcPr>
          <w:p>
            <w:pPr>
              <w:rPr>
                <w:rFonts w:hint="eastAsia" w:ascii="宋体" w:hAnsi="宋体" w:eastAsia="宋体" w:cs="宋体"/>
                <w:sz w:val="24"/>
              </w:rPr>
            </w:pPr>
            <w:r>
              <w:rPr>
                <w:rFonts w:hint="eastAsia" w:ascii="宋体" w:hAnsi="宋体" w:eastAsia="宋体" w:cs="宋体"/>
                <w:sz w:val="24"/>
              </w:rPr>
              <w:t>免费质保期</w:t>
            </w: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3</w:t>
            </w:r>
          </w:p>
        </w:tc>
        <w:tc>
          <w:tcPr>
            <w:tcW w:w="1470" w:type="dxa"/>
            <w:noWrap w:val="0"/>
            <w:vAlign w:val="center"/>
          </w:tcPr>
          <w:p>
            <w:pPr>
              <w:jc w:val="center"/>
              <w:rPr>
                <w:rFonts w:hint="eastAsia" w:ascii="宋体" w:hAnsi="宋体" w:eastAsia="宋体" w:cs="宋体"/>
                <w:sz w:val="24"/>
              </w:rPr>
            </w:pPr>
            <w:r>
              <w:rPr>
                <w:rFonts w:hint="eastAsia" w:ascii="宋体" w:hAnsi="宋体" w:eastAsia="宋体" w:cs="宋体"/>
                <w:sz w:val="24"/>
              </w:rPr>
              <w:t>付款响应</w:t>
            </w: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4</w:t>
            </w:r>
          </w:p>
        </w:tc>
        <w:tc>
          <w:tcPr>
            <w:tcW w:w="1470" w:type="dxa"/>
            <w:noWrap w:val="0"/>
            <w:vAlign w:val="center"/>
          </w:tcPr>
          <w:p>
            <w:pPr>
              <w:jc w:val="center"/>
              <w:rPr>
                <w:rFonts w:hint="eastAsia" w:ascii="宋体" w:hAnsi="宋体" w:eastAsia="宋体" w:cs="宋体"/>
                <w:sz w:val="24"/>
              </w:rPr>
            </w:pPr>
            <w:r>
              <w:rPr>
                <w:rFonts w:hint="eastAsia" w:ascii="宋体" w:hAnsi="宋体" w:eastAsia="宋体" w:cs="宋体"/>
                <w:sz w:val="24"/>
              </w:rPr>
              <w:t>业绩</w:t>
            </w: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pPr>
              <w:jc w:val="center"/>
              <w:rPr>
                <w:rFonts w:hint="eastAsia" w:ascii="宋体" w:hAnsi="宋体" w:eastAsia="宋体" w:cs="宋体"/>
                <w:sz w:val="24"/>
              </w:rPr>
            </w:pPr>
            <w:r>
              <w:rPr>
                <w:rFonts w:hint="eastAsia" w:ascii="宋体" w:hAnsi="宋体" w:eastAsia="宋体" w:cs="宋体"/>
                <w:sz w:val="24"/>
              </w:rPr>
              <w:t>5</w:t>
            </w:r>
          </w:p>
        </w:tc>
        <w:tc>
          <w:tcPr>
            <w:tcW w:w="1470" w:type="dxa"/>
            <w:noWrap w:val="0"/>
            <w:vAlign w:val="center"/>
          </w:tcPr>
          <w:p>
            <w:pPr>
              <w:jc w:val="center"/>
              <w:rPr>
                <w:rFonts w:hint="eastAsia" w:ascii="宋体" w:hAnsi="宋体" w:eastAsia="宋体" w:cs="宋体"/>
                <w:sz w:val="24"/>
              </w:rPr>
            </w:pPr>
            <w:r>
              <w:rPr>
                <w:rFonts w:hint="eastAsia" w:ascii="宋体" w:hAnsi="宋体" w:eastAsia="宋体" w:cs="宋体"/>
                <w:sz w:val="24"/>
              </w:rPr>
              <w:t>其他</w:t>
            </w:r>
          </w:p>
        </w:tc>
        <w:tc>
          <w:tcPr>
            <w:tcW w:w="2520" w:type="dxa"/>
            <w:noWrap w:val="0"/>
            <w:vAlign w:val="top"/>
          </w:tcPr>
          <w:p>
            <w:pPr>
              <w:rPr>
                <w:rFonts w:hint="eastAsia" w:ascii="宋体" w:hAnsi="宋体" w:eastAsia="宋体" w:cs="宋体"/>
                <w:sz w:val="24"/>
              </w:rPr>
            </w:pPr>
          </w:p>
        </w:tc>
        <w:tc>
          <w:tcPr>
            <w:tcW w:w="2310" w:type="dxa"/>
            <w:noWrap w:val="0"/>
            <w:vAlign w:val="top"/>
          </w:tcPr>
          <w:p>
            <w:pPr>
              <w:rPr>
                <w:rFonts w:hint="eastAsia" w:ascii="宋体" w:hAnsi="宋体" w:eastAsia="宋体" w:cs="宋体"/>
                <w:sz w:val="24"/>
              </w:rPr>
            </w:pPr>
          </w:p>
        </w:tc>
        <w:tc>
          <w:tcPr>
            <w:tcW w:w="1224" w:type="dxa"/>
            <w:noWrap w:val="0"/>
            <w:vAlign w:val="top"/>
          </w:tcPr>
          <w:p>
            <w:pPr>
              <w:rPr>
                <w:rFonts w:hint="eastAsia" w:ascii="宋体" w:hAnsi="宋体" w:eastAsia="宋体" w:cs="宋体"/>
                <w:sz w:val="24"/>
              </w:rPr>
            </w:pPr>
          </w:p>
        </w:tc>
      </w:tr>
    </w:tbl>
    <w:p>
      <w:pPr>
        <w:spacing w:line="380" w:lineRule="exact"/>
        <w:jc w:val="left"/>
        <w:rPr>
          <w:rFonts w:hint="eastAsia" w:ascii="宋体" w:hAnsi="宋体" w:eastAsia="宋体" w:cs="宋体"/>
          <w:sz w:val="24"/>
        </w:rPr>
      </w:pPr>
      <w:r>
        <w:rPr>
          <w:rFonts w:hint="eastAsia" w:ascii="宋体" w:hAnsi="宋体" w:eastAsia="宋体" w:cs="宋体"/>
          <w:sz w:val="24"/>
        </w:rPr>
        <w:t>供应商名称：（电子</w:t>
      </w:r>
      <w:r>
        <w:rPr>
          <w:rFonts w:hint="eastAsia" w:ascii="宋体" w:hAnsi="宋体" w:eastAsia="宋体" w:cs="宋体"/>
          <w:sz w:val="24"/>
          <w:lang w:val="en-US" w:eastAsia="zh-CN"/>
        </w:rPr>
        <w:t>公</w:t>
      </w:r>
      <w:r>
        <w:rPr>
          <w:rFonts w:hint="eastAsia" w:ascii="宋体" w:hAnsi="宋体" w:eastAsia="宋体" w:cs="宋体"/>
          <w:sz w:val="24"/>
        </w:rPr>
        <w:t>章）</w:t>
      </w:r>
    </w:p>
    <w:p>
      <w:pPr>
        <w:spacing w:line="380" w:lineRule="exact"/>
        <w:ind w:right="640" w:firstLine="1560" w:firstLineChars="650"/>
        <w:jc w:val="left"/>
        <w:rPr>
          <w:rFonts w:hint="eastAsia" w:ascii="宋体" w:hAnsi="宋体" w:eastAsia="宋体" w:cs="宋体"/>
          <w:sz w:val="24"/>
        </w:rPr>
      </w:pPr>
    </w:p>
    <w:p>
      <w:pPr>
        <w:spacing w:line="380" w:lineRule="exact"/>
        <w:ind w:right="640"/>
        <w:jc w:val="left"/>
        <w:rPr>
          <w:rFonts w:hint="eastAsia" w:ascii="宋体" w:hAnsi="宋体" w:eastAsia="宋体" w:cs="宋体"/>
          <w:sz w:val="24"/>
        </w:rPr>
      </w:pPr>
      <w:r>
        <w:rPr>
          <w:rFonts w:hint="eastAsia" w:ascii="宋体" w:hAnsi="宋体" w:eastAsia="宋体" w:cs="宋体"/>
          <w:sz w:val="24"/>
        </w:rPr>
        <w:t>法人代表：（签</w:t>
      </w:r>
      <w:r>
        <w:rPr>
          <w:rFonts w:hint="eastAsia" w:ascii="宋体" w:hAnsi="宋体" w:eastAsia="宋体" w:cs="宋体"/>
          <w:sz w:val="24"/>
          <w:lang w:val="en-US" w:eastAsia="zh-CN"/>
        </w:rPr>
        <w:t>字</w:t>
      </w:r>
      <w:r>
        <w:rPr>
          <w:rFonts w:hint="eastAsia" w:ascii="宋体" w:hAnsi="宋体" w:eastAsia="宋体" w:cs="宋体"/>
          <w:sz w:val="24"/>
        </w:rPr>
        <w:t>）</w:t>
      </w:r>
    </w:p>
    <w:p>
      <w:pPr>
        <w:jc w:val="right"/>
        <w:rPr>
          <w:rFonts w:hint="eastAsia" w:ascii="宋体" w:hAnsi="宋体" w:eastAsia="宋体" w:cs="宋体"/>
          <w:sz w:val="24"/>
        </w:rPr>
      </w:pPr>
      <w:r>
        <w:rPr>
          <w:rFonts w:hint="eastAsia" w:ascii="宋体" w:hAnsi="宋体" w:eastAsia="宋体" w:cs="宋体"/>
          <w:sz w:val="24"/>
        </w:rPr>
        <w:t xml:space="preserve">               日期：      年   月    日</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备注：</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1、投标人必须逐项对应描述投标服务要求，如不进行描述，仅在响应栏填“响应”或未填写的，将可能导致投标无效；</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2、投标人所投服务如与招标文件要求不一致，则须在上表偏离说明中详细注明。</w:t>
      </w:r>
    </w:p>
    <w:p>
      <w:pPr>
        <w:adjustRightInd w:val="0"/>
        <w:snapToGrid w:val="0"/>
        <w:spacing w:line="360" w:lineRule="auto"/>
        <w:rPr>
          <w:rFonts w:hint="eastAsia" w:ascii="宋体" w:hAnsi="宋体" w:eastAsia="宋体" w:cs="宋体"/>
          <w:b/>
          <w:bCs/>
          <w:sz w:val="24"/>
          <w:szCs w:val="28"/>
        </w:rPr>
      </w:pPr>
      <w:r>
        <w:rPr>
          <w:rFonts w:hint="eastAsia" w:ascii="宋体" w:hAnsi="宋体" w:eastAsia="宋体" w:cs="宋体"/>
          <w:b/>
          <w:bCs/>
          <w:sz w:val="24"/>
          <w:szCs w:val="28"/>
        </w:rPr>
        <w:t>3、响应部分可后附详细说明及技术资料，并应注明投标文件中对应的页码范围。</w:t>
      </w: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lang w:eastAsia="zh-CN"/>
        </w:rPr>
      </w:pPr>
    </w:p>
    <w:p>
      <w:pPr>
        <w:pStyle w:val="50"/>
        <w:rPr>
          <w:rFonts w:hint="eastAsia" w:ascii="宋体" w:hAnsi="宋体" w:eastAsia="宋体" w:cs="宋体"/>
          <w:lang w:eastAsia="zh-CN"/>
        </w:rPr>
      </w:pPr>
    </w:p>
    <w:p>
      <w:pPr>
        <w:pStyle w:val="50"/>
        <w:rPr>
          <w:rFonts w:hint="eastAsia" w:ascii="宋体" w:hAnsi="宋体" w:eastAsia="宋体" w:cs="宋体"/>
        </w:rPr>
      </w:pPr>
    </w:p>
    <w:p>
      <w:pPr>
        <w:pStyle w:val="50"/>
        <w:rPr>
          <w:rFonts w:hint="eastAsia" w:ascii="宋体" w:hAnsi="宋体" w:eastAsia="宋体" w:cs="宋体"/>
        </w:rPr>
      </w:pPr>
    </w:p>
    <w:p>
      <w:pPr>
        <w:pStyle w:val="4"/>
        <w:rPr>
          <w:rFonts w:hint="eastAsia" w:ascii="宋体" w:hAnsi="宋体" w:eastAsia="宋体" w:cs="宋体"/>
          <w:sz w:val="28"/>
          <w:szCs w:val="36"/>
        </w:rPr>
      </w:pPr>
      <w:bookmarkStart w:id="182" w:name="_Hlt509738950"/>
      <w:bookmarkEnd w:id="182"/>
      <w:bookmarkStart w:id="183" w:name="_Toc2238_WPSOffice_Level2"/>
      <w:bookmarkStart w:id="184" w:name="_Toc19673"/>
      <w:bookmarkStart w:id="185" w:name="_Toc28604"/>
      <w:bookmarkStart w:id="186" w:name="_Toc220232400"/>
      <w:bookmarkStart w:id="187" w:name="_Toc40975454"/>
      <w:bookmarkStart w:id="188" w:name="_Toc1906"/>
      <w:r>
        <w:rPr>
          <w:rFonts w:hint="eastAsia" w:ascii="宋体" w:hAnsi="宋体" w:eastAsia="宋体" w:cs="宋体"/>
          <w:sz w:val="28"/>
        </w:rPr>
        <w:t>六．</w:t>
      </w:r>
      <w:r>
        <w:rPr>
          <w:rFonts w:hint="eastAsia" w:ascii="宋体" w:hAnsi="宋体" w:eastAsia="宋体" w:cs="宋体"/>
          <w:sz w:val="28"/>
          <w:lang w:eastAsia="zh-CN"/>
        </w:rPr>
        <w:t>服务</w:t>
      </w:r>
      <w:r>
        <w:rPr>
          <w:rFonts w:hint="eastAsia" w:ascii="宋体" w:hAnsi="宋体" w:eastAsia="宋体" w:cs="宋体"/>
          <w:sz w:val="28"/>
        </w:rPr>
        <w:t>质量承诺</w:t>
      </w:r>
      <w:bookmarkEnd w:id="183"/>
      <w:bookmarkEnd w:id="184"/>
      <w:bookmarkEnd w:id="185"/>
      <w:bookmarkEnd w:id="186"/>
      <w:bookmarkEnd w:id="187"/>
      <w:bookmarkEnd w:id="188"/>
    </w:p>
    <w:p>
      <w:pPr>
        <w:spacing w:before="48" w:beforeLines="20" w:after="48" w:afterLines="20" w:line="360" w:lineRule="auto"/>
        <w:ind w:firstLine="480" w:firstLineChars="200"/>
        <w:jc w:val="center"/>
        <w:rPr>
          <w:rFonts w:hint="eastAsia" w:ascii="宋体" w:hAnsi="宋体" w:eastAsia="宋体" w:cs="宋体"/>
          <w:sz w:val="24"/>
        </w:rPr>
      </w:pPr>
      <w:r>
        <w:rPr>
          <w:rFonts w:hint="eastAsia" w:ascii="宋体" w:hAnsi="宋体" w:eastAsia="宋体" w:cs="宋体"/>
          <w:sz w:val="24"/>
        </w:rPr>
        <w:t>(投标人可自行制作格式)</w:t>
      </w:r>
    </w:p>
    <w:p>
      <w:pPr>
        <w:spacing w:before="48" w:beforeLines="20" w:after="48" w:afterLines="20" w:line="360" w:lineRule="auto"/>
        <w:rPr>
          <w:rFonts w:hint="eastAsia" w:ascii="宋体" w:hAnsi="宋体" w:eastAsia="宋体" w:cs="宋体"/>
          <w:sz w:val="28"/>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4"/>
        <w:rPr>
          <w:rFonts w:hint="eastAsia" w:ascii="宋体" w:hAnsi="宋体" w:eastAsia="宋体" w:cs="宋体"/>
          <w:sz w:val="28"/>
          <w:szCs w:val="36"/>
        </w:rPr>
      </w:pPr>
      <w:bookmarkStart w:id="189" w:name="_Toc40975456"/>
      <w:bookmarkStart w:id="190" w:name="_Toc8310"/>
      <w:bookmarkStart w:id="191" w:name="_Toc220232402"/>
      <w:bookmarkStart w:id="192" w:name="_Toc5312_WPSOffice_Level2"/>
      <w:bookmarkStart w:id="193" w:name="_Toc516969105"/>
      <w:bookmarkStart w:id="194" w:name="_Toc235"/>
      <w:bookmarkStart w:id="195" w:name="_Toc25061"/>
      <w:r>
        <w:rPr>
          <w:rFonts w:hint="eastAsia" w:ascii="宋体" w:hAnsi="宋体" w:eastAsia="宋体" w:cs="宋体"/>
          <w:sz w:val="28"/>
          <w:lang w:eastAsia="zh-CN"/>
        </w:rPr>
        <w:t>七</w:t>
      </w:r>
      <w:r>
        <w:rPr>
          <w:rFonts w:hint="eastAsia" w:ascii="宋体" w:hAnsi="宋体" w:eastAsia="宋体" w:cs="宋体"/>
          <w:sz w:val="28"/>
        </w:rPr>
        <w:t>．有关证明文件</w:t>
      </w:r>
      <w:bookmarkEnd w:id="189"/>
      <w:bookmarkEnd w:id="190"/>
      <w:bookmarkEnd w:id="191"/>
      <w:bookmarkEnd w:id="192"/>
      <w:bookmarkEnd w:id="193"/>
      <w:bookmarkEnd w:id="194"/>
      <w:bookmarkEnd w:id="195"/>
    </w:p>
    <w:p>
      <w:pPr>
        <w:tabs>
          <w:tab w:val="left" w:pos="4620"/>
        </w:tabs>
        <w:spacing w:line="360" w:lineRule="auto"/>
        <w:ind w:firstLine="480" w:firstLineChars="200"/>
        <w:rPr>
          <w:rFonts w:hint="eastAsia" w:ascii="宋体" w:hAnsi="宋体" w:eastAsia="宋体" w:cs="宋体"/>
          <w:sz w:val="24"/>
        </w:rPr>
      </w:pPr>
      <w:r>
        <w:rPr>
          <w:rFonts w:hint="eastAsia" w:ascii="宋体" w:hAnsi="宋体" w:eastAsia="宋体" w:cs="宋体"/>
          <w:sz w:val="24"/>
        </w:rPr>
        <w:t>提供符合投标邀请（招标公告）、需求一览表及评标办法规定的相关证明文件。</w:t>
      </w: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tabs>
          <w:tab w:val="left" w:pos="4620"/>
        </w:tabs>
        <w:spacing w:line="360" w:lineRule="auto"/>
        <w:rPr>
          <w:rFonts w:hint="eastAsia" w:ascii="宋体" w:hAnsi="宋体" w:eastAsia="宋体" w:cs="宋体"/>
          <w:sz w:val="24"/>
        </w:rPr>
      </w:pPr>
    </w:p>
    <w:p>
      <w:pPr>
        <w:tabs>
          <w:tab w:val="left" w:pos="4620"/>
        </w:tabs>
        <w:spacing w:line="360" w:lineRule="auto"/>
        <w:ind w:firstLine="480" w:firstLineChars="200"/>
        <w:rPr>
          <w:rFonts w:hint="eastAsia" w:ascii="宋体" w:hAnsi="宋体" w:eastAsia="宋体" w:cs="宋体"/>
          <w:sz w:val="24"/>
        </w:rPr>
      </w:pPr>
    </w:p>
    <w:p>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p>
    <w:p>
      <w:pPr>
        <w:keepNext w:val="0"/>
        <w:keepLines w:val="0"/>
        <w:pageBreakBefore w:val="0"/>
        <w:widowControl w:val="0"/>
        <w:numPr>
          <w:ilvl w:val="0"/>
          <w:numId w:val="28"/>
        </w:numPr>
        <w:kinsoku/>
        <w:wordWrap/>
        <w:overflowPunct/>
        <w:topLinePunct w:val="0"/>
        <w:autoSpaceDE/>
        <w:autoSpaceDN/>
        <w:bidi w:val="0"/>
        <w:adjustRightInd/>
        <w:snapToGrid/>
        <w:spacing w:line="360" w:lineRule="auto"/>
        <w:jc w:val="center"/>
        <w:textAlignment w:val="auto"/>
        <w:rPr>
          <w:rFonts w:hint="eastAsia"/>
          <w:b/>
          <w:bCs/>
          <w:color w:val="auto"/>
          <w:sz w:val="28"/>
          <w:szCs w:val="28"/>
        </w:rPr>
      </w:pPr>
      <w:r>
        <w:rPr>
          <w:rFonts w:hint="eastAsia"/>
          <w:b/>
          <w:bCs/>
          <w:color w:val="auto"/>
          <w:sz w:val="28"/>
          <w:szCs w:val="28"/>
        </w:rPr>
        <w:t>中小企业声明函（工程、服务）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w:t>
      </w:r>
      <w:r>
        <w:rPr>
          <w:rFonts w:hint="eastAsia" w:ascii="宋体" w:hAnsi="宋体" w:eastAsia="宋体" w:cs="宋体"/>
          <w:sz w:val="24"/>
          <w:szCs w:val="24"/>
          <w:u w:val="single"/>
        </w:rPr>
        <w:t>（或者：服务全部由符合政策要求的中小企业承接）</w:t>
      </w:r>
      <w:r>
        <w:rPr>
          <w:rFonts w:hint="eastAsia" w:ascii="宋体" w:hAnsi="宋体" w:eastAsia="宋体" w:cs="宋体"/>
          <w:sz w:val="24"/>
          <w:szCs w:val="24"/>
        </w:rPr>
        <w:t>。相关企业</w:t>
      </w:r>
      <w:r>
        <w:rPr>
          <w:rFonts w:hint="eastAsia" w:ascii="宋体" w:hAnsi="宋体" w:eastAsia="宋体" w:cs="宋体"/>
          <w:sz w:val="24"/>
          <w:szCs w:val="24"/>
          <w:u w:val="single"/>
        </w:rPr>
        <w:t>（含联合 体中的中小企业、签订分包意向协议的中小企业）</w:t>
      </w:r>
      <w:r>
        <w:rPr>
          <w:rFonts w:hint="eastAsia" w:ascii="宋体" w:hAnsi="宋体" w:eastAsia="宋体" w:cs="宋体"/>
          <w:sz w:val="24"/>
          <w:szCs w:val="24"/>
        </w:rPr>
        <w:t>的具体情 况如下：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承建（承接）企业为（企业名称），从业人员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万元，属于（中型企业、小型企业、微型企业）；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i w:val="0"/>
          <w:iCs w:val="0"/>
          <w:sz w:val="24"/>
          <w:szCs w:val="24"/>
          <w:u w:val="single"/>
        </w:rPr>
        <w:t>（中型企业、 小型企业、微型企业）</w:t>
      </w:r>
      <w:r>
        <w:rPr>
          <w:rFonts w:hint="eastAsia" w:ascii="宋体" w:hAnsi="宋体" w:eastAsia="宋体" w:cs="宋体"/>
          <w:sz w:val="24"/>
          <w:szCs w:val="24"/>
        </w:rPr>
        <w:t>；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本企业对上述声明内容的真实性负责。如有虚假，将依法承担相应责任。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rPr>
      </w:pPr>
      <w:r>
        <w:rPr>
          <w:rFonts w:hint="eastAsia" w:ascii="宋体" w:hAnsi="宋体" w:eastAsia="宋体" w:cs="宋体"/>
          <w:sz w:val="24"/>
          <w:szCs w:val="24"/>
        </w:rPr>
        <w:t xml:space="preserve">企业名称（盖章）：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pPr>
        <w:pStyle w:val="116"/>
        <w:rPr>
          <w:rFonts w:hint="eastAsia" w:ascii="宋体" w:hAnsi="宋体" w:eastAsia="宋体" w:cs="宋体"/>
          <w:sz w:val="24"/>
          <w:szCs w:val="24"/>
        </w:rPr>
      </w:pPr>
    </w:p>
    <w:p>
      <w:pPr>
        <w:pStyle w:val="16"/>
        <w:rPr>
          <w:rFonts w:hint="eastAsia" w:ascii="宋体" w:hAnsi="宋体" w:eastAsia="宋体" w:cs="宋体"/>
          <w:sz w:val="24"/>
          <w:szCs w:val="24"/>
        </w:rPr>
      </w:pPr>
    </w:p>
    <w:p>
      <w:pPr>
        <w:rPr>
          <w:rFonts w:hint="eastAsia" w:ascii="宋体" w:hAnsi="宋体" w:eastAsia="宋体" w:cs="宋体"/>
          <w:sz w:val="24"/>
          <w:szCs w:val="24"/>
        </w:rPr>
      </w:pPr>
    </w:p>
    <w:p>
      <w:pPr>
        <w:pStyle w:val="116"/>
        <w:rPr>
          <w:rFonts w:hint="eastAsia" w:ascii="宋体" w:hAnsi="宋体" w:eastAsia="宋体" w:cs="宋体"/>
          <w:sz w:val="24"/>
          <w:szCs w:val="24"/>
        </w:rPr>
      </w:pPr>
    </w:p>
    <w:p>
      <w:pPr>
        <w:pStyle w:val="16"/>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注：1.从业人员、营业收入、资产总额填报上一年度数据，无上一年度数据的新成立企业可不填报。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2.本项目如是只面向中小企业采购的应当必须提供。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8"/>
          <w:lang w:val="en-US" w:eastAsia="zh-CN"/>
        </w:rPr>
      </w:pPr>
    </w:p>
    <w:p>
      <w:pPr>
        <w:rPr>
          <w:rFonts w:hint="eastAsia" w:ascii="宋体" w:hAnsi="宋体" w:eastAsia="宋体" w:cs="宋体"/>
          <w:sz w:val="28"/>
          <w:szCs w:val="28"/>
        </w:rPr>
      </w:pPr>
    </w:p>
    <w:p>
      <w:pPr>
        <w:rPr>
          <w:rFonts w:hint="eastAsia" w:ascii="宋体" w:hAnsi="宋体" w:eastAsia="宋体" w:cs="宋体"/>
          <w:sz w:val="28"/>
          <w:szCs w:val="28"/>
        </w:rPr>
      </w:pPr>
      <w:bookmarkStart w:id="196" w:name="_Toc220232403"/>
    </w:p>
    <w:p>
      <w:pPr>
        <w:rPr>
          <w:rFonts w:hint="eastAsia" w:ascii="宋体" w:hAnsi="宋体" w:eastAsia="宋体" w:cs="宋体"/>
          <w:sz w:val="28"/>
          <w:szCs w:val="28"/>
        </w:rPr>
      </w:pPr>
    </w:p>
    <w:bookmarkEnd w:id="196"/>
    <w:p>
      <w:pPr>
        <w:pStyle w:val="4"/>
        <w:jc w:val="both"/>
        <w:rPr>
          <w:rFonts w:hint="eastAsia" w:ascii="宋体" w:hAnsi="宋体" w:eastAsia="宋体" w:cs="宋体"/>
          <w:sz w:val="36"/>
          <w:szCs w:val="36"/>
        </w:rPr>
      </w:pPr>
      <w:bookmarkStart w:id="197" w:name="_Hlt526418111"/>
      <w:bookmarkEnd w:id="197"/>
      <w:bookmarkStart w:id="198" w:name="_Hlt526418103"/>
      <w:bookmarkEnd w:id="198"/>
      <w:bookmarkStart w:id="199" w:name="_Toc516969110"/>
      <w:bookmarkStart w:id="200" w:name="_Toc2532_WPSOffice_Level2"/>
      <w:bookmarkStart w:id="201" w:name="_Toc220232405"/>
      <w:r>
        <w:rPr>
          <w:rFonts w:hint="eastAsia" w:ascii="宋体" w:hAnsi="宋体" w:eastAsia="宋体" w:cs="宋体"/>
          <w:sz w:val="28"/>
        </w:rPr>
        <w:br w:type="page"/>
      </w:r>
      <w:bookmarkStart w:id="202" w:name="_Toc3638"/>
      <w:bookmarkStart w:id="203" w:name="_Toc10948"/>
      <w:bookmarkStart w:id="204" w:name="_Toc40975458"/>
      <w:bookmarkStart w:id="205" w:name="_Toc2639"/>
      <w:r>
        <w:rPr>
          <w:rFonts w:hint="eastAsia" w:ascii="宋体" w:hAnsi="宋体" w:eastAsia="宋体" w:cs="宋体"/>
          <w:sz w:val="28"/>
          <w:lang w:eastAsia="zh-CN"/>
        </w:rPr>
        <w:t>九</w:t>
      </w:r>
      <w:r>
        <w:rPr>
          <w:rFonts w:hint="eastAsia" w:ascii="宋体" w:hAnsi="宋体" w:eastAsia="宋体" w:cs="宋体"/>
          <w:sz w:val="28"/>
        </w:rPr>
        <w:t>．售后服务</w:t>
      </w:r>
      <w:bookmarkEnd w:id="199"/>
      <w:bookmarkEnd w:id="200"/>
      <w:bookmarkEnd w:id="201"/>
      <w:bookmarkEnd w:id="202"/>
      <w:bookmarkEnd w:id="203"/>
      <w:bookmarkEnd w:id="204"/>
      <w:bookmarkEnd w:id="205"/>
    </w:p>
    <w:p>
      <w:pPr>
        <w:jc w:val="center"/>
        <w:rPr>
          <w:rFonts w:hint="eastAsia" w:ascii="宋体" w:hAnsi="宋体" w:eastAsia="宋体" w:cs="宋体"/>
          <w:sz w:val="28"/>
        </w:rPr>
      </w:pPr>
      <w:r>
        <w:rPr>
          <w:rFonts w:hint="eastAsia" w:ascii="宋体" w:hAnsi="宋体" w:eastAsia="宋体" w:cs="宋体"/>
          <w:sz w:val="24"/>
        </w:rPr>
        <w:t>(投标人可自行制作格式)</w:t>
      </w:r>
    </w:p>
    <w:p>
      <w:pPr>
        <w:spacing w:line="500" w:lineRule="exact"/>
        <w:jc w:val="center"/>
        <w:rPr>
          <w:rFonts w:hint="eastAsia" w:ascii="宋体" w:hAnsi="宋体" w:eastAsia="宋体" w:cs="宋体"/>
          <w:b/>
          <w:bCs/>
          <w:sz w:val="30"/>
        </w:rPr>
      </w:pPr>
      <w:bookmarkStart w:id="206" w:name="_Hlt526418107"/>
      <w:bookmarkEnd w:id="206"/>
    </w:p>
    <w:p>
      <w:pPr>
        <w:pStyle w:val="4"/>
        <w:rPr>
          <w:rFonts w:hint="eastAsia" w:ascii="宋体" w:hAnsi="宋体" w:eastAsia="宋体" w:cs="宋体"/>
          <w:sz w:val="44"/>
        </w:rPr>
      </w:pPr>
      <w:bookmarkStart w:id="207" w:name="_Toc27099"/>
      <w:bookmarkStart w:id="208" w:name="_Toc30338_WPSOffice_Level2"/>
      <w:bookmarkStart w:id="209" w:name="_Hlt509738384"/>
      <w:bookmarkStart w:id="210" w:name="_Toc40975459"/>
      <w:bookmarkStart w:id="211" w:name="_Toc26966"/>
      <w:bookmarkStart w:id="212" w:name="_Toc516969111"/>
      <w:bookmarkStart w:id="213" w:name="_Toc359404312"/>
      <w:bookmarkStart w:id="214" w:name="_Toc10813"/>
      <w:bookmarkStart w:id="215" w:name="_Toc197934560"/>
      <w:r>
        <w:rPr>
          <w:rFonts w:hint="eastAsia" w:ascii="宋体" w:hAnsi="宋体" w:eastAsia="宋体" w:cs="宋体"/>
          <w:sz w:val="28"/>
        </w:rPr>
        <w:t>十、所投</w:t>
      </w:r>
      <w:r>
        <w:rPr>
          <w:rFonts w:hint="eastAsia" w:ascii="宋体" w:hAnsi="宋体" w:eastAsia="宋体" w:cs="宋体"/>
          <w:sz w:val="28"/>
          <w:lang w:eastAsia="zh-CN"/>
        </w:rPr>
        <w:t>服务</w:t>
      </w:r>
      <w:r>
        <w:rPr>
          <w:rFonts w:hint="eastAsia" w:ascii="宋体" w:hAnsi="宋体" w:eastAsia="宋体" w:cs="宋体"/>
          <w:sz w:val="28"/>
        </w:rPr>
        <w:t>的技术资料等</w:t>
      </w:r>
      <w:bookmarkEnd w:id="207"/>
      <w:bookmarkEnd w:id="208"/>
      <w:bookmarkEnd w:id="209"/>
      <w:bookmarkEnd w:id="210"/>
      <w:bookmarkEnd w:id="211"/>
      <w:bookmarkEnd w:id="212"/>
      <w:bookmarkEnd w:id="213"/>
      <w:bookmarkEnd w:id="214"/>
      <w:bookmarkEnd w:id="215"/>
      <w:bookmarkStart w:id="216" w:name="_Hlt509650291"/>
      <w:bookmarkEnd w:id="216"/>
    </w:p>
    <w:p>
      <w:pPr>
        <w:jc w:val="center"/>
        <w:rPr>
          <w:rFonts w:hint="eastAsia" w:ascii="宋体" w:hAnsi="宋体" w:eastAsia="宋体" w:cs="宋体"/>
          <w:sz w:val="24"/>
        </w:rPr>
      </w:pPr>
      <w:r>
        <w:rPr>
          <w:rFonts w:hint="eastAsia" w:ascii="宋体" w:hAnsi="宋体" w:eastAsia="宋体" w:cs="宋体"/>
          <w:sz w:val="24"/>
        </w:rPr>
        <w:t>（投标人可自行制作格式，可附产品技术彩页）</w:t>
      </w: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pStyle w:val="4"/>
        <w:rPr>
          <w:rFonts w:hint="eastAsia" w:ascii="宋体" w:hAnsi="宋体" w:eastAsia="宋体" w:cs="宋体"/>
          <w:sz w:val="28"/>
        </w:rPr>
      </w:pPr>
      <w:bookmarkStart w:id="217" w:name="_Toc1814"/>
      <w:bookmarkStart w:id="218" w:name="_Toc10283"/>
      <w:bookmarkStart w:id="219" w:name="_Toc17042"/>
      <w:r>
        <w:rPr>
          <w:rFonts w:hint="eastAsia" w:ascii="宋体" w:hAnsi="宋体" w:eastAsia="宋体" w:cs="宋体"/>
          <w:sz w:val="28"/>
        </w:rPr>
        <w:t>十</w:t>
      </w:r>
      <w:r>
        <w:rPr>
          <w:rFonts w:hint="eastAsia" w:ascii="宋体" w:hAnsi="宋体" w:eastAsia="宋体" w:cs="宋体"/>
          <w:sz w:val="28"/>
          <w:lang w:eastAsia="zh-CN"/>
        </w:rPr>
        <w:t>一</w:t>
      </w:r>
      <w:r>
        <w:rPr>
          <w:rFonts w:hint="eastAsia" w:ascii="宋体" w:hAnsi="宋体" w:eastAsia="宋体" w:cs="宋体"/>
          <w:sz w:val="28"/>
        </w:rPr>
        <w:t>、其他投标人认为需要提供得材料等</w:t>
      </w:r>
      <w:bookmarkEnd w:id="217"/>
      <w:bookmarkEnd w:id="218"/>
      <w:bookmarkEnd w:id="219"/>
    </w:p>
    <w:p>
      <w:pPr>
        <w:pStyle w:val="4"/>
        <w:rPr>
          <w:rFonts w:hint="eastAsia" w:ascii="宋体" w:hAnsi="宋体" w:eastAsia="宋体" w:cs="宋体"/>
          <w:sz w:val="28"/>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pStyle w:val="50"/>
        <w:rPr>
          <w:rFonts w:hint="eastAsia" w:ascii="宋体" w:hAnsi="宋体" w:eastAsia="宋体" w:cs="宋体"/>
        </w:rPr>
      </w:pPr>
    </w:p>
    <w:p>
      <w:pPr>
        <w:pStyle w:val="50"/>
        <w:rPr>
          <w:rFonts w:hint="eastAsia" w:ascii="宋体" w:hAnsi="宋体" w:eastAsia="宋体" w:cs="宋体"/>
        </w:rPr>
      </w:pPr>
    </w:p>
    <w:p>
      <w:pPr>
        <w:pStyle w:val="50"/>
        <w:rPr>
          <w:rFonts w:hint="eastAsia" w:ascii="宋体" w:hAnsi="宋体" w:eastAsia="宋体" w:cs="宋体"/>
        </w:rPr>
      </w:pPr>
    </w:p>
    <w:p>
      <w:pPr>
        <w:pStyle w:val="69"/>
        <w:ind w:right="-21" w:firstLine="0" w:firstLineChars="0"/>
        <w:rPr>
          <w:rFonts w:hint="eastAsia" w:ascii="宋体" w:hAnsi="宋体" w:eastAsia="宋体" w:cs="宋体"/>
        </w:rPr>
      </w:pPr>
    </w:p>
    <w:p>
      <w:pPr>
        <w:spacing w:line="380" w:lineRule="exact"/>
        <w:jc w:val="center"/>
        <w:rPr>
          <w:rFonts w:hint="eastAsia" w:ascii="宋体" w:hAnsi="宋体" w:eastAsia="宋体" w:cs="宋体"/>
          <w:b/>
          <w:sz w:val="28"/>
          <w:szCs w:val="28"/>
        </w:rPr>
      </w:pPr>
      <w:r>
        <w:rPr>
          <w:rFonts w:hint="eastAsia" w:ascii="宋体" w:hAnsi="宋体" w:eastAsia="宋体" w:cs="宋体"/>
          <w:b/>
          <w:sz w:val="28"/>
          <w:szCs w:val="28"/>
        </w:rPr>
        <w:t>十二、政府采购供应商诚信承诺书</w:t>
      </w:r>
    </w:p>
    <w:p>
      <w:pPr>
        <w:spacing w:line="380" w:lineRule="exact"/>
        <w:jc w:val="center"/>
        <w:rPr>
          <w:rFonts w:hint="eastAsia" w:ascii="宋体" w:hAnsi="宋体" w:eastAsia="宋体" w:cs="宋体"/>
          <w:b/>
          <w:sz w:val="24"/>
        </w:rPr>
      </w:pPr>
    </w:p>
    <w:p>
      <w:pPr>
        <w:spacing w:line="380" w:lineRule="exact"/>
        <w:ind w:firstLine="480" w:firstLineChars="200"/>
        <w:rPr>
          <w:rFonts w:hint="eastAsia" w:ascii="宋体" w:hAnsi="宋体" w:eastAsia="宋体" w:cs="宋体"/>
          <w:sz w:val="24"/>
        </w:rPr>
      </w:pPr>
      <w:r>
        <w:rPr>
          <w:rFonts w:hint="eastAsia" w:ascii="宋体" w:hAnsi="宋体" w:eastAsia="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（一）提供虚假材料谋取中标;</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（二）采取不正当手段诋毁、排挤其他供应商;</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（三）与招标采购单位、其他投标人恶意串通;</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（四）向招标采购单位或提供其他不正当利益;</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（五）在招标过程中与招标采购单位进行协商谈判、不按照招标文件和投标文件订立合同，或者与采购人另立背离合同实质性内容协议;</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（六）开标后擅自撤销投标，影响招标继续进行的或领取招标文件纳投标保证金后不投标导致废标;</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（七）中标后无正当理由，在规定时间内不与采购单位签订合同;</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（八）将中标项目转让给他人或非法分包他人;</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（九）无正当理由，拒绝履行合同义务;</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（十）无正当理由放弃中标（成交）项目;</w:t>
      </w:r>
    </w:p>
    <w:p>
      <w:pPr>
        <w:spacing w:line="380" w:lineRule="exact"/>
        <w:ind w:firstLine="403" w:firstLineChars="168"/>
        <w:rPr>
          <w:rFonts w:hint="eastAsia" w:ascii="宋体" w:hAnsi="宋体" w:eastAsia="宋体" w:cs="宋体"/>
          <w:sz w:val="24"/>
        </w:rPr>
      </w:pPr>
      <w:r>
        <w:rPr>
          <w:rFonts w:hint="eastAsia" w:ascii="宋体" w:hAnsi="宋体" w:eastAsia="宋体" w:cs="宋体"/>
          <w:sz w:val="24"/>
        </w:rPr>
        <w:t>（十ー）擅自或与与采购人串通或接受采购人要求，在履约合同中通过减少</w:t>
      </w:r>
      <w:r>
        <w:rPr>
          <w:rFonts w:hint="eastAsia" w:ascii="宋体" w:hAnsi="宋体" w:eastAsia="宋体" w:cs="宋体"/>
          <w:sz w:val="24"/>
          <w:lang w:val="en-US" w:eastAsia="zh-CN"/>
        </w:rPr>
        <w:t>服务</w:t>
      </w:r>
      <w:r>
        <w:rPr>
          <w:rFonts w:hint="eastAsia" w:ascii="宋体" w:hAnsi="宋体" w:eastAsia="宋体" w:cs="宋体"/>
          <w:sz w:val="24"/>
        </w:rPr>
        <w:t>数量，更服务标准等，却仍按原合同进行虚假验收或终止政府采购合同;</w:t>
      </w:r>
    </w:p>
    <w:p>
      <w:pPr>
        <w:spacing w:line="380" w:lineRule="exact"/>
        <w:ind w:firstLine="403" w:firstLineChars="168"/>
        <w:jc w:val="left"/>
        <w:rPr>
          <w:rFonts w:hint="eastAsia" w:ascii="宋体" w:hAnsi="宋体" w:eastAsia="宋体" w:cs="宋体"/>
          <w:sz w:val="24"/>
        </w:rPr>
      </w:pPr>
      <w:r>
        <w:rPr>
          <w:rFonts w:hint="eastAsia" w:ascii="宋体" w:hAnsi="宋体" w:eastAsia="宋体" w:cs="宋体"/>
          <w:sz w:val="24"/>
        </w:rPr>
        <w:t>（十二）与采购人串通，对尚未履约完毕的采购项目出具虚假验收报告；</w:t>
      </w:r>
    </w:p>
    <w:p>
      <w:pPr>
        <w:spacing w:line="380" w:lineRule="exact"/>
        <w:ind w:firstLine="403" w:firstLineChars="168"/>
        <w:jc w:val="left"/>
        <w:rPr>
          <w:rFonts w:hint="eastAsia" w:ascii="宋体" w:hAnsi="宋体" w:eastAsia="宋体" w:cs="宋体"/>
          <w:sz w:val="24"/>
        </w:rPr>
      </w:pPr>
      <w:r>
        <w:rPr>
          <w:rFonts w:hint="eastAsia" w:ascii="宋体" w:hAnsi="宋体" w:eastAsia="宋体" w:cs="宋体"/>
          <w:sz w:val="24"/>
        </w:rPr>
        <w:t>（十三）无不可抗力因素，拒绝提供售后服务、售后服务态度恶劣、故意提高维修配件价格（高于市场平均价）；</w:t>
      </w:r>
    </w:p>
    <w:p>
      <w:pPr>
        <w:spacing w:line="380" w:lineRule="exact"/>
        <w:ind w:firstLine="360" w:firstLineChars="150"/>
        <w:jc w:val="left"/>
        <w:rPr>
          <w:rFonts w:hint="eastAsia" w:ascii="宋体" w:hAnsi="宋体" w:eastAsia="宋体" w:cs="宋体"/>
          <w:sz w:val="24"/>
        </w:rPr>
      </w:pPr>
      <w:r>
        <w:rPr>
          <w:rFonts w:hint="eastAsia" w:ascii="宋体" w:hAnsi="宋体" w:eastAsia="宋体" w:cs="宋体"/>
          <w:sz w:val="24"/>
        </w:rPr>
        <w:t>（十四）开标后对招标文件的相关内容再进行质疑；</w:t>
      </w:r>
    </w:p>
    <w:p>
      <w:pPr>
        <w:spacing w:line="380" w:lineRule="exact"/>
        <w:ind w:firstLine="360" w:firstLineChars="150"/>
        <w:jc w:val="left"/>
        <w:rPr>
          <w:rFonts w:hint="eastAsia" w:ascii="宋体" w:hAnsi="宋体" w:eastAsia="宋体" w:cs="宋体"/>
          <w:sz w:val="24"/>
        </w:rPr>
      </w:pPr>
      <w:r>
        <w:rPr>
          <w:rFonts w:hint="eastAsia" w:ascii="宋体" w:hAnsi="宋体" w:eastAsia="宋体" w:cs="宋体"/>
          <w:sz w:val="24"/>
        </w:rPr>
        <w:t>（十五）恶意投诉的行为：投诉经查无实据的、捏造事实或者提供虚假设诉材料；</w:t>
      </w:r>
    </w:p>
    <w:p>
      <w:pPr>
        <w:spacing w:line="380" w:lineRule="exact"/>
        <w:ind w:firstLine="240" w:firstLineChars="100"/>
        <w:jc w:val="left"/>
        <w:rPr>
          <w:rFonts w:hint="eastAsia" w:ascii="宋体" w:hAnsi="宋体" w:eastAsia="宋体" w:cs="宋体"/>
          <w:sz w:val="24"/>
        </w:rPr>
      </w:pPr>
      <w:r>
        <w:rPr>
          <w:rFonts w:hint="eastAsia" w:ascii="宋体" w:hAnsi="宋体" w:eastAsia="宋体" w:cs="宋体"/>
          <w:sz w:val="24"/>
        </w:rPr>
        <w:t>（十六）拒绝有关部门监督检查或者提供虚假情况；</w:t>
      </w:r>
    </w:p>
    <w:p>
      <w:pPr>
        <w:spacing w:line="380" w:lineRule="exact"/>
        <w:ind w:firstLine="240" w:firstLineChars="100"/>
        <w:jc w:val="left"/>
        <w:rPr>
          <w:rFonts w:hint="eastAsia" w:ascii="宋体" w:hAnsi="宋体" w:eastAsia="宋体" w:cs="宋体"/>
          <w:sz w:val="24"/>
        </w:rPr>
      </w:pPr>
      <w:r>
        <w:rPr>
          <w:rFonts w:hint="eastAsia" w:ascii="宋体" w:hAnsi="宋体" w:eastAsia="宋体" w:cs="宋体"/>
          <w:sz w:val="24"/>
        </w:rPr>
        <w:t>（十七）政府采购监管部门认定的其他政府采购活动中的不诚信行为。</w:t>
      </w:r>
    </w:p>
    <w:p>
      <w:pPr>
        <w:spacing w:line="380" w:lineRule="exact"/>
        <w:jc w:val="center"/>
        <w:rPr>
          <w:rFonts w:hint="eastAsia" w:ascii="宋体" w:hAnsi="宋体" w:eastAsia="宋体" w:cs="宋体"/>
          <w:sz w:val="24"/>
        </w:rPr>
      </w:pPr>
    </w:p>
    <w:p>
      <w:pPr>
        <w:spacing w:line="380" w:lineRule="exact"/>
        <w:jc w:val="center"/>
        <w:rPr>
          <w:rFonts w:hint="eastAsia" w:ascii="宋体" w:hAnsi="宋体" w:eastAsia="宋体" w:cs="宋体"/>
          <w:sz w:val="24"/>
        </w:rPr>
      </w:pPr>
      <w:r>
        <w:rPr>
          <w:rFonts w:hint="eastAsia" w:ascii="宋体" w:hAnsi="宋体" w:eastAsia="宋体" w:cs="宋体"/>
          <w:sz w:val="24"/>
        </w:rPr>
        <w:t>供应商名称：（电子</w:t>
      </w:r>
      <w:r>
        <w:rPr>
          <w:rFonts w:hint="eastAsia" w:ascii="宋体" w:hAnsi="宋体" w:eastAsia="宋体" w:cs="宋体"/>
          <w:sz w:val="24"/>
          <w:lang w:val="en-US" w:eastAsia="zh-CN"/>
        </w:rPr>
        <w:t>公</w:t>
      </w:r>
      <w:r>
        <w:rPr>
          <w:rFonts w:hint="eastAsia" w:ascii="宋体" w:hAnsi="宋体" w:eastAsia="宋体" w:cs="宋体"/>
          <w:sz w:val="24"/>
        </w:rPr>
        <w:t>章）</w:t>
      </w:r>
    </w:p>
    <w:p>
      <w:pPr>
        <w:spacing w:line="38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 xml:space="preserve"> </w:t>
      </w:r>
    </w:p>
    <w:p>
      <w:pPr>
        <w:spacing w:line="380" w:lineRule="exact"/>
        <w:jc w:val="center"/>
        <w:rPr>
          <w:rFonts w:hint="eastAsia" w:ascii="宋体" w:hAnsi="宋体" w:eastAsia="宋体" w:cs="宋体"/>
          <w:sz w:val="24"/>
        </w:rPr>
      </w:pPr>
    </w:p>
    <w:p>
      <w:pPr>
        <w:spacing w:line="380" w:lineRule="exact"/>
        <w:jc w:val="center"/>
        <w:rPr>
          <w:rFonts w:hint="eastAsia" w:ascii="宋体" w:hAnsi="宋体" w:eastAsia="宋体" w:cs="宋体"/>
          <w:sz w:val="24"/>
        </w:rPr>
      </w:pPr>
      <w:r>
        <w:rPr>
          <w:rFonts w:hint="eastAsia" w:ascii="宋体" w:hAnsi="宋体" w:eastAsia="宋体" w:cs="宋体"/>
          <w:sz w:val="24"/>
        </w:rPr>
        <w:t>法人代表或授权委托人：（签</w:t>
      </w:r>
      <w:r>
        <w:rPr>
          <w:rFonts w:hint="eastAsia" w:ascii="宋体" w:hAnsi="宋体" w:eastAsia="宋体" w:cs="宋体"/>
          <w:sz w:val="24"/>
          <w:lang w:val="en-US" w:eastAsia="zh-CN"/>
        </w:rPr>
        <w:t>字</w:t>
      </w:r>
      <w:r>
        <w:rPr>
          <w:rFonts w:hint="eastAsia" w:ascii="宋体" w:hAnsi="宋体" w:eastAsia="宋体" w:cs="宋体"/>
          <w:sz w:val="24"/>
        </w:rPr>
        <w:t>）</w:t>
      </w:r>
    </w:p>
    <w:p>
      <w:pPr>
        <w:spacing w:line="380" w:lineRule="exact"/>
        <w:jc w:val="center"/>
        <w:rPr>
          <w:rFonts w:hint="eastAsia" w:ascii="宋体" w:hAnsi="宋体" w:eastAsia="宋体" w:cs="宋体"/>
          <w:sz w:val="24"/>
        </w:rPr>
      </w:pPr>
    </w:p>
    <w:p>
      <w:pPr>
        <w:jc w:val="center"/>
        <w:rPr>
          <w:rFonts w:hint="eastAsia" w:ascii="宋体" w:hAnsi="宋体" w:eastAsia="宋体" w:cs="宋体"/>
          <w:sz w:val="24"/>
        </w:rPr>
      </w:pPr>
      <w:r>
        <w:rPr>
          <w:rFonts w:hint="eastAsia" w:ascii="宋体" w:hAnsi="宋体" w:eastAsia="宋体" w:cs="宋体"/>
          <w:sz w:val="24"/>
        </w:rPr>
        <w:t xml:space="preserve">               日期：      年   月    日</w:t>
      </w:r>
    </w:p>
    <w:p>
      <w:pPr>
        <w:pStyle w:val="117"/>
        <w:ind w:firstLine="210"/>
        <w:rPr>
          <w:rFonts w:hint="eastAsia" w:ascii="宋体" w:hAnsi="宋体" w:eastAsia="宋体" w:cs="宋体"/>
        </w:rPr>
      </w:pPr>
    </w:p>
    <w:p>
      <w:pPr>
        <w:pStyle w:val="117"/>
        <w:ind w:firstLine="210"/>
        <w:rPr>
          <w:rFonts w:hint="eastAsia" w:ascii="宋体" w:hAnsi="宋体" w:eastAsia="宋体" w:cs="宋体"/>
        </w:rPr>
      </w:pPr>
    </w:p>
    <w:p>
      <w:pPr>
        <w:pStyle w:val="117"/>
        <w:ind w:firstLine="210"/>
        <w:rPr>
          <w:rFonts w:hint="eastAsia" w:ascii="宋体" w:hAnsi="宋体" w:eastAsia="宋体" w:cs="宋体"/>
        </w:rPr>
      </w:pPr>
    </w:p>
    <w:p>
      <w:pPr>
        <w:pStyle w:val="2"/>
        <w:bidi w:val="0"/>
        <w:rPr>
          <w:rFonts w:hint="eastAsia" w:ascii="宋体" w:hAnsi="宋体" w:eastAsia="宋体" w:cs="宋体"/>
        </w:rPr>
      </w:pPr>
      <w:bookmarkStart w:id="220" w:name="_Toc12913"/>
      <w:r>
        <w:rPr>
          <w:rFonts w:hint="eastAsia" w:ascii="宋体" w:hAnsi="宋体" w:eastAsia="宋体" w:cs="宋体"/>
        </w:rPr>
        <w:t>周口市政府采购合同融资政策告知函</w:t>
      </w:r>
      <w:bookmarkEnd w:id="220"/>
    </w:p>
    <w:p>
      <w:pPr>
        <w:pStyle w:val="117"/>
        <w:ind w:firstLine="240"/>
        <w:rPr>
          <w:rFonts w:hint="eastAsia" w:ascii="宋体" w:hAnsi="宋体" w:eastAsia="宋体" w:cs="宋体"/>
          <w:sz w:val="24"/>
          <w:szCs w:val="24"/>
        </w:rPr>
      </w:pPr>
    </w:p>
    <w:p>
      <w:pPr>
        <w:pStyle w:val="117"/>
        <w:ind w:firstLine="240"/>
        <w:rPr>
          <w:rFonts w:hint="eastAsia" w:ascii="宋体" w:hAnsi="宋体" w:eastAsia="宋体" w:cs="宋体"/>
          <w:sz w:val="24"/>
          <w:szCs w:val="24"/>
        </w:rPr>
      </w:pPr>
    </w:p>
    <w:p>
      <w:pPr>
        <w:pStyle w:val="117"/>
        <w:ind w:firstLine="240"/>
        <w:rPr>
          <w:rFonts w:hint="eastAsia" w:ascii="宋体" w:hAnsi="宋体" w:eastAsia="宋体" w:cs="宋体"/>
          <w:sz w:val="24"/>
          <w:szCs w:val="24"/>
        </w:rPr>
      </w:pPr>
    </w:p>
    <w:p>
      <w:pPr>
        <w:pStyle w:val="117"/>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rPr>
      </w:pPr>
      <w:r>
        <w:rPr>
          <w:rFonts w:hint="eastAsia" w:ascii="宋体" w:hAnsi="宋体" w:eastAsia="宋体" w:cs="宋体"/>
          <w:sz w:val="24"/>
          <w:szCs w:val="24"/>
        </w:rPr>
        <w:t>各供应商：</w:t>
      </w:r>
    </w:p>
    <w:p>
      <w:pPr>
        <w:pStyle w:val="117"/>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rPr>
      </w:pPr>
      <w:r>
        <w:rPr>
          <w:rFonts w:hint="eastAsia" w:ascii="宋体" w:hAnsi="宋体" w:eastAsia="宋体" w:cs="宋体"/>
          <w:sz w:val="24"/>
          <w:szCs w:val="24"/>
        </w:rPr>
        <w:t>欢迎贵公司参与周口市政府采购活动！</w:t>
      </w:r>
    </w:p>
    <w:p>
      <w:pPr>
        <w:pStyle w:val="117"/>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6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sz w:val="24"/>
          <w:szCs w:val="24"/>
        </w:rPr>
      </w:pPr>
      <w:r>
        <w:rPr>
          <w:rFonts w:hint="eastAsia" w:ascii="宋体" w:hAnsi="宋体" w:eastAsia="宋体" w:cs="宋体"/>
          <w:sz w:val="24"/>
          <w:szCs w:val="24"/>
        </w:rPr>
        <w:t>贷款渠道和提供贷款的金融机构，可在河南省政府采购网“河南省政府采购合同融资平台”查询联系。</w:t>
      </w: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64"/>
        <w:shd w:val="clear" w:color="auto" w:fill="auto"/>
        <w:spacing w:before="0" w:beforeAutospacing="0" w:after="0" w:afterAutospacing="0" w:line="330" w:lineRule="atLeast"/>
        <w:rPr>
          <w:rFonts w:hint="eastAsia" w:cs="仿宋_GB2312"/>
          <w:b/>
          <w:bCs/>
          <w:color w:val="0000FF"/>
          <w:sz w:val="21"/>
          <w:szCs w:val="21"/>
          <w:highlight w:val="none"/>
        </w:rPr>
      </w:pPr>
    </w:p>
    <w:p>
      <w:pPr>
        <w:pStyle w:val="117"/>
        <w:ind w:left="0" w:leftChars="0" w:firstLine="0" w:firstLineChars="0"/>
        <w:rPr>
          <w:rFonts w:hint="eastAsia" w:ascii="宋体" w:hAnsi="宋体" w:eastAsia="宋体" w:cs="宋体"/>
          <w:sz w:val="24"/>
          <w:szCs w:val="24"/>
        </w:rPr>
      </w:pPr>
    </w:p>
    <w:sectPr>
      <w:pgSz w:w="11906" w:h="16838"/>
      <w:pgMar w:top="1389" w:right="1304" w:bottom="1440" w:left="130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Droid Sans">
    <w:altName w:val="宋体"/>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幼圆">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Verdana">
    <w:panose1 w:val="020B0604030504040204"/>
    <w:charset w:val="00"/>
    <w:family w:val="swiss"/>
    <w:pitch w:val="default"/>
    <w:sig w:usb0="A00006FF" w:usb1="4000205B" w:usb2="00000010" w:usb3="00000000" w:csb0="2000019F" w:csb1="00000000"/>
  </w:font>
  <w:font w:name="Franklin Gothic Heavy">
    <w:altName w:val="Yu Gothic UI Semibold"/>
    <w:panose1 w:val="020B0903020102020204"/>
    <w:charset w:val="00"/>
    <w:family w:val="swiss"/>
    <w:pitch w:val="default"/>
    <w:sig w:usb0="00000000"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auto"/>
    <w:pitch w:val="default"/>
    <w:sig w:usb0="00000000" w:usb1="00000000" w:usb2="00000016" w:usb3="00000000" w:csb0="00100001" w:csb1="00000000"/>
  </w:font>
  <w:font w:name="MS Mincho">
    <w:altName w:val="Yu Gothic UI"/>
    <w:panose1 w:val="02020609040205080304"/>
    <w:charset w:val="80"/>
    <w:family w:val="modern"/>
    <w:pitch w:val="default"/>
    <w:sig w:usb0="00000000" w:usb1="00000000" w:usb2="00000010" w:usb3="00000000" w:csb0="4002009F" w:csb1="DFD70000"/>
  </w:font>
  <w:font w:name="ˎ̥">
    <w:altName w:val="Times New Roman"/>
    <w:panose1 w:val="00000000000000000000"/>
    <w:charset w:val="00"/>
    <w:family w:val="roman"/>
    <w:pitch w:val="default"/>
    <w:sig w:usb0="00000000" w:usb1="00000000" w:usb2="00000000" w:usb3="00000000" w:csb0="00040001" w:csb1="00000000"/>
  </w:font>
  <w:font w:name="CG 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Yu Gothic UI Semibold">
    <w:panose1 w:val="020B0700000000000000"/>
    <w:charset w:val="80"/>
    <w:family w:val="auto"/>
    <w:pitch w:val="default"/>
    <w:sig w:usb0="E00002FF" w:usb1="2AC7FDFF" w:usb2="00000016" w:usb3="00000000" w:csb0="2002009F" w:csb1="00000000"/>
  </w:font>
  <w:font w:name="P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tabs>
        <w:tab w:val="clear"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4625" cy="210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4625" cy="210820"/>
                      </a:xfrm>
                      <a:prstGeom prst="rect">
                        <a:avLst/>
                      </a:prstGeom>
                      <a:noFill/>
                      <a:ln>
                        <a:noFill/>
                      </a:ln>
                    </wps:spPr>
                    <wps:txbx>
                      <w:txbxContent>
                        <w:p>
                          <w:pPr>
                            <w:pStyle w:val="41"/>
                            <w:rPr>
                              <w:rStyle w:val="75"/>
                              <w:rFonts w:hint="eastAsia"/>
                            </w:rPr>
                          </w:pPr>
                          <w:r>
                            <w:fldChar w:fldCharType="begin"/>
                          </w:r>
                          <w:r>
                            <w:rPr>
                              <w:rStyle w:val="75"/>
                            </w:rPr>
                            <w:instrText xml:space="preserve">PAGE   \* MERGEFORMAT</w:instrText>
                          </w:r>
                          <w:r>
                            <w:fldChar w:fldCharType="separate"/>
                          </w:r>
                          <w:r>
                            <w:rPr>
                              <w:rStyle w:val="75"/>
                              <w:lang w:val="zh-CN"/>
                            </w:rPr>
                            <w:t>15</w:t>
                          </w:r>
                          <w:r>
                            <w:fldChar w:fldCharType="end"/>
                          </w:r>
                        </w:p>
                      </w:txbxContent>
                    </wps:txbx>
                    <wps:bodyPr wrap="square" lIns="0" tIns="0" rIns="0" bIns="0" upright="0"/>
                  </wps:wsp>
                </a:graphicData>
              </a:graphic>
            </wp:anchor>
          </w:drawing>
        </mc:Choice>
        <mc:Fallback>
          <w:pict>
            <v:shape id="_x0000_s1026" o:spid="_x0000_s1026" o:spt="202" type="#_x0000_t202" style="position:absolute;left:0pt;margin-top:0pt;height:16.6pt;width:13.75pt;mso-position-horizontal:center;mso-position-horizontal-relative:margin;z-index:251659264;mso-width-relative:page;mso-height-relative:page;" filled="f" stroked="f" coordsize="21600,21600" o:gfxdata="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XX2lvUAAAAAwEAAA8AAAAAAAAAAQAgAAAAIgAAAGRycy9kb3ducmV2Lnht&#10;bFBLAQIUABQAAAAIAIdO4kDW2/H9xAEAAH8DAAAOAAAAAAAAAAEAIAAAACMBAABkcnMvZTJvRG9j&#10;LnhtbFBLBQYAAAAABgAGAFkBAABZBQAAAAA=&#10;">
              <v:fill on="f" focussize="0,0"/>
              <v:stroke on="f"/>
              <v:imagedata o:title=""/>
              <o:lock v:ext="edit" aspectratio="f"/>
              <v:textbox inset="0mm,0mm,0mm,0mm">
                <w:txbxContent>
                  <w:p>
                    <w:pPr>
                      <w:pStyle w:val="41"/>
                      <w:rPr>
                        <w:rStyle w:val="75"/>
                        <w:rFonts w:hint="eastAsia"/>
                      </w:rPr>
                    </w:pPr>
                    <w:r>
                      <w:fldChar w:fldCharType="begin"/>
                    </w:r>
                    <w:r>
                      <w:rPr>
                        <w:rStyle w:val="75"/>
                      </w:rPr>
                      <w:instrText xml:space="preserve">PAGE   \* MERGEFORMAT</w:instrText>
                    </w:r>
                    <w:r>
                      <w:fldChar w:fldCharType="separate"/>
                    </w:r>
                    <w:r>
                      <w:rPr>
                        <w:rStyle w:val="75"/>
                        <w:lang w:val="zh-CN"/>
                      </w:rP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D9E29"/>
    <w:multiLevelType w:val="singleLevel"/>
    <w:tmpl w:val="C4BD9E29"/>
    <w:lvl w:ilvl="0" w:tentative="0">
      <w:start w:val="1"/>
      <w:numFmt w:val="decimalEnclosedCircleChinese"/>
      <w:suff w:val="nothing"/>
      <w:lvlText w:val="%1　"/>
      <w:lvlJc w:val="left"/>
      <w:pPr>
        <w:ind w:left="0" w:firstLine="400"/>
      </w:pPr>
      <w:rPr>
        <w:rFonts w:hint="eastAsia"/>
      </w:rPr>
    </w:lvl>
  </w:abstractNum>
  <w:abstractNum w:abstractNumId="1">
    <w:nsid w:val="DDA5F3A9"/>
    <w:multiLevelType w:val="singleLevel"/>
    <w:tmpl w:val="DDA5F3A9"/>
    <w:lvl w:ilvl="0" w:tentative="0">
      <w:start w:val="1"/>
      <w:numFmt w:val="decimalEnclosedCircleChinese"/>
      <w:suff w:val="nothing"/>
      <w:lvlText w:val="%1　"/>
      <w:lvlJc w:val="left"/>
      <w:pPr>
        <w:ind w:left="0" w:firstLine="400"/>
      </w:pPr>
      <w:rPr>
        <w:rFonts w:hint="eastAsia"/>
      </w:rPr>
    </w:lvl>
  </w:abstractNum>
  <w:abstractNum w:abstractNumId="2">
    <w:nsid w:val="E7435D0C"/>
    <w:multiLevelType w:val="singleLevel"/>
    <w:tmpl w:val="E7435D0C"/>
    <w:lvl w:ilvl="0" w:tentative="0">
      <w:start w:val="1"/>
      <w:numFmt w:val="decimal"/>
      <w:lvlText w:val="%1."/>
      <w:lvlJc w:val="left"/>
      <w:pPr>
        <w:tabs>
          <w:tab w:val="left" w:pos="312"/>
        </w:tabs>
        <w:ind w:left="-425"/>
      </w:pPr>
    </w:lvl>
  </w:abstractNum>
  <w:abstractNum w:abstractNumId="3">
    <w:nsid w:val="00000006"/>
    <w:multiLevelType w:val="multilevel"/>
    <w:tmpl w:val="00000006"/>
    <w:lvl w:ilvl="0" w:tentative="0">
      <w:start w:val="1"/>
      <w:numFmt w:val="decimal"/>
      <w:pStyle w:val="552"/>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0000008"/>
    <w:multiLevelType w:val="singleLevel"/>
    <w:tmpl w:val="00000008"/>
    <w:lvl w:ilvl="0" w:tentative="0">
      <w:start w:val="1"/>
      <w:numFmt w:val="decimal"/>
      <w:pStyle w:val="24"/>
      <w:lvlText w:val="（%1）"/>
      <w:lvlJc w:val="left"/>
      <w:pPr>
        <w:tabs>
          <w:tab w:val="left" w:pos="744"/>
        </w:tabs>
        <w:ind w:left="744" w:hanging="744"/>
      </w:pPr>
      <w:rPr>
        <w:rFonts w:hint="eastAsia"/>
      </w:rPr>
    </w:lvl>
  </w:abstractNum>
  <w:abstractNum w:abstractNumId="5">
    <w:nsid w:val="0000000A"/>
    <w:multiLevelType w:val="singleLevel"/>
    <w:tmpl w:val="0000000A"/>
    <w:lvl w:ilvl="0" w:tentative="0">
      <w:start w:val="1"/>
      <w:numFmt w:val="decimal"/>
      <w:lvlText w:val="（%1）"/>
      <w:lvlJc w:val="left"/>
      <w:pPr>
        <w:tabs>
          <w:tab w:val="left" w:pos="810"/>
        </w:tabs>
        <w:ind w:left="810" w:hanging="810"/>
      </w:pPr>
      <w:rPr>
        <w:rFonts w:hint="eastAsia"/>
      </w:rPr>
    </w:lvl>
  </w:abstractNum>
  <w:abstractNum w:abstractNumId="6">
    <w:nsid w:val="0000000E"/>
    <w:multiLevelType w:val="multilevel"/>
    <w:tmpl w:val="0000000E"/>
    <w:lvl w:ilvl="0" w:tentative="0">
      <w:start w:val="1"/>
      <w:numFmt w:val="decimal"/>
      <w:lvlText w:val="%1"/>
      <w:lvlJc w:val="left"/>
      <w:pPr>
        <w:tabs>
          <w:tab w:val="left" w:pos="2502"/>
        </w:tabs>
        <w:ind w:left="2502" w:hanging="432"/>
      </w:pPr>
      <w:rPr>
        <w:rFonts w:hint="default"/>
      </w:rPr>
    </w:lvl>
    <w:lvl w:ilvl="1" w:tentative="0">
      <w:start w:val="1"/>
      <w:numFmt w:val="decimal"/>
      <w:pStyle w:val="18"/>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352"/>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7">
    <w:nsid w:val="00000011"/>
    <w:multiLevelType w:val="multilevel"/>
    <w:tmpl w:val="00000011"/>
    <w:lvl w:ilvl="0" w:tentative="0">
      <w:start w:val="1"/>
      <w:numFmt w:val="decimal"/>
      <w:pStyle w:val="63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2"/>
    <w:multiLevelType w:val="multilevel"/>
    <w:tmpl w:val="00000012"/>
    <w:lvl w:ilvl="0" w:tentative="0">
      <w:start w:val="1"/>
      <w:numFmt w:val="decimal"/>
      <w:pStyle w:val="584"/>
      <w:lvlText w:val="%1"/>
      <w:lvlJc w:val="left"/>
      <w:pPr>
        <w:tabs>
          <w:tab w:val="left" w:pos="425"/>
        </w:tabs>
        <w:ind w:left="425" w:hanging="425"/>
      </w:pPr>
      <w:rPr>
        <w:rFonts w:hint="default" w:ascii="Arial" w:hAnsi="Arial" w:eastAsia="黑体" w:cs="Times New Roman"/>
        <w:b w:val="0"/>
        <w:i w:val="0"/>
        <w:sz w:val="28"/>
        <w:szCs w:val="28"/>
      </w:rPr>
    </w:lvl>
    <w:lvl w:ilvl="1" w:tentative="0">
      <w:start w:val="1"/>
      <w:numFmt w:val="decimal"/>
      <w:pStyle w:val="395"/>
      <w:lvlText w:val="%1.%2"/>
      <w:lvlJc w:val="left"/>
      <w:pPr>
        <w:tabs>
          <w:tab w:val="left" w:pos="992"/>
        </w:tabs>
        <w:ind w:left="992" w:hanging="567"/>
      </w:pPr>
      <w:rPr>
        <w:rFonts w:hint="default" w:ascii="Arial" w:hAnsi="Arial" w:eastAsia="黑体" w:cs="Times New Roman"/>
        <w:b w:val="0"/>
        <w:i w:val="0"/>
        <w:sz w:val="24"/>
        <w:szCs w:val="24"/>
      </w:rPr>
    </w:lvl>
    <w:lvl w:ilvl="2" w:tentative="0">
      <w:start w:val="1"/>
      <w:numFmt w:val="decimal"/>
      <w:pStyle w:val="405"/>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00000013"/>
    <w:multiLevelType w:val="singleLevel"/>
    <w:tmpl w:val="00000013"/>
    <w:lvl w:ilvl="0" w:tentative="0">
      <w:start w:val="32"/>
      <w:numFmt w:val="decimal"/>
      <w:pStyle w:val="31"/>
      <w:suff w:val="nothing"/>
      <w:lvlText w:val="%1."/>
      <w:lvlJc w:val="left"/>
    </w:lvl>
  </w:abstractNum>
  <w:abstractNum w:abstractNumId="10">
    <w:nsid w:val="00000014"/>
    <w:multiLevelType w:val="singleLevel"/>
    <w:tmpl w:val="00000014"/>
    <w:lvl w:ilvl="0" w:tentative="0">
      <w:start w:val="7"/>
      <w:numFmt w:val="chineseCounting"/>
      <w:pStyle w:val="458"/>
      <w:suff w:val="nothing"/>
      <w:lvlText w:val="%1、"/>
      <w:lvlJc w:val="left"/>
    </w:lvl>
  </w:abstractNum>
  <w:abstractNum w:abstractNumId="11">
    <w:nsid w:val="003CDD40"/>
    <w:multiLevelType w:val="singleLevel"/>
    <w:tmpl w:val="003CDD40"/>
    <w:lvl w:ilvl="0" w:tentative="0">
      <w:start w:val="1"/>
      <w:numFmt w:val="decimalEnclosedCircleChinese"/>
      <w:suff w:val="nothing"/>
      <w:lvlText w:val="%1　"/>
      <w:lvlJc w:val="left"/>
      <w:pPr>
        <w:ind w:left="0" w:firstLine="400"/>
      </w:pPr>
      <w:rPr>
        <w:rFonts w:hint="eastAsia"/>
      </w:rPr>
    </w:lvl>
  </w:abstractNum>
  <w:abstractNum w:abstractNumId="12">
    <w:nsid w:val="05229812"/>
    <w:multiLevelType w:val="singleLevel"/>
    <w:tmpl w:val="05229812"/>
    <w:lvl w:ilvl="0" w:tentative="0">
      <w:start w:val="1"/>
      <w:numFmt w:val="decimalEnclosedCircleChinese"/>
      <w:suff w:val="nothing"/>
      <w:lvlText w:val="%1　"/>
      <w:lvlJc w:val="left"/>
      <w:pPr>
        <w:ind w:left="0" w:firstLine="400"/>
      </w:pPr>
      <w:rPr>
        <w:rFonts w:hint="eastAsia"/>
      </w:rPr>
    </w:lvl>
  </w:abstractNum>
  <w:abstractNum w:abstractNumId="13">
    <w:nsid w:val="1223B73C"/>
    <w:multiLevelType w:val="singleLevel"/>
    <w:tmpl w:val="1223B73C"/>
    <w:lvl w:ilvl="0" w:tentative="0">
      <w:start w:val="1"/>
      <w:numFmt w:val="chineseCounting"/>
      <w:suff w:val="space"/>
      <w:lvlText w:val="第%1章"/>
      <w:lvlJc w:val="left"/>
      <w:rPr>
        <w:rFonts w:hint="eastAsia"/>
      </w:rPr>
    </w:lvl>
  </w:abstractNum>
  <w:abstractNum w:abstractNumId="14">
    <w:nsid w:val="139E41D9"/>
    <w:multiLevelType w:val="multilevel"/>
    <w:tmpl w:val="139E41D9"/>
    <w:lvl w:ilvl="0" w:tentative="0">
      <w:start w:val="1"/>
      <w:numFmt w:val="decimal"/>
      <w:pStyle w:val="50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690E9E9"/>
    <w:multiLevelType w:val="singleLevel"/>
    <w:tmpl w:val="1690E9E9"/>
    <w:lvl w:ilvl="0" w:tentative="0">
      <w:start w:val="1"/>
      <w:numFmt w:val="decimalEnclosedCircleChinese"/>
      <w:suff w:val="nothing"/>
      <w:lvlText w:val="%1　"/>
      <w:lvlJc w:val="left"/>
      <w:pPr>
        <w:ind w:left="0" w:firstLine="400"/>
      </w:pPr>
      <w:rPr>
        <w:rFonts w:hint="eastAsia"/>
      </w:rPr>
    </w:lvl>
  </w:abstractNum>
  <w:abstractNum w:abstractNumId="16">
    <w:nsid w:val="25240F87"/>
    <w:multiLevelType w:val="multilevel"/>
    <w:tmpl w:val="25240F87"/>
    <w:lvl w:ilvl="0" w:tentative="0">
      <w:start w:val="1"/>
      <w:numFmt w:val="decimal"/>
      <w:pStyle w:val="147"/>
      <w:lvlText w:val="%1."/>
      <w:lvlJc w:val="left"/>
      <w:rPr>
        <w:rFonts w:hint="default" w:cs="Times New Roman"/>
      </w:rPr>
    </w:lvl>
    <w:lvl w:ilvl="1" w:tentative="0">
      <w:start w:val="1"/>
      <w:numFmt w:val="decimal"/>
      <w:pStyle w:val="329"/>
      <w:isLgl/>
      <w:lvlText w:val="%1.%2"/>
      <w:lvlJc w:val="left"/>
      <w:rPr>
        <w:rFonts w:hint="default" w:cs="Times New Roman"/>
        <w:b/>
        <w:sz w:val="32"/>
        <w:szCs w:val="32"/>
      </w:rPr>
    </w:lvl>
    <w:lvl w:ilvl="2" w:tentative="0">
      <w:start w:val="1"/>
      <w:numFmt w:val="decimal"/>
      <w:pStyle w:val="159"/>
      <w:isLgl/>
      <w:lvlText w:val="%1.%2.%3"/>
      <w:lvlJc w:val="left"/>
      <w:rPr>
        <w:rFonts w:hint="default" w:cs="Times New Roman"/>
      </w:rPr>
    </w:lvl>
    <w:lvl w:ilvl="3" w:tentative="0">
      <w:start w:val="1"/>
      <w:numFmt w:val="decimal"/>
      <w:pStyle w:val="160"/>
      <w:isLgl/>
      <w:lvlText w:val="%1.%2.%3.%4"/>
      <w:lvlJc w:val="left"/>
      <w:rPr>
        <w:rFonts w:hint="eastAsia" w:cs="Times New Roman"/>
        <w:b w:val="0"/>
        <w:bCs w:val="0"/>
        <w:i w:val="0"/>
        <w:iCs w:val="0"/>
        <w:caps w:val="0"/>
        <w:smallCaps w:val="0"/>
        <w:strike w:val="0"/>
        <w:dstrike w:val="0"/>
        <w:vanish w:val="0"/>
        <w:color w:val="000000"/>
        <w:spacing w:val="0"/>
        <w:position w:val="0"/>
        <w:u w:val="none"/>
        <w:vertAlign w:val="baseline"/>
      </w:rPr>
    </w:lvl>
    <w:lvl w:ilvl="4" w:tentative="0">
      <w:start w:val="1"/>
      <w:numFmt w:val="decimal"/>
      <w:isLgl/>
      <w:lvlText w:val="%1.%2.%3.%4.%5"/>
      <w:lvlJc w:val="left"/>
      <w:rPr>
        <w:rFonts w:hint="default" w:cs="Times New Roman"/>
      </w:rPr>
    </w:lvl>
    <w:lvl w:ilvl="5" w:tentative="0">
      <w:start w:val="1"/>
      <w:numFmt w:val="decimal"/>
      <w:isLgl/>
      <w:lvlText w:val="%1.%2.%3.%4.%5.%6"/>
      <w:lvlJc w:val="left"/>
      <w:rPr>
        <w:rFonts w:hint="default" w:cs="Times New Roman"/>
      </w:rPr>
    </w:lvl>
    <w:lvl w:ilvl="6" w:tentative="0">
      <w:start w:val="1"/>
      <w:numFmt w:val="decimal"/>
      <w:isLgl/>
      <w:lvlText w:val="%1.%2.%3.%4.%5.%6.%7"/>
      <w:lvlJc w:val="left"/>
      <w:rPr>
        <w:rFonts w:hint="default" w:cs="Times New Roman"/>
      </w:rPr>
    </w:lvl>
    <w:lvl w:ilvl="7" w:tentative="0">
      <w:start w:val="1"/>
      <w:numFmt w:val="decimal"/>
      <w:isLgl/>
      <w:lvlText w:val="%1.%2.%3.%4.%5.%6.%7.%8"/>
      <w:lvlJc w:val="left"/>
      <w:rPr>
        <w:rFonts w:hint="default" w:cs="Times New Roman"/>
      </w:rPr>
    </w:lvl>
    <w:lvl w:ilvl="8" w:tentative="0">
      <w:start w:val="1"/>
      <w:numFmt w:val="decimal"/>
      <w:isLgl/>
      <w:lvlText w:val="%1.%2.%3.%4.%5.%6.%7.%8.%9"/>
      <w:lvlJc w:val="left"/>
      <w:rPr>
        <w:rFonts w:hint="default" w:cs="Times New Roman"/>
      </w:rPr>
    </w:lvl>
  </w:abstractNum>
  <w:abstractNum w:abstractNumId="17">
    <w:nsid w:val="3146156C"/>
    <w:multiLevelType w:val="multilevel"/>
    <w:tmpl w:val="3146156C"/>
    <w:lvl w:ilvl="0" w:tentative="0">
      <w:start w:val="1"/>
      <w:numFmt w:val="decimal"/>
      <w:pStyle w:val="590"/>
      <w:lvlText w:val="%1)"/>
      <w:lvlJc w:val="left"/>
      <w:pPr>
        <w:ind w:left="840" w:hanging="420"/>
      </w:pPr>
      <w:rPr>
        <w:rFonts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18">
    <w:nsid w:val="31A3BF5A"/>
    <w:multiLevelType w:val="singleLevel"/>
    <w:tmpl w:val="31A3BF5A"/>
    <w:lvl w:ilvl="0" w:tentative="0">
      <w:start w:val="1"/>
      <w:numFmt w:val="decimalEnclosedCircleChinese"/>
      <w:suff w:val="nothing"/>
      <w:lvlText w:val="%1　"/>
      <w:lvlJc w:val="left"/>
      <w:pPr>
        <w:ind w:left="0" w:firstLine="400"/>
      </w:pPr>
      <w:rPr>
        <w:rFonts w:hint="eastAsia"/>
      </w:rPr>
    </w:lvl>
  </w:abstractNum>
  <w:abstractNum w:abstractNumId="19">
    <w:nsid w:val="324833B9"/>
    <w:multiLevelType w:val="multilevel"/>
    <w:tmpl w:val="324833B9"/>
    <w:lvl w:ilvl="0" w:tentative="0">
      <w:start w:val="1"/>
      <w:numFmt w:val="bullet"/>
      <w:pStyle w:val="516"/>
      <w:lvlText w:val=""/>
      <w:lvlJc w:val="left"/>
      <w:pPr>
        <w:ind w:left="820" w:hanging="420"/>
      </w:pPr>
      <w:rPr>
        <w:b w:val="0"/>
        <w:i w:val="0"/>
        <w:caps w:val="0"/>
        <w:smallCaps w:val="0"/>
        <w:strike w:val="0"/>
        <w:dstrike w:val="0"/>
        <w:outline w:val="0"/>
        <w:shadow w:val="0"/>
        <w:emboss w:val="0"/>
        <w:imprint w:val="0"/>
        <w:vanish w:val="0"/>
        <w:spacing w:val="0"/>
        <w:position w:val="0"/>
        <w:u w:val="none"/>
        <w:vertAlign w:val="baseline"/>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20">
    <w:nsid w:val="35554C28"/>
    <w:multiLevelType w:val="multilevel"/>
    <w:tmpl w:val="35554C28"/>
    <w:lvl w:ilvl="0" w:tentative="0">
      <w:start w:val="1"/>
      <w:numFmt w:val="bullet"/>
      <w:pStyle w:val="380"/>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1">
    <w:nsid w:val="38F9920A"/>
    <w:multiLevelType w:val="singleLevel"/>
    <w:tmpl w:val="38F9920A"/>
    <w:lvl w:ilvl="0" w:tentative="0">
      <w:start w:val="2"/>
      <w:numFmt w:val="decimal"/>
      <w:lvlText w:val="%1."/>
      <w:lvlJc w:val="left"/>
      <w:pPr>
        <w:tabs>
          <w:tab w:val="left" w:pos="312"/>
        </w:tabs>
      </w:pPr>
    </w:lvl>
  </w:abstractNum>
  <w:abstractNum w:abstractNumId="22">
    <w:nsid w:val="4723B16E"/>
    <w:multiLevelType w:val="singleLevel"/>
    <w:tmpl w:val="4723B16E"/>
    <w:lvl w:ilvl="0" w:tentative="0">
      <w:start w:val="1"/>
      <w:numFmt w:val="decimal"/>
      <w:lvlText w:val="%1."/>
      <w:lvlJc w:val="left"/>
      <w:pPr>
        <w:tabs>
          <w:tab w:val="left" w:pos="312"/>
        </w:tabs>
      </w:pPr>
    </w:lvl>
  </w:abstractNum>
  <w:abstractNum w:abstractNumId="23">
    <w:nsid w:val="47F37F83"/>
    <w:multiLevelType w:val="multilevel"/>
    <w:tmpl w:val="47F37F83"/>
    <w:lvl w:ilvl="0" w:tentative="0">
      <w:start w:val="1"/>
      <w:numFmt w:val="decimal"/>
      <w:suff w:val="space"/>
      <w:lvlText w:val="第 %1 章"/>
      <w:lvlJc w:val="center"/>
      <w:pPr>
        <w:ind w:firstLine="288"/>
      </w:pPr>
      <w:rPr>
        <w:rFonts w:hint="eastAsia" w:cs="Times New Roman"/>
        <w:b w:val="0"/>
        <w:i w:val="0"/>
        <w:iCs w:val="0"/>
        <w:caps w:val="0"/>
        <w:smallCaps w:val="0"/>
        <w:strike w:val="0"/>
        <w:dstrike w:val="0"/>
        <w:vanish w:val="0"/>
        <w:color w:val="000000"/>
        <w:spacing w:val="0"/>
        <w:kern w:val="0"/>
        <w:position w:val="0"/>
        <w:u w:val="none"/>
        <w:vertAlign w:val="baseline"/>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rPr>
    </w:lvl>
    <w:lvl w:ilvl="3" w:tentative="0">
      <w:start w:val="1"/>
      <w:numFmt w:val="decimal"/>
      <w:isLgl/>
      <w:suff w:val="space"/>
      <w:lvlText w:val="%1.%2.%3.%4"/>
      <w:lvlJc w:val="left"/>
      <w:pPr>
        <w:ind w:left="2268" w:hanging="2268"/>
      </w:pPr>
      <w:rPr>
        <w:rFonts w:hint="default" w:ascii="Arial" w:hAnsi="Arial" w:eastAsia="黑体" w:cs="Times New Roman"/>
        <w:b w:val="0"/>
        <w:i w:val="0"/>
        <w:sz w:val="30"/>
      </w:rPr>
    </w:lvl>
    <w:lvl w:ilvl="4" w:tentative="0">
      <w:start w:val="1"/>
      <w:numFmt w:val="decimal"/>
      <w:isLgl/>
      <w:suff w:val="space"/>
      <w:lvlText w:val="%1.%2.%3.%4.%5"/>
      <w:lvlJc w:val="left"/>
      <w:pPr>
        <w:ind w:left="2268" w:hanging="2268"/>
      </w:pPr>
      <w:rPr>
        <w:rFonts w:hint="default" w:ascii="Arial" w:hAnsi="Arial" w:eastAsia="黑体" w:cs="Times New Roman"/>
        <w:b w:val="0"/>
        <w:i w:val="0"/>
        <w:sz w:val="28"/>
      </w:rPr>
    </w:lvl>
    <w:lvl w:ilvl="5" w:tentative="0">
      <w:start w:val="1"/>
      <w:numFmt w:val="decimal"/>
      <w:isLgl/>
      <w:lvlText w:val="%1.%2.%3.%4.%5.%6"/>
      <w:lvlJc w:val="left"/>
      <w:pPr>
        <w:tabs>
          <w:tab w:val="left" w:pos="1992"/>
        </w:tabs>
        <w:ind w:left="2268" w:hanging="2268"/>
      </w:pPr>
      <w:rPr>
        <w:rFonts w:hint="eastAsia" w:cs="Times New Roman"/>
      </w:rPr>
    </w:lvl>
    <w:lvl w:ilvl="6" w:tentative="0">
      <w:start w:val="1"/>
      <w:numFmt w:val="decimal"/>
      <w:lvlText w:val="%1.%2.%3.%4.%5.%6.%7"/>
      <w:lvlJc w:val="left"/>
      <w:pPr>
        <w:tabs>
          <w:tab w:val="left" w:pos="2136"/>
        </w:tabs>
        <w:ind w:left="2136" w:hanging="1296"/>
      </w:pPr>
      <w:rPr>
        <w:rFonts w:hint="eastAsia" w:cs="Times New Roman"/>
      </w:rPr>
    </w:lvl>
    <w:lvl w:ilvl="7" w:tentative="0">
      <w:start w:val="1"/>
      <w:numFmt w:val="decimal"/>
      <w:pStyle w:val="551"/>
      <w:suff w:val="space"/>
      <w:lvlText w:val="%1.%2.%3.%4.%5.%6.%7.%8"/>
      <w:lvlJc w:val="left"/>
      <w:pPr>
        <w:ind w:left="2268" w:hanging="2268"/>
      </w:pPr>
      <w:rPr>
        <w:rFonts w:hint="eastAsia" w:cs="Times New Roman"/>
      </w:rPr>
    </w:lvl>
    <w:lvl w:ilvl="8" w:tentative="0">
      <w:start w:val="1"/>
      <w:numFmt w:val="decimal"/>
      <w:lvlText w:val="%1.%2.%3.%4.%5.%6.%7.%8.%9"/>
      <w:lvlJc w:val="left"/>
      <w:pPr>
        <w:tabs>
          <w:tab w:val="left" w:pos="2424"/>
        </w:tabs>
        <w:ind w:left="2424" w:hanging="1584"/>
      </w:pPr>
      <w:rPr>
        <w:rFonts w:hint="eastAsia" w:cs="Times New Roman"/>
      </w:rPr>
    </w:lvl>
  </w:abstractNum>
  <w:abstractNum w:abstractNumId="24">
    <w:nsid w:val="4CA75A52"/>
    <w:multiLevelType w:val="multilevel"/>
    <w:tmpl w:val="4CA75A52"/>
    <w:lvl w:ilvl="0" w:tentative="0">
      <w:start w:val="1"/>
      <w:numFmt w:val="decimal"/>
      <w:pStyle w:val="182"/>
      <w:lvlText w:val="%1)"/>
      <w:lvlJc w:val="left"/>
      <w:pPr>
        <w:ind w:left="840" w:hanging="420"/>
      </w:pPr>
      <w:rPr>
        <w:rFonts w:hint="eastAsia" w:cs="Times New Roman"/>
      </w:rPr>
    </w:lvl>
    <w:lvl w:ilvl="1" w:tentative="0">
      <w:start w:val="1"/>
      <w:numFmt w:val="lowerLetter"/>
      <w:lvlText w:val="%2)"/>
      <w:lvlJc w:val="left"/>
      <w:pPr>
        <w:ind w:left="420" w:hanging="420"/>
      </w:pPr>
      <w:rPr>
        <w:rFonts w:cs="Times New Roman"/>
      </w:rPr>
    </w:lvl>
    <w:lvl w:ilvl="2" w:tentative="0">
      <w:start w:val="1"/>
      <w:numFmt w:val="lowerRoman"/>
      <w:lvlText w:val="%3."/>
      <w:lvlJc w:val="right"/>
      <w:pPr>
        <w:ind w:left="840" w:hanging="420"/>
      </w:pPr>
      <w:rPr>
        <w:rFonts w:cs="Times New Roman"/>
      </w:rPr>
    </w:lvl>
    <w:lvl w:ilvl="3" w:tentative="0">
      <w:start w:val="1"/>
      <w:numFmt w:val="decimal"/>
      <w:lvlText w:val="%4."/>
      <w:lvlJc w:val="left"/>
      <w:pPr>
        <w:ind w:left="1260" w:hanging="420"/>
      </w:pPr>
      <w:rPr>
        <w:rFonts w:cs="Times New Roman"/>
      </w:rPr>
    </w:lvl>
    <w:lvl w:ilvl="4" w:tentative="0">
      <w:start w:val="1"/>
      <w:numFmt w:val="lowerLetter"/>
      <w:lvlText w:val="%5)"/>
      <w:lvlJc w:val="left"/>
      <w:pPr>
        <w:ind w:left="1680" w:hanging="420"/>
      </w:pPr>
      <w:rPr>
        <w:rFonts w:cs="Times New Roman"/>
      </w:rPr>
    </w:lvl>
    <w:lvl w:ilvl="5" w:tentative="0">
      <w:start w:val="1"/>
      <w:numFmt w:val="lowerRoman"/>
      <w:lvlText w:val="%6."/>
      <w:lvlJc w:val="right"/>
      <w:pPr>
        <w:ind w:left="2100" w:hanging="420"/>
      </w:pPr>
      <w:rPr>
        <w:rFonts w:cs="Times New Roman"/>
      </w:rPr>
    </w:lvl>
    <w:lvl w:ilvl="6" w:tentative="0">
      <w:start w:val="1"/>
      <w:numFmt w:val="decimal"/>
      <w:lvlText w:val="%7."/>
      <w:lvlJc w:val="left"/>
      <w:pPr>
        <w:ind w:left="2520" w:hanging="420"/>
      </w:pPr>
      <w:rPr>
        <w:rFonts w:cs="Times New Roman"/>
      </w:rPr>
    </w:lvl>
    <w:lvl w:ilvl="7" w:tentative="0">
      <w:start w:val="1"/>
      <w:numFmt w:val="lowerLetter"/>
      <w:lvlText w:val="%8)"/>
      <w:lvlJc w:val="left"/>
      <w:pPr>
        <w:ind w:left="2940" w:hanging="420"/>
      </w:pPr>
      <w:rPr>
        <w:rFonts w:cs="Times New Roman"/>
      </w:rPr>
    </w:lvl>
    <w:lvl w:ilvl="8" w:tentative="0">
      <w:start w:val="1"/>
      <w:numFmt w:val="lowerRoman"/>
      <w:lvlText w:val="%9."/>
      <w:lvlJc w:val="right"/>
      <w:pPr>
        <w:ind w:left="3360" w:hanging="420"/>
      </w:pPr>
      <w:rPr>
        <w:rFonts w:cs="Times New Roman"/>
      </w:rPr>
    </w:lvl>
  </w:abstractNum>
  <w:abstractNum w:abstractNumId="25">
    <w:nsid w:val="66410E74"/>
    <w:multiLevelType w:val="multilevel"/>
    <w:tmpl w:val="66410E74"/>
    <w:lvl w:ilvl="0" w:tentative="0">
      <w:start w:val="1"/>
      <w:numFmt w:val="decimal"/>
      <w:suff w:val="space"/>
      <w:lvlText w:val="第 %1 章"/>
      <w:lvlJc w:val="center"/>
      <w:pPr>
        <w:ind w:firstLine="288"/>
      </w:pPr>
      <w:rPr>
        <w:rFonts w:hint="default" w:ascii="Times New Roman" w:hAnsi="Times New Roman" w:eastAsia="黑体" w:cs="Times New Roman"/>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3" w:tentative="0">
      <w:start w:val="1"/>
      <w:numFmt w:val="decimal"/>
      <w:isLgl/>
      <w:suff w:val="space"/>
      <w:lvlText w:val="%1.%2.%3.%4"/>
      <w:lvlJc w:val="left"/>
      <w:pPr>
        <w:ind w:left="2268" w:hanging="2268"/>
      </w:pPr>
      <w:rPr>
        <w:rFonts w:hint="default" w:ascii="Arial" w:hAnsi="Arial" w:eastAsia="黑体" w:cs="Times New Roman"/>
        <w:b w:val="0"/>
        <w:i w:val="0"/>
        <w:sz w:val="30"/>
      </w:rPr>
    </w:lvl>
    <w:lvl w:ilvl="4" w:tentative="0">
      <w:start w:val="1"/>
      <w:numFmt w:val="decimal"/>
      <w:isLgl/>
      <w:suff w:val="space"/>
      <w:lvlText w:val="%1.%2.%3.%4.%5"/>
      <w:lvlJc w:val="left"/>
      <w:pPr>
        <w:ind w:left="2268" w:hanging="2268"/>
      </w:pPr>
      <w:rPr>
        <w:rFonts w:hint="default" w:ascii="Arial" w:hAnsi="Arial" w:eastAsia="黑体" w:cs="Times New Roman"/>
        <w:b w:val="0"/>
        <w:i w:val="0"/>
        <w:sz w:val="28"/>
      </w:rPr>
    </w:lvl>
    <w:lvl w:ilvl="5" w:tentative="0">
      <w:start w:val="1"/>
      <w:numFmt w:val="decimal"/>
      <w:isLgl/>
      <w:lvlText w:val="%1.%2.%3.%4.%5.%6"/>
      <w:lvlJc w:val="left"/>
      <w:pPr>
        <w:tabs>
          <w:tab w:val="left" w:pos="1992"/>
        </w:tabs>
        <w:ind w:left="2268" w:hanging="2268"/>
      </w:pPr>
      <w:rPr>
        <w:rFonts w:hint="eastAsia" w:cs="Times New Roman"/>
      </w:rPr>
    </w:lvl>
    <w:lvl w:ilvl="6" w:tentative="0">
      <w:start w:val="1"/>
      <w:numFmt w:val="decimal"/>
      <w:pStyle w:val="492"/>
      <w:suff w:val="space"/>
      <w:lvlText w:val="%1.%2.%3.%4.%5.%6.%7"/>
      <w:lvlJc w:val="left"/>
      <w:pPr>
        <w:ind w:left="2268" w:hanging="2268"/>
      </w:pPr>
      <w:rPr>
        <w:rFonts w:cs="Times New Roman"/>
        <w:b w:val="0"/>
        <w:bCs w:val="0"/>
        <w:i w:val="0"/>
        <w:iCs w:val="0"/>
        <w:caps w:val="0"/>
        <w:smallCaps w:val="0"/>
        <w:strike w:val="0"/>
        <w:dstrike w:val="0"/>
        <w:outline w:val="0"/>
        <w:shadow w:val="0"/>
        <w:emboss w:val="0"/>
        <w:imprint w:val="0"/>
        <w:vanish w:val="0"/>
        <w:spacing w:val="0"/>
        <w:position w:val="0"/>
        <w:u w:val="none"/>
        <w:vertAlign w:val="baseline"/>
      </w:rPr>
    </w:lvl>
    <w:lvl w:ilvl="7" w:tentative="0">
      <w:start w:val="1"/>
      <w:numFmt w:val="decimal"/>
      <w:lvlText w:val="%1.%2.%3.%4.%5.%6.%7.%8"/>
      <w:lvlJc w:val="left"/>
      <w:pPr>
        <w:tabs>
          <w:tab w:val="left" w:pos="2280"/>
        </w:tabs>
        <w:ind w:left="2280" w:hanging="1440"/>
      </w:pPr>
      <w:rPr>
        <w:rFonts w:hint="eastAsia" w:cs="Times New Roman"/>
      </w:rPr>
    </w:lvl>
    <w:lvl w:ilvl="8" w:tentative="0">
      <w:start w:val="1"/>
      <w:numFmt w:val="decimal"/>
      <w:lvlText w:val="%1.%2.%3.%4.%5.%6.%7.%8.%9"/>
      <w:lvlJc w:val="left"/>
      <w:pPr>
        <w:tabs>
          <w:tab w:val="left" w:pos="2424"/>
        </w:tabs>
        <w:ind w:left="2424" w:hanging="1584"/>
      </w:pPr>
      <w:rPr>
        <w:rFonts w:hint="eastAsia" w:cs="Times New Roman"/>
      </w:rPr>
    </w:lvl>
  </w:abstractNum>
  <w:abstractNum w:abstractNumId="26">
    <w:nsid w:val="6DA1672E"/>
    <w:multiLevelType w:val="singleLevel"/>
    <w:tmpl w:val="6DA1672E"/>
    <w:lvl w:ilvl="0" w:tentative="0">
      <w:start w:val="8"/>
      <w:numFmt w:val="chineseCounting"/>
      <w:suff w:val="nothing"/>
      <w:lvlText w:val="%1．"/>
      <w:lvlJc w:val="left"/>
      <w:rPr>
        <w:rFonts w:hint="eastAsia"/>
      </w:rPr>
    </w:lvl>
  </w:abstractNum>
  <w:abstractNum w:abstractNumId="27">
    <w:nsid w:val="7835A1B8"/>
    <w:multiLevelType w:val="singleLevel"/>
    <w:tmpl w:val="7835A1B8"/>
    <w:lvl w:ilvl="0" w:tentative="0">
      <w:start w:val="1"/>
      <w:numFmt w:val="decimalEnclosedCircleChinese"/>
      <w:suff w:val="nothing"/>
      <w:lvlText w:val="%1　"/>
      <w:lvlJc w:val="left"/>
      <w:pPr>
        <w:ind w:left="0" w:firstLine="400"/>
      </w:pPr>
      <w:rPr>
        <w:rFonts w:hint="eastAsia"/>
      </w:rPr>
    </w:lvl>
  </w:abstractNum>
  <w:num w:numId="1">
    <w:abstractNumId w:val="6"/>
  </w:num>
  <w:num w:numId="2">
    <w:abstractNumId w:val="4"/>
  </w:num>
  <w:num w:numId="3">
    <w:abstractNumId w:val="9"/>
  </w:num>
  <w:num w:numId="4">
    <w:abstractNumId w:val="16"/>
  </w:num>
  <w:num w:numId="5">
    <w:abstractNumId w:val="24"/>
  </w:num>
  <w:num w:numId="6">
    <w:abstractNumId w:val="5"/>
  </w:num>
  <w:num w:numId="7">
    <w:abstractNumId w:val="20"/>
  </w:num>
  <w:num w:numId="8">
    <w:abstractNumId w:val="8"/>
  </w:num>
  <w:num w:numId="9">
    <w:abstractNumId w:val="10"/>
  </w:num>
  <w:num w:numId="10">
    <w:abstractNumId w:val="25"/>
  </w:num>
  <w:num w:numId="11">
    <w:abstractNumId w:val="14"/>
  </w:num>
  <w:num w:numId="12">
    <w:abstractNumId w:val="19"/>
  </w:num>
  <w:num w:numId="13">
    <w:abstractNumId w:val="23"/>
  </w:num>
  <w:num w:numId="14">
    <w:abstractNumId w:val="3"/>
  </w:num>
  <w:num w:numId="15">
    <w:abstractNumId w:val="17"/>
  </w:num>
  <w:num w:numId="16">
    <w:abstractNumId w:val="7"/>
  </w:num>
  <w:num w:numId="17">
    <w:abstractNumId w:val="13"/>
  </w:num>
  <w:num w:numId="18">
    <w:abstractNumId w:val="1"/>
  </w:num>
  <w:num w:numId="19">
    <w:abstractNumId w:val="18"/>
  </w:num>
  <w:num w:numId="20">
    <w:abstractNumId w:val="27"/>
  </w:num>
  <w:num w:numId="21">
    <w:abstractNumId w:val="12"/>
  </w:num>
  <w:num w:numId="22">
    <w:abstractNumId w:val="0"/>
  </w:num>
  <w:num w:numId="23">
    <w:abstractNumId w:val="11"/>
  </w:num>
  <w:num w:numId="24">
    <w:abstractNumId w:val="15"/>
  </w:num>
  <w:num w:numId="25">
    <w:abstractNumId w:val="21"/>
  </w:num>
  <w:num w:numId="26">
    <w:abstractNumId w:val="22"/>
  </w:num>
  <w:num w:numId="27">
    <w:abstractNumId w:val="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2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s>
  <w:rsids>
    <w:rsidRoot w:val="005A08C3"/>
    <w:rsid w:val="000036B6"/>
    <w:rsid w:val="000047EB"/>
    <w:rsid w:val="000102A7"/>
    <w:rsid w:val="0001082C"/>
    <w:rsid w:val="00011984"/>
    <w:rsid w:val="00012333"/>
    <w:rsid w:val="0001297E"/>
    <w:rsid w:val="00012F30"/>
    <w:rsid w:val="00013908"/>
    <w:rsid w:val="00013C1A"/>
    <w:rsid w:val="00014943"/>
    <w:rsid w:val="00020FDA"/>
    <w:rsid w:val="0002316A"/>
    <w:rsid w:val="000243DB"/>
    <w:rsid w:val="00024AAC"/>
    <w:rsid w:val="000260D7"/>
    <w:rsid w:val="00027ED8"/>
    <w:rsid w:val="00035204"/>
    <w:rsid w:val="0003640F"/>
    <w:rsid w:val="00036D8B"/>
    <w:rsid w:val="00037C32"/>
    <w:rsid w:val="000414DA"/>
    <w:rsid w:val="000423CF"/>
    <w:rsid w:val="0004252A"/>
    <w:rsid w:val="00042902"/>
    <w:rsid w:val="00044DBA"/>
    <w:rsid w:val="00047960"/>
    <w:rsid w:val="000521BC"/>
    <w:rsid w:val="00052E72"/>
    <w:rsid w:val="000536A7"/>
    <w:rsid w:val="00053DF9"/>
    <w:rsid w:val="0005457A"/>
    <w:rsid w:val="000546D8"/>
    <w:rsid w:val="00057D9D"/>
    <w:rsid w:val="0006001C"/>
    <w:rsid w:val="00061C03"/>
    <w:rsid w:val="0006360F"/>
    <w:rsid w:val="00063D3D"/>
    <w:rsid w:val="000645F7"/>
    <w:rsid w:val="000656C0"/>
    <w:rsid w:val="0006618E"/>
    <w:rsid w:val="00066528"/>
    <w:rsid w:val="00070514"/>
    <w:rsid w:val="00070E3B"/>
    <w:rsid w:val="00073C31"/>
    <w:rsid w:val="000747CF"/>
    <w:rsid w:val="0007528F"/>
    <w:rsid w:val="000758E5"/>
    <w:rsid w:val="00077974"/>
    <w:rsid w:val="000812D4"/>
    <w:rsid w:val="00083E06"/>
    <w:rsid w:val="00084B8E"/>
    <w:rsid w:val="00090117"/>
    <w:rsid w:val="00090A4C"/>
    <w:rsid w:val="0009281D"/>
    <w:rsid w:val="00094D8E"/>
    <w:rsid w:val="00094EED"/>
    <w:rsid w:val="00097F66"/>
    <w:rsid w:val="000A0E7D"/>
    <w:rsid w:val="000A1A0E"/>
    <w:rsid w:val="000A1B7E"/>
    <w:rsid w:val="000A28E8"/>
    <w:rsid w:val="000A2AB3"/>
    <w:rsid w:val="000A748E"/>
    <w:rsid w:val="000B0577"/>
    <w:rsid w:val="000B43E2"/>
    <w:rsid w:val="000B4436"/>
    <w:rsid w:val="000B5252"/>
    <w:rsid w:val="000B600E"/>
    <w:rsid w:val="000B7610"/>
    <w:rsid w:val="000B7EA7"/>
    <w:rsid w:val="000C0705"/>
    <w:rsid w:val="000C0D98"/>
    <w:rsid w:val="000C2B6D"/>
    <w:rsid w:val="000C46C3"/>
    <w:rsid w:val="000C4BCB"/>
    <w:rsid w:val="000C4DAA"/>
    <w:rsid w:val="000C5587"/>
    <w:rsid w:val="000C5C78"/>
    <w:rsid w:val="000C6ADD"/>
    <w:rsid w:val="000C7525"/>
    <w:rsid w:val="000D3DAC"/>
    <w:rsid w:val="000D4445"/>
    <w:rsid w:val="000D6037"/>
    <w:rsid w:val="000D67E6"/>
    <w:rsid w:val="000D706E"/>
    <w:rsid w:val="000D7AAB"/>
    <w:rsid w:val="000E0009"/>
    <w:rsid w:val="000E171A"/>
    <w:rsid w:val="000E3225"/>
    <w:rsid w:val="000E3911"/>
    <w:rsid w:val="000E55B2"/>
    <w:rsid w:val="000E57BF"/>
    <w:rsid w:val="000E68BE"/>
    <w:rsid w:val="000F00CF"/>
    <w:rsid w:val="000F06BB"/>
    <w:rsid w:val="000F30E7"/>
    <w:rsid w:val="000F4322"/>
    <w:rsid w:val="000F52F2"/>
    <w:rsid w:val="000F5FF7"/>
    <w:rsid w:val="000F678C"/>
    <w:rsid w:val="000F69CC"/>
    <w:rsid w:val="0010138A"/>
    <w:rsid w:val="00101F3A"/>
    <w:rsid w:val="0010265A"/>
    <w:rsid w:val="00103F28"/>
    <w:rsid w:val="00107024"/>
    <w:rsid w:val="00107A7D"/>
    <w:rsid w:val="00110A4C"/>
    <w:rsid w:val="00111B6B"/>
    <w:rsid w:val="001140DB"/>
    <w:rsid w:val="0011775B"/>
    <w:rsid w:val="00117D08"/>
    <w:rsid w:val="00120BB9"/>
    <w:rsid w:val="0012108A"/>
    <w:rsid w:val="00122188"/>
    <w:rsid w:val="001257DE"/>
    <w:rsid w:val="0012582E"/>
    <w:rsid w:val="00127B7E"/>
    <w:rsid w:val="00130614"/>
    <w:rsid w:val="001306CA"/>
    <w:rsid w:val="001310AA"/>
    <w:rsid w:val="001341ED"/>
    <w:rsid w:val="00134C10"/>
    <w:rsid w:val="001354A9"/>
    <w:rsid w:val="001375B5"/>
    <w:rsid w:val="001402D7"/>
    <w:rsid w:val="0014103B"/>
    <w:rsid w:val="00142D5F"/>
    <w:rsid w:val="00143EA7"/>
    <w:rsid w:val="001446C6"/>
    <w:rsid w:val="00147D50"/>
    <w:rsid w:val="00155AB3"/>
    <w:rsid w:val="00156585"/>
    <w:rsid w:val="00157979"/>
    <w:rsid w:val="00163B16"/>
    <w:rsid w:val="0016491F"/>
    <w:rsid w:val="00164DEB"/>
    <w:rsid w:val="0016502B"/>
    <w:rsid w:val="001704AD"/>
    <w:rsid w:val="00171CA2"/>
    <w:rsid w:val="0017306D"/>
    <w:rsid w:val="00174115"/>
    <w:rsid w:val="00175106"/>
    <w:rsid w:val="00176E85"/>
    <w:rsid w:val="00180406"/>
    <w:rsid w:val="00181402"/>
    <w:rsid w:val="001848EB"/>
    <w:rsid w:val="0018501C"/>
    <w:rsid w:val="001861E9"/>
    <w:rsid w:val="00190947"/>
    <w:rsid w:val="00191CDB"/>
    <w:rsid w:val="00193849"/>
    <w:rsid w:val="00193A49"/>
    <w:rsid w:val="00193DBD"/>
    <w:rsid w:val="00195909"/>
    <w:rsid w:val="00195FCD"/>
    <w:rsid w:val="0019733B"/>
    <w:rsid w:val="001A2E0D"/>
    <w:rsid w:val="001A317B"/>
    <w:rsid w:val="001A3C9D"/>
    <w:rsid w:val="001A3D6A"/>
    <w:rsid w:val="001A4AB9"/>
    <w:rsid w:val="001A4C66"/>
    <w:rsid w:val="001B0FF8"/>
    <w:rsid w:val="001B11CA"/>
    <w:rsid w:val="001B1245"/>
    <w:rsid w:val="001B1684"/>
    <w:rsid w:val="001B4C64"/>
    <w:rsid w:val="001B5A3C"/>
    <w:rsid w:val="001B6E6A"/>
    <w:rsid w:val="001B6F71"/>
    <w:rsid w:val="001B76EA"/>
    <w:rsid w:val="001B7E7A"/>
    <w:rsid w:val="001C391E"/>
    <w:rsid w:val="001D30C0"/>
    <w:rsid w:val="001D39AF"/>
    <w:rsid w:val="001D450A"/>
    <w:rsid w:val="001D4592"/>
    <w:rsid w:val="001D5075"/>
    <w:rsid w:val="001D5569"/>
    <w:rsid w:val="001D6080"/>
    <w:rsid w:val="001D71C2"/>
    <w:rsid w:val="001D7E63"/>
    <w:rsid w:val="001E0912"/>
    <w:rsid w:val="001E1B42"/>
    <w:rsid w:val="001E204E"/>
    <w:rsid w:val="001E4B81"/>
    <w:rsid w:val="001E5085"/>
    <w:rsid w:val="001E5279"/>
    <w:rsid w:val="001E6994"/>
    <w:rsid w:val="001F3BF8"/>
    <w:rsid w:val="001F4219"/>
    <w:rsid w:val="001F4B0C"/>
    <w:rsid w:val="001F4BB5"/>
    <w:rsid w:val="001F4D16"/>
    <w:rsid w:val="00201000"/>
    <w:rsid w:val="00201B04"/>
    <w:rsid w:val="00203582"/>
    <w:rsid w:val="00212A80"/>
    <w:rsid w:val="00213340"/>
    <w:rsid w:val="00213368"/>
    <w:rsid w:val="0021338F"/>
    <w:rsid w:val="002134AA"/>
    <w:rsid w:val="00213A07"/>
    <w:rsid w:val="00213D3B"/>
    <w:rsid w:val="0021418E"/>
    <w:rsid w:val="002145BF"/>
    <w:rsid w:val="00220B74"/>
    <w:rsid w:val="00223D05"/>
    <w:rsid w:val="00223F46"/>
    <w:rsid w:val="0022512E"/>
    <w:rsid w:val="00225196"/>
    <w:rsid w:val="002273E1"/>
    <w:rsid w:val="00227D77"/>
    <w:rsid w:val="00233089"/>
    <w:rsid w:val="0023446E"/>
    <w:rsid w:val="00234A8F"/>
    <w:rsid w:val="002356C1"/>
    <w:rsid w:val="00236226"/>
    <w:rsid w:val="002404F9"/>
    <w:rsid w:val="00244443"/>
    <w:rsid w:val="00244712"/>
    <w:rsid w:val="002458C1"/>
    <w:rsid w:val="00246C97"/>
    <w:rsid w:val="00251D5D"/>
    <w:rsid w:val="00255D5F"/>
    <w:rsid w:val="00256D68"/>
    <w:rsid w:val="0025743F"/>
    <w:rsid w:val="00261E44"/>
    <w:rsid w:val="002627F7"/>
    <w:rsid w:val="00264F52"/>
    <w:rsid w:val="00265CA3"/>
    <w:rsid w:val="002667AC"/>
    <w:rsid w:val="00266EA9"/>
    <w:rsid w:val="00267EAF"/>
    <w:rsid w:val="00270D3D"/>
    <w:rsid w:val="00274E4B"/>
    <w:rsid w:val="002756D0"/>
    <w:rsid w:val="002802DA"/>
    <w:rsid w:val="00280557"/>
    <w:rsid w:val="00280883"/>
    <w:rsid w:val="00280DB8"/>
    <w:rsid w:val="00281D86"/>
    <w:rsid w:val="002820DE"/>
    <w:rsid w:val="0028391D"/>
    <w:rsid w:val="00290887"/>
    <w:rsid w:val="00291D74"/>
    <w:rsid w:val="002925F3"/>
    <w:rsid w:val="002931DE"/>
    <w:rsid w:val="0029372E"/>
    <w:rsid w:val="00294367"/>
    <w:rsid w:val="00295564"/>
    <w:rsid w:val="00296749"/>
    <w:rsid w:val="002A4F0D"/>
    <w:rsid w:val="002A51FD"/>
    <w:rsid w:val="002A602E"/>
    <w:rsid w:val="002A6491"/>
    <w:rsid w:val="002B1764"/>
    <w:rsid w:val="002B3635"/>
    <w:rsid w:val="002B3FE7"/>
    <w:rsid w:val="002B56E0"/>
    <w:rsid w:val="002B5E7C"/>
    <w:rsid w:val="002B66C9"/>
    <w:rsid w:val="002B6ED5"/>
    <w:rsid w:val="002B74D8"/>
    <w:rsid w:val="002B7500"/>
    <w:rsid w:val="002B7949"/>
    <w:rsid w:val="002C0FF5"/>
    <w:rsid w:val="002C185B"/>
    <w:rsid w:val="002C1D57"/>
    <w:rsid w:val="002C1F4C"/>
    <w:rsid w:val="002C704F"/>
    <w:rsid w:val="002C7392"/>
    <w:rsid w:val="002C783F"/>
    <w:rsid w:val="002D0220"/>
    <w:rsid w:val="002D1E6C"/>
    <w:rsid w:val="002D293B"/>
    <w:rsid w:val="002D3539"/>
    <w:rsid w:val="002D3E57"/>
    <w:rsid w:val="002D459A"/>
    <w:rsid w:val="002D4674"/>
    <w:rsid w:val="002D4EDE"/>
    <w:rsid w:val="002D531C"/>
    <w:rsid w:val="002D67D2"/>
    <w:rsid w:val="002D6DC7"/>
    <w:rsid w:val="002E063A"/>
    <w:rsid w:val="002E10D0"/>
    <w:rsid w:val="002E30E7"/>
    <w:rsid w:val="002E541D"/>
    <w:rsid w:val="002E5427"/>
    <w:rsid w:val="002E5B52"/>
    <w:rsid w:val="002F0F05"/>
    <w:rsid w:val="002F42C2"/>
    <w:rsid w:val="00300036"/>
    <w:rsid w:val="003017F8"/>
    <w:rsid w:val="00303692"/>
    <w:rsid w:val="003046F8"/>
    <w:rsid w:val="00304E2F"/>
    <w:rsid w:val="00305D4E"/>
    <w:rsid w:val="0030612F"/>
    <w:rsid w:val="00307763"/>
    <w:rsid w:val="003121A9"/>
    <w:rsid w:val="00312244"/>
    <w:rsid w:val="00313FE8"/>
    <w:rsid w:val="0031780F"/>
    <w:rsid w:val="003208DC"/>
    <w:rsid w:val="0032315B"/>
    <w:rsid w:val="00325191"/>
    <w:rsid w:val="003253BD"/>
    <w:rsid w:val="003257F4"/>
    <w:rsid w:val="00326436"/>
    <w:rsid w:val="00326CF5"/>
    <w:rsid w:val="0032730A"/>
    <w:rsid w:val="003301EC"/>
    <w:rsid w:val="00330B45"/>
    <w:rsid w:val="003343F2"/>
    <w:rsid w:val="0033465B"/>
    <w:rsid w:val="00334C1A"/>
    <w:rsid w:val="00340CE6"/>
    <w:rsid w:val="0034106E"/>
    <w:rsid w:val="0034117E"/>
    <w:rsid w:val="0034186C"/>
    <w:rsid w:val="00342788"/>
    <w:rsid w:val="003464D1"/>
    <w:rsid w:val="00346761"/>
    <w:rsid w:val="003471E4"/>
    <w:rsid w:val="003532D4"/>
    <w:rsid w:val="00354A24"/>
    <w:rsid w:val="00355646"/>
    <w:rsid w:val="00356FB3"/>
    <w:rsid w:val="003610E5"/>
    <w:rsid w:val="0036252B"/>
    <w:rsid w:val="00364CA8"/>
    <w:rsid w:val="00365948"/>
    <w:rsid w:val="003670E3"/>
    <w:rsid w:val="00367FDE"/>
    <w:rsid w:val="00371934"/>
    <w:rsid w:val="003722F1"/>
    <w:rsid w:val="00373585"/>
    <w:rsid w:val="00376195"/>
    <w:rsid w:val="00376737"/>
    <w:rsid w:val="00376EA9"/>
    <w:rsid w:val="003770A6"/>
    <w:rsid w:val="00383AC1"/>
    <w:rsid w:val="00383D18"/>
    <w:rsid w:val="00384026"/>
    <w:rsid w:val="00384566"/>
    <w:rsid w:val="003850A4"/>
    <w:rsid w:val="00385792"/>
    <w:rsid w:val="00386546"/>
    <w:rsid w:val="00386853"/>
    <w:rsid w:val="00386BA1"/>
    <w:rsid w:val="00390CF2"/>
    <w:rsid w:val="00390EA5"/>
    <w:rsid w:val="003931D1"/>
    <w:rsid w:val="0039621A"/>
    <w:rsid w:val="00396CDA"/>
    <w:rsid w:val="003A073D"/>
    <w:rsid w:val="003A10E7"/>
    <w:rsid w:val="003A2434"/>
    <w:rsid w:val="003A5E83"/>
    <w:rsid w:val="003A6041"/>
    <w:rsid w:val="003A68A0"/>
    <w:rsid w:val="003A6CE1"/>
    <w:rsid w:val="003B1F0B"/>
    <w:rsid w:val="003B2877"/>
    <w:rsid w:val="003B3400"/>
    <w:rsid w:val="003B4319"/>
    <w:rsid w:val="003B45CF"/>
    <w:rsid w:val="003B69A0"/>
    <w:rsid w:val="003B7538"/>
    <w:rsid w:val="003C2C23"/>
    <w:rsid w:val="003C3293"/>
    <w:rsid w:val="003C3B45"/>
    <w:rsid w:val="003C4940"/>
    <w:rsid w:val="003D362D"/>
    <w:rsid w:val="003D4C72"/>
    <w:rsid w:val="003D609E"/>
    <w:rsid w:val="003D6515"/>
    <w:rsid w:val="003E049E"/>
    <w:rsid w:val="003E1433"/>
    <w:rsid w:val="003E1587"/>
    <w:rsid w:val="003E29D1"/>
    <w:rsid w:val="003E3243"/>
    <w:rsid w:val="003E4FF4"/>
    <w:rsid w:val="003E5681"/>
    <w:rsid w:val="003E5B02"/>
    <w:rsid w:val="003E5C82"/>
    <w:rsid w:val="003E6E20"/>
    <w:rsid w:val="003E717E"/>
    <w:rsid w:val="003F08C7"/>
    <w:rsid w:val="003F190A"/>
    <w:rsid w:val="003F2A85"/>
    <w:rsid w:val="003F39C2"/>
    <w:rsid w:val="003F432D"/>
    <w:rsid w:val="003F4A39"/>
    <w:rsid w:val="003F4CFD"/>
    <w:rsid w:val="003F5D4D"/>
    <w:rsid w:val="00400E97"/>
    <w:rsid w:val="00401888"/>
    <w:rsid w:val="004024AF"/>
    <w:rsid w:val="004031A6"/>
    <w:rsid w:val="004047ED"/>
    <w:rsid w:val="00405944"/>
    <w:rsid w:val="00410467"/>
    <w:rsid w:val="00410A63"/>
    <w:rsid w:val="00411D55"/>
    <w:rsid w:val="00412C4E"/>
    <w:rsid w:val="00413637"/>
    <w:rsid w:val="00414F59"/>
    <w:rsid w:val="004158E5"/>
    <w:rsid w:val="00415A0B"/>
    <w:rsid w:val="0041681C"/>
    <w:rsid w:val="00417772"/>
    <w:rsid w:val="00417D9E"/>
    <w:rsid w:val="004202A0"/>
    <w:rsid w:val="004211F1"/>
    <w:rsid w:val="00427620"/>
    <w:rsid w:val="00430068"/>
    <w:rsid w:val="00430C2F"/>
    <w:rsid w:val="00431092"/>
    <w:rsid w:val="004318F6"/>
    <w:rsid w:val="00431EB9"/>
    <w:rsid w:val="004328B9"/>
    <w:rsid w:val="00435B15"/>
    <w:rsid w:val="00436414"/>
    <w:rsid w:val="00442300"/>
    <w:rsid w:val="00446A69"/>
    <w:rsid w:val="00447612"/>
    <w:rsid w:val="00450D0F"/>
    <w:rsid w:val="0045120D"/>
    <w:rsid w:val="004524D3"/>
    <w:rsid w:val="0045263F"/>
    <w:rsid w:val="00452A61"/>
    <w:rsid w:val="00452BD6"/>
    <w:rsid w:val="004530A9"/>
    <w:rsid w:val="00454425"/>
    <w:rsid w:val="004544AE"/>
    <w:rsid w:val="00456396"/>
    <w:rsid w:val="004579F0"/>
    <w:rsid w:val="0046087F"/>
    <w:rsid w:val="00460881"/>
    <w:rsid w:val="00460FD3"/>
    <w:rsid w:val="00463EF9"/>
    <w:rsid w:val="00466E26"/>
    <w:rsid w:val="00470103"/>
    <w:rsid w:val="004745A3"/>
    <w:rsid w:val="004756F2"/>
    <w:rsid w:val="00475F03"/>
    <w:rsid w:val="004802BB"/>
    <w:rsid w:val="00481281"/>
    <w:rsid w:val="004837DD"/>
    <w:rsid w:val="0048447B"/>
    <w:rsid w:val="0048540B"/>
    <w:rsid w:val="00486D81"/>
    <w:rsid w:val="004913E4"/>
    <w:rsid w:val="00491E85"/>
    <w:rsid w:val="004922D4"/>
    <w:rsid w:val="004924C7"/>
    <w:rsid w:val="00494C16"/>
    <w:rsid w:val="00494E79"/>
    <w:rsid w:val="004957BB"/>
    <w:rsid w:val="004961B6"/>
    <w:rsid w:val="00497725"/>
    <w:rsid w:val="004A0396"/>
    <w:rsid w:val="004A0B7F"/>
    <w:rsid w:val="004A2A4F"/>
    <w:rsid w:val="004A2F46"/>
    <w:rsid w:val="004A3C94"/>
    <w:rsid w:val="004A3E92"/>
    <w:rsid w:val="004A42D9"/>
    <w:rsid w:val="004A44ED"/>
    <w:rsid w:val="004B4F62"/>
    <w:rsid w:val="004B5A82"/>
    <w:rsid w:val="004B64B2"/>
    <w:rsid w:val="004B6E9E"/>
    <w:rsid w:val="004B70A5"/>
    <w:rsid w:val="004B7EE5"/>
    <w:rsid w:val="004C1740"/>
    <w:rsid w:val="004C5B40"/>
    <w:rsid w:val="004C647D"/>
    <w:rsid w:val="004C6827"/>
    <w:rsid w:val="004C6FDC"/>
    <w:rsid w:val="004C7A0A"/>
    <w:rsid w:val="004D025A"/>
    <w:rsid w:val="004D05F8"/>
    <w:rsid w:val="004D2290"/>
    <w:rsid w:val="004D4F60"/>
    <w:rsid w:val="004D7C1B"/>
    <w:rsid w:val="004D7EF4"/>
    <w:rsid w:val="004E1458"/>
    <w:rsid w:val="004E14C9"/>
    <w:rsid w:val="004E2B81"/>
    <w:rsid w:val="004E4785"/>
    <w:rsid w:val="004E5E18"/>
    <w:rsid w:val="004E5FE0"/>
    <w:rsid w:val="004E73CA"/>
    <w:rsid w:val="004F0794"/>
    <w:rsid w:val="004F1149"/>
    <w:rsid w:val="004F289B"/>
    <w:rsid w:val="004F2FCC"/>
    <w:rsid w:val="004F3006"/>
    <w:rsid w:val="004F3220"/>
    <w:rsid w:val="004F38E1"/>
    <w:rsid w:val="004F3D2A"/>
    <w:rsid w:val="004F4993"/>
    <w:rsid w:val="004F6FC9"/>
    <w:rsid w:val="00500559"/>
    <w:rsid w:val="0050245B"/>
    <w:rsid w:val="00502781"/>
    <w:rsid w:val="00502FE0"/>
    <w:rsid w:val="00503DEB"/>
    <w:rsid w:val="00504C13"/>
    <w:rsid w:val="00505435"/>
    <w:rsid w:val="00505CAE"/>
    <w:rsid w:val="00506C5E"/>
    <w:rsid w:val="00510A3F"/>
    <w:rsid w:val="005131C2"/>
    <w:rsid w:val="005141B4"/>
    <w:rsid w:val="00521F80"/>
    <w:rsid w:val="0052476A"/>
    <w:rsid w:val="00524DED"/>
    <w:rsid w:val="00530111"/>
    <w:rsid w:val="00530717"/>
    <w:rsid w:val="00530DD7"/>
    <w:rsid w:val="005313DA"/>
    <w:rsid w:val="00531601"/>
    <w:rsid w:val="005348B4"/>
    <w:rsid w:val="00536A4F"/>
    <w:rsid w:val="00537EB2"/>
    <w:rsid w:val="00545231"/>
    <w:rsid w:val="005464E0"/>
    <w:rsid w:val="00552719"/>
    <w:rsid w:val="00555D2B"/>
    <w:rsid w:val="005574B1"/>
    <w:rsid w:val="005600A7"/>
    <w:rsid w:val="00561C7A"/>
    <w:rsid w:val="00565017"/>
    <w:rsid w:val="00565F5B"/>
    <w:rsid w:val="00571509"/>
    <w:rsid w:val="00571927"/>
    <w:rsid w:val="00572B71"/>
    <w:rsid w:val="005731F5"/>
    <w:rsid w:val="00573249"/>
    <w:rsid w:val="00573FB5"/>
    <w:rsid w:val="005740B6"/>
    <w:rsid w:val="0057468A"/>
    <w:rsid w:val="00574D03"/>
    <w:rsid w:val="00575BC6"/>
    <w:rsid w:val="00577704"/>
    <w:rsid w:val="005778A1"/>
    <w:rsid w:val="00577C40"/>
    <w:rsid w:val="0058037C"/>
    <w:rsid w:val="0058073B"/>
    <w:rsid w:val="00580AD7"/>
    <w:rsid w:val="005811D5"/>
    <w:rsid w:val="0058323B"/>
    <w:rsid w:val="005864E6"/>
    <w:rsid w:val="005865DB"/>
    <w:rsid w:val="00586862"/>
    <w:rsid w:val="00586CB9"/>
    <w:rsid w:val="00586F62"/>
    <w:rsid w:val="0058736F"/>
    <w:rsid w:val="005873C5"/>
    <w:rsid w:val="005920F2"/>
    <w:rsid w:val="005933AA"/>
    <w:rsid w:val="00594FE9"/>
    <w:rsid w:val="00595A88"/>
    <w:rsid w:val="0059618F"/>
    <w:rsid w:val="005A056B"/>
    <w:rsid w:val="005A06FB"/>
    <w:rsid w:val="005A08AC"/>
    <w:rsid w:val="005A08C3"/>
    <w:rsid w:val="005A27E4"/>
    <w:rsid w:val="005A2AFD"/>
    <w:rsid w:val="005A41FC"/>
    <w:rsid w:val="005A4390"/>
    <w:rsid w:val="005A5AF4"/>
    <w:rsid w:val="005A5EDA"/>
    <w:rsid w:val="005A6296"/>
    <w:rsid w:val="005A63B2"/>
    <w:rsid w:val="005A755A"/>
    <w:rsid w:val="005A75A8"/>
    <w:rsid w:val="005A789C"/>
    <w:rsid w:val="005B0562"/>
    <w:rsid w:val="005B20E5"/>
    <w:rsid w:val="005B2663"/>
    <w:rsid w:val="005B2AAA"/>
    <w:rsid w:val="005B34E4"/>
    <w:rsid w:val="005B3575"/>
    <w:rsid w:val="005B3F1A"/>
    <w:rsid w:val="005B3FB5"/>
    <w:rsid w:val="005B5ADF"/>
    <w:rsid w:val="005B6C11"/>
    <w:rsid w:val="005B7B46"/>
    <w:rsid w:val="005B7BC3"/>
    <w:rsid w:val="005C0160"/>
    <w:rsid w:val="005C0275"/>
    <w:rsid w:val="005C1F0F"/>
    <w:rsid w:val="005C2DD9"/>
    <w:rsid w:val="005C76BF"/>
    <w:rsid w:val="005C7B31"/>
    <w:rsid w:val="005D0832"/>
    <w:rsid w:val="005D131C"/>
    <w:rsid w:val="005D2144"/>
    <w:rsid w:val="005D2BDF"/>
    <w:rsid w:val="005D3ED2"/>
    <w:rsid w:val="005D4E4F"/>
    <w:rsid w:val="005D75E4"/>
    <w:rsid w:val="005D7E06"/>
    <w:rsid w:val="005E1525"/>
    <w:rsid w:val="005E6006"/>
    <w:rsid w:val="005F1006"/>
    <w:rsid w:val="005F1FAC"/>
    <w:rsid w:val="005F5841"/>
    <w:rsid w:val="005F628D"/>
    <w:rsid w:val="005F6FCA"/>
    <w:rsid w:val="00601039"/>
    <w:rsid w:val="00601FD1"/>
    <w:rsid w:val="00603CF5"/>
    <w:rsid w:val="00604813"/>
    <w:rsid w:val="00604E3F"/>
    <w:rsid w:val="006066AB"/>
    <w:rsid w:val="00607A5A"/>
    <w:rsid w:val="00610AF3"/>
    <w:rsid w:val="00611723"/>
    <w:rsid w:val="00612665"/>
    <w:rsid w:val="00614FBB"/>
    <w:rsid w:val="0061527C"/>
    <w:rsid w:val="00616C6D"/>
    <w:rsid w:val="006228FB"/>
    <w:rsid w:val="006239FB"/>
    <w:rsid w:val="00624827"/>
    <w:rsid w:val="00624CE9"/>
    <w:rsid w:val="00627260"/>
    <w:rsid w:val="0063121B"/>
    <w:rsid w:val="0063353E"/>
    <w:rsid w:val="00634221"/>
    <w:rsid w:val="006346FE"/>
    <w:rsid w:val="00634E58"/>
    <w:rsid w:val="006359B5"/>
    <w:rsid w:val="00637A1A"/>
    <w:rsid w:val="00640563"/>
    <w:rsid w:val="00645147"/>
    <w:rsid w:val="00646B91"/>
    <w:rsid w:val="00646DD6"/>
    <w:rsid w:val="006474D0"/>
    <w:rsid w:val="00647541"/>
    <w:rsid w:val="00647870"/>
    <w:rsid w:val="006533C6"/>
    <w:rsid w:val="0065672E"/>
    <w:rsid w:val="0065741E"/>
    <w:rsid w:val="00657734"/>
    <w:rsid w:val="00661708"/>
    <w:rsid w:val="00661B49"/>
    <w:rsid w:val="00662B10"/>
    <w:rsid w:val="00663E5B"/>
    <w:rsid w:val="0066433A"/>
    <w:rsid w:val="00664B2C"/>
    <w:rsid w:val="00664D02"/>
    <w:rsid w:val="006650D7"/>
    <w:rsid w:val="00666A69"/>
    <w:rsid w:val="00670310"/>
    <w:rsid w:val="00670601"/>
    <w:rsid w:val="006706D3"/>
    <w:rsid w:val="00670FF9"/>
    <w:rsid w:val="00680BB2"/>
    <w:rsid w:val="00680E3D"/>
    <w:rsid w:val="00681CB3"/>
    <w:rsid w:val="00681DC9"/>
    <w:rsid w:val="00682F21"/>
    <w:rsid w:val="00685DDF"/>
    <w:rsid w:val="00687F70"/>
    <w:rsid w:val="0069010A"/>
    <w:rsid w:val="00690A88"/>
    <w:rsid w:val="0069190D"/>
    <w:rsid w:val="006933F7"/>
    <w:rsid w:val="00693967"/>
    <w:rsid w:val="00695EA6"/>
    <w:rsid w:val="006A2122"/>
    <w:rsid w:val="006A236E"/>
    <w:rsid w:val="006A4B03"/>
    <w:rsid w:val="006A4FAA"/>
    <w:rsid w:val="006A710C"/>
    <w:rsid w:val="006A74F3"/>
    <w:rsid w:val="006B0765"/>
    <w:rsid w:val="006B247F"/>
    <w:rsid w:val="006B6504"/>
    <w:rsid w:val="006C45FB"/>
    <w:rsid w:val="006C5B54"/>
    <w:rsid w:val="006C7BD5"/>
    <w:rsid w:val="006D0007"/>
    <w:rsid w:val="006D08FD"/>
    <w:rsid w:val="006D09A0"/>
    <w:rsid w:val="006D2516"/>
    <w:rsid w:val="006D54CF"/>
    <w:rsid w:val="006D7087"/>
    <w:rsid w:val="006D7FCC"/>
    <w:rsid w:val="006E12B6"/>
    <w:rsid w:val="006E2195"/>
    <w:rsid w:val="006E284E"/>
    <w:rsid w:val="006E460E"/>
    <w:rsid w:val="006E4EBC"/>
    <w:rsid w:val="006E63F4"/>
    <w:rsid w:val="006E65AD"/>
    <w:rsid w:val="006E69E1"/>
    <w:rsid w:val="006E7951"/>
    <w:rsid w:val="006F130A"/>
    <w:rsid w:val="006F434D"/>
    <w:rsid w:val="006F4A6B"/>
    <w:rsid w:val="006F4E30"/>
    <w:rsid w:val="006F5743"/>
    <w:rsid w:val="007015D1"/>
    <w:rsid w:val="00702461"/>
    <w:rsid w:val="00704612"/>
    <w:rsid w:val="00705CA9"/>
    <w:rsid w:val="007100FB"/>
    <w:rsid w:val="00711712"/>
    <w:rsid w:val="00711FA9"/>
    <w:rsid w:val="00713037"/>
    <w:rsid w:val="00715D32"/>
    <w:rsid w:val="00715F61"/>
    <w:rsid w:val="00720C70"/>
    <w:rsid w:val="00721D5E"/>
    <w:rsid w:val="007237FF"/>
    <w:rsid w:val="00723816"/>
    <w:rsid w:val="00723F45"/>
    <w:rsid w:val="00723FB6"/>
    <w:rsid w:val="007243A1"/>
    <w:rsid w:val="007244C8"/>
    <w:rsid w:val="00724DDD"/>
    <w:rsid w:val="0072508E"/>
    <w:rsid w:val="00725A93"/>
    <w:rsid w:val="00725E0C"/>
    <w:rsid w:val="00726551"/>
    <w:rsid w:val="00726A03"/>
    <w:rsid w:val="00730CFE"/>
    <w:rsid w:val="007310FE"/>
    <w:rsid w:val="00731ADE"/>
    <w:rsid w:val="00733015"/>
    <w:rsid w:val="007338F8"/>
    <w:rsid w:val="00734064"/>
    <w:rsid w:val="00734204"/>
    <w:rsid w:val="00734984"/>
    <w:rsid w:val="007352DD"/>
    <w:rsid w:val="0074196C"/>
    <w:rsid w:val="00742C1C"/>
    <w:rsid w:val="00746299"/>
    <w:rsid w:val="00747A05"/>
    <w:rsid w:val="00750A43"/>
    <w:rsid w:val="00750D08"/>
    <w:rsid w:val="007536F5"/>
    <w:rsid w:val="00754F10"/>
    <w:rsid w:val="0075502D"/>
    <w:rsid w:val="007552C6"/>
    <w:rsid w:val="00755697"/>
    <w:rsid w:val="00756F61"/>
    <w:rsid w:val="00757BEE"/>
    <w:rsid w:val="007634A2"/>
    <w:rsid w:val="007653BB"/>
    <w:rsid w:val="00767273"/>
    <w:rsid w:val="00767674"/>
    <w:rsid w:val="00771ADB"/>
    <w:rsid w:val="00773595"/>
    <w:rsid w:val="00775670"/>
    <w:rsid w:val="00775A6C"/>
    <w:rsid w:val="00777CA4"/>
    <w:rsid w:val="00780B72"/>
    <w:rsid w:val="00782234"/>
    <w:rsid w:val="00782510"/>
    <w:rsid w:val="00782825"/>
    <w:rsid w:val="00782E3E"/>
    <w:rsid w:val="00783654"/>
    <w:rsid w:val="0078494D"/>
    <w:rsid w:val="00785569"/>
    <w:rsid w:val="007861C4"/>
    <w:rsid w:val="00786CA3"/>
    <w:rsid w:val="0078799E"/>
    <w:rsid w:val="00787BC0"/>
    <w:rsid w:val="00791813"/>
    <w:rsid w:val="00791AAC"/>
    <w:rsid w:val="00791D12"/>
    <w:rsid w:val="00791E75"/>
    <w:rsid w:val="00792B36"/>
    <w:rsid w:val="00792CE0"/>
    <w:rsid w:val="00793695"/>
    <w:rsid w:val="007A0B02"/>
    <w:rsid w:val="007A0B0E"/>
    <w:rsid w:val="007A1B67"/>
    <w:rsid w:val="007A4B94"/>
    <w:rsid w:val="007A6056"/>
    <w:rsid w:val="007A6469"/>
    <w:rsid w:val="007A6591"/>
    <w:rsid w:val="007A6C8A"/>
    <w:rsid w:val="007A7C0C"/>
    <w:rsid w:val="007B0879"/>
    <w:rsid w:val="007B0FD3"/>
    <w:rsid w:val="007B1CE8"/>
    <w:rsid w:val="007B34FF"/>
    <w:rsid w:val="007B36AB"/>
    <w:rsid w:val="007B42B7"/>
    <w:rsid w:val="007B4AA0"/>
    <w:rsid w:val="007B6339"/>
    <w:rsid w:val="007C029F"/>
    <w:rsid w:val="007C081F"/>
    <w:rsid w:val="007C0F7D"/>
    <w:rsid w:val="007C18F9"/>
    <w:rsid w:val="007C2505"/>
    <w:rsid w:val="007C2B34"/>
    <w:rsid w:val="007C3BC3"/>
    <w:rsid w:val="007C4C6A"/>
    <w:rsid w:val="007D03E7"/>
    <w:rsid w:val="007D0DD7"/>
    <w:rsid w:val="007D10AC"/>
    <w:rsid w:val="007D1AC4"/>
    <w:rsid w:val="007D371F"/>
    <w:rsid w:val="007D387F"/>
    <w:rsid w:val="007D4967"/>
    <w:rsid w:val="007D4D83"/>
    <w:rsid w:val="007D4F6D"/>
    <w:rsid w:val="007D66FE"/>
    <w:rsid w:val="007E5D99"/>
    <w:rsid w:val="007F0DDD"/>
    <w:rsid w:val="007F1A59"/>
    <w:rsid w:val="007F3536"/>
    <w:rsid w:val="007F36D1"/>
    <w:rsid w:val="007F3D21"/>
    <w:rsid w:val="007F4E35"/>
    <w:rsid w:val="007F5EDB"/>
    <w:rsid w:val="007F5F58"/>
    <w:rsid w:val="008019F5"/>
    <w:rsid w:val="00802489"/>
    <w:rsid w:val="008064CE"/>
    <w:rsid w:val="0080754A"/>
    <w:rsid w:val="00807C27"/>
    <w:rsid w:val="0081055C"/>
    <w:rsid w:val="008127B3"/>
    <w:rsid w:val="00815F4C"/>
    <w:rsid w:val="008174D6"/>
    <w:rsid w:val="008209D6"/>
    <w:rsid w:val="008213FF"/>
    <w:rsid w:val="00821E45"/>
    <w:rsid w:val="00822DD8"/>
    <w:rsid w:val="00823C40"/>
    <w:rsid w:val="00824847"/>
    <w:rsid w:val="00825120"/>
    <w:rsid w:val="00825344"/>
    <w:rsid w:val="00825F97"/>
    <w:rsid w:val="008261BC"/>
    <w:rsid w:val="008267CD"/>
    <w:rsid w:val="00827EC4"/>
    <w:rsid w:val="0083010B"/>
    <w:rsid w:val="00831581"/>
    <w:rsid w:val="00831780"/>
    <w:rsid w:val="008318BC"/>
    <w:rsid w:val="0083347A"/>
    <w:rsid w:val="0083348A"/>
    <w:rsid w:val="008345DF"/>
    <w:rsid w:val="00834627"/>
    <w:rsid w:val="00834A0B"/>
    <w:rsid w:val="00836F7F"/>
    <w:rsid w:val="00837B0B"/>
    <w:rsid w:val="00841F93"/>
    <w:rsid w:val="008427CA"/>
    <w:rsid w:val="00845588"/>
    <w:rsid w:val="00845EB9"/>
    <w:rsid w:val="008460EA"/>
    <w:rsid w:val="00846B72"/>
    <w:rsid w:val="00847918"/>
    <w:rsid w:val="00851DA2"/>
    <w:rsid w:val="008522B6"/>
    <w:rsid w:val="00852A27"/>
    <w:rsid w:val="00854326"/>
    <w:rsid w:val="00856BE4"/>
    <w:rsid w:val="00857E44"/>
    <w:rsid w:val="00860421"/>
    <w:rsid w:val="00860B5B"/>
    <w:rsid w:val="008621B9"/>
    <w:rsid w:val="00867072"/>
    <w:rsid w:val="008709F3"/>
    <w:rsid w:val="0087226F"/>
    <w:rsid w:val="008731F0"/>
    <w:rsid w:val="00873289"/>
    <w:rsid w:val="008738D8"/>
    <w:rsid w:val="00874283"/>
    <w:rsid w:val="008747F4"/>
    <w:rsid w:val="00874C9B"/>
    <w:rsid w:val="00874F5B"/>
    <w:rsid w:val="0087727A"/>
    <w:rsid w:val="00880174"/>
    <w:rsid w:val="00880C9C"/>
    <w:rsid w:val="00881C4D"/>
    <w:rsid w:val="008865AD"/>
    <w:rsid w:val="00886899"/>
    <w:rsid w:val="00887DB7"/>
    <w:rsid w:val="008909E0"/>
    <w:rsid w:val="0089115D"/>
    <w:rsid w:val="00891CCC"/>
    <w:rsid w:val="00893980"/>
    <w:rsid w:val="00893EB6"/>
    <w:rsid w:val="008959DB"/>
    <w:rsid w:val="00895D89"/>
    <w:rsid w:val="00895DEA"/>
    <w:rsid w:val="00896780"/>
    <w:rsid w:val="00897A12"/>
    <w:rsid w:val="008A1322"/>
    <w:rsid w:val="008A1C12"/>
    <w:rsid w:val="008A1CB9"/>
    <w:rsid w:val="008A4609"/>
    <w:rsid w:val="008A49BD"/>
    <w:rsid w:val="008A4BFE"/>
    <w:rsid w:val="008A6557"/>
    <w:rsid w:val="008A6961"/>
    <w:rsid w:val="008B018B"/>
    <w:rsid w:val="008B1B1A"/>
    <w:rsid w:val="008B79D3"/>
    <w:rsid w:val="008C21CD"/>
    <w:rsid w:val="008C346C"/>
    <w:rsid w:val="008C45B0"/>
    <w:rsid w:val="008C5632"/>
    <w:rsid w:val="008C5BD3"/>
    <w:rsid w:val="008D3539"/>
    <w:rsid w:val="008D3933"/>
    <w:rsid w:val="008D6BAB"/>
    <w:rsid w:val="008E0150"/>
    <w:rsid w:val="008E0EB4"/>
    <w:rsid w:val="008E2425"/>
    <w:rsid w:val="008E34B7"/>
    <w:rsid w:val="008E4471"/>
    <w:rsid w:val="008E5D6E"/>
    <w:rsid w:val="008E60FE"/>
    <w:rsid w:val="008E6C3A"/>
    <w:rsid w:val="008F06AD"/>
    <w:rsid w:val="008F073B"/>
    <w:rsid w:val="008F1476"/>
    <w:rsid w:val="008F1B4F"/>
    <w:rsid w:val="008F23EB"/>
    <w:rsid w:val="008F31B2"/>
    <w:rsid w:val="008F4AD0"/>
    <w:rsid w:val="008F4E4F"/>
    <w:rsid w:val="008F50B8"/>
    <w:rsid w:val="008F5781"/>
    <w:rsid w:val="00902019"/>
    <w:rsid w:val="009030EF"/>
    <w:rsid w:val="0090335A"/>
    <w:rsid w:val="00903A58"/>
    <w:rsid w:val="0090670E"/>
    <w:rsid w:val="00907111"/>
    <w:rsid w:val="009076C4"/>
    <w:rsid w:val="00913302"/>
    <w:rsid w:val="0091347C"/>
    <w:rsid w:val="00914829"/>
    <w:rsid w:val="00914D0A"/>
    <w:rsid w:val="00916D08"/>
    <w:rsid w:val="00916EF1"/>
    <w:rsid w:val="00917684"/>
    <w:rsid w:val="00917B19"/>
    <w:rsid w:val="00921972"/>
    <w:rsid w:val="00921C80"/>
    <w:rsid w:val="009259BD"/>
    <w:rsid w:val="00925B8D"/>
    <w:rsid w:val="009275C9"/>
    <w:rsid w:val="0092765D"/>
    <w:rsid w:val="00931FCA"/>
    <w:rsid w:val="00933379"/>
    <w:rsid w:val="00936776"/>
    <w:rsid w:val="0094058A"/>
    <w:rsid w:val="009455D5"/>
    <w:rsid w:val="0094568D"/>
    <w:rsid w:val="00945FEC"/>
    <w:rsid w:val="00946178"/>
    <w:rsid w:val="00946CB2"/>
    <w:rsid w:val="00950B53"/>
    <w:rsid w:val="009517A3"/>
    <w:rsid w:val="00957FC6"/>
    <w:rsid w:val="009603BF"/>
    <w:rsid w:val="009607E1"/>
    <w:rsid w:val="009613BB"/>
    <w:rsid w:val="00962552"/>
    <w:rsid w:val="009627CE"/>
    <w:rsid w:val="00963379"/>
    <w:rsid w:val="00964D7C"/>
    <w:rsid w:val="0096513B"/>
    <w:rsid w:val="00966FDE"/>
    <w:rsid w:val="00967D14"/>
    <w:rsid w:val="00971442"/>
    <w:rsid w:val="009741D9"/>
    <w:rsid w:val="00974403"/>
    <w:rsid w:val="00974466"/>
    <w:rsid w:val="00976A6A"/>
    <w:rsid w:val="00976E3E"/>
    <w:rsid w:val="00977595"/>
    <w:rsid w:val="009806C2"/>
    <w:rsid w:val="0098399F"/>
    <w:rsid w:val="00984EC4"/>
    <w:rsid w:val="00985629"/>
    <w:rsid w:val="009877B4"/>
    <w:rsid w:val="00990AA3"/>
    <w:rsid w:val="00990B90"/>
    <w:rsid w:val="009927A9"/>
    <w:rsid w:val="009974A5"/>
    <w:rsid w:val="009A0728"/>
    <w:rsid w:val="009A1858"/>
    <w:rsid w:val="009A4559"/>
    <w:rsid w:val="009B074B"/>
    <w:rsid w:val="009B254C"/>
    <w:rsid w:val="009B3971"/>
    <w:rsid w:val="009B5369"/>
    <w:rsid w:val="009B6244"/>
    <w:rsid w:val="009B63A3"/>
    <w:rsid w:val="009B6AF9"/>
    <w:rsid w:val="009B6F2E"/>
    <w:rsid w:val="009C6FAD"/>
    <w:rsid w:val="009D0793"/>
    <w:rsid w:val="009D2D77"/>
    <w:rsid w:val="009D38B1"/>
    <w:rsid w:val="009D3D46"/>
    <w:rsid w:val="009D585C"/>
    <w:rsid w:val="009D6202"/>
    <w:rsid w:val="009D6561"/>
    <w:rsid w:val="009D6E56"/>
    <w:rsid w:val="009D7690"/>
    <w:rsid w:val="009E1174"/>
    <w:rsid w:val="009E5CEA"/>
    <w:rsid w:val="009F31BE"/>
    <w:rsid w:val="009F62E9"/>
    <w:rsid w:val="009F6FB3"/>
    <w:rsid w:val="00A00118"/>
    <w:rsid w:val="00A0016F"/>
    <w:rsid w:val="00A023D4"/>
    <w:rsid w:val="00A028F6"/>
    <w:rsid w:val="00A02CEC"/>
    <w:rsid w:val="00A049E2"/>
    <w:rsid w:val="00A05262"/>
    <w:rsid w:val="00A11072"/>
    <w:rsid w:val="00A11248"/>
    <w:rsid w:val="00A1280E"/>
    <w:rsid w:val="00A128B6"/>
    <w:rsid w:val="00A12A14"/>
    <w:rsid w:val="00A13028"/>
    <w:rsid w:val="00A14A74"/>
    <w:rsid w:val="00A15A81"/>
    <w:rsid w:val="00A15AE0"/>
    <w:rsid w:val="00A17CF9"/>
    <w:rsid w:val="00A201EE"/>
    <w:rsid w:val="00A21D90"/>
    <w:rsid w:val="00A22368"/>
    <w:rsid w:val="00A233BD"/>
    <w:rsid w:val="00A24827"/>
    <w:rsid w:val="00A24D58"/>
    <w:rsid w:val="00A24E0B"/>
    <w:rsid w:val="00A25262"/>
    <w:rsid w:val="00A25A54"/>
    <w:rsid w:val="00A278C5"/>
    <w:rsid w:val="00A3160A"/>
    <w:rsid w:val="00A34ADD"/>
    <w:rsid w:val="00A35C50"/>
    <w:rsid w:val="00A36BCA"/>
    <w:rsid w:val="00A3714A"/>
    <w:rsid w:val="00A37A81"/>
    <w:rsid w:val="00A402EA"/>
    <w:rsid w:val="00A40BCF"/>
    <w:rsid w:val="00A40D20"/>
    <w:rsid w:val="00A41C01"/>
    <w:rsid w:val="00A41C6F"/>
    <w:rsid w:val="00A42CFB"/>
    <w:rsid w:val="00A44ABC"/>
    <w:rsid w:val="00A462D1"/>
    <w:rsid w:val="00A505FB"/>
    <w:rsid w:val="00A511BA"/>
    <w:rsid w:val="00A51459"/>
    <w:rsid w:val="00A51664"/>
    <w:rsid w:val="00A52D81"/>
    <w:rsid w:val="00A541E2"/>
    <w:rsid w:val="00A54616"/>
    <w:rsid w:val="00A56F96"/>
    <w:rsid w:val="00A5786F"/>
    <w:rsid w:val="00A60B3B"/>
    <w:rsid w:val="00A618A6"/>
    <w:rsid w:val="00A63D7B"/>
    <w:rsid w:val="00A6789D"/>
    <w:rsid w:val="00A70424"/>
    <w:rsid w:val="00A7120A"/>
    <w:rsid w:val="00A726AF"/>
    <w:rsid w:val="00A72A10"/>
    <w:rsid w:val="00A738BC"/>
    <w:rsid w:val="00A74CDD"/>
    <w:rsid w:val="00A74D98"/>
    <w:rsid w:val="00A7627D"/>
    <w:rsid w:val="00A76C2A"/>
    <w:rsid w:val="00A80477"/>
    <w:rsid w:val="00A822D0"/>
    <w:rsid w:val="00A82691"/>
    <w:rsid w:val="00A8296E"/>
    <w:rsid w:val="00A829AE"/>
    <w:rsid w:val="00A8371F"/>
    <w:rsid w:val="00A8449E"/>
    <w:rsid w:val="00A85535"/>
    <w:rsid w:val="00A91954"/>
    <w:rsid w:val="00A924FD"/>
    <w:rsid w:val="00A96C9B"/>
    <w:rsid w:val="00A9762F"/>
    <w:rsid w:val="00AA0153"/>
    <w:rsid w:val="00AA0202"/>
    <w:rsid w:val="00AA1D4E"/>
    <w:rsid w:val="00AA321F"/>
    <w:rsid w:val="00AA45AB"/>
    <w:rsid w:val="00AA5FE3"/>
    <w:rsid w:val="00AB0B67"/>
    <w:rsid w:val="00AB188F"/>
    <w:rsid w:val="00AB18BD"/>
    <w:rsid w:val="00AB5345"/>
    <w:rsid w:val="00AB5845"/>
    <w:rsid w:val="00AB5900"/>
    <w:rsid w:val="00AB591C"/>
    <w:rsid w:val="00AC10A5"/>
    <w:rsid w:val="00AC199C"/>
    <w:rsid w:val="00AC328D"/>
    <w:rsid w:val="00AC5BA1"/>
    <w:rsid w:val="00AC6E69"/>
    <w:rsid w:val="00AD23CF"/>
    <w:rsid w:val="00AD4D2E"/>
    <w:rsid w:val="00AD5928"/>
    <w:rsid w:val="00AD607A"/>
    <w:rsid w:val="00AD631F"/>
    <w:rsid w:val="00AD71C4"/>
    <w:rsid w:val="00AE08C7"/>
    <w:rsid w:val="00AE151E"/>
    <w:rsid w:val="00AE1639"/>
    <w:rsid w:val="00AE3868"/>
    <w:rsid w:val="00AE6CDF"/>
    <w:rsid w:val="00AE7442"/>
    <w:rsid w:val="00AF0020"/>
    <w:rsid w:val="00AF0058"/>
    <w:rsid w:val="00AF17B9"/>
    <w:rsid w:val="00AF20BA"/>
    <w:rsid w:val="00AF235F"/>
    <w:rsid w:val="00AF2527"/>
    <w:rsid w:val="00AF5383"/>
    <w:rsid w:val="00AF5AC1"/>
    <w:rsid w:val="00AF63C6"/>
    <w:rsid w:val="00AF7226"/>
    <w:rsid w:val="00AF7734"/>
    <w:rsid w:val="00B002E2"/>
    <w:rsid w:val="00B00342"/>
    <w:rsid w:val="00B004B7"/>
    <w:rsid w:val="00B01375"/>
    <w:rsid w:val="00B0636A"/>
    <w:rsid w:val="00B07053"/>
    <w:rsid w:val="00B07788"/>
    <w:rsid w:val="00B07AF2"/>
    <w:rsid w:val="00B110DC"/>
    <w:rsid w:val="00B111F1"/>
    <w:rsid w:val="00B117B5"/>
    <w:rsid w:val="00B14071"/>
    <w:rsid w:val="00B14471"/>
    <w:rsid w:val="00B149BE"/>
    <w:rsid w:val="00B22B9A"/>
    <w:rsid w:val="00B23126"/>
    <w:rsid w:val="00B2450E"/>
    <w:rsid w:val="00B245B3"/>
    <w:rsid w:val="00B24FB5"/>
    <w:rsid w:val="00B277F3"/>
    <w:rsid w:val="00B31DBF"/>
    <w:rsid w:val="00B33A84"/>
    <w:rsid w:val="00B34443"/>
    <w:rsid w:val="00B34E05"/>
    <w:rsid w:val="00B369DC"/>
    <w:rsid w:val="00B41DF5"/>
    <w:rsid w:val="00B448DB"/>
    <w:rsid w:val="00B46A9A"/>
    <w:rsid w:val="00B47BF3"/>
    <w:rsid w:val="00B47D79"/>
    <w:rsid w:val="00B50BF4"/>
    <w:rsid w:val="00B51C80"/>
    <w:rsid w:val="00B52CC4"/>
    <w:rsid w:val="00B55757"/>
    <w:rsid w:val="00B568A7"/>
    <w:rsid w:val="00B6007E"/>
    <w:rsid w:val="00B60BAF"/>
    <w:rsid w:val="00B61CD1"/>
    <w:rsid w:val="00B61D29"/>
    <w:rsid w:val="00B64D33"/>
    <w:rsid w:val="00B6702B"/>
    <w:rsid w:val="00B723AB"/>
    <w:rsid w:val="00B741E3"/>
    <w:rsid w:val="00B7426A"/>
    <w:rsid w:val="00B75382"/>
    <w:rsid w:val="00B770EF"/>
    <w:rsid w:val="00B83AF9"/>
    <w:rsid w:val="00B83B99"/>
    <w:rsid w:val="00B85979"/>
    <w:rsid w:val="00B87359"/>
    <w:rsid w:val="00B8757D"/>
    <w:rsid w:val="00B92736"/>
    <w:rsid w:val="00B940A7"/>
    <w:rsid w:val="00B941F0"/>
    <w:rsid w:val="00B95BC0"/>
    <w:rsid w:val="00B96220"/>
    <w:rsid w:val="00B965DD"/>
    <w:rsid w:val="00B96EBE"/>
    <w:rsid w:val="00B970FE"/>
    <w:rsid w:val="00BA227B"/>
    <w:rsid w:val="00BB0A33"/>
    <w:rsid w:val="00BB2C1F"/>
    <w:rsid w:val="00BB2C9B"/>
    <w:rsid w:val="00BB2FBD"/>
    <w:rsid w:val="00BB3606"/>
    <w:rsid w:val="00BB4176"/>
    <w:rsid w:val="00BB43FC"/>
    <w:rsid w:val="00BB476F"/>
    <w:rsid w:val="00BB5736"/>
    <w:rsid w:val="00BB7107"/>
    <w:rsid w:val="00BC1265"/>
    <w:rsid w:val="00BC3DEA"/>
    <w:rsid w:val="00BC4CE3"/>
    <w:rsid w:val="00BC5BF0"/>
    <w:rsid w:val="00BC7BC5"/>
    <w:rsid w:val="00BD2488"/>
    <w:rsid w:val="00BD30AF"/>
    <w:rsid w:val="00BD4A22"/>
    <w:rsid w:val="00BD4F0F"/>
    <w:rsid w:val="00BD5256"/>
    <w:rsid w:val="00BD5E70"/>
    <w:rsid w:val="00BD6AC1"/>
    <w:rsid w:val="00BD7C44"/>
    <w:rsid w:val="00BE2487"/>
    <w:rsid w:val="00BE39EB"/>
    <w:rsid w:val="00BE63C1"/>
    <w:rsid w:val="00BF00C6"/>
    <w:rsid w:val="00BF11AC"/>
    <w:rsid w:val="00BF264A"/>
    <w:rsid w:val="00BF2746"/>
    <w:rsid w:val="00BF34BC"/>
    <w:rsid w:val="00BF4BFD"/>
    <w:rsid w:val="00BF55FE"/>
    <w:rsid w:val="00BF79F4"/>
    <w:rsid w:val="00C0290F"/>
    <w:rsid w:val="00C029B7"/>
    <w:rsid w:val="00C05743"/>
    <w:rsid w:val="00C05A26"/>
    <w:rsid w:val="00C05E84"/>
    <w:rsid w:val="00C145B6"/>
    <w:rsid w:val="00C146B4"/>
    <w:rsid w:val="00C16431"/>
    <w:rsid w:val="00C16C0A"/>
    <w:rsid w:val="00C1760A"/>
    <w:rsid w:val="00C17DE4"/>
    <w:rsid w:val="00C203FB"/>
    <w:rsid w:val="00C20CD0"/>
    <w:rsid w:val="00C2122E"/>
    <w:rsid w:val="00C21D3C"/>
    <w:rsid w:val="00C21F46"/>
    <w:rsid w:val="00C22A17"/>
    <w:rsid w:val="00C237BA"/>
    <w:rsid w:val="00C24B85"/>
    <w:rsid w:val="00C25F50"/>
    <w:rsid w:val="00C279CF"/>
    <w:rsid w:val="00C32A95"/>
    <w:rsid w:val="00C33BD2"/>
    <w:rsid w:val="00C3455B"/>
    <w:rsid w:val="00C34C16"/>
    <w:rsid w:val="00C34FCD"/>
    <w:rsid w:val="00C35768"/>
    <w:rsid w:val="00C373B0"/>
    <w:rsid w:val="00C405D3"/>
    <w:rsid w:val="00C40603"/>
    <w:rsid w:val="00C407FB"/>
    <w:rsid w:val="00C416E2"/>
    <w:rsid w:val="00C43A3D"/>
    <w:rsid w:val="00C43C97"/>
    <w:rsid w:val="00C45985"/>
    <w:rsid w:val="00C46033"/>
    <w:rsid w:val="00C46E00"/>
    <w:rsid w:val="00C47153"/>
    <w:rsid w:val="00C50733"/>
    <w:rsid w:val="00C50F0E"/>
    <w:rsid w:val="00C5148E"/>
    <w:rsid w:val="00C51B0F"/>
    <w:rsid w:val="00C53A50"/>
    <w:rsid w:val="00C5716C"/>
    <w:rsid w:val="00C600FF"/>
    <w:rsid w:val="00C62771"/>
    <w:rsid w:val="00C644E3"/>
    <w:rsid w:val="00C647B7"/>
    <w:rsid w:val="00C6480D"/>
    <w:rsid w:val="00C64BF5"/>
    <w:rsid w:val="00C65683"/>
    <w:rsid w:val="00C65C26"/>
    <w:rsid w:val="00C66197"/>
    <w:rsid w:val="00C6655F"/>
    <w:rsid w:val="00C67AD5"/>
    <w:rsid w:val="00C735A1"/>
    <w:rsid w:val="00C73A20"/>
    <w:rsid w:val="00C75CDD"/>
    <w:rsid w:val="00C77D97"/>
    <w:rsid w:val="00C804CC"/>
    <w:rsid w:val="00C84AA7"/>
    <w:rsid w:val="00C84B10"/>
    <w:rsid w:val="00C87027"/>
    <w:rsid w:val="00C87B45"/>
    <w:rsid w:val="00C90C77"/>
    <w:rsid w:val="00C91961"/>
    <w:rsid w:val="00C9209A"/>
    <w:rsid w:val="00C968B6"/>
    <w:rsid w:val="00C96D4D"/>
    <w:rsid w:val="00CA05C9"/>
    <w:rsid w:val="00CA15E9"/>
    <w:rsid w:val="00CA1CC9"/>
    <w:rsid w:val="00CA2239"/>
    <w:rsid w:val="00CB2035"/>
    <w:rsid w:val="00CB22EC"/>
    <w:rsid w:val="00CB23F1"/>
    <w:rsid w:val="00CB37C4"/>
    <w:rsid w:val="00CB4E3A"/>
    <w:rsid w:val="00CC0A7D"/>
    <w:rsid w:val="00CC3456"/>
    <w:rsid w:val="00CC36BA"/>
    <w:rsid w:val="00CC36BB"/>
    <w:rsid w:val="00CC3CAF"/>
    <w:rsid w:val="00CC4406"/>
    <w:rsid w:val="00CC6F8F"/>
    <w:rsid w:val="00CD067D"/>
    <w:rsid w:val="00CD1882"/>
    <w:rsid w:val="00CD23B2"/>
    <w:rsid w:val="00CD289B"/>
    <w:rsid w:val="00CD3419"/>
    <w:rsid w:val="00CD4007"/>
    <w:rsid w:val="00CD5E41"/>
    <w:rsid w:val="00CE01A5"/>
    <w:rsid w:val="00CE0572"/>
    <w:rsid w:val="00CE2725"/>
    <w:rsid w:val="00CE34FA"/>
    <w:rsid w:val="00CE373D"/>
    <w:rsid w:val="00CE3990"/>
    <w:rsid w:val="00CE3E3B"/>
    <w:rsid w:val="00CE4468"/>
    <w:rsid w:val="00CE4F57"/>
    <w:rsid w:val="00CE72AC"/>
    <w:rsid w:val="00CF2F6F"/>
    <w:rsid w:val="00CF577A"/>
    <w:rsid w:val="00D00ED4"/>
    <w:rsid w:val="00D016F3"/>
    <w:rsid w:val="00D018C9"/>
    <w:rsid w:val="00D03629"/>
    <w:rsid w:val="00D0410E"/>
    <w:rsid w:val="00D043A0"/>
    <w:rsid w:val="00D04956"/>
    <w:rsid w:val="00D068D7"/>
    <w:rsid w:val="00D1214E"/>
    <w:rsid w:val="00D12318"/>
    <w:rsid w:val="00D12CD1"/>
    <w:rsid w:val="00D13825"/>
    <w:rsid w:val="00D15EB3"/>
    <w:rsid w:val="00D1642A"/>
    <w:rsid w:val="00D17B77"/>
    <w:rsid w:val="00D2247E"/>
    <w:rsid w:val="00D24611"/>
    <w:rsid w:val="00D272FC"/>
    <w:rsid w:val="00D30CA5"/>
    <w:rsid w:val="00D33802"/>
    <w:rsid w:val="00D33AC8"/>
    <w:rsid w:val="00D34302"/>
    <w:rsid w:val="00D36E02"/>
    <w:rsid w:val="00D37A3F"/>
    <w:rsid w:val="00D405B7"/>
    <w:rsid w:val="00D40C39"/>
    <w:rsid w:val="00D45B95"/>
    <w:rsid w:val="00D461A0"/>
    <w:rsid w:val="00D471DC"/>
    <w:rsid w:val="00D47D5A"/>
    <w:rsid w:val="00D50AF3"/>
    <w:rsid w:val="00D51B0B"/>
    <w:rsid w:val="00D5255D"/>
    <w:rsid w:val="00D52565"/>
    <w:rsid w:val="00D545DB"/>
    <w:rsid w:val="00D564AB"/>
    <w:rsid w:val="00D56CBD"/>
    <w:rsid w:val="00D578FC"/>
    <w:rsid w:val="00D57DD2"/>
    <w:rsid w:val="00D61F70"/>
    <w:rsid w:val="00D62021"/>
    <w:rsid w:val="00D626C9"/>
    <w:rsid w:val="00D62C68"/>
    <w:rsid w:val="00D62DAC"/>
    <w:rsid w:val="00D644AA"/>
    <w:rsid w:val="00D64540"/>
    <w:rsid w:val="00D64816"/>
    <w:rsid w:val="00D667D3"/>
    <w:rsid w:val="00D715A1"/>
    <w:rsid w:val="00D72CE9"/>
    <w:rsid w:val="00D73BF6"/>
    <w:rsid w:val="00D757FC"/>
    <w:rsid w:val="00D76C8E"/>
    <w:rsid w:val="00D76EA6"/>
    <w:rsid w:val="00D80D08"/>
    <w:rsid w:val="00D8133D"/>
    <w:rsid w:val="00D82CD2"/>
    <w:rsid w:val="00D835C3"/>
    <w:rsid w:val="00D836A5"/>
    <w:rsid w:val="00D83840"/>
    <w:rsid w:val="00D87313"/>
    <w:rsid w:val="00D905EB"/>
    <w:rsid w:val="00D92804"/>
    <w:rsid w:val="00D929E5"/>
    <w:rsid w:val="00D95051"/>
    <w:rsid w:val="00D95339"/>
    <w:rsid w:val="00D95CB1"/>
    <w:rsid w:val="00D9658E"/>
    <w:rsid w:val="00D96AF1"/>
    <w:rsid w:val="00DA180F"/>
    <w:rsid w:val="00DA209C"/>
    <w:rsid w:val="00DA3BFE"/>
    <w:rsid w:val="00DA4430"/>
    <w:rsid w:val="00DA7157"/>
    <w:rsid w:val="00DA7C46"/>
    <w:rsid w:val="00DB03AA"/>
    <w:rsid w:val="00DB1D55"/>
    <w:rsid w:val="00DB3244"/>
    <w:rsid w:val="00DB39DF"/>
    <w:rsid w:val="00DB3CC4"/>
    <w:rsid w:val="00DB401D"/>
    <w:rsid w:val="00DB5411"/>
    <w:rsid w:val="00DB5953"/>
    <w:rsid w:val="00DB5EED"/>
    <w:rsid w:val="00DC0492"/>
    <w:rsid w:val="00DC0799"/>
    <w:rsid w:val="00DC0AA6"/>
    <w:rsid w:val="00DC1918"/>
    <w:rsid w:val="00DC2B9D"/>
    <w:rsid w:val="00DC47D5"/>
    <w:rsid w:val="00DC5BFC"/>
    <w:rsid w:val="00DD05BC"/>
    <w:rsid w:val="00DD0945"/>
    <w:rsid w:val="00DD249A"/>
    <w:rsid w:val="00DD5867"/>
    <w:rsid w:val="00DE34F0"/>
    <w:rsid w:val="00DE41D0"/>
    <w:rsid w:val="00DE4323"/>
    <w:rsid w:val="00DE4CFF"/>
    <w:rsid w:val="00DE66FC"/>
    <w:rsid w:val="00DF0483"/>
    <w:rsid w:val="00DF2D88"/>
    <w:rsid w:val="00DF2EC8"/>
    <w:rsid w:val="00DF43AC"/>
    <w:rsid w:val="00DF4F68"/>
    <w:rsid w:val="00DF5036"/>
    <w:rsid w:val="00DF5B89"/>
    <w:rsid w:val="00DF6E68"/>
    <w:rsid w:val="00DF70FE"/>
    <w:rsid w:val="00DF7BC6"/>
    <w:rsid w:val="00DF7F84"/>
    <w:rsid w:val="00E0117F"/>
    <w:rsid w:val="00E017DE"/>
    <w:rsid w:val="00E036B4"/>
    <w:rsid w:val="00E03701"/>
    <w:rsid w:val="00E051FD"/>
    <w:rsid w:val="00E10340"/>
    <w:rsid w:val="00E11056"/>
    <w:rsid w:val="00E1141D"/>
    <w:rsid w:val="00E119F5"/>
    <w:rsid w:val="00E12749"/>
    <w:rsid w:val="00E14B39"/>
    <w:rsid w:val="00E169F1"/>
    <w:rsid w:val="00E22102"/>
    <w:rsid w:val="00E22D86"/>
    <w:rsid w:val="00E24B87"/>
    <w:rsid w:val="00E259DA"/>
    <w:rsid w:val="00E26495"/>
    <w:rsid w:val="00E26DE8"/>
    <w:rsid w:val="00E30366"/>
    <w:rsid w:val="00E31010"/>
    <w:rsid w:val="00E3147A"/>
    <w:rsid w:val="00E34F61"/>
    <w:rsid w:val="00E35BFB"/>
    <w:rsid w:val="00E35CE4"/>
    <w:rsid w:val="00E4112C"/>
    <w:rsid w:val="00E41BCA"/>
    <w:rsid w:val="00E441A8"/>
    <w:rsid w:val="00E52D65"/>
    <w:rsid w:val="00E54650"/>
    <w:rsid w:val="00E54A7F"/>
    <w:rsid w:val="00E54A89"/>
    <w:rsid w:val="00E55021"/>
    <w:rsid w:val="00E55336"/>
    <w:rsid w:val="00E561A9"/>
    <w:rsid w:val="00E57B44"/>
    <w:rsid w:val="00E60730"/>
    <w:rsid w:val="00E6125A"/>
    <w:rsid w:val="00E618DA"/>
    <w:rsid w:val="00E61FCC"/>
    <w:rsid w:val="00E624C6"/>
    <w:rsid w:val="00E6510C"/>
    <w:rsid w:val="00E65721"/>
    <w:rsid w:val="00E65DD3"/>
    <w:rsid w:val="00E661F6"/>
    <w:rsid w:val="00E674C0"/>
    <w:rsid w:val="00E70320"/>
    <w:rsid w:val="00E70EE8"/>
    <w:rsid w:val="00E74462"/>
    <w:rsid w:val="00E74985"/>
    <w:rsid w:val="00E815E4"/>
    <w:rsid w:val="00E818B8"/>
    <w:rsid w:val="00E8233F"/>
    <w:rsid w:val="00E8354D"/>
    <w:rsid w:val="00E8358C"/>
    <w:rsid w:val="00E83C38"/>
    <w:rsid w:val="00E8471C"/>
    <w:rsid w:val="00E85B43"/>
    <w:rsid w:val="00E879F4"/>
    <w:rsid w:val="00E9049A"/>
    <w:rsid w:val="00E9131B"/>
    <w:rsid w:val="00E91581"/>
    <w:rsid w:val="00E9217B"/>
    <w:rsid w:val="00E935E5"/>
    <w:rsid w:val="00E942FA"/>
    <w:rsid w:val="00E97CCB"/>
    <w:rsid w:val="00EA02F5"/>
    <w:rsid w:val="00EA12A8"/>
    <w:rsid w:val="00EA3E8F"/>
    <w:rsid w:val="00EA6C4A"/>
    <w:rsid w:val="00EB0A57"/>
    <w:rsid w:val="00EB34AA"/>
    <w:rsid w:val="00EB3BFB"/>
    <w:rsid w:val="00EB41CD"/>
    <w:rsid w:val="00EB4F34"/>
    <w:rsid w:val="00EB7B01"/>
    <w:rsid w:val="00EC06D7"/>
    <w:rsid w:val="00EC0ECE"/>
    <w:rsid w:val="00EC183C"/>
    <w:rsid w:val="00EC202A"/>
    <w:rsid w:val="00EC2D89"/>
    <w:rsid w:val="00EC3D4F"/>
    <w:rsid w:val="00EC6393"/>
    <w:rsid w:val="00EC73C9"/>
    <w:rsid w:val="00ED1F4A"/>
    <w:rsid w:val="00ED3524"/>
    <w:rsid w:val="00ED7342"/>
    <w:rsid w:val="00EE1D26"/>
    <w:rsid w:val="00EE270F"/>
    <w:rsid w:val="00EE2CD7"/>
    <w:rsid w:val="00EE3D24"/>
    <w:rsid w:val="00EE44D9"/>
    <w:rsid w:val="00EE4A60"/>
    <w:rsid w:val="00EF0D55"/>
    <w:rsid w:val="00EF1E10"/>
    <w:rsid w:val="00EF402A"/>
    <w:rsid w:val="00EF50AC"/>
    <w:rsid w:val="00EF606B"/>
    <w:rsid w:val="00EF6D31"/>
    <w:rsid w:val="00EF6DF6"/>
    <w:rsid w:val="00F009E1"/>
    <w:rsid w:val="00F019A7"/>
    <w:rsid w:val="00F0318E"/>
    <w:rsid w:val="00F03B27"/>
    <w:rsid w:val="00F04A36"/>
    <w:rsid w:val="00F05A94"/>
    <w:rsid w:val="00F07A78"/>
    <w:rsid w:val="00F1002D"/>
    <w:rsid w:val="00F1091F"/>
    <w:rsid w:val="00F10A64"/>
    <w:rsid w:val="00F1176D"/>
    <w:rsid w:val="00F11C7C"/>
    <w:rsid w:val="00F11E16"/>
    <w:rsid w:val="00F12385"/>
    <w:rsid w:val="00F12696"/>
    <w:rsid w:val="00F1369F"/>
    <w:rsid w:val="00F17220"/>
    <w:rsid w:val="00F21C7B"/>
    <w:rsid w:val="00F226F2"/>
    <w:rsid w:val="00F230F6"/>
    <w:rsid w:val="00F23C7C"/>
    <w:rsid w:val="00F276EC"/>
    <w:rsid w:val="00F30D1D"/>
    <w:rsid w:val="00F310F0"/>
    <w:rsid w:val="00F31AC5"/>
    <w:rsid w:val="00F31D26"/>
    <w:rsid w:val="00F32060"/>
    <w:rsid w:val="00F339D2"/>
    <w:rsid w:val="00F33F53"/>
    <w:rsid w:val="00F35E41"/>
    <w:rsid w:val="00F3692D"/>
    <w:rsid w:val="00F36D81"/>
    <w:rsid w:val="00F403E7"/>
    <w:rsid w:val="00F41ACC"/>
    <w:rsid w:val="00F41D00"/>
    <w:rsid w:val="00F43FC0"/>
    <w:rsid w:val="00F450F0"/>
    <w:rsid w:val="00F4583A"/>
    <w:rsid w:val="00F46600"/>
    <w:rsid w:val="00F47A59"/>
    <w:rsid w:val="00F52015"/>
    <w:rsid w:val="00F521EB"/>
    <w:rsid w:val="00F534F3"/>
    <w:rsid w:val="00F570DE"/>
    <w:rsid w:val="00F57F57"/>
    <w:rsid w:val="00F60DCA"/>
    <w:rsid w:val="00F617CF"/>
    <w:rsid w:val="00F63C19"/>
    <w:rsid w:val="00F64266"/>
    <w:rsid w:val="00F643E3"/>
    <w:rsid w:val="00F647F8"/>
    <w:rsid w:val="00F648FD"/>
    <w:rsid w:val="00F64BC2"/>
    <w:rsid w:val="00F65F84"/>
    <w:rsid w:val="00F700CC"/>
    <w:rsid w:val="00F71356"/>
    <w:rsid w:val="00F73AED"/>
    <w:rsid w:val="00F75DB3"/>
    <w:rsid w:val="00F81429"/>
    <w:rsid w:val="00F82667"/>
    <w:rsid w:val="00F8290B"/>
    <w:rsid w:val="00F84629"/>
    <w:rsid w:val="00F84CD4"/>
    <w:rsid w:val="00F85169"/>
    <w:rsid w:val="00F85D32"/>
    <w:rsid w:val="00F8664F"/>
    <w:rsid w:val="00F870AB"/>
    <w:rsid w:val="00F912C8"/>
    <w:rsid w:val="00F92334"/>
    <w:rsid w:val="00F92DEC"/>
    <w:rsid w:val="00F964C2"/>
    <w:rsid w:val="00F9669D"/>
    <w:rsid w:val="00F971CF"/>
    <w:rsid w:val="00FA03E3"/>
    <w:rsid w:val="00FA0887"/>
    <w:rsid w:val="00FA10A9"/>
    <w:rsid w:val="00FA15F0"/>
    <w:rsid w:val="00FA1FF6"/>
    <w:rsid w:val="00FA20CF"/>
    <w:rsid w:val="00FA3297"/>
    <w:rsid w:val="00FA3507"/>
    <w:rsid w:val="00FA39CB"/>
    <w:rsid w:val="00FA39F9"/>
    <w:rsid w:val="00FA5D9D"/>
    <w:rsid w:val="00FA6CD5"/>
    <w:rsid w:val="00FB00D5"/>
    <w:rsid w:val="00FB0AB9"/>
    <w:rsid w:val="00FB2C1E"/>
    <w:rsid w:val="00FC0BE5"/>
    <w:rsid w:val="00FC0ED4"/>
    <w:rsid w:val="00FC1120"/>
    <w:rsid w:val="00FC236C"/>
    <w:rsid w:val="00FC2573"/>
    <w:rsid w:val="00FC2EF0"/>
    <w:rsid w:val="00FC45E7"/>
    <w:rsid w:val="00FC60E1"/>
    <w:rsid w:val="00FC6E2E"/>
    <w:rsid w:val="00FC734C"/>
    <w:rsid w:val="00FD2128"/>
    <w:rsid w:val="00FD2C9A"/>
    <w:rsid w:val="00FD511A"/>
    <w:rsid w:val="00FD53E2"/>
    <w:rsid w:val="00FD55DB"/>
    <w:rsid w:val="00FD58D9"/>
    <w:rsid w:val="00FD5F08"/>
    <w:rsid w:val="00FD6024"/>
    <w:rsid w:val="00FD71BE"/>
    <w:rsid w:val="00FE1683"/>
    <w:rsid w:val="00FE191C"/>
    <w:rsid w:val="00FE3204"/>
    <w:rsid w:val="00FE39AD"/>
    <w:rsid w:val="00FE3FB9"/>
    <w:rsid w:val="00FE467C"/>
    <w:rsid w:val="00FE4ECE"/>
    <w:rsid w:val="00FE5222"/>
    <w:rsid w:val="00FE524C"/>
    <w:rsid w:val="00FE5B43"/>
    <w:rsid w:val="00FE6160"/>
    <w:rsid w:val="00FE7256"/>
    <w:rsid w:val="00FF0B29"/>
    <w:rsid w:val="00FF1D68"/>
    <w:rsid w:val="00FF1E81"/>
    <w:rsid w:val="00FF307F"/>
    <w:rsid w:val="00FF3E82"/>
    <w:rsid w:val="00FF51FE"/>
    <w:rsid w:val="00FF5712"/>
    <w:rsid w:val="00FF6105"/>
    <w:rsid w:val="00FF6B24"/>
    <w:rsid w:val="00FF713A"/>
    <w:rsid w:val="014D745A"/>
    <w:rsid w:val="019F31AE"/>
    <w:rsid w:val="01A72A5A"/>
    <w:rsid w:val="01BF5AAB"/>
    <w:rsid w:val="023C437C"/>
    <w:rsid w:val="0257294E"/>
    <w:rsid w:val="02826A8F"/>
    <w:rsid w:val="02C05ABD"/>
    <w:rsid w:val="02EE6485"/>
    <w:rsid w:val="03365776"/>
    <w:rsid w:val="036A3186"/>
    <w:rsid w:val="03CD15D7"/>
    <w:rsid w:val="05226AB1"/>
    <w:rsid w:val="058B47A5"/>
    <w:rsid w:val="05BB2D3F"/>
    <w:rsid w:val="05C96DE0"/>
    <w:rsid w:val="06144087"/>
    <w:rsid w:val="06557F19"/>
    <w:rsid w:val="067B0F55"/>
    <w:rsid w:val="068D1C71"/>
    <w:rsid w:val="06C8674D"/>
    <w:rsid w:val="06EC66E0"/>
    <w:rsid w:val="07081583"/>
    <w:rsid w:val="072B2711"/>
    <w:rsid w:val="07C06F05"/>
    <w:rsid w:val="07EE0585"/>
    <w:rsid w:val="081C53C1"/>
    <w:rsid w:val="08392CB3"/>
    <w:rsid w:val="0866708C"/>
    <w:rsid w:val="08AB4F0D"/>
    <w:rsid w:val="08DC087C"/>
    <w:rsid w:val="09423491"/>
    <w:rsid w:val="09507BEE"/>
    <w:rsid w:val="09863673"/>
    <w:rsid w:val="0A407A88"/>
    <w:rsid w:val="0B2E584B"/>
    <w:rsid w:val="0B6F4171"/>
    <w:rsid w:val="0B781E3C"/>
    <w:rsid w:val="0B9633BD"/>
    <w:rsid w:val="0BF62BE5"/>
    <w:rsid w:val="0C2672BE"/>
    <w:rsid w:val="0C2C5D1C"/>
    <w:rsid w:val="0C2C74E1"/>
    <w:rsid w:val="0C345668"/>
    <w:rsid w:val="0C3C0EAC"/>
    <w:rsid w:val="0C5D098D"/>
    <w:rsid w:val="0CAF4023"/>
    <w:rsid w:val="0CC25FC4"/>
    <w:rsid w:val="0D0777FE"/>
    <w:rsid w:val="0D336D85"/>
    <w:rsid w:val="0D874609"/>
    <w:rsid w:val="0E831FEA"/>
    <w:rsid w:val="0E9E7075"/>
    <w:rsid w:val="0EE36172"/>
    <w:rsid w:val="0EF94B3D"/>
    <w:rsid w:val="0F370383"/>
    <w:rsid w:val="0F5163FF"/>
    <w:rsid w:val="0F9C2701"/>
    <w:rsid w:val="0FB401B7"/>
    <w:rsid w:val="0FF67276"/>
    <w:rsid w:val="103D3392"/>
    <w:rsid w:val="107F5005"/>
    <w:rsid w:val="1215652F"/>
    <w:rsid w:val="123A6BAD"/>
    <w:rsid w:val="128F4176"/>
    <w:rsid w:val="12D706B8"/>
    <w:rsid w:val="13E97F8B"/>
    <w:rsid w:val="14A20CDD"/>
    <w:rsid w:val="14F44E15"/>
    <w:rsid w:val="151F1D8D"/>
    <w:rsid w:val="15657AEF"/>
    <w:rsid w:val="15EB7B01"/>
    <w:rsid w:val="1613006B"/>
    <w:rsid w:val="16481484"/>
    <w:rsid w:val="165F6538"/>
    <w:rsid w:val="168E29AD"/>
    <w:rsid w:val="16DA32F3"/>
    <w:rsid w:val="16F6044C"/>
    <w:rsid w:val="17BE18D1"/>
    <w:rsid w:val="17D71672"/>
    <w:rsid w:val="17F11316"/>
    <w:rsid w:val="181D1637"/>
    <w:rsid w:val="1A6C61E7"/>
    <w:rsid w:val="1ABA53F2"/>
    <w:rsid w:val="1ABC771B"/>
    <w:rsid w:val="1AE4538C"/>
    <w:rsid w:val="1AEE0C14"/>
    <w:rsid w:val="1B8C4AB8"/>
    <w:rsid w:val="1BFF43FF"/>
    <w:rsid w:val="1C4E7C1D"/>
    <w:rsid w:val="1C502BA8"/>
    <w:rsid w:val="1C791009"/>
    <w:rsid w:val="1C7F6D3C"/>
    <w:rsid w:val="1CC2439E"/>
    <w:rsid w:val="1D0F7C29"/>
    <w:rsid w:val="1D233438"/>
    <w:rsid w:val="1D2D3051"/>
    <w:rsid w:val="1DBE513A"/>
    <w:rsid w:val="1DDE2B28"/>
    <w:rsid w:val="1E612A7B"/>
    <w:rsid w:val="1F1251D8"/>
    <w:rsid w:val="1F3972A8"/>
    <w:rsid w:val="1F560937"/>
    <w:rsid w:val="1F730A49"/>
    <w:rsid w:val="1FA944E4"/>
    <w:rsid w:val="1FCB0A8B"/>
    <w:rsid w:val="1FF45226"/>
    <w:rsid w:val="202E5364"/>
    <w:rsid w:val="204B4C27"/>
    <w:rsid w:val="20916818"/>
    <w:rsid w:val="20965AA6"/>
    <w:rsid w:val="20E862EE"/>
    <w:rsid w:val="20F308EF"/>
    <w:rsid w:val="21237B64"/>
    <w:rsid w:val="21A6258F"/>
    <w:rsid w:val="21B20862"/>
    <w:rsid w:val="22031F75"/>
    <w:rsid w:val="222178ED"/>
    <w:rsid w:val="222639BD"/>
    <w:rsid w:val="22540994"/>
    <w:rsid w:val="241C7396"/>
    <w:rsid w:val="2452781A"/>
    <w:rsid w:val="248E66BB"/>
    <w:rsid w:val="24E576CD"/>
    <w:rsid w:val="255621F4"/>
    <w:rsid w:val="25D50A68"/>
    <w:rsid w:val="25FD6004"/>
    <w:rsid w:val="27470682"/>
    <w:rsid w:val="27B24A33"/>
    <w:rsid w:val="282A37AE"/>
    <w:rsid w:val="28465F76"/>
    <w:rsid w:val="289B61B4"/>
    <w:rsid w:val="289E2258"/>
    <w:rsid w:val="28B52E2E"/>
    <w:rsid w:val="28B77C80"/>
    <w:rsid w:val="28BF11BC"/>
    <w:rsid w:val="28E22641"/>
    <w:rsid w:val="29334959"/>
    <w:rsid w:val="293F695A"/>
    <w:rsid w:val="2950356A"/>
    <w:rsid w:val="295433E1"/>
    <w:rsid w:val="29CC0F6B"/>
    <w:rsid w:val="29CF23DC"/>
    <w:rsid w:val="29EC063E"/>
    <w:rsid w:val="2A167C2E"/>
    <w:rsid w:val="2A5572A5"/>
    <w:rsid w:val="2A5C62DB"/>
    <w:rsid w:val="2A6D51CD"/>
    <w:rsid w:val="2B360826"/>
    <w:rsid w:val="2B4322C4"/>
    <w:rsid w:val="2B926785"/>
    <w:rsid w:val="2BB73D02"/>
    <w:rsid w:val="2CE029CC"/>
    <w:rsid w:val="2D7A45D2"/>
    <w:rsid w:val="2DA059AB"/>
    <w:rsid w:val="2DC70A4F"/>
    <w:rsid w:val="2DF12F87"/>
    <w:rsid w:val="2E294723"/>
    <w:rsid w:val="2E621D9A"/>
    <w:rsid w:val="2E8F5AA9"/>
    <w:rsid w:val="2EB111B4"/>
    <w:rsid w:val="2F3659CE"/>
    <w:rsid w:val="2F6E7FA8"/>
    <w:rsid w:val="2F8C0C0C"/>
    <w:rsid w:val="2F9B34B1"/>
    <w:rsid w:val="2FD333FD"/>
    <w:rsid w:val="30454731"/>
    <w:rsid w:val="30792255"/>
    <w:rsid w:val="30C5751E"/>
    <w:rsid w:val="30F73FEB"/>
    <w:rsid w:val="312B78A2"/>
    <w:rsid w:val="3146530D"/>
    <w:rsid w:val="31697C17"/>
    <w:rsid w:val="320378A1"/>
    <w:rsid w:val="321330C9"/>
    <w:rsid w:val="32317565"/>
    <w:rsid w:val="323A16DC"/>
    <w:rsid w:val="3248505E"/>
    <w:rsid w:val="326C646B"/>
    <w:rsid w:val="32D95E2E"/>
    <w:rsid w:val="32F65A39"/>
    <w:rsid w:val="330E51B6"/>
    <w:rsid w:val="33BF2CF4"/>
    <w:rsid w:val="33D47F2F"/>
    <w:rsid w:val="33ED357D"/>
    <w:rsid w:val="343806DE"/>
    <w:rsid w:val="344C39B7"/>
    <w:rsid w:val="34626F4C"/>
    <w:rsid w:val="350F4AF1"/>
    <w:rsid w:val="35705809"/>
    <w:rsid w:val="3575344B"/>
    <w:rsid w:val="357D73DE"/>
    <w:rsid w:val="35B41A2D"/>
    <w:rsid w:val="363909E6"/>
    <w:rsid w:val="36A15BBF"/>
    <w:rsid w:val="36AA0825"/>
    <w:rsid w:val="36DD3874"/>
    <w:rsid w:val="36EB4BDC"/>
    <w:rsid w:val="372D5674"/>
    <w:rsid w:val="37B93841"/>
    <w:rsid w:val="37BA5991"/>
    <w:rsid w:val="37D326E7"/>
    <w:rsid w:val="387640B8"/>
    <w:rsid w:val="38EC41A7"/>
    <w:rsid w:val="39180414"/>
    <w:rsid w:val="394C3880"/>
    <w:rsid w:val="3B1C2093"/>
    <w:rsid w:val="3B354357"/>
    <w:rsid w:val="3BAE2963"/>
    <w:rsid w:val="3BBA68E7"/>
    <w:rsid w:val="3C214048"/>
    <w:rsid w:val="3C477201"/>
    <w:rsid w:val="3C6251D3"/>
    <w:rsid w:val="3C6509B1"/>
    <w:rsid w:val="3C7157B5"/>
    <w:rsid w:val="3C790083"/>
    <w:rsid w:val="3C8B4E9D"/>
    <w:rsid w:val="3CA8765B"/>
    <w:rsid w:val="3D1618E8"/>
    <w:rsid w:val="3D516FF2"/>
    <w:rsid w:val="3D707831"/>
    <w:rsid w:val="3DA23D0A"/>
    <w:rsid w:val="3EF5621B"/>
    <w:rsid w:val="3FB02221"/>
    <w:rsid w:val="3FB0547E"/>
    <w:rsid w:val="400A4E75"/>
    <w:rsid w:val="401C651D"/>
    <w:rsid w:val="405C4927"/>
    <w:rsid w:val="40D211BA"/>
    <w:rsid w:val="416074D3"/>
    <w:rsid w:val="422805AA"/>
    <w:rsid w:val="42AD4BFA"/>
    <w:rsid w:val="4363296F"/>
    <w:rsid w:val="438A7846"/>
    <w:rsid w:val="44215282"/>
    <w:rsid w:val="443618CE"/>
    <w:rsid w:val="444C263C"/>
    <w:rsid w:val="448D3BF7"/>
    <w:rsid w:val="44922913"/>
    <w:rsid w:val="44FC0FC8"/>
    <w:rsid w:val="452D2E58"/>
    <w:rsid w:val="45346DD5"/>
    <w:rsid w:val="45382C86"/>
    <w:rsid w:val="456563FA"/>
    <w:rsid w:val="459729A6"/>
    <w:rsid w:val="46665B9E"/>
    <w:rsid w:val="466F53D0"/>
    <w:rsid w:val="46A52BAA"/>
    <w:rsid w:val="46D0740C"/>
    <w:rsid w:val="4717354F"/>
    <w:rsid w:val="476F570B"/>
    <w:rsid w:val="47B82F8C"/>
    <w:rsid w:val="480C19EA"/>
    <w:rsid w:val="4861702F"/>
    <w:rsid w:val="48776D38"/>
    <w:rsid w:val="48CA64DA"/>
    <w:rsid w:val="48CD11B6"/>
    <w:rsid w:val="490B709C"/>
    <w:rsid w:val="49231BBC"/>
    <w:rsid w:val="4A5B23AD"/>
    <w:rsid w:val="4B6E0530"/>
    <w:rsid w:val="4C61016D"/>
    <w:rsid w:val="4C9E0711"/>
    <w:rsid w:val="4DC63E5D"/>
    <w:rsid w:val="4E642584"/>
    <w:rsid w:val="4E9234E5"/>
    <w:rsid w:val="4F004AC8"/>
    <w:rsid w:val="4FDD3421"/>
    <w:rsid w:val="50220974"/>
    <w:rsid w:val="50563A10"/>
    <w:rsid w:val="50744124"/>
    <w:rsid w:val="50DB612B"/>
    <w:rsid w:val="50FB7BCD"/>
    <w:rsid w:val="515C079F"/>
    <w:rsid w:val="517D0ABA"/>
    <w:rsid w:val="51D50F1C"/>
    <w:rsid w:val="51E970C3"/>
    <w:rsid w:val="528625FA"/>
    <w:rsid w:val="53163BF2"/>
    <w:rsid w:val="54264AC9"/>
    <w:rsid w:val="54F70D70"/>
    <w:rsid w:val="55527CF9"/>
    <w:rsid w:val="559323C5"/>
    <w:rsid w:val="55DA574B"/>
    <w:rsid w:val="55DB14B9"/>
    <w:rsid w:val="55E333E3"/>
    <w:rsid w:val="5610528E"/>
    <w:rsid w:val="56182B6E"/>
    <w:rsid w:val="56C46547"/>
    <w:rsid w:val="56DA3123"/>
    <w:rsid w:val="56E723FE"/>
    <w:rsid w:val="574F4AA7"/>
    <w:rsid w:val="575A07A3"/>
    <w:rsid w:val="57E400AD"/>
    <w:rsid w:val="57EE76E4"/>
    <w:rsid w:val="585614E4"/>
    <w:rsid w:val="58774C70"/>
    <w:rsid w:val="58EA52A0"/>
    <w:rsid w:val="59130765"/>
    <w:rsid w:val="592B4899"/>
    <w:rsid w:val="59BE008C"/>
    <w:rsid w:val="59E62CA7"/>
    <w:rsid w:val="5A914920"/>
    <w:rsid w:val="5AB00B25"/>
    <w:rsid w:val="5AC04A0B"/>
    <w:rsid w:val="5B4C62E3"/>
    <w:rsid w:val="5B4E3FA9"/>
    <w:rsid w:val="5B7504ED"/>
    <w:rsid w:val="5B8B449F"/>
    <w:rsid w:val="5BFF072D"/>
    <w:rsid w:val="5C1B135A"/>
    <w:rsid w:val="5C2769E7"/>
    <w:rsid w:val="5C993234"/>
    <w:rsid w:val="5CEF39E7"/>
    <w:rsid w:val="5D0C639D"/>
    <w:rsid w:val="5D4D1366"/>
    <w:rsid w:val="5DA821BF"/>
    <w:rsid w:val="5DC139D2"/>
    <w:rsid w:val="5DF319AE"/>
    <w:rsid w:val="5DF67626"/>
    <w:rsid w:val="5E772F3C"/>
    <w:rsid w:val="5EAC4D44"/>
    <w:rsid w:val="5ED7778B"/>
    <w:rsid w:val="5F731BA9"/>
    <w:rsid w:val="6058674D"/>
    <w:rsid w:val="61056E0B"/>
    <w:rsid w:val="615067D7"/>
    <w:rsid w:val="616A185D"/>
    <w:rsid w:val="619E2B89"/>
    <w:rsid w:val="620D2994"/>
    <w:rsid w:val="62C5787E"/>
    <w:rsid w:val="63202D68"/>
    <w:rsid w:val="63213448"/>
    <w:rsid w:val="633607E1"/>
    <w:rsid w:val="639533FD"/>
    <w:rsid w:val="639B5A24"/>
    <w:rsid w:val="63A8130F"/>
    <w:rsid w:val="63C8615D"/>
    <w:rsid w:val="64301060"/>
    <w:rsid w:val="643738BF"/>
    <w:rsid w:val="64AF1FBB"/>
    <w:rsid w:val="64C0660B"/>
    <w:rsid w:val="658223CF"/>
    <w:rsid w:val="65AE4647"/>
    <w:rsid w:val="65B07A0B"/>
    <w:rsid w:val="65F76387"/>
    <w:rsid w:val="668A55F7"/>
    <w:rsid w:val="674246DE"/>
    <w:rsid w:val="67BA2DBD"/>
    <w:rsid w:val="680649AA"/>
    <w:rsid w:val="681D64C2"/>
    <w:rsid w:val="681E7B79"/>
    <w:rsid w:val="682D3D0A"/>
    <w:rsid w:val="68A824BF"/>
    <w:rsid w:val="68DE575D"/>
    <w:rsid w:val="68F9039B"/>
    <w:rsid w:val="693E48E3"/>
    <w:rsid w:val="694E203D"/>
    <w:rsid w:val="695F0F37"/>
    <w:rsid w:val="69C160CF"/>
    <w:rsid w:val="69E12102"/>
    <w:rsid w:val="69E15B12"/>
    <w:rsid w:val="6A9C0D44"/>
    <w:rsid w:val="6AE129F2"/>
    <w:rsid w:val="6AF80865"/>
    <w:rsid w:val="6AF84C9C"/>
    <w:rsid w:val="6B6B0FAF"/>
    <w:rsid w:val="6B780D2F"/>
    <w:rsid w:val="6B9C1813"/>
    <w:rsid w:val="6C356BD4"/>
    <w:rsid w:val="6CB14A3E"/>
    <w:rsid w:val="6CD6514E"/>
    <w:rsid w:val="6CDB500E"/>
    <w:rsid w:val="6D0B269D"/>
    <w:rsid w:val="6D3F28C1"/>
    <w:rsid w:val="6D4516AF"/>
    <w:rsid w:val="6E1D4ED5"/>
    <w:rsid w:val="6E240780"/>
    <w:rsid w:val="6F273251"/>
    <w:rsid w:val="6FBB46ED"/>
    <w:rsid w:val="703A3F85"/>
    <w:rsid w:val="70555B9D"/>
    <w:rsid w:val="72157655"/>
    <w:rsid w:val="724C24BE"/>
    <w:rsid w:val="724C636E"/>
    <w:rsid w:val="729C22B0"/>
    <w:rsid w:val="743B0D75"/>
    <w:rsid w:val="746147D0"/>
    <w:rsid w:val="75A13826"/>
    <w:rsid w:val="75A96F9D"/>
    <w:rsid w:val="75D20B44"/>
    <w:rsid w:val="761A1F87"/>
    <w:rsid w:val="77C17FC5"/>
    <w:rsid w:val="77EF1225"/>
    <w:rsid w:val="78494FAA"/>
    <w:rsid w:val="787B718E"/>
    <w:rsid w:val="78A465FF"/>
    <w:rsid w:val="78C569F8"/>
    <w:rsid w:val="79052F5E"/>
    <w:rsid w:val="797304FB"/>
    <w:rsid w:val="79C8592F"/>
    <w:rsid w:val="7A3754E3"/>
    <w:rsid w:val="7A4D30ED"/>
    <w:rsid w:val="7AD940D8"/>
    <w:rsid w:val="7AE668A5"/>
    <w:rsid w:val="7AE927AE"/>
    <w:rsid w:val="7AFB0A43"/>
    <w:rsid w:val="7B2F40E0"/>
    <w:rsid w:val="7B4927AB"/>
    <w:rsid w:val="7B806F5F"/>
    <w:rsid w:val="7B982198"/>
    <w:rsid w:val="7BE3546C"/>
    <w:rsid w:val="7BEF1040"/>
    <w:rsid w:val="7BF94D5C"/>
    <w:rsid w:val="7C05513A"/>
    <w:rsid w:val="7C2461C6"/>
    <w:rsid w:val="7C74731A"/>
    <w:rsid w:val="7C861295"/>
    <w:rsid w:val="7CF36D8A"/>
    <w:rsid w:val="7D887CFF"/>
    <w:rsid w:val="7DB1624A"/>
    <w:rsid w:val="7DD80158"/>
    <w:rsid w:val="7E211608"/>
    <w:rsid w:val="7E5678FD"/>
    <w:rsid w:val="7EE12A82"/>
    <w:rsid w:val="7F0A72D2"/>
    <w:rsid w:val="7FC35E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99"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1"/>
    <w:autoRedefine/>
    <w:qFormat/>
    <w:uiPriority w:val="0"/>
    <w:pPr>
      <w:keepNext/>
      <w:keepLines/>
      <w:spacing w:before="340" w:after="330" w:line="578" w:lineRule="auto"/>
      <w:jc w:val="center"/>
      <w:outlineLvl w:val="0"/>
    </w:pPr>
    <w:rPr>
      <w:rFonts w:ascii="Times New Roman" w:hAnsi="Times New Roman" w:eastAsia="宋体"/>
      <w:b/>
      <w:bCs/>
      <w:kern w:val="44"/>
      <w:sz w:val="30"/>
      <w:szCs w:val="44"/>
    </w:rPr>
  </w:style>
  <w:style w:type="paragraph" w:styleId="3">
    <w:name w:val="heading 2"/>
    <w:basedOn w:val="1"/>
    <w:next w:val="1"/>
    <w:link w:val="82"/>
    <w:autoRedefine/>
    <w:qFormat/>
    <w:uiPriority w:val="9"/>
    <w:pPr>
      <w:keepNext/>
      <w:keepLines/>
      <w:spacing w:before="260" w:after="260" w:line="416" w:lineRule="auto"/>
      <w:ind w:firstLine="628"/>
      <w:jc w:val="center"/>
      <w:outlineLvl w:val="1"/>
    </w:pPr>
    <w:rPr>
      <w:rFonts w:ascii="Arial" w:eastAsia="黑体"/>
      <w:b/>
      <w:bCs/>
      <w:sz w:val="32"/>
      <w:szCs w:val="32"/>
    </w:rPr>
  </w:style>
  <w:style w:type="paragraph" w:styleId="4">
    <w:name w:val="heading 3"/>
    <w:basedOn w:val="1"/>
    <w:next w:val="1"/>
    <w:link w:val="83"/>
    <w:autoRedefine/>
    <w:qFormat/>
    <w:uiPriority w:val="0"/>
    <w:pPr>
      <w:keepNext/>
      <w:keepLines/>
      <w:spacing w:before="260" w:after="260" w:line="416" w:lineRule="auto"/>
      <w:jc w:val="center"/>
      <w:outlineLvl w:val="2"/>
    </w:pPr>
    <w:rPr>
      <w:rFonts w:ascii="宋体"/>
      <w:b/>
      <w:bCs/>
      <w:sz w:val="32"/>
      <w:szCs w:val="32"/>
    </w:rPr>
  </w:style>
  <w:style w:type="paragraph" w:styleId="5">
    <w:name w:val="heading 4"/>
    <w:basedOn w:val="1"/>
    <w:next w:val="1"/>
    <w:link w:val="84"/>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85"/>
    <w:autoRedefine/>
    <w:qFormat/>
    <w:uiPriority w:val="0"/>
    <w:pPr>
      <w:keepNext/>
      <w:outlineLvl w:val="4"/>
    </w:pPr>
    <w:rPr>
      <w:rFonts w:ascii="宋体" w:hAnsi="Arial"/>
      <w:bCs/>
      <w:sz w:val="28"/>
    </w:rPr>
  </w:style>
  <w:style w:type="paragraph" w:styleId="7">
    <w:name w:val="heading 6"/>
    <w:basedOn w:val="1"/>
    <w:next w:val="1"/>
    <w:link w:val="86"/>
    <w:autoRedefine/>
    <w:qFormat/>
    <w:uiPriority w:val="0"/>
    <w:pPr>
      <w:keepNext/>
      <w:autoSpaceDE w:val="0"/>
      <w:autoSpaceDN w:val="0"/>
      <w:adjustRightInd w:val="0"/>
      <w:spacing w:before="156" w:beforeLines="50" w:after="156" w:afterLines="50" w:line="300" w:lineRule="exact"/>
      <w:jc w:val="center"/>
      <w:outlineLvl w:val="5"/>
    </w:pPr>
    <w:rPr>
      <w:rFonts w:ascii="宋体" w:hAnsi="宋体"/>
      <w:kern w:val="0"/>
      <w:sz w:val="28"/>
    </w:rPr>
  </w:style>
  <w:style w:type="paragraph" w:styleId="8">
    <w:name w:val="heading 7"/>
    <w:basedOn w:val="1"/>
    <w:next w:val="1"/>
    <w:link w:val="87"/>
    <w:autoRedefine/>
    <w:qFormat/>
    <w:uiPriority w:val="0"/>
    <w:pPr>
      <w:keepNext/>
      <w:keepLines/>
      <w:spacing w:before="240" w:after="64" w:line="320" w:lineRule="auto"/>
      <w:ind w:right="-24" w:rightChars="-10" w:firstLine="464" w:firstLineChars="225"/>
      <w:jc w:val="left"/>
      <w:outlineLvl w:val="6"/>
    </w:pPr>
    <w:rPr>
      <w:rFonts w:ascii="Arial" w:hAnsi="Arial" w:eastAsia="仿宋_GB2312"/>
      <w:b/>
      <w:bCs/>
      <w:spacing w:val="-4"/>
      <w:sz w:val="24"/>
      <w:szCs w:val="24"/>
    </w:rPr>
  </w:style>
  <w:style w:type="paragraph" w:styleId="9">
    <w:name w:val="heading 8"/>
    <w:basedOn w:val="1"/>
    <w:next w:val="1"/>
    <w:link w:val="88"/>
    <w:autoRedefine/>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89"/>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autoRedefine/>
    <w:semiHidden/>
    <w:qFormat/>
    <w:uiPriority w:val="0"/>
  </w:style>
  <w:style w:type="table" w:default="1" w:styleId="71">
    <w:name w:val="Normal Table"/>
    <w:autoRedefine/>
    <w:semiHidden/>
    <w:qFormat/>
    <w:uiPriority w:val="0"/>
    <w:tblPr>
      <w:tblCellMar>
        <w:top w:w="0" w:type="dxa"/>
        <w:left w:w="108" w:type="dxa"/>
        <w:bottom w:w="0" w:type="dxa"/>
        <w:right w:w="108" w:type="dxa"/>
      </w:tblCellMar>
    </w:tblPr>
  </w:style>
  <w:style w:type="paragraph" w:styleId="11">
    <w:name w:val="List 3"/>
    <w:basedOn w:val="1"/>
    <w:autoRedefine/>
    <w:qFormat/>
    <w:uiPriority w:val="0"/>
    <w:pPr>
      <w:ind w:left="600" w:leftChars="400" w:hanging="200" w:hangingChars="200"/>
    </w:pPr>
    <w:rPr>
      <w:rFonts w:cs="Droid Sans"/>
      <w:sz w:val="18"/>
    </w:rPr>
  </w:style>
  <w:style w:type="paragraph" w:styleId="12">
    <w:name w:val="toc 7"/>
    <w:basedOn w:val="1"/>
    <w:next w:val="1"/>
    <w:autoRedefine/>
    <w:qFormat/>
    <w:uiPriority w:val="39"/>
    <w:pPr>
      <w:ind w:left="1260"/>
      <w:jc w:val="left"/>
    </w:pPr>
    <w:rPr>
      <w:szCs w:val="21"/>
    </w:rPr>
  </w:style>
  <w:style w:type="paragraph" w:styleId="13">
    <w:name w:val="table of authorities"/>
    <w:basedOn w:val="1"/>
    <w:next w:val="1"/>
    <w:autoRedefine/>
    <w:qFormat/>
    <w:uiPriority w:val="0"/>
    <w:pPr>
      <w:ind w:left="420" w:leftChars="200"/>
    </w:pPr>
  </w:style>
  <w:style w:type="paragraph" w:styleId="14">
    <w:name w:val="index 8"/>
    <w:basedOn w:val="1"/>
    <w:next w:val="1"/>
    <w:autoRedefine/>
    <w:qFormat/>
    <w:uiPriority w:val="0"/>
    <w:pPr>
      <w:ind w:left="1400" w:leftChars="1400"/>
    </w:pPr>
  </w:style>
  <w:style w:type="paragraph" w:styleId="15">
    <w:name w:val="Normal Indent"/>
    <w:basedOn w:val="1"/>
    <w:link w:val="90"/>
    <w:autoRedefine/>
    <w:qFormat/>
    <w:uiPriority w:val="0"/>
    <w:pPr>
      <w:autoSpaceDE w:val="0"/>
      <w:autoSpaceDN w:val="0"/>
      <w:adjustRightInd w:val="0"/>
      <w:ind w:firstLine="420"/>
      <w:jc w:val="left"/>
    </w:pPr>
    <w:rPr>
      <w:rFonts w:ascii="宋体"/>
      <w:kern w:val="0"/>
      <w:sz w:val="24"/>
    </w:rPr>
  </w:style>
  <w:style w:type="paragraph" w:styleId="16">
    <w:name w:val="caption"/>
    <w:basedOn w:val="1"/>
    <w:next w:val="1"/>
    <w:link w:val="91"/>
    <w:autoRedefine/>
    <w:qFormat/>
    <w:uiPriority w:val="0"/>
    <w:rPr>
      <w:rFonts w:ascii="Cambria" w:hAnsi="Cambria" w:eastAsia="黑体"/>
      <w:sz w:val="20"/>
    </w:rPr>
  </w:style>
  <w:style w:type="paragraph" w:styleId="17">
    <w:name w:val="index 5"/>
    <w:basedOn w:val="1"/>
    <w:next w:val="1"/>
    <w:autoRedefine/>
    <w:qFormat/>
    <w:uiPriority w:val="0"/>
    <w:pPr>
      <w:ind w:left="800" w:leftChars="800"/>
    </w:pPr>
  </w:style>
  <w:style w:type="paragraph" w:styleId="18">
    <w:name w:val="List Bullet"/>
    <w:basedOn w:val="15"/>
    <w:autoRedefine/>
    <w:qFormat/>
    <w:uiPriority w:val="0"/>
    <w:pPr>
      <w:widowControl/>
      <w:numPr>
        <w:ilvl w:val="1"/>
        <w:numId w:val="1"/>
      </w:numPr>
      <w:tabs>
        <w:tab w:val="left" w:pos="1440"/>
      </w:tabs>
      <w:autoSpaceDE/>
      <w:autoSpaceDN/>
      <w:adjustRightInd/>
      <w:spacing w:after="120"/>
    </w:pPr>
    <w:rPr>
      <w:rFonts w:ascii="Calibri" w:hAnsi="Calibri" w:cs="Droid Sans"/>
      <w:kern w:val="2"/>
    </w:rPr>
  </w:style>
  <w:style w:type="paragraph" w:styleId="19">
    <w:name w:val="Document Map"/>
    <w:basedOn w:val="1"/>
    <w:link w:val="92"/>
    <w:autoRedefine/>
    <w:qFormat/>
    <w:uiPriority w:val="0"/>
    <w:pPr>
      <w:shd w:val="clear" w:color="auto" w:fill="000080"/>
    </w:pPr>
  </w:style>
  <w:style w:type="paragraph" w:styleId="20">
    <w:name w:val="toa heading"/>
    <w:basedOn w:val="1"/>
    <w:next w:val="1"/>
    <w:autoRedefine/>
    <w:qFormat/>
    <w:uiPriority w:val="0"/>
    <w:pPr>
      <w:spacing w:before="120"/>
    </w:pPr>
    <w:rPr>
      <w:rFonts w:ascii="Arial" w:hAnsi="Arial"/>
      <w:b/>
      <w:bCs/>
      <w:szCs w:val="24"/>
    </w:rPr>
  </w:style>
  <w:style w:type="paragraph" w:styleId="21">
    <w:name w:val="annotation text"/>
    <w:basedOn w:val="1"/>
    <w:link w:val="93"/>
    <w:autoRedefine/>
    <w:qFormat/>
    <w:uiPriority w:val="0"/>
    <w:pPr>
      <w:jc w:val="left"/>
    </w:pPr>
  </w:style>
  <w:style w:type="paragraph" w:styleId="22">
    <w:name w:val="index 6"/>
    <w:basedOn w:val="1"/>
    <w:next w:val="1"/>
    <w:autoRedefine/>
    <w:qFormat/>
    <w:uiPriority w:val="0"/>
    <w:pPr>
      <w:ind w:left="1000" w:leftChars="1000"/>
    </w:pPr>
  </w:style>
  <w:style w:type="paragraph" w:styleId="23">
    <w:name w:val="Body Text 3"/>
    <w:basedOn w:val="1"/>
    <w:link w:val="94"/>
    <w:autoRedefine/>
    <w:qFormat/>
    <w:uiPriority w:val="0"/>
    <w:rPr>
      <w:rFonts w:ascii="黑体" w:hAnsi="Arial" w:eastAsia="黑体"/>
      <w:b/>
      <w:sz w:val="28"/>
    </w:rPr>
  </w:style>
  <w:style w:type="paragraph" w:styleId="24">
    <w:name w:val="List Bullet 3"/>
    <w:basedOn w:val="1"/>
    <w:autoRedefine/>
    <w:qFormat/>
    <w:uiPriority w:val="0"/>
    <w:pPr>
      <w:numPr>
        <w:ilvl w:val="0"/>
        <w:numId w:val="2"/>
      </w:numPr>
      <w:spacing w:line="360" w:lineRule="auto"/>
      <w:ind w:leftChars="400" w:hangingChars="200"/>
      <w:contextualSpacing/>
    </w:pPr>
    <w:rPr>
      <w:rFonts w:ascii="Arial" w:hAnsi="Arial" w:cs="宋体"/>
      <w:sz w:val="24"/>
    </w:rPr>
  </w:style>
  <w:style w:type="paragraph" w:styleId="25">
    <w:name w:val="Body Text"/>
    <w:basedOn w:val="1"/>
    <w:next w:val="26"/>
    <w:link w:val="95"/>
    <w:autoRedefine/>
    <w:qFormat/>
    <w:uiPriority w:val="0"/>
    <w:rPr>
      <w:rFonts w:ascii="宋体" w:hAnsi="Arial"/>
      <w:sz w:val="28"/>
    </w:rPr>
  </w:style>
  <w:style w:type="paragraph" w:customStyle="1" w:styleId="26">
    <w:name w:val="Default"/>
    <w:link w:val="96"/>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7">
    <w:name w:val="Body Text Indent"/>
    <w:basedOn w:val="1"/>
    <w:link w:val="97"/>
    <w:autoRedefine/>
    <w:qFormat/>
    <w:uiPriority w:val="0"/>
    <w:pPr>
      <w:ind w:firstLine="645"/>
    </w:pPr>
    <w:rPr>
      <w:rFonts w:ascii="楷体_GB2312" w:eastAsia="楷体_GB2312"/>
      <w:sz w:val="32"/>
    </w:rPr>
  </w:style>
  <w:style w:type="paragraph" w:styleId="28">
    <w:name w:val="List 2"/>
    <w:basedOn w:val="1"/>
    <w:autoRedefine/>
    <w:qFormat/>
    <w:uiPriority w:val="0"/>
    <w:pPr>
      <w:ind w:left="400" w:leftChars="200" w:hanging="200" w:hangingChars="200"/>
    </w:pPr>
    <w:rPr>
      <w:rFonts w:cs="Droid Sans"/>
      <w:sz w:val="18"/>
    </w:rPr>
  </w:style>
  <w:style w:type="paragraph" w:styleId="29">
    <w:name w:val="List Continue"/>
    <w:basedOn w:val="1"/>
    <w:autoRedefine/>
    <w:qFormat/>
    <w:uiPriority w:val="0"/>
    <w:pPr>
      <w:spacing w:after="120"/>
      <w:ind w:left="420"/>
    </w:pPr>
    <w:rPr>
      <w:szCs w:val="24"/>
    </w:rPr>
  </w:style>
  <w:style w:type="paragraph" w:styleId="30">
    <w:name w:val="Block Text"/>
    <w:basedOn w:val="1"/>
    <w:autoRedefine/>
    <w:qFormat/>
    <w:uiPriority w:val="0"/>
    <w:pPr>
      <w:adjustRightInd w:val="0"/>
      <w:snapToGrid w:val="0"/>
      <w:spacing w:line="352" w:lineRule="auto"/>
      <w:ind w:left="342" w:leftChars="342" w:right="-38" w:rightChars="-38" w:firstLine="200" w:firstLineChars="200"/>
    </w:pPr>
    <w:rPr>
      <w:rFonts w:ascii="Calibri" w:hAnsi="Calibri" w:cs="Droid Sans"/>
      <w:sz w:val="24"/>
    </w:rPr>
  </w:style>
  <w:style w:type="paragraph" w:styleId="31">
    <w:name w:val="List Bullet 2"/>
    <w:basedOn w:val="1"/>
    <w:autoRedefine/>
    <w:qFormat/>
    <w:uiPriority w:val="0"/>
    <w:pPr>
      <w:numPr>
        <w:ilvl w:val="0"/>
        <w:numId w:val="3"/>
      </w:numPr>
      <w:spacing w:line="312" w:lineRule="auto"/>
    </w:pPr>
    <w:rPr>
      <w:szCs w:val="21"/>
    </w:rPr>
  </w:style>
  <w:style w:type="paragraph" w:styleId="32">
    <w:name w:val="index 4"/>
    <w:basedOn w:val="1"/>
    <w:next w:val="1"/>
    <w:autoRedefine/>
    <w:qFormat/>
    <w:uiPriority w:val="0"/>
    <w:pPr>
      <w:ind w:left="600" w:leftChars="600"/>
    </w:pPr>
  </w:style>
  <w:style w:type="paragraph" w:styleId="33">
    <w:name w:val="toc 5"/>
    <w:basedOn w:val="1"/>
    <w:next w:val="1"/>
    <w:autoRedefine/>
    <w:qFormat/>
    <w:uiPriority w:val="39"/>
    <w:pPr>
      <w:ind w:left="840"/>
      <w:jc w:val="left"/>
    </w:pPr>
    <w:rPr>
      <w:szCs w:val="21"/>
    </w:rPr>
  </w:style>
  <w:style w:type="paragraph" w:styleId="34">
    <w:name w:val="toc 3"/>
    <w:basedOn w:val="1"/>
    <w:next w:val="1"/>
    <w:link w:val="98"/>
    <w:autoRedefine/>
    <w:qFormat/>
    <w:uiPriority w:val="0"/>
    <w:pPr>
      <w:ind w:left="420"/>
      <w:jc w:val="left"/>
    </w:pPr>
    <w:rPr>
      <w:i/>
      <w:iCs/>
      <w:szCs w:val="24"/>
    </w:rPr>
  </w:style>
  <w:style w:type="paragraph" w:styleId="35">
    <w:name w:val="Plain Text"/>
    <w:basedOn w:val="1"/>
    <w:link w:val="99"/>
    <w:autoRedefine/>
    <w:qFormat/>
    <w:uiPriority w:val="0"/>
    <w:rPr>
      <w:rFonts w:ascii="宋体" w:hAnsi="Courier New"/>
    </w:rPr>
  </w:style>
  <w:style w:type="paragraph" w:styleId="36">
    <w:name w:val="toc 8"/>
    <w:basedOn w:val="1"/>
    <w:next w:val="1"/>
    <w:autoRedefine/>
    <w:qFormat/>
    <w:uiPriority w:val="39"/>
    <w:pPr>
      <w:ind w:left="1470"/>
      <w:jc w:val="left"/>
    </w:pPr>
    <w:rPr>
      <w:szCs w:val="21"/>
    </w:rPr>
  </w:style>
  <w:style w:type="paragraph" w:styleId="37">
    <w:name w:val="index 3"/>
    <w:basedOn w:val="1"/>
    <w:next w:val="1"/>
    <w:autoRedefine/>
    <w:qFormat/>
    <w:uiPriority w:val="0"/>
    <w:pPr>
      <w:ind w:left="400" w:leftChars="400"/>
    </w:pPr>
  </w:style>
  <w:style w:type="paragraph" w:styleId="38">
    <w:name w:val="Date"/>
    <w:basedOn w:val="1"/>
    <w:next w:val="1"/>
    <w:link w:val="100"/>
    <w:autoRedefine/>
    <w:qFormat/>
    <w:uiPriority w:val="0"/>
    <w:rPr>
      <w:b/>
      <w:sz w:val="28"/>
    </w:rPr>
  </w:style>
  <w:style w:type="paragraph" w:styleId="39">
    <w:name w:val="Body Text Indent 2"/>
    <w:basedOn w:val="1"/>
    <w:link w:val="101"/>
    <w:autoRedefine/>
    <w:qFormat/>
    <w:uiPriority w:val="0"/>
    <w:pPr>
      <w:ind w:left="630" w:firstLine="645"/>
    </w:pPr>
    <w:rPr>
      <w:rFonts w:ascii="Arial" w:hAnsi="Arial" w:eastAsia="仿宋_GB2312"/>
      <w:sz w:val="32"/>
    </w:rPr>
  </w:style>
  <w:style w:type="paragraph" w:styleId="40">
    <w:name w:val="Balloon Text"/>
    <w:basedOn w:val="1"/>
    <w:link w:val="102"/>
    <w:autoRedefine/>
    <w:qFormat/>
    <w:uiPriority w:val="0"/>
    <w:rPr>
      <w:sz w:val="18"/>
      <w:szCs w:val="18"/>
    </w:rPr>
  </w:style>
  <w:style w:type="paragraph" w:styleId="41">
    <w:name w:val="footer"/>
    <w:basedOn w:val="1"/>
    <w:link w:val="103"/>
    <w:autoRedefine/>
    <w:qFormat/>
    <w:uiPriority w:val="0"/>
    <w:pPr>
      <w:tabs>
        <w:tab w:val="center" w:pos="4153"/>
        <w:tab w:val="right" w:pos="8306"/>
      </w:tabs>
      <w:snapToGrid w:val="0"/>
      <w:jc w:val="left"/>
    </w:pPr>
    <w:rPr>
      <w:sz w:val="18"/>
    </w:rPr>
  </w:style>
  <w:style w:type="paragraph" w:styleId="42">
    <w:name w:val="header"/>
    <w:basedOn w:val="1"/>
    <w:link w:val="104"/>
    <w:autoRedefine/>
    <w:qFormat/>
    <w:uiPriority w:val="0"/>
    <w:pPr>
      <w:pBdr>
        <w:bottom w:val="single" w:color="auto" w:sz="6" w:space="1"/>
      </w:pBdr>
      <w:tabs>
        <w:tab w:val="center" w:pos="4153"/>
        <w:tab w:val="right" w:pos="8306"/>
      </w:tabs>
      <w:snapToGrid w:val="0"/>
      <w:jc w:val="center"/>
    </w:pPr>
    <w:rPr>
      <w:sz w:val="18"/>
    </w:rPr>
  </w:style>
  <w:style w:type="paragraph" w:styleId="43">
    <w:name w:val="Signature"/>
    <w:basedOn w:val="1"/>
    <w:link w:val="105"/>
    <w:autoRedefine/>
    <w:qFormat/>
    <w:uiPriority w:val="0"/>
    <w:pPr>
      <w:ind w:left="2100" w:leftChars="2100"/>
    </w:pPr>
    <w:rPr>
      <w:sz w:val="18"/>
    </w:rPr>
  </w:style>
  <w:style w:type="paragraph" w:styleId="44">
    <w:name w:val="toc 1"/>
    <w:basedOn w:val="1"/>
    <w:next w:val="1"/>
    <w:autoRedefine/>
    <w:qFormat/>
    <w:uiPriority w:val="39"/>
    <w:pPr>
      <w:spacing w:before="120" w:after="120"/>
      <w:jc w:val="left"/>
    </w:pPr>
    <w:rPr>
      <w:caps/>
      <w:szCs w:val="24"/>
    </w:rPr>
  </w:style>
  <w:style w:type="paragraph" w:styleId="45">
    <w:name w:val="toc 4"/>
    <w:basedOn w:val="1"/>
    <w:next w:val="1"/>
    <w:autoRedefine/>
    <w:qFormat/>
    <w:uiPriority w:val="39"/>
    <w:pPr>
      <w:ind w:left="630"/>
      <w:jc w:val="left"/>
    </w:pPr>
    <w:rPr>
      <w:szCs w:val="21"/>
    </w:rPr>
  </w:style>
  <w:style w:type="paragraph" w:styleId="46">
    <w:name w:val="index heading"/>
    <w:basedOn w:val="1"/>
    <w:next w:val="47"/>
    <w:autoRedefine/>
    <w:qFormat/>
    <w:uiPriority w:val="0"/>
  </w:style>
  <w:style w:type="paragraph" w:styleId="47">
    <w:name w:val="index 1"/>
    <w:basedOn w:val="1"/>
    <w:next w:val="1"/>
    <w:autoRedefine/>
    <w:qFormat/>
    <w:uiPriority w:val="0"/>
    <w:pPr>
      <w:jc w:val="center"/>
    </w:pPr>
    <w:rPr>
      <w:rFonts w:ascii="仿宋_GB2312" w:eastAsia="仿宋_GB2312"/>
      <w:b/>
      <w:bCs/>
      <w:sz w:val="28"/>
    </w:rPr>
  </w:style>
  <w:style w:type="paragraph" w:styleId="48">
    <w:name w:val="Subtitle"/>
    <w:basedOn w:val="1"/>
    <w:next w:val="1"/>
    <w:link w:val="106"/>
    <w:autoRedefine/>
    <w:qFormat/>
    <w:uiPriority w:val="99"/>
    <w:pPr>
      <w:spacing w:before="240" w:after="60" w:line="312" w:lineRule="auto"/>
      <w:jc w:val="center"/>
      <w:outlineLvl w:val="1"/>
    </w:pPr>
    <w:rPr>
      <w:rFonts w:ascii="Cambria" w:hAnsi="Cambria"/>
      <w:b/>
      <w:bCs/>
      <w:kern w:val="28"/>
      <w:sz w:val="32"/>
      <w:szCs w:val="32"/>
    </w:rPr>
  </w:style>
  <w:style w:type="paragraph" w:styleId="49">
    <w:name w:val="List"/>
    <w:basedOn w:val="1"/>
    <w:autoRedefine/>
    <w:qFormat/>
    <w:uiPriority w:val="0"/>
    <w:pPr>
      <w:ind w:left="200" w:hanging="200" w:hangingChars="200"/>
      <w:contextualSpacing/>
    </w:pPr>
    <w:rPr>
      <w:szCs w:val="24"/>
    </w:rPr>
  </w:style>
  <w:style w:type="paragraph" w:styleId="50">
    <w:name w:val="footnote text"/>
    <w:basedOn w:val="1"/>
    <w:link w:val="107"/>
    <w:autoRedefine/>
    <w:qFormat/>
    <w:uiPriority w:val="99"/>
    <w:pPr>
      <w:snapToGrid w:val="0"/>
      <w:jc w:val="left"/>
    </w:pPr>
    <w:rPr>
      <w:sz w:val="18"/>
      <w:szCs w:val="18"/>
    </w:rPr>
  </w:style>
  <w:style w:type="paragraph" w:styleId="51">
    <w:name w:val="toc 6"/>
    <w:basedOn w:val="1"/>
    <w:next w:val="1"/>
    <w:autoRedefine/>
    <w:qFormat/>
    <w:uiPriority w:val="39"/>
    <w:pPr>
      <w:ind w:left="1050"/>
      <w:jc w:val="left"/>
    </w:pPr>
    <w:rPr>
      <w:szCs w:val="21"/>
    </w:rPr>
  </w:style>
  <w:style w:type="paragraph" w:styleId="52">
    <w:name w:val="List 5"/>
    <w:basedOn w:val="1"/>
    <w:autoRedefine/>
    <w:qFormat/>
    <w:uiPriority w:val="0"/>
    <w:pPr>
      <w:ind w:left="2100" w:hanging="420"/>
    </w:pPr>
    <w:rPr>
      <w:szCs w:val="24"/>
    </w:rPr>
  </w:style>
  <w:style w:type="paragraph" w:styleId="53">
    <w:name w:val="Body Text Indent 3"/>
    <w:basedOn w:val="1"/>
    <w:link w:val="108"/>
    <w:autoRedefine/>
    <w:qFormat/>
    <w:uiPriority w:val="0"/>
    <w:pPr>
      <w:ind w:firstLine="645"/>
    </w:pPr>
    <w:rPr>
      <w:rFonts w:ascii="仿宋_GB2312" w:hAnsi="Arial" w:eastAsia="仿宋_GB2312"/>
      <w:color w:val="000000"/>
      <w:sz w:val="30"/>
    </w:rPr>
  </w:style>
  <w:style w:type="paragraph" w:styleId="54">
    <w:name w:val="index 7"/>
    <w:basedOn w:val="1"/>
    <w:next w:val="1"/>
    <w:autoRedefine/>
    <w:qFormat/>
    <w:uiPriority w:val="0"/>
    <w:pPr>
      <w:ind w:left="1200" w:leftChars="1200"/>
    </w:pPr>
  </w:style>
  <w:style w:type="paragraph" w:styleId="55">
    <w:name w:val="index 9"/>
    <w:basedOn w:val="1"/>
    <w:next w:val="1"/>
    <w:autoRedefine/>
    <w:qFormat/>
    <w:uiPriority w:val="0"/>
    <w:pPr>
      <w:ind w:left="1600" w:leftChars="1600"/>
    </w:pPr>
  </w:style>
  <w:style w:type="paragraph" w:styleId="56">
    <w:name w:val="table of figures"/>
    <w:basedOn w:val="1"/>
    <w:next w:val="1"/>
    <w:autoRedefine/>
    <w:qFormat/>
    <w:uiPriority w:val="0"/>
    <w:pPr>
      <w:spacing w:line="360" w:lineRule="auto"/>
      <w:ind w:left="840" w:leftChars="200" w:hanging="420" w:hangingChars="200"/>
    </w:pPr>
    <w:rPr>
      <w:rFonts w:ascii="Arial" w:hAnsi="Arial" w:cs="宋体"/>
      <w:sz w:val="24"/>
    </w:rPr>
  </w:style>
  <w:style w:type="paragraph" w:styleId="57">
    <w:name w:val="toc 2"/>
    <w:basedOn w:val="1"/>
    <w:next w:val="1"/>
    <w:autoRedefine/>
    <w:qFormat/>
    <w:uiPriority w:val="39"/>
    <w:pPr>
      <w:ind w:left="210"/>
      <w:jc w:val="left"/>
    </w:pPr>
    <w:rPr>
      <w:smallCaps/>
      <w:sz w:val="28"/>
      <w:szCs w:val="24"/>
    </w:rPr>
  </w:style>
  <w:style w:type="paragraph" w:styleId="58">
    <w:name w:val="toc 9"/>
    <w:basedOn w:val="1"/>
    <w:next w:val="1"/>
    <w:autoRedefine/>
    <w:qFormat/>
    <w:uiPriority w:val="39"/>
    <w:pPr>
      <w:ind w:left="1680"/>
      <w:jc w:val="left"/>
    </w:pPr>
    <w:rPr>
      <w:szCs w:val="21"/>
    </w:rPr>
  </w:style>
  <w:style w:type="paragraph" w:styleId="59">
    <w:name w:val="Body Text 2"/>
    <w:basedOn w:val="1"/>
    <w:link w:val="109"/>
    <w:autoRedefine/>
    <w:qFormat/>
    <w:uiPriority w:val="0"/>
    <w:rPr>
      <w:rFonts w:ascii="仿宋_GB2312" w:eastAsia="仿宋_GB2312"/>
      <w:b/>
      <w:sz w:val="24"/>
    </w:rPr>
  </w:style>
  <w:style w:type="paragraph" w:styleId="60">
    <w:name w:val="List 4"/>
    <w:basedOn w:val="1"/>
    <w:autoRedefine/>
    <w:qFormat/>
    <w:uiPriority w:val="0"/>
    <w:pPr>
      <w:ind w:left="1680" w:hanging="420"/>
    </w:pPr>
    <w:rPr>
      <w:szCs w:val="24"/>
    </w:rPr>
  </w:style>
  <w:style w:type="paragraph" w:styleId="61">
    <w:name w:val="List Continue 2"/>
    <w:basedOn w:val="1"/>
    <w:autoRedefine/>
    <w:qFormat/>
    <w:uiPriority w:val="0"/>
    <w:pPr>
      <w:spacing w:after="120"/>
      <w:ind w:left="400" w:leftChars="400"/>
    </w:pPr>
    <w:rPr>
      <w:rFonts w:cs="Droid Sans"/>
      <w:sz w:val="18"/>
    </w:rPr>
  </w:style>
  <w:style w:type="paragraph" w:styleId="62">
    <w:name w:val="Message Header"/>
    <w:basedOn w:val="1"/>
    <w:link w:val="110"/>
    <w:autoRedefine/>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63">
    <w:name w:val="HTML Preformatted"/>
    <w:basedOn w:val="1"/>
    <w:link w:val="11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64">
    <w:name w:val="Normal (Web)"/>
    <w:basedOn w:val="1"/>
    <w:autoRedefine/>
    <w:qFormat/>
    <w:uiPriority w:val="99"/>
    <w:pPr>
      <w:widowControl/>
      <w:spacing w:before="100" w:beforeAutospacing="1" w:after="100" w:afterAutospacing="1"/>
      <w:jc w:val="left"/>
    </w:pPr>
    <w:rPr>
      <w:rFonts w:ascii="宋体" w:hAnsi="宋体"/>
      <w:kern w:val="0"/>
      <w:sz w:val="24"/>
      <w:szCs w:val="24"/>
    </w:rPr>
  </w:style>
  <w:style w:type="paragraph" w:styleId="65">
    <w:name w:val="List Continue 3"/>
    <w:basedOn w:val="1"/>
    <w:autoRedefine/>
    <w:qFormat/>
    <w:uiPriority w:val="0"/>
    <w:pPr>
      <w:spacing w:after="120"/>
      <w:ind w:left="600" w:leftChars="600"/>
    </w:pPr>
    <w:rPr>
      <w:rFonts w:cs="Droid Sans"/>
      <w:sz w:val="18"/>
    </w:rPr>
  </w:style>
  <w:style w:type="paragraph" w:styleId="66">
    <w:name w:val="index 2"/>
    <w:basedOn w:val="1"/>
    <w:next w:val="1"/>
    <w:autoRedefine/>
    <w:qFormat/>
    <w:uiPriority w:val="0"/>
    <w:pPr>
      <w:ind w:left="200" w:leftChars="200"/>
    </w:pPr>
  </w:style>
  <w:style w:type="paragraph" w:styleId="67">
    <w:name w:val="Title"/>
    <w:basedOn w:val="2"/>
    <w:link w:val="112"/>
    <w:autoRedefine/>
    <w:qFormat/>
    <w:uiPriority w:val="0"/>
    <w:pPr>
      <w:spacing w:before="120" w:after="120" w:line="360" w:lineRule="auto"/>
      <w:jc w:val="center"/>
    </w:pPr>
    <w:rPr>
      <w:rFonts w:ascii="宋体" w:hAnsi="宋体"/>
      <w:bCs w:val="0"/>
      <w:sz w:val="32"/>
      <w:szCs w:val="20"/>
    </w:rPr>
  </w:style>
  <w:style w:type="paragraph" w:styleId="68">
    <w:name w:val="annotation subject"/>
    <w:basedOn w:val="21"/>
    <w:next w:val="21"/>
    <w:link w:val="113"/>
    <w:autoRedefine/>
    <w:qFormat/>
    <w:uiPriority w:val="99"/>
    <w:rPr>
      <w:b/>
      <w:bCs/>
      <w:szCs w:val="24"/>
    </w:rPr>
  </w:style>
  <w:style w:type="paragraph" w:styleId="69">
    <w:name w:val="Body Text First Indent"/>
    <w:basedOn w:val="25"/>
    <w:link w:val="114"/>
    <w:autoRedefine/>
    <w:qFormat/>
    <w:uiPriority w:val="0"/>
    <w:pPr>
      <w:autoSpaceDE w:val="0"/>
      <w:autoSpaceDN w:val="0"/>
      <w:adjustRightInd w:val="0"/>
      <w:spacing w:line="360" w:lineRule="auto"/>
      <w:ind w:right="-24" w:rightChars="-10" w:firstLine="425" w:firstLineChars="225"/>
    </w:pPr>
    <w:rPr>
      <w:rFonts w:ascii="Arial" w:eastAsia="仿宋_GB2312"/>
      <w:kern w:val="0"/>
      <w:sz w:val="24"/>
      <w:szCs w:val="32"/>
    </w:rPr>
  </w:style>
  <w:style w:type="paragraph" w:styleId="70">
    <w:name w:val="Body Text First Indent 2"/>
    <w:basedOn w:val="27"/>
    <w:link w:val="115"/>
    <w:autoRedefine/>
    <w:qFormat/>
    <w:uiPriority w:val="0"/>
    <w:pPr>
      <w:spacing w:after="120"/>
      <w:ind w:left="420" w:firstLine="210"/>
    </w:pPr>
    <w:rPr>
      <w:rFonts w:ascii="Times New Roman"/>
    </w:rPr>
  </w:style>
  <w:style w:type="table" w:styleId="72">
    <w:name w:val="Table Grid"/>
    <w:basedOn w:val="7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4">
    <w:name w:val="Strong"/>
    <w:autoRedefine/>
    <w:qFormat/>
    <w:uiPriority w:val="22"/>
    <w:rPr>
      <w:b/>
      <w:bCs/>
    </w:rPr>
  </w:style>
  <w:style w:type="character" w:styleId="75">
    <w:name w:val="page number"/>
    <w:basedOn w:val="73"/>
    <w:autoRedefine/>
    <w:qFormat/>
    <w:uiPriority w:val="0"/>
  </w:style>
  <w:style w:type="character" w:styleId="76">
    <w:name w:val="FollowedHyperlink"/>
    <w:autoRedefine/>
    <w:qFormat/>
    <w:uiPriority w:val="0"/>
    <w:rPr>
      <w:color w:val="333333"/>
      <w:u w:val="none"/>
    </w:rPr>
  </w:style>
  <w:style w:type="character" w:styleId="77">
    <w:name w:val="Emphasis"/>
    <w:autoRedefine/>
    <w:qFormat/>
    <w:uiPriority w:val="20"/>
    <w:rPr>
      <w:color w:val="CC0033"/>
    </w:rPr>
  </w:style>
  <w:style w:type="character" w:styleId="78">
    <w:name w:val="Hyperlink"/>
    <w:autoRedefine/>
    <w:qFormat/>
    <w:uiPriority w:val="99"/>
    <w:rPr>
      <w:color w:val="333333"/>
      <w:u w:val="none"/>
    </w:rPr>
  </w:style>
  <w:style w:type="character" w:styleId="79">
    <w:name w:val="annotation reference"/>
    <w:autoRedefine/>
    <w:qFormat/>
    <w:uiPriority w:val="99"/>
    <w:rPr>
      <w:sz w:val="21"/>
    </w:rPr>
  </w:style>
  <w:style w:type="paragraph" w:customStyle="1" w:styleId="80">
    <w:name w:val="标题5"/>
    <w:basedOn w:val="4"/>
    <w:link w:val="276"/>
    <w:autoRedefine/>
    <w:qFormat/>
    <w:uiPriority w:val="0"/>
    <w:pPr>
      <w:spacing w:line="413" w:lineRule="auto"/>
      <w:jc w:val="both"/>
    </w:pPr>
    <w:rPr>
      <w:rFonts w:ascii="Arial" w:hAnsi="Arial"/>
      <w:kern w:val="0"/>
      <w:sz w:val="24"/>
    </w:rPr>
  </w:style>
  <w:style w:type="character" w:customStyle="1" w:styleId="81">
    <w:name w:val="标题 1 Char"/>
    <w:link w:val="2"/>
    <w:autoRedefine/>
    <w:qFormat/>
    <w:uiPriority w:val="0"/>
    <w:rPr>
      <w:rFonts w:ascii="Times New Roman" w:hAnsi="Times New Roman" w:eastAsia="宋体"/>
      <w:b/>
      <w:bCs/>
      <w:kern w:val="44"/>
      <w:sz w:val="30"/>
      <w:szCs w:val="44"/>
    </w:rPr>
  </w:style>
  <w:style w:type="character" w:customStyle="1" w:styleId="82">
    <w:name w:val="标题 2 Char"/>
    <w:link w:val="3"/>
    <w:autoRedefine/>
    <w:qFormat/>
    <w:uiPriority w:val="9"/>
    <w:rPr>
      <w:rFonts w:ascii="Arial" w:hAnsi="Arial" w:eastAsia="黑体"/>
      <w:b/>
      <w:bCs/>
      <w:kern w:val="2"/>
      <w:sz w:val="32"/>
      <w:szCs w:val="32"/>
    </w:rPr>
  </w:style>
  <w:style w:type="character" w:customStyle="1" w:styleId="83">
    <w:name w:val="标题 3 Char1"/>
    <w:link w:val="4"/>
    <w:autoRedefine/>
    <w:qFormat/>
    <w:uiPriority w:val="0"/>
    <w:rPr>
      <w:rFonts w:ascii="宋体"/>
      <w:b/>
      <w:bCs/>
      <w:kern w:val="2"/>
      <w:sz w:val="32"/>
      <w:szCs w:val="32"/>
    </w:rPr>
  </w:style>
  <w:style w:type="character" w:customStyle="1" w:styleId="84">
    <w:name w:val="标题 4 Char"/>
    <w:link w:val="5"/>
    <w:autoRedefine/>
    <w:qFormat/>
    <w:uiPriority w:val="0"/>
    <w:rPr>
      <w:rFonts w:ascii="Arial" w:hAnsi="Arial" w:eastAsia="黑体"/>
      <w:b/>
      <w:bCs/>
      <w:kern w:val="2"/>
      <w:sz w:val="28"/>
      <w:szCs w:val="28"/>
    </w:rPr>
  </w:style>
  <w:style w:type="character" w:customStyle="1" w:styleId="85">
    <w:name w:val="标题 5 Char"/>
    <w:link w:val="6"/>
    <w:autoRedefine/>
    <w:qFormat/>
    <w:uiPriority w:val="0"/>
    <w:rPr>
      <w:rFonts w:ascii="宋体" w:hAnsi="Arial"/>
      <w:bCs/>
      <w:kern w:val="2"/>
      <w:sz w:val="28"/>
    </w:rPr>
  </w:style>
  <w:style w:type="character" w:customStyle="1" w:styleId="86">
    <w:name w:val="标题 6 Char"/>
    <w:link w:val="7"/>
    <w:autoRedefine/>
    <w:qFormat/>
    <w:uiPriority w:val="0"/>
    <w:rPr>
      <w:rFonts w:ascii="宋体" w:hAnsi="宋体"/>
      <w:sz w:val="28"/>
    </w:rPr>
  </w:style>
  <w:style w:type="character" w:customStyle="1" w:styleId="87">
    <w:name w:val="标题 7 Char"/>
    <w:link w:val="8"/>
    <w:autoRedefine/>
    <w:qFormat/>
    <w:uiPriority w:val="0"/>
    <w:rPr>
      <w:rFonts w:ascii="Arial" w:hAnsi="Arial" w:eastAsia="仿宋_GB2312" w:cs="Arial"/>
      <w:b/>
      <w:bCs/>
      <w:spacing w:val="-4"/>
      <w:kern w:val="2"/>
      <w:sz w:val="24"/>
      <w:szCs w:val="24"/>
    </w:rPr>
  </w:style>
  <w:style w:type="character" w:customStyle="1" w:styleId="88">
    <w:name w:val="标题 8 Char"/>
    <w:link w:val="9"/>
    <w:autoRedefine/>
    <w:qFormat/>
    <w:uiPriority w:val="0"/>
    <w:rPr>
      <w:rFonts w:ascii="Arial" w:hAnsi="Arial" w:eastAsia="黑体"/>
      <w:kern w:val="2"/>
      <w:sz w:val="24"/>
      <w:szCs w:val="24"/>
    </w:rPr>
  </w:style>
  <w:style w:type="character" w:customStyle="1" w:styleId="89">
    <w:name w:val="标题 9 Char"/>
    <w:link w:val="10"/>
    <w:autoRedefine/>
    <w:qFormat/>
    <w:uiPriority w:val="0"/>
    <w:rPr>
      <w:rFonts w:ascii="Arial" w:hAnsi="Arial" w:eastAsia="黑体"/>
      <w:kern w:val="2"/>
      <w:sz w:val="21"/>
      <w:szCs w:val="21"/>
    </w:rPr>
  </w:style>
  <w:style w:type="character" w:customStyle="1" w:styleId="90">
    <w:name w:val="正文缩进 Char"/>
    <w:link w:val="15"/>
    <w:autoRedefine/>
    <w:qFormat/>
    <w:uiPriority w:val="0"/>
    <w:rPr>
      <w:rFonts w:ascii="宋体"/>
      <w:sz w:val="24"/>
    </w:rPr>
  </w:style>
  <w:style w:type="character" w:customStyle="1" w:styleId="91">
    <w:name w:val="题注 Char"/>
    <w:link w:val="16"/>
    <w:autoRedefine/>
    <w:qFormat/>
    <w:locked/>
    <w:uiPriority w:val="0"/>
    <w:rPr>
      <w:rFonts w:ascii="Cambria" w:hAnsi="Cambria" w:eastAsia="黑体"/>
      <w:kern w:val="2"/>
      <w:lang w:val="en-US" w:eastAsia="zh-CN" w:bidi="ar-SA"/>
    </w:rPr>
  </w:style>
  <w:style w:type="character" w:customStyle="1" w:styleId="92">
    <w:name w:val="文档结构图 Char"/>
    <w:link w:val="19"/>
    <w:autoRedefine/>
    <w:qFormat/>
    <w:uiPriority w:val="0"/>
    <w:rPr>
      <w:kern w:val="2"/>
      <w:sz w:val="21"/>
      <w:shd w:val="clear" w:color="auto" w:fill="000080"/>
    </w:rPr>
  </w:style>
  <w:style w:type="character" w:customStyle="1" w:styleId="93">
    <w:name w:val="批注文字 Char"/>
    <w:link w:val="21"/>
    <w:autoRedefine/>
    <w:qFormat/>
    <w:uiPriority w:val="0"/>
    <w:rPr>
      <w:kern w:val="2"/>
      <w:sz w:val="21"/>
    </w:rPr>
  </w:style>
  <w:style w:type="character" w:customStyle="1" w:styleId="94">
    <w:name w:val="正文文本 3 Char"/>
    <w:link w:val="23"/>
    <w:autoRedefine/>
    <w:qFormat/>
    <w:uiPriority w:val="0"/>
    <w:rPr>
      <w:rFonts w:ascii="黑体" w:hAnsi="Arial" w:eastAsia="黑体"/>
      <w:b/>
      <w:kern w:val="2"/>
      <w:sz w:val="28"/>
      <w:lang w:val="en-US" w:eastAsia="zh-CN" w:bidi="ar-SA"/>
    </w:rPr>
  </w:style>
  <w:style w:type="character" w:customStyle="1" w:styleId="95">
    <w:name w:val="正文文本 Char4"/>
    <w:link w:val="25"/>
    <w:autoRedefine/>
    <w:qFormat/>
    <w:uiPriority w:val="0"/>
    <w:rPr>
      <w:rFonts w:ascii="宋体" w:hAnsi="Arial"/>
      <w:kern w:val="2"/>
      <w:sz w:val="28"/>
    </w:rPr>
  </w:style>
  <w:style w:type="character" w:customStyle="1" w:styleId="96">
    <w:name w:val="Default Char"/>
    <w:link w:val="26"/>
    <w:autoRedefine/>
    <w:qFormat/>
    <w:locked/>
    <w:uiPriority w:val="99"/>
    <w:rPr>
      <w:rFonts w:ascii="宋体" w:cs="宋体"/>
      <w:color w:val="000000"/>
      <w:sz w:val="24"/>
      <w:szCs w:val="24"/>
      <w:lang w:val="en-US" w:eastAsia="zh-CN" w:bidi="ar-SA"/>
    </w:rPr>
  </w:style>
  <w:style w:type="character" w:customStyle="1" w:styleId="97">
    <w:name w:val="正文文本缩进 Char3"/>
    <w:link w:val="27"/>
    <w:autoRedefine/>
    <w:qFormat/>
    <w:uiPriority w:val="0"/>
    <w:rPr>
      <w:rFonts w:ascii="楷体_GB2312" w:eastAsia="楷体_GB2312"/>
      <w:kern w:val="2"/>
      <w:sz w:val="32"/>
    </w:rPr>
  </w:style>
  <w:style w:type="character" w:customStyle="1" w:styleId="98">
    <w:name w:val="目录 3 Char"/>
    <w:link w:val="34"/>
    <w:autoRedefine/>
    <w:qFormat/>
    <w:locked/>
    <w:uiPriority w:val="0"/>
    <w:rPr>
      <w:rFonts w:eastAsia="宋体"/>
      <w:i/>
      <w:iCs/>
      <w:kern w:val="2"/>
      <w:sz w:val="21"/>
      <w:szCs w:val="24"/>
      <w:lang w:val="en-US" w:eastAsia="zh-CN" w:bidi="ar-SA"/>
    </w:rPr>
  </w:style>
  <w:style w:type="character" w:customStyle="1" w:styleId="99">
    <w:name w:val="纯文本 Char4"/>
    <w:link w:val="35"/>
    <w:autoRedefine/>
    <w:qFormat/>
    <w:uiPriority w:val="0"/>
    <w:rPr>
      <w:rFonts w:ascii="宋体" w:hAnsi="Courier New"/>
      <w:kern w:val="2"/>
      <w:sz w:val="21"/>
    </w:rPr>
  </w:style>
  <w:style w:type="character" w:customStyle="1" w:styleId="100">
    <w:name w:val="日期 Char"/>
    <w:link w:val="38"/>
    <w:autoRedefine/>
    <w:qFormat/>
    <w:uiPriority w:val="0"/>
    <w:rPr>
      <w:b/>
      <w:kern w:val="2"/>
      <w:sz w:val="28"/>
    </w:rPr>
  </w:style>
  <w:style w:type="character" w:customStyle="1" w:styleId="101">
    <w:name w:val="正文文本缩进 2 Char"/>
    <w:link w:val="39"/>
    <w:autoRedefine/>
    <w:qFormat/>
    <w:uiPriority w:val="0"/>
    <w:rPr>
      <w:rFonts w:ascii="Arial" w:hAnsi="Arial" w:eastAsia="仿宋_GB2312"/>
      <w:kern w:val="2"/>
      <w:sz w:val="32"/>
    </w:rPr>
  </w:style>
  <w:style w:type="character" w:customStyle="1" w:styleId="102">
    <w:name w:val="批注框文本 Char4"/>
    <w:link w:val="40"/>
    <w:autoRedefine/>
    <w:qFormat/>
    <w:uiPriority w:val="0"/>
    <w:rPr>
      <w:kern w:val="2"/>
      <w:sz w:val="18"/>
      <w:szCs w:val="18"/>
    </w:rPr>
  </w:style>
  <w:style w:type="character" w:customStyle="1" w:styleId="103">
    <w:name w:val="页脚 Char2"/>
    <w:link w:val="41"/>
    <w:autoRedefine/>
    <w:qFormat/>
    <w:uiPriority w:val="0"/>
    <w:rPr>
      <w:kern w:val="2"/>
      <w:sz w:val="18"/>
    </w:rPr>
  </w:style>
  <w:style w:type="character" w:customStyle="1" w:styleId="104">
    <w:name w:val="页眉 Char2"/>
    <w:link w:val="42"/>
    <w:autoRedefine/>
    <w:qFormat/>
    <w:uiPriority w:val="0"/>
    <w:rPr>
      <w:kern w:val="2"/>
      <w:sz w:val="18"/>
    </w:rPr>
  </w:style>
  <w:style w:type="character" w:customStyle="1" w:styleId="105">
    <w:name w:val="签名 Char"/>
    <w:link w:val="43"/>
    <w:autoRedefine/>
    <w:qFormat/>
    <w:uiPriority w:val="0"/>
    <w:rPr>
      <w:rFonts w:cs="Droid Sans"/>
      <w:kern w:val="2"/>
      <w:sz w:val="18"/>
    </w:rPr>
  </w:style>
  <w:style w:type="character" w:customStyle="1" w:styleId="106">
    <w:name w:val="副标题 Char"/>
    <w:link w:val="48"/>
    <w:autoRedefine/>
    <w:qFormat/>
    <w:uiPriority w:val="99"/>
    <w:rPr>
      <w:rFonts w:ascii="Cambria" w:hAnsi="Cambria"/>
      <w:b/>
      <w:bCs/>
      <w:kern w:val="28"/>
      <w:sz w:val="32"/>
      <w:szCs w:val="32"/>
    </w:rPr>
  </w:style>
  <w:style w:type="character" w:customStyle="1" w:styleId="107">
    <w:name w:val="脚注文本 Char"/>
    <w:link w:val="50"/>
    <w:autoRedefine/>
    <w:qFormat/>
    <w:uiPriority w:val="99"/>
    <w:rPr>
      <w:kern w:val="2"/>
      <w:sz w:val="18"/>
      <w:szCs w:val="18"/>
    </w:rPr>
  </w:style>
  <w:style w:type="character" w:customStyle="1" w:styleId="108">
    <w:name w:val="正文文本缩进 3 Char"/>
    <w:link w:val="53"/>
    <w:autoRedefine/>
    <w:qFormat/>
    <w:uiPriority w:val="0"/>
    <w:rPr>
      <w:rFonts w:ascii="仿宋_GB2312" w:hAnsi="Arial" w:eastAsia="仿宋_GB2312"/>
      <w:color w:val="000000"/>
      <w:kern w:val="2"/>
      <w:sz w:val="30"/>
      <w:lang w:val="en-US" w:eastAsia="zh-CN" w:bidi="ar-SA"/>
    </w:rPr>
  </w:style>
  <w:style w:type="character" w:customStyle="1" w:styleId="109">
    <w:name w:val="正文文本 2 Char"/>
    <w:link w:val="59"/>
    <w:autoRedefine/>
    <w:qFormat/>
    <w:uiPriority w:val="0"/>
    <w:rPr>
      <w:rFonts w:ascii="仿宋_GB2312" w:eastAsia="仿宋_GB2312"/>
      <w:b/>
      <w:kern w:val="2"/>
      <w:sz w:val="24"/>
      <w:lang w:val="en-US" w:eastAsia="zh-CN" w:bidi="ar-SA"/>
    </w:rPr>
  </w:style>
  <w:style w:type="character" w:customStyle="1" w:styleId="110">
    <w:name w:val="信息标题 Char"/>
    <w:link w:val="62"/>
    <w:autoRedefine/>
    <w:qFormat/>
    <w:uiPriority w:val="99"/>
    <w:rPr>
      <w:rFonts w:ascii="Cambria" w:hAnsi="Cambria" w:cs="Cambria"/>
      <w:kern w:val="2"/>
      <w:sz w:val="24"/>
      <w:szCs w:val="24"/>
      <w:shd w:val="pct20" w:color="auto" w:fill="auto"/>
    </w:rPr>
  </w:style>
  <w:style w:type="character" w:customStyle="1" w:styleId="111">
    <w:name w:val="HTML 预设格式 Char"/>
    <w:link w:val="63"/>
    <w:autoRedefine/>
    <w:qFormat/>
    <w:uiPriority w:val="0"/>
    <w:rPr>
      <w:rFonts w:ascii="宋体" w:hAnsi="宋体" w:cs="宋体"/>
      <w:sz w:val="24"/>
      <w:szCs w:val="24"/>
    </w:rPr>
  </w:style>
  <w:style w:type="character" w:customStyle="1" w:styleId="112">
    <w:name w:val="标题 Char"/>
    <w:link w:val="67"/>
    <w:autoRedefine/>
    <w:qFormat/>
    <w:uiPriority w:val="0"/>
    <w:rPr>
      <w:rFonts w:ascii="宋体" w:hAnsi="宋体"/>
      <w:b/>
      <w:kern w:val="44"/>
      <w:sz w:val="32"/>
    </w:rPr>
  </w:style>
  <w:style w:type="character" w:customStyle="1" w:styleId="113">
    <w:name w:val="批注主题 Char"/>
    <w:link w:val="68"/>
    <w:autoRedefine/>
    <w:qFormat/>
    <w:uiPriority w:val="99"/>
    <w:rPr>
      <w:b/>
      <w:bCs/>
      <w:kern w:val="2"/>
      <w:sz w:val="21"/>
      <w:szCs w:val="24"/>
    </w:rPr>
  </w:style>
  <w:style w:type="character" w:customStyle="1" w:styleId="114">
    <w:name w:val="正文首行缩进 Char2"/>
    <w:link w:val="69"/>
    <w:autoRedefine/>
    <w:qFormat/>
    <w:uiPriority w:val="0"/>
    <w:rPr>
      <w:rFonts w:ascii="Arial" w:hAnsi="Arial" w:eastAsia="仿宋_GB2312" w:cs="Arial"/>
      <w:sz w:val="24"/>
      <w:szCs w:val="32"/>
    </w:rPr>
  </w:style>
  <w:style w:type="character" w:customStyle="1" w:styleId="115">
    <w:name w:val="正文首行缩进 2 Char2"/>
    <w:basedOn w:val="97"/>
    <w:link w:val="70"/>
    <w:autoRedefine/>
    <w:qFormat/>
    <w:uiPriority w:val="0"/>
  </w:style>
  <w:style w:type="paragraph" w:customStyle="1" w:styleId="116">
    <w:name w:val="无间隔1"/>
    <w:next w:val="16"/>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
    <w:name w:val="BodyText1I"/>
    <w:basedOn w:val="118"/>
    <w:autoRedefine/>
    <w:qFormat/>
    <w:uiPriority w:val="99"/>
    <w:pPr>
      <w:ind w:firstLine="420" w:firstLineChars="100"/>
    </w:pPr>
  </w:style>
  <w:style w:type="paragraph" w:customStyle="1" w:styleId="118">
    <w:name w:val="BodyText"/>
    <w:basedOn w:val="1"/>
    <w:autoRedefine/>
    <w:qFormat/>
    <w:uiPriority w:val="99"/>
    <w:pPr>
      <w:spacing w:after="120"/>
    </w:pPr>
  </w:style>
  <w:style w:type="character" w:customStyle="1" w:styleId="119">
    <w:name w:val="blue1"/>
    <w:autoRedefine/>
    <w:qFormat/>
    <w:uiPriority w:val="0"/>
    <w:rPr>
      <w:color w:val="06487A"/>
      <w:sz w:val="19"/>
      <w:szCs w:val="19"/>
    </w:rPr>
  </w:style>
  <w:style w:type="character" w:customStyle="1" w:styleId="120">
    <w:name w:val="明显引用 Char2"/>
    <w:autoRedefine/>
    <w:qFormat/>
    <w:uiPriority w:val="0"/>
    <w:rPr>
      <w:b/>
      <w:bCs/>
      <w:i/>
      <w:iCs/>
      <w:color w:val="4F81BD"/>
      <w:kern w:val="2"/>
      <w:sz w:val="21"/>
      <w:szCs w:val="24"/>
    </w:rPr>
  </w:style>
  <w:style w:type="character" w:customStyle="1" w:styleId="121">
    <w:name w:val="style231"/>
    <w:autoRedefine/>
    <w:qFormat/>
    <w:uiPriority w:val="0"/>
    <w:rPr>
      <w:b/>
      <w:bCs/>
      <w:color w:val="FF0000"/>
      <w:sz w:val="16"/>
      <w:szCs w:val="16"/>
    </w:rPr>
  </w:style>
  <w:style w:type="character" w:customStyle="1" w:styleId="122">
    <w:name w:val="Heading 2 Char"/>
    <w:autoRedefine/>
    <w:qFormat/>
    <w:locked/>
    <w:uiPriority w:val="0"/>
    <w:rPr>
      <w:rFonts w:ascii="Cambria" w:hAnsi="Cambria" w:eastAsia="宋体" w:cs="Times New Roman"/>
      <w:b/>
      <w:bCs/>
      <w:sz w:val="32"/>
      <w:szCs w:val="32"/>
    </w:rPr>
  </w:style>
  <w:style w:type="character" w:customStyle="1" w:styleId="123">
    <w:name w:val="op-map-singlepoint-info-right1"/>
    <w:autoRedefine/>
    <w:qFormat/>
    <w:uiPriority w:val="0"/>
  </w:style>
  <w:style w:type="character" w:customStyle="1" w:styleId="124">
    <w:name w:val="Table Text Char1"/>
    <w:link w:val="125"/>
    <w:autoRedefine/>
    <w:qFormat/>
    <w:uiPriority w:val="0"/>
    <w:rPr>
      <w:rFonts w:ascii="Arial" w:hAnsi="Arial"/>
      <w:kern w:val="2"/>
      <w:sz w:val="18"/>
      <w:szCs w:val="18"/>
      <w:lang w:val="en-US" w:eastAsia="zh-CN" w:bidi="ar-SA"/>
    </w:rPr>
  </w:style>
  <w:style w:type="paragraph" w:customStyle="1" w:styleId="125">
    <w:name w:val="Table Text"/>
    <w:link w:val="124"/>
    <w:autoRedefine/>
    <w:qFormat/>
    <w:uiPriority w:val="0"/>
    <w:pPr>
      <w:snapToGrid w:val="0"/>
      <w:spacing w:before="80" w:after="80"/>
    </w:pPr>
    <w:rPr>
      <w:rFonts w:ascii="Arial" w:hAnsi="Arial" w:eastAsia="宋体" w:cs="Times New Roman"/>
      <w:kern w:val="2"/>
      <w:sz w:val="18"/>
      <w:szCs w:val="18"/>
      <w:lang w:val="en-US" w:eastAsia="zh-CN" w:bidi="ar-SA"/>
    </w:rPr>
  </w:style>
  <w:style w:type="character" w:customStyle="1" w:styleId="126">
    <w:name w:val="Title Char1"/>
    <w:autoRedefine/>
    <w:qFormat/>
    <w:locked/>
    <w:uiPriority w:val="0"/>
    <w:rPr>
      <w:rFonts w:ascii="Cambria" w:hAnsi="Cambria" w:cs="Times New Roman"/>
      <w:b/>
      <w:bCs/>
      <w:sz w:val="32"/>
      <w:szCs w:val="32"/>
    </w:rPr>
  </w:style>
  <w:style w:type="character" w:customStyle="1" w:styleId="127">
    <w:name w:val="para"/>
    <w:autoRedefine/>
    <w:qFormat/>
    <w:uiPriority w:val="0"/>
  </w:style>
  <w:style w:type="character" w:customStyle="1" w:styleId="128">
    <w:name w:val="页眉 Char"/>
    <w:autoRedefine/>
    <w:qFormat/>
    <w:uiPriority w:val="0"/>
    <w:rPr>
      <w:kern w:val="2"/>
      <w:sz w:val="18"/>
      <w:szCs w:val="18"/>
    </w:rPr>
  </w:style>
  <w:style w:type="character" w:customStyle="1" w:styleId="129">
    <w:name w:val="正文文本 Char2"/>
    <w:autoRedefine/>
    <w:qFormat/>
    <w:uiPriority w:val="0"/>
    <w:rPr>
      <w:kern w:val="2"/>
      <w:sz w:val="21"/>
      <w:szCs w:val="24"/>
    </w:rPr>
  </w:style>
  <w:style w:type="character" w:customStyle="1" w:styleId="130">
    <w:name w:val="正文文本 Char3"/>
    <w:autoRedefine/>
    <w:qFormat/>
    <w:uiPriority w:val="0"/>
    <w:rPr>
      <w:kern w:val="2"/>
      <w:sz w:val="21"/>
    </w:rPr>
  </w:style>
  <w:style w:type="character" w:customStyle="1" w:styleId="131">
    <w:name w:val="副标题 Char3"/>
    <w:autoRedefine/>
    <w:qFormat/>
    <w:uiPriority w:val="11"/>
    <w:rPr>
      <w:rFonts w:ascii="Cambria" w:hAnsi="Cambria" w:cs="Times New Roman"/>
      <w:b/>
      <w:bCs/>
      <w:kern w:val="28"/>
      <w:sz w:val="32"/>
      <w:szCs w:val="32"/>
    </w:rPr>
  </w:style>
  <w:style w:type="character" w:customStyle="1" w:styleId="132">
    <w:name w:val="正文文本缩进 Char2"/>
    <w:autoRedefine/>
    <w:semiHidden/>
    <w:qFormat/>
    <w:uiPriority w:val="99"/>
    <w:rPr>
      <w:kern w:val="2"/>
      <w:sz w:val="21"/>
      <w:szCs w:val="24"/>
    </w:rPr>
  </w:style>
  <w:style w:type="character" w:customStyle="1" w:styleId="133">
    <w:name w:val="_Style 131"/>
    <w:autoRedefine/>
    <w:qFormat/>
    <w:uiPriority w:val="0"/>
    <w:rPr>
      <w:b/>
      <w:bCs/>
      <w:smallCaps/>
      <w:spacing w:val="5"/>
    </w:rPr>
  </w:style>
  <w:style w:type="character" w:customStyle="1" w:styleId="134">
    <w:name w:val="Comment Subject Char"/>
    <w:autoRedefine/>
    <w:qFormat/>
    <w:locked/>
    <w:uiPriority w:val="0"/>
    <w:rPr>
      <w:rFonts w:ascii="宋体" w:hAnsi="Times New Roman"/>
      <w:b/>
      <w:sz w:val="28"/>
    </w:rPr>
  </w:style>
  <w:style w:type="character" w:customStyle="1" w:styleId="135">
    <w:name w:val="s011"/>
    <w:autoRedefine/>
    <w:qFormat/>
    <w:uiPriority w:val="0"/>
    <w:rPr>
      <w:rFonts w:hint="eastAsia" w:ascii="宋体" w:hAnsi="宋体" w:eastAsia="宋体"/>
      <w:color w:val="000000"/>
      <w:sz w:val="20"/>
      <w:szCs w:val="20"/>
      <w:u w:val="none"/>
    </w:rPr>
  </w:style>
  <w:style w:type="character" w:customStyle="1" w:styleId="136">
    <w:name w:val="批注框文本 Char1"/>
    <w:autoRedefine/>
    <w:qFormat/>
    <w:uiPriority w:val="0"/>
    <w:rPr>
      <w:kern w:val="2"/>
      <w:sz w:val="18"/>
      <w:szCs w:val="18"/>
    </w:rPr>
  </w:style>
  <w:style w:type="character" w:customStyle="1" w:styleId="137">
    <w:name w:val="HTML 预设格式 Char1"/>
    <w:autoRedefine/>
    <w:semiHidden/>
    <w:qFormat/>
    <w:uiPriority w:val="99"/>
    <w:rPr>
      <w:rFonts w:ascii="Courier New" w:hAnsi="Courier New" w:cs="Courier New"/>
      <w:kern w:val="2"/>
    </w:rPr>
  </w:style>
  <w:style w:type="character" w:customStyle="1" w:styleId="138">
    <w:name w:val="列出段落 Char"/>
    <w:autoRedefine/>
    <w:qFormat/>
    <w:locked/>
    <w:uiPriority w:val="34"/>
    <w:rPr>
      <w:rFonts w:ascii="Calibri" w:hAnsi="Calibri"/>
      <w:sz w:val="22"/>
      <w:szCs w:val="22"/>
    </w:rPr>
  </w:style>
  <w:style w:type="character" w:customStyle="1" w:styleId="139">
    <w:name w:val="shouchang1"/>
    <w:autoRedefine/>
    <w:qFormat/>
    <w:uiPriority w:val="0"/>
    <w:rPr>
      <w:color w:val="000000"/>
      <w:sz w:val="11"/>
      <w:szCs w:val="11"/>
      <w:u w:val="none"/>
    </w:rPr>
  </w:style>
  <w:style w:type="character" w:customStyle="1" w:styleId="140">
    <w:name w:val="普通文字 Char Char Char"/>
    <w:autoRedefine/>
    <w:qFormat/>
    <w:uiPriority w:val="0"/>
    <w:rPr>
      <w:rFonts w:ascii="宋体" w:hAnsi="Courier New" w:eastAsia="宋体" w:cs="Courier New"/>
      <w:kern w:val="2"/>
      <w:sz w:val="21"/>
      <w:szCs w:val="21"/>
      <w:lang w:val="en-US" w:eastAsia="zh-CN" w:bidi="ar-SA"/>
    </w:rPr>
  </w:style>
  <w:style w:type="character" w:customStyle="1" w:styleId="141">
    <w:name w:val="Quote Char1"/>
    <w:autoRedefine/>
    <w:qFormat/>
    <w:locked/>
    <w:uiPriority w:val="0"/>
    <w:rPr>
      <w:rFonts w:cs="Times New Roman"/>
      <w:i/>
      <w:iCs/>
      <w:color w:val="000000"/>
    </w:rPr>
  </w:style>
  <w:style w:type="character" w:customStyle="1" w:styleId="142">
    <w:name w:val="纯文本 Char"/>
    <w:autoRedefine/>
    <w:qFormat/>
    <w:uiPriority w:val="99"/>
    <w:rPr>
      <w:rFonts w:ascii="宋体" w:hAnsi="Courier New" w:eastAsia="宋体" w:cs="Courier New"/>
      <w:sz w:val="21"/>
      <w:szCs w:val="21"/>
    </w:rPr>
  </w:style>
  <w:style w:type="character" w:customStyle="1" w:styleId="143">
    <w:name w:val="标题4 Char"/>
    <w:autoRedefine/>
    <w:qFormat/>
    <w:locked/>
    <w:uiPriority w:val="0"/>
    <w:rPr>
      <w:rFonts w:ascii="Times New Roman" w:hAnsi="Times New Roman" w:eastAsia="宋体" w:cs="Times New Roman"/>
      <w:b/>
      <w:sz w:val="24"/>
      <w:szCs w:val="24"/>
    </w:rPr>
  </w:style>
  <w:style w:type="character" w:customStyle="1" w:styleId="144">
    <w:name w:val="纯文本 Char2"/>
    <w:autoRedefine/>
    <w:qFormat/>
    <w:uiPriority w:val="0"/>
    <w:rPr>
      <w:rFonts w:ascii="宋体" w:hAnsi="Courier New" w:cs="Courier New"/>
      <w:kern w:val="2"/>
      <w:sz w:val="21"/>
      <w:szCs w:val="21"/>
    </w:rPr>
  </w:style>
  <w:style w:type="character" w:customStyle="1" w:styleId="145">
    <w:name w:val="font1"/>
    <w:autoRedefine/>
    <w:qFormat/>
    <w:uiPriority w:val="0"/>
    <w:rPr>
      <w:sz w:val="18"/>
      <w:szCs w:val="18"/>
    </w:rPr>
  </w:style>
  <w:style w:type="character" w:customStyle="1" w:styleId="146">
    <w:name w:val="标题1级 Char"/>
    <w:link w:val="147"/>
    <w:autoRedefine/>
    <w:qFormat/>
    <w:locked/>
    <w:uiPriority w:val="0"/>
    <w:rPr>
      <w:rFonts w:ascii="Arial" w:hAnsi="Arial" w:eastAsia="宋体" w:cs="宋体"/>
      <w:b/>
      <w:kern w:val="2"/>
      <w:sz w:val="30"/>
      <w:szCs w:val="30"/>
    </w:rPr>
  </w:style>
  <w:style w:type="paragraph" w:customStyle="1" w:styleId="147">
    <w:name w:val="标题1级"/>
    <w:basedOn w:val="148"/>
    <w:link w:val="146"/>
    <w:autoRedefine/>
    <w:qFormat/>
    <w:uiPriority w:val="0"/>
    <w:pPr>
      <w:numPr>
        <w:ilvl w:val="0"/>
        <w:numId w:val="4"/>
      </w:numPr>
      <w:ind w:firstLine="0" w:firstLineChars="0"/>
      <w:outlineLvl w:val="0"/>
    </w:pPr>
    <w:rPr>
      <w:rFonts w:ascii="Arial" w:hAnsi="Arial"/>
      <w:b/>
      <w:sz w:val="30"/>
      <w:szCs w:val="30"/>
    </w:rPr>
  </w:style>
  <w:style w:type="paragraph" w:customStyle="1" w:styleId="148">
    <w:name w:val="列出段落1"/>
    <w:basedOn w:val="1"/>
    <w:autoRedefine/>
    <w:qFormat/>
    <w:uiPriority w:val="34"/>
    <w:pPr>
      <w:ind w:firstLine="200" w:firstLineChars="200"/>
    </w:pPr>
  </w:style>
  <w:style w:type="character" w:customStyle="1" w:styleId="149">
    <w:name w:val="批注文字 Char Char"/>
    <w:autoRedefine/>
    <w:qFormat/>
    <w:uiPriority w:val="0"/>
    <w:rPr>
      <w:rFonts w:ascii="宋体" w:hAnsi="Times New Roman" w:eastAsia="宋体" w:cs="Times New Roman"/>
      <w:sz w:val="28"/>
      <w:szCs w:val="20"/>
    </w:rPr>
  </w:style>
  <w:style w:type="character" w:customStyle="1" w:styleId="150">
    <w:name w:val=" Char Char3"/>
    <w:autoRedefine/>
    <w:qFormat/>
    <w:uiPriority w:val="0"/>
    <w:rPr>
      <w:rFonts w:ascii="宋体" w:hAnsi="Courier New" w:eastAsia="幼圆"/>
      <w:kern w:val="2"/>
      <w:sz w:val="21"/>
    </w:rPr>
  </w:style>
  <w:style w:type="character" w:customStyle="1" w:styleId="151">
    <w:name w:val="批注框文本 Char2"/>
    <w:autoRedefine/>
    <w:qFormat/>
    <w:uiPriority w:val="0"/>
    <w:rPr>
      <w:kern w:val="2"/>
      <w:sz w:val="18"/>
      <w:szCs w:val="18"/>
    </w:rPr>
  </w:style>
  <w:style w:type="character" w:customStyle="1" w:styleId="152">
    <w:name w:val="huei12b1"/>
    <w:autoRedefine/>
    <w:qFormat/>
    <w:uiPriority w:val="0"/>
    <w:rPr>
      <w:b/>
      <w:bCs/>
      <w:color w:val="333333"/>
      <w:sz w:val="18"/>
      <w:szCs w:val="18"/>
    </w:rPr>
  </w:style>
  <w:style w:type="character" w:customStyle="1" w:styleId="153">
    <w:name w:val="纯文本 Char3"/>
    <w:autoRedefine/>
    <w:semiHidden/>
    <w:qFormat/>
    <w:uiPriority w:val="99"/>
    <w:rPr>
      <w:rFonts w:ascii="宋体" w:hAnsi="Courier New" w:cs="Courier New"/>
      <w:kern w:val="2"/>
      <w:sz w:val="21"/>
      <w:szCs w:val="21"/>
    </w:rPr>
  </w:style>
  <w:style w:type="character" w:customStyle="1" w:styleId="154">
    <w:name w:val="标题 2 Char Char Char Char"/>
    <w:autoRedefine/>
    <w:qFormat/>
    <w:uiPriority w:val="0"/>
    <w:rPr>
      <w:rFonts w:ascii="Arial" w:hAnsi="Arial" w:eastAsia="黑体"/>
      <w:b/>
      <w:bCs/>
      <w:kern w:val="2"/>
      <w:sz w:val="32"/>
      <w:szCs w:val="32"/>
      <w:lang w:val="en-US" w:eastAsia="zh-CN" w:bidi="ar-SA"/>
    </w:rPr>
  </w:style>
  <w:style w:type="character" w:customStyle="1" w:styleId="155">
    <w:name w:val="hei16b1"/>
    <w:autoRedefine/>
    <w:qFormat/>
    <w:uiPriority w:val="0"/>
    <w:rPr>
      <w:rFonts w:hint="default" w:ascii="Arial" w:hAnsi="Arial" w:cs="Arial"/>
      <w:b/>
      <w:bCs/>
      <w:color w:val="000000"/>
      <w:sz w:val="23"/>
      <w:szCs w:val="23"/>
    </w:rPr>
  </w:style>
  <w:style w:type="character" w:customStyle="1" w:styleId="156">
    <w:name w:val="正文文本缩进 Char"/>
    <w:autoRedefine/>
    <w:qFormat/>
    <w:uiPriority w:val="0"/>
    <w:rPr>
      <w:kern w:val="2"/>
      <w:sz w:val="21"/>
      <w:szCs w:val="24"/>
    </w:rPr>
  </w:style>
  <w:style w:type="character" w:customStyle="1" w:styleId="157">
    <w:name w:val="4级标题 Char"/>
    <w:basedOn w:val="158"/>
    <w:link w:val="160"/>
    <w:autoRedefine/>
    <w:qFormat/>
    <w:locked/>
    <w:uiPriority w:val="0"/>
  </w:style>
  <w:style w:type="character" w:customStyle="1" w:styleId="158">
    <w:name w:val="3级标题 Char"/>
    <w:link w:val="159"/>
    <w:autoRedefine/>
    <w:qFormat/>
    <w:locked/>
    <w:uiPriority w:val="0"/>
    <w:rPr>
      <w:rFonts w:ascii="Arial" w:hAnsi="Arial" w:eastAsia="宋体" w:cs="宋体"/>
      <w:b/>
      <w:kern w:val="2"/>
      <w:sz w:val="32"/>
      <w:szCs w:val="32"/>
    </w:rPr>
  </w:style>
  <w:style w:type="paragraph" w:customStyle="1" w:styleId="159">
    <w:name w:val="3级标题"/>
    <w:basedOn w:val="148"/>
    <w:link w:val="158"/>
    <w:autoRedefine/>
    <w:qFormat/>
    <w:uiPriority w:val="0"/>
    <w:pPr>
      <w:numPr>
        <w:ilvl w:val="2"/>
        <w:numId w:val="4"/>
      </w:numPr>
      <w:ind w:firstLine="0" w:firstLineChars="0"/>
      <w:outlineLvl w:val="2"/>
    </w:pPr>
    <w:rPr>
      <w:rFonts w:ascii="Arial" w:hAnsi="Arial"/>
      <w:b/>
      <w:sz w:val="32"/>
      <w:szCs w:val="32"/>
    </w:rPr>
  </w:style>
  <w:style w:type="paragraph" w:customStyle="1" w:styleId="160">
    <w:name w:val="4级标题"/>
    <w:basedOn w:val="159"/>
    <w:link w:val="157"/>
    <w:autoRedefine/>
    <w:qFormat/>
    <w:uiPriority w:val="0"/>
    <w:pPr>
      <w:numPr>
        <w:ilvl w:val="3"/>
        <w:numId w:val="4"/>
      </w:numPr>
      <w:ind w:left="1680" w:hanging="420"/>
      <w:outlineLvl w:val="3"/>
    </w:pPr>
  </w:style>
  <w:style w:type="character" w:customStyle="1" w:styleId="161">
    <w:name w:val="Heading 4 Char"/>
    <w:autoRedefine/>
    <w:qFormat/>
    <w:locked/>
    <w:uiPriority w:val="0"/>
    <w:rPr>
      <w:rFonts w:ascii="Cambria" w:hAnsi="Cambria" w:eastAsia="宋体" w:cs="Times New Roman"/>
      <w:b/>
      <w:bCs/>
      <w:sz w:val="28"/>
      <w:szCs w:val="28"/>
    </w:rPr>
  </w:style>
  <w:style w:type="character" w:customStyle="1" w:styleId="162">
    <w:name w:val="p121"/>
    <w:autoRedefine/>
    <w:qFormat/>
    <w:uiPriority w:val="0"/>
    <w:rPr>
      <w:sz w:val="18"/>
      <w:szCs w:val="18"/>
      <w:u w:val="none"/>
    </w:rPr>
  </w:style>
  <w:style w:type="character" w:customStyle="1" w:styleId="163">
    <w:name w:val="正文首行缩进 2 Char"/>
    <w:autoRedefine/>
    <w:qFormat/>
    <w:uiPriority w:val="0"/>
    <w:rPr>
      <w:rFonts w:ascii="等线" w:hAnsi="等线" w:eastAsia="等线"/>
      <w:kern w:val="2"/>
      <w:sz w:val="21"/>
      <w:szCs w:val="24"/>
    </w:rPr>
  </w:style>
  <w:style w:type="character" w:customStyle="1" w:styleId="164">
    <w:name w:val="Intense Quote Char2"/>
    <w:link w:val="165"/>
    <w:autoRedefine/>
    <w:qFormat/>
    <w:locked/>
    <w:uiPriority w:val="0"/>
    <w:rPr>
      <w:rFonts w:ascii="Calibri" w:hAnsi="Calibri"/>
      <w:b/>
      <w:i/>
      <w:color w:val="4F81BD"/>
    </w:rPr>
  </w:style>
  <w:style w:type="paragraph" w:customStyle="1" w:styleId="165">
    <w:name w:val="Intense Quote"/>
    <w:basedOn w:val="1"/>
    <w:next w:val="1"/>
    <w:link w:val="164"/>
    <w:autoRedefine/>
    <w:qFormat/>
    <w:uiPriority w:val="0"/>
    <w:pPr>
      <w:pBdr>
        <w:bottom w:val="single" w:color="4F81BD" w:sz="4" w:space="4"/>
      </w:pBdr>
      <w:spacing w:before="200" w:after="280"/>
      <w:ind w:left="936" w:right="936"/>
    </w:pPr>
    <w:rPr>
      <w:rFonts w:ascii="Calibri" w:hAnsi="Calibri"/>
      <w:b/>
      <w:i/>
      <w:color w:val="4F81BD"/>
      <w:kern w:val="0"/>
      <w:sz w:val="20"/>
    </w:rPr>
  </w:style>
  <w:style w:type="character" w:customStyle="1" w:styleId="166">
    <w:name w:val="contentlabel"/>
    <w:autoRedefine/>
    <w:qFormat/>
    <w:uiPriority w:val="0"/>
  </w:style>
  <w:style w:type="character" w:customStyle="1" w:styleId="167">
    <w:name w:val="textcontents"/>
    <w:autoRedefine/>
    <w:qFormat/>
    <w:uiPriority w:val="0"/>
    <w:rPr>
      <w:rFonts w:cs="Times New Roman"/>
    </w:rPr>
  </w:style>
  <w:style w:type="character" w:customStyle="1" w:styleId="168">
    <w:name w:val="15"/>
    <w:autoRedefine/>
    <w:qFormat/>
    <w:uiPriority w:val="0"/>
    <w:rPr>
      <w:rFonts w:hint="default" w:ascii="Times New Roman" w:hAnsi="Times New Roman" w:eastAsia="宋体" w:cs="Times New Roman"/>
      <w:kern w:val="2"/>
      <w:sz w:val="21"/>
      <w:szCs w:val="21"/>
    </w:rPr>
  </w:style>
  <w:style w:type="character" w:customStyle="1" w:styleId="169">
    <w:name w:val="z-窗体顶端 Char1"/>
    <w:autoRedefine/>
    <w:qFormat/>
    <w:uiPriority w:val="0"/>
    <w:rPr>
      <w:rFonts w:ascii="Arial" w:hAnsi="Arial" w:cs="Arial"/>
      <w:vanish/>
      <w:kern w:val="2"/>
      <w:sz w:val="16"/>
      <w:szCs w:val="16"/>
    </w:rPr>
  </w:style>
  <w:style w:type="character" w:customStyle="1" w:styleId="170">
    <w:name w:val="Heading 7 Char"/>
    <w:autoRedefine/>
    <w:qFormat/>
    <w:locked/>
    <w:uiPriority w:val="0"/>
    <w:rPr>
      <w:rFonts w:ascii="Calibri" w:hAnsi="Calibri" w:eastAsia="宋体" w:cs="Times New Roman"/>
      <w:b/>
      <w:bCs/>
      <w:sz w:val="24"/>
      <w:szCs w:val="24"/>
    </w:rPr>
  </w:style>
  <w:style w:type="character" w:customStyle="1" w:styleId="171">
    <w:name w:val="leftdt1"/>
    <w:autoRedefine/>
    <w:qFormat/>
    <w:uiPriority w:val="0"/>
    <w:rPr>
      <w:b/>
      <w:bCs/>
      <w:color w:val="474747"/>
    </w:rPr>
  </w:style>
  <w:style w:type="character" w:customStyle="1" w:styleId="172">
    <w:name w:val="point_normal"/>
    <w:autoRedefine/>
    <w:qFormat/>
    <w:uiPriority w:val="0"/>
  </w:style>
  <w:style w:type="character" w:customStyle="1" w:styleId="173">
    <w:name w:val="标准正文 Char"/>
    <w:link w:val="174"/>
    <w:autoRedefine/>
    <w:qFormat/>
    <w:locked/>
    <w:uiPriority w:val="0"/>
    <w:rPr>
      <w:rFonts w:eastAsia="宋体"/>
      <w:lang w:val="en-US" w:eastAsia="zh-CN" w:bidi="ar-SA"/>
    </w:rPr>
  </w:style>
  <w:style w:type="paragraph" w:customStyle="1" w:styleId="174">
    <w:name w:val="标准正文"/>
    <w:basedOn w:val="1"/>
    <w:link w:val="173"/>
    <w:autoRedefine/>
    <w:qFormat/>
    <w:uiPriority w:val="0"/>
    <w:pPr>
      <w:spacing w:before="156" w:after="156" w:line="360" w:lineRule="auto"/>
      <w:ind w:firstLine="480" w:firstLineChars="200"/>
    </w:pPr>
    <w:rPr>
      <w:kern w:val="0"/>
      <w:sz w:val="20"/>
    </w:rPr>
  </w:style>
  <w:style w:type="character" w:customStyle="1" w:styleId="175">
    <w:name w:val="Plain Text Char"/>
    <w:autoRedefine/>
    <w:qFormat/>
    <w:locked/>
    <w:uiPriority w:val="0"/>
    <w:rPr>
      <w:rFonts w:ascii="宋体" w:hAnsi="Courier New" w:eastAsia="宋体" w:cs="宋体"/>
      <w:kern w:val="0"/>
      <w:sz w:val="20"/>
      <w:szCs w:val="20"/>
    </w:rPr>
  </w:style>
  <w:style w:type="character" w:customStyle="1" w:styleId="176">
    <w:name w:val=" Char Char30"/>
    <w:autoRedefine/>
    <w:qFormat/>
    <w:uiPriority w:val="0"/>
    <w:rPr>
      <w:b/>
      <w:bCs/>
      <w:kern w:val="44"/>
      <w:sz w:val="44"/>
      <w:szCs w:val="44"/>
    </w:rPr>
  </w:style>
  <w:style w:type="character" w:customStyle="1" w:styleId="177">
    <w:name w:val="Intense Reference"/>
    <w:autoRedefine/>
    <w:qFormat/>
    <w:uiPriority w:val="0"/>
    <w:rPr>
      <w:rFonts w:cs="Times New Roman"/>
      <w:b/>
      <w:smallCaps/>
      <w:color w:val="C0504D"/>
      <w:spacing w:val="5"/>
      <w:u w:val="single"/>
    </w:rPr>
  </w:style>
  <w:style w:type="character" w:customStyle="1" w:styleId="178">
    <w:name w:val="p21"/>
    <w:autoRedefine/>
    <w:qFormat/>
    <w:uiPriority w:val="0"/>
    <w:rPr>
      <w:color w:val="000000"/>
      <w:sz w:val="24"/>
      <w:szCs w:val="24"/>
    </w:rPr>
  </w:style>
  <w:style w:type="character" w:customStyle="1" w:styleId="179">
    <w:name w:val="font81"/>
    <w:autoRedefine/>
    <w:qFormat/>
    <w:uiPriority w:val="0"/>
    <w:rPr>
      <w:rFonts w:hint="eastAsia" w:ascii="宋体" w:hAnsi="宋体" w:eastAsia="宋体" w:cs="宋体"/>
      <w:color w:val="000000"/>
      <w:sz w:val="18"/>
      <w:szCs w:val="18"/>
      <w:u w:val="none"/>
    </w:rPr>
  </w:style>
  <w:style w:type="character" w:customStyle="1" w:styleId="180">
    <w:name w:val="符号样式 Char"/>
    <w:link w:val="181"/>
    <w:autoRedefine/>
    <w:qFormat/>
    <w:locked/>
    <w:uiPriority w:val="0"/>
    <w:rPr>
      <w:rFonts w:ascii="Arial" w:hAnsi="Arial" w:cs="宋体"/>
      <w:kern w:val="2"/>
      <w:sz w:val="24"/>
    </w:rPr>
  </w:style>
  <w:style w:type="paragraph" w:customStyle="1" w:styleId="181">
    <w:name w:val="符号样式"/>
    <w:basedOn w:val="182"/>
    <w:link w:val="180"/>
    <w:autoRedefine/>
    <w:qFormat/>
    <w:uiPriority w:val="0"/>
    <w:pPr>
      <w:numPr>
        <w:ilvl w:val="0"/>
        <w:numId w:val="0"/>
      </w:numPr>
      <w:ind w:left="840" w:firstLine="288" w:firstLineChars="200"/>
      <w:jc w:val="left"/>
    </w:pPr>
    <w:rPr>
      <w:rFonts w:cs="Times New Roman"/>
    </w:rPr>
  </w:style>
  <w:style w:type="paragraph" w:customStyle="1" w:styleId="182">
    <w:name w:val="编号，小四"/>
    <w:basedOn w:val="1"/>
    <w:autoRedefine/>
    <w:qFormat/>
    <w:uiPriority w:val="0"/>
    <w:pPr>
      <w:numPr>
        <w:ilvl w:val="0"/>
        <w:numId w:val="5"/>
      </w:numPr>
      <w:spacing w:line="360" w:lineRule="auto"/>
      <w:ind w:left="0" w:firstLine="200" w:firstLineChars="200"/>
    </w:pPr>
    <w:rPr>
      <w:rFonts w:ascii="Arial" w:hAnsi="Arial" w:cs="宋体"/>
      <w:sz w:val="24"/>
    </w:rPr>
  </w:style>
  <w:style w:type="character" w:customStyle="1" w:styleId="183">
    <w:name w:val="param-value1"/>
    <w:autoRedefine/>
    <w:qFormat/>
    <w:uiPriority w:val="0"/>
    <w:rPr>
      <w:color w:val="333333"/>
    </w:rPr>
  </w:style>
  <w:style w:type="character" w:customStyle="1" w:styleId="184">
    <w:name w:val="z-窗体底端 Char2"/>
    <w:autoRedefine/>
    <w:qFormat/>
    <w:uiPriority w:val="99"/>
    <w:rPr>
      <w:rFonts w:ascii="Arial" w:hAnsi="Arial" w:cs="Arial"/>
      <w:vanish/>
      <w:kern w:val="2"/>
      <w:sz w:val="16"/>
      <w:szCs w:val="16"/>
    </w:rPr>
  </w:style>
  <w:style w:type="character" w:customStyle="1" w:styleId="185">
    <w:name w:val="1级标题 Char"/>
    <w:basedOn w:val="146"/>
    <w:link w:val="186"/>
    <w:autoRedefine/>
    <w:qFormat/>
    <w:locked/>
    <w:uiPriority w:val="0"/>
  </w:style>
  <w:style w:type="paragraph" w:customStyle="1" w:styleId="186">
    <w:name w:val="1级标题"/>
    <w:basedOn w:val="147"/>
    <w:link w:val="185"/>
    <w:autoRedefine/>
    <w:qFormat/>
    <w:uiPriority w:val="0"/>
  </w:style>
  <w:style w:type="character" w:customStyle="1" w:styleId="187">
    <w:name w:val="Subtitle Char"/>
    <w:autoRedefine/>
    <w:qFormat/>
    <w:locked/>
    <w:uiPriority w:val="0"/>
    <w:rPr>
      <w:rFonts w:ascii="Cambria" w:hAnsi="Cambria"/>
      <w:b/>
      <w:kern w:val="28"/>
      <w:sz w:val="32"/>
    </w:rPr>
  </w:style>
  <w:style w:type="character" w:customStyle="1" w:styleId="188">
    <w:name w:val="Body Text Char"/>
    <w:autoRedefine/>
    <w:qFormat/>
    <w:locked/>
    <w:uiPriority w:val="0"/>
    <w:rPr>
      <w:rFonts w:ascii="Times New Roman" w:hAnsi="Times New Roman"/>
    </w:rPr>
  </w:style>
  <w:style w:type="character" w:customStyle="1" w:styleId="189">
    <w:name w:val="标题5 Char"/>
    <w:autoRedefine/>
    <w:qFormat/>
    <w:locked/>
    <w:uiPriority w:val="0"/>
    <w:rPr>
      <w:rFonts w:eastAsia="宋体"/>
      <w:kern w:val="2"/>
      <w:sz w:val="24"/>
      <w:szCs w:val="24"/>
      <w:lang w:val="en-US" w:eastAsia="zh-CN" w:bidi="ar-SA"/>
    </w:rPr>
  </w:style>
  <w:style w:type="character" w:customStyle="1" w:styleId="190">
    <w:name w:val="main"/>
    <w:autoRedefine/>
    <w:qFormat/>
    <w:uiPriority w:val="0"/>
  </w:style>
  <w:style w:type="character" w:customStyle="1" w:styleId="191">
    <w:name w:val="grame"/>
    <w:autoRedefine/>
    <w:qFormat/>
    <w:uiPriority w:val="0"/>
  </w:style>
  <w:style w:type="character" w:customStyle="1" w:styleId="192">
    <w:name w:val="t141"/>
    <w:autoRedefine/>
    <w:qFormat/>
    <w:uiPriority w:val="0"/>
    <w:rPr>
      <w:color w:val="000000"/>
      <w:w w:val="0"/>
      <w:sz w:val="21"/>
      <w:szCs w:val="21"/>
    </w:rPr>
  </w:style>
  <w:style w:type="character" w:customStyle="1" w:styleId="193">
    <w:name w:val="Heading 9 Char"/>
    <w:autoRedefine/>
    <w:qFormat/>
    <w:locked/>
    <w:uiPriority w:val="0"/>
    <w:rPr>
      <w:rFonts w:ascii="Cambria" w:hAnsi="Cambria" w:eastAsia="宋体" w:cs="Times New Roman"/>
      <w:sz w:val="21"/>
      <w:szCs w:val="21"/>
    </w:rPr>
  </w:style>
  <w:style w:type="character" w:customStyle="1" w:styleId="194">
    <w:name w:val="mainfield"/>
    <w:autoRedefine/>
    <w:qFormat/>
    <w:uiPriority w:val="0"/>
    <w:rPr>
      <w:b/>
    </w:rPr>
  </w:style>
  <w:style w:type="character" w:customStyle="1" w:styleId="195">
    <w:name w:val="彩色列表 - 强调文字颜色 1 Char"/>
    <w:link w:val="196"/>
    <w:autoRedefine/>
    <w:qFormat/>
    <w:uiPriority w:val="34"/>
    <w:rPr>
      <w:rFonts w:ascii="Calibri" w:hAnsi="Calibri"/>
      <w:kern w:val="2"/>
      <w:sz w:val="21"/>
      <w:szCs w:val="22"/>
    </w:rPr>
  </w:style>
  <w:style w:type="paragraph" w:customStyle="1" w:styleId="196">
    <w:name w:val="彩色列表 - 强调文字颜色 11"/>
    <w:basedOn w:val="1"/>
    <w:link w:val="195"/>
    <w:autoRedefine/>
    <w:qFormat/>
    <w:uiPriority w:val="34"/>
    <w:pPr>
      <w:ind w:firstLine="420" w:firstLineChars="200"/>
    </w:pPr>
    <w:rPr>
      <w:rFonts w:ascii="Calibri" w:hAnsi="Calibri"/>
      <w:szCs w:val="22"/>
    </w:rPr>
  </w:style>
  <w:style w:type="character" w:customStyle="1" w:styleId="197">
    <w:name w:val="Heading 5 Char"/>
    <w:autoRedefine/>
    <w:qFormat/>
    <w:locked/>
    <w:uiPriority w:val="0"/>
    <w:rPr>
      <w:rFonts w:ascii="Calibri" w:hAnsi="Calibri" w:eastAsia="宋体" w:cs="Times New Roman"/>
      <w:b/>
      <w:bCs/>
      <w:sz w:val="28"/>
      <w:szCs w:val="28"/>
    </w:rPr>
  </w:style>
  <w:style w:type="character" w:customStyle="1" w:styleId="198">
    <w:name w:val="正文文本 2 Char2"/>
    <w:autoRedefine/>
    <w:semiHidden/>
    <w:qFormat/>
    <w:uiPriority w:val="99"/>
    <w:rPr>
      <w:kern w:val="2"/>
      <w:sz w:val="21"/>
      <w:szCs w:val="24"/>
    </w:rPr>
  </w:style>
  <w:style w:type="character" w:customStyle="1" w:styleId="199">
    <w:name w:val="xkr1"/>
    <w:autoRedefine/>
    <w:qFormat/>
    <w:uiPriority w:val="0"/>
    <w:rPr>
      <w:rFonts w:ascii="楷体_GB2312" w:hAnsi="楷体_GB2312"/>
      <w:color w:val="000000"/>
      <w:sz w:val="29"/>
    </w:rPr>
  </w:style>
  <w:style w:type="character" w:customStyle="1" w:styleId="200">
    <w:name w:val="正文缩进 Char Char"/>
    <w:autoRedefine/>
    <w:qFormat/>
    <w:uiPriority w:val="0"/>
    <w:rPr>
      <w:rFonts w:eastAsia="宋体"/>
      <w:kern w:val="2"/>
      <w:sz w:val="21"/>
      <w:lang w:val="en-US" w:eastAsia="zh-CN" w:bidi="ar-SA"/>
    </w:rPr>
  </w:style>
  <w:style w:type="character" w:customStyle="1" w:styleId="201">
    <w:name w:val="副标题 Char2"/>
    <w:autoRedefine/>
    <w:qFormat/>
    <w:uiPriority w:val="0"/>
    <w:rPr>
      <w:rFonts w:ascii="Cambria" w:hAnsi="Cambria" w:cs="Times New Roman"/>
      <w:b/>
      <w:bCs/>
      <w:kern w:val="28"/>
      <w:sz w:val="32"/>
      <w:szCs w:val="32"/>
    </w:rPr>
  </w:style>
  <w:style w:type="character" w:customStyle="1" w:styleId="202">
    <w:name w:val="普通文字1 Char"/>
    <w:autoRedefine/>
    <w:qFormat/>
    <w:uiPriority w:val="0"/>
    <w:rPr>
      <w:rFonts w:ascii="宋体" w:hAnsi="Courier New" w:eastAsia="宋体" w:cs="Courier New"/>
      <w:kern w:val="2"/>
      <w:sz w:val="21"/>
      <w:szCs w:val="21"/>
      <w:lang w:val="en-US" w:eastAsia="zh-CN" w:bidi="ar-SA"/>
    </w:rPr>
  </w:style>
  <w:style w:type="character" w:customStyle="1" w:styleId="203">
    <w:name w:val="style101"/>
    <w:autoRedefine/>
    <w:qFormat/>
    <w:uiPriority w:val="0"/>
    <w:rPr>
      <w:b/>
      <w:bCs/>
      <w:color w:val="0000FF"/>
    </w:rPr>
  </w:style>
  <w:style w:type="character" w:customStyle="1" w:styleId="204">
    <w:name w:val="Book Title"/>
    <w:autoRedefine/>
    <w:qFormat/>
    <w:uiPriority w:val="0"/>
    <w:rPr>
      <w:rFonts w:cs="Times New Roman"/>
      <w:b/>
      <w:smallCaps/>
      <w:spacing w:val="5"/>
    </w:rPr>
  </w:style>
  <w:style w:type="character" w:customStyle="1" w:styleId="205">
    <w:name w:val="Heading 6 Char"/>
    <w:autoRedefine/>
    <w:qFormat/>
    <w:locked/>
    <w:uiPriority w:val="0"/>
    <w:rPr>
      <w:rFonts w:ascii="Cambria" w:hAnsi="Cambria" w:eastAsia="宋体" w:cs="Times New Roman"/>
      <w:b/>
      <w:bCs/>
      <w:sz w:val="24"/>
      <w:szCs w:val="24"/>
    </w:rPr>
  </w:style>
  <w:style w:type="character" w:customStyle="1" w:styleId="206">
    <w:name w:val="main11"/>
    <w:autoRedefine/>
    <w:qFormat/>
    <w:uiPriority w:val="0"/>
    <w:rPr>
      <w:rFonts w:hint="default" w:ascii="Arial" w:hAnsi="Arial"/>
      <w:color w:val="000000"/>
      <w:sz w:val="18"/>
      <w:u w:val="none"/>
    </w:rPr>
  </w:style>
  <w:style w:type="character" w:customStyle="1" w:styleId="207">
    <w:name w:val="正文文本缩进 Char1"/>
    <w:autoRedefine/>
    <w:qFormat/>
    <w:uiPriority w:val="99"/>
    <w:rPr>
      <w:kern w:val="2"/>
      <w:sz w:val="21"/>
      <w:szCs w:val="24"/>
    </w:rPr>
  </w:style>
  <w:style w:type="character" w:customStyle="1" w:styleId="208">
    <w:name w:val="彩色网格 - 强调文字颜色 1 Char"/>
    <w:link w:val="209"/>
    <w:autoRedefine/>
    <w:qFormat/>
    <w:uiPriority w:val="0"/>
    <w:rPr>
      <w:i/>
      <w:iCs/>
      <w:color w:val="000000"/>
      <w:kern w:val="2"/>
      <w:sz w:val="21"/>
      <w:szCs w:val="22"/>
    </w:rPr>
  </w:style>
  <w:style w:type="paragraph" w:customStyle="1" w:styleId="209">
    <w:name w:val="彩色网格 - 强调文字颜色 11"/>
    <w:basedOn w:val="1"/>
    <w:next w:val="1"/>
    <w:link w:val="208"/>
    <w:autoRedefine/>
    <w:qFormat/>
    <w:uiPriority w:val="0"/>
    <w:rPr>
      <w:i/>
      <w:iCs/>
      <w:color w:val="000000"/>
      <w:szCs w:val="22"/>
    </w:rPr>
  </w:style>
  <w:style w:type="character" w:customStyle="1" w:styleId="210">
    <w:name w:val="标题 Char2"/>
    <w:autoRedefine/>
    <w:qFormat/>
    <w:uiPriority w:val="10"/>
    <w:rPr>
      <w:rFonts w:ascii="Cambria" w:hAnsi="Cambria" w:cs="Times New Roman"/>
      <w:b/>
      <w:bCs/>
      <w:kern w:val="2"/>
      <w:sz w:val="32"/>
      <w:szCs w:val="32"/>
    </w:rPr>
  </w:style>
  <w:style w:type="character" w:customStyle="1" w:styleId="211">
    <w:name w:val="apple-converted-space"/>
    <w:basedOn w:val="73"/>
    <w:autoRedefine/>
    <w:qFormat/>
    <w:uiPriority w:val="0"/>
  </w:style>
  <w:style w:type="character" w:customStyle="1" w:styleId="212">
    <w:name w:val="标准正文 Char Char"/>
    <w:autoRedefine/>
    <w:qFormat/>
    <w:uiPriority w:val="0"/>
    <w:rPr>
      <w:kern w:val="2"/>
      <w:sz w:val="24"/>
    </w:rPr>
  </w:style>
  <w:style w:type="character" w:customStyle="1" w:styleId="213">
    <w:name w:val="_Style 211"/>
    <w:autoRedefine/>
    <w:qFormat/>
    <w:uiPriority w:val="0"/>
    <w:rPr>
      <w:b/>
      <w:bCs/>
      <w:smallCaps/>
      <w:color w:val="C0504D"/>
      <w:spacing w:val="5"/>
      <w:u w:val="single"/>
    </w:rPr>
  </w:style>
  <w:style w:type="character" w:customStyle="1" w:styleId="214">
    <w:name w:val="font2"/>
    <w:autoRedefine/>
    <w:qFormat/>
    <w:uiPriority w:val="0"/>
    <w:rPr>
      <w:color w:val="0033CC"/>
    </w:rPr>
  </w:style>
  <w:style w:type="character" w:customStyle="1" w:styleId="215">
    <w:name w:val="param-value"/>
    <w:basedOn w:val="73"/>
    <w:autoRedefine/>
    <w:qFormat/>
    <w:uiPriority w:val="0"/>
  </w:style>
  <w:style w:type="character" w:customStyle="1" w:styleId="216">
    <w:name w:val="chanpinfont"/>
    <w:basedOn w:val="73"/>
    <w:autoRedefine/>
    <w:qFormat/>
    <w:uiPriority w:val="0"/>
  </w:style>
  <w:style w:type="character" w:customStyle="1" w:styleId="217">
    <w:name w:val="Title Char"/>
    <w:autoRedefine/>
    <w:qFormat/>
    <w:locked/>
    <w:uiPriority w:val="0"/>
    <w:rPr>
      <w:rFonts w:ascii="Cambria" w:hAnsi="Cambria"/>
      <w:b/>
      <w:sz w:val="32"/>
    </w:rPr>
  </w:style>
  <w:style w:type="character" w:customStyle="1" w:styleId="218">
    <w:name w:val="引用 Char1"/>
    <w:autoRedefine/>
    <w:qFormat/>
    <w:uiPriority w:val="0"/>
    <w:rPr>
      <w:i/>
      <w:iCs/>
      <w:color w:val="000000"/>
      <w:kern w:val="2"/>
      <w:sz w:val="21"/>
    </w:rPr>
  </w:style>
  <w:style w:type="character" w:customStyle="1" w:styleId="219">
    <w:name w:val="正文首行缩进 2 Char1"/>
    <w:autoRedefine/>
    <w:semiHidden/>
    <w:qFormat/>
    <w:uiPriority w:val="99"/>
    <w:rPr>
      <w:rFonts w:ascii="Times New Roman" w:hAnsi="Times New Roman" w:eastAsia="宋体" w:cs="Times New Roman"/>
      <w:kern w:val="2"/>
      <w:sz w:val="21"/>
      <w:szCs w:val="21"/>
    </w:rPr>
  </w:style>
  <w:style w:type="character" w:customStyle="1" w:styleId="220">
    <w:name w:val="Footer Char"/>
    <w:autoRedefine/>
    <w:qFormat/>
    <w:locked/>
    <w:uiPriority w:val="0"/>
    <w:rPr>
      <w:sz w:val="18"/>
    </w:rPr>
  </w:style>
  <w:style w:type="character" w:customStyle="1" w:styleId="221">
    <w:name w:val="v151"/>
    <w:autoRedefine/>
    <w:qFormat/>
    <w:uiPriority w:val="0"/>
    <w:rPr>
      <w:spacing w:val="280"/>
      <w:sz w:val="18"/>
      <w:szCs w:val="18"/>
    </w:rPr>
  </w:style>
  <w:style w:type="character" w:customStyle="1" w:styleId="222">
    <w:name w:val="maintitle1"/>
    <w:autoRedefine/>
    <w:qFormat/>
    <w:uiPriority w:val="0"/>
    <w:rPr>
      <w:b/>
      <w:color w:val="0066CC"/>
      <w:sz w:val="30"/>
      <w:u w:val="none"/>
    </w:rPr>
  </w:style>
  <w:style w:type="character" w:customStyle="1" w:styleId="223">
    <w:name w:val="副标题 Char1"/>
    <w:autoRedefine/>
    <w:qFormat/>
    <w:uiPriority w:val="0"/>
    <w:rPr>
      <w:rFonts w:ascii="Cambria" w:hAnsi="Cambria" w:cs="Times New Roman"/>
      <w:b/>
      <w:bCs/>
      <w:kern w:val="28"/>
      <w:sz w:val="32"/>
      <w:szCs w:val="32"/>
    </w:rPr>
  </w:style>
  <w:style w:type="character" w:customStyle="1" w:styleId="224">
    <w:name w:val="bodyfont1"/>
    <w:autoRedefine/>
    <w:qFormat/>
    <w:uiPriority w:val="0"/>
    <w:rPr>
      <w:spacing w:val="300"/>
      <w:sz w:val="18"/>
      <w:szCs w:val="18"/>
    </w:rPr>
  </w:style>
  <w:style w:type="character" w:customStyle="1" w:styleId="225">
    <w:name w:val="正文文本 2 Char1"/>
    <w:autoRedefine/>
    <w:qFormat/>
    <w:uiPriority w:val="0"/>
    <w:rPr>
      <w:kern w:val="2"/>
      <w:sz w:val="21"/>
      <w:szCs w:val="24"/>
    </w:rPr>
  </w:style>
  <w:style w:type="character" w:customStyle="1" w:styleId="226">
    <w:name w:val="列出段落 Char1"/>
    <w:link w:val="227"/>
    <w:autoRedefine/>
    <w:qFormat/>
    <w:locked/>
    <w:uiPriority w:val="34"/>
    <w:rPr>
      <w:rFonts w:ascii="Calibri" w:hAnsi="Calibri"/>
      <w:sz w:val="22"/>
      <w:szCs w:val="22"/>
    </w:rPr>
  </w:style>
  <w:style w:type="paragraph" w:styleId="227">
    <w:name w:val="List Paragraph"/>
    <w:basedOn w:val="1"/>
    <w:link w:val="226"/>
    <w:autoRedefine/>
    <w:qFormat/>
    <w:uiPriority w:val="34"/>
    <w:pPr>
      <w:widowControl/>
      <w:spacing w:after="200" w:line="276" w:lineRule="auto"/>
      <w:ind w:left="720"/>
      <w:contextualSpacing/>
      <w:jc w:val="left"/>
    </w:pPr>
    <w:rPr>
      <w:rFonts w:ascii="Calibri" w:hAnsi="Calibri"/>
      <w:kern w:val="0"/>
      <w:sz w:val="22"/>
      <w:szCs w:val="22"/>
    </w:rPr>
  </w:style>
  <w:style w:type="character" w:customStyle="1" w:styleId="228">
    <w:name w:val="Subtle Reference"/>
    <w:autoRedefine/>
    <w:qFormat/>
    <w:uiPriority w:val="0"/>
    <w:rPr>
      <w:rFonts w:cs="Times New Roman"/>
      <w:smallCaps/>
      <w:color w:val="C0504D"/>
      <w:u w:val="single"/>
    </w:rPr>
  </w:style>
  <w:style w:type="character" w:customStyle="1" w:styleId="229">
    <w:name w:val="Blockquote Char Char"/>
    <w:link w:val="230"/>
    <w:autoRedefine/>
    <w:qFormat/>
    <w:uiPriority w:val="0"/>
    <w:rPr>
      <w:sz w:val="24"/>
    </w:rPr>
  </w:style>
  <w:style w:type="paragraph" w:customStyle="1" w:styleId="230">
    <w:name w:val="Blockquote"/>
    <w:basedOn w:val="1"/>
    <w:link w:val="229"/>
    <w:autoRedefine/>
    <w:qFormat/>
    <w:uiPriority w:val="0"/>
    <w:pPr>
      <w:autoSpaceDE w:val="0"/>
      <w:autoSpaceDN w:val="0"/>
      <w:adjustRightInd w:val="0"/>
      <w:spacing w:before="100" w:after="100"/>
      <w:ind w:left="360" w:right="360"/>
      <w:jc w:val="left"/>
    </w:pPr>
    <w:rPr>
      <w:kern w:val="0"/>
      <w:sz w:val="24"/>
    </w:rPr>
  </w:style>
  <w:style w:type="character" w:customStyle="1" w:styleId="231">
    <w:name w:val="引用 Char"/>
    <w:autoRedefine/>
    <w:qFormat/>
    <w:uiPriority w:val="0"/>
    <w:rPr>
      <w:i/>
      <w:iCs/>
      <w:color w:val="000000"/>
      <w:kern w:val="2"/>
      <w:sz w:val="21"/>
      <w:szCs w:val="22"/>
    </w:rPr>
  </w:style>
  <w:style w:type="character" w:customStyle="1" w:styleId="232">
    <w:name w:val=" Char Char17"/>
    <w:autoRedefine/>
    <w:qFormat/>
    <w:uiPriority w:val="0"/>
    <w:rPr>
      <w:rFonts w:ascii="Arial" w:hAnsi="Arial" w:eastAsia="黑体"/>
      <w:b/>
      <w:bCs/>
      <w:kern w:val="2"/>
      <w:sz w:val="32"/>
      <w:szCs w:val="32"/>
      <w:lang w:val="en-US" w:eastAsia="zh-CN" w:bidi="ar-SA"/>
    </w:rPr>
  </w:style>
  <w:style w:type="character" w:customStyle="1" w:styleId="233">
    <w:name w:val="正文文本 3 Char1"/>
    <w:autoRedefine/>
    <w:semiHidden/>
    <w:qFormat/>
    <w:uiPriority w:val="99"/>
    <w:rPr>
      <w:kern w:val="2"/>
      <w:sz w:val="16"/>
      <w:szCs w:val="16"/>
    </w:rPr>
  </w:style>
  <w:style w:type="character" w:customStyle="1" w:styleId="234">
    <w:name w:val="签名 Char1"/>
    <w:autoRedefine/>
    <w:qFormat/>
    <w:uiPriority w:val="99"/>
    <w:rPr>
      <w:kern w:val="2"/>
      <w:sz w:val="21"/>
    </w:rPr>
  </w:style>
  <w:style w:type="character" w:customStyle="1" w:styleId="235">
    <w:name w:val="z-窗体底端 Char1"/>
    <w:autoRedefine/>
    <w:qFormat/>
    <w:uiPriority w:val="0"/>
    <w:rPr>
      <w:rFonts w:ascii="Arial" w:hAnsi="Arial" w:cs="Arial"/>
      <w:vanish/>
      <w:kern w:val="2"/>
      <w:sz w:val="16"/>
      <w:szCs w:val="16"/>
    </w:rPr>
  </w:style>
  <w:style w:type="character" w:customStyle="1" w:styleId="236">
    <w:name w:val="Intense Quote Char1"/>
    <w:autoRedefine/>
    <w:qFormat/>
    <w:locked/>
    <w:uiPriority w:val="0"/>
    <w:rPr>
      <w:rFonts w:cs="Times New Roman"/>
      <w:b/>
      <w:bCs/>
      <w:i/>
      <w:iCs/>
      <w:color w:val="4F81BD"/>
    </w:rPr>
  </w:style>
  <w:style w:type="character" w:customStyle="1" w:styleId="237">
    <w:name w:val="文档结构图 Char2"/>
    <w:autoRedefine/>
    <w:semiHidden/>
    <w:qFormat/>
    <w:uiPriority w:val="99"/>
    <w:rPr>
      <w:rFonts w:ascii="宋体"/>
      <w:kern w:val="2"/>
      <w:sz w:val="18"/>
      <w:szCs w:val="18"/>
    </w:rPr>
  </w:style>
  <w:style w:type="character" w:customStyle="1" w:styleId="238">
    <w:name w:val="明显引用 Char1"/>
    <w:autoRedefine/>
    <w:qFormat/>
    <w:uiPriority w:val="0"/>
    <w:rPr>
      <w:b/>
      <w:bCs/>
      <w:i/>
      <w:iCs/>
      <w:color w:val="4F81BD"/>
      <w:kern w:val="2"/>
      <w:sz w:val="21"/>
    </w:rPr>
  </w:style>
  <w:style w:type="character" w:customStyle="1" w:styleId="239">
    <w:name w:val="z-窗体底端 Char"/>
    <w:link w:val="240"/>
    <w:autoRedefine/>
    <w:qFormat/>
    <w:uiPriority w:val="0"/>
    <w:rPr>
      <w:rFonts w:ascii="Arial" w:hAnsi="Arial"/>
      <w:vanish/>
      <w:sz w:val="16"/>
      <w:szCs w:val="16"/>
    </w:rPr>
  </w:style>
  <w:style w:type="paragraph" w:customStyle="1" w:styleId="240">
    <w:name w:val="_Style 238"/>
    <w:basedOn w:val="1"/>
    <w:next w:val="1"/>
    <w:link w:val="239"/>
    <w:autoRedefine/>
    <w:qFormat/>
    <w:uiPriority w:val="0"/>
    <w:pPr>
      <w:widowControl/>
      <w:pBdr>
        <w:top w:val="single" w:color="auto" w:sz="6" w:space="1"/>
      </w:pBdr>
      <w:jc w:val="center"/>
    </w:pPr>
    <w:rPr>
      <w:rFonts w:ascii="Arial" w:hAnsi="Arial"/>
      <w:vanish/>
      <w:kern w:val="0"/>
      <w:sz w:val="16"/>
      <w:szCs w:val="16"/>
    </w:rPr>
  </w:style>
  <w:style w:type="character" w:customStyle="1" w:styleId="241">
    <w:name w:val=" Char Char15"/>
    <w:autoRedefine/>
    <w:qFormat/>
    <w:uiPriority w:val="0"/>
    <w:rPr>
      <w:rFonts w:ascii="宋体" w:hAnsi="Courier New"/>
      <w:kern w:val="2"/>
      <w:sz w:val="21"/>
    </w:rPr>
  </w:style>
  <w:style w:type="character" w:customStyle="1" w:styleId="242">
    <w:name w:val="param-explain"/>
    <w:autoRedefine/>
    <w:qFormat/>
    <w:uiPriority w:val="0"/>
  </w:style>
  <w:style w:type="character" w:customStyle="1" w:styleId="243">
    <w:name w:val="Date Char"/>
    <w:autoRedefine/>
    <w:qFormat/>
    <w:locked/>
    <w:uiPriority w:val="0"/>
    <w:rPr>
      <w:rFonts w:ascii="宋体" w:hAnsi="Times New Roman"/>
      <w:sz w:val="28"/>
    </w:rPr>
  </w:style>
  <w:style w:type="character" w:customStyle="1" w:styleId="244">
    <w:name w:val="z-窗体顶端 Char"/>
    <w:link w:val="245"/>
    <w:autoRedefine/>
    <w:qFormat/>
    <w:uiPriority w:val="0"/>
    <w:rPr>
      <w:rFonts w:ascii="Arial" w:hAnsi="Arial"/>
      <w:vanish/>
      <w:sz w:val="16"/>
      <w:szCs w:val="16"/>
    </w:rPr>
  </w:style>
  <w:style w:type="paragraph" w:customStyle="1" w:styleId="245">
    <w:name w:val="_Style 243"/>
    <w:basedOn w:val="1"/>
    <w:next w:val="1"/>
    <w:link w:val="244"/>
    <w:autoRedefine/>
    <w:qFormat/>
    <w:uiPriority w:val="0"/>
    <w:pPr>
      <w:widowControl/>
      <w:pBdr>
        <w:bottom w:val="single" w:color="auto" w:sz="6" w:space="1"/>
      </w:pBdr>
      <w:jc w:val="center"/>
    </w:pPr>
    <w:rPr>
      <w:rFonts w:ascii="Arial" w:hAnsi="Arial"/>
      <w:vanish/>
      <w:kern w:val="0"/>
      <w:sz w:val="16"/>
      <w:szCs w:val="16"/>
    </w:rPr>
  </w:style>
  <w:style w:type="character" w:customStyle="1" w:styleId="246">
    <w:name w:val="标题 Char1"/>
    <w:autoRedefine/>
    <w:qFormat/>
    <w:uiPriority w:val="0"/>
    <w:rPr>
      <w:rFonts w:ascii="Cambria" w:hAnsi="Cambria" w:cs="Times New Roman"/>
      <w:b/>
      <w:bCs/>
      <w:kern w:val="2"/>
      <w:sz w:val="32"/>
      <w:szCs w:val="32"/>
    </w:rPr>
  </w:style>
  <w:style w:type="character" w:customStyle="1" w:styleId="247">
    <w:name w:val="ft331"/>
    <w:autoRedefine/>
    <w:qFormat/>
    <w:uiPriority w:val="0"/>
    <w:rPr>
      <w:rFonts w:hint="default" w:ascii="Times" w:hAnsi="Times"/>
      <w:color w:val="000000"/>
      <w:spacing w:val="16"/>
      <w:sz w:val="15"/>
      <w:szCs w:val="15"/>
    </w:rPr>
  </w:style>
  <w:style w:type="character" w:customStyle="1" w:styleId="248">
    <w:name w:val="标题 3 Char"/>
    <w:autoRedefine/>
    <w:qFormat/>
    <w:uiPriority w:val="9"/>
    <w:rPr>
      <w:rFonts w:ascii="宋体" w:hAnsi="宋体" w:cs="宋体"/>
      <w:b/>
      <w:bCs/>
      <w:sz w:val="27"/>
      <w:szCs w:val="27"/>
    </w:rPr>
  </w:style>
  <w:style w:type="character" w:customStyle="1" w:styleId="249">
    <w:name w:val="Balloon Text Char"/>
    <w:autoRedefine/>
    <w:qFormat/>
    <w:locked/>
    <w:uiPriority w:val="0"/>
    <w:rPr>
      <w:rFonts w:ascii="宋体" w:hAnsi="Times New Roman"/>
      <w:sz w:val="18"/>
    </w:rPr>
  </w:style>
  <w:style w:type="character" w:customStyle="1" w:styleId="250">
    <w:name w:val="浅色底纹 - 强调文字颜色 2 Char"/>
    <w:link w:val="251"/>
    <w:autoRedefine/>
    <w:qFormat/>
    <w:uiPriority w:val="0"/>
    <w:rPr>
      <w:b/>
      <w:bCs/>
      <w:i/>
      <w:iCs/>
      <w:color w:val="4F81BD"/>
      <w:kern w:val="2"/>
      <w:sz w:val="21"/>
      <w:szCs w:val="22"/>
    </w:rPr>
  </w:style>
  <w:style w:type="paragraph" w:customStyle="1" w:styleId="251">
    <w:name w:val="浅色底纹 - 强调文字颜色 21"/>
    <w:basedOn w:val="1"/>
    <w:next w:val="1"/>
    <w:link w:val="250"/>
    <w:autoRedefine/>
    <w:qFormat/>
    <w:uiPriority w:val="0"/>
    <w:pPr>
      <w:pBdr>
        <w:bottom w:val="single" w:color="4F81BD" w:sz="4" w:space="4"/>
      </w:pBdr>
      <w:spacing w:before="200" w:after="280"/>
      <w:ind w:left="936" w:right="936"/>
    </w:pPr>
    <w:rPr>
      <w:b/>
      <w:bCs/>
      <w:i/>
      <w:iCs/>
      <w:color w:val="4F81BD"/>
      <w:szCs w:val="22"/>
    </w:rPr>
  </w:style>
  <w:style w:type="character" w:customStyle="1" w:styleId="252">
    <w:name w:val="Subtle Emphasis"/>
    <w:autoRedefine/>
    <w:qFormat/>
    <w:uiPriority w:val="0"/>
    <w:rPr>
      <w:rFonts w:cs="Times New Roman"/>
      <w:i/>
      <w:color w:val="808080"/>
    </w:rPr>
  </w:style>
  <w:style w:type="character" w:customStyle="1" w:styleId="253">
    <w:name w:val="*正文 Char"/>
    <w:link w:val="254"/>
    <w:autoRedefine/>
    <w:qFormat/>
    <w:locked/>
    <w:uiPriority w:val="0"/>
    <w:rPr>
      <w:rFonts w:ascii="宋体" w:hAnsi="宋体" w:eastAsia="宋体"/>
      <w:sz w:val="24"/>
      <w:lang w:val="en-US" w:eastAsia="zh-CN" w:bidi="ar-SA"/>
    </w:rPr>
  </w:style>
  <w:style w:type="paragraph" w:customStyle="1" w:styleId="254">
    <w:name w:val="*正文"/>
    <w:basedOn w:val="1"/>
    <w:link w:val="253"/>
    <w:autoRedefine/>
    <w:qFormat/>
    <w:uiPriority w:val="0"/>
    <w:pPr>
      <w:spacing w:line="360" w:lineRule="auto"/>
    </w:pPr>
    <w:rPr>
      <w:rFonts w:ascii="宋体" w:hAnsi="宋体"/>
      <w:kern w:val="0"/>
      <w:sz w:val="24"/>
    </w:rPr>
  </w:style>
  <w:style w:type="character" w:customStyle="1" w:styleId="255">
    <w:name w:val="Intense Emphasis"/>
    <w:autoRedefine/>
    <w:qFormat/>
    <w:uiPriority w:val="0"/>
    <w:rPr>
      <w:rFonts w:cs="Times New Roman"/>
      <w:b/>
      <w:i/>
      <w:color w:val="4F81BD"/>
    </w:rPr>
  </w:style>
  <w:style w:type="character" w:customStyle="1" w:styleId="256">
    <w:name w:val="Subtitle Char1"/>
    <w:autoRedefine/>
    <w:qFormat/>
    <w:locked/>
    <w:uiPriority w:val="0"/>
    <w:rPr>
      <w:rFonts w:ascii="Cambria" w:hAnsi="Cambria" w:cs="Times New Roman"/>
      <w:b/>
      <w:bCs/>
      <w:kern w:val="28"/>
      <w:sz w:val="32"/>
      <w:szCs w:val="32"/>
    </w:rPr>
  </w:style>
  <w:style w:type="character" w:customStyle="1" w:styleId="257">
    <w:name w:val="6.1正文 Char"/>
    <w:link w:val="258"/>
    <w:autoRedefine/>
    <w:qFormat/>
    <w:locked/>
    <w:uiPriority w:val="0"/>
    <w:rPr>
      <w:rFonts w:ascii="Calibri" w:hAnsi="Calibri" w:eastAsia="宋体"/>
      <w:sz w:val="21"/>
      <w:lang w:val="en-US" w:eastAsia="zh-CN" w:bidi="ar-SA"/>
    </w:rPr>
  </w:style>
  <w:style w:type="paragraph" w:customStyle="1" w:styleId="258">
    <w:name w:val="6.1正文"/>
    <w:basedOn w:val="1"/>
    <w:link w:val="257"/>
    <w:autoRedefine/>
    <w:qFormat/>
    <w:uiPriority w:val="0"/>
    <w:pPr>
      <w:spacing w:before="120" w:after="120" w:line="360" w:lineRule="auto"/>
      <w:ind w:firstLine="420" w:firstLineChars="200"/>
    </w:pPr>
    <w:rPr>
      <w:rFonts w:ascii="Calibri" w:hAnsi="Calibri"/>
      <w:kern w:val="0"/>
    </w:rPr>
  </w:style>
  <w:style w:type="character" w:customStyle="1" w:styleId="259">
    <w:name w:val="style6"/>
    <w:autoRedefine/>
    <w:qFormat/>
    <w:uiPriority w:val="0"/>
  </w:style>
  <w:style w:type="character" w:customStyle="1" w:styleId="260">
    <w:name w:val="中等深浅网格 11"/>
    <w:autoRedefine/>
    <w:semiHidden/>
    <w:qFormat/>
    <w:uiPriority w:val="99"/>
    <w:rPr>
      <w:color w:val="808080"/>
    </w:rPr>
  </w:style>
  <w:style w:type="character" w:customStyle="1" w:styleId="261">
    <w:name w:val="Quote Char2"/>
    <w:link w:val="262"/>
    <w:autoRedefine/>
    <w:qFormat/>
    <w:locked/>
    <w:uiPriority w:val="0"/>
    <w:rPr>
      <w:rFonts w:ascii="Calibri" w:hAnsi="Calibri"/>
      <w:i/>
      <w:color w:val="000000"/>
    </w:rPr>
  </w:style>
  <w:style w:type="paragraph" w:customStyle="1" w:styleId="262">
    <w:name w:val="Quote"/>
    <w:basedOn w:val="1"/>
    <w:next w:val="1"/>
    <w:link w:val="261"/>
    <w:autoRedefine/>
    <w:qFormat/>
    <w:uiPriority w:val="0"/>
    <w:rPr>
      <w:rFonts w:ascii="Calibri" w:hAnsi="Calibri"/>
      <w:i/>
      <w:color w:val="000000"/>
      <w:kern w:val="0"/>
      <w:sz w:val="20"/>
    </w:rPr>
  </w:style>
  <w:style w:type="character" w:customStyle="1" w:styleId="263">
    <w:name w:val="font01"/>
    <w:autoRedefine/>
    <w:qFormat/>
    <w:uiPriority w:val="0"/>
    <w:rPr>
      <w:rFonts w:hint="eastAsia" w:ascii="宋体" w:hAnsi="宋体" w:eastAsia="宋体"/>
      <w:color w:val="000000"/>
      <w:sz w:val="24"/>
      <w:szCs w:val="24"/>
      <w:u w:val="none"/>
    </w:rPr>
  </w:style>
  <w:style w:type="character" w:customStyle="1" w:styleId="264">
    <w:name w:val="正文首行缩进 Char1"/>
    <w:autoRedefine/>
    <w:semiHidden/>
    <w:qFormat/>
    <w:uiPriority w:val="99"/>
  </w:style>
  <w:style w:type="character" w:customStyle="1" w:styleId="265">
    <w:name w:val="Heading 8 Char"/>
    <w:autoRedefine/>
    <w:qFormat/>
    <w:locked/>
    <w:uiPriority w:val="0"/>
    <w:rPr>
      <w:rFonts w:ascii="Cambria" w:hAnsi="Cambria" w:eastAsia="宋体" w:cs="Times New Roman"/>
      <w:sz w:val="24"/>
      <w:szCs w:val="24"/>
    </w:rPr>
  </w:style>
  <w:style w:type="character" w:customStyle="1" w:styleId="266">
    <w:name w:val="_Style 264"/>
    <w:autoRedefine/>
    <w:qFormat/>
    <w:uiPriority w:val="0"/>
    <w:rPr>
      <w:smallCaps/>
      <w:color w:val="C0504D"/>
      <w:u w:val="single"/>
    </w:rPr>
  </w:style>
  <w:style w:type="character" w:customStyle="1" w:styleId="267">
    <w:name w:val="Intense Quote Char"/>
    <w:autoRedefine/>
    <w:qFormat/>
    <w:locked/>
    <w:uiPriority w:val="0"/>
    <w:rPr>
      <w:b/>
      <w:i/>
      <w:color w:val="4F81BD"/>
    </w:rPr>
  </w:style>
  <w:style w:type="character" w:customStyle="1" w:styleId="268">
    <w:name w:val="页脚 Char"/>
    <w:autoRedefine/>
    <w:qFormat/>
    <w:uiPriority w:val="0"/>
    <w:rPr>
      <w:kern w:val="2"/>
      <w:sz w:val="18"/>
      <w:szCs w:val="18"/>
    </w:rPr>
  </w:style>
  <w:style w:type="character" w:customStyle="1" w:styleId="269">
    <w:name w:val="页眉 Char1"/>
    <w:autoRedefine/>
    <w:semiHidden/>
    <w:qFormat/>
    <w:uiPriority w:val="99"/>
    <w:rPr>
      <w:kern w:val="2"/>
      <w:sz w:val="18"/>
      <w:szCs w:val="18"/>
    </w:rPr>
  </w:style>
  <w:style w:type="character" w:customStyle="1" w:styleId="270">
    <w:name w:val="样式 标书正文 + 下划线 Char"/>
    <w:autoRedefine/>
    <w:qFormat/>
    <w:uiPriority w:val="0"/>
    <w:rPr>
      <w:rFonts w:eastAsia="楷体_GB2312"/>
      <w:kern w:val="2"/>
      <w:sz w:val="28"/>
      <w:u w:val="single"/>
      <w:lang w:val="en-US" w:eastAsia="zh-CN"/>
    </w:rPr>
  </w:style>
  <w:style w:type="character" w:customStyle="1" w:styleId="271">
    <w:name w:val="pagetext1"/>
    <w:autoRedefine/>
    <w:qFormat/>
    <w:uiPriority w:val="0"/>
    <w:rPr>
      <w:rFonts w:hint="eastAsia" w:ascii="宋体" w:hAnsi="宋体" w:eastAsia="宋体"/>
      <w:sz w:val="20"/>
      <w:szCs w:val="20"/>
    </w:rPr>
  </w:style>
  <w:style w:type="character" w:customStyle="1" w:styleId="272">
    <w:name w:val="批注框文本 Char3"/>
    <w:autoRedefine/>
    <w:semiHidden/>
    <w:qFormat/>
    <w:uiPriority w:val="99"/>
    <w:rPr>
      <w:kern w:val="2"/>
      <w:sz w:val="18"/>
      <w:szCs w:val="18"/>
    </w:rPr>
  </w:style>
  <w:style w:type="character" w:customStyle="1" w:styleId="273">
    <w:name w:val="redfont1"/>
    <w:autoRedefine/>
    <w:qFormat/>
    <w:uiPriority w:val="0"/>
    <w:rPr>
      <w:color w:val="FF0000"/>
    </w:rPr>
  </w:style>
  <w:style w:type="character" w:customStyle="1" w:styleId="274">
    <w:name w:val="日期 Char2"/>
    <w:autoRedefine/>
    <w:semiHidden/>
    <w:qFormat/>
    <w:uiPriority w:val="99"/>
    <w:rPr>
      <w:kern w:val="2"/>
      <w:sz w:val="21"/>
      <w:szCs w:val="24"/>
    </w:rPr>
  </w:style>
  <w:style w:type="character" w:customStyle="1" w:styleId="275">
    <w:name w:val="small1"/>
    <w:autoRedefine/>
    <w:qFormat/>
    <w:uiPriority w:val="0"/>
    <w:rPr>
      <w:rFonts w:ascii="Verdana" w:hAnsi="Verdana" w:cs="Verdana"/>
      <w:sz w:val="18"/>
      <w:szCs w:val="18"/>
    </w:rPr>
  </w:style>
  <w:style w:type="character" w:customStyle="1" w:styleId="276">
    <w:name w:val="标题5 Char Char"/>
    <w:link w:val="80"/>
    <w:autoRedefine/>
    <w:qFormat/>
    <w:uiPriority w:val="0"/>
    <w:rPr>
      <w:rFonts w:ascii="Arial" w:hAnsi="Arial"/>
      <w:b/>
      <w:bCs/>
      <w:sz w:val="24"/>
      <w:szCs w:val="32"/>
    </w:rPr>
  </w:style>
  <w:style w:type="character" w:customStyle="1" w:styleId="277">
    <w:name w:val="Document Map Char"/>
    <w:autoRedefine/>
    <w:qFormat/>
    <w:locked/>
    <w:uiPriority w:val="0"/>
    <w:rPr>
      <w:rFonts w:ascii="Times New Roman" w:hAnsi="Times New Roman"/>
      <w:sz w:val="24"/>
      <w:shd w:val="clear" w:color="auto" w:fill="000080"/>
    </w:rPr>
  </w:style>
  <w:style w:type="character" w:customStyle="1" w:styleId="278">
    <w:name w:val="textfont1"/>
    <w:autoRedefine/>
    <w:qFormat/>
    <w:uiPriority w:val="0"/>
    <w:rPr>
      <w:spacing w:val="240"/>
      <w:sz w:val="22"/>
      <w:szCs w:val="22"/>
    </w:rPr>
  </w:style>
  <w:style w:type="character" w:customStyle="1" w:styleId="279">
    <w:name w:val="超链接1"/>
    <w:autoRedefine/>
    <w:qFormat/>
    <w:uiPriority w:val="0"/>
    <w:rPr>
      <w:color w:val="0000FF"/>
      <w:u w:val="none"/>
    </w:rPr>
  </w:style>
  <w:style w:type="character" w:customStyle="1" w:styleId="280">
    <w:name w:val="正文文本 (2)_"/>
    <w:link w:val="281"/>
    <w:autoRedefine/>
    <w:qFormat/>
    <w:uiPriority w:val="99"/>
    <w:rPr>
      <w:rFonts w:ascii="Franklin Gothic Heavy" w:eastAsia="Franklin Gothic Heavy" w:cs="Franklin Gothic Heavy"/>
      <w:sz w:val="18"/>
      <w:szCs w:val="18"/>
      <w:shd w:val="clear" w:color="auto" w:fill="FFFFFF"/>
    </w:rPr>
  </w:style>
  <w:style w:type="paragraph" w:customStyle="1" w:styleId="281">
    <w:name w:val="正文文本 (2)"/>
    <w:basedOn w:val="1"/>
    <w:link w:val="280"/>
    <w:autoRedefine/>
    <w:qFormat/>
    <w:uiPriority w:val="99"/>
    <w:pPr>
      <w:shd w:val="clear" w:color="auto" w:fill="FFFFFF"/>
      <w:spacing w:line="240" w:lineRule="atLeast"/>
      <w:jc w:val="left"/>
    </w:pPr>
    <w:rPr>
      <w:rFonts w:ascii="Franklin Gothic Heavy" w:eastAsia="Franklin Gothic Heavy"/>
      <w:kern w:val="0"/>
      <w:sz w:val="18"/>
      <w:szCs w:val="18"/>
    </w:rPr>
  </w:style>
  <w:style w:type="character" w:customStyle="1" w:styleId="282">
    <w:name w:val="尖角符号样式 Char"/>
    <w:basedOn w:val="180"/>
    <w:link w:val="283"/>
    <w:autoRedefine/>
    <w:qFormat/>
    <w:locked/>
    <w:uiPriority w:val="0"/>
  </w:style>
  <w:style w:type="paragraph" w:customStyle="1" w:styleId="283">
    <w:name w:val="尖角符号样式"/>
    <w:basedOn w:val="181"/>
    <w:link w:val="282"/>
    <w:autoRedefine/>
    <w:qFormat/>
    <w:uiPriority w:val="0"/>
    <w:pPr>
      <w:ind w:firstLine="480"/>
    </w:pPr>
  </w:style>
  <w:style w:type="character" w:customStyle="1" w:styleId="284">
    <w:name w:val="style221"/>
    <w:autoRedefine/>
    <w:qFormat/>
    <w:uiPriority w:val="0"/>
    <w:rPr>
      <w:sz w:val="18"/>
      <w:szCs w:val="18"/>
    </w:rPr>
  </w:style>
  <w:style w:type="character" w:customStyle="1" w:styleId="285">
    <w:name w:val="font11"/>
    <w:autoRedefine/>
    <w:qFormat/>
    <w:uiPriority w:val="0"/>
    <w:rPr>
      <w:rFonts w:hint="eastAsia" w:ascii="宋体" w:hAnsi="宋体" w:eastAsia="宋体" w:cs="宋体"/>
      <w:color w:val="000000"/>
      <w:sz w:val="22"/>
      <w:szCs w:val="22"/>
      <w:u w:val="none"/>
    </w:rPr>
  </w:style>
  <w:style w:type="character" w:customStyle="1" w:styleId="286">
    <w:name w:val="Comment Text Char"/>
    <w:autoRedefine/>
    <w:qFormat/>
    <w:locked/>
    <w:uiPriority w:val="0"/>
    <w:rPr>
      <w:rFonts w:ascii="Arial" w:hAnsi="Arial" w:eastAsia="宋体" w:cs="宋体"/>
      <w:sz w:val="20"/>
      <w:szCs w:val="20"/>
    </w:rPr>
  </w:style>
  <w:style w:type="character" w:customStyle="1" w:styleId="287">
    <w:name w:val="Quote Char"/>
    <w:autoRedefine/>
    <w:qFormat/>
    <w:locked/>
    <w:uiPriority w:val="0"/>
    <w:rPr>
      <w:i/>
      <w:color w:val="000000"/>
    </w:rPr>
  </w:style>
  <w:style w:type="character" w:customStyle="1" w:styleId="288">
    <w:name w:val="unnamed5 style4"/>
    <w:autoRedefine/>
    <w:qFormat/>
    <w:uiPriority w:val="0"/>
    <w:rPr>
      <w:rFonts w:cs="Times New Roman"/>
    </w:rPr>
  </w:style>
  <w:style w:type="character" w:customStyle="1" w:styleId="289">
    <w:name w:val="unnamed1"/>
    <w:autoRedefine/>
    <w:qFormat/>
    <w:uiPriority w:val="0"/>
  </w:style>
  <w:style w:type="character" w:customStyle="1" w:styleId="290">
    <w:name w:val="_Style 289"/>
    <w:autoRedefine/>
    <w:qFormat/>
    <w:uiPriority w:val="0"/>
    <w:rPr>
      <w:b/>
      <w:bCs/>
      <w:i/>
      <w:iCs/>
      <w:color w:val="4F81BD"/>
    </w:rPr>
  </w:style>
  <w:style w:type="character" w:customStyle="1" w:styleId="291">
    <w:name w:val="hei12b1"/>
    <w:autoRedefine/>
    <w:qFormat/>
    <w:uiPriority w:val="0"/>
    <w:rPr>
      <w:b/>
      <w:bCs/>
      <w:color w:val="000000"/>
      <w:sz w:val="21"/>
      <w:szCs w:val="21"/>
    </w:rPr>
  </w:style>
  <w:style w:type="character" w:customStyle="1" w:styleId="292">
    <w:name w:val="z-窗体顶端 Char2"/>
    <w:autoRedefine/>
    <w:qFormat/>
    <w:uiPriority w:val="99"/>
    <w:rPr>
      <w:rFonts w:ascii="Arial" w:hAnsi="Arial" w:cs="Arial"/>
      <w:vanish/>
      <w:kern w:val="2"/>
      <w:sz w:val="16"/>
      <w:szCs w:val="16"/>
    </w:rPr>
  </w:style>
  <w:style w:type="character" w:customStyle="1" w:styleId="293">
    <w:name w:val="书籍标题1"/>
    <w:autoRedefine/>
    <w:qFormat/>
    <w:uiPriority w:val="0"/>
    <w:rPr>
      <w:b/>
      <w:smallCaps/>
      <w:spacing w:val="5"/>
    </w:rPr>
  </w:style>
  <w:style w:type="character" w:customStyle="1" w:styleId="294">
    <w:name w:val="Heading 1 Char"/>
    <w:autoRedefine/>
    <w:qFormat/>
    <w:locked/>
    <w:uiPriority w:val="0"/>
    <w:rPr>
      <w:rFonts w:ascii="Calibri" w:hAnsi="Calibri" w:eastAsia="宋体" w:cs="Times New Roman"/>
      <w:b/>
      <w:bCs/>
      <w:kern w:val="44"/>
      <w:sz w:val="44"/>
      <w:szCs w:val="44"/>
    </w:rPr>
  </w:style>
  <w:style w:type="character" w:customStyle="1" w:styleId="295">
    <w:name w:val="text11"/>
    <w:autoRedefine/>
    <w:qFormat/>
    <w:uiPriority w:val="0"/>
    <w:rPr>
      <w:color w:val="666666"/>
      <w:sz w:val="21"/>
      <w:szCs w:val="21"/>
    </w:rPr>
  </w:style>
  <w:style w:type="character" w:customStyle="1" w:styleId="296">
    <w:name w:val="批注框文本 Char"/>
    <w:autoRedefine/>
    <w:qFormat/>
    <w:uiPriority w:val="0"/>
    <w:rPr>
      <w:kern w:val="2"/>
      <w:sz w:val="18"/>
      <w:szCs w:val="18"/>
    </w:rPr>
  </w:style>
  <w:style w:type="character" w:customStyle="1" w:styleId="297">
    <w:name w:val="页脚 Char1"/>
    <w:autoRedefine/>
    <w:semiHidden/>
    <w:qFormat/>
    <w:uiPriority w:val="99"/>
    <w:rPr>
      <w:kern w:val="2"/>
      <w:sz w:val="18"/>
      <w:szCs w:val="18"/>
    </w:rPr>
  </w:style>
  <w:style w:type="character" w:customStyle="1" w:styleId="298">
    <w:name w:val="明显引用 Char"/>
    <w:autoRedefine/>
    <w:qFormat/>
    <w:uiPriority w:val="0"/>
    <w:rPr>
      <w:b/>
      <w:bCs/>
      <w:i/>
      <w:iCs/>
      <w:color w:val="4F81BD"/>
      <w:kern w:val="2"/>
      <w:sz w:val="21"/>
      <w:szCs w:val="22"/>
    </w:rPr>
  </w:style>
  <w:style w:type="character" w:customStyle="1" w:styleId="299">
    <w:name w:val="hui3"/>
    <w:autoRedefine/>
    <w:qFormat/>
    <w:uiPriority w:val="0"/>
    <w:rPr>
      <w:color w:val="333333"/>
    </w:rPr>
  </w:style>
  <w:style w:type="character" w:customStyle="1" w:styleId="300">
    <w:name w:val="批注文字 Char2"/>
    <w:autoRedefine/>
    <w:semiHidden/>
    <w:qFormat/>
    <w:uiPriority w:val="99"/>
    <w:rPr>
      <w:kern w:val="2"/>
      <w:sz w:val="21"/>
      <w:szCs w:val="24"/>
    </w:rPr>
  </w:style>
  <w:style w:type="character" w:customStyle="1" w:styleId="301">
    <w:name w:val="标题4 Char Char"/>
    <w:link w:val="302"/>
    <w:autoRedefine/>
    <w:qFormat/>
    <w:uiPriority w:val="0"/>
    <w:rPr>
      <w:rFonts w:ascii="Arial" w:hAnsi="Arial"/>
      <w:b/>
      <w:bCs/>
      <w:sz w:val="24"/>
      <w:szCs w:val="32"/>
    </w:rPr>
  </w:style>
  <w:style w:type="paragraph" w:customStyle="1" w:styleId="302">
    <w:name w:val="标题4"/>
    <w:basedOn w:val="3"/>
    <w:next w:val="32"/>
    <w:link w:val="301"/>
    <w:autoRedefine/>
    <w:qFormat/>
    <w:uiPriority w:val="0"/>
    <w:pPr>
      <w:spacing w:line="413" w:lineRule="auto"/>
      <w:ind w:firstLine="0"/>
      <w:jc w:val="both"/>
    </w:pPr>
    <w:rPr>
      <w:rFonts w:eastAsia="宋体"/>
      <w:kern w:val="0"/>
      <w:sz w:val="24"/>
    </w:rPr>
  </w:style>
  <w:style w:type="character" w:customStyle="1" w:styleId="303">
    <w:name w:val="正文文本 Char1"/>
    <w:autoRedefine/>
    <w:qFormat/>
    <w:uiPriority w:val="99"/>
    <w:rPr>
      <w:kern w:val="2"/>
      <w:sz w:val="21"/>
      <w:szCs w:val="22"/>
    </w:rPr>
  </w:style>
  <w:style w:type="character" w:customStyle="1" w:styleId="304">
    <w:name w:val=" Char Char8"/>
    <w:autoRedefine/>
    <w:qFormat/>
    <w:uiPriority w:val="0"/>
    <w:rPr>
      <w:rFonts w:eastAsia="宋体"/>
      <w:kern w:val="2"/>
      <w:sz w:val="21"/>
      <w:lang w:val="en-US" w:eastAsia="zh-CN" w:bidi="ar-SA"/>
    </w:rPr>
  </w:style>
  <w:style w:type="character" w:customStyle="1" w:styleId="305">
    <w:name w:val="apple-style-span"/>
    <w:autoRedefine/>
    <w:qFormat/>
    <w:uiPriority w:val="0"/>
  </w:style>
  <w:style w:type="character" w:customStyle="1" w:styleId="306">
    <w:name w:val="p12"/>
    <w:autoRedefine/>
    <w:qFormat/>
    <w:uiPriority w:val="0"/>
  </w:style>
  <w:style w:type="character" w:customStyle="1" w:styleId="307">
    <w:name w:val="Title Char2"/>
    <w:autoRedefine/>
    <w:qFormat/>
    <w:locked/>
    <w:uiPriority w:val="0"/>
    <w:rPr>
      <w:rFonts w:ascii="Cambria" w:hAnsi="Cambria" w:eastAsia="宋体" w:cs="Times New Roman"/>
      <w:b/>
      <w:bCs/>
      <w:sz w:val="32"/>
      <w:szCs w:val="32"/>
    </w:rPr>
  </w:style>
  <w:style w:type="character" w:customStyle="1" w:styleId="308">
    <w:name w:val="List Paragraph Char"/>
    <w:link w:val="309"/>
    <w:autoRedefine/>
    <w:qFormat/>
    <w:locked/>
    <w:uiPriority w:val="0"/>
    <w:rPr>
      <w:rFonts w:ascii="Arial" w:hAnsi="Arial" w:cs="宋体"/>
      <w:kern w:val="2"/>
      <w:sz w:val="24"/>
    </w:rPr>
  </w:style>
  <w:style w:type="paragraph" w:customStyle="1" w:styleId="309">
    <w:name w:val="列出段落2"/>
    <w:basedOn w:val="1"/>
    <w:link w:val="308"/>
    <w:autoRedefine/>
    <w:qFormat/>
    <w:uiPriority w:val="0"/>
    <w:pPr>
      <w:spacing w:line="360" w:lineRule="auto"/>
      <w:ind w:firstLine="420" w:firstLineChars="200"/>
    </w:pPr>
    <w:rPr>
      <w:rFonts w:ascii="Arial" w:hAnsi="Arial"/>
      <w:sz w:val="24"/>
    </w:rPr>
  </w:style>
  <w:style w:type="character" w:customStyle="1" w:styleId="310">
    <w:name w:val="纯文本 Char1"/>
    <w:autoRedefine/>
    <w:qFormat/>
    <w:uiPriority w:val="0"/>
    <w:rPr>
      <w:rFonts w:ascii="宋体" w:hAnsi="Courier New"/>
      <w:kern w:val="2"/>
      <w:sz w:val="21"/>
    </w:rPr>
  </w:style>
  <w:style w:type="character" w:customStyle="1" w:styleId="311">
    <w:name w:val="style211"/>
    <w:autoRedefine/>
    <w:qFormat/>
    <w:uiPriority w:val="0"/>
    <w:rPr>
      <w:color w:val="000000"/>
    </w:rPr>
  </w:style>
  <w:style w:type="character" w:customStyle="1" w:styleId="312">
    <w:name w:val="Normal Indent Char"/>
    <w:autoRedefine/>
    <w:qFormat/>
    <w:locked/>
    <w:uiPriority w:val="0"/>
    <w:rPr>
      <w:rFonts w:ascii="Times New Roman" w:hAnsi="Times New Roman" w:eastAsia="宋体"/>
      <w:sz w:val="20"/>
    </w:rPr>
  </w:style>
  <w:style w:type="character" w:customStyle="1" w:styleId="313">
    <w:name w:val="title_emph"/>
    <w:autoRedefine/>
    <w:qFormat/>
    <w:uiPriority w:val="0"/>
  </w:style>
  <w:style w:type="character" w:customStyle="1" w:styleId="314">
    <w:name w:val="ft621"/>
    <w:autoRedefine/>
    <w:qFormat/>
    <w:uiPriority w:val="0"/>
    <w:rPr>
      <w:rFonts w:hint="default" w:ascii="Times" w:hAnsi="Times"/>
      <w:color w:val="000000"/>
      <w:spacing w:val="14"/>
      <w:sz w:val="15"/>
      <w:szCs w:val="15"/>
    </w:rPr>
  </w:style>
  <w:style w:type="character" w:customStyle="1" w:styleId="315">
    <w:name w:val="paramname3"/>
    <w:autoRedefine/>
    <w:qFormat/>
    <w:uiPriority w:val="0"/>
    <w:rPr>
      <w:color w:val="999999"/>
    </w:rPr>
  </w:style>
  <w:style w:type="character" w:customStyle="1" w:styleId="316">
    <w:name w:val="正文首行缩进 Char"/>
    <w:autoRedefine/>
    <w:qFormat/>
    <w:uiPriority w:val="0"/>
    <w:rPr>
      <w:rFonts w:ascii="宋体" w:hAnsi="宋体"/>
      <w:kern w:val="2"/>
      <w:sz w:val="21"/>
      <w:szCs w:val="24"/>
    </w:rPr>
  </w:style>
  <w:style w:type="character" w:customStyle="1" w:styleId="317">
    <w:name w:val="批注主题 Char2"/>
    <w:autoRedefine/>
    <w:semiHidden/>
    <w:qFormat/>
    <w:uiPriority w:val="99"/>
    <w:rPr>
      <w:b/>
      <w:bCs/>
      <w:kern w:val="2"/>
      <w:sz w:val="21"/>
      <w:szCs w:val="24"/>
    </w:rPr>
  </w:style>
  <w:style w:type="character" w:customStyle="1" w:styleId="318">
    <w:name w:val="font41"/>
    <w:autoRedefine/>
    <w:qFormat/>
    <w:uiPriority w:val="0"/>
    <w:rPr>
      <w:rFonts w:ascii="微软雅黑" w:hAnsi="微软雅黑" w:eastAsia="微软雅黑" w:cs="微软雅黑"/>
      <w:b/>
      <w:color w:val="FFFFFF"/>
      <w:sz w:val="20"/>
      <w:szCs w:val="20"/>
      <w:u w:val="none"/>
    </w:rPr>
  </w:style>
  <w:style w:type="character" w:customStyle="1" w:styleId="319">
    <w:name w:val="style3"/>
    <w:autoRedefine/>
    <w:qFormat/>
    <w:uiPriority w:val="0"/>
  </w:style>
  <w:style w:type="character" w:customStyle="1" w:styleId="320">
    <w:name w:val="Heading 3 Char"/>
    <w:autoRedefine/>
    <w:qFormat/>
    <w:locked/>
    <w:uiPriority w:val="0"/>
    <w:rPr>
      <w:rFonts w:ascii="Calibri" w:hAnsi="Calibri" w:eastAsia="宋体" w:cs="Times New Roman"/>
      <w:b/>
      <w:bCs/>
      <w:sz w:val="32"/>
      <w:szCs w:val="32"/>
    </w:rPr>
  </w:style>
  <w:style w:type="character" w:customStyle="1" w:styleId="321">
    <w:name w:val=" Char Char6"/>
    <w:autoRedefine/>
    <w:qFormat/>
    <w:uiPriority w:val="0"/>
    <w:rPr>
      <w:kern w:val="2"/>
      <w:sz w:val="18"/>
      <w:szCs w:val="18"/>
    </w:rPr>
  </w:style>
  <w:style w:type="character" w:customStyle="1" w:styleId="322">
    <w:name w:val="批注主题 Char1"/>
    <w:autoRedefine/>
    <w:qFormat/>
    <w:uiPriority w:val="0"/>
    <w:rPr>
      <w:b/>
      <w:bCs/>
      <w:kern w:val="2"/>
      <w:sz w:val="21"/>
      <w:szCs w:val="22"/>
    </w:rPr>
  </w:style>
  <w:style w:type="character" w:customStyle="1" w:styleId="323">
    <w:name w:val="font161"/>
    <w:autoRedefine/>
    <w:qFormat/>
    <w:uiPriority w:val="0"/>
    <w:rPr>
      <w:b/>
      <w:sz w:val="32"/>
    </w:rPr>
  </w:style>
  <w:style w:type="character" w:customStyle="1" w:styleId="324">
    <w:name w:val="ca-13"/>
    <w:autoRedefine/>
    <w:qFormat/>
    <w:uiPriority w:val="0"/>
    <w:rPr>
      <w:rFonts w:hint="eastAsia" w:ascii="宋体" w:hAnsi="宋体" w:eastAsia="宋体"/>
      <w:color w:val="000000"/>
      <w:sz w:val="21"/>
      <w:szCs w:val="21"/>
    </w:rPr>
  </w:style>
  <w:style w:type="character" w:customStyle="1" w:styleId="325">
    <w:name w:val="批注文字 Char1"/>
    <w:autoRedefine/>
    <w:qFormat/>
    <w:uiPriority w:val="99"/>
    <w:rPr>
      <w:rFonts w:eastAsia="宋体"/>
      <w:kern w:val="2"/>
      <w:sz w:val="21"/>
      <w:lang w:val="en-US" w:eastAsia="zh-CN" w:bidi="ar-SA"/>
    </w:rPr>
  </w:style>
  <w:style w:type="character" w:customStyle="1" w:styleId="326">
    <w:name w:val="Header Char"/>
    <w:autoRedefine/>
    <w:qFormat/>
    <w:locked/>
    <w:uiPriority w:val="0"/>
    <w:rPr>
      <w:sz w:val="18"/>
    </w:rPr>
  </w:style>
  <w:style w:type="character" w:customStyle="1" w:styleId="327">
    <w:name w:val="列出段落 Char2"/>
    <w:autoRedefine/>
    <w:qFormat/>
    <w:uiPriority w:val="34"/>
    <w:rPr>
      <w:kern w:val="2"/>
      <w:sz w:val="21"/>
      <w:szCs w:val="22"/>
    </w:rPr>
  </w:style>
  <w:style w:type="character" w:customStyle="1" w:styleId="328">
    <w:name w:val="2级标题 Char"/>
    <w:link w:val="329"/>
    <w:autoRedefine/>
    <w:qFormat/>
    <w:locked/>
    <w:uiPriority w:val="0"/>
    <w:rPr>
      <w:rFonts w:ascii="Arial" w:hAnsi="Arial" w:eastAsia="宋体" w:cs="宋体"/>
      <w:b/>
      <w:kern w:val="2"/>
      <w:sz w:val="32"/>
      <w:szCs w:val="32"/>
    </w:rPr>
  </w:style>
  <w:style w:type="paragraph" w:customStyle="1" w:styleId="329">
    <w:name w:val="2级标题"/>
    <w:basedOn w:val="148"/>
    <w:link w:val="328"/>
    <w:autoRedefine/>
    <w:qFormat/>
    <w:uiPriority w:val="0"/>
    <w:pPr>
      <w:numPr>
        <w:ilvl w:val="1"/>
        <w:numId w:val="4"/>
      </w:numPr>
      <w:ind w:firstLine="0" w:firstLineChars="0"/>
      <w:outlineLvl w:val="1"/>
    </w:pPr>
    <w:rPr>
      <w:rFonts w:ascii="Arial" w:hAnsi="Arial"/>
      <w:b/>
      <w:sz w:val="32"/>
      <w:szCs w:val="32"/>
    </w:rPr>
  </w:style>
  <w:style w:type="character" w:customStyle="1" w:styleId="330">
    <w:name w:val="日期 Char1"/>
    <w:autoRedefine/>
    <w:qFormat/>
    <w:uiPriority w:val="0"/>
    <w:rPr>
      <w:kern w:val="2"/>
      <w:sz w:val="21"/>
      <w:szCs w:val="22"/>
    </w:rPr>
  </w:style>
  <w:style w:type="character" w:customStyle="1" w:styleId="331">
    <w:name w:val="文档结构图 Char1"/>
    <w:autoRedefine/>
    <w:qFormat/>
    <w:uiPriority w:val="0"/>
    <w:rPr>
      <w:rFonts w:ascii="宋体"/>
      <w:kern w:val="2"/>
      <w:sz w:val="18"/>
      <w:szCs w:val="18"/>
    </w:rPr>
  </w:style>
  <w:style w:type="character" w:customStyle="1" w:styleId="332">
    <w:name w:val="_Style 331"/>
    <w:autoRedefine/>
    <w:qFormat/>
    <w:uiPriority w:val="0"/>
    <w:rPr>
      <w:i/>
      <w:iCs/>
      <w:color w:val="808080"/>
    </w:rPr>
  </w:style>
  <w:style w:type="character" w:customStyle="1" w:styleId="333">
    <w:name w:val="font51"/>
    <w:autoRedefine/>
    <w:qFormat/>
    <w:uiPriority w:val="0"/>
    <w:rPr>
      <w:rFonts w:hint="eastAsia" w:ascii="宋体" w:hAnsi="宋体" w:eastAsia="宋体" w:cs="宋体"/>
      <w:color w:val="000000"/>
      <w:sz w:val="22"/>
      <w:szCs w:val="22"/>
      <w:u w:val="none"/>
    </w:rPr>
  </w:style>
  <w:style w:type="character" w:customStyle="1" w:styleId="334">
    <w:name w:val="标题6 Char"/>
    <w:link w:val="335"/>
    <w:autoRedefine/>
    <w:qFormat/>
    <w:locked/>
    <w:uiPriority w:val="0"/>
    <w:rPr>
      <w:rFonts w:ascii="Arial" w:hAnsi="Arial" w:eastAsia="黑体" w:cs="宋体"/>
      <w:b/>
      <w:bCs/>
      <w:kern w:val="2"/>
      <w:sz w:val="24"/>
      <w:lang w:val="en-US" w:eastAsia="zh-CN" w:bidi="ar-SA"/>
    </w:rPr>
  </w:style>
  <w:style w:type="paragraph" w:customStyle="1" w:styleId="335">
    <w:name w:val="标题6"/>
    <w:basedOn w:val="7"/>
    <w:next w:val="1"/>
    <w:link w:val="334"/>
    <w:autoRedefine/>
    <w:qFormat/>
    <w:uiPriority w:val="0"/>
    <w:pPr>
      <w:keepLines/>
      <w:numPr>
        <w:ilvl w:val="5"/>
        <w:numId w:val="0"/>
      </w:numPr>
      <w:autoSpaceDE/>
      <w:autoSpaceDN/>
      <w:adjustRightInd/>
      <w:spacing w:before="240" w:beforeLines="0" w:after="64" w:afterLines="0" w:line="320" w:lineRule="auto"/>
      <w:jc w:val="both"/>
    </w:pPr>
    <w:rPr>
      <w:rFonts w:ascii="Arial" w:hAnsi="Arial" w:eastAsia="黑体" w:cs="宋体"/>
      <w:b/>
      <w:bCs/>
      <w:kern w:val="2"/>
      <w:sz w:val="24"/>
      <w:lang w:val="en-US" w:eastAsia="zh-CN"/>
    </w:rPr>
  </w:style>
  <w:style w:type="character" w:customStyle="1" w:styleId="336">
    <w:name w:val="标题 2 Char1"/>
    <w:autoRedefine/>
    <w:qFormat/>
    <w:uiPriority w:val="9"/>
    <w:rPr>
      <w:rFonts w:ascii="Arial" w:hAnsi="Arial"/>
      <w:b/>
      <w:kern w:val="2"/>
      <w:sz w:val="28"/>
    </w:rPr>
  </w:style>
  <w:style w:type="character" w:customStyle="1" w:styleId="337">
    <w:name w:val="h31"/>
    <w:autoRedefine/>
    <w:qFormat/>
    <w:uiPriority w:val="0"/>
    <w:rPr>
      <w:spacing w:val="314"/>
      <w:sz w:val="20"/>
      <w:szCs w:val="20"/>
    </w:rPr>
  </w:style>
  <w:style w:type="character" w:customStyle="1" w:styleId="338">
    <w:name w:val="样式1 Char Char"/>
    <w:link w:val="339"/>
    <w:autoRedefine/>
    <w:qFormat/>
    <w:locked/>
    <w:uiPriority w:val="0"/>
    <w:rPr>
      <w:rFonts w:ascii="宋体" w:hAnsi="宋体"/>
      <w:sz w:val="21"/>
    </w:rPr>
  </w:style>
  <w:style w:type="paragraph" w:customStyle="1" w:styleId="339">
    <w:name w:val="样式1"/>
    <w:basedOn w:val="1"/>
    <w:link w:val="338"/>
    <w:autoRedefine/>
    <w:qFormat/>
    <w:uiPriority w:val="0"/>
    <w:pPr>
      <w:tabs>
        <w:tab w:val="left" w:pos="709"/>
      </w:tabs>
      <w:adjustRightInd w:val="0"/>
      <w:ind w:left="709" w:hanging="709"/>
      <w:textAlignment w:val="baseline"/>
    </w:pPr>
    <w:rPr>
      <w:rFonts w:ascii="宋体" w:hAnsi="宋体"/>
      <w:kern w:val="0"/>
    </w:rPr>
  </w:style>
  <w:style w:type="character" w:customStyle="1" w:styleId="340">
    <w:name w:val="Subtitle Char2"/>
    <w:autoRedefine/>
    <w:qFormat/>
    <w:locked/>
    <w:uiPriority w:val="0"/>
    <w:rPr>
      <w:rFonts w:ascii="Cambria" w:hAnsi="Cambria" w:eastAsia="宋体" w:cs="Times New Roman"/>
      <w:b/>
      <w:bCs/>
      <w:kern w:val="28"/>
      <w:sz w:val="32"/>
      <w:szCs w:val="32"/>
    </w:rPr>
  </w:style>
  <w:style w:type="character" w:customStyle="1" w:styleId="341">
    <w:name w:val=" Char Char16"/>
    <w:autoRedefine/>
    <w:qFormat/>
    <w:uiPriority w:val="0"/>
    <w:rPr>
      <w:rFonts w:ascii="Arial" w:hAnsi="Arial" w:eastAsia="黑体"/>
      <w:b/>
      <w:bCs/>
      <w:kern w:val="2"/>
      <w:sz w:val="32"/>
      <w:szCs w:val="32"/>
      <w:lang w:val="en-US" w:eastAsia="zh-CN" w:bidi="ar-SA"/>
    </w:rPr>
  </w:style>
  <w:style w:type="character" w:customStyle="1" w:styleId="342">
    <w:name w:val="style"/>
    <w:autoRedefine/>
    <w:qFormat/>
    <w:uiPriority w:val="0"/>
  </w:style>
  <w:style w:type="character" w:customStyle="1" w:styleId="343">
    <w:name w:val="style111"/>
    <w:autoRedefine/>
    <w:qFormat/>
    <w:uiPriority w:val="0"/>
    <w:rPr>
      <w:color w:val="0000FF"/>
    </w:rPr>
  </w:style>
  <w:style w:type="character" w:customStyle="1" w:styleId="344">
    <w:name w:val="font011"/>
    <w:autoRedefine/>
    <w:qFormat/>
    <w:uiPriority w:val="0"/>
    <w:rPr>
      <w:b/>
      <w:bCs/>
      <w:color w:val="0C5697"/>
    </w:rPr>
  </w:style>
  <w:style w:type="character" w:customStyle="1" w:styleId="345">
    <w:name w:val="正文文本 Char"/>
    <w:autoRedefine/>
    <w:qFormat/>
    <w:uiPriority w:val="0"/>
    <w:rPr>
      <w:kern w:val="2"/>
      <w:sz w:val="21"/>
      <w:szCs w:val="24"/>
    </w:rPr>
  </w:style>
  <w:style w:type="paragraph" w:customStyle="1" w:styleId="346">
    <w:name w:val="xl9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347">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48">
    <w:name w:val="表格文字"/>
    <w:basedOn w:val="1"/>
    <w:autoRedefine/>
    <w:qFormat/>
    <w:uiPriority w:val="0"/>
    <w:pPr>
      <w:adjustRightInd w:val="0"/>
      <w:spacing w:line="420" w:lineRule="atLeast"/>
      <w:jc w:val="left"/>
      <w:textAlignment w:val="baseline"/>
    </w:pPr>
    <w:rPr>
      <w:kern w:val="0"/>
    </w:rPr>
  </w:style>
  <w:style w:type="paragraph" w:customStyle="1" w:styleId="349">
    <w:name w:val="eng"/>
    <w:basedOn w:val="1"/>
    <w:autoRedefine/>
    <w:qFormat/>
    <w:uiPriority w:val="0"/>
    <w:pPr>
      <w:widowControl/>
      <w:spacing w:before="100" w:beforeAutospacing="1" w:after="100" w:afterAutospacing="1"/>
      <w:jc w:val="left"/>
    </w:pPr>
    <w:rPr>
      <w:rFonts w:ascii="Verdana" w:hAnsi="Verdana"/>
      <w:color w:val="FFFFFF"/>
      <w:kern w:val="0"/>
      <w:sz w:val="18"/>
    </w:rPr>
  </w:style>
  <w:style w:type="paragraph" w:customStyle="1" w:styleId="35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2"/>
      <w:szCs w:val="22"/>
    </w:rPr>
  </w:style>
  <w:style w:type="paragraph" w:customStyle="1" w:styleId="351">
    <w:name w:val="Char12"/>
    <w:basedOn w:val="1"/>
    <w:autoRedefine/>
    <w:qFormat/>
    <w:uiPriority w:val="0"/>
    <w:rPr>
      <w:rFonts w:ascii="Tahoma" w:hAnsi="Tahoma"/>
      <w:sz w:val="24"/>
    </w:rPr>
  </w:style>
  <w:style w:type="paragraph" w:customStyle="1" w:styleId="352">
    <w:name w:val="SUR-需求定义-第4级"/>
    <w:basedOn w:val="5"/>
    <w:next w:val="1"/>
    <w:autoRedefine/>
    <w:qFormat/>
    <w:uiPriority w:val="0"/>
    <w:pPr>
      <w:numPr>
        <w:ilvl w:val="3"/>
        <w:numId w:val="1"/>
      </w:numPr>
      <w:tabs>
        <w:tab w:val="left" w:pos="1080"/>
        <w:tab w:val="clear" w:pos="2934"/>
      </w:tabs>
      <w:spacing w:before="0" w:after="0"/>
      <w:ind w:left="-283" w:firstLine="283"/>
      <w:jc w:val="left"/>
    </w:pPr>
    <w:rPr>
      <w:rFonts w:cs="Arial"/>
      <w:b w:val="0"/>
      <w:color w:val="0000FF"/>
      <w:sz w:val="24"/>
      <w:szCs w:val="24"/>
    </w:rPr>
  </w:style>
  <w:style w:type="paragraph" w:customStyle="1" w:styleId="353">
    <w:name w:val="Char Char Char Char Char Char1 Char Char"/>
    <w:basedOn w:val="1"/>
    <w:autoRedefine/>
    <w:qFormat/>
    <w:uiPriority w:val="0"/>
    <w:pPr>
      <w:widowControl/>
      <w:spacing w:after="160" w:line="240" w:lineRule="exact"/>
      <w:ind w:left="264" w:firstLine="280"/>
      <w:jc w:val="left"/>
    </w:pPr>
    <w:rPr>
      <w:rFonts w:ascii="Calibri" w:hAnsi="Calibri" w:cs="Droid Sans"/>
      <w:b/>
      <w:kern w:val="0"/>
      <w:sz w:val="24"/>
      <w:lang w:eastAsia="en-US"/>
    </w:rPr>
  </w:style>
  <w:style w:type="paragraph" w:customStyle="1" w:styleId="354">
    <w:name w:val="p22"/>
    <w:basedOn w:val="1"/>
    <w:autoRedefine/>
    <w:qFormat/>
    <w:uiPriority w:val="0"/>
    <w:pPr>
      <w:widowControl/>
      <w:spacing w:before="240" w:after="60"/>
      <w:jc w:val="center"/>
    </w:pPr>
    <w:rPr>
      <w:rFonts w:ascii="Cambria" w:hAnsi="Cambria" w:cs="宋体"/>
      <w:b/>
      <w:bCs/>
      <w:kern w:val="0"/>
      <w:sz w:val="32"/>
      <w:szCs w:val="32"/>
    </w:rPr>
  </w:style>
  <w:style w:type="paragraph" w:customStyle="1" w:styleId="355">
    <w:name w:val="Normal (Web)"/>
    <w:basedOn w:val="1"/>
    <w:autoRedefine/>
    <w:qFormat/>
    <w:uiPriority w:val="0"/>
    <w:pPr>
      <w:widowControl/>
      <w:spacing w:before="75" w:after="75" w:line="432" w:lineRule="auto"/>
    </w:pPr>
    <w:rPr>
      <w:rFonts w:eastAsia="Times New Roman"/>
      <w:kern w:val="0"/>
      <w:sz w:val="24"/>
      <w:szCs w:val="24"/>
    </w:rPr>
  </w:style>
  <w:style w:type="paragraph" w:customStyle="1" w:styleId="356">
    <w:name w:val="about_main1"/>
    <w:basedOn w:val="1"/>
    <w:autoRedefine/>
    <w:qFormat/>
    <w:uiPriority w:val="0"/>
    <w:pPr>
      <w:widowControl/>
      <w:spacing w:before="24" w:after="100" w:afterAutospacing="1"/>
      <w:jc w:val="left"/>
    </w:pPr>
    <w:rPr>
      <w:rFonts w:ascii="宋体" w:hAnsi="宋体" w:eastAsia="宋体" w:cs="宋体"/>
      <w:kern w:val="0"/>
      <w:sz w:val="24"/>
      <w:szCs w:val="24"/>
    </w:rPr>
  </w:style>
  <w:style w:type="paragraph" w:customStyle="1" w:styleId="357">
    <w:name w:val=" Char Char Char Char Char Char Char Char Char Char Char Char Char Char Char Char"/>
    <w:basedOn w:val="1"/>
    <w:autoRedefine/>
    <w:qFormat/>
    <w:uiPriority w:val="0"/>
    <w:pPr>
      <w:tabs>
        <w:tab w:val="left" w:pos="360"/>
      </w:tabs>
      <w:spacing w:line="360" w:lineRule="auto"/>
      <w:ind w:left="482" w:firstLine="200" w:firstLineChars="200"/>
    </w:pPr>
    <w:rPr>
      <w:rFonts w:ascii="宋体"/>
      <w:sz w:val="24"/>
      <w:szCs w:val="24"/>
    </w:rPr>
  </w:style>
  <w:style w:type="paragraph" w:customStyle="1" w:styleId="358">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359">
    <w:name w:val="Char Char1 Char Char Char Char Char Char"/>
    <w:basedOn w:val="1"/>
    <w:autoRedefine/>
    <w:qFormat/>
    <w:uiPriority w:val="0"/>
    <w:pPr>
      <w:widowControl/>
      <w:adjustRightInd w:val="0"/>
      <w:snapToGrid w:val="0"/>
      <w:spacing w:line="360" w:lineRule="auto"/>
      <w:ind w:firstLine="601"/>
    </w:pPr>
    <w:rPr>
      <w:rFonts w:ascii="宋体" w:hAnsi="宋体"/>
      <w:color w:val="000000"/>
      <w:kern w:val="0"/>
      <w:sz w:val="24"/>
    </w:rPr>
  </w:style>
  <w:style w:type="paragraph" w:customStyle="1" w:styleId="360">
    <w:name w:val="条1"/>
    <w:basedOn w:val="1"/>
    <w:next w:val="361"/>
    <w:autoRedefine/>
    <w:qFormat/>
    <w:uiPriority w:val="0"/>
    <w:pPr>
      <w:numPr>
        <w:ilvl w:val="1"/>
        <w:numId w:val="6"/>
      </w:numPr>
      <w:tabs>
        <w:tab w:val="left" w:pos="810"/>
      </w:tabs>
      <w:outlineLvl w:val="1"/>
    </w:pPr>
    <w:rPr>
      <w:rFonts w:ascii="黑体" w:eastAsia="黑体"/>
      <w:kern w:val="21"/>
    </w:rPr>
  </w:style>
  <w:style w:type="paragraph" w:customStyle="1" w:styleId="3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62">
    <w:name w:val="Table Heading"/>
    <w:basedOn w:val="363"/>
    <w:autoRedefine/>
    <w:qFormat/>
    <w:uiPriority w:val="0"/>
    <w:pPr>
      <w:jc w:val="center"/>
    </w:pPr>
    <w:rPr>
      <w:b/>
      <w:bCs/>
      <w:i/>
      <w:iCs/>
    </w:rPr>
  </w:style>
  <w:style w:type="paragraph" w:customStyle="1" w:styleId="363">
    <w:name w:val="Table Contents"/>
    <w:basedOn w:val="25"/>
    <w:autoRedefine/>
    <w:qFormat/>
    <w:uiPriority w:val="0"/>
    <w:pPr>
      <w:suppressLineNumbers/>
      <w:suppressAutoHyphens/>
      <w:spacing w:after="120"/>
      <w:jc w:val="left"/>
    </w:pPr>
    <w:rPr>
      <w:rFonts w:ascii="Times New Roman" w:hAnsi="Times New Roman" w:eastAsia="PMingLiU"/>
      <w:kern w:val="0"/>
      <w:sz w:val="24"/>
      <w:szCs w:val="24"/>
    </w:rPr>
  </w:style>
  <w:style w:type="paragraph" w:customStyle="1" w:styleId="36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楷体_GB2312"/>
      <w:kern w:val="0"/>
      <w:sz w:val="22"/>
      <w:szCs w:val="22"/>
    </w:rPr>
  </w:style>
  <w:style w:type="paragraph" w:customStyle="1" w:styleId="365">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66">
    <w:name w:val="xl93"/>
    <w:basedOn w:val="1"/>
    <w:autoRedefine/>
    <w:qFormat/>
    <w:uiPriority w:val="0"/>
    <w:pPr>
      <w:widowControl/>
      <w:pBdr>
        <w:bottom w:val="single" w:color="auto" w:sz="4" w:space="0"/>
      </w:pBdr>
      <w:shd w:val="clear" w:color="auto" w:fill="FFFFFF"/>
      <w:spacing w:before="100" w:beforeAutospacing="1" w:after="100" w:afterAutospacing="1"/>
      <w:jc w:val="center"/>
    </w:pPr>
    <w:rPr>
      <w:rFonts w:ascii="宋体" w:hAnsi="宋体" w:cs="宋体"/>
      <w:b/>
      <w:bCs/>
      <w:color w:val="000000"/>
      <w:kern w:val="0"/>
      <w:sz w:val="28"/>
      <w:szCs w:val="28"/>
    </w:rPr>
  </w:style>
  <w:style w:type="paragraph" w:customStyle="1" w:styleId="367">
    <w:name w:val="标题9"/>
    <w:basedOn w:val="10"/>
    <w:next w:val="1"/>
    <w:autoRedefine/>
    <w:qFormat/>
    <w:uiPriority w:val="0"/>
    <w:pPr>
      <w:numPr>
        <w:ilvl w:val="8"/>
        <w:numId w:val="0"/>
      </w:numPr>
      <w:tabs>
        <w:tab w:val="clear" w:pos="1584"/>
      </w:tabs>
    </w:pPr>
    <w:rPr>
      <w:rFonts w:ascii="Cambria" w:hAnsi="Cambria" w:eastAsia="宋体"/>
      <w:lang w:eastAsia="en-US"/>
    </w:rPr>
  </w:style>
  <w:style w:type="paragraph" w:customStyle="1" w:styleId="368">
    <w:name w:val=" Char Char Char Char Char Char Char"/>
    <w:basedOn w:val="1"/>
    <w:autoRedefine/>
    <w:qFormat/>
    <w:uiPriority w:val="0"/>
    <w:rPr>
      <w:szCs w:val="24"/>
    </w:rPr>
  </w:style>
  <w:style w:type="paragraph" w:customStyle="1" w:styleId="369">
    <w:name w:val="D标2"/>
    <w:basedOn w:val="3"/>
    <w:autoRedefine/>
    <w:qFormat/>
    <w:uiPriority w:val="0"/>
    <w:pPr>
      <w:keepLines w:val="0"/>
      <w:widowControl/>
      <w:tabs>
        <w:tab w:val="left" w:pos="425"/>
        <w:tab w:val="left" w:pos="810"/>
        <w:tab w:val="left" w:pos="1140"/>
      </w:tabs>
      <w:autoSpaceDE w:val="0"/>
      <w:autoSpaceDN w:val="0"/>
      <w:adjustRightInd w:val="0"/>
      <w:spacing w:before="360" w:after="0" w:line="480" w:lineRule="exact"/>
      <w:ind w:left="810" w:hanging="810"/>
      <w:jc w:val="left"/>
    </w:pPr>
    <w:rPr>
      <w:rFonts w:eastAsia="宋体" w:cs="Droid Sans"/>
      <w:bCs w:val="0"/>
      <w:kern w:val="0"/>
      <w:sz w:val="28"/>
      <w:szCs w:val="20"/>
    </w:rPr>
  </w:style>
  <w:style w:type="paragraph" w:customStyle="1" w:styleId="370">
    <w:name w:val="xl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2"/>
      <w:szCs w:val="22"/>
    </w:rPr>
  </w:style>
  <w:style w:type="paragraph" w:customStyle="1" w:styleId="371">
    <w:name w:val="Char Char Char Char1"/>
    <w:basedOn w:val="1"/>
    <w:autoRedefine/>
    <w:qFormat/>
    <w:uiPriority w:val="0"/>
    <w:rPr>
      <w:rFonts w:ascii="Tahoma" w:hAnsi="Tahoma"/>
      <w:sz w:val="24"/>
    </w:rPr>
  </w:style>
  <w:style w:type="paragraph" w:customStyle="1" w:styleId="372">
    <w:name w:val="样式 首行缩进:  2 字符"/>
    <w:basedOn w:val="1"/>
    <w:autoRedefine/>
    <w:qFormat/>
    <w:uiPriority w:val="0"/>
    <w:pPr>
      <w:spacing w:line="400" w:lineRule="exact"/>
      <w:ind w:firstLine="200" w:firstLineChars="200"/>
    </w:pPr>
    <w:rPr>
      <w:rFonts w:cs="宋体"/>
      <w:sz w:val="24"/>
      <w:szCs w:val="24"/>
    </w:rPr>
  </w:style>
  <w:style w:type="paragraph" w:customStyle="1" w:styleId="373">
    <w:name w:val="Char Char Char Char Char Char Char"/>
    <w:basedOn w:val="1"/>
    <w:autoRedefine/>
    <w:qFormat/>
    <w:uiPriority w:val="0"/>
    <w:pPr>
      <w:spacing w:line="380" w:lineRule="exact"/>
      <w:ind w:firstLine="200" w:firstLineChars="200"/>
    </w:pPr>
    <w:rPr>
      <w:szCs w:val="24"/>
    </w:rPr>
  </w:style>
  <w:style w:type="paragraph" w:customStyle="1" w:styleId="374">
    <w:name w:val="CM51"/>
    <w:basedOn w:val="26"/>
    <w:next w:val="26"/>
    <w:autoRedefine/>
    <w:qFormat/>
    <w:uiPriority w:val="0"/>
    <w:pPr>
      <w:spacing w:after="103"/>
    </w:pPr>
    <w:rPr>
      <w:rFonts w:ascii="黑体" w:hAnsi="Calibri" w:eastAsia="黑体" w:cs="Times New Roman"/>
      <w:color w:val="auto"/>
      <w:szCs w:val="22"/>
    </w:rPr>
  </w:style>
  <w:style w:type="paragraph" w:customStyle="1" w:styleId="375">
    <w:name w:val="xl84"/>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76">
    <w:name w:val="Date"/>
    <w:basedOn w:val="1"/>
    <w:next w:val="1"/>
    <w:autoRedefine/>
    <w:qFormat/>
    <w:uiPriority w:val="0"/>
    <w:pPr>
      <w:ind w:left="100" w:leftChars="2500"/>
    </w:pPr>
    <w:rPr>
      <w:sz w:val="24"/>
    </w:rPr>
  </w:style>
  <w:style w:type="paragraph" w:customStyle="1" w:styleId="37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楷体_GB2312"/>
      <w:kern w:val="0"/>
      <w:sz w:val="24"/>
      <w:szCs w:val="24"/>
    </w:rPr>
  </w:style>
  <w:style w:type="paragraph" w:customStyle="1" w:styleId="378">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79">
    <w:name w:val=" Char2"/>
    <w:basedOn w:val="1"/>
    <w:autoRedefine/>
    <w:qFormat/>
    <w:uiPriority w:val="0"/>
    <w:pPr>
      <w:widowControl/>
      <w:spacing w:after="160" w:line="240" w:lineRule="exact"/>
      <w:jc w:val="left"/>
    </w:pPr>
    <w:rPr>
      <w:rFonts w:ascii="Calibri" w:hAnsi="Calibri" w:eastAsia="Verdana" w:cs="Droid Sans"/>
      <w:kern w:val="0"/>
      <w:sz w:val="20"/>
      <w:lang w:eastAsia="en-US"/>
    </w:rPr>
  </w:style>
  <w:style w:type="paragraph" w:customStyle="1" w:styleId="380">
    <w:name w:val="规范"/>
    <w:basedOn w:val="1"/>
    <w:next w:val="1"/>
    <w:qFormat/>
    <w:uiPriority w:val="0"/>
    <w:pPr>
      <w:numPr>
        <w:ilvl w:val="0"/>
        <w:numId w:val="7"/>
      </w:numPr>
      <w:spacing w:line="288" w:lineRule="auto"/>
      <w:ind w:firstLine="0"/>
      <w:jc w:val="left"/>
    </w:pPr>
    <w:rPr>
      <w:sz w:val="24"/>
      <w:szCs w:val="24"/>
    </w:rPr>
  </w:style>
  <w:style w:type="paragraph" w:customStyle="1" w:styleId="381">
    <w:name w:val="xl246"/>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382">
    <w:name w:val="章标题"/>
    <w:next w:val="361"/>
    <w:autoRedefine/>
    <w:qFormat/>
    <w:uiPriority w:val="0"/>
    <w:pPr>
      <w:spacing w:before="50" w:after="50"/>
      <w:jc w:val="both"/>
      <w:outlineLvl w:val="1"/>
    </w:pPr>
    <w:rPr>
      <w:rFonts w:ascii="黑体" w:hAnsi="Times New Roman" w:eastAsia="黑体" w:cs="Times New Roman"/>
      <w:sz w:val="21"/>
      <w:lang w:val="en-US" w:eastAsia="zh-CN" w:bidi="ar-SA"/>
    </w:rPr>
  </w:style>
  <w:style w:type="paragraph" w:customStyle="1" w:styleId="383">
    <w:name w:val="1.1.1"/>
    <w:basedOn w:val="1"/>
    <w:autoRedefine/>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rPr>
  </w:style>
  <w:style w:type="paragraph" w:customStyle="1" w:styleId="384">
    <w:name w:val="TOC Heading"/>
    <w:basedOn w:val="2"/>
    <w:next w:val="1"/>
    <w:qFormat/>
    <w:uiPriority w:val="0"/>
    <w:pPr>
      <w:spacing w:after="260" w:line="360" w:lineRule="auto"/>
      <w:outlineLvl w:val="9"/>
    </w:pPr>
    <w:rPr>
      <w:rFonts w:ascii="Calibri" w:hAnsi="Calibri"/>
      <w:sz w:val="32"/>
    </w:rPr>
  </w:style>
  <w:style w:type="paragraph" w:customStyle="1" w:styleId="385">
    <w:name w:val="标题2级"/>
    <w:basedOn w:val="148"/>
    <w:autoRedefine/>
    <w:qFormat/>
    <w:uiPriority w:val="0"/>
    <w:pPr>
      <w:ind w:left="360" w:firstLine="0" w:firstLineChars="0"/>
      <w:outlineLvl w:val="0"/>
    </w:pPr>
    <w:rPr>
      <w:rFonts w:ascii="Calibri" w:hAnsi="Calibri"/>
      <w:b/>
      <w:sz w:val="30"/>
      <w:szCs w:val="30"/>
    </w:rPr>
  </w:style>
  <w:style w:type="paragraph" w:customStyle="1" w:styleId="386">
    <w:name w:val="元正正文标题2"/>
    <w:basedOn w:val="5"/>
    <w:autoRedefine/>
    <w:qFormat/>
    <w:uiPriority w:val="0"/>
    <w:pPr>
      <w:keepNext w:val="0"/>
      <w:keepLines w:val="0"/>
      <w:adjustRightInd w:val="0"/>
      <w:snapToGrid w:val="0"/>
      <w:spacing w:before="0" w:after="0" w:line="360" w:lineRule="auto"/>
      <w:jc w:val="center"/>
      <w:outlineLvl w:val="9"/>
    </w:pPr>
    <w:rPr>
      <w:rFonts w:ascii="Calibri" w:hAnsi="Calibri" w:eastAsia="宋体" w:cs="Droid Sans"/>
      <w:bCs w:val="0"/>
      <w:sz w:val="32"/>
      <w:szCs w:val="20"/>
    </w:rPr>
  </w:style>
  <w:style w:type="paragraph" w:customStyle="1" w:styleId="387">
    <w:name w:val="无间距"/>
    <w:basedOn w:val="1"/>
    <w:autoRedefine/>
    <w:qFormat/>
    <w:uiPriority w:val="0"/>
    <w:rPr>
      <w:szCs w:val="22"/>
    </w:rPr>
  </w:style>
  <w:style w:type="paragraph" w:customStyle="1" w:styleId="388">
    <w:name w:val=" Char1"/>
    <w:basedOn w:val="1"/>
    <w:autoRedefine/>
    <w:uiPriority w:val="0"/>
    <w:rPr>
      <w:rFonts w:ascii="MS Mincho" w:hAnsi="MS Mincho" w:cs="Droid Sans"/>
      <w:sz w:val="24"/>
    </w:rPr>
  </w:style>
  <w:style w:type="paragraph" w:customStyle="1" w:styleId="389">
    <w:name w:val="xl3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390">
    <w:name w:val="xl262"/>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1">
    <w:name w:val="GP正文(首行缩进)"/>
    <w:basedOn w:val="1"/>
    <w:uiPriority w:val="0"/>
    <w:pPr>
      <w:spacing w:line="360" w:lineRule="auto"/>
      <w:ind w:firstLine="480" w:firstLineChars="200"/>
      <w:jc w:val="left"/>
    </w:pPr>
    <w:rPr>
      <w:rFonts w:hAnsi="宋体"/>
      <w:sz w:val="24"/>
      <w:szCs w:val="24"/>
    </w:rPr>
  </w:style>
  <w:style w:type="paragraph" w:customStyle="1" w:styleId="392">
    <w:name w:val="普通(Web)2"/>
    <w:basedOn w:val="1"/>
    <w:autoRedefine/>
    <w:qFormat/>
    <w:uiPriority w:val="0"/>
    <w:pPr>
      <w:widowControl/>
      <w:spacing w:before="88" w:after="100" w:afterAutospacing="1" w:line="316" w:lineRule="atLeast"/>
      <w:jc w:val="left"/>
    </w:pPr>
    <w:rPr>
      <w:rFonts w:ascii="宋体" w:hAnsi="宋体" w:cs="宋体"/>
      <w:kern w:val="0"/>
      <w:sz w:val="23"/>
      <w:szCs w:val="23"/>
    </w:rPr>
  </w:style>
  <w:style w:type="paragraph" w:customStyle="1" w:styleId="393">
    <w:name w:val="Default Paragraph Char Char Char Char"/>
    <w:basedOn w:val="1"/>
    <w:next w:val="1"/>
    <w:qFormat/>
    <w:uiPriority w:val="0"/>
    <w:pPr>
      <w:widowControl/>
      <w:spacing w:line="360" w:lineRule="auto"/>
      <w:jc w:val="left"/>
    </w:pPr>
    <w:rPr>
      <w:kern w:val="0"/>
      <w:lang w:eastAsia="en-US"/>
    </w:rPr>
  </w:style>
  <w:style w:type="paragraph" w:customStyle="1" w:styleId="394">
    <w:name w:val="样式 标题 7 +"/>
    <w:basedOn w:val="8"/>
    <w:autoRedefine/>
    <w:qFormat/>
    <w:uiPriority w:val="0"/>
    <w:pPr>
      <w:numPr>
        <w:ilvl w:val="6"/>
        <w:numId w:val="0"/>
      </w:numPr>
      <w:spacing w:before="120" w:line="360" w:lineRule="auto"/>
      <w:ind w:right="0" w:rightChars="0"/>
      <w:jc w:val="center"/>
    </w:pPr>
    <w:rPr>
      <w:rFonts w:eastAsia="宋体" w:cs="宋体"/>
      <w:spacing w:val="0"/>
      <w:lang w:eastAsia="en-US"/>
    </w:rPr>
  </w:style>
  <w:style w:type="paragraph" w:customStyle="1" w:styleId="395">
    <w:name w:val="文章正文"/>
    <w:basedOn w:val="1"/>
    <w:autoRedefine/>
    <w:qFormat/>
    <w:uiPriority w:val="0"/>
    <w:pPr>
      <w:numPr>
        <w:ilvl w:val="1"/>
        <w:numId w:val="8"/>
      </w:numPr>
      <w:spacing w:before="156" w:beforeLines="50" w:after="156" w:afterLines="50" w:line="320" w:lineRule="exact"/>
      <w:ind w:left="0" w:firstLine="200" w:firstLineChars="200"/>
    </w:pPr>
    <w:rPr>
      <w:rFonts w:ascii="仿宋_GB2312" w:eastAsia="仿宋_GB2312"/>
      <w:sz w:val="28"/>
      <w:szCs w:val="24"/>
    </w:rPr>
  </w:style>
  <w:style w:type="paragraph" w:customStyle="1" w:styleId="396">
    <w:name w:val="xl24"/>
    <w:basedOn w:val="1"/>
    <w:autoRedefine/>
    <w:uiPriority w:val="0"/>
    <w:pPr>
      <w:widowControl/>
      <w:pBdr>
        <w:bottom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397">
    <w:name w:val="Char Char Char Char Char Char Char Char Char Char Char Char Char Char Char Char"/>
    <w:basedOn w:val="1"/>
    <w:uiPriority w:val="0"/>
    <w:pPr>
      <w:snapToGrid w:val="0"/>
      <w:spacing w:line="360" w:lineRule="auto"/>
      <w:ind w:firstLine="200" w:firstLineChars="200"/>
    </w:pPr>
    <w:rPr>
      <w:rFonts w:ascii="Tahoma" w:hAnsi="Tahoma" w:cs="宋体"/>
      <w:sz w:val="28"/>
      <w:szCs w:val="28"/>
    </w:rPr>
  </w:style>
  <w:style w:type="paragraph" w:customStyle="1" w:styleId="398">
    <w:name w:val="cjk"/>
    <w:basedOn w:val="1"/>
    <w:qFormat/>
    <w:uiPriority w:val="99"/>
    <w:pPr>
      <w:widowControl/>
      <w:spacing w:before="100" w:beforeAutospacing="1" w:after="100" w:afterAutospacing="1"/>
      <w:jc w:val="left"/>
    </w:pPr>
    <w:rPr>
      <w:rFonts w:ascii="宋体" w:hAnsi="宋体" w:cs="宋体"/>
      <w:kern w:val="0"/>
      <w:sz w:val="18"/>
      <w:szCs w:val="18"/>
      <w:u w:val="none" w:color="000000"/>
    </w:rPr>
  </w:style>
  <w:style w:type="paragraph" w:customStyle="1" w:styleId="399">
    <w:name w:val="D标3"/>
    <w:basedOn w:val="4"/>
    <w:autoRedefine/>
    <w:uiPriority w:val="0"/>
    <w:pPr>
      <w:keepNext w:val="0"/>
      <w:keepLines w:val="0"/>
      <w:tabs>
        <w:tab w:val="left" w:pos="1140"/>
      </w:tabs>
      <w:autoSpaceDE w:val="0"/>
      <w:autoSpaceDN w:val="0"/>
      <w:adjustRightInd w:val="0"/>
      <w:snapToGrid w:val="0"/>
      <w:spacing w:before="120" w:after="0" w:line="480" w:lineRule="atLeast"/>
      <w:jc w:val="both"/>
    </w:pPr>
    <w:rPr>
      <w:rFonts w:ascii="Calibri" w:hAnsi="Calibri" w:cs="Droid Sans"/>
      <w:b w:val="0"/>
      <w:bCs w:val="0"/>
      <w:kern w:val="0"/>
      <w:sz w:val="24"/>
      <w:szCs w:val="20"/>
    </w:rPr>
  </w:style>
  <w:style w:type="paragraph" w:customStyle="1" w:styleId="400">
    <w:name w:val="xl25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01">
    <w:name w:val="文档正文"/>
    <w:basedOn w:val="1"/>
    <w:uiPriority w:val="0"/>
    <w:pPr>
      <w:adjustRightInd w:val="0"/>
      <w:spacing w:line="480" w:lineRule="atLeast"/>
      <w:ind w:firstLine="567"/>
      <w:textAlignment w:val="baseline"/>
    </w:pPr>
    <w:rPr>
      <w:rFonts w:ascii="仿宋_GB2312" w:eastAsia="仿宋_GB2312"/>
      <w:kern w:val="0"/>
      <w:sz w:val="28"/>
    </w:rPr>
  </w:style>
  <w:style w:type="paragraph" w:customStyle="1" w:styleId="402">
    <w:name w:val="文字"/>
    <w:basedOn w:val="1"/>
    <w:autoRedefine/>
    <w:qFormat/>
    <w:uiPriority w:val="0"/>
    <w:pPr>
      <w:tabs>
        <w:tab w:val="left" w:pos="8520"/>
      </w:tabs>
      <w:spacing w:line="312" w:lineRule="auto"/>
      <w:ind w:right="-210" w:firstLine="556"/>
    </w:pPr>
    <w:rPr>
      <w:rFonts w:ascii="Calibri" w:hAnsi="Calibri" w:eastAsia="Calibri" w:cs="Droid Sans"/>
      <w:sz w:val="28"/>
    </w:rPr>
  </w:style>
  <w:style w:type="paragraph" w:customStyle="1" w:styleId="403">
    <w:name w:val="6'"/>
    <w:basedOn w:val="1"/>
    <w:autoRedefine/>
    <w:qFormat/>
    <w:uiPriority w:val="0"/>
    <w:pPr>
      <w:autoSpaceDE w:val="0"/>
      <w:autoSpaceDN w:val="0"/>
      <w:adjustRightInd w:val="0"/>
      <w:snapToGrid w:val="0"/>
      <w:spacing w:line="320" w:lineRule="exact"/>
      <w:jc w:val="center"/>
      <w:textAlignment w:val="baseline"/>
    </w:pPr>
    <w:rPr>
      <w:spacing w:val="20"/>
      <w:kern w:val="28"/>
    </w:rPr>
  </w:style>
  <w:style w:type="paragraph" w:customStyle="1" w:styleId="404">
    <w:name w:val="p1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05">
    <w:name w:val="一级标题"/>
    <w:basedOn w:val="1"/>
    <w:next w:val="406"/>
    <w:autoRedefine/>
    <w:qFormat/>
    <w:uiPriority w:val="0"/>
    <w:pPr>
      <w:numPr>
        <w:ilvl w:val="2"/>
        <w:numId w:val="8"/>
      </w:numPr>
      <w:tabs>
        <w:tab w:val="left" w:pos="425"/>
      </w:tabs>
      <w:spacing w:after="312" w:afterLines="100"/>
      <w:ind w:left="850" w:hanging="425"/>
      <w:outlineLvl w:val="0"/>
    </w:pPr>
    <w:rPr>
      <w:rFonts w:ascii="黑体" w:eastAsia="黑体"/>
      <w:sz w:val="30"/>
      <w:szCs w:val="28"/>
    </w:rPr>
  </w:style>
  <w:style w:type="paragraph" w:customStyle="1" w:styleId="406">
    <w:name w:val="二级标题"/>
    <w:basedOn w:val="1"/>
    <w:next w:val="395"/>
    <w:uiPriority w:val="0"/>
    <w:pPr>
      <w:tabs>
        <w:tab w:val="left" w:pos="992"/>
      </w:tabs>
      <w:ind w:left="992" w:hanging="567"/>
      <w:outlineLvl w:val="1"/>
    </w:pPr>
    <w:rPr>
      <w:rFonts w:ascii="黑体" w:eastAsia="黑体"/>
      <w:sz w:val="28"/>
      <w:szCs w:val="24"/>
    </w:rPr>
  </w:style>
  <w:style w:type="paragraph" w:customStyle="1" w:styleId="407">
    <w:name w:val="正文标准样式ty"/>
    <w:basedOn w:val="1"/>
    <w:uiPriority w:val="0"/>
    <w:pPr>
      <w:spacing w:line="360" w:lineRule="auto"/>
      <w:ind w:firstLine="480" w:firstLineChars="200"/>
    </w:pPr>
    <w:rPr>
      <w:rFonts w:cs="宋体"/>
      <w:sz w:val="24"/>
    </w:rPr>
  </w:style>
  <w:style w:type="paragraph" w:customStyle="1" w:styleId="408">
    <w:name w:val="xl261"/>
    <w:basedOn w:val="1"/>
    <w:autoRedefine/>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09">
    <w:name w:val="TOC 标题1"/>
    <w:basedOn w:val="2"/>
    <w:next w:val="1"/>
    <w:unhideWhenUsed/>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410">
    <w:name w:val="样式 标题 2 + Times New Roman 四号 非加粗 段前: 5 磅 段后: 0 磅 行距: 固定值 20..."/>
    <w:basedOn w:val="3"/>
    <w:uiPriority w:val="0"/>
    <w:pPr>
      <w:spacing w:before="100" w:after="0" w:line="400" w:lineRule="exact"/>
      <w:ind w:firstLine="0"/>
      <w:jc w:val="both"/>
    </w:pPr>
    <w:rPr>
      <w:rFonts w:ascii="Times New Roman" w:hAnsi="Times New Roman" w:eastAsia="宋体"/>
      <w:b w:val="0"/>
      <w:bCs w:val="0"/>
      <w:sz w:val="28"/>
      <w:szCs w:val="20"/>
    </w:rPr>
  </w:style>
  <w:style w:type="paragraph" w:customStyle="1" w:styleId="411">
    <w:name w:val=" Char Char10 Char"/>
    <w:basedOn w:val="1"/>
    <w:uiPriority w:val="0"/>
    <w:rPr>
      <w:szCs w:val="24"/>
    </w:rPr>
  </w:style>
  <w:style w:type="paragraph" w:customStyle="1" w:styleId="412">
    <w:name w:val="xl2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413">
    <w:name w:val="top1"/>
    <w:basedOn w:val="1"/>
    <w:autoRedefine/>
    <w:qFormat/>
    <w:uiPriority w:val="0"/>
    <w:pPr>
      <w:widowControl/>
      <w:spacing w:before="100" w:beforeAutospacing="1" w:after="100" w:afterAutospacing="1"/>
      <w:jc w:val="left"/>
    </w:pPr>
    <w:rPr>
      <w:rFonts w:ascii="ˎ̥" w:hAnsi="ˎ̥"/>
      <w:color w:val="000066"/>
      <w:kern w:val="0"/>
      <w:sz w:val="18"/>
    </w:rPr>
  </w:style>
  <w:style w:type="paragraph" w:customStyle="1" w:styleId="414">
    <w:name w:val="xl3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2"/>
      <w:szCs w:val="22"/>
    </w:rPr>
  </w:style>
  <w:style w:type="paragraph" w:customStyle="1" w:styleId="415">
    <w:name w:val="Pa6"/>
    <w:basedOn w:val="1"/>
    <w:next w:val="1"/>
    <w:autoRedefine/>
    <w:qFormat/>
    <w:uiPriority w:val="0"/>
    <w:pPr>
      <w:autoSpaceDE w:val="0"/>
      <w:autoSpaceDN w:val="0"/>
      <w:adjustRightInd w:val="0"/>
      <w:spacing w:line="221" w:lineRule="atLeast"/>
      <w:jc w:val="left"/>
    </w:pPr>
    <w:rPr>
      <w:rFonts w:hint="eastAsia" w:ascii="幼圆" w:hAnsi="幼圆" w:eastAsia="幼圆" w:cs="幼圆"/>
      <w:kern w:val="0"/>
      <w:sz w:val="24"/>
      <w:szCs w:val="28"/>
    </w:rPr>
  </w:style>
  <w:style w:type="paragraph" w:customStyle="1" w:styleId="41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szCs w:val="32"/>
    </w:rPr>
  </w:style>
  <w:style w:type="paragraph" w:customStyle="1" w:styleId="417">
    <w:name w:val="style22"/>
    <w:basedOn w:val="1"/>
    <w:qFormat/>
    <w:uiPriority w:val="0"/>
    <w:pPr>
      <w:widowControl/>
      <w:spacing w:before="100" w:beforeAutospacing="1" w:after="100" w:afterAutospacing="1"/>
      <w:jc w:val="left"/>
    </w:pPr>
    <w:rPr>
      <w:rFonts w:ascii="宋体" w:hAnsi="宋体" w:eastAsia="宋体" w:cs="宋体"/>
      <w:b/>
      <w:bCs/>
      <w:color w:val="FF00FF"/>
      <w:kern w:val="0"/>
      <w:sz w:val="18"/>
      <w:szCs w:val="18"/>
    </w:rPr>
  </w:style>
  <w:style w:type="paragraph" w:customStyle="1" w:styleId="418">
    <w:name w:val="xl25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19">
    <w:name w:val="r_title"/>
    <w:basedOn w:val="1"/>
    <w:autoRedefine/>
    <w:qFormat/>
    <w:uiPriority w:val="0"/>
    <w:pPr>
      <w:widowControl/>
      <w:spacing w:before="100" w:beforeAutospacing="1" w:after="100" w:afterAutospacing="1"/>
      <w:jc w:val="left"/>
    </w:pPr>
    <w:rPr>
      <w:rFonts w:ascii="ˎ̥" w:hAnsi="ˎ̥"/>
      <w:color w:val="000000"/>
      <w:kern w:val="0"/>
      <w:sz w:val="18"/>
    </w:rPr>
  </w:style>
  <w:style w:type="paragraph" w:customStyle="1" w:styleId="420">
    <w:name w:val="默认段落字体 Para Char Char Char Char Char Char Char"/>
    <w:basedOn w:val="1"/>
    <w:qFormat/>
    <w:uiPriority w:val="0"/>
    <w:rPr>
      <w:rFonts w:ascii="MS Mincho" w:hAnsi="MS Mincho" w:cs="Droid Sans"/>
      <w:sz w:val="24"/>
    </w:rPr>
  </w:style>
  <w:style w:type="paragraph" w:customStyle="1" w:styleId="421">
    <w:name w:val="样式 标题 5 + 宋体"/>
    <w:basedOn w:val="6"/>
    <w:autoRedefine/>
    <w:uiPriority w:val="0"/>
    <w:pPr>
      <w:keepLines/>
      <w:spacing w:before="100" w:line="372" w:lineRule="auto"/>
    </w:pPr>
    <w:rPr>
      <w:rFonts w:ascii="楷体_GB2312" w:hAnsi="楷体_GB2312" w:cs="Droid Sans"/>
      <w:b/>
      <w:bCs w:val="0"/>
      <w:sz w:val="24"/>
      <w:szCs w:val="24"/>
    </w:rPr>
  </w:style>
  <w:style w:type="paragraph" w:customStyle="1" w:styleId="422">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b w:val="0"/>
      <w:bCs w:val="0"/>
      <w:sz w:val="32"/>
      <w:szCs w:val="20"/>
    </w:rPr>
  </w:style>
  <w:style w:type="paragraph" w:customStyle="1" w:styleId="42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eastAsia="Arial Unicode MS"/>
      <w:kern w:val="0"/>
      <w:sz w:val="22"/>
      <w:szCs w:val="22"/>
    </w:rPr>
  </w:style>
  <w:style w:type="paragraph" w:customStyle="1" w:styleId="424">
    <w:name w:val="NNN Char Char Char1 Char Char Char Char Char Char"/>
    <w:basedOn w:val="1"/>
    <w:autoRedefine/>
    <w:qFormat/>
    <w:uiPriority w:val="0"/>
    <w:pPr>
      <w:tabs>
        <w:tab w:val="left" w:pos="360"/>
      </w:tabs>
    </w:pPr>
    <w:rPr>
      <w:sz w:val="24"/>
      <w:szCs w:val="24"/>
    </w:rPr>
  </w:style>
  <w:style w:type="paragraph" w:customStyle="1" w:styleId="425">
    <w:name w:val="xl31"/>
    <w:basedOn w:val="1"/>
    <w:uiPriority w:val="0"/>
    <w:pPr>
      <w:widowControl/>
      <w:spacing w:before="100" w:beforeAutospacing="1" w:after="100" w:afterAutospacing="1"/>
      <w:jc w:val="center"/>
    </w:pPr>
    <w:rPr>
      <w:rFonts w:ascii="宋体" w:hAnsi="宋体"/>
      <w:b/>
      <w:bCs/>
      <w:kern w:val="0"/>
      <w:sz w:val="28"/>
      <w:szCs w:val="28"/>
    </w:rPr>
  </w:style>
  <w:style w:type="paragraph" w:customStyle="1" w:styleId="426">
    <w:name w:val="Char2"/>
    <w:basedOn w:val="1"/>
    <w:autoRedefine/>
    <w:qFormat/>
    <w:uiPriority w:val="0"/>
    <w:rPr>
      <w:rFonts w:ascii="Tahoma" w:hAnsi="Tahoma"/>
      <w:sz w:val="24"/>
    </w:rPr>
  </w:style>
  <w:style w:type="paragraph" w:customStyle="1" w:styleId="427">
    <w:name w:val="xl83"/>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428">
    <w:name w:val="ZHENWEN"/>
    <w:basedOn w:val="25"/>
    <w:uiPriority w:val="0"/>
    <w:pPr>
      <w:spacing w:before="120" w:after="120"/>
      <w:ind w:firstLine="200" w:firstLineChars="200"/>
      <w:jc w:val="left"/>
    </w:pPr>
    <w:rPr>
      <w:rFonts w:ascii="Wingdings" w:hAnsi="Wingdings" w:eastAsia="Calibri" w:cs="Droid Sans"/>
      <w:sz w:val="24"/>
    </w:rPr>
  </w:style>
  <w:style w:type="paragraph" w:customStyle="1" w:styleId="429">
    <w:name w:val="Char Char Char Char Char Char Char Char Char Char Char Char1"/>
    <w:basedOn w:val="1"/>
    <w:uiPriority w:val="0"/>
    <w:pPr>
      <w:spacing w:line="300" w:lineRule="auto"/>
    </w:pPr>
    <w:rPr>
      <w:rFonts w:ascii="宋体" w:hAnsi="宋体"/>
      <w:b/>
      <w:bCs/>
      <w:color w:val="000000"/>
      <w:spacing w:val="8"/>
      <w:kern w:val="0"/>
      <w:sz w:val="24"/>
      <w:szCs w:val="24"/>
    </w:rPr>
  </w:style>
  <w:style w:type="paragraph" w:customStyle="1" w:styleId="430">
    <w:name w:val="五级条标题"/>
    <w:basedOn w:val="431"/>
    <w:next w:val="361"/>
    <w:uiPriority w:val="0"/>
    <w:pPr>
      <w:outlineLvl w:val="6"/>
    </w:pPr>
  </w:style>
  <w:style w:type="paragraph" w:customStyle="1" w:styleId="431">
    <w:name w:val="四级条标题"/>
    <w:basedOn w:val="432"/>
    <w:next w:val="361"/>
    <w:autoRedefine/>
    <w:qFormat/>
    <w:uiPriority w:val="0"/>
    <w:pPr>
      <w:outlineLvl w:val="5"/>
    </w:pPr>
  </w:style>
  <w:style w:type="paragraph" w:customStyle="1" w:styleId="432">
    <w:name w:val="三级条标题"/>
    <w:basedOn w:val="433"/>
    <w:next w:val="361"/>
    <w:autoRedefine/>
    <w:uiPriority w:val="0"/>
    <w:pPr>
      <w:outlineLvl w:val="4"/>
    </w:pPr>
  </w:style>
  <w:style w:type="paragraph" w:customStyle="1" w:styleId="433">
    <w:name w:val="二级条标题"/>
    <w:basedOn w:val="434"/>
    <w:next w:val="361"/>
    <w:uiPriority w:val="0"/>
    <w:pPr>
      <w:outlineLvl w:val="3"/>
    </w:pPr>
  </w:style>
  <w:style w:type="paragraph" w:customStyle="1" w:styleId="434">
    <w:name w:val="一级条标题"/>
    <w:basedOn w:val="382"/>
    <w:next w:val="361"/>
    <w:uiPriority w:val="0"/>
    <w:pPr>
      <w:spacing w:before="0" w:after="0"/>
      <w:outlineLvl w:val="2"/>
    </w:pPr>
    <w:rPr>
      <w:rFonts w:ascii="宋体" w:eastAsia="宋体"/>
    </w:rPr>
  </w:style>
  <w:style w:type="paragraph" w:customStyle="1" w:styleId="435">
    <w:name w:val="默认段落字体 Para Char Char Char Char Char Char Char Char Char Char"/>
    <w:basedOn w:val="19"/>
    <w:autoRedefine/>
    <w:qFormat/>
    <w:uiPriority w:val="0"/>
    <w:pPr>
      <w:shd w:val="clear" w:color="auto" w:fill="auto"/>
    </w:pPr>
    <w:rPr>
      <w:rFonts w:ascii="宋体"/>
      <w:sz w:val="18"/>
      <w:szCs w:val="18"/>
    </w:rPr>
  </w:style>
  <w:style w:type="paragraph" w:customStyle="1" w:styleId="436">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37">
    <w:name w:val="1 Char"/>
    <w:basedOn w:val="1"/>
    <w:autoRedefine/>
    <w:qFormat/>
    <w:uiPriority w:val="0"/>
    <w:rPr>
      <w:rFonts w:ascii="Tahoma" w:hAnsi="Tahoma"/>
      <w:sz w:val="24"/>
    </w:rPr>
  </w:style>
  <w:style w:type="paragraph" w:customStyle="1" w:styleId="438">
    <w:name w:val="lift_top"/>
    <w:basedOn w:val="1"/>
    <w:uiPriority w:val="0"/>
    <w:pPr>
      <w:widowControl/>
      <w:spacing w:before="100" w:beforeAutospacing="1" w:after="100" w:afterAutospacing="1"/>
      <w:jc w:val="left"/>
    </w:pPr>
    <w:rPr>
      <w:rFonts w:ascii="ˎ̥" w:hAnsi="ˎ̥"/>
      <w:color w:val="000099"/>
      <w:kern w:val="0"/>
      <w:sz w:val="9"/>
    </w:rPr>
  </w:style>
  <w:style w:type="paragraph" w:customStyle="1" w:styleId="439">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kern w:val="0"/>
      <w:sz w:val="22"/>
      <w:szCs w:val="22"/>
    </w:rPr>
  </w:style>
  <w:style w:type="paragraph" w:customStyle="1" w:styleId="440">
    <w:name w:val="_Style 13"/>
    <w:basedOn w:val="1"/>
    <w:uiPriority w:val="0"/>
    <w:pPr>
      <w:tabs>
        <w:tab w:val="left" w:pos="425"/>
      </w:tabs>
      <w:ind w:left="425" w:hanging="425"/>
    </w:pPr>
    <w:rPr>
      <w:rFonts w:cs="Droid Sans"/>
      <w:sz w:val="18"/>
    </w:rPr>
  </w:style>
  <w:style w:type="paragraph" w:customStyle="1" w:styleId="441">
    <w:name w:val="标书正文"/>
    <w:basedOn w:val="1"/>
    <w:uiPriority w:val="0"/>
    <w:pPr>
      <w:snapToGrid w:val="0"/>
      <w:spacing w:line="360" w:lineRule="auto"/>
      <w:ind w:firstLine="560" w:firstLineChars="200"/>
    </w:pPr>
    <w:rPr>
      <w:rFonts w:ascii="宋体" w:hAnsi="宋体"/>
      <w:color w:val="000000"/>
      <w:sz w:val="24"/>
    </w:rPr>
  </w:style>
  <w:style w:type="paragraph" w:customStyle="1" w:styleId="442">
    <w:name w:val="样式 标题 8 + 左"/>
    <w:basedOn w:val="9"/>
    <w:uiPriority w:val="0"/>
    <w:pPr>
      <w:numPr>
        <w:ilvl w:val="7"/>
        <w:numId w:val="0"/>
      </w:numPr>
      <w:tabs>
        <w:tab w:val="clear" w:pos="1440"/>
      </w:tabs>
      <w:spacing w:line="319" w:lineRule="auto"/>
      <w:jc w:val="left"/>
    </w:pPr>
    <w:rPr>
      <w:rFonts w:ascii="Cambria" w:hAnsi="Cambria" w:eastAsia="宋体" w:cs="宋体"/>
      <w:szCs w:val="20"/>
      <w:lang w:eastAsia="en-US"/>
    </w:rPr>
  </w:style>
  <w:style w:type="paragraph" w:customStyle="1" w:styleId="443">
    <w:name w:val="样式 小四 段前: 5 磅 段后: 5 磅 首行缩进:  2 字符"/>
    <w:basedOn w:val="1"/>
    <w:uiPriority w:val="0"/>
    <w:pPr>
      <w:spacing w:before="100" w:after="50" w:afterLines="50" w:line="360" w:lineRule="auto"/>
    </w:pPr>
    <w:rPr>
      <w:rFonts w:ascii="Calibri" w:hAnsi="Calibri" w:cs="Droid Sans"/>
      <w:kern w:val="0"/>
      <w:sz w:val="24"/>
    </w:rPr>
  </w:style>
  <w:style w:type="paragraph" w:customStyle="1" w:styleId="444">
    <w:name w:val="font7"/>
    <w:basedOn w:val="1"/>
    <w:autoRedefine/>
    <w:uiPriority w:val="0"/>
    <w:pPr>
      <w:widowControl/>
      <w:spacing w:before="100" w:beforeAutospacing="1" w:after="100" w:afterAutospacing="1"/>
      <w:jc w:val="left"/>
    </w:pPr>
    <w:rPr>
      <w:rFonts w:hint="eastAsia" w:ascii="幼圆" w:hAnsi="宋体" w:eastAsia="幼圆"/>
      <w:kern w:val="0"/>
      <w:sz w:val="32"/>
      <w:szCs w:val="32"/>
    </w:rPr>
  </w:style>
  <w:style w:type="paragraph" w:customStyle="1" w:styleId="445">
    <w:name w:val="top"/>
    <w:basedOn w:val="1"/>
    <w:uiPriority w:val="0"/>
    <w:pPr>
      <w:widowControl/>
      <w:spacing w:before="100" w:beforeAutospacing="1" w:after="100" w:afterAutospacing="1"/>
      <w:jc w:val="left"/>
    </w:pPr>
    <w:rPr>
      <w:rFonts w:ascii="ˎ̥" w:hAnsi="ˎ̥"/>
      <w:color w:val="FFFFFF"/>
      <w:kern w:val="0"/>
      <w:sz w:val="18"/>
    </w:rPr>
  </w:style>
  <w:style w:type="paragraph" w:customStyle="1" w:styleId="446">
    <w:name w:val="xl25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7">
    <w:name w:val="xl2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8">
    <w:name w:val="D&amp;L"/>
    <w:basedOn w:val="42"/>
    <w:autoRedefine/>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449">
    <w:name w:val="1 Char Char Char Char"/>
    <w:basedOn w:val="1"/>
    <w:uiPriority w:val="0"/>
    <w:rPr>
      <w:rFonts w:ascii="Tahoma" w:hAnsi="Tahoma"/>
      <w:sz w:val="24"/>
    </w:rPr>
  </w:style>
  <w:style w:type="paragraph" w:customStyle="1" w:styleId="450">
    <w:name w:val="样式 标题 8 +"/>
    <w:basedOn w:val="9"/>
    <w:autoRedefine/>
    <w:qFormat/>
    <w:uiPriority w:val="0"/>
    <w:pPr>
      <w:numPr>
        <w:ilvl w:val="7"/>
        <w:numId w:val="0"/>
      </w:numPr>
      <w:tabs>
        <w:tab w:val="clear" w:pos="1440"/>
      </w:tabs>
      <w:spacing w:line="319" w:lineRule="auto"/>
      <w:jc w:val="left"/>
    </w:pPr>
    <w:rPr>
      <w:rFonts w:ascii="Cambria" w:hAnsi="Cambria" w:eastAsia="宋体"/>
      <w:lang w:eastAsia="en-US"/>
    </w:rPr>
  </w:style>
  <w:style w:type="paragraph" w:customStyle="1" w:styleId="451">
    <w:name w:val="图"/>
    <w:basedOn w:val="1"/>
    <w:autoRedefine/>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452">
    <w:name w:val="xl2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53">
    <w:name w:val="_Style 2"/>
    <w:basedOn w:val="1"/>
    <w:autoRedefine/>
    <w:qFormat/>
    <w:uiPriority w:val="0"/>
    <w:pPr>
      <w:ind w:firstLine="420" w:firstLineChars="200"/>
    </w:pPr>
    <w:rPr>
      <w:rFonts w:cs="Droid Sans"/>
    </w:rPr>
  </w:style>
  <w:style w:type="paragraph" w:customStyle="1" w:styleId="454">
    <w:name w:val="xl92"/>
    <w:basedOn w:val="1"/>
    <w:uiPriority w:val="0"/>
    <w:pPr>
      <w:widowControl/>
      <w:spacing w:before="100" w:beforeAutospacing="1" w:after="100" w:afterAutospacing="1"/>
      <w:jc w:val="center"/>
    </w:pPr>
    <w:rPr>
      <w:rFonts w:ascii="宋体" w:hAnsi="宋体" w:cs="宋体"/>
      <w:b/>
      <w:bCs/>
      <w:color w:val="000000"/>
      <w:kern w:val="0"/>
      <w:sz w:val="28"/>
      <w:szCs w:val="28"/>
    </w:rPr>
  </w:style>
  <w:style w:type="paragraph" w:customStyle="1" w:styleId="455">
    <w:name w:val="Char Char Char Char Char Char Char1 Char"/>
    <w:basedOn w:val="1"/>
    <w:autoRedefine/>
    <w:uiPriority w:val="0"/>
    <w:rPr>
      <w:rFonts w:ascii="Tahoma" w:hAnsi="Tahoma"/>
      <w:sz w:val="24"/>
    </w:rPr>
  </w:style>
  <w:style w:type="paragraph" w:customStyle="1" w:styleId="456">
    <w:name w:val="style11"/>
    <w:basedOn w:val="1"/>
    <w:uiPriority w:val="0"/>
    <w:pPr>
      <w:widowControl/>
      <w:spacing w:before="100" w:beforeAutospacing="1" w:after="100" w:afterAutospacing="1"/>
      <w:jc w:val="left"/>
    </w:pPr>
    <w:rPr>
      <w:rFonts w:ascii="宋体" w:hAnsi="宋体" w:eastAsia="宋体" w:cs="宋体"/>
      <w:color w:val="0000FF"/>
      <w:kern w:val="0"/>
      <w:sz w:val="18"/>
      <w:szCs w:val="18"/>
    </w:rPr>
  </w:style>
  <w:style w:type="paragraph" w:customStyle="1" w:styleId="457">
    <w:name w:val="ZW"/>
    <w:basedOn w:val="1"/>
    <w:autoRedefine/>
    <w:qFormat/>
    <w:uiPriority w:val="0"/>
    <w:pPr>
      <w:widowControl/>
      <w:topLinePunct/>
      <w:spacing w:line="360" w:lineRule="auto"/>
      <w:ind w:firstLine="425" w:firstLineChars="200"/>
    </w:pPr>
    <w:rPr>
      <w:rFonts w:eastAsia="仿宋_GB2312"/>
      <w:spacing w:val="8"/>
      <w:sz w:val="24"/>
    </w:rPr>
  </w:style>
  <w:style w:type="paragraph" w:customStyle="1" w:styleId="458">
    <w:name w:val="D标4"/>
    <w:basedOn w:val="1"/>
    <w:next w:val="459"/>
    <w:autoRedefine/>
    <w:uiPriority w:val="0"/>
    <w:pPr>
      <w:numPr>
        <w:ilvl w:val="0"/>
        <w:numId w:val="9"/>
      </w:numPr>
      <w:tabs>
        <w:tab w:val="left" w:pos="1140"/>
        <w:tab w:val="left" w:pos="2700"/>
      </w:tabs>
      <w:autoSpaceDE w:val="0"/>
      <w:autoSpaceDN w:val="0"/>
      <w:adjustRightInd w:val="0"/>
      <w:spacing w:before="120" w:line="480" w:lineRule="atLeast"/>
    </w:pPr>
    <w:rPr>
      <w:rFonts w:ascii="Calibri" w:hAnsi="Calibri" w:cs="Droid Sans"/>
      <w:kern w:val="0"/>
      <w:sz w:val="24"/>
    </w:rPr>
  </w:style>
  <w:style w:type="paragraph" w:customStyle="1" w:styleId="459">
    <w:name w:val="D文1"/>
    <w:basedOn w:val="1"/>
    <w:autoRedefine/>
    <w:qFormat/>
    <w:uiPriority w:val="0"/>
    <w:pPr>
      <w:tabs>
        <w:tab w:val="left" w:pos="720"/>
      </w:tabs>
      <w:autoSpaceDE w:val="0"/>
      <w:autoSpaceDN w:val="0"/>
      <w:adjustRightInd w:val="0"/>
      <w:spacing w:after="120" w:line="480" w:lineRule="atLeast"/>
      <w:ind w:left="680" w:firstLine="510"/>
    </w:pPr>
    <w:rPr>
      <w:rFonts w:ascii="Calibri" w:hAnsi="Calibri" w:cs="Droid Sans"/>
      <w:kern w:val="0"/>
      <w:sz w:val="24"/>
    </w:rPr>
  </w:style>
  <w:style w:type="paragraph" w:customStyle="1" w:styleId="460">
    <w:name w:val=" Char3"/>
    <w:basedOn w:val="1"/>
    <w:uiPriority w:val="0"/>
    <w:rPr>
      <w:rFonts w:ascii="MS Mincho" w:hAnsi="MS Mincho" w:cs="Droid Sans"/>
      <w:sz w:val="24"/>
    </w:rPr>
  </w:style>
  <w:style w:type="paragraph" w:customStyle="1" w:styleId="461">
    <w:name w:val="xl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462">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463">
    <w:name w:val="标题3"/>
    <w:basedOn w:val="44"/>
    <w:autoRedefine/>
    <w:uiPriority w:val="0"/>
    <w:pPr>
      <w:spacing w:before="0" w:after="0" w:line="360" w:lineRule="auto"/>
      <w:jc w:val="both"/>
    </w:pPr>
    <w:rPr>
      <w:rFonts w:ascii="Tahoma" w:hAnsi="Tahoma" w:eastAsia="黑体"/>
      <w:b/>
      <w:caps w:val="0"/>
      <w:sz w:val="24"/>
    </w:rPr>
  </w:style>
  <w:style w:type="paragraph" w:customStyle="1" w:styleId="464">
    <w:name w:val="xl54"/>
    <w:basedOn w:val="1"/>
    <w:uiPriority w:val="0"/>
    <w:pPr>
      <w:widowControl/>
      <w:pBdr>
        <w:top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465">
    <w:name w:val="技术方案正文样式"/>
    <w:basedOn w:val="1"/>
    <w:uiPriority w:val="0"/>
    <w:pPr>
      <w:autoSpaceDE w:val="0"/>
      <w:autoSpaceDN w:val="0"/>
      <w:adjustRightInd w:val="0"/>
      <w:spacing w:line="400" w:lineRule="exact"/>
      <w:ind w:firstLine="480" w:firstLineChars="200"/>
    </w:pPr>
    <w:rPr>
      <w:rFonts w:ascii="宋体" w:hAnsi="宋体" w:cs="宋体"/>
      <w:sz w:val="24"/>
      <w:szCs w:val="21"/>
    </w:rPr>
  </w:style>
  <w:style w:type="paragraph" w:customStyle="1" w:styleId="466">
    <w:name w:val="xl249"/>
    <w:basedOn w:val="1"/>
    <w:autoRedefine/>
    <w:qFormat/>
    <w:uiPriority w:val="0"/>
    <w:pPr>
      <w:widowControl/>
      <w:spacing w:before="100" w:beforeAutospacing="1" w:after="100" w:afterAutospacing="1"/>
      <w:jc w:val="left"/>
      <w:textAlignment w:val="center"/>
    </w:pPr>
    <w:rPr>
      <w:rFonts w:ascii="宋体" w:hAnsi="宋体" w:cs="宋体"/>
      <w:kern w:val="0"/>
      <w:sz w:val="20"/>
    </w:rPr>
  </w:style>
  <w:style w:type="paragraph" w:customStyle="1" w:styleId="467">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68">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469">
    <w:name w:val="Char Char Char Char Char"/>
    <w:basedOn w:val="1"/>
    <w:autoRedefine/>
    <w:uiPriority w:val="0"/>
    <w:rPr>
      <w:rFonts w:ascii="Tahoma" w:hAnsi="Tahoma"/>
      <w:sz w:val="24"/>
    </w:rPr>
  </w:style>
  <w:style w:type="paragraph" w:customStyle="1" w:styleId="470">
    <w:name w:val="reader-word-layer reader-word-s1-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471">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472">
    <w:name w:val="black"/>
    <w:basedOn w:val="1"/>
    <w:autoRedefine/>
    <w:uiPriority w:val="0"/>
    <w:pPr>
      <w:widowControl/>
      <w:spacing w:before="100" w:beforeAutospacing="1" w:after="100" w:afterAutospacing="1"/>
      <w:jc w:val="left"/>
    </w:pPr>
    <w:rPr>
      <w:rFonts w:ascii="ˎ̥" w:hAnsi="ˎ̥"/>
      <w:color w:val="000066"/>
      <w:kern w:val="0"/>
      <w:sz w:val="18"/>
    </w:rPr>
  </w:style>
  <w:style w:type="paragraph" w:customStyle="1" w:styleId="473">
    <w:name w:val="xl76"/>
    <w:basedOn w:val="1"/>
    <w:autoRedefine/>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474">
    <w:name w:val="style20"/>
    <w:basedOn w:val="1"/>
    <w:autoRedefine/>
    <w:qFormat/>
    <w:uiPriority w:val="0"/>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475">
    <w:name w:val="link"/>
    <w:basedOn w:val="1"/>
    <w:autoRedefine/>
    <w:qFormat/>
    <w:uiPriority w:val="0"/>
    <w:pPr>
      <w:widowControl/>
      <w:spacing w:before="100" w:beforeAutospacing="1" w:after="100" w:afterAutospacing="1"/>
      <w:jc w:val="left"/>
    </w:pPr>
    <w:rPr>
      <w:rFonts w:ascii="ˎ̥" w:hAnsi="ˎ̥"/>
      <w:color w:val="336699"/>
      <w:kern w:val="0"/>
      <w:sz w:val="18"/>
    </w:rPr>
  </w:style>
  <w:style w:type="paragraph" w:customStyle="1" w:styleId="476">
    <w:name w:val=" Char Char Char Char"/>
    <w:basedOn w:val="1"/>
    <w:qFormat/>
    <w:uiPriority w:val="0"/>
    <w:rPr>
      <w:rFonts w:ascii="Tahoma" w:hAnsi="Tahoma"/>
      <w:sz w:val="24"/>
    </w:rPr>
  </w:style>
  <w:style w:type="paragraph" w:customStyle="1" w:styleId="477">
    <w:name w:val="xl47"/>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4"/>
      <w:szCs w:val="24"/>
    </w:rPr>
  </w:style>
  <w:style w:type="paragraph" w:customStyle="1" w:styleId="478">
    <w:name w:val="正文（缩进）"/>
    <w:basedOn w:val="1"/>
    <w:autoRedefine/>
    <w:qFormat/>
    <w:uiPriority w:val="0"/>
    <w:pPr>
      <w:widowControl/>
      <w:spacing w:before="156" w:after="156"/>
      <w:ind w:firstLine="480" w:firstLineChars="200"/>
      <w:jc w:val="left"/>
    </w:pPr>
    <w:rPr>
      <w:rFonts w:ascii="仿宋_GB2312" w:eastAsia="仿宋_GB2312"/>
      <w:kern w:val="0"/>
      <w:sz w:val="24"/>
      <w:szCs w:val="24"/>
    </w:rPr>
  </w:style>
  <w:style w:type="paragraph" w:customStyle="1" w:styleId="479">
    <w:name w:val="right"/>
    <w:basedOn w:val="1"/>
    <w:autoRedefine/>
    <w:qFormat/>
    <w:uiPriority w:val="0"/>
    <w:pPr>
      <w:widowControl/>
      <w:spacing w:before="100" w:beforeAutospacing="1" w:after="100" w:afterAutospacing="1"/>
      <w:jc w:val="left"/>
    </w:pPr>
    <w:rPr>
      <w:rFonts w:ascii="ˎ̥" w:hAnsi="ˎ̥"/>
      <w:color w:val="000099"/>
      <w:kern w:val="0"/>
      <w:sz w:val="18"/>
    </w:rPr>
  </w:style>
  <w:style w:type="paragraph" w:customStyle="1" w:styleId="480">
    <w:name w:val="rightbg"/>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481">
    <w:name w:val="xl2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2"/>
      <w:szCs w:val="22"/>
    </w:rPr>
  </w:style>
  <w:style w:type="paragraph" w:customStyle="1" w:styleId="482">
    <w:name w:val="样式 小四"/>
    <w:basedOn w:val="1"/>
    <w:autoRedefine/>
    <w:uiPriority w:val="0"/>
    <w:pPr>
      <w:ind w:firstLine="480" w:firstLineChars="200"/>
    </w:pPr>
    <w:rPr>
      <w:sz w:val="24"/>
    </w:rPr>
  </w:style>
  <w:style w:type="paragraph" w:customStyle="1" w:styleId="483">
    <w:name w:val="中等深浅网格 21"/>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84">
    <w:name w:val="No Spacing1"/>
    <w:autoRedefine/>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485">
    <w:name w:val="_Style 484"/>
    <w:basedOn w:val="2"/>
    <w:next w:val="1"/>
    <w:autoRedefine/>
    <w:qFormat/>
    <w:uiPriority w:val="39"/>
    <w:pPr>
      <w:spacing w:after="260" w:line="360" w:lineRule="auto"/>
      <w:outlineLvl w:val="9"/>
    </w:pPr>
    <w:rPr>
      <w:rFonts w:ascii="Calibri" w:hAnsi="Calibri"/>
      <w:sz w:val="32"/>
    </w:rPr>
  </w:style>
  <w:style w:type="paragraph" w:customStyle="1" w:styleId="486">
    <w:name w:val="图注1"/>
    <w:basedOn w:val="1"/>
    <w:autoRedefine/>
    <w:qFormat/>
    <w:uiPriority w:val="99"/>
    <w:pPr>
      <w:widowControl/>
      <w:spacing w:before="5" w:line="300" w:lineRule="auto"/>
      <w:ind w:firstLine="200" w:firstLineChars="200"/>
      <w:jc w:val="center"/>
    </w:pPr>
    <w:rPr>
      <w:rFonts w:ascii="Calibri" w:hAnsi="Calibri"/>
      <w:sz w:val="24"/>
      <w:szCs w:val="21"/>
    </w:rPr>
  </w:style>
  <w:style w:type="paragraph" w:customStyle="1" w:styleId="487">
    <w:name w:val="样式4"/>
    <w:basedOn w:val="1"/>
    <w:autoRedefine/>
    <w:qFormat/>
    <w:uiPriority w:val="0"/>
    <w:pPr>
      <w:spacing w:after="50" w:afterLines="50" w:line="360" w:lineRule="auto"/>
      <w:ind w:left="839" w:right="227"/>
      <w:textAlignment w:val="center"/>
    </w:pPr>
    <w:rPr>
      <w:rFonts w:ascii="Arial" w:hAnsi="Arial" w:eastAsia="Arial" w:cs="Droid Sans"/>
      <w:spacing w:val="20"/>
      <w:sz w:val="24"/>
    </w:rPr>
  </w:style>
  <w:style w:type="paragraph" w:customStyle="1" w:styleId="488">
    <w:name w:val="样式 首行缩进:  0 字符"/>
    <w:basedOn w:val="1"/>
    <w:qFormat/>
    <w:uiPriority w:val="0"/>
    <w:pPr>
      <w:spacing w:line="360" w:lineRule="auto"/>
      <w:ind w:firstLine="200" w:firstLineChars="200"/>
    </w:pPr>
    <w:rPr>
      <w:rFonts w:cs="宋体"/>
      <w:sz w:val="24"/>
    </w:rPr>
  </w:style>
  <w:style w:type="paragraph" w:customStyle="1" w:styleId="489">
    <w:name w:val="样式 标题6 + 左"/>
    <w:basedOn w:val="335"/>
    <w:autoRedefine/>
    <w:qFormat/>
    <w:uiPriority w:val="0"/>
    <w:pPr>
      <w:spacing w:line="319" w:lineRule="auto"/>
      <w:jc w:val="left"/>
    </w:pPr>
  </w:style>
  <w:style w:type="paragraph" w:customStyle="1" w:styleId="490">
    <w:name w:val="attr-list-hd1"/>
    <w:basedOn w:val="1"/>
    <w:uiPriority w:val="0"/>
    <w:pPr>
      <w:widowControl/>
      <w:spacing w:before="100" w:beforeAutospacing="1" w:after="100" w:afterAutospacing="1" w:line="330" w:lineRule="atLeast"/>
      <w:jc w:val="left"/>
    </w:pPr>
    <w:rPr>
      <w:rFonts w:ascii="宋体" w:hAnsi="宋体" w:eastAsia="宋体" w:cs="宋体"/>
      <w:color w:val="999999"/>
      <w:kern w:val="0"/>
      <w:sz w:val="24"/>
      <w:szCs w:val="24"/>
    </w:rPr>
  </w:style>
  <w:style w:type="paragraph" w:customStyle="1" w:styleId="491">
    <w:name w:val="xl2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92">
    <w:name w:val="标题7"/>
    <w:basedOn w:val="8"/>
    <w:next w:val="1"/>
    <w:qFormat/>
    <w:uiPriority w:val="0"/>
    <w:pPr>
      <w:numPr>
        <w:ilvl w:val="6"/>
        <w:numId w:val="10"/>
      </w:numPr>
      <w:spacing w:before="120" w:beforeLines="50" w:afterLines="50" w:line="360" w:lineRule="auto"/>
      <w:ind w:right="0" w:rightChars="0" w:firstLineChars="0"/>
    </w:pPr>
    <w:rPr>
      <w:rFonts w:eastAsia="黑体" w:cs="宋体"/>
      <w:spacing w:val="0"/>
      <w:szCs w:val="20"/>
    </w:rPr>
  </w:style>
  <w:style w:type="paragraph" w:customStyle="1" w:styleId="493">
    <w:name w:val="默认段落字体 Para Char Char Char Char"/>
    <w:basedOn w:val="1"/>
    <w:autoRedefine/>
    <w:qFormat/>
    <w:uiPriority w:val="0"/>
    <w:pPr>
      <w:snapToGrid w:val="0"/>
      <w:spacing w:line="360" w:lineRule="auto"/>
      <w:ind w:firstLine="200" w:firstLineChars="200"/>
    </w:pPr>
    <w:rPr>
      <w:rFonts w:ascii="Calibri" w:hAnsi="Calibri"/>
    </w:rPr>
  </w:style>
  <w:style w:type="paragraph" w:customStyle="1" w:styleId="494">
    <w:name w:val="font8"/>
    <w:basedOn w:val="1"/>
    <w:autoRedefine/>
    <w:qFormat/>
    <w:uiPriority w:val="0"/>
    <w:pPr>
      <w:widowControl/>
      <w:spacing w:before="100" w:beforeAutospacing="1" w:after="100" w:afterAutospacing="1"/>
      <w:jc w:val="left"/>
    </w:pPr>
    <w:rPr>
      <w:rFonts w:hint="eastAsia" w:ascii="宋体" w:hAnsi="宋体"/>
      <w:color w:val="000000"/>
      <w:kern w:val="0"/>
      <w:sz w:val="32"/>
      <w:szCs w:val="32"/>
    </w:rPr>
  </w:style>
  <w:style w:type="paragraph" w:customStyle="1" w:styleId="495">
    <w:name w:val="默认段落字体 Para Char"/>
    <w:basedOn w:val="1"/>
    <w:autoRedefine/>
    <w:qFormat/>
    <w:uiPriority w:val="0"/>
  </w:style>
  <w:style w:type="paragraph" w:customStyle="1" w:styleId="496">
    <w:name w:val="List Paragraph11"/>
    <w:basedOn w:val="1"/>
    <w:autoRedefine/>
    <w:qFormat/>
    <w:uiPriority w:val="0"/>
    <w:pPr>
      <w:ind w:firstLine="420" w:firstLineChars="200"/>
    </w:pPr>
  </w:style>
  <w:style w:type="paragraph" w:customStyle="1" w:styleId="497">
    <w:name w:val="xl44"/>
    <w:basedOn w:val="1"/>
    <w:autoRedefine/>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498">
    <w:name w:val="样式2"/>
    <w:basedOn w:val="1"/>
    <w:uiPriority w:val="0"/>
    <w:pPr>
      <w:ind w:firstLine="540" w:firstLineChars="225"/>
    </w:pPr>
    <w:rPr>
      <w:sz w:val="24"/>
    </w:rPr>
  </w:style>
  <w:style w:type="paragraph" w:customStyle="1" w:styleId="499">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500">
    <w:name w:val="middle"/>
    <w:basedOn w:val="1"/>
    <w:autoRedefine/>
    <w:qFormat/>
    <w:uiPriority w:val="0"/>
    <w:pPr>
      <w:widowControl/>
      <w:spacing w:before="100" w:beforeAutospacing="1" w:after="100" w:afterAutospacing="1"/>
      <w:jc w:val="left"/>
    </w:pPr>
    <w:rPr>
      <w:rFonts w:ascii="ˎ̥" w:hAnsi="ˎ̥"/>
      <w:color w:val="666666"/>
      <w:kern w:val="0"/>
      <w:sz w:val="18"/>
    </w:rPr>
  </w:style>
  <w:style w:type="paragraph" w:customStyle="1" w:styleId="501">
    <w:name w:val="xl3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50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503">
    <w:name w:val="List Paragraph1"/>
    <w:basedOn w:val="1"/>
    <w:autoRedefine/>
    <w:qFormat/>
    <w:uiPriority w:val="0"/>
    <w:pPr>
      <w:ind w:firstLine="420" w:firstLineChars="200"/>
    </w:pPr>
    <w:rPr>
      <w:szCs w:val="22"/>
    </w:rPr>
  </w:style>
  <w:style w:type="paragraph" w:customStyle="1" w:styleId="50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幼圆" w:hAnsi="宋体" w:eastAsia="幼圆"/>
      <w:kern w:val="0"/>
      <w:sz w:val="32"/>
      <w:szCs w:val="32"/>
    </w:rPr>
  </w:style>
  <w:style w:type="paragraph" w:styleId="505">
    <w:name w:val="No Spacing"/>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506">
    <w:name w:val="标题 31"/>
    <w:basedOn w:val="1"/>
    <w:next w:val="1"/>
    <w:autoRedefine/>
    <w:unhideWhenUsed/>
    <w:qFormat/>
    <w:uiPriority w:val="9"/>
    <w:pPr>
      <w:keepNext/>
      <w:keepLines/>
      <w:numPr>
        <w:ilvl w:val="0"/>
        <w:numId w:val="11"/>
      </w:numPr>
      <w:spacing w:before="260" w:after="260" w:line="416" w:lineRule="auto"/>
      <w:ind w:left="780" w:hanging="360"/>
      <w:outlineLvl w:val="2"/>
    </w:pPr>
    <w:rPr>
      <w:rFonts w:ascii="Calibri" w:hAnsi="Calibri"/>
      <w:b/>
      <w:bCs/>
      <w:sz w:val="28"/>
      <w:szCs w:val="32"/>
    </w:rPr>
  </w:style>
  <w:style w:type="paragraph" w:customStyle="1" w:styleId="507">
    <w:name w:val="样式 Arial 左侧:  2 字符 行距: 固定值 29 磅"/>
    <w:basedOn w:val="1"/>
    <w:qFormat/>
    <w:uiPriority w:val="0"/>
    <w:pPr>
      <w:adjustRightInd w:val="0"/>
      <w:spacing w:line="580" w:lineRule="exact"/>
      <w:textAlignment w:val="baseline"/>
    </w:pPr>
    <w:rPr>
      <w:rFonts w:ascii="Arial" w:hAnsi="Arial"/>
      <w:kern w:val="0"/>
      <w:sz w:val="24"/>
    </w:rPr>
  </w:style>
  <w:style w:type="paragraph" w:customStyle="1" w:styleId="508">
    <w:name w:val="flNote"/>
    <w:basedOn w:val="1"/>
    <w:autoRedefine/>
    <w:qFormat/>
    <w:uiPriority w:val="0"/>
    <w:pPr>
      <w:adjustRightInd w:val="0"/>
      <w:spacing w:before="320" w:after="160" w:line="360" w:lineRule="atLeast"/>
      <w:jc w:val="center"/>
      <w:textAlignment w:val="baseline"/>
    </w:pPr>
    <w:rPr>
      <w:rFonts w:ascii="Arial" w:eastAsia="黑体"/>
      <w:kern w:val="0"/>
      <w:sz w:val="30"/>
    </w:rPr>
  </w:style>
  <w:style w:type="paragraph" w:customStyle="1" w:styleId="509">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510">
    <w:name w:val="news"/>
    <w:basedOn w:val="1"/>
    <w:autoRedefine/>
    <w:qFormat/>
    <w:uiPriority w:val="0"/>
    <w:pPr>
      <w:widowControl/>
      <w:spacing w:before="100" w:beforeAutospacing="1" w:after="100" w:afterAutospacing="1" w:line="165" w:lineRule="atLeast"/>
      <w:jc w:val="left"/>
    </w:pPr>
    <w:rPr>
      <w:rFonts w:ascii="ˎ̥" w:hAnsi="ˎ̥"/>
      <w:color w:val="000000"/>
      <w:kern w:val="0"/>
      <w:sz w:val="11"/>
    </w:rPr>
  </w:style>
  <w:style w:type="paragraph" w:customStyle="1" w:styleId="511">
    <w:name w:val="正文序号 2"/>
    <w:basedOn w:val="1"/>
    <w:autoRedefine/>
    <w:qFormat/>
    <w:uiPriority w:val="0"/>
    <w:pPr>
      <w:numPr>
        <w:ilvl w:val="1"/>
        <w:numId w:val="2"/>
      </w:numPr>
      <w:tabs>
        <w:tab w:val="left" w:pos="744"/>
        <w:tab w:val="left" w:pos="1049"/>
      </w:tabs>
      <w:spacing w:before="60"/>
    </w:pPr>
    <w:rPr>
      <w:rFonts w:cs="Droid Sans"/>
      <w:sz w:val="18"/>
    </w:rPr>
  </w:style>
  <w:style w:type="paragraph" w:customStyle="1" w:styleId="512">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513">
    <w:name w:val="xl26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514">
    <w:name w:val="xl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515">
    <w:name w:val=" Char Char Char"/>
    <w:basedOn w:val="1"/>
    <w:autoRedefine/>
    <w:uiPriority w:val="0"/>
    <w:rPr>
      <w:rFonts w:ascii="Tahoma" w:hAnsi="Tahoma"/>
      <w:sz w:val="24"/>
    </w:rPr>
  </w:style>
  <w:style w:type="paragraph" w:customStyle="1" w:styleId="516">
    <w:name w:val="itemlist"/>
    <w:qFormat/>
    <w:uiPriority w:val="0"/>
    <w:pPr>
      <w:numPr>
        <w:ilvl w:val="0"/>
        <w:numId w:val="12"/>
      </w:numPr>
      <w:spacing w:before="200" w:after="200" w:line="20" w:lineRule="atLeast"/>
      <w:jc w:val="both"/>
    </w:pPr>
    <w:rPr>
      <w:rFonts w:ascii="Times New Roman" w:hAnsi="Times New Roman" w:eastAsia="宋体" w:cs="Times New Roman"/>
      <w:kern w:val="2"/>
      <w:sz w:val="21"/>
      <w:szCs w:val="24"/>
      <w:lang w:val="en-US" w:eastAsia="zh-CN" w:bidi="ar-SA"/>
    </w:rPr>
  </w:style>
  <w:style w:type="paragraph" w:customStyle="1" w:styleId="517">
    <w:name w:val="tytytyty"/>
    <w:basedOn w:val="1"/>
    <w:autoRedefine/>
    <w:qFormat/>
    <w:uiPriority w:val="0"/>
    <w:pPr>
      <w:suppressAutoHyphens/>
      <w:spacing w:line="360" w:lineRule="auto"/>
      <w:ind w:left="359" w:leftChars="171" w:firstLine="480" w:firstLineChars="200"/>
    </w:pPr>
    <w:rPr>
      <w:kern w:val="1"/>
      <w:sz w:val="24"/>
      <w:szCs w:val="24"/>
      <w:lang w:eastAsia="ar-SA"/>
    </w:rPr>
  </w:style>
  <w:style w:type="paragraph" w:customStyle="1" w:styleId="518">
    <w:name w:val="正文黑体"/>
    <w:basedOn w:val="488"/>
    <w:qFormat/>
    <w:uiPriority w:val="0"/>
    <w:pPr>
      <w:ind w:firstLine="480"/>
    </w:pPr>
    <w:rPr>
      <w:rFonts w:ascii="黑体" w:hAnsi="黑体" w:eastAsia="黑体"/>
    </w:rPr>
  </w:style>
  <w:style w:type="paragraph" w:customStyle="1" w:styleId="51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520">
    <w:name w:val="条2"/>
    <w:basedOn w:val="1"/>
    <w:next w:val="361"/>
    <w:qFormat/>
    <w:uiPriority w:val="0"/>
    <w:pPr>
      <w:numPr>
        <w:ilvl w:val="2"/>
        <w:numId w:val="6"/>
      </w:numPr>
      <w:tabs>
        <w:tab w:val="left" w:pos="810"/>
      </w:tabs>
      <w:outlineLvl w:val="1"/>
    </w:pPr>
    <w:rPr>
      <w:rFonts w:ascii="黑体" w:eastAsia="黑体"/>
      <w:kern w:val="21"/>
    </w:rPr>
  </w:style>
  <w:style w:type="paragraph" w:customStyle="1" w:styleId="521">
    <w:name w:val="正文文本缩进1"/>
    <w:basedOn w:val="1"/>
    <w:autoRedefine/>
    <w:qFormat/>
    <w:uiPriority w:val="0"/>
    <w:pPr>
      <w:ind w:firstLine="645"/>
    </w:pPr>
    <w:rPr>
      <w:rFonts w:ascii="楷体_GB2312" w:hAnsi="Times New Roman" w:eastAsia="楷体_GB2312"/>
      <w:sz w:val="32"/>
    </w:rPr>
  </w:style>
  <w:style w:type="paragraph" w:customStyle="1" w:styleId="522">
    <w:name w:val="font6"/>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523">
    <w:name w:val="xl2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524">
    <w:name w:val="图形符号"/>
    <w:basedOn w:val="1"/>
    <w:qFormat/>
    <w:uiPriority w:val="0"/>
    <w:rPr>
      <w:sz w:val="24"/>
    </w:rPr>
  </w:style>
  <w:style w:type="paragraph" w:customStyle="1" w:styleId="525">
    <w:name w:val="xl3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楷体_GB2312"/>
      <w:kern w:val="0"/>
      <w:sz w:val="22"/>
      <w:szCs w:val="22"/>
    </w:rPr>
  </w:style>
  <w:style w:type="paragraph" w:customStyle="1" w:styleId="52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527">
    <w:name w:val="p15"/>
    <w:basedOn w:val="1"/>
    <w:autoRedefine/>
    <w:uiPriority w:val="0"/>
    <w:pPr>
      <w:widowControl/>
      <w:spacing w:line="360" w:lineRule="auto"/>
      <w:ind w:firstLine="420"/>
      <w:jc w:val="left"/>
    </w:pPr>
    <w:rPr>
      <w:kern w:val="0"/>
      <w:sz w:val="24"/>
      <w:szCs w:val="24"/>
    </w:rPr>
  </w:style>
  <w:style w:type="paragraph" w:customStyle="1" w:styleId="528">
    <w:name w:val="Char Char1"/>
    <w:basedOn w:val="1"/>
    <w:autoRedefine/>
    <w:uiPriority w:val="0"/>
    <w:rPr>
      <w:rFonts w:ascii="Tahoma" w:hAnsi="Tahoma"/>
      <w:sz w:val="24"/>
    </w:rPr>
  </w:style>
  <w:style w:type="paragraph" w:customStyle="1" w:styleId="529">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szCs w:val="32"/>
    </w:rPr>
  </w:style>
  <w:style w:type="paragraph" w:customStyle="1" w:styleId="530">
    <w:name w:val="表1"/>
    <w:basedOn w:val="1"/>
    <w:autoRedefine/>
    <w:uiPriority w:val="0"/>
    <w:pPr>
      <w:spacing w:before="20" w:after="20" w:line="200" w:lineRule="exact"/>
      <w:jc w:val="left"/>
      <w:textAlignment w:val="center"/>
    </w:pPr>
    <w:rPr>
      <w:rFonts w:cs="Droid Sans"/>
      <w:snapToGrid w:val="0"/>
      <w:spacing w:val="20"/>
      <w:kern w:val="0"/>
      <w:sz w:val="18"/>
    </w:rPr>
  </w:style>
  <w:style w:type="paragraph" w:customStyle="1" w:styleId="531">
    <w:name w:val="xl71"/>
    <w:basedOn w:val="1"/>
    <w:autoRedefine/>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幼圆" w:hAnsi="宋体" w:eastAsia="幼圆"/>
      <w:kern w:val="0"/>
      <w:sz w:val="32"/>
      <w:szCs w:val="32"/>
    </w:rPr>
  </w:style>
  <w:style w:type="paragraph" w:customStyle="1" w:styleId="532">
    <w:name w:val="class"/>
    <w:basedOn w:val="1"/>
    <w:autoRedefine/>
    <w:uiPriority w:val="0"/>
    <w:pPr>
      <w:widowControl/>
      <w:spacing w:before="100" w:beforeAutospacing="1" w:after="100" w:afterAutospacing="1"/>
      <w:jc w:val="left"/>
    </w:pPr>
    <w:rPr>
      <w:rFonts w:ascii="ˎ̥" w:hAnsi="ˎ̥"/>
      <w:color w:val="000099"/>
      <w:kern w:val="0"/>
      <w:sz w:val="18"/>
    </w:rPr>
  </w:style>
  <w:style w:type="paragraph" w:customStyle="1" w:styleId="533">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4">
    <w:name w:val="bijschrift"/>
    <w:basedOn w:val="1"/>
    <w:autoRedefine/>
    <w:qFormat/>
    <w:uiPriority w:val="0"/>
    <w:pPr>
      <w:widowControl/>
      <w:overflowPunct w:val="0"/>
      <w:autoSpaceDE w:val="0"/>
      <w:autoSpaceDN w:val="0"/>
      <w:adjustRightInd w:val="0"/>
      <w:jc w:val="left"/>
      <w:textAlignment w:val="baseline"/>
    </w:pPr>
    <w:rPr>
      <w:rFonts w:ascii="CG Times" w:hAnsi="CG Times"/>
      <w:kern w:val="0"/>
      <w:sz w:val="24"/>
      <w:lang w:val="nl-NL"/>
    </w:rPr>
  </w:style>
  <w:style w:type="paragraph" w:customStyle="1" w:styleId="535">
    <w:name w:val="font0"/>
    <w:basedOn w:val="1"/>
    <w:uiPriority w:val="0"/>
    <w:pPr>
      <w:widowControl/>
      <w:spacing w:before="100" w:beforeAutospacing="1" w:after="100" w:afterAutospacing="1"/>
      <w:jc w:val="left"/>
    </w:pPr>
    <w:rPr>
      <w:rFonts w:hint="eastAsia" w:ascii="宋体" w:hAnsi="宋体"/>
      <w:kern w:val="0"/>
      <w:sz w:val="24"/>
      <w:szCs w:val="24"/>
    </w:rPr>
  </w:style>
  <w:style w:type="paragraph" w:customStyle="1" w:styleId="536">
    <w:name w:val="xl87"/>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kern w:val="0"/>
      <w:sz w:val="18"/>
      <w:szCs w:val="18"/>
    </w:rPr>
  </w:style>
  <w:style w:type="paragraph" w:customStyle="1" w:styleId="537">
    <w:name w:val=" Char Char Char Char Char Char Char Char Char Char"/>
    <w:basedOn w:val="1"/>
    <w:qFormat/>
    <w:uiPriority w:val="0"/>
    <w:pPr>
      <w:widowControl/>
      <w:spacing w:after="160" w:line="240" w:lineRule="exact"/>
      <w:jc w:val="left"/>
    </w:pPr>
  </w:style>
  <w:style w:type="paragraph" w:customStyle="1" w:styleId="538">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539">
    <w:name w:val="Revision"/>
    <w:qFormat/>
    <w:uiPriority w:val="0"/>
    <w:rPr>
      <w:rFonts w:ascii="Times New Roman" w:hAnsi="Times New Roman" w:eastAsia="宋体" w:cs="Times New Roman"/>
      <w:kern w:val="2"/>
      <w:sz w:val="21"/>
      <w:szCs w:val="24"/>
      <w:lang w:val="en-US" w:eastAsia="zh-CN" w:bidi="ar-SA"/>
    </w:rPr>
  </w:style>
  <w:style w:type="paragraph" w:customStyle="1" w:styleId="540">
    <w:name w:val="基本文字 Char"/>
    <w:basedOn w:val="1"/>
    <w:autoRedefine/>
    <w:uiPriority w:val="0"/>
    <w:pPr>
      <w:spacing w:before="156" w:line="400" w:lineRule="atLeast"/>
      <w:ind w:firstLine="540" w:firstLineChars="225"/>
    </w:pPr>
    <w:rPr>
      <w:sz w:val="24"/>
    </w:rPr>
  </w:style>
  <w:style w:type="paragraph" w:customStyle="1" w:styleId="541">
    <w:name w:val="PP 行"/>
    <w:basedOn w:val="43"/>
    <w:autoRedefine/>
    <w:qFormat/>
    <w:uiPriority w:val="0"/>
  </w:style>
  <w:style w:type="paragraph" w:customStyle="1" w:styleId="542">
    <w:name w:val="p0"/>
    <w:basedOn w:val="1"/>
    <w:autoRedefine/>
    <w:qFormat/>
    <w:uiPriority w:val="0"/>
    <w:pPr>
      <w:widowControl/>
    </w:pPr>
    <w:rPr>
      <w:kern w:val="0"/>
      <w:szCs w:val="21"/>
    </w:rPr>
  </w:style>
  <w:style w:type="paragraph" w:customStyle="1" w:styleId="543">
    <w:name w:val="xl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楷体_GB2312"/>
      <w:kern w:val="0"/>
      <w:sz w:val="22"/>
      <w:szCs w:val="22"/>
    </w:rPr>
  </w:style>
  <w:style w:type="paragraph" w:customStyle="1" w:styleId="544">
    <w:name w:val="0"/>
    <w:basedOn w:val="1"/>
    <w:autoRedefine/>
    <w:uiPriority w:val="0"/>
    <w:pPr>
      <w:widowControl/>
      <w:snapToGrid w:val="0"/>
      <w:spacing w:line="365" w:lineRule="atLeast"/>
      <w:ind w:left="1"/>
      <w:textAlignment w:val="bottom"/>
    </w:pPr>
    <w:rPr>
      <w:rFonts w:ascii="Times New Roman" w:hAnsi="Times New Roman"/>
      <w:kern w:val="0"/>
      <w:sz w:val="20"/>
    </w:rPr>
  </w:style>
  <w:style w:type="paragraph" w:customStyle="1" w:styleId="545">
    <w:name w:val=" Char"/>
    <w:basedOn w:val="1"/>
    <w:autoRedefine/>
    <w:qFormat/>
    <w:uiPriority w:val="0"/>
    <w:pPr>
      <w:widowControl/>
      <w:spacing w:after="160" w:line="240" w:lineRule="exact"/>
      <w:jc w:val="left"/>
    </w:pPr>
    <w:rPr>
      <w:rFonts w:ascii="Verdana" w:hAnsi="Verdana"/>
      <w:kern w:val="0"/>
      <w:sz w:val="20"/>
      <w:lang w:eastAsia="en-US"/>
    </w:rPr>
  </w:style>
  <w:style w:type="paragraph" w:customStyle="1" w:styleId="546">
    <w:name w:val="c1"/>
    <w:basedOn w:val="1"/>
    <w:qFormat/>
    <w:uiPriority w:val="0"/>
    <w:pPr>
      <w:widowControl/>
      <w:spacing w:before="100" w:beforeAutospacing="1" w:after="100" w:afterAutospacing="1" w:line="270" w:lineRule="atLeast"/>
      <w:jc w:val="left"/>
    </w:pPr>
    <w:rPr>
      <w:rFonts w:ascii="宋体" w:hAnsi="宋体"/>
      <w:color w:val="333333"/>
      <w:kern w:val="0"/>
      <w:sz w:val="18"/>
      <w:szCs w:val="18"/>
    </w:rPr>
  </w:style>
  <w:style w:type="paragraph" w:customStyle="1" w:styleId="547">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548">
    <w:name w:val="Char1"/>
    <w:basedOn w:val="1"/>
    <w:autoRedefine/>
    <w:qFormat/>
    <w:uiPriority w:val="0"/>
    <w:rPr>
      <w:rFonts w:ascii="Tahoma" w:hAnsi="Tahoma"/>
      <w:sz w:val="24"/>
    </w:rPr>
  </w:style>
  <w:style w:type="paragraph" w:customStyle="1" w:styleId="549">
    <w:name w:val="xl241"/>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550">
    <w:name w:val="样式 标题8 + 段前: 0.5 行 段后: 0.5 行"/>
    <w:basedOn w:val="551"/>
    <w:next w:val="1"/>
    <w:uiPriority w:val="0"/>
    <w:pPr>
      <w:ind w:left="0" w:firstLine="0"/>
    </w:pPr>
    <w:rPr>
      <w:rFonts w:cs="宋体"/>
    </w:rPr>
  </w:style>
  <w:style w:type="paragraph" w:customStyle="1" w:styleId="551">
    <w:name w:val="标题8"/>
    <w:basedOn w:val="9"/>
    <w:next w:val="1"/>
    <w:autoRedefine/>
    <w:qFormat/>
    <w:uiPriority w:val="0"/>
    <w:pPr>
      <w:numPr>
        <w:ilvl w:val="7"/>
        <w:numId w:val="13"/>
      </w:numPr>
      <w:tabs>
        <w:tab w:val="clear" w:pos="1440"/>
      </w:tabs>
      <w:spacing w:beforeLines="50" w:afterLines="50" w:line="360" w:lineRule="auto"/>
      <w:jc w:val="left"/>
    </w:pPr>
    <w:rPr>
      <w:sz w:val="21"/>
      <w:szCs w:val="20"/>
    </w:rPr>
  </w:style>
  <w:style w:type="paragraph" w:customStyle="1" w:styleId="552">
    <w:name w:val="项目编号A"/>
    <w:basedOn w:val="1"/>
    <w:autoRedefine/>
    <w:qFormat/>
    <w:uiPriority w:val="0"/>
    <w:pPr>
      <w:numPr>
        <w:ilvl w:val="0"/>
        <w:numId w:val="14"/>
      </w:numPr>
      <w:ind w:left="480" w:firstLine="0"/>
    </w:pPr>
    <w:rPr>
      <w:rFonts w:ascii="Arial" w:hAnsi="Arial"/>
      <w:kern w:val="0"/>
    </w:rPr>
  </w:style>
  <w:style w:type="paragraph" w:customStyle="1" w:styleId="553">
    <w:name w:val="表格表头"/>
    <w:basedOn w:val="1"/>
    <w:autoRedefine/>
    <w:qFormat/>
    <w:uiPriority w:val="0"/>
    <w:pPr>
      <w:spacing w:line="360" w:lineRule="auto"/>
      <w:jc w:val="center"/>
      <w:outlineLvl w:val="0"/>
    </w:pPr>
    <w:rPr>
      <w:rFonts w:ascii="宋体" w:hAnsi="宋体" w:eastAsia="黑体" w:cs="宋体"/>
      <w:sz w:val="24"/>
      <w:szCs w:val="21"/>
    </w:rPr>
  </w:style>
  <w:style w:type="paragraph" w:customStyle="1" w:styleId="554">
    <w:name w:val="font9"/>
    <w:basedOn w:val="1"/>
    <w:qFormat/>
    <w:uiPriority w:val="0"/>
    <w:pPr>
      <w:widowControl/>
      <w:spacing w:before="100" w:beforeAutospacing="1" w:after="100" w:afterAutospacing="1"/>
      <w:jc w:val="left"/>
    </w:pPr>
    <w:rPr>
      <w:rFonts w:hint="eastAsia" w:ascii="幼圆" w:hAnsi="宋体" w:eastAsia="幼圆"/>
      <w:kern w:val="0"/>
      <w:sz w:val="32"/>
      <w:szCs w:val="32"/>
    </w:rPr>
  </w:style>
  <w:style w:type="paragraph" w:customStyle="1" w:styleId="555">
    <w:name w:val="WPSOffice手动目录 2"/>
    <w:autoRedefine/>
    <w:qFormat/>
    <w:uiPriority w:val="0"/>
    <w:pPr>
      <w:ind w:leftChars="200"/>
    </w:pPr>
    <w:rPr>
      <w:rFonts w:ascii="Times New Roman" w:hAnsi="Times New Roman" w:eastAsia="宋体" w:cs="Times New Roman"/>
      <w:lang w:val="en-US" w:eastAsia="zh-CN" w:bidi="ar-SA"/>
    </w:rPr>
  </w:style>
  <w:style w:type="paragraph" w:customStyle="1" w:styleId="556">
    <w:name w:val="1"/>
    <w:basedOn w:val="1"/>
    <w:next w:val="1"/>
    <w:qFormat/>
    <w:uiPriority w:val="0"/>
  </w:style>
  <w:style w:type="paragraph" w:customStyle="1" w:styleId="557">
    <w:name w:val="Char1 Char Char Char"/>
    <w:basedOn w:val="1"/>
    <w:qFormat/>
    <w:uiPriority w:val="0"/>
    <w:rPr>
      <w:rFonts w:ascii="Tahoma" w:hAnsi="Tahoma"/>
      <w:sz w:val="24"/>
    </w:rPr>
  </w:style>
  <w:style w:type="paragraph" w:customStyle="1" w:styleId="558">
    <w:name w:val="Char11"/>
    <w:basedOn w:val="1"/>
    <w:autoRedefine/>
    <w:qFormat/>
    <w:uiPriority w:val="0"/>
    <w:rPr>
      <w:rFonts w:ascii="Tahoma" w:hAnsi="Tahoma"/>
      <w:sz w:val="24"/>
    </w:rPr>
  </w:style>
  <w:style w:type="paragraph" w:customStyle="1" w:styleId="559">
    <w:name w:val="简单回函地址"/>
    <w:basedOn w:val="1"/>
    <w:autoRedefine/>
    <w:qFormat/>
    <w:uiPriority w:val="0"/>
    <w:rPr>
      <w:szCs w:val="24"/>
    </w:rPr>
  </w:style>
  <w:style w:type="paragraph" w:customStyle="1" w:styleId="560">
    <w:name w:val=" Char1 Char Char Char"/>
    <w:basedOn w:val="1"/>
    <w:autoRedefine/>
    <w:qFormat/>
    <w:uiPriority w:val="0"/>
  </w:style>
  <w:style w:type="paragraph" w:customStyle="1" w:styleId="561">
    <w:name w:val="Style List + Left:  0 cm Hanging:  0.8 ch1"/>
    <w:basedOn w:val="49"/>
    <w:autoRedefine/>
    <w:qFormat/>
    <w:uiPriority w:val="0"/>
    <w:pPr>
      <w:spacing w:line="360" w:lineRule="auto"/>
      <w:ind w:left="0" w:firstLine="0" w:firstLineChars="0"/>
      <w:jc w:val="left"/>
    </w:pPr>
    <w:rPr>
      <w:rFonts w:ascii="Tahoma" w:hAnsi="Tahoma"/>
      <w:szCs w:val="20"/>
    </w:rPr>
  </w:style>
  <w:style w:type="paragraph" w:customStyle="1" w:styleId="562">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2"/>
      <w:szCs w:val="22"/>
    </w:rPr>
  </w:style>
  <w:style w:type="paragraph" w:customStyle="1" w:styleId="563">
    <w:name w:val=" Char Char Char Char Char Char Char Char Char Char Char Char"/>
    <w:basedOn w:val="19"/>
    <w:uiPriority w:val="0"/>
    <w:pPr>
      <w:shd w:val="clear" w:color="auto" w:fill="auto"/>
    </w:pPr>
    <w:rPr>
      <w:rFonts w:ascii="宋体"/>
      <w:sz w:val="18"/>
      <w:szCs w:val="18"/>
    </w:rPr>
  </w:style>
  <w:style w:type="paragraph" w:customStyle="1" w:styleId="564">
    <w:name w:val="l_title"/>
    <w:basedOn w:val="1"/>
    <w:qFormat/>
    <w:uiPriority w:val="0"/>
    <w:pPr>
      <w:widowControl/>
      <w:spacing w:before="100" w:beforeAutospacing="1" w:after="100" w:afterAutospacing="1"/>
      <w:jc w:val="left"/>
    </w:pPr>
    <w:rPr>
      <w:rFonts w:ascii="ˎ̥" w:hAnsi="ˎ̥"/>
      <w:color w:val="000000"/>
      <w:kern w:val="0"/>
      <w:sz w:val="18"/>
    </w:rPr>
  </w:style>
  <w:style w:type="paragraph" w:customStyle="1" w:styleId="565">
    <w:name w:val=" Char1 Char Char Char Char Char Char"/>
    <w:basedOn w:val="1"/>
    <w:autoRedefine/>
    <w:qFormat/>
    <w:uiPriority w:val="0"/>
    <w:rPr>
      <w:rFonts w:ascii="Tahoma" w:hAnsi="Tahoma"/>
      <w:sz w:val="24"/>
    </w:rPr>
  </w:style>
  <w:style w:type="paragraph" w:customStyle="1" w:styleId="566">
    <w:name w:val="xl77"/>
    <w:basedOn w:val="1"/>
    <w:autoRedefine/>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567">
    <w:name w:val="默认段落字体 Para Char Char Char Char Char Char Char Char Char"/>
    <w:basedOn w:val="1"/>
    <w:autoRedefine/>
    <w:qFormat/>
    <w:uiPriority w:val="0"/>
    <w:rPr>
      <w:rFonts w:ascii="Tahoma" w:hAnsi="Tahoma" w:cs="Arial"/>
      <w:sz w:val="24"/>
    </w:rPr>
  </w:style>
  <w:style w:type="paragraph" w:customStyle="1" w:styleId="568">
    <w:name w:val="Char Char Char"/>
    <w:basedOn w:val="1"/>
    <w:qFormat/>
    <w:uiPriority w:val="0"/>
    <w:rPr>
      <w:rFonts w:ascii="Tahoma" w:hAnsi="Tahoma"/>
      <w:sz w:val="24"/>
    </w:rPr>
  </w:style>
  <w:style w:type="paragraph" w:customStyle="1" w:styleId="569">
    <w:name w:val="bottom"/>
    <w:basedOn w:val="1"/>
    <w:autoRedefine/>
    <w:qFormat/>
    <w:uiPriority w:val="0"/>
    <w:pPr>
      <w:widowControl/>
      <w:spacing w:before="100" w:beforeAutospacing="1" w:after="100" w:afterAutospacing="1"/>
      <w:jc w:val="left"/>
    </w:pPr>
    <w:rPr>
      <w:rFonts w:ascii="ˎ̥" w:hAnsi="ˎ̥"/>
      <w:color w:val="333333"/>
      <w:kern w:val="0"/>
      <w:sz w:val="18"/>
    </w:rPr>
  </w:style>
  <w:style w:type="paragraph" w:customStyle="1" w:styleId="570">
    <w:name w:val="xl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571">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72">
    <w:name w:val="样式3"/>
    <w:basedOn w:val="35"/>
    <w:qFormat/>
    <w:uiPriority w:val="0"/>
    <w:pPr>
      <w:spacing w:line="240" w:lineRule="atLeast"/>
      <w:outlineLvl w:val="0"/>
    </w:pPr>
    <w:rPr>
      <w:rFonts w:hAnsi="Calibri" w:cs="Droid Sans"/>
      <w:sz w:val="28"/>
    </w:rPr>
  </w:style>
  <w:style w:type="paragraph" w:customStyle="1" w:styleId="573">
    <w:name w:val="xl251"/>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574">
    <w:name w:val="正文1"/>
    <w:basedOn w:val="1"/>
    <w:qFormat/>
    <w:uiPriority w:val="0"/>
    <w:pPr>
      <w:widowControl/>
      <w:topLinePunct/>
      <w:spacing w:before="156" w:beforeLines="50" w:after="156" w:afterLines="50" w:line="300" w:lineRule="auto"/>
      <w:ind w:left="420"/>
    </w:pPr>
    <w:rPr>
      <w:szCs w:val="24"/>
    </w:rPr>
  </w:style>
  <w:style w:type="paragraph" w:customStyle="1" w:styleId="575">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576">
    <w:name w:val="noline"/>
    <w:basedOn w:val="1"/>
    <w:qFormat/>
    <w:uiPriority w:val="0"/>
    <w:pPr>
      <w:widowControl/>
      <w:spacing w:before="100" w:beforeAutospacing="1" w:after="100" w:afterAutospacing="1"/>
      <w:jc w:val="left"/>
    </w:pPr>
    <w:rPr>
      <w:rFonts w:ascii="ˎ̥" w:hAnsi="ˎ̥"/>
      <w:color w:val="000000"/>
      <w:kern w:val="0"/>
      <w:sz w:val="18"/>
    </w:rPr>
  </w:style>
  <w:style w:type="paragraph" w:customStyle="1" w:styleId="577">
    <w:name w:val="_Style 3"/>
    <w:basedOn w:val="1"/>
    <w:autoRedefine/>
    <w:qFormat/>
    <w:uiPriority w:val="0"/>
    <w:pPr>
      <w:ind w:firstLine="420" w:firstLineChars="200"/>
    </w:pPr>
    <w:rPr>
      <w:rFonts w:ascii="Calibri" w:hAnsi="Calibri"/>
      <w:szCs w:val="24"/>
    </w:rPr>
  </w:style>
  <w:style w:type="paragraph" w:customStyle="1" w:styleId="578">
    <w:name w:val="样式 标题 3 + (中文) 黑体 小四 非加粗 段前: 7.8 磅 段后: 0 磅 行距: 固定值 20 磅"/>
    <w:basedOn w:val="4"/>
    <w:autoRedefine/>
    <w:qFormat/>
    <w:uiPriority w:val="0"/>
    <w:pPr>
      <w:spacing w:before="0" w:after="0" w:line="400" w:lineRule="exact"/>
      <w:jc w:val="both"/>
    </w:pPr>
    <w:rPr>
      <w:rFonts w:ascii="Times New Roman" w:eastAsia="黑体"/>
      <w:b w:val="0"/>
      <w:bCs w:val="0"/>
      <w:sz w:val="24"/>
      <w:szCs w:val="20"/>
    </w:rPr>
  </w:style>
  <w:style w:type="paragraph" w:customStyle="1" w:styleId="579">
    <w:name w:val="p1"/>
    <w:basedOn w:val="1"/>
    <w:autoRedefine/>
    <w:qFormat/>
    <w:uiPriority w:val="0"/>
    <w:pPr>
      <w:widowControl/>
      <w:jc w:val="left"/>
    </w:pPr>
    <w:rPr>
      <w:kern w:val="0"/>
      <w:sz w:val="22"/>
      <w:szCs w:val="22"/>
    </w:rPr>
  </w:style>
  <w:style w:type="paragraph" w:customStyle="1" w:styleId="580">
    <w:name w:val="文字 Char Char Char"/>
    <w:basedOn w:val="1"/>
    <w:qFormat/>
    <w:uiPriority w:val="0"/>
    <w:pPr>
      <w:tabs>
        <w:tab w:val="left" w:pos="8520"/>
      </w:tabs>
      <w:spacing w:line="312" w:lineRule="auto"/>
      <w:ind w:right="-210" w:firstLine="556"/>
    </w:pPr>
    <w:rPr>
      <w:rFonts w:ascii="Calibri" w:hAnsi="Calibri" w:eastAsia="Calibri" w:cs="Droid Sans"/>
      <w:sz w:val="28"/>
    </w:rPr>
  </w:style>
  <w:style w:type="paragraph" w:customStyle="1" w:styleId="581">
    <w:name w:val="xl5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楷体_GB2312"/>
      <w:kern w:val="0"/>
      <w:sz w:val="24"/>
      <w:szCs w:val="24"/>
    </w:rPr>
  </w:style>
  <w:style w:type="paragraph" w:customStyle="1" w:styleId="582">
    <w:name w:val="aa"/>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583">
    <w:name w:val="彩色底纹 - 强调文字颜色 11"/>
    <w:uiPriority w:val="0"/>
    <w:rPr>
      <w:rFonts w:ascii="Times New Roman" w:hAnsi="Times New Roman" w:eastAsia="宋体" w:cs="Times New Roman"/>
      <w:kern w:val="2"/>
      <w:sz w:val="21"/>
      <w:szCs w:val="24"/>
      <w:lang w:val="en-US" w:eastAsia="zh-CN" w:bidi="ar-SA"/>
    </w:rPr>
  </w:style>
  <w:style w:type="paragraph" w:customStyle="1" w:styleId="584">
    <w:name w:val="P标3"/>
    <w:basedOn w:val="4"/>
    <w:autoRedefine/>
    <w:uiPriority w:val="0"/>
    <w:pPr>
      <w:keepNext w:val="0"/>
      <w:keepLines w:val="0"/>
      <w:numPr>
        <w:ilvl w:val="0"/>
        <w:numId w:val="8"/>
      </w:numPr>
      <w:tabs>
        <w:tab w:val="left" w:pos="570"/>
      </w:tabs>
      <w:autoSpaceDE w:val="0"/>
      <w:autoSpaceDN w:val="0"/>
      <w:adjustRightInd w:val="0"/>
      <w:snapToGrid w:val="0"/>
      <w:spacing w:before="120" w:after="120" w:line="480" w:lineRule="atLeast"/>
      <w:jc w:val="both"/>
    </w:pPr>
    <w:rPr>
      <w:rFonts w:ascii="Calibri" w:hAnsi="Calibri" w:cs="Droid Sans"/>
      <w:b w:val="0"/>
      <w:bCs w:val="0"/>
      <w:kern w:val="0"/>
      <w:sz w:val="24"/>
      <w:szCs w:val="20"/>
    </w:rPr>
  </w:style>
  <w:style w:type="paragraph" w:customStyle="1" w:styleId="585">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4"/>
      <w:szCs w:val="24"/>
    </w:rPr>
  </w:style>
  <w:style w:type="paragraph" w:customStyle="1" w:styleId="586">
    <w:name w:val="样式 标题 9 +"/>
    <w:basedOn w:val="367"/>
    <w:autoRedefine/>
    <w:qFormat/>
    <w:uiPriority w:val="0"/>
    <w:pPr/>
  </w:style>
  <w:style w:type="paragraph" w:customStyle="1" w:styleId="587">
    <w:name w:val="(符号)三标题1.1"/>
    <w:basedOn w:val="1"/>
    <w:autoRedefine/>
    <w:uiPriority w:val="0"/>
    <w:pPr>
      <w:tabs>
        <w:tab w:val="left" w:pos="420"/>
        <w:tab w:val="left" w:pos="744"/>
      </w:tabs>
      <w:spacing w:before="140" w:after="140" w:line="500" w:lineRule="exact"/>
      <w:ind w:left="744" w:hanging="744"/>
      <w:outlineLvl w:val="2"/>
    </w:pPr>
    <w:rPr>
      <w:rFonts w:ascii="楷体_GB2312" w:hAnsi="宋体" w:eastAsia="楷体_GB2312" w:cs="宋体"/>
      <w:b/>
      <w:bCs/>
      <w:sz w:val="28"/>
    </w:rPr>
  </w:style>
  <w:style w:type="paragraph" w:customStyle="1" w:styleId="588">
    <w:name w:val="彩色列表 - 着色 11"/>
    <w:basedOn w:val="1"/>
    <w:autoRedefine/>
    <w:qFormat/>
    <w:uiPriority w:val="0"/>
    <w:pPr>
      <w:ind w:firstLine="420" w:firstLineChars="200"/>
    </w:pPr>
    <w:rPr>
      <w:szCs w:val="24"/>
    </w:rPr>
  </w:style>
  <w:style w:type="paragraph" w:customStyle="1" w:styleId="589">
    <w:name w:val="xl239"/>
    <w:basedOn w:val="1"/>
    <w:autoRedefine/>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590">
    <w:name w:val="编号，四号"/>
    <w:basedOn w:val="182"/>
    <w:autoRedefine/>
    <w:qFormat/>
    <w:uiPriority w:val="0"/>
    <w:pPr>
      <w:numPr>
        <w:ilvl w:val="0"/>
        <w:numId w:val="15"/>
      </w:numPr>
    </w:pPr>
    <w:rPr>
      <w:rFonts w:ascii="Times New Roman" w:hAnsi="Times New Roman"/>
      <w:sz w:val="28"/>
    </w:rPr>
  </w:style>
  <w:style w:type="paragraph" w:customStyle="1" w:styleId="591">
    <w:name w:val="xl81"/>
    <w:basedOn w:val="1"/>
    <w:autoRedefine/>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592">
    <w:name w:val="Char Char2"/>
    <w:basedOn w:val="1"/>
    <w:autoRedefine/>
    <w:qFormat/>
    <w:uiPriority w:val="0"/>
    <w:rPr>
      <w:rFonts w:ascii="Tahoma" w:hAnsi="Tahoma"/>
      <w:sz w:val="24"/>
    </w:rPr>
  </w:style>
  <w:style w:type="paragraph" w:customStyle="1" w:styleId="593">
    <w:name w:val="表格"/>
    <w:basedOn w:val="1"/>
    <w:autoRedefine/>
    <w:qFormat/>
    <w:uiPriority w:val="0"/>
    <w:pPr>
      <w:snapToGrid w:val="0"/>
      <w:ind w:firstLine="42" w:firstLineChars="21"/>
    </w:pPr>
    <w:rPr>
      <w:rFonts w:ascii="宋体" w:hAnsi="宋体"/>
      <w:kern w:val="0"/>
      <w:sz w:val="20"/>
    </w:rPr>
  </w:style>
  <w:style w:type="paragraph" w:customStyle="1" w:styleId="59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2"/>
      <w:szCs w:val="22"/>
    </w:rPr>
  </w:style>
  <w:style w:type="paragraph" w:customStyle="1" w:styleId="595">
    <w:name w:val="编号"/>
    <w:basedOn w:val="1"/>
    <w:qFormat/>
    <w:uiPriority w:val="0"/>
    <w:pPr>
      <w:ind w:left="736" w:hanging="312"/>
      <w:jc w:val="center"/>
      <w:textAlignment w:val="center"/>
    </w:pPr>
    <w:rPr>
      <w:rFonts w:ascii="楷体_GB2312" w:hAnsi="楷体_GB2312" w:cs="Droid Sans"/>
      <w:b/>
      <w:snapToGrid w:val="0"/>
      <w:kern w:val="0"/>
      <w:sz w:val="24"/>
    </w:rPr>
  </w:style>
  <w:style w:type="paragraph" w:customStyle="1" w:styleId="596">
    <w:name w:val="xl26"/>
    <w:basedOn w:val="1"/>
    <w:qFormat/>
    <w:uiPriority w:val="0"/>
    <w:pPr>
      <w:widowControl/>
      <w:pBdr>
        <w:left w:val="single" w:color="auto" w:sz="4" w:space="0"/>
        <w:bottom w:val="single" w:color="auto" w:sz="4" w:space="0"/>
      </w:pBdr>
      <w:spacing w:before="100" w:beforeAutospacing="1" w:after="100" w:afterAutospacing="1"/>
      <w:jc w:val="center"/>
    </w:pPr>
    <w:rPr>
      <w:rFonts w:ascii="Arial Unicode MS" w:hAnsi="Arial Unicode MS" w:eastAsia="Arial Unicode MS" w:cs="楷体_GB2312"/>
      <w:kern w:val="0"/>
      <w:sz w:val="22"/>
      <w:szCs w:val="22"/>
    </w:rPr>
  </w:style>
  <w:style w:type="paragraph" w:customStyle="1" w:styleId="59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kern w:val="0"/>
      <w:sz w:val="22"/>
      <w:szCs w:val="22"/>
    </w:rPr>
  </w:style>
  <w:style w:type="paragraph" w:customStyle="1" w:styleId="598">
    <w:name w:val="Char Char Char1"/>
    <w:basedOn w:val="1"/>
    <w:autoRedefine/>
    <w:qFormat/>
    <w:uiPriority w:val="0"/>
    <w:rPr>
      <w:rFonts w:ascii="Tahoma" w:hAnsi="Tahoma"/>
      <w:sz w:val="24"/>
    </w:rPr>
  </w:style>
  <w:style w:type="paragraph" w:customStyle="1" w:styleId="599">
    <w:name w:val="正文序号 1"/>
    <w:basedOn w:val="1"/>
    <w:autoRedefine/>
    <w:qFormat/>
    <w:uiPriority w:val="0"/>
    <w:pPr>
      <w:tabs>
        <w:tab w:val="left" w:pos="744"/>
        <w:tab w:val="left" w:pos="839"/>
      </w:tabs>
      <w:spacing w:before="60"/>
      <w:ind w:left="744" w:hanging="744"/>
    </w:pPr>
    <w:rPr>
      <w:rFonts w:cs="Droid Sans"/>
      <w:sz w:val="18"/>
    </w:rPr>
  </w:style>
  <w:style w:type="paragraph" w:customStyle="1" w:styleId="600">
    <w:name w:val="GP无序编号"/>
    <w:basedOn w:val="601"/>
    <w:autoRedefine/>
    <w:qFormat/>
    <w:uiPriority w:val="0"/>
    <w:pPr>
      <w:tabs>
        <w:tab w:val="left" w:pos="903"/>
        <w:tab w:val="left" w:pos="1140"/>
      </w:tabs>
      <w:ind w:left="1140" w:firstLine="0" w:firstLineChars="0"/>
      <w:jc w:val="left"/>
    </w:pPr>
    <w:rPr>
      <w:rFonts w:hAnsi="Times New Roman"/>
    </w:rPr>
  </w:style>
  <w:style w:type="paragraph" w:customStyle="1" w:styleId="601">
    <w:name w:val="GP正文(无首行缩进)"/>
    <w:basedOn w:val="391"/>
    <w:autoRedefine/>
    <w:qFormat/>
    <w:uiPriority w:val="0"/>
    <w:pPr>
      <w:jc w:val="both"/>
    </w:pPr>
  </w:style>
  <w:style w:type="paragraph" w:customStyle="1" w:styleId="602">
    <w:name w:val="表格正文"/>
    <w:basedOn w:val="1"/>
    <w:qFormat/>
    <w:uiPriority w:val="0"/>
    <w:pPr>
      <w:ind w:right="45"/>
    </w:pPr>
    <w:rPr>
      <w:rFonts w:ascii="Arial" w:hAnsi="Arial" w:cs="Droid Sans"/>
      <w:sz w:val="24"/>
    </w:rPr>
  </w:style>
  <w:style w:type="paragraph" w:customStyle="1" w:styleId="603">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04">
    <w:name w:val="正文序号 3"/>
    <w:basedOn w:val="1"/>
    <w:autoRedefine/>
    <w:qFormat/>
    <w:uiPriority w:val="0"/>
    <w:pPr>
      <w:numPr>
        <w:ilvl w:val="2"/>
        <w:numId w:val="2"/>
      </w:numPr>
      <w:tabs>
        <w:tab w:val="left" w:pos="744"/>
        <w:tab w:val="left" w:pos="1259"/>
      </w:tabs>
      <w:spacing w:before="60"/>
    </w:pPr>
    <w:rPr>
      <w:rFonts w:cs="Droid Sans"/>
      <w:sz w:val="18"/>
    </w:rPr>
  </w:style>
  <w:style w:type="paragraph" w:customStyle="1" w:styleId="605">
    <w:name w:val="WPSOffice手动目录 1"/>
    <w:autoRedefine/>
    <w:qFormat/>
    <w:uiPriority w:val="0"/>
    <w:rPr>
      <w:rFonts w:ascii="Times New Roman" w:hAnsi="Times New Roman" w:eastAsia="宋体" w:cs="Times New Roman"/>
      <w:lang w:val="en-US" w:eastAsia="zh-CN" w:bidi="ar-SA"/>
    </w:rPr>
  </w:style>
  <w:style w:type="paragraph" w:customStyle="1" w:styleId="606">
    <w:name w:val="Char Char Char Char"/>
    <w:basedOn w:val="1"/>
    <w:autoRedefine/>
    <w:qFormat/>
    <w:uiPriority w:val="0"/>
    <w:rPr>
      <w:rFonts w:ascii="Tahoma" w:hAnsi="Tahoma"/>
      <w:sz w:val="24"/>
    </w:rPr>
  </w:style>
  <w:style w:type="paragraph" w:customStyle="1" w:styleId="607">
    <w:name w:val="xl89"/>
    <w:basedOn w:val="1"/>
    <w:autoRedefine/>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ˎ̥" w:hAnsi="ˎ̥" w:cs="宋体"/>
      <w:color w:val="000000"/>
      <w:kern w:val="0"/>
      <w:sz w:val="18"/>
      <w:szCs w:val="18"/>
    </w:rPr>
  </w:style>
  <w:style w:type="paragraph" w:customStyle="1" w:styleId="608">
    <w:name w:val="TOC Heading1"/>
    <w:basedOn w:val="2"/>
    <w:next w:val="1"/>
    <w:autoRedefine/>
    <w:qFormat/>
    <w:uiPriority w:val="99"/>
    <w:pPr>
      <w:widowControl/>
      <w:spacing w:before="480" w:after="0" w:line="276" w:lineRule="auto"/>
      <w:jc w:val="left"/>
      <w:outlineLvl w:val="9"/>
    </w:pPr>
    <w:rPr>
      <w:rFonts w:ascii="Cambria" w:hAnsi="Cambria" w:cs="Cambria"/>
      <w:color w:val="365F91"/>
      <w:kern w:val="0"/>
      <w:sz w:val="28"/>
      <w:szCs w:val="28"/>
      <w:u w:val="none" w:color="000000"/>
    </w:rPr>
  </w:style>
  <w:style w:type="paragraph" w:customStyle="1" w:styleId="609">
    <w:name w:val="lift"/>
    <w:basedOn w:val="1"/>
    <w:autoRedefine/>
    <w:qFormat/>
    <w:uiPriority w:val="0"/>
    <w:pPr>
      <w:widowControl/>
      <w:spacing w:before="100" w:beforeAutospacing="1" w:after="100" w:afterAutospacing="1"/>
      <w:jc w:val="left"/>
    </w:pPr>
    <w:rPr>
      <w:rFonts w:ascii="ˎ̥" w:hAnsi="ˎ̥"/>
      <w:color w:val="000099"/>
      <w:kern w:val="0"/>
      <w:sz w:val="9"/>
    </w:rPr>
  </w:style>
  <w:style w:type="paragraph" w:customStyle="1" w:styleId="610">
    <w:name w:val="xl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1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楷体_GB2312"/>
      <w:kern w:val="0"/>
      <w:sz w:val="22"/>
      <w:szCs w:val="22"/>
    </w:rPr>
  </w:style>
  <w:style w:type="paragraph" w:customStyle="1" w:styleId="612">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613">
    <w:name w:val="pa-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614">
    <w:name w:val="xl8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615">
    <w:name w:val="Char Char Char1 Char Char Char Char"/>
    <w:basedOn w:val="1"/>
    <w:autoRedefine/>
    <w:qFormat/>
    <w:uiPriority w:val="0"/>
    <w:pPr>
      <w:widowControl/>
      <w:snapToGrid w:val="0"/>
      <w:spacing w:after="160" w:line="300" w:lineRule="auto"/>
      <w:jc w:val="left"/>
    </w:pPr>
    <w:rPr>
      <w:rFonts w:ascii="仿宋_GB2312" w:hAnsi="Verdana" w:eastAsia="仿宋_GB2312"/>
      <w:b/>
      <w:kern w:val="0"/>
      <w:sz w:val="28"/>
      <w:szCs w:val="28"/>
      <w:lang w:eastAsia="en-US"/>
    </w:rPr>
  </w:style>
  <w:style w:type="paragraph" w:customStyle="1" w:styleId="616">
    <w:name w:val="_Style 191"/>
    <w:next w:val="1"/>
    <w:autoRedefine/>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617">
    <w:name w:val="xl2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1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619">
    <w:name w:val="List Paragraph_9b970762-14a9-43ab-b627-ab24dd866b2c"/>
    <w:basedOn w:val="1"/>
    <w:autoRedefine/>
    <w:qFormat/>
    <w:uiPriority w:val="34"/>
    <w:pPr>
      <w:ind w:firstLine="420" w:firstLineChars="200"/>
    </w:pPr>
    <w:rPr>
      <w:rFonts w:ascii="Calibri" w:hAnsi="Calibri"/>
      <w:szCs w:val="22"/>
    </w:rPr>
  </w:style>
  <w:style w:type="paragraph" w:customStyle="1" w:styleId="620">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楷体_GB2312"/>
      <w:kern w:val="0"/>
      <w:sz w:val="22"/>
      <w:szCs w:val="22"/>
    </w:rPr>
  </w:style>
  <w:style w:type="paragraph" w:customStyle="1" w:styleId="621">
    <w:name w:val="Char Char"/>
    <w:basedOn w:val="1"/>
    <w:qFormat/>
    <w:uiPriority w:val="0"/>
    <w:rPr>
      <w:rFonts w:ascii="Tahoma" w:hAnsi="Tahoma"/>
      <w:sz w:val="24"/>
    </w:rPr>
  </w:style>
  <w:style w:type="paragraph" w:customStyle="1" w:styleId="622">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楷体_GB2312"/>
      <w:kern w:val="0"/>
      <w:sz w:val="22"/>
      <w:szCs w:val="22"/>
    </w:rPr>
  </w:style>
  <w:style w:type="paragraph" w:customStyle="1" w:styleId="623">
    <w:name w:val="首行缩进"/>
    <w:basedOn w:val="1"/>
    <w:autoRedefine/>
    <w:qFormat/>
    <w:uiPriority w:val="0"/>
    <w:pPr>
      <w:spacing w:line="360" w:lineRule="auto"/>
      <w:ind w:firstLine="420" w:firstLineChars="200"/>
    </w:pPr>
    <w:rPr>
      <w:rFonts w:ascii="宋体" w:hAnsi="宋体"/>
      <w:szCs w:val="24"/>
    </w:rPr>
  </w:style>
  <w:style w:type="paragraph" w:customStyle="1" w:styleId="624">
    <w:name w:val="m_title"/>
    <w:basedOn w:val="1"/>
    <w:autoRedefine/>
    <w:qFormat/>
    <w:uiPriority w:val="0"/>
    <w:pPr>
      <w:widowControl/>
      <w:spacing w:before="100" w:beforeAutospacing="1" w:after="100" w:afterAutospacing="1"/>
      <w:jc w:val="left"/>
    </w:pPr>
    <w:rPr>
      <w:rFonts w:ascii="ˎ̥" w:hAnsi="ˎ̥"/>
      <w:color w:val="FFFFFF"/>
      <w:kern w:val="0"/>
      <w:sz w:val="18"/>
    </w:rPr>
  </w:style>
  <w:style w:type="paragraph" w:customStyle="1" w:styleId="625">
    <w:name w:val="Char"/>
    <w:basedOn w:val="1"/>
    <w:qFormat/>
    <w:uiPriority w:val="0"/>
    <w:rPr>
      <w:rFonts w:ascii="Tahoma" w:hAnsi="Tahoma"/>
      <w:sz w:val="24"/>
    </w:rPr>
  </w:style>
  <w:style w:type="paragraph" w:customStyle="1" w:styleId="626">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627">
    <w:name w:val="xl2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628">
    <w:name w:val=" Char Char1"/>
    <w:basedOn w:val="1"/>
    <w:autoRedefine/>
    <w:qFormat/>
    <w:uiPriority w:val="0"/>
    <w:rPr>
      <w:rFonts w:ascii="Tahoma" w:hAnsi="Tahoma"/>
      <w:sz w:val="24"/>
    </w:rPr>
  </w:style>
  <w:style w:type="paragraph" w:customStyle="1" w:styleId="629">
    <w:name w:val="xl42"/>
    <w:basedOn w:val="1"/>
    <w:autoRedefine/>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300" w:firstLineChars="300"/>
      <w:jc w:val="left"/>
      <w:textAlignment w:val="center"/>
    </w:pPr>
    <w:rPr>
      <w:rFonts w:eastAsia="Arial Unicode MS"/>
      <w:kern w:val="0"/>
      <w:sz w:val="22"/>
      <w:szCs w:val="22"/>
    </w:rPr>
  </w:style>
  <w:style w:type="paragraph" w:customStyle="1" w:styleId="630">
    <w:name w:val="xl2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631">
    <w:name w:val="正文序号 4"/>
    <w:basedOn w:val="1"/>
    <w:autoRedefine/>
    <w:qFormat/>
    <w:uiPriority w:val="0"/>
    <w:pPr>
      <w:numPr>
        <w:ilvl w:val="3"/>
        <w:numId w:val="2"/>
      </w:numPr>
      <w:tabs>
        <w:tab w:val="left" w:pos="744"/>
        <w:tab w:val="left" w:pos="1469"/>
      </w:tabs>
      <w:spacing w:before="60"/>
    </w:pPr>
    <w:rPr>
      <w:rFonts w:cs="Droid Sans"/>
      <w:sz w:val="18"/>
    </w:rPr>
  </w:style>
  <w:style w:type="paragraph" w:customStyle="1" w:styleId="632">
    <w:name w:val="xl247"/>
    <w:basedOn w:val="1"/>
    <w:autoRedefine/>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633">
    <w:name w:val="D标1"/>
    <w:basedOn w:val="2"/>
    <w:next w:val="1"/>
    <w:autoRedefine/>
    <w:qFormat/>
    <w:uiPriority w:val="0"/>
    <w:pPr>
      <w:keepLines w:val="0"/>
      <w:pageBreakBefore/>
      <w:widowControl/>
      <w:numPr>
        <w:ilvl w:val="0"/>
        <w:numId w:val="16"/>
      </w:numPr>
      <w:tabs>
        <w:tab w:val="left" w:pos="425"/>
      </w:tabs>
      <w:autoSpaceDE w:val="0"/>
      <w:autoSpaceDN w:val="0"/>
      <w:adjustRightInd w:val="0"/>
      <w:spacing w:before="360" w:after="240" w:line="315" w:lineRule="atLeast"/>
      <w:jc w:val="center"/>
    </w:pPr>
    <w:rPr>
      <w:rFonts w:ascii="Arial" w:hAnsi="Arial" w:eastAsia="Arial" w:cs="Droid Sans"/>
      <w:b w:val="0"/>
      <w:bCs w:val="0"/>
      <w:kern w:val="0"/>
      <w:sz w:val="36"/>
      <w:szCs w:val="20"/>
    </w:rPr>
  </w:style>
  <w:style w:type="paragraph" w:customStyle="1" w:styleId="634">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635">
    <w:name w:val="xl2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636">
    <w:name w:val="Char Char Char Char Char Char Char Char Char Char Char Char"/>
    <w:basedOn w:val="1"/>
    <w:autoRedefine/>
    <w:qFormat/>
    <w:uiPriority w:val="0"/>
    <w:pPr>
      <w:spacing w:line="300" w:lineRule="auto"/>
    </w:pPr>
    <w:rPr>
      <w:rFonts w:ascii="宋体" w:hAnsi="宋体"/>
      <w:b/>
      <w:bCs/>
      <w:color w:val="000000"/>
      <w:spacing w:val="8"/>
      <w:kern w:val="0"/>
      <w:sz w:val="24"/>
      <w:szCs w:val="24"/>
    </w:rPr>
  </w:style>
  <w:style w:type="paragraph" w:customStyle="1" w:styleId="637">
    <w:name w:val="¤º¤å"/>
    <w:autoRedefine/>
    <w:qFormat/>
    <w:uiPriority w:val="0"/>
    <w:pPr>
      <w:widowControl w:val="0"/>
      <w:overflowPunct w:val="0"/>
      <w:autoSpaceDE w:val="0"/>
      <w:autoSpaceDN w:val="0"/>
      <w:adjustRightInd w:val="0"/>
      <w:spacing w:line="360" w:lineRule="atLeast"/>
      <w:textAlignment w:val="baseline"/>
    </w:pPr>
    <w:rPr>
      <w:rFonts w:ascii="Wingdings" w:hAnsi="Wingdings" w:eastAsia="Arial Unicode MS" w:cs="Droid Sans"/>
      <w:sz w:val="24"/>
      <w:lang w:val="en-US" w:eastAsia="zh-TW" w:bidi="ar-SA"/>
    </w:rPr>
  </w:style>
  <w:style w:type="table" w:customStyle="1" w:styleId="638">
    <w:name w:val="网格型1"/>
    <w:basedOn w:val="71"/>
    <w:autoRedefine/>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网格型5"/>
    <w:basedOn w:val="71"/>
    <w:autoRedefine/>
    <w:qFormat/>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0">
    <w:name w:val="TableGrid"/>
    <w:autoRedefine/>
    <w:qFormat/>
    <w:uiPriority w:val="0"/>
    <w:rPr>
      <w:kern w:val="2"/>
      <w:sz w:val="21"/>
      <w:szCs w:val="22"/>
      <w:lang w:val="en-US" w:eastAsia="zh-CN" w:bidi="ar-SA"/>
    </w:rPr>
    <w:tblPr>
      <w:tblCellMar>
        <w:top w:w="0" w:type="dxa"/>
        <w:left w:w="0" w:type="dxa"/>
        <w:bottom w:w="0" w:type="dxa"/>
        <w:right w:w="0" w:type="dxa"/>
      </w:tblCellMar>
    </w:tblPr>
  </w:style>
  <w:style w:type="table" w:customStyle="1" w:styleId="641">
    <w:name w:val="网格型4"/>
    <w:basedOn w:val="7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6"/>
    <w:basedOn w:val="71"/>
    <w:autoRedefine/>
    <w:qFormat/>
    <w:uiPriority w:val="0"/>
    <w:pPr>
      <w:widowControl w:val="0"/>
      <w:jc w:val="both"/>
    </w:pPr>
    <w:rPr>
      <w:rFonts w:ascii="Calibri" w:hAnsi="Calibri"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3">
    <w:name w:val="网格型2"/>
    <w:basedOn w:val="7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网格型3"/>
    <w:basedOn w:val="71"/>
    <w:autoRedefine/>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45">
    <w:name w:val="hover17"/>
    <w:basedOn w:val="73"/>
    <w:autoRedefine/>
    <w:qFormat/>
    <w:uiPriority w:val="0"/>
  </w:style>
  <w:style w:type="character" w:customStyle="1" w:styleId="646">
    <w:name w:val="fr"/>
    <w:basedOn w:val="73"/>
    <w:autoRedefine/>
    <w:qFormat/>
    <w:uiPriority w:val="0"/>
  </w:style>
  <w:style w:type="character" w:customStyle="1" w:styleId="647">
    <w:name w:val="first-child"/>
    <w:basedOn w:val="73"/>
    <w:autoRedefine/>
    <w:uiPriority w:val="0"/>
    <w:rPr>
      <w:color w:val="1F3149"/>
      <w:sz w:val="24"/>
      <w:szCs w:val="24"/>
    </w:rPr>
  </w:style>
  <w:style w:type="character" w:customStyle="1" w:styleId="648">
    <w:name w:val="first-child1"/>
    <w:basedOn w:val="73"/>
    <w:autoRedefine/>
    <w:qFormat/>
    <w:uiPriority w:val="0"/>
    <w:rPr>
      <w:color w:val="1F3149"/>
      <w:sz w:val="24"/>
      <w:szCs w:val="24"/>
    </w:rPr>
  </w:style>
  <w:style w:type="character" w:customStyle="1" w:styleId="649">
    <w:name w:val="icon_gys"/>
    <w:basedOn w:val="73"/>
    <w:autoRedefine/>
    <w:qFormat/>
    <w:uiPriority w:val="0"/>
    <w:rPr>
      <w:sz w:val="21"/>
      <w:szCs w:val="21"/>
    </w:rPr>
  </w:style>
  <w:style w:type="character" w:customStyle="1" w:styleId="650">
    <w:name w:val="xiadan"/>
    <w:basedOn w:val="73"/>
    <w:autoRedefine/>
    <w:qFormat/>
    <w:uiPriority w:val="0"/>
    <w:rPr>
      <w:shd w:val="clear" w:color="auto" w:fill="E4393C"/>
    </w:rPr>
  </w:style>
  <w:style w:type="character" w:customStyle="1" w:styleId="651">
    <w:name w:val="icon_ds"/>
    <w:basedOn w:val="73"/>
    <w:autoRedefine/>
    <w:qFormat/>
    <w:uiPriority w:val="0"/>
  </w:style>
  <w:style w:type="character" w:customStyle="1" w:styleId="652">
    <w:name w:val="icon_ds1"/>
    <w:basedOn w:val="73"/>
    <w:autoRedefine/>
    <w:qFormat/>
    <w:uiPriority w:val="0"/>
    <w:rPr>
      <w:sz w:val="21"/>
      <w:szCs w:val="21"/>
    </w:rPr>
  </w:style>
  <w:style w:type="character" w:customStyle="1" w:styleId="653">
    <w:name w:val="font31"/>
    <w:basedOn w:val="73"/>
    <w:autoRedefine/>
    <w:qFormat/>
    <w:uiPriority w:val="0"/>
    <w:rPr>
      <w:rFonts w:hint="eastAsia" w:ascii="微软雅黑" w:hAnsi="微软雅黑" w:eastAsia="微软雅黑" w:cs="微软雅黑"/>
      <w:color w:val="000000"/>
      <w:sz w:val="22"/>
      <w:szCs w:val="22"/>
      <w:u w:val="none"/>
    </w:rPr>
  </w:style>
  <w:style w:type="paragraph" w:customStyle="1" w:styleId="654">
    <w:name w:val="null3"/>
    <w:autoRedefine/>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daohangxitong.com</Company>
  <Pages>56</Pages>
  <Words>28948</Words>
  <Characters>31147</Characters>
  <Lines>156</Lines>
  <Paragraphs>44</Paragraphs>
  <TotalTime>183</TotalTime>
  <ScaleCrop>false</ScaleCrop>
  <LinksUpToDate>false</LinksUpToDate>
  <CharactersWithSpaces>32224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2020-11-18T02:32:00Z</dcterms:created>
  <dc:creator>Administrator</dc:creator>
  <cp:lastModifiedBy>大海里的糖醋鱼</cp:lastModifiedBy>
  <cp:lastPrinted>2020-08-05T10:26:00Z</cp:lastPrinted>
  <dcterms:modified xsi:type="dcterms:W3CDTF">2024-05-23T06:34:47Z</dcterms:modified>
  <dc:title>周口市公共资源交易中心</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1D4231B378484CA5977A04DD06991FD8_13</vt:lpwstr>
  </property>
</Properties>
</file>